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4A0" w:firstRow="1" w:lastRow="0" w:firstColumn="1" w:lastColumn="0" w:noHBand="0" w:noVBand="1"/>
      </w:tblPr>
      <w:tblGrid>
        <w:gridCol w:w="2070"/>
        <w:gridCol w:w="4991"/>
        <w:gridCol w:w="3544"/>
      </w:tblGrid>
      <w:tr w:rsidR="00732221" w:rsidTr="00732221">
        <w:trPr>
          <w:trHeight w:val="720"/>
        </w:trPr>
        <w:tc>
          <w:tcPr>
            <w:tcW w:w="7061" w:type="dxa"/>
            <w:gridSpan w:val="2"/>
            <w:tcBorders>
              <w:top w:val="nil"/>
              <w:left w:val="nil"/>
              <w:bottom w:val="single" w:sz="18" w:space="0" w:color="auto"/>
              <w:right w:val="nil"/>
            </w:tcBorders>
            <w:hideMark/>
          </w:tcPr>
          <w:p w:rsidR="00732221" w:rsidRDefault="007322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732221" w:rsidRDefault="007322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top w:val="nil"/>
              <w:left w:val="nil"/>
              <w:bottom w:val="single" w:sz="18" w:space="0" w:color="auto"/>
              <w:right w:val="nil"/>
            </w:tcBorders>
            <w:hideMark/>
          </w:tcPr>
          <w:p w:rsidR="00732221" w:rsidRDefault="00D77991">
            <w:pPr>
              <w:tabs>
                <w:tab w:val="left" w:pos="3010"/>
              </w:tabs>
              <w:jc w:val="center"/>
              <w:rPr>
                <w:sz w:val="52"/>
                <w:szCs w:val="52"/>
              </w:rPr>
            </w:pPr>
            <w:r>
              <w:rPr>
                <w:rFonts w:ascii="Univers Bold" w:hAnsi="Univers Bold"/>
                <w:b/>
                <w:sz w:val="72"/>
                <w:lang w:val="fr-CA"/>
              </w:rPr>
              <w:t xml:space="preserve">     </w:t>
            </w:r>
            <w:r w:rsidR="00732221">
              <w:rPr>
                <w:rFonts w:ascii="Univers Bold" w:hAnsi="Univers Bold"/>
                <w:b/>
                <w:sz w:val="72"/>
                <w:lang w:val="fr-CA"/>
              </w:rPr>
              <w:t>EP</w:t>
            </w:r>
          </w:p>
        </w:tc>
      </w:tr>
      <w:tr w:rsidR="00732221" w:rsidTr="00732221">
        <w:trPr>
          <w:trHeight w:val="2718"/>
        </w:trPr>
        <w:tc>
          <w:tcPr>
            <w:tcW w:w="2070" w:type="dxa"/>
            <w:tcBorders>
              <w:top w:val="nil"/>
              <w:left w:val="nil"/>
              <w:bottom w:val="single" w:sz="36" w:space="0" w:color="auto"/>
              <w:right w:val="nil"/>
            </w:tcBorders>
            <w:hideMark/>
          </w:tcPr>
          <w:p w:rsidR="00732221" w:rsidRDefault="00732221">
            <w:r>
              <w:rPr>
                <w:noProof/>
                <w:lang w:val="en-CA" w:eastAsia="en-CA"/>
              </w:rPr>
              <w:drawing>
                <wp:anchor distT="0" distB="0" distL="114300" distR="114300" simplePos="0" relativeHeight="251657216" behindDoc="0" locked="0" layoutInCell="1" allowOverlap="1" wp14:anchorId="025B6AD1" wp14:editId="081D8A67">
                  <wp:simplePos x="0" y="0"/>
                  <wp:positionH relativeFrom="column">
                    <wp:posOffset>340173</wp:posOffset>
                  </wp:positionH>
                  <wp:positionV relativeFrom="paragraph">
                    <wp:posOffset>920115</wp:posOffset>
                  </wp:positionV>
                  <wp:extent cx="800100" cy="705485"/>
                  <wp:effectExtent l="0" t="0" r="0" b="0"/>
                  <wp:wrapNone/>
                  <wp:docPr id="3" name="Afbeelding 3"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054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0" allowOverlap="1" wp14:anchorId="705346EB" wp14:editId="45D48A5D">
                  <wp:simplePos x="0" y="0"/>
                  <wp:positionH relativeFrom="column">
                    <wp:posOffset>72390</wp:posOffset>
                  </wp:positionH>
                  <wp:positionV relativeFrom="paragraph">
                    <wp:posOffset>112395</wp:posOffset>
                  </wp:positionV>
                  <wp:extent cx="760730" cy="676275"/>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rsidR="00732221" w:rsidRDefault="007322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732221" w:rsidRDefault="00732221">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732221" w:rsidRDefault="00732221">
            <w:pPr>
              <w:rPr>
                <w:rFonts w:ascii="Univers" w:hAnsi="Univers"/>
                <w:b/>
                <w:sz w:val="32"/>
                <w:lang w:val="fr-CA"/>
              </w:rPr>
            </w:pPr>
            <w:r>
              <w:rPr>
                <w:rFonts w:ascii="Univers" w:hAnsi="Univers"/>
                <w:b/>
                <w:sz w:val="32"/>
                <w:lang w:val="fr-CA"/>
              </w:rPr>
              <w:t>Nations Unies pour</w:t>
            </w:r>
          </w:p>
          <w:p w:rsidR="00732221" w:rsidRDefault="00732221">
            <w:pPr>
              <w:rPr>
                <w:rFonts w:ascii="Univers" w:hAnsi="Univers"/>
                <w:b/>
                <w:sz w:val="32"/>
                <w:lang w:val="fr-CA"/>
              </w:rPr>
            </w:pPr>
            <w:r>
              <w:rPr>
                <w:rFonts w:ascii="Univers" w:hAnsi="Univers"/>
                <w:b/>
                <w:sz w:val="32"/>
                <w:lang w:val="fr-CA"/>
              </w:rPr>
              <w:t>l</w:t>
            </w:r>
            <w:r w:rsidR="00D77991">
              <w:rPr>
                <w:rFonts w:ascii="Univers" w:hAnsi="Univers"/>
                <w:b/>
                <w:sz w:val="32"/>
                <w:lang w:val="fr-CA"/>
              </w:rPr>
              <w:t>’</w:t>
            </w:r>
            <w:r>
              <w:rPr>
                <w:rFonts w:ascii="Univers" w:hAnsi="Univers"/>
                <w:b/>
                <w:sz w:val="32"/>
                <w:lang w:val="fr-CA"/>
              </w:rPr>
              <w:t>environnement</w:t>
            </w:r>
          </w:p>
          <w:p w:rsidR="00732221" w:rsidRDefault="00732221">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732221" w:rsidRDefault="00732221">
            <w:pPr>
              <w:rPr>
                <w:lang w:val="fr-FR"/>
              </w:rPr>
            </w:pPr>
          </w:p>
          <w:p w:rsidR="00732221" w:rsidRDefault="00732221">
            <w:pPr>
              <w:rPr>
                <w:lang w:val="fr-FR"/>
              </w:rPr>
            </w:pPr>
            <w:r>
              <w:rPr>
                <w:lang w:val="fr-FR"/>
              </w:rPr>
              <w:t>Distr.</w:t>
            </w:r>
          </w:p>
          <w:p w:rsidR="00732221" w:rsidRDefault="00732221">
            <w:pPr>
              <w:rPr>
                <w:lang w:val="fr-CA"/>
              </w:rPr>
            </w:pPr>
            <w:r>
              <w:rPr>
                <w:lang w:val="fr-CA"/>
              </w:rPr>
              <w:t>GÉNÉRALE</w:t>
            </w:r>
          </w:p>
          <w:p w:rsidR="00732221" w:rsidRDefault="00732221">
            <w:pPr>
              <w:rPr>
                <w:lang w:val="fr-CA"/>
              </w:rPr>
            </w:pPr>
          </w:p>
          <w:p w:rsidR="00732221" w:rsidRDefault="00732221">
            <w:pPr>
              <w:rPr>
                <w:lang w:val="fr-FR"/>
              </w:rPr>
            </w:pPr>
            <w:r>
              <w:fldChar w:fldCharType="begin"/>
            </w:r>
            <w:r>
              <w:rPr>
                <w:lang w:val="fr-FR"/>
              </w:rPr>
              <w:instrText xml:space="preserve"> DOCPROPERTY "Document number"  \* MERGEFORMAT </w:instrText>
            </w:r>
            <w:r>
              <w:fldChar w:fldCharType="separate"/>
            </w:r>
            <w:r w:rsidR="00C3019D">
              <w:rPr>
                <w:lang w:val="fr-FR"/>
              </w:rPr>
              <w:t>UNEP/OzL.Pro/ExCom/84/49</w:t>
            </w:r>
            <w:r>
              <w:fldChar w:fldCharType="end"/>
            </w:r>
          </w:p>
          <w:p w:rsidR="00732221" w:rsidRDefault="00732221">
            <w:pPr>
              <w:rPr>
                <w:lang w:val="fr-FR"/>
              </w:rPr>
            </w:pPr>
            <w:r>
              <w:fldChar w:fldCharType="begin"/>
            </w:r>
            <w:r>
              <w:rPr>
                <w:lang w:val="fr-FR"/>
              </w:rPr>
              <w:instrText xml:space="preserve"> DOCPROPERTY "Revision date" \@ "d MMMM YYYY"  \* MERGEFORMAT </w:instrText>
            </w:r>
            <w:r>
              <w:fldChar w:fldCharType="separate"/>
            </w:r>
            <w:r>
              <w:rPr>
                <w:lang w:val="fr-FR"/>
              </w:rPr>
              <w:t>29 novembre 2019</w:t>
            </w:r>
            <w:r>
              <w:fldChar w:fldCharType="end"/>
            </w:r>
          </w:p>
          <w:p w:rsidR="00732221" w:rsidRDefault="00732221">
            <w:pPr>
              <w:rPr>
                <w:caps/>
                <w:lang w:val="fr-FR"/>
              </w:rPr>
            </w:pPr>
            <w:r>
              <w:rPr>
                <w:caps/>
                <w:lang w:val="fr-FR"/>
              </w:rPr>
              <w:br/>
              <w:t>FRANÇAIS</w:t>
            </w:r>
          </w:p>
          <w:p w:rsidR="00732221" w:rsidRDefault="00732221">
            <w:r>
              <w:t>ORIGINAL : ANGLAIS</w:t>
            </w:r>
          </w:p>
        </w:tc>
      </w:tr>
    </w:tbl>
    <w:p w:rsidR="00732221" w:rsidRDefault="00732221" w:rsidP="00732221">
      <w:pPr>
        <w:jc w:val="left"/>
        <w:rPr>
          <w:lang w:val="fr-CA"/>
        </w:rPr>
      </w:pPr>
    </w:p>
    <w:p w:rsidR="00732221" w:rsidRDefault="00732221" w:rsidP="00732221">
      <w:pPr>
        <w:jc w:val="left"/>
        <w:rPr>
          <w:lang w:val="fr-CA"/>
        </w:rPr>
      </w:pPr>
      <w:r>
        <w:rPr>
          <w:lang w:val="fr-CA"/>
        </w:rPr>
        <w:t xml:space="preserve">COMITE EXECUTIF </w:t>
      </w:r>
      <w:r>
        <w:rPr>
          <w:lang w:val="fr-CA"/>
        </w:rPr>
        <w:br/>
      </w:r>
      <w:r w:rsidR="00D77991">
        <w:rPr>
          <w:lang w:val="fr-CA"/>
        </w:rPr>
        <w:t xml:space="preserve"> </w:t>
      </w:r>
      <w:r>
        <w:rPr>
          <w:lang w:val="fr-CA"/>
        </w:rPr>
        <w:t>DU FO</w:t>
      </w:r>
      <w:bookmarkStart w:id="0" w:name="_GoBack"/>
      <w:bookmarkEnd w:id="0"/>
      <w:r>
        <w:rPr>
          <w:lang w:val="fr-CA"/>
        </w:rPr>
        <w:t xml:space="preserve">NDS MULTILATERAL AUX FINS </w:t>
      </w:r>
      <w:r>
        <w:rPr>
          <w:lang w:val="fr-CA"/>
        </w:rPr>
        <w:br/>
      </w:r>
      <w:r w:rsidR="00D77991">
        <w:rPr>
          <w:lang w:val="fr-CA"/>
        </w:rPr>
        <w:t xml:space="preserve"> </w:t>
      </w:r>
      <w:r>
        <w:rPr>
          <w:lang w:val="fr-CA"/>
        </w:rPr>
        <w:t>D</w:t>
      </w:r>
      <w:r w:rsidR="00D77991">
        <w:rPr>
          <w:lang w:val="fr-CA"/>
        </w:rPr>
        <w:t>’</w:t>
      </w:r>
      <w:r>
        <w:rPr>
          <w:lang w:val="fr-CA"/>
        </w:rPr>
        <w:t>APPLICATION DU PROTOCOLE DE MONTREAL</w:t>
      </w:r>
      <w:r>
        <w:rPr>
          <w:lang w:val="fr-CA"/>
        </w:rPr>
        <w:br/>
        <w:t>Quatre-vingt-quatrième réunion</w:t>
      </w:r>
    </w:p>
    <w:p w:rsidR="00732221" w:rsidRDefault="00732221" w:rsidP="00732221">
      <w:pPr>
        <w:jc w:val="left"/>
        <w:rPr>
          <w:lang w:val="fr-CA"/>
        </w:rPr>
      </w:pPr>
      <w:r>
        <w:rPr>
          <w:lang w:val="fr-CA"/>
        </w:rPr>
        <w:t>Montréal, 16 – 20 décembre 2019</w:t>
      </w:r>
    </w:p>
    <w:p w:rsidR="00D0546C" w:rsidRPr="00C3019D" w:rsidRDefault="00D0546C" w:rsidP="00D0546C">
      <w:pPr>
        <w:tabs>
          <w:tab w:val="left" w:pos="1410"/>
        </w:tabs>
        <w:rPr>
          <w:lang w:val="fr-FR"/>
        </w:rPr>
      </w:pPr>
    </w:p>
    <w:p w:rsidR="00255CDE" w:rsidRDefault="00255CDE" w:rsidP="0027602A">
      <w:pPr>
        <w:pBdr>
          <w:top w:val="single" w:sz="4" w:space="1" w:color="E9FFFF"/>
          <w:left w:val="single" w:sz="4" w:space="4" w:color="E9FFFF"/>
          <w:bottom w:val="single" w:sz="4" w:space="1" w:color="E9FFFF"/>
          <w:right w:val="single" w:sz="4" w:space="4" w:color="E9FFFF"/>
        </w:pBdr>
        <w:rPr>
          <w:lang w:val="fr-FR"/>
        </w:rPr>
      </w:pPr>
    </w:p>
    <w:p w:rsidR="0027602A" w:rsidRPr="00C3019D" w:rsidRDefault="0027602A" w:rsidP="0027602A">
      <w:pPr>
        <w:pBdr>
          <w:top w:val="single" w:sz="4" w:space="1" w:color="E9FFFF"/>
          <w:left w:val="single" w:sz="4" w:space="4" w:color="E9FFFF"/>
          <w:bottom w:val="single" w:sz="4" w:space="1" w:color="E9FFFF"/>
          <w:right w:val="single" w:sz="4" w:space="4" w:color="E9FFFF"/>
        </w:pBdr>
        <w:rPr>
          <w:lang w:val="fr-FR"/>
        </w:rPr>
      </w:pPr>
    </w:p>
    <w:p w:rsidR="00255CDE" w:rsidRPr="00C3019D" w:rsidRDefault="00012563" w:rsidP="00C23826">
      <w:pPr>
        <w:pBdr>
          <w:top w:val="single" w:sz="4" w:space="1" w:color="E9FFFF"/>
          <w:left w:val="single" w:sz="4" w:space="4" w:color="E9FFFF"/>
          <w:bottom w:val="single" w:sz="4" w:space="1" w:color="E9FFFF"/>
          <w:right w:val="single" w:sz="4" w:space="4" w:color="E9FFFF"/>
        </w:pBdr>
        <w:jc w:val="center"/>
        <w:rPr>
          <w:b/>
          <w:lang w:val="fr-FR"/>
        </w:rPr>
      </w:pPr>
      <w:r w:rsidRPr="00012563">
        <w:rPr>
          <w:b/>
          <w:lang w:val="fr-FR"/>
        </w:rPr>
        <w:t>PROPOSITIONS DE PROJET :</w:t>
      </w:r>
      <w:r w:rsidR="00255CDE" w:rsidRPr="00C3019D">
        <w:rPr>
          <w:b/>
          <w:lang w:val="fr-FR"/>
        </w:rPr>
        <w:t xml:space="preserve"> </w:t>
      </w:r>
      <w:r w:rsidRPr="00012563">
        <w:rPr>
          <w:b/>
          <w:lang w:val="fr-FR"/>
        </w:rPr>
        <w:t>ÉGYPTE</w:t>
      </w:r>
    </w:p>
    <w:p w:rsidR="00255CDE" w:rsidRPr="00C3019D" w:rsidRDefault="00255CDE" w:rsidP="00255CDE">
      <w:pPr>
        <w:rPr>
          <w:lang w:val="fr-FR"/>
        </w:rPr>
      </w:pPr>
    </w:p>
    <w:p w:rsidR="00255CDE" w:rsidRPr="00C3019D" w:rsidRDefault="00255CDE" w:rsidP="00255CDE">
      <w:pPr>
        <w:rPr>
          <w:lang w:val="fr-FR"/>
        </w:rPr>
      </w:pPr>
    </w:p>
    <w:p w:rsidR="00255CDE" w:rsidRPr="00C3019D" w:rsidRDefault="00012563" w:rsidP="00255CDE">
      <w:pPr>
        <w:ind w:firstLine="720"/>
        <w:rPr>
          <w:lang w:val="fr-FR"/>
        </w:rPr>
      </w:pPr>
      <w:r w:rsidRPr="00012563">
        <w:rPr>
          <w:lang w:val="fr-FR"/>
        </w:rPr>
        <w:t>Le présent document comporte les observations et les recommandations du Secrétariat du Fonds sur les propositions de projet suivantes :</w:t>
      </w:r>
      <w:r w:rsidR="00255CDE" w:rsidRPr="00C3019D">
        <w:rPr>
          <w:lang w:val="fr-FR"/>
        </w:rPr>
        <w:t xml:space="preserve"> </w:t>
      </w:r>
    </w:p>
    <w:p w:rsidR="00E22A4C" w:rsidRPr="00C3019D" w:rsidRDefault="00E22A4C" w:rsidP="00255CDE">
      <w:pPr>
        <w:rPr>
          <w:lang w:val="fr-FR"/>
        </w:rPr>
      </w:pPr>
    </w:p>
    <w:p w:rsidR="00255CDE" w:rsidRPr="00012563" w:rsidRDefault="00012563" w:rsidP="00255CDE">
      <w:pPr>
        <w:rPr>
          <w:u w:val="single"/>
          <w:lang w:val="en-CA"/>
        </w:rPr>
      </w:pPr>
      <w:r w:rsidRPr="00012563">
        <w:rPr>
          <w:u w:val="single"/>
          <w:lang w:val="fr-FR"/>
        </w:rPr>
        <w:t>Élimination</w:t>
      </w:r>
    </w:p>
    <w:p w:rsidR="00255CDE" w:rsidRPr="001F1E0E" w:rsidRDefault="00255CDE" w:rsidP="00255CD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2780"/>
      </w:tblGrid>
      <w:tr w:rsidR="00255CDE" w:rsidRPr="001F1E0E" w:rsidTr="00012563">
        <w:tc>
          <w:tcPr>
            <w:tcW w:w="6570" w:type="dxa"/>
          </w:tcPr>
          <w:p w:rsidR="00012563" w:rsidRPr="00C3019D" w:rsidRDefault="00012563" w:rsidP="00012563">
            <w:pPr>
              <w:pStyle w:val="ListParagraph"/>
              <w:numPr>
                <w:ilvl w:val="0"/>
                <w:numId w:val="21"/>
              </w:numPr>
              <w:ind w:hanging="830"/>
              <w:rPr>
                <w:lang w:val="fr-FR"/>
              </w:rPr>
            </w:pPr>
            <w:r w:rsidRPr="00012563">
              <w:rPr>
                <w:lang w:val="fr-FR"/>
              </w:rPr>
              <w:t>Plan de gestion de l</w:t>
            </w:r>
            <w:r w:rsidR="00D77991">
              <w:rPr>
                <w:lang w:val="fr-FR"/>
              </w:rPr>
              <w:t>’</w:t>
            </w:r>
            <w:r w:rsidRPr="00012563">
              <w:rPr>
                <w:lang w:val="fr-FR"/>
              </w:rPr>
              <w:t>élimination des HCFC (phase I, rapport périodique final)</w:t>
            </w:r>
          </w:p>
          <w:p w:rsidR="00AD779C" w:rsidRPr="00C3019D" w:rsidRDefault="00AD779C" w:rsidP="00AD779C">
            <w:pPr>
              <w:rPr>
                <w:lang w:val="fr-FR"/>
              </w:rPr>
            </w:pPr>
          </w:p>
          <w:p w:rsidR="00AD779C" w:rsidRPr="00C3019D" w:rsidRDefault="00AD779C" w:rsidP="00AD779C">
            <w:pPr>
              <w:rPr>
                <w:lang w:val="fr-FR"/>
              </w:rPr>
            </w:pPr>
          </w:p>
          <w:p w:rsidR="00AD779C" w:rsidRPr="00C3019D" w:rsidRDefault="00AD779C" w:rsidP="003055AE">
            <w:pPr>
              <w:ind w:left="720"/>
              <w:rPr>
                <w:lang w:val="fr-FR"/>
              </w:rPr>
            </w:pPr>
          </w:p>
        </w:tc>
        <w:tc>
          <w:tcPr>
            <w:tcW w:w="2780" w:type="dxa"/>
          </w:tcPr>
          <w:p w:rsidR="00255CDE" w:rsidRPr="00012563" w:rsidRDefault="00012563" w:rsidP="00255CDE">
            <w:pPr>
              <w:jc w:val="right"/>
              <w:rPr>
                <w:lang w:val="en-CA"/>
              </w:rPr>
            </w:pPr>
            <w:r w:rsidRPr="00012563">
              <w:rPr>
                <w:lang w:val="fr-FR"/>
              </w:rPr>
              <w:t>ONUDI et PNUD</w:t>
            </w:r>
          </w:p>
          <w:p w:rsidR="00AD779C" w:rsidRPr="001F1E0E" w:rsidRDefault="00AD779C" w:rsidP="00255CDE">
            <w:pPr>
              <w:jc w:val="right"/>
              <w:rPr>
                <w:lang w:val="en-CA"/>
              </w:rPr>
            </w:pPr>
          </w:p>
          <w:p w:rsidR="00AD779C" w:rsidRPr="001F1E0E" w:rsidRDefault="00AD779C" w:rsidP="00255CDE">
            <w:pPr>
              <w:jc w:val="right"/>
              <w:rPr>
                <w:lang w:val="en-CA"/>
              </w:rPr>
            </w:pPr>
          </w:p>
        </w:tc>
      </w:tr>
      <w:tr w:rsidR="00AD779C" w:rsidRPr="002E1672" w:rsidTr="00012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tcBorders>
              <w:top w:val="nil"/>
              <w:left w:val="nil"/>
              <w:bottom w:val="nil"/>
              <w:right w:val="nil"/>
            </w:tcBorders>
          </w:tcPr>
          <w:p w:rsidR="00012563" w:rsidRPr="00C3019D" w:rsidRDefault="00012563" w:rsidP="00012563">
            <w:pPr>
              <w:pStyle w:val="ListParagraph"/>
              <w:numPr>
                <w:ilvl w:val="0"/>
                <w:numId w:val="21"/>
              </w:numPr>
              <w:ind w:hanging="830"/>
              <w:rPr>
                <w:lang w:val="fr-FR"/>
              </w:rPr>
            </w:pPr>
            <w:r w:rsidRPr="00012563">
              <w:rPr>
                <w:lang w:val="fr-FR"/>
              </w:rPr>
              <w:t>Plan de gestion de l</w:t>
            </w:r>
            <w:r w:rsidR="00D77991">
              <w:rPr>
                <w:lang w:val="fr-FR"/>
              </w:rPr>
              <w:t>’</w:t>
            </w:r>
            <w:r w:rsidRPr="00012563">
              <w:rPr>
                <w:lang w:val="fr-FR"/>
              </w:rPr>
              <w:t>élimination des HCFC (phase II, deuxième tranche)</w:t>
            </w:r>
          </w:p>
          <w:p w:rsidR="00AD779C" w:rsidRPr="00C3019D" w:rsidRDefault="00AD779C" w:rsidP="00AD779C">
            <w:pPr>
              <w:rPr>
                <w:lang w:val="fr-FR"/>
              </w:rPr>
            </w:pPr>
          </w:p>
          <w:p w:rsidR="00AD779C" w:rsidRPr="00C3019D" w:rsidRDefault="00AD779C" w:rsidP="00AD779C">
            <w:pPr>
              <w:rPr>
                <w:lang w:val="fr-FR"/>
              </w:rPr>
            </w:pPr>
          </w:p>
          <w:p w:rsidR="00AD779C" w:rsidRPr="00C3019D" w:rsidRDefault="00AD779C" w:rsidP="00AD779C">
            <w:pPr>
              <w:ind w:left="720"/>
              <w:rPr>
                <w:lang w:val="fr-FR"/>
              </w:rPr>
            </w:pPr>
          </w:p>
        </w:tc>
        <w:tc>
          <w:tcPr>
            <w:tcW w:w="2780" w:type="dxa"/>
            <w:tcBorders>
              <w:top w:val="nil"/>
              <w:left w:val="nil"/>
              <w:bottom w:val="nil"/>
              <w:right w:val="nil"/>
            </w:tcBorders>
          </w:tcPr>
          <w:p w:rsidR="00AD779C" w:rsidRPr="00C3019D" w:rsidRDefault="00012563" w:rsidP="00AD779C">
            <w:pPr>
              <w:jc w:val="right"/>
              <w:rPr>
                <w:lang w:val="fr-FR"/>
              </w:rPr>
            </w:pPr>
            <w:r w:rsidRPr="00012563">
              <w:rPr>
                <w:lang w:val="fr-FR"/>
              </w:rPr>
              <w:t xml:space="preserve"> ONUDI, PNUD, PNUE et le gouvernement de l</w:t>
            </w:r>
            <w:r w:rsidR="00D77991">
              <w:rPr>
                <w:lang w:val="fr-FR"/>
              </w:rPr>
              <w:t>’</w:t>
            </w:r>
            <w:r w:rsidRPr="00012563">
              <w:rPr>
                <w:lang w:val="fr-FR"/>
              </w:rPr>
              <w:t>Allemagne</w:t>
            </w:r>
          </w:p>
          <w:p w:rsidR="00AD779C" w:rsidRPr="00C3019D" w:rsidRDefault="00AD779C" w:rsidP="00AD779C">
            <w:pPr>
              <w:jc w:val="right"/>
              <w:rPr>
                <w:lang w:val="fr-FR"/>
              </w:rPr>
            </w:pPr>
          </w:p>
        </w:tc>
      </w:tr>
    </w:tbl>
    <w:p w:rsidR="00255CDE" w:rsidRPr="00C3019D" w:rsidRDefault="00255CDE" w:rsidP="00255CDE">
      <w:pPr>
        <w:rPr>
          <w:lang w:val="fr-FR"/>
        </w:rPr>
      </w:pPr>
    </w:p>
    <w:p w:rsidR="00255CDE" w:rsidRPr="00C3019D" w:rsidRDefault="00255CDE" w:rsidP="00255CDE">
      <w:pPr>
        <w:rPr>
          <w:lang w:val="fr-FR"/>
        </w:rPr>
      </w:pPr>
    </w:p>
    <w:p w:rsidR="00255CDE" w:rsidRPr="00C3019D" w:rsidRDefault="00255CDE" w:rsidP="00255CDE">
      <w:pPr>
        <w:rPr>
          <w:lang w:val="fr-FR"/>
        </w:rPr>
      </w:pPr>
      <w:r w:rsidRPr="00C3019D">
        <w:rPr>
          <w:lang w:val="fr-FR"/>
        </w:rPr>
        <w:br w:type="page"/>
      </w:r>
    </w:p>
    <w:p w:rsidR="00E51975" w:rsidRPr="00C3019D" w:rsidRDefault="00012563" w:rsidP="00E51975">
      <w:pPr>
        <w:rPr>
          <w:lang w:val="fr-FR"/>
        </w:rPr>
      </w:pPr>
      <w:r w:rsidRPr="00012563">
        <w:rPr>
          <w:u w:val="single"/>
          <w:lang w:val="fr-FR"/>
        </w:rPr>
        <w:lastRenderedPageBreak/>
        <w:t>Phase I du plan de gestion de l</w:t>
      </w:r>
      <w:r w:rsidR="00D77991">
        <w:rPr>
          <w:u w:val="single"/>
          <w:lang w:val="fr-FR"/>
        </w:rPr>
        <w:t>’</w:t>
      </w:r>
      <w:r w:rsidRPr="00012563">
        <w:rPr>
          <w:u w:val="single"/>
          <w:lang w:val="fr-FR"/>
        </w:rPr>
        <w:t>élimination des HCFC pour l</w:t>
      </w:r>
      <w:r w:rsidR="00D77991">
        <w:rPr>
          <w:u w:val="single"/>
          <w:lang w:val="fr-FR"/>
        </w:rPr>
        <w:t>’</w:t>
      </w:r>
      <w:r w:rsidRPr="00012563">
        <w:rPr>
          <w:u w:val="single"/>
          <w:lang w:val="fr-FR"/>
        </w:rPr>
        <w:t>Égypte</w:t>
      </w:r>
      <w:r w:rsidRPr="00012563">
        <w:rPr>
          <w:lang w:val="fr-FR"/>
        </w:rPr>
        <w:t xml:space="preserve"> (rapport périodique final) (ONUDI et PNUD)</w:t>
      </w:r>
    </w:p>
    <w:p w:rsidR="00E51975" w:rsidRPr="00C3019D" w:rsidRDefault="00E51975" w:rsidP="00E51975">
      <w:pPr>
        <w:rPr>
          <w:lang w:val="fr-FR"/>
        </w:rPr>
      </w:pPr>
    </w:p>
    <w:p w:rsidR="00E51975" w:rsidRPr="00012563" w:rsidRDefault="00012563" w:rsidP="00E51975">
      <w:pPr>
        <w:keepNext/>
        <w:keepLines/>
        <w:rPr>
          <w:b/>
          <w:lang w:val="en-CA"/>
        </w:rPr>
      </w:pPr>
      <w:r w:rsidRPr="00012563">
        <w:rPr>
          <w:b/>
          <w:lang w:val="fr-FR"/>
        </w:rPr>
        <w:t>Contexte</w:t>
      </w:r>
    </w:p>
    <w:p w:rsidR="00E51975" w:rsidRPr="001F1E0E" w:rsidRDefault="00E51975" w:rsidP="00E51975">
      <w:pPr>
        <w:keepNext/>
        <w:keepLines/>
        <w:rPr>
          <w:lang w:val="en-CA"/>
        </w:rPr>
      </w:pPr>
    </w:p>
    <w:p w:rsidR="00012563" w:rsidRPr="00C3019D" w:rsidRDefault="00012563" w:rsidP="00012563">
      <w:pPr>
        <w:pStyle w:val="Heading1"/>
        <w:rPr>
          <w:lang w:val="fr-FR"/>
        </w:rPr>
      </w:pPr>
      <w:r w:rsidRPr="00012563">
        <w:rPr>
          <w:lang w:val="fr-FR"/>
        </w:rPr>
        <w:t>Au nom du gouvernement de l</w:t>
      </w:r>
      <w:r w:rsidR="00D77991">
        <w:rPr>
          <w:lang w:val="fr-FR"/>
        </w:rPr>
        <w:t>’</w:t>
      </w:r>
      <w:r w:rsidRPr="00012563">
        <w:rPr>
          <w:lang w:val="fr-FR"/>
        </w:rPr>
        <w:t>Égypte, l</w:t>
      </w:r>
      <w:r w:rsidR="00D77991">
        <w:rPr>
          <w:lang w:val="fr-FR"/>
        </w:rPr>
        <w:t>’</w:t>
      </w:r>
      <w:r w:rsidRPr="00012563">
        <w:rPr>
          <w:lang w:val="fr-FR"/>
        </w:rPr>
        <w:t>ONUDI, en qualité d</w:t>
      </w:r>
      <w:r w:rsidR="00D77991">
        <w:rPr>
          <w:lang w:val="fr-FR"/>
        </w:rPr>
        <w:t>’</w:t>
      </w:r>
      <w:r w:rsidRPr="00012563">
        <w:rPr>
          <w:lang w:val="fr-FR"/>
        </w:rPr>
        <w:t>agence d</w:t>
      </w:r>
      <w:r w:rsidR="00D77991">
        <w:rPr>
          <w:lang w:val="fr-FR"/>
        </w:rPr>
        <w:t>’</w:t>
      </w:r>
      <w:r w:rsidRPr="00012563">
        <w:rPr>
          <w:lang w:val="fr-FR"/>
        </w:rPr>
        <w:t xml:space="preserve">exécution principale a présenté ce qui </w:t>
      </w:r>
      <w:r w:rsidR="00732221" w:rsidRPr="00012563">
        <w:rPr>
          <w:lang w:val="fr-FR"/>
        </w:rPr>
        <w:t>suit :</w:t>
      </w:r>
    </w:p>
    <w:p w:rsidR="00012563" w:rsidRPr="00C3019D" w:rsidRDefault="00012563" w:rsidP="00012563">
      <w:pPr>
        <w:pStyle w:val="Heading2"/>
        <w:rPr>
          <w:lang w:val="fr-FR"/>
        </w:rPr>
      </w:pPr>
      <w:r w:rsidRPr="00012563">
        <w:rPr>
          <w:lang w:val="fr-FR"/>
        </w:rPr>
        <w:t>Le rapport périodique de la mise en œuvre de la troisième tranche de la phase I du plan de gestion de l</w:t>
      </w:r>
      <w:r w:rsidR="00D77991">
        <w:rPr>
          <w:lang w:val="fr-FR"/>
        </w:rPr>
        <w:t>’</w:t>
      </w:r>
      <w:r w:rsidRPr="00012563">
        <w:rPr>
          <w:lang w:val="fr-FR"/>
        </w:rPr>
        <w:t>élimination des HCFC (PGEH) pour l</w:t>
      </w:r>
      <w:r w:rsidR="00D77991">
        <w:rPr>
          <w:lang w:val="fr-FR"/>
        </w:rPr>
        <w:t>’</w:t>
      </w:r>
      <w:r w:rsidRPr="00012563">
        <w:rPr>
          <w:lang w:val="fr-FR"/>
        </w:rPr>
        <w:t>Égypte ;</w:t>
      </w:r>
    </w:p>
    <w:p w:rsidR="00012563" w:rsidRPr="00C3019D" w:rsidRDefault="00012563" w:rsidP="002906BC">
      <w:pPr>
        <w:pStyle w:val="Heading2"/>
        <w:rPr>
          <w:lang w:val="fr-FR"/>
        </w:rPr>
      </w:pPr>
      <w:r w:rsidRPr="00012563">
        <w:rPr>
          <w:lang w:val="fr-FR"/>
        </w:rPr>
        <w:t>Un rapport sur l</w:t>
      </w:r>
      <w:r w:rsidR="00D77991">
        <w:rPr>
          <w:lang w:val="fr-FR"/>
        </w:rPr>
        <w:t>’</w:t>
      </w:r>
      <w:r w:rsidRPr="00012563">
        <w:rPr>
          <w:lang w:val="fr-FR"/>
        </w:rPr>
        <w:t xml:space="preserve">état de la reconversion des sociétés de formulation, </w:t>
      </w:r>
      <w:r w:rsidR="002906BC">
        <w:rPr>
          <w:lang w:val="fr-FR"/>
        </w:rPr>
        <w:t>d</w:t>
      </w:r>
      <w:r w:rsidRPr="00012563">
        <w:rPr>
          <w:lang w:val="fr-FR"/>
        </w:rPr>
        <w:t xml:space="preserve">es 81 petites et moyennes entreprises (PME) et </w:t>
      </w:r>
      <w:r w:rsidR="002906BC">
        <w:rPr>
          <w:lang w:val="fr-FR"/>
        </w:rPr>
        <w:t>d</w:t>
      </w:r>
      <w:r w:rsidRPr="00012563">
        <w:rPr>
          <w:lang w:val="fr-FR"/>
        </w:rPr>
        <w:t>es 350 très petits utilisateurs</w:t>
      </w:r>
      <w:r w:rsidR="002906BC">
        <w:rPr>
          <w:lang w:val="fr-FR"/>
        </w:rPr>
        <w:t>,</w:t>
      </w:r>
      <w:r w:rsidRPr="00012563">
        <w:rPr>
          <w:lang w:val="fr-FR"/>
        </w:rPr>
        <w:t xml:space="preserve"> et </w:t>
      </w:r>
      <w:r w:rsidR="0069543E">
        <w:rPr>
          <w:lang w:val="fr-FR"/>
        </w:rPr>
        <w:t>le</w:t>
      </w:r>
      <w:r w:rsidRPr="00012563">
        <w:rPr>
          <w:lang w:val="fr-FR"/>
        </w:rPr>
        <w:t xml:space="preserve"> rapport sur l</w:t>
      </w:r>
      <w:r w:rsidR="00D77991">
        <w:rPr>
          <w:lang w:val="fr-FR"/>
        </w:rPr>
        <w:t>’</w:t>
      </w:r>
      <w:r w:rsidRPr="00012563">
        <w:rPr>
          <w:lang w:val="fr-FR"/>
        </w:rPr>
        <w:t>état de l</w:t>
      </w:r>
      <w:r w:rsidR="00D77991">
        <w:rPr>
          <w:lang w:val="fr-FR"/>
        </w:rPr>
        <w:t>’</w:t>
      </w:r>
      <w:r w:rsidRPr="00012563">
        <w:rPr>
          <w:lang w:val="fr-FR"/>
        </w:rPr>
        <w:t xml:space="preserve">utilisation de la technologie provisoire (décision 82/72(b)(i) et (iv)) ; et </w:t>
      </w:r>
    </w:p>
    <w:p w:rsidR="00012563" w:rsidRPr="00C3019D" w:rsidRDefault="00012563" w:rsidP="00012563">
      <w:pPr>
        <w:pStyle w:val="Heading2"/>
        <w:rPr>
          <w:lang w:val="fr-FR"/>
        </w:rPr>
      </w:pPr>
      <w:r w:rsidRPr="00012563">
        <w:rPr>
          <w:lang w:val="fr-FR"/>
        </w:rPr>
        <w:t>Le rapport sur le projet de promotion des frigorigènes à faible potentiel de réchauffement de la planète (PRP) concernant l</w:t>
      </w:r>
      <w:r w:rsidR="00D77991">
        <w:rPr>
          <w:lang w:val="fr-FR"/>
        </w:rPr>
        <w:t>’</w:t>
      </w:r>
      <w:r w:rsidRPr="00012563">
        <w:rPr>
          <w:lang w:val="fr-FR"/>
        </w:rPr>
        <w:t>industrie de la climatisation en Égypte</w:t>
      </w:r>
      <w:r w:rsidR="00D77991">
        <w:rPr>
          <w:lang w:val="fr-FR"/>
        </w:rPr>
        <w:t xml:space="preserve"> </w:t>
      </w:r>
      <w:r w:rsidRPr="00012563">
        <w:rPr>
          <w:lang w:val="fr-FR"/>
        </w:rPr>
        <w:t>(EGYPRA).</w:t>
      </w:r>
      <w:r w:rsidRPr="00C3019D">
        <w:rPr>
          <w:lang w:val="fr-FR"/>
        </w:rPr>
        <w:t xml:space="preserve"> </w:t>
      </w:r>
    </w:p>
    <w:p w:rsidR="00E51975" w:rsidRPr="00C3019D" w:rsidRDefault="00012563" w:rsidP="00E51975">
      <w:pPr>
        <w:keepNext/>
        <w:keepLines/>
        <w:rPr>
          <w:b/>
          <w:lang w:val="fr-FR"/>
        </w:rPr>
      </w:pPr>
      <w:r w:rsidRPr="00012563">
        <w:rPr>
          <w:b/>
          <w:lang w:val="fr-FR"/>
        </w:rPr>
        <w:t>Contexte de la phase I du PGEH</w:t>
      </w:r>
    </w:p>
    <w:p w:rsidR="00E51975" w:rsidRPr="00C3019D" w:rsidRDefault="00E51975" w:rsidP="00E51975">
      <w:pPr>
        <w:keepNext/>
        <w:keepLines/>
        <w:rPr>
          <w:b/>
          <w:lang w:val="fr-FR"/>
        </w:rPr>
      </w:pPr>
    </w:p>
    <w:p w:rsidR="00E51975" w:rsidRPr="00012563" w:rsidRDefault="00012563" w:rsidP="00E51975">
      <w:pPr>
        <w:keepNext/>
        <w:keepLines/>
        <w:rPr>
          <w:i/>
          <w:lang w:val="en-CA"/>
        </w:rPr>
      </w:pPr>
      <w:r w:rsidRPr="00012563">
        <w:rPr>
          <w:i/>
          <w:lang w:val="fr-FR"/>
        </w:rPr>
        <w:t>Secteur de la</w:t>
      </w:r>
      <w:r w:rsidR="00D77991">
        <w:rPr>
          <w:i/>
          <w:lang w:val="fr-FR"/>
        </w:rPr>
        <w:t xml:space="preserve"> </w:t>
      </w:r>
      <w:r w:rsidRPr="00012563">
        <w:rPr>
          <w:i/>
          <w:lang w:val="fr-FR"/>
        </w:rPr>
        <w:t>fabrication</w:t>
      </w:r>
    </w:p>
    <w:p w:rsidR="00E51975" w:rsidRPr="001F1E0E" w:rsidRDefault="00E51975" w:rsidP="00E51975">
      <w:pPr>
        <w:keepNext/>
        <w:keepLines/>
        <w:rPr>
          <w:lang w:val="en-CA"/>
        </w:rPr>
      </w:pPr>
    </w:p>
    <w:p w:rsidR="00E51975" w:rsidRPr="0027602A" w:rsidRDefault="00012563" w:rsidP="0027602A">
      <w:pPr>
        <w:pStyle w:val="Heading1"/>
        <w:keepNext/>
        <w:keepLines/>
        <w:rPr>
          <w:lang w:val="fr-FR"/>
        </w:rPr>
      </w:pPr>
      <w:r w:rsidRPr="00012563">
        <w:rPr>
          <w:lang w:val="fr-FR"/>
        </w:rPr>
        <w:t>Les neuf entreprises de fabrication de mousse</w:t>
      </w:r>
      <w:r>
        <w:rPr>
          <w:lang w:val="fr-FR"/>
        </w:rPr>
        <w:t>s de</w:t>
      </w:r>
      <w:r w:rsidRPr="00012563">
        <w:rPr>
          <w:lang w:val="fr-FR"/>
        </w:rPr>
        <w:t xml:space="preserve"> polyuréthane incluses dans la phase I</w:t>
      </w:r>
      <w:r w:rsidRPr="00012563">
        <w:rPr>
          <w:rStyle w:val="FootnoteReference"/>
          <w:lang w:val="fr-FR"/>
        </w:rPr>
        <w:footnoteReference w:id="1"/>
      </w:r>
      <w:r w:rsidRPr="00012563">
        <w:rPr>
          <w:lang w:val="fr-FR"/>
        </w:rPr>
        <w:t xml:space="preserve"> ont achevé leur reconversion comp</w:t>
      </w:r>
      <w:r w:rsidR="0069543E">
        <w:rPr>
          <w:lang w:val="fr-FR"/>
        </w:rPr>
        <w:t>l</w:t>
      </w:r>
      <w:r w:rsidRPr="00012563">
        <w:rPr>
          <w:lang w:val="fr-FR"/>
        </w:rPr>
        <w:t xml:space="preserve">ète </w:t>
      </w:r>
      <w:r w:rsidR="0069543E">
        <w:rPr>
          <w:lang w:val="fr-FR"/>
        </w:rPr>
        <w:t>qui s</w:t>
      </w:r>
      <w:r w:rsidR="00D77991">
        <w:rPr>
          <w:lang w:val="fr-FR"/>
        </w:rPr>
        <w:t>’</w:t>
      </w:r>
      <w:r w:rsidR="0069543E">
        <w:rPr>
          <w:lang w:val="fr-FR"/>
        </w:rPr>
        <w:t xml:space="preserve">est </w:t>
      </w:r>
      <w:r w:rsidRPr="00012563">
        <w:rPr>
          <w:lang w:val="fr-FR"/>
        </w:rPr>
        <w:t>accompagnée d</w:t>
      </w:r>
      <w:r w:rsidR="00D77991">
        <w:rPr>
          <w:lang w:val="fr-FR"/>
        </w:rPr>
        <w:t>’</w:t>
      </w:r>
      <w:r w:rsidRPr="00012563">
        <w:rPr>
          <w:lang w:val="fr-FR"/>
        </w:rPr>
        <w:t>une élimination totale de 92,1 tonnes PAO de</w:t>
      </w:r>
      <w:r w:rsidR="00D77991">
        <w:rPr>
          <w:lang w:val="fr-FR"/>
        </w:rPr>
        <w:t xml:space="preserve"> </w:t>
      </w:r>
      <w:r w:rsidRPr="00012563">
        <w:rPr>
          <w:lang w:val="fr-FR"/>
        </w:rPr>
        <w:t>HCFC</w:t>
      </w:r>
      <w:r w:rsidRPr="00012563">
        <w:rPr>
          <w:lang w:val="fr-FR"/>
        </w:rPr>
        <w:noBreakHyphen/>
        <w:t>141b.</w:t>
      </w:r>
      <w:r w:rsidRPr="00C3019D">
        <w:rPr>
          <w:lang w:val="fr-FR"/>
        </w:rPr>
        <w:t xml:space="preserve"> </w:t>
      </w:r>
      <w:r w:rsidRPr="00012563">
        <w:rPr>
          <w:lang w:val="fr-FR"/>
        </w:rPr>
        <w:t>La phase I du PGEH incluait également un projet de reconversion de 81 PME et</w:t>
      </w:r>
      <w:r w:rsidR="00D77991">
        <w:rPr>
          <w:lang w:val="fr-FR"/>
        </w:rPr>
        <w:t xml:space="preserve"> </w:t>
      </w:r>
      <w:r w:rsidR="0069543E">
        <w:rPr>
          <w:lang w:val="fr-FR"/>
        </w:rPr>
        <w:t xml:space="preserve">de </w:t>
      </w:r>
      <w:r w:rsidRPr="00012563">
        <w:rPr>
          <w:lang w:val="fr-FR"/>
        </w:rPr>
        <w:t>350 très petits utilisateurs à l</w:t>
      </w:r>
      <w:r w:rsidR="00D77991">
        <w:rPr>
          <w:lang w:val="fr-FR"/>
        </w:rPr>
        <w:t>’</w:t>
      </w:r>
      <w:r w:rsidRPr="00012563">
        <w:rPr>
          <w:lang w:val="fr-FR"/>
        </w:rPr>
        <w:t>utilisation du formiate de méthyle ou d</w:t>
      </w:r>
      <w:r w:rsidR="00D77991">
        <w:rPr>
          <w:lang w:val="fr-FR"/>
        </w:rPr>
        <w:t>’</w:t>
      </w:r>
      <w:r w:rsidRPr="00012563">
        <w:rPr>
          <w:lang w:val="fr-FR"/>
        </w:rPr>
        <w:t xml:space="preserve">une autre technologie à faible PRP (à choisir au cours de la mise en œuvre), avec le soutien de leurs sociétés de formulation et </w:t>
      </w:r>
      <w:r w:rsidR="0069543E">
        <w:rPr>
          <w:lang w:val="fr-FR"/>
        </w:rPr>
        <w:t xml:space="preserve">de </w:t>
      </w:r>
      <w:r w:rsidRPr="00012563">
        <w:rPr>
          <w:lang w:val="fr-FR"/>
        </w:rPr>
        <w:t>leurs distributeurs, afin d</w:t>
      </w:r>
      <w:r w:rsidR="00D77991">
        <w:rPr>
          <w:lang w:val="fr-FR"/>
        </w:rPr>
        <w:t>’</w:t>
      </w:r>
      <w:r w:rsidRPr="00012563">
        <w:rPr>
          <w:lang w:val="fr-FR"/>
        </w:rPr>
        <w:t>éliminer 75,74 tonnes PAO de</w:t>
      </w:r>
      <w:r w:rsidR="00D77991">
        <w:rPr>
          <w:lang w:val="fr-FR"/>
        </w:rPr>
        <w:t xml:space="preserve"> </w:t>
      </w:r>
      <w:r w:rsidRPr="00012563">
        <w:rPr>
          <w:lang w:val="fr-FR"/>
        </w:rPr>
        <w:t>HCFC</w:t>
      </w:r>
      <w:r w:rsidRPr="00012563">
        <w:rPr>
          <w:lang w:val="fr-FR"/>
        </w:rPr>
        <w:noBreakHyphen/>
        <w:t>141b.</w:t>
      </w:r>
      <w:r w:rsidRPr="00C3019D">
        <w:rPr>
          <w:lang w:val="fr-FR"/>
        </w:rPr>
        <w:t xml:space="preserve"> </w:t>
      </w:r>
      <w:r w:rsidR="00FE210D" w:rsidRPr="00FE210D">
        <w:rPr>
          <w:lang w:val="fr-FR"/>
        </w:rPr>
        <w:t>Le financement a été approuvé pour la reconversion des équipements dans deux sociétés de formulation au capital relevant de l</w:t>
      </w:r>
      <w:r w:rsidR="00D77991">
        <w:rPr>
          <w:lang w:val="fr-FR"/>
        </w:rPr>
        <w:t>’</w:t>
      </w:r>
      <w:r w:rsidR="00FE210D" w:rsidRPr="00FE210D">
        <w:rPr>
          <w:lang w:val="fr-FR"/>
        </w:rPr>
        <w:t>article 5 et incluait l</w:t>
      </w:r>
      <w:r w:rsidR="00D77991">
        <w:rPr>
          <w:lang w:val="fr-FR"/>
        </w:rPr>
        <w:t>’</w:t>
      </w:r>
      <w:r w:rsidR="00FE210D" w:rsidRPr="00FE210D">
        <w:rPr>
          <w:lang w:val="fr-FR"/>
        </w:rPr>
        <w:t>assistance technique pour toutes les sociétés de formulation et les distributeurs, et pour la reconversion des PME.</w:t>
      </w:r>
    </w:p>
    <w:p w:rsidR="00E73384" w:rsidRPr="00C3019D" w:rsidRDefault="00E73384" w:rsidP="00E73384">
      <w:pPr>
        <w:pStyle w:val="Heading1"/>
        <w:tabs>
          <w:tab w:val="num" w:pos="710"/>
        </w:tabs>
        <w:rPr>
          <w:lang w:val="fr-FR"/>
        </w:rPr>
      </w:pPr>
      <w:r w:rsidRPr="00E73384">
        <w:rPr>
          <w:lang w:val="fr-FR"/>
        </w:rPr>
        <w:t>À la 82</w:t>
      </w:r>
      <w:r w:rsidRPr="00E73384">
        <w:rPr>
          <w:vertAlign w:val="superscript"/>
          <w:lang w:val="fr-FR"/>
        </w:rPr>
        <w:t>e</w:t>
      </w:r>
      <w:r w:rsidRPr="00E73384">
        <w:rPr>
          <w:lang w:val="fr-FR"/>
        </w:rPr>
        <w:t xml:space="preserve"> réunion, il a été indiqué qu</w:t>
      </w:r>
      <w:r w:rsidR="00D77991">
        <w:rPr>
          <w:lang w:val="fr-FR"/>
        </w:rPr>
        <w:t>’</w:t>
      </w:r>
      <w:r w:rsidRPr="00E73384">
        <w:rPr>
          <w:lang w:val="fr-FR"/>
        </w:rPr>
        <w:t>une société de formulation locale (Technocom) et une société au capital ne relevant pas de l</w:t>
      </w:r>
      <w:r w:rsidR="00D77991">
        <w:rPr>
          <w:lang w:val="fr-FR"/>
        </w:rPr>
        <w:t>’</w:t>
      </w:r>
      <w:r w:rsidRPr="00E73384">
        <w:rPr>
          <w:lang w:val="fr-FR"/>
        </w:rPr>
        <w:t>article 5 (Dow) avaient été reconverties.</w:t>
      </w:r>
      <w:r w:rsidRPr="00C3019D">
        <w:rPr>
          <w:lang w:val="fr-FR"/>
        </w:rPr>
        <w:t xml:space="preserve"> </w:t>
      </w:r>
      <w:r w:rsidRPr="00E73384">
        <w:rPr>
          <w:lang w:val="fr-FR"/>
        </w:rPr>
        <w:t>Aucun financement n</w:t>
      </w:r>
      <w:r w:rsidR="00D77991">
        <w:rPr>
          <w:lang w:val="fr-FR"/>
        </w:rPr>
        <w:t>’</w:t>
      </w:r>
      <w:r w:rsidRPr="00E73384">
        <w:rPr>
          <w:lang w:val="fr-FR"/>
        </w:rPr>
        <w:t xml:space="preserve">a été alloué à Dow par le Fonds Multilatéral pour la reconversion des équipements ; toutefois une assistance technique </w:t>
      </w:r>
      <w:r w:rsidR="00C75DB1" w:rsidRPr="00E73384">
        <w:rPr>
          <w:lang w:val="fr-FR"/>
        </w:rPr>
        <w:t>a été financé</w:t>
      </w:r>
      <w:r w:rsidR="00C75DB1">
        <w:rPr>
          <w:lang w:val="fr-FR"/>
        </w:rPr>
        <w:t xml:space="preserve">e soutenant </w:t>
      </w:r>
      <w:r w:rsidRPr="00E73384">
        <w:rPr>
          <w:lang w:val="fr-FR"/>
        </w:rPr>
        <w:t>l</w:t>
      </w:r>
      <w:r w:rsidR="00D77991">
        <w:rPr>
          <w:lang w:val="fr-FR"/>
        </w:rPr>
        <w:t>’</w:t>
      </w:r>
      <w:r w:rsidRPr="00E73384">
        <w:rPr>
          <w:lang w:val="fr-FR"/>
        </w:rPr>
        <w:t>introduction d</w:t>
      </w:r>
      <w:r w:rsidR="00D77991">
        <w:rPr>
          <w:lang w:val="fr-FR"/>
        </w:rPr>
        <w:t>’</w:t>
      </w:r>
      <w:r w:rsidRPr="00E73384">
        <w:rPr>
          <w:lang w:val="fr-FR"/>
        </w:rPr>
        <w:t>agents de remplacement pour le gonflage des mousses</w:t>
      </w:r>
      <w:r w:rsidR="00C75DB1">
        <w:rPr>
          <w:lang w:val="fr-FR"/>
        </w:rPr>
        <w:t xml:space="preserve"> chez les utilisateurs en aval</w:t>
      </w:r>
      <w:r w:rsidRPr="00E73384">
        <w:rPr>
          <w:lang w:val="fr-FR"/>
        </w:rPr>
        <w:t>.</w:t>
      </w:r>
      <w:r w:rsidRPr="00C3019D">
        <w:rPr>
          <w:lang w:val="fr-FR"/>
        </w:rPr>
        <w:t xml:space="preserve"> </w:t>
      </w:r>
      <w:r w:rsidRPr="00E73384">
        <w:rPr>
          <w:lang w:val="fr-FR"/>
        </w:rPr>
        <w:t>Une société de formulation s</w:t>
      </w:r>
      <w:r w:rsidR="00D77991">
        <w:rPr>
          <w:lang w:val="fr-FR"/>
        </w:rPr>
        <w:t>’</w:t>
      </w:r>
      <w:r w:rsidRPr="00E73384">
        <w:rPr>
          <w:lang w:val="fr-FR"/>
        </w:rPr>
        <w:t>est retirée du projet (Obeigi) et un mémorandum d</w:t>
      </w:r>
      <w:r w:rsidR="00D77991">
        <w:rPr>
          <w:lang w:val="fr-FR"/>
        </w:rPr>
        <w:t>’</w:t>
      </w:r>
      <w:r w:rsidR="003A3AC1">
        <w:rPr>
          <w:lang w:val="fr-FR"/>
        </w:rPr>
        <w:t>entente</w:t>
      </w:r>
      <w:r w:rsidRPr="00E73384">
        <w:rPr>
          <w:lang w:val="fr-FR"/>
        </w:rPr>
        <w:t xml:space="preserve"> (</w:t>
      </w:r>
      <w:r w:rsidR="003A3AC1">
        <w:rPr>
          <w:lang w:val="fr-FR"/>
        </w:rPr>
        <w:t>MdE</w:t>
      </w:r>
      <w:r w:rsidRPr="00E73384">
        <w:rPr>
          <w:lang w:val="fr-FR"/>
        </w:rPr>
        <w:t>)</w:t>
      </w:r>
      <w:r w:rsidRPr="00E73384">
        <w:rPr>
          <w:rStyle w:val="FootnoteReference"/>
          <w:lang w:val="fr-FR"/>
        </w:rPr>
        <w:footnoteReference w:id="2"/>
      </w:r>
      <w:r w:rsidRPr="00E73384">
        <w:rPr>
          <w:lang w:val="fr-FR"/>
        </w:rPr>
        <w:t xml:space="preserve"> devait être signé avec une autre (Baalbaki).</w:t>
      </w:r>
      <w:r w:rsidRPr="00C3019D">
        <w:rPr>
          <w:lang w:val="fr-FR"/>
        </w:rPr>
        <w:t xml:space="preserve"> </w:t>
      </w:r>
      <w:r w:rsidRPr="00E73384">
        <w:rPr>
          <w:lang w:val="fr-FR"/>
        </w:rPr>
        <w:t>Au total</w:t>
      </w:r>
      <w:r w:rsidR="0069543E">
        <w:rPr>
          <w:lang w:val="fr-FR"/>
        </w:rPr>
        <w:t>,</w:t>
      </w:r>
      <w:r w:rsidRPr="00E73384">
        <w:rPr>
          <w:lang w:val="fr-FR"/>
        </w:rPr>
        <w:t xml:space="preserve"> 24 utilisateurs en aval avaient bénéficié d</w:t>
      </w:r>
      <w:r w:rsidR="00D77991">
        <w:rPr>
          <w:lang w:val="fr-FR"/>
        </w:rPr>
        <w:t>’</w:t>
      </w:r>
      <w:r w:rsidRPr="00E73384">
        <w:rPr>
          <w:lang w:val="fr-FR"/>
        </w:rPr>
        <w:t>une assistance.</w:t>
      </w:r>
      <w:r w:rsidRPr="00C3019D">
        <w:rPr>
          <w:lang w:val="fr-FR"/>
        </w:rPr>
        <w:t xml:space="preserve"> </w:t>
      </w:r>
      <w:r w:rsidRPr="00E73384">
        <w:rPr>
          <w:lang w:val="fr-FR"/>
        </w:rPr>
        <w:t>La reconversion des 57 utilisateurs en aval restants dev</w:t>
      </w:r>
      <w:r w:rsidR="0069543E">
        <w:rPr>
          <w:lang w:val="fr-FR"/>
        </w:rPr>
        <w:t>r</w:t>
      </w:r>
      <w:r w:rsidRPr="00E73384">
        <w:rPr>
          <w:lang w:val="fr-FR"/>
        </w:rPr>
        <w:t>ait être achevée d</w:t>
      </w:r>
      <w:r w:rsidR="00D77991">
        <w:rPr>
          <w:lang w:val="fr-FR"/>
        </w:rPr>
        <w:t>’</w:t>
      </w:r>
      <w:r w:rsidRPr="00E73384">
        <w:rPr>
          <w:lang w:val="fr-FR"/>
        </w:rPr>
        <w:t>ici la fin de 2019.</w:t>
      </w:r>
      <w:r w:rsidRPr="00C3019D">
        <w:rPr>
          <w:lang w:val="fr-FR"/>
        </w:rPr>
        <w:t xml:space="preserve"> </w:t>
      </w:r>
    </w:p>
    <w:p w:rsidR="00BD095D" w:rsidRPr="00C3019D" w:rsidRDefault="00BD095D" w:rsidP="00BD095D">
      <w:pPr>
        <w:pStyle w:val="Heading1"/>
        <w:rPr>
          <w:lang w:val="fr-FR"/>
        </w:rPr>
      </w:pPr>
      <w:r w:rsidRPr="00BD095D">
        <w:rPr>
          <w:color w:val="000000"/>
          <w:lang w:val="fr-FR"/>
        </w:rPr>
        <w:t>Également lors de</w:t>
      </w:r>
      <w:r w:rsidR="00D77991">
        <w:rPr>
          <w:color w:val="000000"/>
          <w:lang w:val="fr-FR"/>
        </w:rPr>
        <w:t xml:space="preserve"> </w:t>
      </w:r>
      <w:r w:rsidRPr="00BD095D">
        <w:rPr>
          <w:lang w:val="fr-FR"/>
        </w:rPr>
        <w:t>la 82</w:t>
      </w:r>
      <w:r w:rsidRPr="00BD095D">
        <w:rPr>
          <w:vertAlign w:val="superscript"/>
          <w:lang w:val="fr-FR"/>
        </w:rPr>
        <w:t>e</w:t>
      </w:r>
      <w:r w:rsidRPr="00BD095D">
        <w:rPr>
          <w:lang w:val="fr-FR"/>
        </w:rPr>
        <w:t xml:space="preserve"> réunion, il a été </w:t>
      </w:r>
      <w:r w:rsidR="0069543E">
        <w:rPr>
          <w:lang w:val="fr-FR"/>
        </w:rPr>
        <w:t>indiqué</w:t>
      </w:r>
      <w:r w:rsidRPr="00BD095D">
        <w:rPr>
          <w:lang w:val="fr-FR"/>
        </w:rPr>
        <w:t xml:space="preserve"> que deux sociétés de formulation</w:t>
      </w:r>
      <w:r w:rsidRPr="00BD095D">
        <w:rPr>
          <w:color w:val="000000"/>
          <w:lang w:val="fr-FR"/>
        </w:rPr>
        <w:t xml:space="preserve"> (</w:t>
      </w:r>
      <w:r w:rsidRPr="00BD095D">
        <w:rPr>
          <w:lang w:val="fr-FR"/>
        </w:rPr>
        <w:t>Dow et Technocom) étaient en train d</w:t>
      </w:r>
      <w:r w:rsidR="00D77991">
        <w:rPr>
          <w:lang w:val="fr-FR"/>
        </w:rPr>
        <w:t>’</w:t>
      </w:r>
      <w:r w:rsidRPr="00BD095D">
        <w:rPr>
          <w:lang w:val="fr-FR"/>
        </w:rPr>
        <w:t>élaborer des</w:t>
      </w:r>
      <w:r w:rsidR="00D77991">
        <w:rPr>
          <w:lang w:val="fr-FR"/>
        </w:rPr>
        <w:t xml:space="preserve"> </w:t>
      </w:r>
      <w:r w:rsidRPr="00BD095D">
        <w:rPr>
          <w:lang w:val="fr-FR"/>
        </w:rPr>
        <w:t>formulations à faible PRP à base d</w:t>
      </w:r>
      <w:r w:rsidR="00D77991">
        <w:rPr>
          <w:lang w:val="fr-FR"/>
        </w:rPr>
        <w:t>’</w:t>
      </w:r>
      <w:r w:rsidRPr="00BD095D">
        <w:rPr>
          <w:lang w:val="fr-FR"/>
        </w:rPr>
        <w:t>eau et d</w:t>
      </w:r>
      <w:r w:rsidR="00D77991">
        <w:rPr>
          <w:lang w:val="fr-FR"/>
        </w:rPr>
        <w:t>’</w:t>
      </w:r>
      <w:r w:rsidRPr="00BD095D">
        <w:rPr>
          <w:lang w:val="fr-FR"/>
        </w:rPr>
        <w:t>hydrofluoro-oléfines (HFO), mais utilisant également du</w:t>
      </w:r>
      <w:r w:rsidR="00D77991">
        <w:rPr>
          <w:lang w:val="fr-FR"/>
        </w:rPr>
        <w:t xml:space="preserve"> </w:t>
      </w:r>
      <w:r w:rsidRPr="00BD095D">
        <w:rPr>
          <w:lang w:val="fr-FR"/>
        </w:rPr>
        <w:t>HFC-245fa, du HFC</w:t>
      </w:r>
      <w:r w:rsidRPr="00BD095D">
        <w:rPr>
          <w:lang w:val="fr-FR"/>
        </w:rPr>
        <w:noBreakHyphen/>
        <w:t xml:space="preserve">365mfc </w:t>
      </w:r>
      <w:r w:rsidR="0069543E">
        <w:rPr>
          <w:lang w:val="fr-FR"/>
        </w:rPr>
        <w:t xml:space="preserve">et </w:t>
      </w:r>
      <w:r w:rsidRPr="00BD095D">
        <w:rPr>
          <w:lang w:val="fr-FR"/>
        </w:rPr>
        <w:t>du HFC</w:t>
      </w:r>
      <w:r w:rsidRPr="00BD095D">
        <w:rPr>
          <w:lang w:val="fr-FR"/>
        </w:rPr>
        <w:noBreakHyphen/>
        <w:t>227ea, des substances réglementées en vertu de l</w:t>
      </w:r>
      <w:r w:rsidR="00D77991">
        <w:rPr>
          <w:lang w:val="fr-FR"/>
        </w:rPr>
        <w:t>’</w:t>
      </w:r>
      <w:r w:rsidRPr="00BD095D">
        <w:rPr>
          <w:lang w:val="fr-FR"/>
        </w:rPr>
        <w:t>Amendement de Kigali, en dépit du fait qu</w:t>
      </w:r>
      <w:r w:rsidR="00D77991">
        <w:rPr>
          <w:lang w:val="fr-FR"/>
        </w:rPr>
        <w:t>’</w:t>
      </w:r>
      <w:r w:rsidRPr="00BD095D">
        <w:rPr>
          <w:lang w:val="fr-FR"/>
        </w:rPr>
        <w:t xml:space="preserve">il </w:t>
      </w:r>
      <w:r w:rsidR="0069543E">
        <w:rPr>
          <w:lang w:val="fr-FR"/>
        </w:rPr>
        <w:t xml:space="preserve">avait </w:t>
      </w:r>
      <w:r w:rsidR="00732221">
        <w:rPr>
          <w:lang w:val="fr-FR"/>
        </w:rPr>
        <w:t>été</w:t>
      </w:r>
      <w:r w:rsidRPr="00BD095D">
        <w:rPr>
          <w:lang w:val="fr-FR"/>
        </w:rPr>
        <w:t xml:space="preserve"> prévu que l</w:t>
      </w:r>
      <w:r w:rsidR="00D77991">
        <w:rPr>
          <w:lang w:val="fr-FR"/>
        </w:rPr>
        <w:t>’</w:t>
      </w:r>
      <w:r w:rsidRPr="00BD095D">
        <w:rPr>
          <w:lang w:val="fr-FR"/>
        </w:rPr>
        <w:t>utilisation de produits de remplacement</w:t>
      </w:r>
      <w:r w:rsidRPr="00BD095D">
        <w:rPr>
          <w:color w:val="000000"/>
          <w:lang w:val="fr-FR"/>
        </w:rPr>
        <w:t xml:space="preserve"> </w:t>
      </w:r>
      <w:r w:rsidRPr="00BD095D">
        <w:rPr>
          <w:lang w:val="fr-FR"/>
        </w:rPr>
        <w:t>à PRP élevé</w:t>
      </w:r>
      <w:r w:rsidRPr="00BD095D">
        <w:rPr>
          <w:color w:val="000000"/>
          <w:lang w:val="fr-FR"/>
        </w:rPr>
        <w:t xml:space="preserve"> soit temporaire et que cette utilisation soit éliminée d</w:t>
      </w:r>
      <w:r w:rsidR="00D77991">
        <w:rPr>
          <w:color w:val="000000"/>
          <w:lang w:val="fr-FR"/>
        </w:rPr>
        <w:t>’</w:t>
      </w:r>
      <w:r w:rsidRPr="00BD095D">
        <w:rPr>
          <w:color w:val="000000"/>
          <w:lang w:val="fr-FR"/>
        </w:rPr>
        <w:t>ici 2015 au plus tard</w:t>
      </w:r>
      <w:r w:rsidRPr="00BD095D">
        <w:rPr>
          <w:lang w:val="fr-FR"/>
        </w:rPr>
        <w:t>.</w:t>
      </w:r>
      <w:r w:rsidRPr="00C3019D">
        <w:rPr>
          <w:color w:val="000000"/>
          <w:lang w:val="fr-FR"/>
        </w:rPr>
        <w:t xml:space="preserve"> </w:t>
      </w:r>
      <w:r w:rsidRPr="00BD095D">
        <w:rPr>
          <w:lang w:val="fr-FR"/>
        </w:rPr>
        <w:t>Le PNUD a confirmé qu</w:t>
      </w:r>
      <w:r w:rsidR="00D77991">
        <w:rPr>
          <w:lang w:val="fr-FR"/>
        </w:rPr>
        <w:t>’</w:t>
      </w:r>
      <w:r w:rsidRPr="00BD095D">
        <w:rPr>
          <w:lang w:val="fr-FR"/>
        </w:rPr>
        <w:t xml:space="preserve">aucune autre assistance ne serait demandée pour les </w:t>
      </w:r>
      <w:r w:rsidRPr="00BD095D">
        <w:rPr>
          <w:lang w:val="fr-FR"/>
        </w:rPr>
        <w:lastRenderedPageBreak/>
        <w:t xml:space="preserve">utilisateurs en aval qui avaient </w:t>
      </w:r>
      <w:r w:rsidR="0069543E">
        <w:rPr>
          <w:lang w:val="fr-FR"/>
        </w:rPr>
        <w:t>bénéficié d</w:t>
      </w:r>
      <w:r w:rsidR="00D77991">
        <w:rPr>
          <w:lang w:val="fr-FR"/>
        </w:rPr>
        <w:t>’</w:t>
      </w:r>
      <w:r w:rsidR="0069543E">
        <w:rPr>
          <w:lang w:val="fr-FR"/>
        </w:rPr>
        <w:t xml:space="preserve">une </w:t>
      </w:r>
      <w:r w:rsidRPr="00BD095D">
        <w:rPr>
          <w:lang w:val="fr-FR"/>
        </w:rPr>
        <w:t>assistance dans le cadre de la phase I du projet des sociétés de formulation parce qu</w:t>
      </w:r>
      <w:r w:rsidR="00D77991">
        <w:rPr>
          <w:lang w:val="fr-FR"/>
        </w:rPr>
        <w:t>’</w:t>
      </w:r>
      <w:r w:rsidRPr="00BD095D">
        <w:rPr>
          <w:lang w:val="fr-FR"/>
        </w:rPr>
        <w:t>ils s</w:t>
      </w:r>
      <w:r w:rsidR="00D77991">
        <w:rPr>
          <w:lang w:val="fr-FR"/>
        </w:rPr>
        <w:t>’</w:t>
      </w:r>
      <w:r w:rsidRPr="00BD095D">
        <w:rPr>
          <w:lang w:val="fr-FR"/>
        </w:rPr>
        <w:t>étaient engagés à se reconvertir à des technologies à faible PRP.</w:t>
      </w:r>
      <w:r w:rsidRPr="00C3019D">
        <w:rPr>
          <w:lang w:val="fr-FR"/>
        </w:rPr>
        <w:t xml:space="preserve"> </w:t>
      </w:r>
      <w:r w:rsidRPr="00BD095D">
        <w:rPr>
          <w:lang w:val="fr-FR"/>
        </w:rPr>
        <w:t xml:space="preserve">Le PNUD a également confirmé que </w:t>
      </w:r>
      <w:r w:rsidR="0069543E">
        <w:rPr>
          <w:lang w:val="fr-FR"/>
        </w:rPr>
        <w:t xml:space="preserve">des </w:t>
      </w:r>
      <w:r w:rsidRPr="00BD095D">
        <w:rPr>
          <w:lang w:val="fr-FR"/>
        </w:rPr>
        <w:t xml:space="preserve">coûts </w:t>
      </w:r>
      <w:r w:rsidR="0069543E">
        <w:rPr>
          <w:lang w:val="fr-FR"/>
        </w:rPr>
        <w:t xml:space="preserve">différentiels </w:t>
      </w:r>
      <w:r w:rsidRPr="00BD095D">
        <w:rPr>
          <w:lang w:val="fr-FR"/>
        </w:rPr>
        <w:t>d</w:t>
      </w:r>
      <w:r w:rsidR="00D77991">
        <w:rPr>
          <w:lang w:val="fr-FR"/>
        </w:rPr>
        <w:t>’</w:t>
      </w:r>
      <w:r w:rsidRPr="00BD095D">
        <w:rPr>
          <w:lang w:val="fr-FR"/>
        </w:rPr>
        <w:t>exploitation n</w:t>
      </w:r>
      <w:r w:rsidR="00D77991">
        <w:rPr>
          <w:lang w:val="fr-FR"/>
        </w:rPr>
        <w:t>’</w:t>
      </w:r>
      <w:r w:rsidRPr="00BD095D">
        <w:rPr>
          <w:lang w:val="fr-FR"/>
        </w:rPr>
        <w:t xml:space="preserve">avaient pas été accordés aux consommateurs </w:t>
      </w:r>
      <w:r w:rsidR="0069543E">
        <w:rPr>
          <w:lang w:val="fr-FR"/>
        </w:rPr>
        <w:t>et ne</w:t>
      </w:r>
      <w:r w:rsidRPr="00BD095D">
        <w:rPr>
          <w:lang w:val="fr-FR"/>
        </w:rPr>
        <w:t xml:space="preserve"> le seraient </w:t>
      </w:r>
      <w:r w:rsidR="0069543E">
        <w:rPr>
          <w:lang w:val="fr-FR"/>
        </w:rPr>
        <w:t xml:space="preserve">pas non plus </w:t>
      </w:r>
      <w:r w:rsidRPr="00BD095D">
        <w:rPr>
          <w:lang w:val="fr-FR"/>
        </w:rPr>
        <w:t>tant qu</w:t>
      </w:r>
      <w:r w:rsidR="00D77991">
        <w:rPr>
          <w:lang w:val="fr-FR"/>
        </w:rPr>
        <w:t>’</w:t>
      </w:r>
      <w:r w:rsidRPr="00BD095D">
        <w:rPr>
          <w:lang w:val="fr-FR"/>
        </w:rPr>
        <w:t>une technologie à faible PRP ne serait pas utilisée, conformément à la décision 77/35(a)(vi).</w:t>
      </w:r>
    </w:p>
    <w:p w:rsidR="006833D5" w:rsidRPr="00C3019D" w:rsidRDefault="00BD095D" w:rsidP="006833D5">
      <w:pPr>
        <w:pStyle w:val="Heading1"/>
        <w:keepNext/>
        <w:keepLines/>
        <w:rPr>
          <w:lang w:val="fr-FR"/>
        </w:rPr>
      </w:pPr>
      <w:r w:rsidRPr="00BD095D">
        <w:rPr>
          <w:lang w:val="fr-FR"/>
        </w:rPr>
        <w:t>Lors de la 83</w:t>
      </w:r>
      <w:r w:rsidRPr="00BD095D">
        <w:rPr>
          <w:vertAlign w:val="superscript"/>
          <w:lang w:val="fr-FR"/>
        </w:rPr>
        <w:t>e</w:t>
      </w:r>
      <w:r>
        <w:rPr>
          <w:lang w:val="fr-FR"/>
        </w:rPr>
        <w:t xml:space="preserve"> </w:t>
      </w:r>
      <w:r w:rsidRPr="00BD095D">
        <w:rPr>
          <w:lang w:val="fr-FR"/>
        </w:rPr>
        <w:t xml:space="preserve">réunion, il a été indiqué que le </w:t>
      </w:r>
      <w:r w:rsidR="003A3AC1">
        <w:rPr>
          <w:lang w:val="fr-FR"/>
        </w:rPr>
        <w:t>MdE</w:t>
      </w:r>
      <w:r w:rsidR="00D77991">
        <w:rPr>
          <w:lang w:val="fr-FR"/>
        </w:rPr>
        <w:t xml:space="preserve"> </w:t>
      </w:r>
      <w:r w:rsidRPr="00BD095D">
        <w:rPr>
          <w:lang w:val="fr-FR"/>
        </w:rPr>
        <w:t>conclu avec</w:t>
      </w:r>
      <w:r w:rsidR="00D77991">
        <w:rPr>
          <w:lang w:val="fr-FR"/>
        </w:rPr>
        <w:t xml:space="preserve"> </w:t>
      </w:r>
      <w:r w:rsidRPr="00BD095D">
        <w:rPr>
          <w:lang w:val="fr-FR"/>
        </w:rPr>
        <w:t xml:space="preserve">Baalbaki </w:t>
      </w:r>
      <w:r w:rsidR="0069543E" w:rsidRPr="00BD095D">
        <w:rPr>
          <w:lang w:val="fr-FR"/>
        </w:rPr>
        <w:t>avait été signé</w:t>
      </w:r>
      <w:r w:rsidR="0069543E">
        <w:rPr>
          <w:lang w:val="fr-FR"/>
        </w:rPr>
        <w:t xml:space="preserve"> en vue de</w:t>
      </w:r>
      <w:r w:rsidRPr="00BD095D">
        <w:rPr>
          <w:lang w:val="fr-FR"/>
        </w:rPr>
        <w:t xml:space="preserve"> la reconversion de huit clients </w:t>
      </w:r>
      <w:r w:rsidR="0069543E">
        <w:rPr>
          <w:lang w:val="fr-FR"/>
        </w:rPr>
        <w:t xml:space="preserve">pour </w:t>
      </w:r>
      <w:r w:rsidRPr="00BD095D">
        <w:rPr>
          <w:lang w:val="fr-FR"/>
        </w:rPr>
        <w:t>éliminer 53,7 tm de HCFC-</w:t>
      </w:r>
      <w:r w:rsidR="00732221" w:rsidRPr="00BD095D">
        <w:rPr>
          <w:lang w:val="fr-FR"/>
        </w:rPr>
        <w:t xml:space="preserve">141b. </w:t>
      </w:r>
      <w:r w:rsidR="006833D5" w:rsidRPr="006833D5">
        <w:rPr>
          <w:lang w:val="fr-FR"/>
        </w:rPr>
        <w:t xml:space="preserve">Un addenda au </w:t>
      </w:r>
      <w:r w:rsidR="003A3AC1">
        <w:rPr>
          <w:lang w:val="fr-FR"/>
        </w:rPr>
        <w:t>MdE</w:t>
      </w:r>
      <w:r w:rsidR="00D77991">
        <w:rPr>
          <w:lang w:val="fr-FR"/>
        </w:rPr>
        <w:t xml:space="preserve"> </w:t>
      </w:r>
      <w:r w:rsidR="006833D5" w:rsidRPr="006833D5">
        <w:rPr>
          <w:lang w:val="fr-FR"/>
        </w:rPr>
        <w:t xml:space="preserve">signé avec Technocom a été préparé afin de </w:t>
      </w:r>
      <w:r w:rsidR="00C75DB1">
        <w:rPr>
          <w:lang w:val="fr-FR"/>
        </w:rPr>
        <w:t>re</w:t>
      </w:r>
      <w:r w:rsidR="006833D5" w:rsidRPr="006833D5">
        <w:rPr>
          <w:lang w:val="fr-FR"/>
        </w:rPr>
        <w:t>convertir 12 clients supplémentaires en vue d</w:t>
      </w:r>
      <w:r w:rsidR="00D77991">
        <w:rPr>
          <w:lang w:val="fr-FR"/>
        </w:rPr>
        <w:t>’</w:t>
      </w:r>
      <w:r w:rsidR="006833D5" w:rsidRPr="006833D5">
        <w:rPr>
          <w:lang w:val="fr-FR"/>
        </w:rPr>
        <w:t xml:space="preserve">éliminer 11,37 tonnes PAO de HCFC-141b ; ce </w:t>
      </w:r>
      <w:r w:rsidR="003A3AC1">
        <w:rPr>
          <w:lang w:val="fr-FR"/>
        </w:rPr>
        <w:t>MdE</w:t>
      </w:r>
      <w:r w:rsidR="00D77991">
        <w:rPr>
          <w:lang w:val="fr-FR"/>
        </w:rPr>
        <w:t xml:space="preserve"> </w:t>
      </w:r>
      <w:r w:rsidR="006833D5" w:rsidRPr="006833D5">
        <w:rPr>
          <w:lang w:val="fr-FR"/>
        </w:rPr>
        <w:t>devait être signé en mai 2019</w:t>
      </w:r>
      <w:r w:rsidR="0069543E">
        <w:rPr>
          <w:lang w:val="fr-FR"/>
        </w:rPr>
        <w:t>.</w:t>
      </w:r>
      <w:r w:rsidR="006833D5" w:rsidRPr="006833D5">
        <w:rPr>
          <w:lang w:val="fr-FR"/>
        </w:rPr>
        <w:t xml:space="preserve"> Les technologies de remplacement prévues pour Baalbaki incluent l</w:t>
      </w:r>
      <w:r w:rsidR="00D77991">
        <w:rPr>
          <w:lang w:val="fr-FR"/>
        </w:rPr>
        <w:t>’</w:t>
      </w:r>
      <w:r w:rsidR="006833D5" w:rsidRPr="006833D5">
        <w:rPr>
          <w:lang w:val="fr-FR"/>
        </w:rPr>
        <w:t>eau et le formiate de méthyle</w:t>
      </w:r>
      <w:r w:rsidR="0069543E">
        <w:rPr>
          <w:lang w:val="fr-FR"/>
        </w:rPr>
        <w:t>,</w:t>
      </w:r>
      <w:r w:rsidR="00D77991">
        <w:rPr>
          <w:lang w:val="fr-FR"/>
        </w:rPr>
        <w:t xml:space="preserve"> </w:t>
      </w:r>
      <w:r w:rsidR="006833D5" w:rsidRPr="006833D5">
        <w:rPr>
          <w:lang w:val="fr-FR"/>
        </w:rPr>
        <w:t>tandis qu</w:t>
      </w:r>
      <w:r w:rsidR="00D77991">
        <w:rPr>
          <w:lang w:val="fr-FR"/>
        </w:rPr>
        <w:t>’</w:t>
      </w:r>
      <w:r w:rsidR="006833D5" w:rsidRPr="006833D5">
        <w:rPr>
          <w:lang w:val="fr-FR"/>
        </w:rPr>
        <w:t>elles incluent les formules à base d</w:t>
      </w:r>
      <w:r w:rsidR="00D77991">
        <w:rPr>
          <w:lang w:val="fr-FR"/>
        </w:rPr>
        <w:t>’</w:t>
      </w:r>
      <w:r w:rsidR="006833D5" w:rsidRPr="006833D5">
        <w:rPr>
          <w:lang w:val="fr-FR"/>
        </w:rPr>
        <w:t>eau et de HFO pour Technocom. Dans les deux cas, les HFC sont envisagés sur une base provisoire.</w:t>
      </w:r>
      <w:r w:rsidR="006833D5" w:rsidRPr="00C3019D">
        <w:rPr>
          <w:lang w:val="fr-FR"/>
        </w:rPr>
        <w:t xml:space="preserve"> </w:t>
      </w:r>
      <w:r w:rsidR="006833D5" w:rsidRPr="006833D5">
        <w:rPr>
          <w:lang w:val="fr-FR"/>
        </w:rPr>
        <w:t>À ce moment-là, aucun micro-usager n</w:t>
      </w:r>
      <w:r w:rsidR="00D77991">
        <w:rPr>
          <w:lang w:val="fr-FR"/>
        </w:rPr>
        <w:t>’</w:t>
      </w:r>
      <w:r w:rsidR="006833D5" w:rsidRPr="006833D5">
        <w:rPr>
          <w:lang w:val="fr-FR"/>
        </w:rPr>
        <w:t>avait fait l</w:t>
      </w:r>
      <w:r w:rsidR="00D77991">
        <w:rPr>
          <w:lang w:val="fr-FR"/>
        </w:rPr>
        <w:t>’</w:t>
      </w:r>
      <w:r w:rsidR="006833D5" w:rsidRPr="006833D5">
        <w:rPr>
          <w:lang w:val="fr-FR"/>
        </w:rPr>
        <w:t>objet d</w:t>
      </w:r>
      <w:r w:rsidR="00D77991">
        <w:rPr>
          <w:lang w:val="fr-FR"/>
        </w:rPr>
        <w:t>’</w:t>
      </w:r>
      <w:r w:rsidR="006833D5" w:rsidRPr="006833D5">
        <w:rPr>
          <w:lang w:val="fr-FR"/>
        </w:rPr>
        <w:t>une reconversion ; le début de ces reconversions était prévu dans</w:t>
      </w:r>
      <w:r w:rsidR="00D77991">
        <w:rPr>
          <w:lang w:val="fr-FR"/>
        </w:rPr>
        <w:t xml:space="preserve"> </w:t>
      </w:r>
      <w:r w:rsidR="006833D5" w:rsidRPr="006833D5">
        <w:rPr>
          <w:lang w:val="fr-FR"/>
        </w:rPr>
        <w:t>la deuxième moitié de 2019.</w:t>
      </w:r>
      <w:r w:rsidR="006833D5" w:rsidRPr="00C3019D">
        <w:rPr>
          <w:lang w:val="fr-FR"/>
        </w:rPr>
        <w:t xml:space="preserve"> </w:t>
      </w:r>
    </w:p>
    <w:p w:rsidR="006833D5" w:rsidRPr="00C3019D" w:rsidRDefault="006833D5" w:rsidP="006833D5">
      <w:pPr>
        <w:pStyle w:val="Heading1"/>
        <w:rPr>
          <w:lang w:val="fr-FR"/>
        </w:rPr>
      </w:pPr>
      <w:r w:rsidRPr="006833D5">
        <w:rPr>
          <w:lang w:val="fr-FR"/>
        </w:rPr>
        <w:t>En ce qui concerne l</w:t>
      </w:r>
      <w:r w:rsidR="00D77991">
        <w:rPr>
          <w:lang w:val="fr-FR"/>
        </w:rPr>
        <w:t>’</w:t>
      </w:r>
      <w:r w:rsidRPr="006833D5">
        <w:rPr>
          <w:lang w:val="fr-FR"/>
        </w:rPr>
        <w:t>état d</w:t>
      </w:r>
      <w:r w:rsidR="00D77991">
        <w:rPr>
          <w:lang w:val="fr-FR"/>
        </w:rPr>
        <w:t>’</w:t>
      </w:r>
      <w:r w:rsidRPr="006833D5">
        <w:rPr>
          <w:lang w:val="fr-FR"/>
        </w:rPr>
        <w:t>avancement de l</w:t>
      </w:r>
      <w:r w:rsidR="00D77991">
        <w:rPr>
          <w:lang w:val="fr-FR"/>
        </w:rPr>
        <w:t>’</w:t>
      </w:r>
      <w:r w:rsidRPr="006833D5">
        <w:rPr>
          <w:lang w:val="fr-FR"/>
        </w:rPr>
        <w:t>utilisation de la technologie, le PNUD a fait savoir que les formules à base d</w:t>
      </w:r>
      <w:r w:rsidR="00D77991">
        <w:rPr>
          <w:lang w:val="fr-FR"/>
        </w:rPr>
        <w:t>’</w:t>
      </w:r>
      <w:r w:rsidRPr="006833D5">
        <w:rPr>
          <w:lang w:val="fr-FR"/>
        </w:rPr>
        <w:t>eau ont été introduites par Dow et Technocom, et approuvées par les clients pour certaines applications ; des études supplémentaires sur les performances des HFO dans les polyols étaient nécessaires, du fait que certaines sociétés de formulation avaient signalé des problèmes dans la préparation des formules, notamment concernant leur stabilité.</w:t>
      </w:r>
      <w:r w:rsidRPr="00C3019D">
        <w:rPr>
          <w:lang w:val="fr-FR"/>
        </w:rPr>
        <w:t xml:space="preserve"> </w:t>
      </w:r>
      <w:r w:rsidRPr="006833D5">
        <w:rPr>
          <w:lang w:val="fr-FR"/>
        </w:rPr>
        <w:t>Le PNUD a continué à suivre la situation et des consultations avec les unités nationales de l</w:t>
      </w:r>
      <w:r w:rsidR="00D77991">
        <w:rPr>
          <w:lang w:val="fr-FR"/>
        </w:rPr>
        <w:t>’</w:t>
      </w:r>
      <w:r w:rsidRPr="006833D5">
        <w:rPr>
          <w:lang w:val="fr-FR"/>
        </w:rPr>
        <w:t>ozone (UNO) à propos des obstacles à l</w:t>
      </w:r>
      <w:r w:rsidR="00D77991">
        <w:rPr>
          <w:lang w:val="fr-FR"/>
        </w:rPr>
        <w:t>’</w:t>
      </w:r>
      <w:r w:rsidRPr="006833D5">
        <w:rPr>
          <w:lang w:val="fr-FR"/>
        </w:rPr>
        <w:t>introduction des technologies à faible PR</w:t>
      </w:r>
      <w:r w:rsidR="00C7168E">
        <w:rPr>
          <w:lang w:val="fr-FR"/>
        </w:rPr>
        <w:t>P</w:t>
      </w:r>
      <w:r w:rsidRPr="006833D5">
        <w:rPr>
          <w:lang w:val="fr-FR"/>
        </w:rPr>
        <w:t xml:space="preserve"> étaient prévues pour mai 2019.</w:t>
      </w:r>
      <w:r w:rsidRPr="00C3019D">
        <w:rPr>
          <w:lang w:val="fr-FR"/>
        </w:rPr>
        <w:t xml:space="preserve"> </w:t>
      </w:r>
    </w:p>
    <w:p w:rsidR="00E51975" w:rsidRPr="00C3019D" w:rsidRDefault="006833D5" w:rsidP="00E51975">
      <w:pPr>
        <w:keepNext/>
        <w:keepLines/>
        <w:rPr>
          <w:i/>
          <w:lang w:val="fr-FR"/>
        </w:rPr>
      </w:pPr>
      <w:r w:rsidRPr="006833D5">
        <w:rPr>
          <w:i/>
          <w:lang w:val="fr-FR"/>
        </w:rPr>
        <w:t>Activités de facilitation dans le secteur de la réfrigération et de la climatisation</w:t>
      </w:r>
    </w:p>
    <w:p w:rsidR="00E51975" w:rsidRPr="00C3019D" w:rsidRDefault="00E51975" w:rsidP="00E51975">
      <w:pPr>
        <w:keepNext/>
        <w:keepLines/>
        <w:rPr>
          <w:lang w:val="fr-FR"/>
        </w:rPr>
      </w:pPr>
    </w:p>
    <w:p w:rsidR="006833D5" w:rsidRPr="00C3019D" w:rsidRDefault="006833D5" w:rsidP="009022FF">
      <w:pPr>
        <w:pStyle w:val="Heading1"/>
        <w:keepNext/>
        <w:keepLines/>
        <w:rPr>
          <w:lang w:val="fr-FR"/>
        </w:rPr>
      </w:pPr>
      <w:r w:rsidRPr="006833D5">
        <w:rPr>
          <w:lang w:val="fr-FR"/>
        </w:rPr>
        <w:t>L</w:t>
      </w:r>
      <w:r w:rsidR="00D77991">
        <w:rPr>
          <w:lang w:val="fr-FR"/>
        </w:rPr>
        <w:t>’</w:t>
      </w:r>
      <w:r w:rsidRPr="006833D5">
        <w:rPr>
          <w:lang w:val="fr-FR"/>
        </w:rPr>
        <w:t>initiative EGYPRA a été lancée en 2014 afin d</w:t>
      </w:r>
      <w:r w:rsidR="00D77991">
        <w:rPr>
          <w:lang w:val="fr-FR"/>
        </w:rPr>
        <w:t>’</w:t>
      </w:r>
      <w:r w:rsidRPr="006833D5">
        <w:rPr>
          <w:lang w:val="fr-FR"/>
        </w:rPr>
        <w:t xml:space="preserve">évaluer des solutions de remplacement à faible PRP dans le secteur de la climatisation domestique et commerciale en fabriquant et </w:t>
      </w:r>
      <w:r w:rsidR="009A22BC">
        <w:rPr>
          <w:lang w:val="fr-FR"/>
        </w:rPr>
        <w:t xml:space="preserve">en </w:t>
      </w:r>
      <w:r w:rsidRPr="006833D5">
        <w:rPr>
          <w:lang w:val="fr-FR"/>
        </w:rPr>
        <w:t>essayant des prototypes utilisant différentes solutions de remplacement des HCFC</w:t>
      </w:r>
      <w:r w:rsidR="00C75DB1">
        <w:rPr>
          <w:lang w:val="fr-FR"/>
        </w:rPr>
        <w:t>,</w:t>
      </w:r>
      <w:r w:rsidRPr="006833D5">
        <w:rPr>
          <w:lang w:val="fr-FR"/>
        </w:rPr>
        <w:t xml:space="preserve"> afin de comparer le rendement et l</w:t>
      </w:r>
      <w:r w:rsidR="00D77991">
        <w:rPr>
          <w:lang w:val="fr-FR"/>
        </w:rPr>
        <w:t>’</w:t>
      </w:r>
      <w:r w:rsidRPr="006833D5">
        <w:rPr>
          <w:lang w:val="fr-FR"/>
        </w:rPr>
        <w:t>efficacité de ces solutions, notamment dans une température ambiante élevée.</w:t>
      </w:r>
      <w:r w:rsidRPr="00C3019D">
        <w:rPr>
          <w:lang w:val="fr-FR"/>
        </w:rPr>
        <w:t xml:space="preserve"> </w:t>
      </w:r>
      <w:r w:rsidR="009022FF" w:rsidRPr="009022FF">
        <w:rPr>
          <w:lang w:val="fr-FR"/>
        </w:rPr>
        <w:t>Le projet a fait des essais sur des prototypes de climatiseurs à système bibloc fabriqué</w:t>
      </w:r>
      <w:r w:rsidR="009A22BC">
        <w:rPr>
          <w:lang w:val="fr-FR"/>
        </w:rPr>
        <w:t>s</w:t>
      </w:r>
      <w:r w:rsidR="009022FF" w:rsidRPr="009022FF">
        <w:rPr>
          <w:lang w:val="fr-FR"/>
        </w:rPr>
        <w:t xml:space="preserve"> sur mesure, avec des capacités comprises entre 12 000 BTU/h et 24 000 BTU/h</w:t>
      </w:r>
      <w:r w:rsidR="009022FF" w:rsidRPr="009022FF">
        <w:rPr>
          <w:rStyle w:val="FootnoteReference"/>
          <w:lang w:val="fr-FR"/>
        </w:rPr>
        <w:footnoteReference w:id="3"/>
      </w:r>
      <w:r w:rsidR="009022FF" w:rsidRPr="009022FF">
        <w:rPr>
          <w:lang w:val="fr-FR"/>
        </w:rPr>
        <w:t>, et des prototypes de climatiseurs à unité centrale, ayant une capacité de refroidissement de 120 000 BTU/h</w:t>
      </w:r>
      <w:r w:rsidR="009022FF" w:rsidRPr="009022FF">
        <w:rPr>
          <w:rStyle w:val="FootnoteReference"/>
          <w:lang w:val="fr-FR"/>
        </w:rPr>
        <w:footnoteReference w:id="4"/>
      </w:r>
      <w:r w:rsidR="009022FF" w:rsidRPr="009022FF">
        <w:rPr>
          <w:lang w:val="fr-FR"/>
        </w:rPr>
        <w:t>, destinés à fonctionner avec des frigorigènes de remplacement afin de comparer leurs performances par rapport aux unités de référence à base de</w:t>
      </w:r>
      <w:r w:rsidR="00D77991">
        <w:rPr>
          <w:lang w:val="fr-FR"/>
        </w:rPr>
        <w:t xml:space="preserve"> </w:t>
      </w:r>
      <w:r w:rsidR="009022FF" w:rsidRPr="009022FF">
        <w:rPr>
          <w:lang w:val="fr-FR"/>
        </w:rPr>
        <w:t>HCFC</w:t>
      </w:r>
      <w:r w:rsidR="009022FF" w:rsidRPr="009022FF">
        <w:rPr>
          <w:lang w:val="fr-FR"/>
        </w:rPr>
        <w:noBreakHyphen/>
        <w:t>22 et R-410A.</w:t>
      </w:r>
      <w:r w:rsidR="009022FF" w:rsidRPr="00C3019D">
        <w:rPr>
          <w:lang w:val="fr-FR"/>
        </w:rPr>
        <w:t xml:space="preserve"> </w:t>
      </w:r>
    </w:p>
    <w:p w:rsidR="00E51975" w:rsidRPr="00C3019D" w:rsidRDefault="009022FF" w:rsidP="00E51975">
      <w:pPr>
        <w:rPr>
          <w:u w:val="single"/>
          <w:lang w:val="fr-FR"/>
        </w:rPr>
      </w:pPr>
      <w:r w:rsidRPr="009022FF">
        <w:rPr>
          <w:u w:val="single"/>
          <w:lang w:val="fr-FR"/>
        </w:rPr>
        <w:t>Rapport sur la consommation de HCFC</w:t>
      </w:r>
    </w:p>
    <w:p w:rsidR="00E51975" w:rsidRPr="00C3019D" w:rsidRDefault="00E51975" w:rsidP="00E51975">
      <w:pPr>
        <w:rPr>
          <w:lang w:val="fr-FR"/>
        </w:rPr>
      </w:pPr>
    </w:p>
    <w:p w:rsidR="009022FF" w:rsidRPr="00C3019D" w:rsidRDefault="009022FF" w:rsidP="009022FF">
      <w:pPr>
        <w:pStyle w:val="Heading1"/>
        <w:rPr>
          <w:lang w:val="fr-FR"/>
        </w:rPr>
      </w:pPr>
      <w:r w:rsidRPr="009022FF">
        <w:rPr>
          <w:lang w:val="fr-FR"/>
        </w:rPr>
        <w:t>Le</w:t>
      </w:r>
      <w:r w:rsidR="00D77991">
        <w:rPr>
          <w:lang w:val="fr-FR"/>
        </w:rPr>
        <w:t xml:space="preserve"> </w:t>
      </w:r>
      <w:r w:rsidRPr="009022FF">
        <w:rPr>
          <w:lang w:val="fr-FR"/>
        </w:rPr>
        <w:t>gouvernement de</w:t>
      </w:r>
      <w:r w:rsidR="00D77991">
        <w:rPr>
          <w:lang w:val="fr-FR"/>
        </w:rPr>
        <w:t xml:space="preserve"> </w:t>
      </w:r>
      <w:r w:rsidRPr="009022FF">
        <w:rPr>
          <w:lang w:val="fr-FR"/>
        </w:rPr>
        <w:t>l</w:t>
      </w:r>
      <w:r w:rsidR="00D77991">
        <w:rPr>
          <w:lang w:val="fr-FR"/>
        </w:rPr>
        <w:t>’</w:t>
      </w:r>
      <w:r w:rsidRPr="009022FF">
        <w:rPr>
          <w:lang w:val="fr-FR"/>
        </w:rPr>
        <w:t>Égypte a fait part d</w:t>
      </w:r>
      <w:r w:rsidR="00D77991">
        <w:rPr>
          <w:lang w:val="fr-FR"/>
        </w:rPr>
        <w:t>’</w:t>
      </w:r>
      <w:r w:rsidRPr="009022FF">
        <w:rPr>
          <w:lang w:val="fr-FR"/>
        </w:rPr>
        <w:t>un</w:t>
      </w:r>
      <w:r w:rsidR="009A22BC">
        <w:rPr>
          <w:lang w:val="fr-FR"/>
        </w:rPr>
        <w:t>e</w:t>
      </w:r>
      <w:r w:rsidRPr="009022FF">
        <w:rPr>
          <w:lang w:val="fr-FR"/>
        </w:rPr>
        <w:t xml:space="preserve"> consommation de</w:t>
      </w:r>
      <w:r w:rsidR="00D77991">
        <w:rPr>
          <w:lang w:val="fr-FR"/>
        </w:rPr>
        <w:t xml:space="preserve"> </w:t>
      </w:r>
      <w:r w:rsidRPr="009022FF">
        <w:rPr>
          <w:lang w:val="fr-FR"/>
        </w:rPr>
        <w:t xml:space="preserve">287,45 tonnes PAO de HCFC en 2018, </w:t>
      </w:r>
      <w:r w:rsidR="00C75DB1">
        <w:rPr>
          <w:lang w:val="fr-FR"/>
        </w:rPr>
        <w:t>quantité</w:t>
      </w:r>
      <w:r w:rsidRPr="009022FF">
        <w:rPr>
          <w:lang w:val="fr-FR"/>
        </w:rPr>
        <w:t xml:space="preserve"> de 26 pour cent inférieur</w:t>
      </w:r>
      <w:r w:rsidR="00C75DB1">
        <w:rPr>
          <w:lang w:val="fr-FR"/>
        </w:rPr>
        <w:t>e</w:t>
      </w:r>
      <w:r w:rsidRPr="009022FF">
        <w:rPr>
          <w:lang w:val="fr-FR"/>
        </w:rPr>
        <w:t xml:space="preserve"> à la valeur de référence des HCFC aux fins de conformité.</w:t>
      </w:r>
      <w:r w:rsidRPr="00C3019D">
        <w:rPr>
          <w:lang w:val="fr-FR"/>
        </w:rPr>
        <w:t xml:space="preserve"> </w:t>
      </w:r>
      <w:r w:rsidRPr="009022FF">
        <w:rPr>
          <w:lang w:val="fr-FR"/>
        </w:rPr>
        <w:t>La consommation de HCFC pour la période</w:t>
      </w:r>
      <w:r w:rsidR="00D77991">
        <w:rPr>
          <w:lang w:val="fr-FR"/>
        </w:rPr>
        <w:t xml:space="preserve"> </w:t>
      </w:r>
      <w:r w:rsidRPr="009022FF">
        <w:rPr>
          <w:lang w:val="fr-FR"/>
        </w:rPr>
        <w:t>2014-2018 est indiquée au tableau 1.</w:t>
      </w:r>
    </w:p>
    <w:p w:rsidR="00E51975" w:rsidRPr="00C3019D" w:rsidRDefault="009022FF" w:rsidP="00E51975">
      <w:pPr>
        <w:rPr>
          <w:b/>
          <w:lang w:val="fr-FR"/>
        </w:rPr>
      </w:pPr>
      <w:r w:rsidRPr="009022FF">
        <w:rPr>
          <w:b/>
          <w:lang w:val="fr-FR"/>
        </w:rPr>
        <w:t>Tableau 1. Consommation de HCFC en Égypte (2014-2018, données au titre de l</w:t>
      </w:r>
      <w:r w:rsidR="00D77991">
        <w:rPr>
          <w:b/>
          <w:lang w:val="fr-FR"/>
        </w:rPr>
        <w:t>’</w:t>
      </w:r>
      <w:r w:rsidRPr="009022FF">
        <w:rPr>
          <w:b/>
          <w:lang w:val="fr-FR"/>
        </w:rPr>
        <w:t>article 7)</w:t>
      </w:r>
    </w:p>
    <w:tbl>
      <w:tblPr>
        <w:tblW w:w="4943" w:type="pct"/>
        <w:jc w:val="right"/>
        <w:tblLayout w:type="fixed"/>
        <w:tblLook w:val="04A0" w:firstRow="1" w:lastRow="0" w:firstColumn="1" w:lastColumn="0" w:noHBand="0" w:noVBand="1"/>
      </w:tblPr>
      <w:tblGrid>
        <w:gridCol w:w="3275"/>
        <w:gridCol w:w="1021"/>
        <w:gridCol w:w="1023"/>
        <w:gridCol w:w="1021"/>
        <w:gridCol w:w="1021"/>
        <w:gridCol w:w="1021"/>
        <w:gridCol w:w="1021"/>
      </w:tblGrid>
      <w:tr w:rsidR="00D00388" w:rsidRPr="001F1E0E" w:rsidTr="0027602A">
        <w:trPr>
          <w:tblHeader/>
          <w:jc w:val="right"/>
        </w:trPr>
        <w:tc>
          <w:tcPr>
            <w:tcW w:w="17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b/>
                <w:bCs/>
                <w:color w:val="000000"/>
                <w:sz w:val="20"/>
                <w:szCs w:val="20"/>
                <w:lang w:val="en-CA"/>
              </w:rPr>
            </w:pPr>
            <w:r w:rsidRPr="009022FF">
              <w:rPr>
                <w:b/>
                <w:bCs/>
                <w:color w:val="000000"/>
                <w:sz w:val="20"/>
                <w:szCs w:val="20"/>
                <w:lang w:val="fr-FR"/>
              </w:rPr>
              <w:t>HCFC</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center"/>
              <w:rPr>
                <w:b/>
                <w:bCs/>
                <w:color w:val="000000"/>
                <w:sz w:val="20"/>
                <w:szCs w:val="20"/>
                <w:lang w:val="en-CA"/>
              </w:rPr>
            </w:pPr>
            <w:r w:rsidRPr="001F1E0E">
              <w:rPr>
                <w:b/>
                <w:bCs/>
                <w:color w:val="000000"/>
                <w:sz w:val="20"/>
                <w:szCs w:val="20"/>
                <w:lang w:val="en-CA"/>
              </w:rPr>
              <w:t>2014</w:t>
            </w:r>
          </w:p>
        </w:tc>
        <w:tc>
          <w:tcPr>
            <w:tcW w:w="544"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center"/>
              <w:rPr>
                <w:b/>
                <w:bCs/>
                <w:color w:val="000000"/>
                <w:sz w:val="20"/>
                <w:szCs w:val="20"/>
                <w:lang w:val="en-CA"/>
              </w:rPr>
            </w:pPr>
            <w:r w:rsidRPr="001F1E0E">
              <w:rPr>
                <w:b/>
                <w:bCs/>
                <w:color w:val="000000"/>
                <w:sz w:val="20"/>
                <w:szCs w:val="20"/>
                <w:lang w:val="en-CA"/>
              </w:rPr>
              <w:t>2015</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r w:rsidRPr="001F1E0E">
              <w:rPr>
                <w:b/>
                <w:bCs/>
                <w:color w:val="000000"/>
                <w:sz w:val="20"/>
                <w:szCs w:val="20"/>
                <w:lang w:val="en-CA"/>
              </w:rPr>
              <w:t>2016</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r w:rsidRPr="001F1E0E">
              <w:rPr>
                <w:b/>
                <w:bCs/>
                <w:color w:val="000000"/>
                <w:sz w:val="20"/>
                <w:szCs w:val="20"/>
                <w:lang w:val="en-CA"/>
              </w:rPr>
              <w:t>2017</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r w:rsidRPr="001F1E0E">
              <w:rPr>
                <w:b/>
                <w:bCs/>
                <w:color w:val="000000"/>
                <w:sz w:val="20"/>
                <w:szCs w:val="20"/>
                <w:lang w:val="en-CA"/>
              </w:rPr>
              <w:t>2018</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975" w:rsidRPr="009022FF" w:rsidRDefault="009022FF" w:rsidP="005B6FC5">
            <w:pPr>
              <w:widowControl w:val="0"/>
              <w:jc w:val="center"/>
              <w:rPr>
                <w:b/>
                <w:bCs/>
                <w:color w:val="000000"/>
                <w:sz w:val="20"/>
                <w:szCs w:val="20"/>
                <w:lang w:val="en-CA"/>
              </w:rPr>
            </w:pPr>
            <w:r w:rsidRPr="009022FF">
              <w:rPr>
                <w:b/>
                <w:bCs/>
                <w:color w:val="000000"/>
                <w:sz w:val="20"/>
                <w:szCs w:val="20"/>
                <w:lang w:val="fr-FR"/>
              </w:rPr>
              <w:t>Valeur de référence</w:t>
            </w:r>
          </w:p>
        </w:tc>
      </w:tr>
      <w:tr w:rsidR="00D00388" w:rsidRPr="001F1E0E" w:rsidTr="0027602A">
        <w:trPr>
          <w:tblHeader/>
          <w:jc w:val="right"/>
        </w:trPr>
        <w:tc>
          <w:tcPr>
            <w:tcW w:w="17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51975" w:rsidRPr="009022FF" w:rsidRDefault="009022FF" w:rsidP="005B6FC5">
            <w:pPr>
              <w:widowControl w:val="0"/>
              <w:jc w:val="left"/>
              <w:rPr>
                <w:b/>
                <w:bCs/>
                <w:color w:val="000000"/>
                <w:sz w:val="20"/>
                <w:szCs w:val="20"/>
                <w:lang w:val="en-CA"/>
              </w:rPr>
            </w:pPr>
            <w:r w:rsidRPr="009022FF">
              <w:rPr>
                <w:b/>
                <w:bCs/>
                <w:color w:val="000000"/>
                <w:sz w:val="20"/>
                <w:szCs w:val="20"/>
                <w:lang w:val="fr-FR"/>
              </w:rPr>
              <w:t>Tonnes métriques</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center"/>
              <w:rPr>
                <w:b/>
                <w:bCs/>
                <w:color w:val="000000"/>
                <w:sz w:val="20"/>
                <w:szCs w:val="20"/>
                <w:lang w:val="en-CA"/>
              </w:rPr>
            </w:pPr>
          </w:p>
        </w:tc>
        <w:tc>
          <w:tcPr>
            <w:tcW w:w="544"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center"/>
              <w:rPr>
                <w:b/>
                <w:bCs/>
                <w:color w:val="000000"/>
                <w:sz w:val="20"/>
                <w:szCs w:val="20"/>
                <w:lang w:val="en-CA"/>
              </w:rPr>
            </w:pP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widowControl w:val="0"/>
              <w:jc w:val="center"/>
              <w:rPr>
                <w:b/>
                <w:bCs/>
                <w:color w:val="000000"/>
                <w:sz w:val="20"/>
                <w:szCs w:val="20"/>
                <w:lang w:val="en-CA"/>
              </w:rPr>
            </w:pP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1975" w:rsidRPr="001F1E0E" w:rsidRDefault="00E51975" w:rsidP="00E51975">
            <w:pPr>
              <w:widowControl w:val="0"/>
              <w:jc w:val="center"/>
              <w:rPr>
                <w:b/>
                <w:bCs/>
                <w:color w:val="000000"/>
                <w:sz w:val="20"/>
                <w:szCs w:val="20"/>
                <w:lang w:val="en-CA"/>
              </w:rPr>
            </w:pP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HCFC-22</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3</w:t>
            </w:r>
            <w:r w:rsidR="009E134F">
              <w:rPr>
                <w:sz w:val="20"/>
                <w:szCs w:val="20"/>
                <w:lang w:val="en-CA"/>
              </w:rPr>
              <w:t> </w:t>
            </w:r>
            <w:r w:rsidRPr="001F1E0E">
              <w:rPr>
                <w:sz w:val="20"/>
                <w:szCs w:val="20"/>
                <w:lang w:val="en-CA"/>
              </w:rPr>
              <w:t>172</w:t>
            </w:r>
            <w:r w:rsidR="009E134F">
              <w:rPr>
                <w:sz w:val="20"/>
                <w:szCs w:val="20"/>
                <w:lang w:val="en-CA"/>
              </w:rPr>
              <w:t>,</w:t>
            </w:r>
            <w:r w:rsidRPr="001F1E0E">
              <w:rPr>
                <w:sz w:val="20"/>
                <w:szCs w:val="20"/>
                <w:lang w:val="en-CA"/>
              </w:rPr>
              <w:t>59</w:t>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4</w:t>
            </w:r>
            <w:r w:rsidR="009E134F">
              <w:rPr>
                <w:sz w:val="20"/>
                <w:szCs w:val="20"/>
                <w:lang w:val="en-CA"/>
              </w:rPr>
              <w:t> </w:t>
            </w:r>
            <w:r w:rsidRPr="001F1E0E">
              <w:rPr>
                <w:sz w:val="20"/>
                <w:szCs w:val="20"/>
                <w:lang w:val="en-CA"/>
              </w:rPr>
              <w:t>038</w:t>
            </w:r>
            <w:r w:rsidR="009E134F">
              <w:rPr>
                <w:sz w:val="20"/>
                <w:szCs w:val="20"/>
                <w:lang w:val="en-CA"/>
              </w:rPr>
              <w:t>,</w:t>
            </w:r>
            <w:r w:rsidRPr="001F1E0E">
              <w:rPr>
                <w:sz w:val="20"/>
                <w:szCs w:val="20"/>
                <w:lang w:val="en-CA"/>
              </w:rPr>
              <w:t>97</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4</w:t>
            </w:r>
            <w:r w:rsidR="009E134F">
              <w:rPr>
                <w:sz w:val="20"/>
                <w:szCs w:val="20"/>
                <w:lang w:val="en-CA"/>
              </w:rPr>
              <w:t> </w:t>
            </w:r>
            <w:r w:rsidRPr="001F1E0E">
              <w:rPr>
                <w:sz w:val="20"/>
                <w:szCs w:val="20"/>
                <w:lang w:val="en-CA"/>
              </w:rPr>
              <w:t>767</w:t>
            </w:r>
            <w:r w:rsidR="009E134F">
              <w:rPr>
                <w:sz w:val="20"/>
                <w:szCs w:val="20"/>
                <w:lang w:val="en-CA"/>
              </w:rPr>
              <w:t>,</w:t>
            </w:r>
            <w:r w:rsidRPr="001F1E0E">
              <w:rPr>
                <w:sz w:val="20"/>
                <w:szCs w:val="20"/>
                <w:lang w:val="en-CA"/>
              </w:rPr>
              <w:t>59</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4</w:t>
            </w:r>
            <w:r w:rsidR="009E134F">
              <w:rPr>
                <w:color w:val="000000"/>
                <w:sz w:val="20"/>
                <w:szCs w:val="20"/>
                <w:lang w:val="en-CA"/>
              </w:rPr>
              <w:t> </w:t>
            </w:r>
            <w:r w:rsidRPr="001F1E0E">
              <w:rPr>
                <w:color w:val="000000"/>
                <w:sz w:val="20"/>
                <w:szCs w:val="20"/>
                <w:lang w:val="en-CA"/>
              </w:rPr>
              <w:t>472</w:t>
            </w:r>
            <w:r w:rsidR="009E134F">
              <w:rPr>
                <w:color w:val="000000"/>
                <w:sz w:val="20"/>
                <w:szCs w:val="20"/>
                <w:lang w:val="en-CA"/>
              </w:rPr>
              <w:t>,</w:t>
            </w:r>
            <w:r w:rsidRPr="001F1E0E">
              <w:rPr>
                <w:color w:val="000000"/>
                <w:sz w:val="20"/>
                <w:szCs w:val="20"/>
                <w:lang w:val="en-CA"/>
              </w:rPr>
              <w:t>52</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3</w:t>
            </w:r>
            <w:r w:rsidR="009E134F">
              <w:rPr>
                <w:color w:val="000000"/>
                <w:sz w:val="20"/>
                <w:szCs w:val="20"/>
                <w:lang w:val="en-CA"/>
              </w:rPr>
              <w:t> </w:t>
            </w:r>
            <w:r w:rsidRPr="001F1E0E">
              <w:rPr>
                <w:color w:val="000000"/>
                <w:sz w:val="20"/>
                <w:szCs w:val="20"/>
                <w:lang w:val="en-CA"/>
              </w:rPr>
              <w:t>919</w:t>
            </w:r>
            <w:r w:rsidR="009E134F">
              <w:rPr>
                <w:color w:val="000000"/>
                <w:sz w:val="20"/>
                <w:szCs w:val="20"/>
                <w:lang w:val="en-CA"/>
              </w:rPr>
              <w:t>,</w:t>
            </w:r>
            <w:r w:rsidRPr="001F1E0E">
              <w:rPr>
                <w:color w:val="000000"/>
                <w:sz w:val="20"/>
                <w:szCs w:val="20"/>
                <w:lang w:val="en-CA"/>
              </w:rPr>
              <w:t>38</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4</w:t>
            </w:r>
            <w:r w:rsidR="009E134F">
              <w:rPr>
                <w:color w:val="000000"/>
                <w:sz w:val="20"/>
                <w:szCs w:val="20"/>
                <w:lang w:val="en-CA"/>
              </w:rPr>
              <w:t> </w:t>
            </w:r>
            <w:r w:rsidRPr="001F1E0E">
              <w:rPr>
                <w:color w:val="000000"/>
                <w:sz w:val="20"/>
                <w:szCs w:val="20"/>
                <w:lang w:val="en-CA"/>
              </w:rPr>
              <w:t>367</w:t>
            </w:r>
            <w:r w:rsidR="009E134F">
              <w:rPr>
                <w:color w:val="000000"/>
                <w:sz w:val="20"/>
                <w:szCs w:val="20"/>
                <w:lang w:val="en-CA"/>
              </w:rPr>
              <w:t>,</w:t>
            </w:r>
            <w:r w:rsidRPr="001F1E0E">
              <w:rPr>
                <w:color w:val="000000"/>
                <w:sz w:val="20"/>
                <w:szCs w:val="20"/>
                <w:lang w:val="en-CA"/>
              </w:rPr>
              <w:t>16</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HCFC-123</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9</w:t>
            </w:r>
            <w:r w:rsidR="009E134F">
              <w:rPr>
                <w:sz w:val="20"/>
                <w:szCs w:val="20"/>
                <w:lang w:val="en-CA"/>
              </w:rPr>
              <w:t>,</w:t>
            </w:r>
            <w:r w:rsidRPr="001F1E0E">
              <w:rPr>
                <w:sz w:val="20"/>
                <w:szCs w:val="20"/>
                <w:lang w:val="en-CA"/>
              </w:rPr>
              <w:t>07</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5</w:t>
            </w:r>
            <w:r w:rsidR="009E134F">
              <w:rPr>
                <w:sz w:val="20"/>
                <w:szCs w:val="20"/>
                <w:lang w:val="en-CA"/>
              </w:rPr>
              <w:t>,</w:t>
            </w:r>
            <w:r w:rsidRPr="001F1E0E">
              <w:rPr>
                <w:sz w:val="20"/>
                <w:szCs w:val="20"/>
                <w:lang w:val="en-CA"/>
              </w:rPr>
              <w:t>00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1</w:t>
            </w:r>
            <w:r w:rsidR="009E134F">
              <w:rPr>
                <w:color w:val="000000"/>
                <w:sz w:val="20"/>
                <w:szCs w:val="20"/>
                <w:lang w:val="en-CA"/>
              </w:rPr>
              <w:t>,</w:t>
            </w:r>
            <w:r w:rsidRPr="001F1E0E">
              <w:rPr>
                <w:color w:val="000000"/>
                <w:sz w:val="20"/>
                <w:szCs w:val="20"/>
                <w:lang w:val="en-CA"/>
              </w:rPr>
              <w:t>64</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2</w:t>
            </w:r>
            <w:r w:rsidR="009E134F">
              <w:rPr>
                <w:color w:val="000000"/>
                <w:sz w:val="20"/>
                <w:szCs w:val="20"/>
                <w:lang w:val="en-CA"/>
              </w:rPr>
              <w:t>,</w:t>
            </w:r>
            <w:r w:rsidRPr="001F1E0E">
              <w:rPr>
                <w:color w:val="000000"/>
                <w:sz w:val="20"/>
                <w:szCs w:val="20"/>
                <w:lang w:val="en-CA"/>
              </w:rPr>
              <w:t>00</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5</w:t>
            </w:r>
            <w:r w:rsidR="009E134F">
              <w:rPr>
                <w:color w:val="000000"/>
                <w:sz w:val="20"/>
                <w:szCs w:val="20"/>
                <w:lang w:val="en-CA"/>
              </w:rPr>
              <w:t>,</w:t>
            </w:r>
            <w:r w:rsidRPr="001F1E0E">
              <w:rPr>
                <w:color w:val="000000"/>
                <w:sz w:val="20"/>
                <w:szCs w:val="20"/>
                <w:lang w:val="en-CA"/>
              </w:rPr>
              <w:t>25</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HCFC-124</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r w:rsidR="009E134F">
              <w:rPr>
                <w:sz w:val="20"/>
                <w:szCs w:val="20"/>
                <w:lang w:val="en-CA"/>
              </w:rPr>
              <w:t>,</w:t>
            </w:r>
            <w:r w:rsidRPr="001F1E0E">
              <w:rPr>
                <w:sz w:val="20"/>
                <w:szCs w:val="20"/>
                <w:lang w:val="en-CA"/>
              </w:rPr>
              <w:t>27</w:t>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2</w:t>
            </w:r>
            <w:r w:rsidR="009E134F">
              <w:rPr>
                <w:sz w:val="20"/>
                <w:szCs w:val="20"/>
                <w:lang w:val="en-CA"/>
              </w:rPr>
              <w:t>,</w:t>
            </w:r>
            <w:r w:rsidRPr="001F1E0E">
              <w:rPr>
                <w:sz w:val="20"/>
                <w:szCs w:val="20"/>
                <w:lang w:val="en-CA"/>
              </w:rPr>
              <w:t>70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r w:rsidR="009E134F">
              <w:rPr>
                <w:sz w:val="20"/>
                <w:szCs w:val="20"/>
                <w:lang w:val="en-CA"/>
              </w:rPr>
              <w:t>,</w:t>
            </w:r>
            <w:r w:rsidRPr="001F1E0E">
              <w:rPr>
                <w:sz w:val="20"/>
                <w:szCs w:val="20"/>
                <w:lang w:val="en-CA"/>
              </w:rPr>
              <w:t>00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2</w:t>
            </w:r>
            <w:r w:rsidR="009E134F">
              <w:rPr>
                <w:color w:val="000000"/>
                <w:sz w:val="20"/>
                <w:szCs w:val="20"/>
                <w:lang w:val="en-CA"/>
              </w:rPr>
              <w:t>,</w:t>
            </w:r>
            <w:r w:rsidRPr="001F1E0E">
              <w:rPr>
                <w:color w:val="000000"/>
                <w:sz w:val="20"/>
                <w:szCs w:val="20"/>
                <w:lang w:val="en-CA"/>
              </w:rPr>
              <w:t>09</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00</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HCFC-141b</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1</w:t>
            </w:r>
            <w:r w:rsidR="009E134F">
              <w:rPr>
                <w:sz w:val="20"/>
                <w:szCs w:val="20"/>
                <w:lang w:val="en-CA"/>
              </w:rPr>
              <w:t> </w:t>
            </w:r>
            <w:r w:rsidRPr="001F1E0E">
              <w:rPr>
                <w:sz w:val="20"/>
                <w:szCs w:val="20"/>
                <w:lang w:val="en-CA"/>
              </w:rPr>
              <w:t>118</w:t>
            </w:r>
            <w:r w:rsidR="009E134F">
              <w:rPr>
                <w:sz w:val="20"/>
                <w:szCs w:val="20"/>
                <w:lang w:val="en-CA"/>
              </w:rPr>
              <w:t>,</w:t>
            </w:r>
            <w:r w:rsidRPr="001F1E0E">
              <w:rPr>
                <w:sz w:val="20"/>
                <w:szCs w:val="20"/>
                <w:lang w:val="en-CA"/>
              </w:rPr>
              <w:t>78</w:t>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1</w:t>
            </w:r>
            <w:r w:rsidR="009E134F">
              <w:rPr>
                <w:sz w:val="20"/>
                <w:szCs w:val="20"/>
                <w:lang w:val="en-CA"/>
              </w:rPr>
              <w:t> </w:t>
            </w:r>
            <w:r w:rsidRPr="001F1E0E">
              <w:rPr>
                <w:sz w:val="20"/>
                <w:szCs w:val="20"/>
                <w:lang w:val="en-CA"/>
              </w:rPr>
              <w:t>072</w:t>
            </w:r>
            <w:r w:rsidR="009E134F">
              <w:rPr>
                <w:sz w:val="20"/>
                <w:szCs w:val="20"/>
                <w:lang w:val="en-CA"/>
              </w:rPr>
              <w:t>,</w:t>
            </w:r>
            <w:r w:rsidRPr="001F1E0E">
              <w:rPr>
                <w:sz w:val="20"/>
                <w:szCs w:val="20"/>
                <w:lang w:val="en-CA"/>
              </w:rPr>
              <w:t>75</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731</w:t>
            </w:r>
            <w:r w:rsidR="009E134F">
              <w:rPr>
                <w:sz w:val="20"/>
                <w:szCs w:val="20"/>
                <w:lang w:val="en-CA"/>
              </w:rPr>
              <w:t>,</w:t>
            </w:r>
            <w:r w:rsidRPr="001F1E0E">
              <w:rPr>
                <w:sz w:val="20"/>
                <w:szCs w:val="20"/>
                <w:lang w:val="en-CA"/>
              </w:rPr>
              <w:t>53</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871</w:t>
            </w:r>
            <w:r w:rsidR="009E134F">
              <w:rPr>
                <w:color w:val="000000"/>
                <w:sz w:val="20"/>
                <w:szCs w:val="20"/>
                <w:lang w:val="en-CA"/>
              </w:rPr>
              <w:t>,</w:t>
            </w:r>
            <w:r w:rsidRPr="001F1E0E">
              <w:rPr>
                <w:color w:val="000000"/>
                <w:sz w:val="20"/>
                <w:szCs w:val="20"/>
                <w:lang w:val="en-CA"/>
              </w:rPr>
              <w:t>01</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629</w:t>
            </w:r>
            <w:r w:rsidR="009E134F">
              <w:rPr>
                <w:color w:val="000000"/>
                <w:sz w:val="20"/>
                <w:szCs w:val="20"/>
                <w:lang w:val="en-CA"/>
              </w:rPr>
              <w:t>,</w:t>
            </w:r>
            <w:r w:rsidRPr="001F1E0E">
              <w:rPr>
                <w:color w:val="000000"/>
                <w:sz w:val="20"/>
                <w:szCs w:val="20"/>
                <w:lang w:val="en-CA"/>
              </w:rPr>
              <w:t>47</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178</w:t>
            </w:r>
            <w:r w:rsidR="009E134F">
              <w:rPr>
                <w:color w:val="000000"/>
                <w:sz w:val="20"/>
                <w:szCs w:val="20"/>
                <w:lang w:val="en-CA"/>
              </w:rPr>
              <w:t>,</w:t>
            </w:r>
            <w:r w:rsidRPr="001F1E0E">
              <w:rPr>
                <w:color w:val="000000"/>
                <w:sz w:val="20"/>
                <w:szCs w:val="20"/>
                <w:lang w:val="en-CA"/>
              </w:rPr>
              <w:t>26</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lastRenderedPageBreak/>
              <w:t>HCFC-142b</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146</w:t>
            </w:r>
            <w:r w:rsidR="009E134F">
              <w:rPr>
                <w:sz w:val="20"/>
                <w:szCs w:val="20"/>
                <w:lang w:val="en-CA"/>
              </w:rPr>
              <w:t>,</w:t>
            </w:r>
            <w:r w:rsidRPr="001F1E0E">
              <w:rPr>
                <w:sz w:val="20"/>
                <w:szCs w:val="20"/>
                <w:lang w:val="en-CA"/>
              </w:rPr>
              <w:t>49</w:t>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42</w:t>
            </w:r>
            <w:r w:rsidR="009E134F">
              <w:rPr>
                <w:sz w:val="20"/>
                <w:szCs w:val="20"/>
                <w:lang w:val="en-CA"/>
              </w:rPr>
              <w:t>,</w:t>
            </w:r>
            <w:r w:rsidRPr="001F1E0E">
              <w:rPr>
                <w:sz w:val="20"/>
                <w:szCs w:val="20"/>
                <w:lang w:val="en-CA"/>
              </w:rPr>
              <w:t>04</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57</w:t>
            </w:r>
            <w:r w:rsidR="009E134F">
              <w:rPr>
                <w:sz w:val="20"/>
                <w:szCs w:val="20"/>
                <w:lang w:val="en-CA"/>
              </w:rPr>
              <w:t>,</w:t>
            </w:r>
            <w:r w:rsidRPr="001F1E0E">
              <w:rPr>
                <w:sz w:val="20"/>
                <w:szCs w:val="20"/>
                <w:lang w:val="en-CA"/>
              </w:rPr>
              <w:t>53</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70</w:t>
            </w:r>
            <w:r w:rsidR="009E134F">
              <w:rPr>
                <w:color w:val="000000"/>
                <w:sz w:val="20"/>
                <w:szCs w:val="20"/>
                <w:lang w:val="en-CA"/>
              </w:rPr>
              <w:t>,</w:t>
            </w:r>
            <w:r w:rsidRPr="001F1E0E">
              <w:rPr>
                <w:color w:val="000000"/>
                <w:sz w:val="20"/>
                <w:szCs w:val="20"/>
                <w:lang w:val="en-CA"/>
              </w:rPr>
              <w:t>54</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40</w:t>
            </w:r>
            <w:r w:rsidR="009E134F">
              <w:rPr>
                <w:color w:val="000000"/>
                <w:sz w:val="20"/>
                <w:szCs w:val="20"/>
                <w:lang w:val="en-CA"/>
              </w:rPr>
              <w:t>,</w:t>
            </w:r>
            <w:r w:rsidRPr="001F1E0E">
              <w:rPr>
                <w:color w:val="000000"/>
                <w:sz w:val="20"/>
                <w:szCs w:val="20"/>
                <w:lang w:val="en-CA"/>
              </w:rPr>
              <w:t>02</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251</w:t>
            </w:r>
            <w:r w:rsidR="009E134F">
              <w:rPr>
                <w:color w:val="000000"/>
                <w:sz w:val="20"/>
                <w:szCs w:val="20"/>
                <w:lang w:val="en-CA"/>
              </w:rPr>
              <w:t>,</w:t>
            </w:r>
            <w:r w:rsidRPr="001F1E0E">
              <w:rPr>
                <w:color w:val="000000"/>
                <w:sz w:val="20"/>
                <w:szCs w:val="20"/>
                <w:lang w:val="en-CA"/>
              </w:rPr>
              <w:t>69</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E51975" w:rsidRPr="009022FF" w:rsidRDefault="009022FF" w:rsidP="005B6FC5">
            <w:pPr>
              <w:jc w:val="left"/>
              <w:rPr>
                <w:rFonts w:eastAsiaTheme="minorHAnsi"/>
                <w:b/>
                <w:color w:val="000000"/>
                <w:sz w:val="20"/>
                <w:szCs w:val="20"/>
                <w:lang w:val="en-CA"/>
              </w:rPr>
            </w:pPr>
            <w:r w:rsidRPr="009022FF">
              <w:rPr>
                <w:b/>
                <w:color w:val="000000"/>
                <w:sz w:val="20"/>
                <w:szCs w:val="20"/>
                <w:lang w:val="fr-FR"/>
              </w:rPr>
              <w:t>Total (tm)</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widowControl w:val="0"/>
              <w:jc w:val="right"/>
              <w:rPr>
                <w:b/>
                <w:color w:val="000000"/>
                <w:sz w:val="20"/>
                <w:szCs w:val="20"/>
                <w:lang w:val="en-CA"/>
              </w:rPr>
            </w:pPr>
            <w:r w:rsidRPr="001F1E0E">
              <w:rPr>
                <w:b/>
                <w:color w:val="000000"/>
                <w:sz w:val="20"/>
                <w:szCs w:val="20"/>
                <w:lang w:val="en-CA"/>
              </w:rPr>
              <w:fldChar w:fldCharType="begin"/>
            </w:r>
            <w:r w:rsidRPr="001F1E0E">
              <w:rPr>
                <w:b/>
                <w:color w:val="000000"/>
                <w:sz w:val="20"/>
                <w:szCs w:val="20"/>
                <w:lang w:val="en-CA"/>
              </w:rPr>
              <w:instrText xml:space="preserve"> =SUM(ABOVE) </w:instrText>
            </w:r>
            <w:r w:rsidRPr="001F1E0E">
              <w:rPr>
                <w:b/>
                <w:color w:val="000000"/>
                <w:sz w:val="20"/>
                <w:szCs w:val="20"/>
                <w:lang w:val="en-CA"/>
              </w:rPr>
              <w:fldChar w:fldCharType="separate"/>
            </w:r>
            <w:r w:rsidRPr="001F1E0E">
              <w:rPr>
                <w:b/>
                <w:noProof/>
                <w:color w:val="000000"/>
                <w:sz w:val="20"/>
                <w:szCs w:val="20"/>
                <w:lang w:val="en-CA"/>
              </w:rPr>
              <w:t>4</w:t>
            </w:r>
            <w:r w:rsidR="009E134F">
              <w:rPr>
                <w:b/>
                <w:noProof/>
                <w:color w:val="000000"/>
                <w:sz w:val="20"/>
                <w:szCs w:val="20"/>
                <w:lang w:val="en-CA"/>
              </w:rPr>
              <w:t> </w:t>
            </w:r>
            <w:r w:rsidRPr="001F1E0E">
              <w:rPr>
                <w:b/>
                <w:noProof/>
                <w:color w:val="000000"/>
                <w:sz w:val="20"/>
                <w:szCs w:val="20"/>
                <w:lang w:val="en-CA"/>
              </w:rPr>
              <w:t>438</w:t>
            </w:r>
            <w:r w:rsidR="009E134F">
              <w:rPr>
                <w:b/>
                <w:noProof/>
                <w:color w:val="000000"/>
                <w:sz w:val="20"/>
                <w:szCs w:val="20"/>
                <w:lang w:val="en-CA"/>
              </w:rPr>
              <w:t>,</w:t>
            </w:r>
            <w:r w:rsidRPr="001F1E0E">
              <w:rPr>
                <w:b/>
                <w:noProof/>
                <w:color w:val="000000"/>
                <w:sz w:val="20"/>
                <w:szCs w:val="20"/>
                <w:lang w:val="en-CA"/>
              </w:rPr>
              <w:t>13</w:t>
            </w:r>
            <w:r w:rsidRPr="001F1E0E">
              <w:rPr>
                <w:b/>
                <w:color w:val="000000"/>
                <w:sz w:val="20"/>
                <w:szCs w:val="20"/>
                <w:lang w:val="en-CA"/>
              </w:rPr>
              <w:fldChar w:fldCharType="end"/>
            </w: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widowControl w:val="0"/>
              <w:jc w:val="right"/>
              <w:rPr>
                <w:b/>
                <w:color w:val="000000"/>
                <w:sz w:val="20"/>
                <w:szCs w:val="20"/>
                <w:lang w:val="en-CA"/>
              </w:rPr>
            </w:pPr>
            <w:r w:rsidRPr="001F1E0E">
              <w:rPr>
                <w:b/>
                <w:color w:val="000000"/>
                <w:sz w:val="20"/>
                <w:szCs w:val="20"/>
                <w:lang w:val="en-CA"/>
              </w:rPr>
              <w:t>5</w:t>
            </w:r>
            <w:r w:rsidR="009E134F">
              <w:rPr>
                <w:b/>
                <w:color w:val="000000"/>
                <w:sz w:val="20"/>
                <w:szCs w:val="20"/>
                <w:lang w:val="en-CA"/>
              </w:rPr>
              <w:t> </w:t>
            </w:r>
            <w:r w:rsidRPr="001F1E0E">
              <w:rPr>
                <w:b/>
                <w:color w:val="000000"/>
                <w:sz w:val="20"/>
                <w:szCs w:val="20"/>
                <w:lang w:val="en-CA"/>
              </w:rPr>
              <w:t>165</w:t>
            </w:r>
            <w:r w:rsidR="009E134F">
              <w:rPr>
                <w:b/>
                <w:color w:val="000000"/>
                <w:sz w:val="20"/>
                <w:szCs w:val="20"/>
                <w:lang w:val="en-CA"/>
              </w:rPr>
              <w:t>,</w:t>
            </w:r>
            <w:r w:rsidRPr="001F1E0E">
              <w:rPr>
                <w:b/>
                <w:color w:val="000000"/>
                <w:sz w:val="20"/>
                <w:szCs w:val="20"/>
                <w:lang w:val="en-CA"/>
              </w:rPr>
              <w:t>53</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widowControl w:val="0"/>
              <w:jc w:val="right"/>
              <w:rPr>
                <w:b/>
                <w:color w:val="000000"/>
                <w:sz w:val="20"/>
                <w:szCs w:val="20"/>
                <w:lang w:val="en-CA"/>
              </w:rPr>
            </w:pPr>
            <w:r w:rsidRPr="001F1E0E">
              <w:rPr>
                <w:b/>
                <w:color w:val="000000"/>
                <w:sz w:val="20"/>
                <w:szCs w:val="20"/>
                <w:lang w:val="en-CA"/>
              </w:rPr>
              <w:t>5</w:t>
            </w:r>
            <w:r w:rsidR="009E134F">
              <w:rPr>
                <w:b/>
                <w:color w:val="000000"/>
                <w:sz w:val="20"/>
                <w:szCs w:val="20"/>
                <w:lang w:val="en-CA"/>
              </w:rPr>
              <w:t> </w:t>
            </w:r>
            <w:r w:rsidRPr="001F1E0E">
              <w:rPr>
                <w:b/>
                <w:color w:val="000000"/>
                <w:sz w:val="20"/>
                <w:szCs w:val="20"/>
                <w:lang w:val="en-CA"/>
              </w:rPr>
              <w:t>561</w:t>
            </w:r>
            <w:r w:rsidR="009E134F">
              <w:rPr>
                <w:b/>
                <w:color w:val="000000"/>
                <w:sz w:val="20"/>
                <w:szCs w:val="20"/>
                <w:lang w:val="en-CA"/>
              </w:rPr>
              <w:t>,</w:t>
            </w:r>
            <w:r w:rsidRPr="001F1E0E">
              <w:rPr>
                <w:b/>
                <w:color w:val="000000"/>
                <w:sz w:val="20"/>
                <w:szCs w:val="20"/>
                <w:lang w:val="en-CA"/>
              </w:rPr>
              <w:t>66</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widowControl w:val="0"/>
              <w:jc w:val="right"/>
              <w:rPr>
                <w:b/>
                <w:color w:val="000000"/>
                <w:sz w:val="20"/>
                <w:szCs w:val="20"/>
                <w:lang w:val="en-CA"/>
              </w:rPr>
            </w:pPr>
            <w:r w:rsidRPr="001F1E0E">
              <w:rPr>
                <w:b/>
                <w:color w:val="000000"/>
                <w:sz w:val="20"/>
                <w:szCs w:val="20"/>
                <w:lang w:val="en-CA"/>
              </w:rPr>
              <w:t>5</w:t>
            </w:r>
            <w:r w:rsidR="009E134F">
              <w:rPr>
                <w:b/>
                <w:color w:val="000000"/>
                <w:sz w:val="20"/>
                <w:szCs w:val="20"/>
                <w:lang w:val="en-CA"/>
              </w:rPr>
              <w:t> </w:t>
            </w:r>
            <w:r w:rsidRPr="001F1E0E">
              <w:rPr>
                <w:b/>
                <w:color w:val="000000"/>
                <w:sz w:val="20"/>
                <w:szCs w:val="20"/>
                <w:lang w:val="en-CA"/>
              </w:rPr>
              <w:t>417</w:t>
            </w:r>
            <w:r w:rsidR="009E134F">
              <w:rPr>
                <w:b/>
                <w:color w:val="000000"/>
                <w:sz w:val="20"/>
                <w:szCs w:val="20"/>
                <w:lang w:val="en-CA"/>
              </w:rPr>
              <w:t>,</w:t>
            </w:r>
            <w:r w:rsidRPr="001F1E0E">
              <w:rPr>
                <w:b/>
                <w:color w:val="000000"/>
                <w:sz w:val="20"/>
                <w:szCs w:val="20"/>
                <w:lang w:val="en-CA"/>
              </w:rPr>
              <w:t>80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b/>
                <w:bCs/>
                <w:color w:val="000000"/>
                <w:sz w:val="20"/>
                <w:szCs w:val="20"/>
                <w:lang w:val="en-CA"/>
              </w:rPr>
            </w:pPr>
            <w:r w:rsidRPr="001F1E0E">
              <w:rPr>
                <w:b/>
                <w:bCs/>
                <w:color w:val="000000"/>
                <w:sz w:val="20"/>
                <w:szCs w:val="20"/>
                <w:lang w:val="en-CA"/>
              </w:rPr>
              <w:t>4</w:t>
            </w:r>
            <w:r w:rsidR="009E134F">
              <w:rPr>
                <w:b/>
                <w:bCs/>
                <w:color w:val="000000"/>
                <w:sz w:val="20"/>
                <w:szCs w:val="20"/>
                <w:lang w:val="en-CA"/>
              </w:rPr>
              <w:t> </w:t>
            </w:r>
            <w:r w:rsidRPr="001F1E0E">
              <w:rPr>
                <w:b/>
                <w:bCs/>
                <w:color w:val="000000"/>
                <w:sz w:val="20"/>
                <w:szCs w:val="20"/>
                <w:lang w:val="en-CA"/>
              </w:rPr>
              <w:t>590</w:t>
            </w:r>
            <w:r w:rsidR="009E134F">
              <w:rPr>
                <w:b/>
                <w:bCs/>
                <w:color w:val="000000"/>
                <w:sz w:val="20"/>
                <w:szCs w:val="20"/>
                <w:lang w:val="en-CA"/>
              </w:rPr>
              <w:t>,</w:t>
            </w:r>
            <w:r w:rsidRPr="001F1E0E">
              <w:rPr>
                <w:b/>
                <w:bCs/>
                <w:color w:val="000000"/>
                <w:sz w:val="20"/>
                <w:szCs w:val="20"/>
                <w:lang w:val="en-CA"/>
              </w:rPr>
              <w:t>87</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E51975" w:rsidRPr="001F1E0E" w:rsidRDefault="00E51975" w:rsidP="00E51975">
            <w:pPr>
              <w:widowControl w:val="0"/>
              <w:jc w:val="right"/>
              <w:rPr>
                <w:b/>
                <w:color w:val="000000"/>
                <w:sz w:val="20"/>
                <w:szCs w:val="20"/>
                <w:lang w:val="en-CA"/>
              </w:rPr>
            </w:pPr>
            <w:r w:rsidRPr="001F1E0E">
              <w:rPr>
                <w:b/>
                <w:color w:val="000000"/>
                <w:sz w:val="20"/>
                <w:szCs w:val="20"/>
                <w:lang w:val="en-CA"/>
              </w:rPr>
              <w:fldChar w:fldCharType="begin"/>
            </w:r>
            <w:r w:rsidRPr="001F1E0E">
              <w:rPr>
                <w:b/>
                <w:color w:val="000000"/>
                <w:sz w:val="20"/>
                <w:szCs w:val="20"/>
                <w:lang w:val="en-CA"/>
              </w:rPr>
              <w:instrText xml:space="preserve"> =SUM(ABOVE) </w:instrText>
            </w:r>
            <w:r w:rsidRPr="001F1E0E">
              <w:rPr>
                <w:b/>
                <w:color w:val="000000"/>
                <w:sz w:val="20"/>
                <w:szCs w:val="20"/>
                <w:lang w:val="en-CA"/>
              </w:rPr>
              <w:fldChar w:fldCharType="separate"/>
            </w:r>
            <w:r w:rsidRPr="001F1E0E">
              <w:rPr>
                <w:b/>
                <w:color w:val="000000"/>
                <w:sz w:val="20"/>
                <w:szCs w:val="20"/>
                <w:lang w:val="en-CA"/>
              </w:rPr>
              <w:t>5</w:t>
            </w:r>
            <w:r w:rsidR="009E134F">
              <w:rPr>
                <w:b/>
                <w:color w:val="000000"/>
                <w:sz w:val="20"/>
                <w:szCs w:val="20"/>
                <w:lang w:val="en-CA"/>
              </w:rPr>
              <w:t> </w:t>
            </w:r>
            <w:r w:rsidRPr="001F1E0E">
              <w:rPr>
                <w:b/>
                <w:color w:val="000000"/>
                <w:sz w:val="20"/>
                <w:szCs w:val="20"/>
                <w:lang w:val="en-CA"/>
              </w:rPr>
              <w:fldChar w:fldCharType="end"/>
            </w:r>
            <w:r w:rsidRPr="001F1E0E">
              <w:rPr>
                <w:b/>
                <w:color w:val="000000"/>
                <w:sz w:val="20"/>
                <w:szCs w:val="20"/>
                <w:lang w:val="en-CA"/>
              </w:rPr>
              <w:t>802</w:t>
            </w:r>
            <w:r w:rsidR="009E134F">
              <w:rPr>
                <w:b/>
                <w:color w:val="000000"/>
                <w:sz w:val="20"/>
                <w:szCs w:val="20"/>
                <w:lang w:val="en-CA"/>
              </w:rPr>
              <w:t>,</w:t>
            </w:r>
            <w:r w:rsidRPr="001F1E0E">
              <w:rPr>
                <w:b/>
                <w:color w:val="000000"/>
                <w:sz w:val="20"/>
                <w:szCs w:val="20"/>
                <w:lang w:val="en-CA"/>
              </w:rPr>
              <w:t>36</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E51975" w:rsidRPr="00C3019D" w:rsidRDefault="009022FF" w:rsidP="005B6FC5">
            <w:pPr>
              <w:jc w:val="left"/>
              <w:rPr>
                <w:b/>
                <w:bCs/>
                <w:color w:val="000000"/>
                <w:sz w:val="20"/>
                <w:szCs w:val="20"/>
                <w:lang w:val="fr-FR"/>
              </w:rPr>
            </w:pPr>
            <w:r w:rsidRPr="009022FF">
              <w:rPr>
                <w:color w:val="000000"/>
                <w:sz w:val="20"/>
                <w:szCs w:val="20"/>
                <w:lang w:val="fr-FR"/>
              </w:rPr>
              <w:t>HCFC-141b dans les polyols prémélangés importés</w:t>
            </w:r>
          </w:p>
        </w:tc>
        <w:tc>
          <w:tcPr>
            <w:tcW w:w="543" w:type="pct"/>
            <w:tcBorders>
              <w:top w:val="single" w:sz="4" w:space="0" w:color="auto"/>
              <w:left w:val="nil"/>
              <w:bottom w:val="single" w:sz="4" w:space="0" w:color="auto"/>
              <w:right w:val="single" w:sz="4" w:space="0" w:color="auto"/>
            </w:tcBorders>
            <w:shd w:val="clear" w:color="auto" w:fill="auto"/>
          </w:tcPr>
          <w:p w:rsidR="00E51975" w:rsidRPr="001F1E0E" w:rsidRDefault="00E51975" w:rsidP="00E51975">
            <w:pPr>
              <w:jc w:val="right"/>
              <w:rPr>
                <w:sz w:val="20"/>
                <w:szCs w:val="20"/>
                <w:lang w:val="en-CA"/>
              </w:rPr>
            </w:pPr>
            <w:r w:rsidRPr="001F1E0E">
              <w:rPr>
                <w:sz w:val="20"/>
                <w:szCs w:val="20"/>
                <w:lang w:val="en-CA"/>
              </w:rPr>
              <w:t>120</w:t>
            </w:r>
            <w:r w:rsidR="009E134F">
              <w:rPr>
                <w:sz w:val="20"/>
                <w:szCs w:val="20"/>
                <w:lang w:val="en-CA"/>
              </w:rPr>
              <w:t>,</w:t>
            </w:r>
            <w:r w:rsidRPr="001F1E0E">
              <w:rPr>
                <w:sz w:val="20"/>
                <w:szCs w:val="20"/>
                <w:lang w:val="en-CA"/>
              </w:rPr>
              <w:t>00</w:t>
            </w:r>
          </w:p>
        </w:tc>
        <w:tc>
          <w:tcPr>
            <w:tcW w:w="544" w:type="pct"/>
            <w:tcBorders>
              <w:top w:val="nil"/>
              <w:left w:val="single" w:sz="4" w:space="0" w:color="auto"/>
              <w:bottom w:val="single" w:sz="4" w:space="0" w:color="auto"/>
              <w:right w:val="single" w:sz="4" w:space="0" w:color="auto"/>
            </w:tcBorders>
            <w:shd w:val="clear" w:color="auto" w:fill="auto"/>
          </w:tcPr>
          <w:p w:rsidR="00E51975" w:rsidRPr="001F1E0E" w:rsidRDefault="00E51975" w:rsidP="00E51975">
            <w:pPr>
              <w:jc w:val="right"/>
              <w:rPr>
                <w:sz w:val="20"/>
                <w:szCs w:val="20"/>
                <w:lang w:val="en-CA"/>
              </w:rPr>
            </w:pPr>
            <w:r w:rsidRPr="001F1E0E">
              <w:rPr>
                <w:sz w:val="20"/>
                <w:szCs w:val="20"/>
                <w:lang w:val="en-CA"/>
              </w:rPr>
              <w:t>100</w:t>
            </w:r>
            <w:r w:rsidR="009E134F">
              <w:rPr>
                <w:sz w:val="20"/>
                <w:szCs w:val="20"/>
                <w:lang w:val="en-CA"/>
              </w:rPr>
              <w:t>,</w:t>
            </w:r>
            <w:r w:rsidRPr="001F1E0E">
              <w:rPr>
                <w:sz w:val="20"/>
                <w:szCs w:val="20"/>
                <w:lang w:val="en-CA"/>
              </w:rPr>
              <w:t>00</w:t>
            </w:r>
          </w:p>
        </w:tc>
        <w:tc>
          <w:tcPr>
            <w:tcW w:w="543" w:type="pct"/>
            <w:tcBorders>
              <w:top w:val="nil"/>
              <w:left w:val="single" w:sz="4" w:space="0" w:color="auto"/>
              <w:bottom w:val="single" w:sz="4" w:space="0" w:color="auto"/>
              <w:right w:val="single" w:sz="4" w:space="0" w:color="auto"/>
            </w:tcBorders>
            <w:shd w:val="clear" w:color="auto" w:fill="auto"/>
          </w:tcPr>
          <w:p w:rsidR="00E51975" w:rsidRPr="001F1E0E" w:rsidRDefault="00E51975" w:rsidP="00E51975">
            <w:pPr>
              <w:jc w:val="right"/>
              <w:rPr>
                <w:sz w:val="20"/>
                <w:szCs w:val="20"/>
                <w:lang w:val="en-CA"/>
              </w:rPr>
            </w:pPr>
            <w:r w:rsidRPr="001F1E0E">
              <w:rPr>
                <w:sz w:val="20"/>
                <w:szCs w:val="20"/>
                <w:lang w:val="en-CA"/>
              </w:rPr>
              <w:t>177</w:t>
            </w:r>
            <w:r w:rsidR="009E134F">
              <w:rPr>
                <w:sz w:val="20"/>
                <w:szCs w:val="20"/>
                <w:lang w:val="en-CA"/>
              </w:rPr>
              <w:t>,</w:t>
            </w:r>
            <w:r w:rsidRPr="001F1E0E">
              <w:rPr>
                <w:sz w:val="20"/>
                <w:szCs w:val="20"/>
                <w:lang w:val="en-CA"/>
              </w:rPr>
              <w:t>80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87</w:t>
            </w:r>
            <w:r w:rsidR="009E134F">
              <w:rPr>
                <w:sz w:val="20"/>
                <w:szCs w:val="20"/>
                <w:lang w:val="en-CA"/>
              </w:rPr>
              <w:t>,</w:t>
            </w:r>
            <w:r w:rsidRPr="001F1E0E">
              <w:rPr>
                <w:sz w:val="20"/>
                <w:szCs w:val="20"/>
                <w:lang w:val="en-CA"/>
              </w:rPr>
              <w:t>95</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p>
        </w:tc>
        <w:tc>
          <w:tcPr>
            <w:tcW w:w="543" w:type="pct"/>
            <w:tcBorders>
              <w:top w:val="nil"/>
              <w:left w:val="single" w:sz="4" w:space="0" w:color="auto"/>
              <w:bottom w:val="single" w:sz="4" w:space="0" w:color="auto"/>
              <w:right w:val="single" w:sz="4" w:space="0" w:color="auto"/>
            </w:tcBorders>
            <w:shd w:val="clear" w:color="auto" w:fill="auto"/>
            <w:noWrap/>
          </w:tcPr>
          <w:p w:rsidR="00E51975" w:rsidRPr="001F1E0E" w:rsidRDefault="00E51975" w:rsidP="00E51975">
            <w:pPr>
              <w:jc w:val="right"/>
              <w:rPr>
                <w:sz w:val="20"/>
                <w:szCs w:val="20"/>
                <w:lang w:val="en-CA"/>
              </w:rPr>
            </w:pPr>
            <w:r w:rsidRPr="001F1E0E">
              <w:rPr>
                <w:sz w:val="20"/>
                <w:szCs w:val="20"/>
                <w:lang w:val="en-CA"/>
              </w:rPr>
              <w:t>894</w:t>
            </w:r>
            <w:r w:rsidR="009E134F">
              <w:rPr>
                <w:sz w:val="20"/>
                <w:szCs w:val="20"/>
                <w:lang w:val="en-CA"/>
              </w:rPr>
              <w:t>,</w:t>
            </w:r>
            <w:r w:rsidRPr="001F1E0E">
              <w:rPr>
                <w:sz w:val="20"/>
                <w:szCs w:val="20"/>
                <w:lang w:val="en-CA"/>
              </w:rPr>
              <w:t>00*</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rsidR="00E51975" w:rsidRPr="009022FF" w:rsidRDefault="009022FF" w:rsidP="005B6FC5">
            <w:pPr>
              <w:widowControl w:val="0"/>
              <w:jc w:val="left"/>
              <w:rPr>
                <w:b/>
                <w:color w:val="000000"/>
                <w:sz w:val="20"/>
                <w:szCs w:val="20"/>
                <w:lang w:val="en-CA"/>
              </w:rPr>
            </w:pPr>
            <w:r w:rsidRPr="009022FF">
              <w:rPr>
                <w:b/>
                <w:color w:val="000000"/>
                <w:sz w:val="20"/>
                <w:szCs w:val="20"/>
                <w:lang w:val="fr-FR"/>
              </w:rPr>
              <w:t>Tonnes PAO</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b/>
                <w:sz w:val="20"/>
                <w:szCs w:val="20"/>
                <w:lang w:val="en-CA"/>
              </w:rPr>
            </w:pPr>
          </w:p>
        </w:tc>
        <w:tc>
          <w:tcPr>
            <w:tcW w:w="544" w:type="pct"/>
            <w:tcBorders>
              <w:top w:val="nil"/>
              <w:left w:val="single" w:sz="4" w:space="0" w:color="auto"/>
              <w:bottom w:val="single" w:sz="4" w:space="0" w:color="auto"/>
              <w:right w:val="single" w:sz="4" w:space="0" w:color="auto"/>
            </w:tcBorders>
          </w:tcPr>
          <w:p w:rsidR="00E51975" w:rsidRPr="001F1E0E" w:rsidRDefault="00E51975" w:rsidP="00E51975">
            <w:pPr>
              <w:jc w:val="right"/>
              <w:rPr>
                <w:b/>
                <w:sz w:val="20"/>
                <w:szCs w:val="20"/>
                <w:lang w:val="en-CA"/>
              </w:rPr>
            </w:pP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b/>
                <w:sz w:val="20"/>
                <w:szCs w:val="20"/>
                <w:lang w:val="en-CA"/>
              </w:rPr>
            </w:pP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b/>
                <w:color w:val="000000"/>
                <w:sz w:val="20"/>
                <w:szCs w:val="20"/>
                <w:lang w:val="en-CA"/>
              </w:rPr>
            </w:pP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b/>
                <w:color w:val="000000"/>
                <w:sz w:val="20"/>
                <w:szCs w:val="20"/>
                <w:lang w:val="en-CA"/>
              </w:rPr>
            </w:pPr>
          </w:p>
        </w:tc>
        <w:tc>
          <w:tcPr>
            <w:tcW w:w="543" w:type="pct"/>
            <w:tcBorders>
              <w:top w:val="nil"/>
              <w:left w:val="single" w:sz="4" w:space="0" w:color="auto"/>
              <w:bottom w:val="single" w:sz="4" w:space="0" w:color="auto"/>
              <w:right w:val="single" w:sz="4" w:space="0" w:color="auto"/>
            </w:tcBorders>
            <w:shd w:val="clear" w:color="auto" w:fill="auto"/>
            <w:noWrap/>
          </w:tcPr>
          <w:p w:rsidR="00E51975" w:rsidRPr="001F1E0E" w:rsidRDefault="00E51975" w:rsidP="00E51975">
            <w:pPr>
              <w:jc w:val="right"/>
              <w:rPr>
                <w:b/>
                <w:color w:val="000000"/>
                <w:sz w:val="20"/>
                <w:szCs w:val="20"/>
                <w:lang w:val="en-CA"/>
              </w:rPr>
            </w:pP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HCFC-22</w:t>
            </w:r>
          </w:p>
        </w:tc>
        <w:tc>
          <w:tcPr>
            <w:tcW w:w="543" w:type="pct"/>
            <w:tcBorders>
              <w:top w:val="single" w:sz="4" w:space="0" w:color="auto"/>
              <w:left w:val="nil"/>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174</w:t>
            </w:r>
            <w:r w:rsidR="009E134F">
              <w:rPr>
                <w:color w:val="000000"/>
                <w:sz w:val="20"/>
                <w:szCs w:val="20"/>
                <w:lang w:val="en-CA"/>
              </w:rPr>
              <w:t>,</w:t>
            </w:r>
            <w:r w:rsidRPr="001F1E0E">
              <w:rPr>
                <w:color w:val="000000"/>
                <w:sz w:val="20"/>
                <w:szCs w:val="20"/>
                <w:lang w:val="en-CA"/>
              </w:rPr>
              <w:t>49</w:t>
            </w:r>
          </w:p>
        </w:tc>
        <w:tc>
          <w:tcPr>
            <w:tcW w:w="544"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222</w:t>
            </w:r>
            <w:r w:rsidR="009E134F">
              <w:rPr>
                <w:color w:val="000000"/>
                <w:sz w:val="20"/>
                <w:szCs w:val="20"/>
                <w:lang w:val="en-CA"/>
              </w:rPr>
              <w:t>,</w:t>
            </w:r>
            <w:r w:rsidRPr="001F1E0E">
              <w:rPr>
                <w:color w:val="000000"/>
                <w:sz w:val="20"/>
                <w:szCs w:val="20"/>
                <w:lang w:val="en-CA"/>
              </w:rPr>
              <w:t>14</w:t>
            </w:r>
          </w:p>
        </w:tc>
        <w:tc>
          <w:tcPr>
            <w:tcW w:w="543"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262</w:t>
            </w:r>
            <w:r w:rsidR="009E134F">
              <w:rPr>
                <w:color w:val="000000"/>
                <w:sz w:val="20"/>
                <w:szCs w:val="20"/>
                <w:lang w:val="en-CA"/>
              </w:rPr>
              <w:t>,</w:t>
            </w:r>
            <w:r w:rsidRPr="001F1E0E">
              <w:rPr>
                <w:color w:val="000000"/>
                <w:sz w:val="20"/>
                <w:szCs w:val="20"/>
                <w:lang w:val="en-CA"/>
              </w:rPr>
              <w:t>22</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245</w:t>
            </w:r>
            <w:r w:rsidR="009E134F">
              <w:rPr>
                <w:color w:val="000000"/>
                <w:sz w:val="20"/>
                <w:szCs w:val="20"/>
                <w:lang w:val="en-CA"/>
              </w:rPr>
              <w:t>,</w:t>
            </w:r>
            <w:r w:rsidRPr="001F1E0E">
              <w:rPr>
                <w:color w:val="000000"/>
                <w:sz w:val="20"/>
                <w:szCs w:val="20"/>
                <w:lang w:val="en-CA"/>
              </w:rPr>
              <w:t>99</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215</w:t>
            </w:r>
            <w:r w:rsidR="009E134F">
              <w:rPr>
                <w:sz w:val="20"/>
                <w:szCs w:val="20"/>
                <w:lang w:val="en-CA"/>
              </w:rPr>
              <w:t>,</w:t>
            </w:r>
            <w:r w:rsidRPr="001F1E0E">
              <w:rPr>
                <w:sz w:val="20"/>
                <w:szCs w:val="20"/>
                <w:lang w:val="en-CA"/>
              </w:rPr>
              <w:t>57</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240</w:t>
            </w:r>
            <w:r w:rsidR="009E134F">
              <w:rPr>
                <w:color w:val="000000"/>
                <w:sz w:val="20"/>
                <w:szCs w:val="20"/>
                <w:lang w:val="en-CA"/>
              </w:rPr>
              <w:t>,</w:t>
            </w:r>
            <w:r w:rsidRPr="001F1E0E">
              <w:rPr>
                <w:color w:val="000000"/>
                <w:sz w:val="20"/>
                <w:szCs w:val="20"/>
                <w:lang w:val="en-CA"/>
              </w:rPr>
              <w:t>19</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HCFC-123</w:t>
            </w:r>
          </w:p>
        </w:tc>
        <w:tc>
          <w:tcPr>
            <w:tcW w:w="543" w:type="pct"/>
            <w:tcBorders>
              <w:top w:val="single" w:sz="4" w:space="0" w:color="auto"/>
              <w:left w:val="nil"/>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p>
        </w:tc>
        <w:tc>
          <w:tcPr>
            <w:tcW w:w="544"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18</w:t>
            </w:r>
          </w:p>
        </w:tc>
        <w:tc>
          <w:tcPr>
            <w:tcW w:w="543"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10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03</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r w:rsidR="009E134F">
              <w:rPr>
                <w:sz w:val="20"/>
                <w:szCs w:val="20"/>
                <w:lang w:val="en-CA"/>
              </w:rPr>
              <w:t>,</w:t>
            </w:r>
            <w:r w:rsidRPr="001F1E0E">
              <w:rPr>
                <w:sz w:val="20"/>
                <w:szCs w:val="20"/>
                <w:lang w:val="en-CA"/>
              </w:rPr>
              <w:t>04</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11</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HCFC-124</w:t>
            </w:r>
          </w:p>
        </w:tc>
        <w:tc>
          <w:tcPr>
            <w:tcW w:w="543" w:type="pct"/>
            <w:tcBorders>
              <w:top w:val="single" w:sz="4" w:space="0" w:color="auto"/>
              <w:left w:val="nil"/>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01</w:t>
            </w:r>
          </w:p>
        </w:tc>
        <w:tc>
          <w:tcPr>
            <w:tcW w:w="544"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06</w:t>
            </w:r>
          </w:p>
        </w:tc>
        <w:tc>
          <w:tcPr>
            <w:tcW w:w="543"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00</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05</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0</w:t>
            </w:r>
            <w:r w:rsidR="009E134F">
              <w:rPr>
                <w:sz w:val="20"/>
                <w:szCs w:val="20"/>
                <w:lang w:val="en-CA"/>
              </w:rPr>
              <w:t>,</w:t>
            </w:r>
            <w:r w:rsidRPr="001F1E0E">
              <w:rPr>
                <w:sz w:val="20"/>
                <w:szCs w:val="20"/>
                <w:lang w:val="en-CA"/>
              </w:rPr>
              <w:t>00</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0</w:t>
            </w:r>
            <w:r w:rsidR="009E134F">
              <w:rPr>
                <w:color w:val="000000"/>
                <w:sz w:val="20"/>
                <w:szCs w:val="20"/>
                <w:lang w:val="en-CA"/>
              </w:rPr>
              <w:t>,</w:t>
            </w:r>
            <w:r w:rsidRPr="001F1E0E">
              <w:rPr>
                <w:color w:val="000000"/>
                <w:sz w:val="20"/>
                <w:szCs w:val="20"/>
                <w:lang w:val="en-CA"/>
              </w:rPr>
              <w:t>00</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HCFC-141b</w:t>
            </w:r>
          </w:p>
        </w:tc>
        <w:tc>
          <w:tcPr>
            <w:tcW w:w="543" w:type="pct"/>
            <w:tcBorders>
              <w:top w:val="single" w:sz="4" w:space="0" w:color="auto"/>
              <w:left w:val="nil"/>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123</w:t>
            </w:r>
            <w:r w:rsidR="009E134F">
              <w:rPr>
                <w:color w:val="000000"/>
                <w:sz w:val="20"/>
                <w:szCs w:val="20"/>
                <w:lang w:val="en-CA"/>
              </w:rPr>
              <w:t>,</w:t>
            </w:r>
            <w:r w:rsidRPr="001F1E0E">
              <w:rPr>
                <w:color w:val="000000"/>
                <w:sz w:val="20"/>
                <w:szCs w:val="20"/>
                <w:lang w:val="en-CA"/>
              </w:rPr>
              <w:t>07</w:t>
            </w:r>
          </w:p>
        </w:tc>
        <w:tc>
          <w:tcPr>
            <w:tcW w:w="544"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118</w:t>
            </w:r>
            <w:r w:rsidR="009E134F">
              <w:rPr>
                <w:color w:val="000000"/>
                <w:sz w:val="20"/>
                <w:szCs w:val="20"/>
                <w:lang w:val="en-CA"/>
              </w:rPr>
              <w:t>,</w:t>
            </w:r>
            <w:r w:rsidRPr="001F1E0E">
              <w:rPr>
                <w:color w:val="000000"/>
                <w:sz w:val="20"/>
                <w:szCs w:val="20"/>
                <w:lang w:val="en-CA"/>
              </w:rPr>
              <w:t>00</w:t>
            </w:r>
          </w:p>
        </w:tc>
        <w:tc>
          <w:tcPr>
            <w:tcW w:w="543"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80</w:t>
            </w:r>
            <w:r w:rsidR="009E134F">
              <w:rPr>
                <w:color w:val="000000"/>
                <w:sz w:val="20"/>
                <w:szCs w:val="20"/>
                <w:lang w:val="en-CA"/>
              </w:rPr>
              <w:t>,</w:t>
            </w:r>
            <w:r w:rsidRPr="001F1E0E">
              <w:rPr>
                <w:color w:val="000000"/>
                <w:sz w:val="20"/>
                <w:szCs w:val="20"/>
                <w:lang w:val="en-CA"/>
              </w:rPr>
              <w:t>47</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95</w:t>
            </w:r>
            <w:r w:rsidR="009E134F">
              <w:rPr>
                <w:color w:val="000000"/>
                <w:sz w:val="20"/>
                <w:szCs w:val="20"/>
                <w:lang w:val="en-CA"/>
              </w:rPr>
              <w:t>,</w:t>
            </w:r>
            <w:r w:rsidRPr="001F1E0E">
              <w:rPr>
                <w:color w:val="000000"/>
                <w:sz w:val="20"/>
                <w:szCs w:val="20"/>
                <w:lang w:val="en-CA"/>
              </w:rPr>
              <w:t>81</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69</w:t>
            </w:r>
            <w:r w:rsidR="009E134F">
              <w:rPr>
                <w:sz w:val="20"/>
                <w:szCs w:val="20"/>
                <w:lang w:val="en-CA"/>
              </w:rPr>
              <w:t>,</w:t>
            </w:r>
            <w:r w:rsidRPr="001F1E0E">
              <w:rPr>
                <w:sz w:val="20"/>
                <w:szCs w:val="20"/>
                <w:lang w:val="en-CA"/>
              </w:rPr>
              <w:t>24</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129</w:t>
            </w:r>
            <w:r w:rsidR="009E134F">
              <w:rPr>
                <w:color w:val="000000"/>
                <w:sz w:val="20"/>
                <w:szCs w:val="20"/>
                <w:lang w:val="en-CA"/>
              </w:rPr>
              <w:t>,</w:t>
            </w:r>
            <w:r w:rsidRPr="001F1E0E">
              <w:rPr>
                <w:color w:val="000000"/>
                <w:sz w:val="20"/>
                <w:szCs w:val="20"/>
                <w:lang w:val="en-CA"/>
              </w:rPr>
              <w:t>61</w:t>
            </w:r>
          </w:p>
        </w:tc>
      </w:tr>
      <w:tr w:rsidR="00D00388" w:rsidRPr="001F1E0E" w:rsidTr="0027602A">
        <w:trPr>
          <w:jc w:val="right"/>
        </w:trPr>
        <w:tc>
          <w:tcPr>
            <w:tcW w:w="174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51975" w:rsidRPr="009022FF" w:rsidRDefault="009022FF" w:rsidP="005B6FC5">
            <w:pPr>
              <w:widowControl w:val="0"/>
              <w:jc w:val="left"/>
              <w:rPr>
                <w:color w:val="000000"/>
                <w:sz w:val="20"/>
                <w:szCs w:val="20"/>
                <w:lang w:val="en-CA"/>
              </w:rPr>
            </w:pPr>
            <w:r w:rsidRPr="009022FF">
              <w:rPr>
                <w:color w:val="000000"/>
                <w:sz w:val="20"/>
                <w:szCs w:val="20"/>
                <w:lang w:val="fr-FR"/>
              </w:rPr>
              <w:t>HCFC-142b</w:t>
            </w:r>
          </w:p>
        </w:tc>
        <w:tc>
          <w:tcPr>
            <w:tcW w:w="543" w:type="pct"/>
            <w:tcBorders>
              <w:top w:val="single" w:sz="4" w:space="0" w:color="auto"/>
              <w:left w:val="nil"/>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9</w:t>
            </w:r>
            <w:r w:rsidR="009E134F">
              <w:rPr>
                <w:color w:val="000000"/>
                <w:sz w:val="20"/>
                <w:szCs w:val="20"/>
                <w:lang w:val="en-CA"/>
              </w:rPr>
              <w:t>,</w:t>
            </w:r>
            <w:r w:rsidRPr="001F1E0E">
              <w:rPr>
                <w:color w:val="000000"/>
                <w:sz w:val="20"/>
                <w:szCs w:val="20"/>
                <w:lang w:val="en-CA"/>
              </w:rPr>
              <w:t>52</w:t>
            </w:r>
          </w:p>
        </w:tc>
        <w:tc>
          <w:tcPr>
            <w:tcW w:w="544"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2</w:t>
            </w:r>
            <w:r w:rsidR="009E134F">
              <w:rPr>
                <w:color w:val="000000"/>
                <w:sz w:val="20"/>
                <w:szCs w:val="20"/>
                <w:lang w:val="en-CA"/>
              </w:rPr>
              <w:t>,</w:t>
            </w:r>
            <w:r w:rsidRPr="001F1E0E">
              <w:rPr>
                <w:color w:val="000000"/>
                <w:sz w:val="20"/>
                <w:szCs w:val="20"/>
                <w:lang w:val="en-CA"/>
              </w:rPr>
              <w:t>73</w:t>
            </w:r>
          </w:p>
        </w:tc>
        <w:tc>
          <w:tcPr>
            <w:tcW w:w="543" w:type="pct"/>
            <w:tcBorders>
              <w:top w:val="nil"/>
              <w:left w:val="single" w:sz="4" w:space="0" w:color="auto"/>
              <w:bottom w:val="single" w:sz="4" w:space="0" w:color="auto"/>
              <w:right w:val="single" w:sz="4" w:space="0" w:color="auto"/>
            </w:tcBorders>
            <w:vAlign w:val="bottom"/>
          </w:tcPr>
          <w:p w:rsidR="00E51975" w:rsidRPr="001F1E0E" w:rsidRDefault="00E51975" w:rsidP="00E51975">
            <w:pPr>
              <w:jc w:val="right"/>
              <w:rPr>
                <w:color w:val="000000"/>
                <w:sz w:val="20"/>
                <w:szCs w:val="20"/>
                <w:lang w:val="en-CA"/>
              </w:rPr>
            </w:pPr>
            <w:r w:rsidRPr="001F1E0E">
              <w:rPr>
                <w:color w:val="000000"/>
                <w:sz w:val="20"/>
                <w:szCs w:val="20"/>
                <w:lang w:val="en-CA"/>
              </w:rPr>
              <w:t>3</w:t>
            </w:r>
            <w:r w:rsidR="009E134F">
              <w:rPr>
                <w:color w:val="000000"/>
                <w:sz w:val="20"/>
                <w:szCs w:val="20"/>
                <w:lang w:val="en-CA"/>
              </w:rPr>
              <w:t>,</w:t>
            </w:r>
            <w:r w:rsidRPr="001F1E0E">
              <w:rPr>
                <w:color w:val="000000"/>
                <w:sz w:val="20"/>
                <w:szCs w:val="20"/>
                <w:lang w:val="en-CA"/>
              </w:rPr>
              <w:t>74</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color w:val="000000"/>
                <w:sz w:val="20"/>
                <w:szCs w:val="20"/>
                <w:lang w:val="en-CA"/>
              </w:rPr>
            </w:pPr>
            <w:r w:rsidRPr="001F1E0E">
              <w:rPr>
                <w:color w:val="000000"/>
                <w:sz w:val="20"/>
                <w:szCs w:val="20"/>
                <w:lang w:val="en-CA"/>
              </w:rPr>
              <w:t>4</w:t>
            </w:r>
            <w:r w:rsidR="009E134F">
              <w:rPr>
                <w:color w:val="000000"/>
                <w:sz w:val="20"/>
                <w:szCs w:val="20"/>
                <w:lang w:val="en-CA"/>
              </w:rPr>
              <w:t>,</w:t>
            </w:r>
            <w:r w:rsidRPr="001F1E0E">
              <w:rPr>
                <w:color w:val="000000"/>
                <w:sz w:val="20"/>
                <w:szCs w:val="20"/>
                <w:lang w:val="en-CA"/>
              </w:rPr>
              <w:t>59</w:t>
            </w:r>
          </w:p>
        </w:tc>
        <w:tc>
          <w:tcPr>
            <w:tcW w:w="543" w:type="pct"/>
            <w:tcBorders>
              <w:top w:val="nil"/>
              <w:left w:val="single" w:sz="4" w:space="0" w:color="auto"/>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2</w:t>
            </w:r>
            <w:r w:rsidR="009E134F">
              <w:rPr>
                <w:sz w:val="20"/>
                <w:szCs w:val="20"/>
                <w:lang w:val="en-CA"/>
              </w:rPr>
              <w:t>,</w:t>
            </w:r>
            <w:r w:rsidRPr="001F1E0E">
              <w:rPr>
                <w:sz w:val="20"/>
                <w:szCs w:val="20"/>
                <w:lang w:val="en-CA"/>
              </w:rPr>
              <w:t>60</w:t>
            </w:r>
          </w:p>
        </w:tc>
        <w:tc>
          <w:tcPr>
            <w:tcW w:w="543" w:type="pct"/>
            <w:tcBorders>
              <w:top w:val="nil"/>
              <w:left w:val="single" w:sz="4" w:space="0" w:color="auto"/>
              <w:bottom w:val="single" w:sz="4" w:space="0" w:color="auto"/>
              <w:right w:val="single" w:sz="4" w:space="0" w:color="auto"/>
            </w:tcBorders>
            <w:shd w:val="clear" w:color="auto" w:fill="auto"/>
            <w:noWrap/>
            <w:vAlign w:val="bottom"/>
          </w:tcPr>
          <w:p w:rsidR="00E51975" w:rsidRPr="001F1E0E" w:rsidRDefault="00E51975" w:rsidP="00E51975">
            <w:pPr>
              <w:jc w:val="right"/>
              <w:rPr>
                <w:color w:val="000000"/>
                <w:sz w:val="20"/>
                <w:szCs w:val="20"/>
                <w:lang w:val="en-CA"/>
              </w:rPr>
            </w:pPr>
            <w:r w:rsidRPr="001F1E0E">
              <w:rPr>
                <w:color w:val="000000"/>
                <w:sz w:val="20"/>
                <w:szCs w:val="20"/>
                <w:lang w:val="en-CA"/>
              </w:rPr>
              <w:t>16</w:t>
            </w:r>
            <w:r w:rsidR="009E134F">
              <w:rPr>
                <w:color w:val="000000"/>
                <w:sz w:val="20"/>
                <w:szCs w:val="20"/>
                <w:lang w:val="en-CA"/>
              </w:rPr>
              <w:t>,</w:t>
            </w:r>
            <w:r w:rsidRPr="001F1E0E">
              <w:rPr>
                <w:color w:val="000000"/>
                <w:sz w:val="20"/>
                <w:szCs w:val="20"/>
                <w:lang w:val="en-CA"/>
              </w:rPr>
              <w:t>36</w:t>
            </w:r>
          </w:p>
        </w:tc>
      </w:tr>
      <w:tr w:rsidR="00D00388" w:rsidRPr="001F1E0E" w:rsidTr="0027602A">
        <w:trPr>
          <w:jc w:val="right"/>
        </w:trPr>
        <w:tc>
          <w:tcPr>
            <w:tcW w:w="17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E51975" w:rsidRPr="009022FF" w:rsidRDefault="009022FF" w:rsidP="005B6FC5">
            <w:pPr>
              <w:jc w:val="left"/>
              <w:rPr>
                <w:rFonts w:eastAsiaTheme="minorHAnsi"/>
                <w:b/>
                <w:sz w:val="20"/>
                <w:szCs w:val="20"/>
                <w:lang w:val="en-CA"/>
              </w:rPr>
            </w:pPr>
            <w:r w:rsidRPr="009022FF">
              <w:rPr>
                <w:b/>
                <w:sz w:val="20"/>
                <w:szCs w:val="20"/>
                <w:lang w:val="fr-FR"/>
              </w:rPr>
              <w:t>Total (tonnes PAO)</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b/>
                <w:color w:val="000000"/>
                <w:sz w:val="20"/>
                <w:szCs w:val="20"/>
                <w:lang w:val="en-CA"/>
              </w:rPr>
            </w:pPr>
            <w:r w:rsidRPr="001F1E0E">
              <w:rPr>
                <w:b/>
                <w:color w:val="000000"/>
                <w:sz w:val="20"/>
                <w:szCs w:val="20"/>
                <w:lang w:val="en-CA"/>
              </w:rPr>
              <w:fldChar w:fldCharType="begin"/>
            </w:r>
            <w:r w:rsidRPr="001F1E0E">
              <w:rPr>
                <w:b/>
                <w:color w:val="000000"/>
                <w:sz w:val="20"/>
                <w:szCs w:val="20"/>
                <w:lang w:val="en-CA"/>
              </w:rPr>
              <w:instrText xml:space="preserve"> =SUM(ABOVE) </w:instrText>
            </w:r>
            <w:r w:rsidRPr="001F1E0E">
              <w:rPr>
                <w:b/>
                <w:color w:val="000000"/>
                <w:sz w:val="20"/>
                <w:szCs w:val="20"/>
                <w:lang w:val="en-CA"/>
              </w:rPr>
              <w:fldChar w:fldCharType="separate"/>
            </w:r>
            <w:r w:rsidRPr="001F1E0E">
              <w:rPr>
                <w:b/>
                <w:noProof/>
                <w:color w:val="000000"/>
                <w:sz w:val="20"/>
                <w:szCs w:val="20"/>
                <w:lang w:val="en-CA"/>
              </w:rPr>
              <w:t>307</w:t>
            </w:r>
            <w:r w:rsidR="009E134F">
              <w:rPr>
                <w:b/>
                <w:noProof/>
                <w:color w:val="000000"/>
                <w:sz w:val="20"/>
                <w:szCs w:val="20"/>
                <w:lang w:val="en-CA"/>
              </w:rPr>
              <w:t>,</w:t>
            </w:r>
            <w:r w:rsidRPr="001F1E0E">
              <w:rPr>
                <w:b/>
                <w:noProof/>
                <w:color w:val="000000"/>
                <w:sz w:val="20"/>
                <w:szCs w:val="20"/>
                <w:lang w:val="en-CA"/>
              </w:rPr>
              <w:t>09</w:t>
            </w:r>
            <w:r w:rsidRPr="001F1E0E">
              <w:rPr>
                <w:b/>
                <w:color w:val="000000"/>
                <w:sz w:val="20"/>
                <w:szCs w:val="20"/>
                <w:lang w:val="en-CA"/>
              </w:rPr>
              <w:fldChar w:fldCharType="end"/>
            </w:r>
          </w:p>
        </w:tc>
        <w:tc>
          <w:tcPr>
            <w:tcW w:w="544"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b/>
                <w:color w:val="000000"/>
                <w:sz w:val="20"/>
                <w:szCs w:val="20"/>
                <w:lang w:val="en-CA"/>
              </w:rPr>
            </w:pPr>
            <w:r w:rsidRPr="001F1E0E">
              <w:rPr>
                <w:b/>
                <w:color w:val="000000"/>
                <w:sz w:val="20"/>
                <w:szCs w:val="20"/>
                <w:lang w:val="en-CA"/>
              </w:rPr>
              <w:t>343</w:t>
            </w:r>
            <w:r w:rsidR="009E134F">
              <w:rPr>
                <w:b/>
                <w:color w:val="000000"/>
                <w:sz w:val="20"/>
                <w:szCs w:val="20"/>
                <w:lang w:val="en-CA"/>
              </w:rPr>
              <w:t>,</w:t>
            </w:r>
            <w:r w:rsidRPr="001F1E0E">
              <w:rPr>
                <w:b/>
                <w:color w:val="000000"/>
                <w:sz w:val="20"/>
                <w:szCs w:val="20"/>
                <w:lang w:val="en-CA"/>
              </w:rPr>
              <w:t>12</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b/>
                <w:color w:val="000000"/>
                <w:sz w:val="20"/>
                <w:szCs w:val="20"/>
                <w:lang w:val="en-CA"/>
              </w:rPr>
            </w:pPr>
            <w:r w:rsidRPr="001F1E0E">
              <w:rPr>
                <w:rFonts w:eastAsiaTheme="minorHAnsi"/>
                <w:b/>
                <w:color w:val="000000"/>
                <w:sz w:val="20"/>
                <w:szCs w:val="20"/>
                <w:lang w:val="en-CA"/>
              </w:rPr>
              <w:fldChar w:fldCharType="begin"/>
            </w:r>
            <w:r w:rsidRPr="001F1E0E">
              <w:rPr>
                <w:rFonts w:eastAsiaTheme="minorHAnsi"/>
                <w:b/>
                <w:color w:val="000000"/>
                <w:sz w:val="20"/>
                <w:szCs w:val="20"/>
                <w:lang w:val="en-CA"/>
              </w:rPr>
              <w:instrText xml:space="preserve"> =SUM(ABOVE) </w:instrText>
            </w:r>
            <w:r w:rsidRPr="001F1E0E">
              <w:rPr>
                <w:rFonts w:eastAsiaTheme="minorHAnsi"/>
                <w:b/>
                <w:color w:val="000000"/>
                <w:sz w:val="20"/>
                <w:szCs w:val="20"/>
                <w:lang w:val="en-CA"/>
              </w:rPr>
              <w:fldChar w:fldCharType="separate"/>
            </w:r>
            <w:r w:rsidRPr="001F1E0E">
              <w:rPr>
                <w:rFonts w:eastAsiaTheme="minorHAnsi"/>
                <w:b/>
                <w:color w:val="000000"/>
                <w:sz w:val="20"/>
                <w:szCs w:val="20"/>
                <w:lang w:val="en-CA"/>
              </w:rPr>
              <w:t>346</w:t>
            </w:r>
            <w:r w:rsidR="009E134F">
              <w:rPr>
                <w:rFonts w:eastAsiaTheme="minorHAnsi"/>
                <w:b/>
                <w:color w:val="000000"/>
                <w:sz w:val="20"/>
                <w:szCs w:val="20"/>
                <w:lang w:val="en-CA"/>
              </w:rPr>
              <w:t>,</w:t>
            </w:r>
            <w:r w:rsidRPr="001F1E0E">
              <w:rPr>
                <w:rFonts w:eastAsiaTheme="minorHAnsi"/>
                <w:b/>
                <w:color w:val="000000"/>
                <w:sz w:val="20"/>
                <w:szCs w:val="20"/>
                <w:lang w:val="en-CA"/>
              </w:rPr>
              <w:t>53</w:t>
            </w:r>
            <w:r w:rsidRPr="001F1E0E">
              <w:rPr>
                <w:rFonts w:eastAsiaTheme="minorHAnsi"/>
                <w:b/>
                <w:color w:val="000000"/>
                <w:sz w:val="20"/>
                <w:szCs w:val="20"/>
                <w:lang w:val="en-CA"/>
              </w:rPr>
              <w:fldChar w:fldCharType="end"/>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b/>
                <w:color w:val="000000"/>
                <w:sz w:val="20"/>
                <w:szCs w:val="20"/>
                <w:lang w:val="en-CA"/>
              </w:rPr>
            </w:pPr>
            <w:r w:rsidRPr="001F1E0E">
              <w:rPr>
                <w:rFonts w:eastAsiaTheme="minorHAnsi"/>
                <w:b/>
                <w:color w:val="000000"/>
                <w:sz w:val="20"/>
                <w:szCs w:val="20"/>
                <w:lang w:val="en-CA"/>
              </w:rPr>
              <w:t>346</w:t>
            </w:r>
            <w:r w:rsidR="009E134F">
              <w:rPr>
                <w:rFonts w:eastAsiaTheme="minorHAnsi"/>
                <w:b/>
                <w:color w:val="000000"/>
                <w:sz w:val="20"/>
                <w:szCs w:val="20"/>
                <w:lang w:val="en-CA"/>
              </w:rPr>
              <w:t>,</w:t>
            </w:r>
            <w:r w:rsidRPr="001F1E0E">
              <w:rPr>
                <w:rFonts w:eastAsiaTheme="minorHAnsi"/>
                <w:b/>
                <w:color w:val="000000"/>
                <w:sz w:val="20"/>
                <w:szCs w:val="20"/>
                <w:lang w:val="en-CA"/>
              </w:rPr>
              <w:t>46</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b/>
                <w:sz w:val="20"/>
                <w:szCs w:val="20"/>
                <w:lang w:val="en-CA"/>
              </w:rPr>
            </w:pPr>
            <w:r w:rsidRPr="001F1E0E">
              <w:rPr>
                <w:b/>
                <w:sz w:val="20"/>
                <w:szCs w:val="20"/>
                <w:lang w:val="en-CA"/>
              </w:rPr>
              <w:t>287</w:t>
            </w:r>
            <w:r w:rsidR="009E134F">
              <w:rPr>
                <w:b/>
                <w:sz w:val="20"/>
                <w:szCs w:val="20"/>
                <w:lang w:val="en-CA"/>
              </w:rPr>
              <w:t>,</w:t>
            </w:r>
            <w:r w:rsidRPr="001F1E0E">
              <w:rPr>
                <w:b/>
                <w:sz w:val="20"/>
                <w:szCs w:val="20"/>
                <w:lang w:val="en-CA"/>
              </w:rPr>
              <w:t>45</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rsidR="00E51975" w:rsidRPr="001F1E0E" w:rsidRDefault="00E51975" w:rsidP="00E51975">
            <w:pPr>
              <w:jc w:val="right"/>
              <w:rPr>
                <w:rFonts w:eastAsiaTheme="minorHAnsi"/>
                <w:b/>
                <w:color w:val="000000"/>
                <w:sz w:val="20"/>
                <w:szCs w:val="20"/>
                <w:lang w:val="en-CA"/>
              </w:rPr>
            </w:pPr>
            <w:r w:rsidRPr="001F1E0E">
              <w:rPr>
                <w:rFonts w:eastAsiaTheme="minorHAnsi"/>
                <w:b/>
                <w:color w:val="000000"/>
                <w:sz w:val="20"/>
                <w:szCs w:val="20"/>
                <w:lang w:val="en-CA"/>
              </w:rPr>
              <w:t>386</w:t>
            </w:r>
            <w:r w:rsidR="009E134F">
              <w:rPr>
                <w:rFonts w:eastAsiaTheme="minorHAnsi"/>
                <w:b/>
                <w:color w:val="000000"/>
                <w:sz w:val="20"/>
                <w:szCs w:val="20"/>
                <w:lang w:val="en-CA"/>
              </w:rPr>
              <w:t>,</w:t>
            </w:r>
            <w:r w:rsidRPr="001F1E0E">
              <w:rPr>
                <w:rFonts w:eastAsiaTheme="minorHAnsi"/>
                <w:b/>
                <w:color w:val="000000"/>
                <w:sz w:val="20"/>
                <w:szCs w:val="20"/>
                <w:lang w:val="en-CA"/>
              </w:rPr>
              <w:t>27</w:t>
            </w:r>
          </w:p>
        </w:tc>
      </w:tr>
      <w:tr w:rsidR="00D00388" w:rsidRPr="001F1E0E" w:rsidTr="0027602A">
        <w:trPr>
          <w:jc w:val="right"/>
        </w:trPr>
        <w:tc>
          <w:tcPr>
            <w:tcW w:w="174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E51975" w:rsidRPr="00C3019D" w:rsidRDefault="009022FF" w:rsidP="005B6FC5">
            <w:pPr>
              <w:jc w:val="left"/>
              <w:rPr>
                <w:color w:val="000000"/>
                <w:sz w:val="20"/>
                <w:szCs w:val="20"/>
                <w:lang w:val="fr-FR"/>
              </w:rPr>
            </w:pPr>
            <w:r w:rsidRPr="009022FF">
              <w:rPr>
                <w:color w:val="000000"/>
                <w:sz w:val="20"/>
                <w:szCs w:val="20"/>
                <w:lang w:val="fr-FR"/>
              </w:rPr>
              <w:t>HCFC-141b dans les polyols prémélangés importés</w:t>
            </w:r>
          </w:p>
        </w:tc>
        <w:tc>
          <w:tcPr>
            <w:tcW w:w="543" w:type="pct"/>
            <w:tcBorders>
              <w:top w:val="single" w:sz="4" w:space="0" w:color="auto"/>
              <w:left w:val="nil"/>
              <w:bottom w:val="single" w:sz="4" w:space="0" w:color="auto"/>
              <w:right w:val="single" w:sz="4" w:space="0" w:color="auto"/>
            </w:tcBorders>
          </w:tcPr>
          <w:p w:rsidR="00E51975" w:rsidRPr="001F1E0E" w:rsidRDefault="00E51975" w:rsidP="00E51975">
            <w:pPr>
              <w:jc w:val="right"/>
              <w:rPr>
                <w:sz w:val="20"/>
                <w:szCs w:val="20"/>
                <w:lang w:val="en-CA"/>
              </w:rPr>
            </w:pPr>
            <w:r w:rsidRPr="001F1E0E">
              <w:rPr>
                <w:sz w:val="20"/>
                <w:szCs w:val="20"/>
                <w:lang w:val="en-CA"/>
              </w:rPr>
              <w:t>13</w:t>
            </w:r>
            <w:r w:rsidR="009E134F">
              <w:rPr>
                <w:sz w:val="20"/>
                <w:szCs w:val="20"/>
                <w:lang w:val="en-CA"/>
              </w:rPr>
              <w:t>,</w:t>
            </w:r>
            <w:r w:rsidRPr="001F1E0E">
              <w:rPr>
                <w:sz w:val="20"/>
                <w:szCs w:val="20"/>
                <w:lang w:val="en-CA"/>
              </w:rPr>
              <w:t>20</w:t>
            </w:r>
          </w:p>
        </w:tc>
        <w:tc>
          <w:tcPr>
            <w:tcW w:w="544"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color w:val="000000"/>
                <w:sz w:val="20"/>
                <w:szCs w:val="20"/>
                <w:lang w:val="en-CA"/>
              </w:rPr>
            </w:pPr>
            <w:r w:rsidRPr="001F1E0E">
              <w:rPr>
                <w:rFonts w:eastAsiaTheme="minorHAnsi"/>
                <w:color w:val="000000"/>
                <w:sz w:val="20"/>
                <w:szCs w:val="20"/>
                <w:lang w:val="en-CA"/>
              </w:rPr>
              <w:t>11</w:t>
            </w:r>
            <w:r w:rsidR="009E134F">
              <w:rPr>
                <w:rFonts w:eastAsiaTheme="minorHAnsi"/>
                <w:color w:val="000000"/>
                <w:sz w:val="20"/>
                <w:szCs w:val="20"/>
                <w:lang w:val="en-CA"/>
              </w:rPr>
              <w:t>,</w:t>
            </w:r>
            <w:r w:rsidRPr="001F1E0E">
              <w:rPr>
                <w:rFonts w:eastAsiaTheme="minorHAnsi"/>
                <w:color w:val="000000"/>
                <w:sz w:val="20"/>
                <w:szCs w:val="20"/>
                <w:lang w:val="en-CA"/>
              </w:rPr>
              <w:t>00</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color w:val="000000"/>
                <w:sz w:val="20"/>
                <w:szCs w:val="20"/>
                <w:lang w:val="en-CA"/>
              </w:rPr>
            </w:pPr>
            <w:r w:rsidRPr="001F1E0E">
              <w:rPr>
                <w:rFonts w:eastAsiaTheme="minorHAnsi"/>
                <w:color w:val="000000"/>
                <w:sz w:val="20"/>
                <w:szCs w:val="20"/>
                <w:lang w:val="en-CA"/>
              </w:rPr>
              <w:t>19</w:t>
            </w:r>
            <w:r w:rsidR="009E134F">
              <w:rPr>
                <w:rFonts w:eastAsiaTheme="minorHAnsi"/>
                <w:color w:val="000000"/>
                <w:sz w:val="20"/>
                <w:szCs w:val="20"/>
                <w:lang w:val="en-CA"/>
              </w:rPr>
              <w:t>,</w:t>
            </w:r>
            <w:r w:rsidRPr="001F1E0E">
              <w:rPr>
                <w:rFonts w:eastAsiaTheme="minorHAnsi"/>
                <w:color w:val="000000"/>
                <w:sz w:val="20"/>
                <w:szCs w:val="20"/>
                <w:lang w:val="en-CA"/>
              </w:rPr>
              <w:t>56</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color w:val="000000"/>
                <w:sz w:val="20"/>
                <w:szCs w:val="20"/>
                <w:lang w:val="en-CA"/>
              </w:rPr>
            </w:pPr>
            <w:r w:rsidRPr="001F1E0E">
              <w:rPr>
                <w:rFonts w:eastAsiaTheme="minorHAnsi"/>
                <w:color w:val="000000"/>
                <w:sz w:val="20"/>
                <w:szCs w:val="20"/>
                <w:lang w:val="en-CA"/>
              </w:rPr>
              <w:t>9</w:t>
            </w:r>
            <w:r w:rsidR="009E134F">
              <w:rPr>
                <w:rFonts w:eastAsiaTheme="minorHAnsi"/>
                <w:color w:val="000000"/>
                <w:sz w:val="20"/>
                <w:szCs w:val="20"/>
                <w:lang w:val="en-CA"/>
              </w:rPr>
              <w:t>,</w:t>
            </w:r>
            <w:r w:rsidRPr="001F1E0E">
              <w:rPr>
                <w:rFonts w:eastAsiaTheme="minorHAnsi"/>
                <w:color w:val="000000"/>
                <w:sz w:val="20"/>
                <w:szCs w:val="20"/>
                <w:lang w:val="en-CA"/>
              </w:rPr>
              <w:t>67</w:t>
            </w:r>
          </w:p>
        </w:tc>
        <w:tc>
          <w:tcPr>
            <w:tcW w:w="543" w:type="pct"/>
            <w:tcBorders>
              <w:top w:val="single" w:sz="4" w:space="0" w:color="auto"/>
              <w:left w:val="single" w:sz="4" w:space="0" w:color="auto"/>
              <w:bottom w:val="single" w:sz="4" w:space="0" w:color="auto"/>
              <w:right w:val="single" w:sz="4" w:space="0" w:color="auto"/>
            </w:tcBorders>
          </w:tcPr>
          <w:p w:rsidR="00E51975" w:rsidRPr="001F1E0E" w:rsidRDefault="00E51975" w:rsidP="00E51975">
            <w:pPr>
              <w:jc w:val="right"/>
              <w:rPr>
                <w:rFonts w:eastAsiaTheme="minorHAnsi"/>
                <w:color w:val="000000"/>
                <w:sz w:val="20"/>
                <w:szCs w:val="20"/>
                <w:lang w:val="en-CA"/>
              </w:rPr>
            </w:pPr>
            <w:r w:rsidRPr="001F1E0E">
              <w:rPr>
                <w:rFonts w:eastAsiaTheme="minorHAnsi"/>
                <w:color w:val="000000"/>
                <w:sz w:val="20"/>
                <w:szCs w:val="20"/>
                <w:lang w:val="en-CA"/>
              </w:rPr>
              <w:t>0</w:t>
            </w:r>
          </w:p>
        </w:tc>
        <w:tc>
          <w:tcPr>
            <w:tcW w:w="543" w:type="pct"/>
            <w:tcBorders>
              <w:top w:val="single" w:sz="4" w:space="0" w:color="auto"/>
              <w:left w:val="single" w:sz="4" w:space="0" w:color="auto"/>
              <w:bottom w:val="single" w:sz="4" w:space="0" w:color="auto"/>
              <w:right w:val="single" w:sz="4" w:space="0" w:color="auto"/>
            </w:tcBorders>
            <w:shd w:val="clear" w:color="auto" w:fill="auto"/>
            <w:noWrap/>
          </w:tcPr>
          <w:p w:rsidR="00E51975" w:rsidRPr="001F1E0E" w:rsidRDefault="00E51975" w:rsidP="00E51975">
            <w:pPr>
              <w:jc w:val="right"/>
              <w:rPr>
                <w:rFonts w:eastAsiaTheme="minorHAnsi"/>
                <w:color w:val="000000"/>
                <w:sz w:val="20"/>
                <w:szCs w:val="20"/>
                <w:lang w:val="en-CA"/>
              </w:rPr>
            </w:pPr>
            <w:r w:rsidRPr="001F1E0E">
              <w:rPr>
                <w:rFonts w:eastAsiaTheme="minorHAnsi"/>
                <w:color w:val="000000"/>
                <w:sz w:val="20"/>
                <w:szCs w:val="20"/>
                <w:lang w:val="en-CA"/>
              </w:rPr>
              <w:t>98</w:t>
            </w:r>
            <w:r w:rsidR="009E134F">
              <w:rPr>
                <w:rFonts w:eastAsiaTheme="minorHAnsi"/>
                <w:color w:val="000000"/>
                <w:sz w:val="20"/>
                <w:szCs w:val="20"/>
                <w:lang w:val="en-CA"/>
              </w:rPr>
              <w:t>,</w:t>
            </w:r>
            <w:r w:rsidRPr="001F1E0E">
              <w:rPr>
                <w:rFonts w:eastAsiaTheme="minorHAnsi"/>
                <w:color w:val="000000"/>
                <w:sz w:val="20"/>
                <w:szCs w:val="20"/>
                <w:lang w:val="en-CA"/>
              </w:rPr>
              <w:t>34*</w:t>
            </w:r>
          </w:p>
        </w:tc>
      </w:tr>
    </w:tbl>
    <w:p w:rsidR="00E51975" w:rsidRPr="009022FF" w:rsidRDefault="009022FF" w:rsidP="009022FF">
      <w:pPr>
        <w:rPr>
          <w:sz w:val="16"/>
          <w:szCs w:val="16"/>
          <w:lang w:val="en-CA"/>
        </w:rPr>
      </w:pPr>
      <w:r w:rsidRPr="009022FF">
        <w:rPr>
          <w:sz w:val="16"/>
          <w:szCs w:val="16"/>
          <w:lang w:val="fr-FR"/>
        </w:rPr>
        <w:t>*Moyenne de la consommation</w:t>
      </w:r>
      <w:r w:rsidR="00D77991">
        <w:rPr>
          <w:sz w:val="16"/>
          <w:szCs w:val="16"/>
          <w:lang w:val="fr-FR"/>
        </w:rPr>
        <w:t xml:space="preserve"> </w:t>
      </w:r>
      <w:r w:rsidRPr="009022FF">
        <w:rPr>
          <w:sz w:val="16"/>
          <w:szCs w:val="16"/>
          <w:lang w:val="fr-FR"/>
        </w:rPr>
        <w:t>2007</w:t>
      </w:r>
      <w:r w:rsidRPr="009022FF">
        <w:rPr>
          <w:sz w:val="16"/>
          <w:szCs w:val="16"/>
          <w:lang w:val="fr-FR"/>
        </w:rPr>
        <w:noBreakHyphen/>
        <w:t>2009.</w:t>
      </w:r>
    </w:p>
    <w:p w:rsidR="00E51975" w:rsidRPr="001F1E0E" w:rsidRDefault="00E51975" w:rsidP="00E51975">
      <w:pPr>
        <w:rPr>
          <w:lang w:val="en-CA"/>
        </w:rPr>
      </w:pPr>
    </w:p>
    <w:p w:rsidR="004F0C1D" w:rsidRDefault="00FF26A5" w:rsidP="004E1676">
      <w:pPr>
        <w:pStyle w:val="Heading1"/>
        <w:rPr>
          <w:lang w:val="fr-FR"/>
        </w:rPr>
      </w:pPr>
      <w:r w:rsidRPr="00FF26A5">
        <w:rPr>
          <w:lang w:val="fr-FR"/>
        </w:rPr>
        <w:t>Le HCFC</w:t>
      </w:r>
      <w:r w:rsidRPr="00FF26A5">
        <w:rPr>
          <w:lang w:val="fr-FR"/>
        </w:rPr>
        <w:noBreakHyphen/>
        <w:t>22 est utilisé dans la fabrication et l</w:t>
      </w:r>
      <w:r w:rsidR="00D77991">
        <w:rPr>
          <w:lang w:val="fr-FR"/>
        </w:rPr>
        <w:t>’</w:t>
      </w:r>
      <w:r w:rsidRPr="00FF26A5">
        <w:rPr>
          <w:lang w:val="fr-FR"/>
        </w:rPr>
        <w:t>entretien des équipements de réfrigération et de climatisation et dans la fabrication des mousses de polystyrène extrudé (XPS).</w:t>
      </w:r>
      <w:r w:rsidRPr="00C3019D">
        <w:rPr>
          <w:lang w:val="fr-FR"/>
        </w:rPr>
        <w:t xml:space="preserve"> </w:t>
      </w:r>
      <w:r w:rsidRPr="00FF26A5">
        <w:rPr>
          <w:lang w:val="fr-FR"/>
        </w:rPr>
        <w:t>La consommation de HCFC-22 a baissé dans</w:t>
      </w:r>
      <w:r w:rsidR="00D77991">
        <w:rPr>
          <w:lang w:val="fr-FR"/>
        </w:rPr>
        <w:t xml:space="preserve"> </w:t>
      </w:r>
      <w:r w:rsidRPr="00FF26A5">
        <w:rPr>
          <w:lang w:val="fr-FR"/>
        </w:rPr>
        <w:t>la fabrication comme dans l</w:t>
      </w:r>
      <w:r w:rsidR="00D77991">
        <w:rPr>
          <w:lang w:val="fr-FR"/>
        </w:rPr>
        <w:t>’</w:t>
      </w:r>
      <w:r w:rsidRPr="00FF26A5">
        <w:rPr>
          <w:lang w:val="fr-FR"/>
        </w:rPr>
        <w:t>entretien des équipements de réfrigération et de climatisation du fait de la réduction des exportations de dispositifs de climatisation contenant du</w:t>
      </w:r>
      <w:r w:rsidR="00D77991">
        <w:rPr>
          <w:lang w:val="fr-FR"/>
        </w:rPr>
        <w:t xml:space="preserve"> </w:t>
      </w:r>
      <w:r w:rsidRPr="00FF26A5">
        <w:rPr>
          <w:lang w:val="fr-FR"/>
        </w:rPr>
        <w:t>HCFC</w:t>
      </w:r>
      <w:r w:rsidRPr="00FF26A5">
        <w:rPr>
          <w:lang w:val="fr-FR"/>
        </w:rPr>
        <w:noBreakHyphen/>
        <w:t>22 et de l</w:t>
      </w:r>
      <w:r w:rsidR="00D77991">
        <w:rPr>
          <w:lang w:val="fr-FR"/>
        </w:rPr>
        <w:t>’</w:t>
      </w:r>
      <w:r w:rsidRPr="00FF26A5">
        <w:rPr>
          <w:lang w:val="fr-FR"/>
        </w:rPr>
        <w:t>amélioration des pratiques d</w:t>
      </w:r>
      <w:r w:rsidR="00D77991">
        <w:rPr>
          <w:lang w:val="fr-FR"/>
        </w:rPr>
        <w:t>’</w:t>
      </w:r>
      <w:r w:rsidRPr="00FF26A5">
        <w:rPr>
          <w:lang w:val="fr-FR"/>
        </w:rPr>
        <w:t>entretien.</w:t>
      </w:r>
      <w:r w:rsidRPr="00C3019D">
        <w:rPr>
          <w:lang w:val="fr-FR"/>
        </w:rPr>
        <w:t xml:space="preserve"> </w:t>
      </w:r>
      <w:r w:rsidR="00C75DB1">
        <w:rPr>
          <w:lang w:val="fr-FR"/>
        </w:rPr>
        <w:t>Étant donné le</w:t>
      </w:r>
      <w:r w:rsidR="004E1676" w:rsidRPr="004E1676">
        <w:rPr>
          <w:lang w:val="fr-FR"/>
        </w:rPr>
        <w:t>s reconversions intervenues dans le secteur de la fabrication des mousses de polyuréthane, la diminution du HCFC-141b (pur) se poursuit tandis que, conformément à l</w:t>
      </w:r>
      <w:r w:rsidR="00D77991">
        <w:rPr>
          <w:lang w:val="fr-FR"/>
        </w:rPr>
        <w:t>’</w:t>
      </w:r>
      <w:r w:rsidR="004E1676" w:rsidRPr="004E1676">
        <w:rPr>
          <w:lang w:val="fr-FR"/>
        </w:rPr>
        <w:t>interdiction de 2018, aucun HCFC</w:t>
      </w:r>
      <w:r w:rsidR="009A22BC">
        <w:rPr>
          <w:lang w:val="fr-FR"/>
        </w:rPr>
        <w:t>-</w:t>
      </w:r>
      <w:r w:rsidR="004E1676" w:rsidRPr="004E1676">
        <w:rPr>
          <w:lang w:val="fr-FR"/>
        </w:rPr>
        <w:t>141b contenu dans des polyols prémélangés importés n</w:t>
      </w:r>
      <w:r w:rsidR="00D77991">
        <w:rPr>
          <w:lang w:val="fr-FR"/>
        </w:rPr>
        <w:t>’</w:t>
      </w:r>
      <w:r w:rsidR="004E1676" w:rsidRPr="004E1676">
        <w:rPr>
          <w:lang w:val="fr-FR"/>
        </w:rPr>
        <w:t>a été communiqué en 2018. Le HCFC</w:t>
      </w:r>
      <w:r w:rsidR="004E1676" w:rsidRPr="004E1676">
        <w:rPr>
          <w:lang w:val="fr-FR"/>
        </w:rPr>
        <w:noBreakHyphen/>
        <w:t>142b, qui est utilisé dans la fabrication</w:t>
      </w:r>
      <w:r w:rsidR="00D77991">
        <w:rPr>
          <w:lang w:val="fr-FR"/>
        </w:rPr>
        <w:t xml:space="preserve"> </w:t>
      </w:r>
      <w:r w:rsidR="004E1676" w:rsidRPr="004E1676">
        <w:rPr>
          <w:lang w:val="fr-FR"/>
        </w:rPr>
        <w:t>des mousses de polystyrène extrudé, est importé en tant que composant du R-406A, un mélange de substitution</w:t>
      </w:r>
      <w:r w:rsidR="009A22BC">
        <w:rPr>
          <w:lang w:val="fr-FR"/>
        </w:rPr>
        <w:t xml:space="preserve"> directe</w:t>
      </w:r>
      <w:r w:rsidR="00D77991">
        <w:rPr>
          <w:lang w:val="fr-FR"/>
        </w:rPr>
        <w:t xml:space="preserve"> </w:t>
      </w:r>
      <w:r w:rsidR="004E1676" w:rsidRPr="004E1676">
        <w:rPr>
          <w:lang w:val="fr-FR"/>
        </w:rPr>
        <w:t xml:space="preserve">pour </w:t>
      </w:r>
      <w:r w:rsidR="009A22BC">
        <w:rPr>
          <w:lang w:val="fr-FR"/>
        </w:rPr>
        <w:t>d</w:t>
      </w:r>
      <w:r w:rsidR="004E1676" w:rsidRPr="004E1676">
        <w:rPr>
          <w:lang w:val="fr-FR"/>
        </w:rPr>
        <w:t>es équipements à base de CFC-12</w:t>
      </w:r>
    </w:p>
    <w:p w:rsidR="004F0C1D" w:rsidRDefault="004F0C1D" w:rsidP="004F0C1D">
      <w:pPr>
        <w:rPr>
          <w:i/>
          <w:lang w:val="fr-FR"/>
        </w:rPr>
      </w:pPr>
      <w:r w:rsidRPr="004E1676">
        <w:rPr>
          <w:i/>
          <w:lang w:val="fr-FR"/>
        </w:rPr>
        <w:t>Rapport de mise en œuvre du programme de pay</w:t>
      </w:r>
      <w:r>
        <w:rPr>
          <w:i/>
          <w:lang w:val="fr-FR"/>
        </w:rPr>
        <w:t>s</w:t>
      </w:r>
    </w:p>
    <w:p w:rsidR="004F0C1D" w:rsidRPr="00C3019D" w:rsidRDefault="004E1676" w:rsidP="004F0C1D">
      <w:pPr>
        <w:rPr>
          <w:i/>
          <w:lang w:val="fr-FR"/>
        </w:rPr>
      </w:pPr>
      <w:r w:rsidRPr="00C3019D">
        <w:rPr>
          <w:lang w:val="fr-FR"/>
        </w:rPr>
        <w:t xml:space="preserve"> </w:t>
      </w:r>
    </w:p>
    <w:p w:rsidR="004E1676" w:rsidRPr="00C3019D" w:rsidRDefault="004E1676" w:rsidP="004E1676">
      <w:pPr>
        <w:pStyle w:val="Heading1"/>
        <w:rPr>
          <w:lang w:val="fr-FR"/>
        </w:rPr>
      </w:pPr>
      <w:r w:rsidRPr="004E1676">
        <w:rPr>
          <w:lang w:val="fr-FR"/>
        </w:rPr>
        <w:t>Le gouvernement de l</w:t>
      </w:r>
      <w:r w:rsidR="00D77991">
        <w:rPr>
          <w:lang w:val="fr-FR"/>
        </w:rPr>
        <w:t>’</w:t>
      </w:r>
      <w:r w:rsidRPr="004E1676">
        <w:rPr>
          <w:lang w:val="fr-FR"/>
        </w:rPr>
        <w:t>Égypte a communiqué, dans le cadre du rapport de mise en œuvre de son programme de pays de 2018, des données de consommation de HCFC par secteur qui sont conformes aux données communiquées au titre de l</w:t>
      </w:r>
      <w:r w:rsidR="00D77991">
        <w:rPr>
          <w:lang w:val="fr-FR"/>
        </w:rPr>
        <w:t>’</w:t>
      </w:r>
      <w:r w:rsidRPr="004E1676">
        <w:rPr>
          <w:lang w:val="fr-FR"/>
        </w:rPr>
        <w:t>article 7 du Protocole de Montréal.</w:t>
      </w:r>
    </w:p>
    <w:p w:rsidR="00E51975" w:rsidRPr="00C3019D" w:rsidRDefault="004E1676" w:rsidP="00E51975">
      <w:pPr>
        <w:rPr>
          <w:u w:val="single"/>
          <w:lang w:val="fr-FR"/>
        </w:rPr>
      </w:pPr>
      <w:r w:rsidRPr="004E1676">
        <w:rPr>
          <w:u w:val="single"/>
          <w:lang w:val="fr-FR"/>
        </w:rPr>
        <w:t>Rapport périodique sur la mise en œuvre de la troisième tranche du PGEH</w:t>
      </w:r>
    </w:p>
    <w:p w:rsidR="00E51975" w:rsidRPr="00C3019D" w:rsidRDefault="00E51975" w:rsidP="00E51975">
      <w:pPr>
        <w:rPr>
          <w:lang w:val="fr-FR"/>
        </w:rPr>
      </w:pPr>
    </w:p>
    <w:p w:rsidR="00E51975" w:rsidRPr="004E1676" w:rsidRDefault="004E1676" w:rsidP="00E51975">
      <w:pPr>
        <w:rPr>
          <w:i/>
          <w:lang w:val="en-CA"/>
        </w:rPr>
      </w:pPr>
      <w:r w:rsidRPr="004E1676">
        <w:rPr>
          <w:i/>
          <w:lang w:val="fr-FR"/>
        </w:rPr>
        <w:t>Cadre</w:t>
      </w:r>
      <w:r w:rsidR="00D77991">
        <w:rPr>
          <w:i/>
          <w:lang w:val="fr-FR"/>
        </w:rPr>
        <w:t xml:space="preserve"> </w:t>
      </w:r>
      <w:r w:rsidRPr="004E1676">
        <w:rPr>
          <w:i/>
          <w:lang w:val="fr-FR"/>
        </w:rPr>
        <w:t>juridique</w:t>
      </w:r>
    </w:p>
    <w:p w:rsidR="00E51975" w:rsidRPr="001F1E0E" w:rsidRDefault="00E51975" w:rsidP="00E51975">
      <w:pPr>
        <w:rPr>
          <w:lang w:val="en-CA"/>
        </w:rPr>
      </w:pPr>
    </w:p>
    <w:p w:rsidR="004E1676" w:rsidRPr="00C3019D" w:rsidRDefault="004E1676" w:rsidP="00D46292">
      <w:pPr>
        <w:pStyle w:val="Heading1"/>
        <w:rPr>
          <w:lang w:val="fr-FR"/>
        </w:rPr>
      </w:pPr>
      <w:r w:rsidRPr="004E1676">
        <w:rPr>
          <w:lang w:val="fr-FR"/>
        </w:rPr>
        <w:t>Le système d</w:t>
      </w:r>
      <w:r w:rsidR="00D77991">
        <w:rPr>
          <w:lang w:val="fr-FR"/>
        </w:rPr>
        <w:t>’</w:t>
      </w:r>
      <w:r w:rsidRPr="004E1676">
        <w:rPr>
          <w:lang w:val="fr-FR"/>
        </w:rPr>
        <w:t>autorisation et de quotas des HCFC (excepté pour le HCFC-141b dans les polyols prémélangés importés) est entré en vigueur en 2013. Le gouvernement a interdit les importations de HCFC-141b dans des polyols prémélangés à compter du 1</w:t>
      </w:r>
      <w:r w:rsidRPr="004E1676">
        <w:rPr>
          <w:vertAlign w:val="superscript"/>
          <w:lang w:val="fr-FR"/>
        </w:rPr>
        <w:t>er</w:t>
      </w:r>
      <w:r w:rsidR="00D77991">
        <w:rPr>
          <w:lang w:val="fr-FR"/>
        </w:rPr>
        <w:t xml:space="preserve"> </w:t>
      </w:r>
      <w:r w:rsidRPr="004E1676">
        <w:rPr>
          <w:lang w:val="fr-FR"/>
        </w:rPr>
        <w:t>janvier 2018.</w:t>
      </w:r>
      <w:r w:rsidR="00D77991">
        <w:rPr>
          <w:lang w:val="fr-FR"/>
        </w:rPr>
        <w:t xml:space="preserve"> </w:t>
      </w:r>
      <w:r w:rsidRPr="004E1676">
        <w:rPr>
          <w:lang w:val="fr-FR"/>
        </w:rPr>
        <w:t>Cette interdiction est mise en œuvre sur la base de la coopération entre l</w:t>
      </w:r>
      <w:r w:rsidR="00D77991">
        <w:rPr>
          <w:lang w:val="fr-FR"/>
        </w:rPr>
        <w:t>’</w:t>
      </w:r>
      <w:r w:rsidRPr="004E1676">
        <w:rPr>
          <w:lang w:val="fr-FR"/>
        </w:rPr>
        <w:t>Agence égyptienne des affaires environnementales (EEAA) et les Autorités douanières, dans le cadre de laquelle ces dernières vérifient, avec l</w:t>
      </w:r>
      <w:r w:rsidR="00D77991">
        <w:rPr>
          <w:lang w:val="fr-FR"/>
        </w:rPr>
        <w:t>’</w:t>
      </w:r>
      <w:r w:rsidRPr="004E1676">
        <w:rPr>
          <w:lang w:val="fr-FR"/>
        </w:rPr>
        <w:t>assistance de l</w:t>
      </w:r>
      <w:r w:rsidR="00D77991">
        <w:rPr>
          <w:lang w:val="fr-FR"/>
        </w:rPr>
        <w:t>’</w:t>
      </w:r>
      <w:r w:rsidRPr="004E1676">
        <w:rPr>
          <w:lang w:val="fr-FR"/>
        </w:rPr>
        <w:t>UNO, toutes les importations de polyols selon le code général du Système harmonisé.</w:t>
      </w:r>
      <w:r w:rsidRPr="00C3019D">
        <w:rPr>
          <w:lang w:val="fr-FR"/>
        </w:rPr>
        <w:t xml:space="preserve"> </w:t>
      </w:r>
      <w:r w:rsidRPr="004E1676">
        <w:rPr>
          <w:lang w:val="fr-FR"/>
        </w:rPr>
        <w:t>Conformément à la décision 79/34(c)(ii), le gouvernement interdira l</w:t>
      </w:r>
      <w:r w:rsidR="00D77991">
        <w:rPr>
          <w:lang w:val="fr-FR"/>
        </w:rPr>
        <w:t>’</w:t>
      </w:r>
      <w:r w:rsidRPr="004E1676">
        <w:rPr>
          <w:lang w:val="fr-FR"/>
        </w:rPr>
        <w:t>importation, l</w:t>
      </w:r>
      <w:r w:rsidR="00D77991">
        <w:rPr>
          <w:lang w:val="fr-FR"/>
        </w:rPr>
        <w:t>’</w:t>
      </w:r>
      <w:r w:rsidRPr="004E1676">
        <w:rPr>
          <w:lang w:val="fr-FR"/>
        </w:rPr>
        <w:t>utilisation et l</w:t>
      </w:r>
      <w:r w:rsidR="00D77991">
        <w:rPr>
          <w:lang w:val="fr-FR"/>
        </w:rPr>
        <w:t>’</w:t>
      </w:r>
      <w:r w:rsidRPr="004E1676">
        <w:rPr>
          <w:lang w:val="fr-FR"/>
        </w:rPr>
        <w:t>exportation de HCFC-141b en vrac et l</w:t>
      </w:r>
      <w:r w:rsidR="00D77991">
        <w:rPr>
          <w:lang w:val="fr-FR"/>
        </w:rPr>
        <w:t>’</w:t>
      </w:r>
      <w:r w:rsidRPr="004E1676">
        <w:rPr>
          <w:lang w:val="fr-FR"/>
        </w:rPr>
        <w:t xml:space="preserve">exportation du HCFC-141b contenu dans les polyols prémélangés </w:t>
      </w:r>
      <w:r w:rsidR="009A22BC">
        <w:rPr>
          <w:lang w:val="fr-FR"/>
        </w:rPr>
        <w:t>à compter du</w:t>
      </w:r>
      <w:r w:rsidRPr="004E1676">
        <w:rPr>
          <w:lang w:val="fr-FR"/>
        </w:rPr>
        <w:t xml:space="preserve"> 1</w:t>
      </w:r>
      <w:r w:rsidRPr="004E1676">
        <w:rPr>
          <w:vertAlign w:val="superscript"/>
          <w:lang w:val="fr-FR"/>
        </w:rPr>
        <w:t>er</w:t>
      </w:r>
      <w:r w:rsidRPr="004E1676">
        <w:rPr>
          <w:lang w:val="fr-FR"/>
        </w:rPr>
        <w:t xml:space="preserve"> janvier</w:t>
      </w:r>
      <w:r w:rsidR="00D77991">
        <w:rPr>
          <w:lang w:val="fr-FR"/>
        </w:rPr>
        <w:t xml:space="preserve"> </w:t>
      </w:r>
      <w:r w:rsidRPr="004E1676">
        <w:rPr>
          <w:lang w:val="fr-FR"/>
        </w:rPr>
        <w:t>2020.</w:t>
      </w:r>
    </w:p>
    <w:p w:rsidR="00E51975" w:rsidRPr="004E1676" w:rsidRDefault="004E1676" w:rsidP="004E1676">
      <w:pPr>
        <w:pStyle w:val="Heading1"/>
        <w:numPr>
          <w:ilvl w:val="0"/>
          <w:numId w:val="0"/>
        </w:numPr>
        <w:rPr>
          <w:lang w:val="en-CA"/>
        </w:rPr>
      </w:pPr>
      <w:r w:rsidRPr="004E1676">
        <w:rPr>
          <w:i/>
          <w:lang w:val="fr-FR"/>
        </w:rPr>
        <w:t>Secteur de la</w:t>
      </w:r>
      <w:r w:rsidR="00D77991">
        <w:rPr>
          <w:i/>
          <w:lang w:val="fr-FR"/>
        </w:rPr>
        <w:t xml:space="preserve"> </w:t>
      </w:r>
      <w:r w:rsidRPr="004E1676">
        <w:rPr>
          <w:i/>
          <w:lang w:val="fr-FR"/>
        </w:rPr>
        <w:t>fabrication</w:t>
      </w:r>
    </w:p>
    <w:p w:rsidR="004E1676" w:rsidRPr="00C3019D" w:rsidRDefault="004E1676" w:rsidP="004E1676">
      <w:pPr>
        <w:pStyle w:val="Heading1"/>
        <w:rPr>
          <w:lang w:val="fr-FR"/>
        </w:rPr>
      </w:pPr>
      <w:r w:rsidRPr="004E1676">
        <w:rPr>
          <w:lang w:val="fr-FR"/>
        </w:rPr>
        <w:t xml:space="preserve">Le projet de reconversion de 81 PME pour passer à une technologie à faible PRP avance, un </w:t>
      </w:r>
      <w:r w:rsidR="003A3AC1">
        <w:rPr>
          <w:lang w:val="fr-FR"/>
        </w:rPr>
        <w:t>MdE</w:t>
      </w:r>
      <w:r w:rsidR="00D77991">
        <w:rPr>
          <w:lang w:val="fr-FR"/>
        </w:rPr>
        <w:t xml:space="preserve"> </w:t>
      </w:r>
      <w:r w:rsidRPr="004E1676">
        <w:rPr>
          <w:lang w:val="fr-FR"/>
        </w:rPr>
        <w:t>ayant été signé avec trois sociétés de formulation, Baalbaki, Dow et Technocom</w:t>
      </w:r>
      <w:r w:rsidR="00C75DB1">
        <w:rPr>
          <w:lang w:val="fr-FR"/>
        </w:rPr>
        <w:t>,</w:t>
      </w:r>
      <w:r w:rsidRPr="004E1676">
        <w:rPr>
          <w:lang w:val="fr-FR"/>
        </w:rPr>
        <w:t xml:space="preserve"> pour la reconversion de </w:t>
      </w:r>
      <w:r w:rsidRPr="004E1676">
        <w:rPr>
          <w:lang w:val="fr-FR"/>
        </w:rPr>
        <w:lastRenderedPageBreak/>
        <w:t xml:space="preserve">64 clients en aval ; un addenda au </w:t>
      </w:r>
      <w:r w:rsidR="003A3AC1">
        <w:rPr>
          <w:lang w:val="fr-FR"/>
        </w:rPr>
        <w:t>MdE</w:t>
      </w:r>
      <w:r w:rsidR="00D77991">
        <w:rPr>
          <w:lang w:val="fr-FR"/>
        </w:rPr>
        <w:t xml:space="preserve"> </w:t>
      </w:r>
      <w:r w:rsidRPr="004E1676">
        <w:rPr>
          <w:lang w:val="fr-FR"/>
        </w:rPr>
        <w:t>conclu avec Baalbaki pour la reconversion de six clients supplémentaires devait être signé d</w:t>
      </w:r>
      <w:r w:rsidR="00D77991">
        <w:rPr>
          <w:lang w:val="fr-FR"/>
        </w:rPr>
        <w:t>’</w:t>
      </w:r>
      <w:r w:rsidRPr="004E1676">
        <w:rPr>
          <w:lang w:val="fr-FR"/>
        </w:rPr>
        <w:t>ici le 30 novembre 2019. Sur les 64 clients en aval, 44 avaient effectué l</w:t>
      </w:r>
      <w:r w:rsidR="009A22BC">
        <w:rPr>
          <w:lang w:val="fr-FR"/>
        </w:rPr>
        <w:t>eur</w:t>
      </w:r>
      <w:r w:rsidRPr="004E1676">
        <w:rPr>
          <w:lang w:val="fr-FR"/>
        </w:rPr>
        <w:t xml:space="preserve"> reconversion et signé l</w:t>
      </w:r>
      <w:r w:rsidR="00D77991">
        <w:rPr>
          <w:lang w:val="fr-FR"/>
        </w:rPr>
        <w:t>’</w:t>
      </w:r>
      <w:r w:rsidRPr="004E1676">
        <w:rPr>
          <w:lang w:val="fr-FR"/>
        </w:rPr>
        <w:t>engagement d</w:t>
      </w:r>
      <w:r w:rsidR="00D77991">
        <w:rPr>
          <w:lang w:val="fr-FR"/>
        </w:rPr>
        <w:t>’</w:t>
      </w:r>
      <w:r w:rsidRPr="004E1676">
        <w:rPr>
          <w:lang w:val="fr-FR"/>
        </w:rPr>
        <w:t>arrêter d</w:t>
      </w:r>
      <w:r w:rsidR="00D77991">
        <w:rPr>
          <w:lang w:val="fr-FR"/>
        </w:rPr>
        <w:t>’</w:t>
      </w:r>
      <w:r w:rsidRPr="004E1676">
        <w:rPr>
          <w:lang w:val="fr-FR"/>
        </w:rPr>
        <w:t>utiliser des formules contenant des HCFC ; trois autres clients également reconvertis s</w:t>
      </w:r>
      <w:r w:rsidR="00D77991">
        <w:rPr>
          <w:lang w:val="fr-FR"/>
        </w:rPr>
        <w:t>’</w:t>
      </w:r>
      <w:r w:rsidRPr="004E1676">
        <w:rPr>
          <w:lang w:val="fr-FR"/>
        </w:rPr>
        <w:t>apprêtent à signer ce genre d</w:t>
      </w:r>
      <w:r w:rsidR="00D77991">
        <w:rPr>
          <w:lang w:val="fr-FR"/>
        </w:rPr>
        <w:t>’</w:t>
      </w:r>
      <w:r w:rsidRPr="004E1676">
        <w:rPr>
          <w:lang w:val="fr-FR"/>
        </w:rPr>
        <w:t xml:space="preserve">engagement, ce qui devrait </w:t>
      </w:r>
      <w:r w:rsidR="009A22BC">
        <w:rPr>
          <w:lang w:val="fr-FR"/>
        </w:rPr>
        <w:t xml:space="preserve">se faire </w:t>
      </w:r>
      <w:r w:rsidRPr="004E1676">
        <w:rPr>
          <w:lang w:val="fr-FR"/>
        </w:rPr>
        <w:t>d</w:t>
      </w:r>
      <w:r w:rsidR="00D77991">
        <w:rPr>
          <w:lang w:val="fr-FR"/>
        </w:rPr>
        <w:t>’</w:t>
      </w:r>
      <w:r w:rsidRPr="004E1676">
        <w:rPr>
          <w:lang w:val="fr-FR"/>
        </w:rPr>
        <w:t xml:space="preserve">ici la fin de 2019. Le nombre exact de clients en aval restants sera confirmé au cours de la mise en œuvre ; la reconversion de tous les clients en aval devrait être </w:t>
      </w:r>
      <w:r w:rsidR="00732221" w:rsidRPr="004E1676">
        <w:rPr>
          <w:lang w:val="fr-FR"/>
        </w:rPr>
        <w:t>achevée</w:t>
      </w:r>
      <w:r w:rsidRPr="004E1676">
        <w:rPr>
          <w:lang w:val="fr-FR"/>
        </w:rPr>
        <w:t xml:space="preserve"> d</w:t>
      </w:r>
      <w:r w:rsidR="00D77991">
        <w:rPr>
          <w:lang w:val="fr-FR"/>
        </w:rPr>
        <w:t>’</w:t>
      </w:r>
      <w:r w:rsidRPr="004E1676">
        <w:rPr>
          <w:lang w:val="fr-FR"/>
        </w:rPr>
        <w:t>ici la fin de 2019.</w:t>
      </w:r>
      <w:r w:rsidRPr="00C3019D">
        <w:rPr>
          <w:lang w:val="fr-FR"/>
        </w:rPr>
        <w:t xml:space="preserve"> </w:t>
      </w:r>
    </w:p>
    <w:p w:rsidR="004E1676" w:rsidRPr="00B03A24" w:rsidRDefault="004E1676" w:rsidP="00E51975">
      <w:pPr>
        <w:pStyle w:val="Heading1"/>
        <w:rPr>
          <w:lang w:val="fr-FR"/>
        </w:rPr>
      </w:pPr>
      <w:r w:rsidRPr="004E1676">
        <w:rPr>
          <w:lang w:val="fr-FR"/>
        </w:rPr>
        <w:t>La plupart des très petits utilisateurs achètent irrégulièrement des formules et le font plutôt par l</w:t>
      </w:r>
      <w:r w:rsidR="00D77991">
        <w:rPr>
          <w:lang w:val="fr-FR"/>
        </w:rPr>
        <w:t>’</w:t>
      </w:r>
      <w:r w:rsidRPr="004E1676">
        <w:rPr>
          <w:lang w:val="fr-FR"/>
        </w:rPr>
        <w:t>intermédiaire de distributeurs que directement auprès des sociétés de formulation, ce qui rend leur identification difficile.</w:t>
      </w:r>
      <w:r w:rsidRPr="00C3019D">
        <w:rPr>
          <w:lang w:val="fr-FR"/>
        </w:rPr>
        <w:t xml:space="preserve"> </w:t>
      </w:r>
      <w:r w:rsidRPr="004E1676">
        <w:rPr>
          <w:lang w:val="fr-FR"/>
        </w:rPr>
        <w:t>Un atelier de sensibilisation a été organisé en septembre</w:t>
      </w:r>
      <w:r w:rsidR="00D77991">
        <w:rPr>
          <w:lang w:val="fr-FR"/>
        </w:rPr>
        <w:t xml:space="preserve"> </w:t>
      </w:r>
      <w:r w:rsidRPr="004E1676">
        <w:rPr>
          <w:lang w:val="fr-FR"/>
        </w:rPr>
        <w:t xml:space="preserve">2019 pour identifier </w:t>
      </w:r>
      <w:r w:rsidR="00C75DB1">
        <w:rPr>
          <w:lang w:val="fr-FR"/>
        </w:rPr>
        <w:t>l’ensemble des t</w:t>
      </w:r>
      <w:r w:rsidRPr="004E1676">
        <w:rPr>
          <w:lang w:val="fr-FR"/>
        </w:rPr>
        <w:t>rès petits utilisateurs afin de s</w:t>
      </w:r>
      <w:r w:rsidR="00D77991">
        <w:rPr>
          <w:lang w:val="fr-FR"/>
        </w:rPr>
        <w:t>’</w:t>
      </w:r>
      <w:r w:rsidRPr="004E1676">
        <w:rPr>
          <w:lang w:val="fr-FR"/>
        </w:rPr>
        <w:t>assurer qu</w:t>
      </w:r>
      <w:r w:rsidR="00D77991">
        <w:rPr>
          <w:lang w:val="fr-FR"/>
        </w:rPr>
        <w:t>’</w:t>
      </w:r>
      <w:r w:rsidRPr="004E1676">
        <w:rPr>
          <w:lang w:val="fr-FR"/>
        </w:rPr>
        <w:t>ils achèveront la reconversion à des substances de remplacement sans HCFC d</w:t>
      </w:r>
      <w:r w:rsidR="00D77991">
        <w:rPr>
          <w:lang w:val="fr-FR"/>
        </w:rPr>
        <w:t>’</w:t>
      </w:r>
      <w:r w:rsidRPr="004E1676">
        <w:rPr>
          <w:lang w:val="fr-FR"/>
        </w:rPr>
        <w:t>ici le 1</w:t>
      </w:r>
      <w:r w:rsidRPr="004E1676">
        <w:rPr>
          <w:vertAlign w:val="superscript"/>
          <w:lang w:val="fr-FR"/>
        </w:rPr>
        <w:t>er</w:t>
      </w:r>
      <w:r w:rsidRPr="004E1676">
        <w:rPr>
          <w:lang w:val="fr-FR"/>
        </w:rPr>
        <w:t xml:space="preserve"> janvier 2020. Jusqu</w:t>
      </w:r>
      <w:r w:rsidR="00D77991">
        <w:rPr>
          <w:lang w:val="fr-FR"/>
        </w:rPr>
        <w:t>’</w:t>
      </w:r>
      <w:r w:rsidRPr="004E1676">
        <w:rPr>
          <w:lang w:val="fr-FR"/>
        </w:rPr>
        <w:t>à présent, aucun très petit utilisateur n</w:t>
      </w:r>
      <w:r w:rsidR="00D77991">
        <w:rPr>
          <w:lang w:val="fr-FR"/>
        </w:rPr>
        <w:t>’</w:t>
      </w:r>
      <w:r w:rsidRPr="004E1676">
        <w:rPr>
          <w:lang w:val="fr-FR"/>
        </w:rPr>
        <w:t>a procédé à une reconversion avec l</w:t>
      </w:r>
      <w:r w:rsidR="00D77991">
        <w:rPr>
          <w:lang w:val="fr-FR"/>
        </w:rPr>
        <w:t>’</w:t>
      </w:r>
      <w:r w:rsidRPr="004E1676">
        <w:rPr>
          <w:lang w:val="fr-FR"/>
        </w:rPr>
        <w:t>assistance du projet.</w:t>
      </w:r>
    </w:p>
    <w:p w:rsidR="00E51975" w:rsidRPr="00C3019D" w:rsidRDefault="004E1676" w:rsidP="00E51975">
      <w:pPr>
        <w:rPr>
          <w:i/>
          <w:lang w:val="fr-FR"/>
        </w:rPr>
      </w:pPr>
      <w:r w:rsidRPr="004E1676">
        <w:rPr>
          <w:i/>
          <w:lang w:val="fr-FR"/>
        </w:rPr>
        <w:t>Rapport sur l</w:t>
      </w:r>
      <w:r w:rsidR="00D77991">
        <w:rPr>
          <w:i/>
          <w:lang w:val="fr-FR"/>
        </w:rPr>
        <w:t>’</w:t>
      </w:r>
      <w:r w:rsidRPr="004E1676">
        <w:rPr>
          <w:i/>
          <w:lang w:val="fr-FR"/>
        </w:rPr>
        <w:t>état d</w:t>
      </w:r>
      <w:r w:rsidR="00D77991">
        <w:rPr>
          <w:i/>
          <w:lang w:val="fr-FR"/>
        </w:rPr>
        <w:t>’</w:t>
      </w:r>
      <w:r w:rsidRPr="004E1676">
        <w:rPr>
          <w:i/>
          <w:lang w:val="fr-FR"/>
        </w:rPr>
        <w:t>avancement de l</w:t>
      </w:r>
      <w:r w:rsidR="00D77991">
        <w:rPr>
          <w:i/>
          <w:lang w:val="fr-FR"/>
        </w:rPr>
        <w:t>’</w:t>
      </w:r>
      <w:r w:rsidRPr="004E1676">
        <w:rPr>
          <w:i/>
          <w:lang w:val="fr-FR"/>
        </w:rPr>
        <w:t>utilisation de la technologie provisoire</w:t>
      </w:r>
    </w:p>
    <w:p w:rsidR="00E51975" w:rsidRPr="00C3019D" w:rsidRDefault="00E51975" w:rsidP="00E51975">
      <w:pPr>
        <w:rPr>
          <w:lang w:val="fr-FR"/>
        </w:rPr>
      </w:pPr>
    </w:p>
    <w:p w:rsidR="004E1676" w:rsidRPr="00B03A24" w:rsidRDefault="004E1676" w:rsidP="00B03A24">
      <w:pPr>
        <w:pStyle w:val="Heading1"/>
        <w:rPr>
          <w:lang w:val="fr-FR"/>
        </w:rPr>
      </w:pPr>
      <w:r w:rsidRPr="004E1676">
        <w:rPr>
          <w:lang w:val="fr-FR"/>
        </w:rPr>
        <w:t>Les trois sociétés de formulation, Baalbaki, Dow et Technocom, ont réussi à assurer la reconversion de leurs clients en aval pour passer à des produits de remplacement à faible PRP, notamment l</w:t>
      </w:r>
      <w:r w:rsidR="00D77991">
        <w:rPr>
          <w:lang w:val="fr-FR"/>
        </w:rPr>
        <w:t>’</w:t>
      </w:r>
      <w:r w:rsidRPr="004E1676">
        <w:rPr>
          <w:lang w:val="fr-FR"/>
        </w:rPr>
        <w:t>eau, les hydrofluoro-oléfines</w:t>
      </w:r>
      <w:r>
        <w:rPr>
          <w:lang w:val="fr-FR"/>
        </w:rPr>
        <w:t xml:space="preserve"> (HFO)</w:t>
      </w:r>
      <w:r w:rsidR="00D77991">
        <w:rPr>
          <w:lang w:val="fr-FR"/>
        </w:rPr>
        <w:t xml:space="preserve"> </w:t>
      </w:r>
      <w:r w:rsidRPr="004E1676">
        <w:rPr>
          <w:lang w:val="fr-FR"/>
        </w:rPr>
        <w:t>et le formiate de méthyle.</w:t>
      </w:r>
      <w:r w:rsidRPr="00C3019D">
        <w:rPr>
          <w:lang w:val="fr-FR"/>
        </w:rPr>
        <w:t xml:space="preserve"> </w:t>
      </w:r>
      <w:r w:rsidRPr="004E1676">
        <w:rPr>
          <w:lang w:val="fr-FR"/>
        </w:rPr>
        <w:t>Les sociétés de formulation produisent également des formules à PRP élevé et les vendent aux clients en aval, mais pas à ceux qui bénéficient d</w:t>
      </w:r>
      <w:r w:rsidR="00D77991">
        <w:rPr>
          <w:lang w:val="fr-FR"/>
        </w:rPr>
        <w:t>’</w:t>
      </w:r>
      <w:r w:rsidRPr="004E1676">
        <w:rPr>
          <w:lang w:val="fr-FR"/>
        </w:rPr>
        <w:t>une aide dans le cadre du projet.</w:t>
      </w:r>
    </w:p>
    <w:p w:rsidR="00E51975" w:rsidRPr="00B03A24" w:rsidRDefault="004E1676" w:rsidP="00B03A24">
      <w:pPr>
        <w:pStyle w:val="Heading1"/>
        <w:rPr>
          <w:lang w:val="fr-FR"/>
        </w:rPr>
      </w:pPr>
      <w:r w:rsidRPr="00C75DB1">
        <w:rPr>
          <w:lang w:val="fr-FR"/>
        </w:rPr>
        <w:t>Une société de formulation avait auparavant fait part de problème</w:t>
      </w:r>
      <w:r w:rsidR="009A22BC" w:rsidRPr="00C75DB1">
        <w:rPr>
          <w:lang w:val="fr-FR"/>
        </w:rPr>
        <w:t>s</w:t>
      </w:r>
      <w:r w:rsidRPr="00C75DB1">
        <w:rPr>
          <w:lang w:val="fr-FR"/>
        </w:rPr>
        <w:t xml:space="preserve"> de traitement avec un HFO.</w:t>
      </w:r>
      <w:r w:rsidRPr="00C3019D">
        <w:rPr>
          <w:lang w:val="fr-FR"/>
        </w:rPr>
        <w:t xml:space="preserve"> </w:t>
      </w:r>
      <w:r w:rsidRPr="00C75DB1">
        <w:rPr>
          <w:lang w:val="fr-FR"/>
        </w:rPr>
        <w:t>Sur</w:t>
      </w:r>
      <w:r w:rsidR="00D77991" w:rsidRPr="00C75DB1">
        <w:rPr>
          <w:lang w:val="fr-FR"/>
        </w:rPr>
        <w:t xml:space="preserve"> </w:t>
      </w:r>
      <w:r w:rsidRPr="00C75DB1">
        <w:rPr>
          <w:lang w:val="fr-FR"/>
        </w:rPr>
        <w:t xml:space="preserve">une base provisoire, </w:t>
      </w:r>
      <w:r w:rsidR="00C75DB1" w:rsidRPr="00C75DB1">
        <w:rPr>
          <w:lang w:val="fr-FR"/>
        </w:rPr>
        <w:t>cette</w:t>
      </w:r>
      <w:r w:rsidRPr="00C75DB1">
        <w:rPr>
          <w:lang w:val="fr-FR"/>
        </w:rPr>
        <w:t xml:space="preserve"> société </w:t>
      </w:r>
      <w:r w:rsidR="00C75DB1" w:rsidRPr="00C75DB1">
        <w:rPr>
          <w:lang w:val="fr-FR"/>
        </w:rPr>
        <w:t xml:space="preserve">avait adopté </w:t>
      </w:r>
      <w:r w:rsidRPr="00C75DB1">
        <w:rPr>
          <w:lang w:val="fr-FR"/>
        </w:rPr>
        <w:t>un HFO</w:t>
      </w:r>
      <w:r w:rsidR="00732221" w:rsidRPr="00C75DB1">
        <w:rPr>
          <w:lang w:val="fr-FR"/>
        </w:rPr>
        <w:t xml:space="preserve"> différent</w:t>
      </w:r>
      <w:r w:rsidR="009A22BC" w:rsidRPr="00C75DB1">
        <w:rPr>
          <w:lang w:val="fr-FR"/>
        </w:rPr>
        <w:t>, ce qui avait résolu</w:t>
      </w:r>
      <w:r w:rsidRPr="00C75DB1">
        <w:rPr>
          <w:lang w:val="fr-FR"/>
        </w:rPr>
        <w:t xml:space="preserve"> le problème ; toutefois </w:t>
      </w:r>
      <w:r w:rsidR="00732221" w:rsidRPr="00C75DB1">
        <w:rPr>
          <w:lang w:val="fr-FR"/>
        </w:rPr>
        <w:t>ce</w:t>
      </w:r>
      <w:r w:rsidRPr="00C75DB1">
        <w:rPr>
          <w:lang w:val="fr-FR"/>
        </w:rPr>
        <w:t xml:space="preserve"> HFO était plus cher et, du fait de sa nouvelle introduction dans la région, on craignait des</w:t>
      </w:r>
      <w:r w:rsidRPr="004E1676">
        <w:rPr>
          <w:lang w:val="fr-FR"/>
        </w:rPr>
        <w:t xml:space="preserve"> interruptions de livraison.</w:t>
      </w:r>
      <w:r w:rsidRPr="00C3019D">
        <w:rPr>
          <w:lang w:val="fr-FR"/>
        </w:rPr>
        <w:t xml:space="preserve"> </w:t>
      </w:r>
      <w:r w:rsidRPr="004E1676">
        <w:rPr>
          <w:lang w:val="fr-FR"/>
        </w:rPr>
        <w:t xml:space="preserve">Le PNUD continue à suivre la situation et </w:t>
      </w:r>
      <w:r w:rsidR="009A22BC">
        <w:rPr>
          <w:lang w:val="fr-FR"/>
        </w:rPr>
        <w:t>prévoit</w:t>
      </w:r>
      <w:r w:rsidRPr="004E1676">
        <w:rPr>
          <w:lang w:val="fr-FR"/>
        </w:rPr>
        <w:t xml:space="preserve"> que la société de formulation s</w:t>
      </w:r>
      <w:r w:rsidR="009A22BC">
        <w:rPr>
          <w:lang w:val="fr-FR"/>
        </w:rPr>
        <w:t>era</w:t>
      </w:r>
      <w:r w:rsidRPr="004E1676">
        <w:rPr>
          <w:lang w:val="fr-FR"/>
        </w:rPr>
        <w:t xml:space="preserve"> en mesure de résoudre les problèmes de </w:t>
      </w:r>
      <w:r w:rsidR="009A22BC" w:rsidRPr="004E1676">
        <w:rPr>
          <w:lang w:val="fr-FR"/>
        </w:rPr>
        <w:t>tra</w:t>
      </w:r>
      <w:r w:rsidR="009A22BC">
        <w:rPr>
          <w:lang w:val="fr-FR"/>
        </w:rPr>
        <w:t>itement</w:t>
      </w:r>
      <w:r w:rsidRPr="004E1676">
        <w:rPr>
          <w:lang w:val="fr-FR"/>
        </w:rPr>
        <w:t xml:space="preserve"> rencontrés avec le HFO </w:t>
      </w:r>
      <w:r w:rsidR="009A22BC">
        <w:rPr>
          <w:lang w:val="fr-FR"/>
        </w:rPr>
        <w:t>initial,</w:t>
      </w:r>
      <w:r w:rsidRPr="004E1676">
        <w:rPr>
          <w:lang w:val="fr-FR"/>
        </w:rPr>
        <w:t xml:space="preserve"> comme l</w:t>
      </w:r>
      <w:r w:rsidR="00D77991">
        <w:rPr>
          <w:lang w:val="fr-FR"/>
        </w:rPr>
        <w:t>’</w:t>
      </w:r>
      <w:r w:rsidRPr="004E1676">
        <w:rPr>
          <w:lang w:val="fr-FR"/>
        </w:rPr>
        <w:t>ont fait les deux autres sociétés.</w:t>
      </w:r>
    </w:p>
    <w:p w:rsidR="00E51975" w:rsidRPr="00C3019D" w:rsidRDefault="00D70E4A" w:rsidP="00D70E4A">
      <w:pPr>
        <w:rPr>
          <w:i/>
          <w:lang w:val="fr-FR"/>
        </w:rPr>
      </w:pPr>
      <w:r w:rsidRPr="00D70E4A">
        <w:rPr>
          <w:i/>
          <w:lang w:val="fr-FR"/>
        </w:rPr>
        <w:t>Activités de facilitation dans le secteur de la réfrigération et</w:t>
      </w:r>
      <w:r w:rsidR="00D77991">
        <w:rPr>
          <w:i/>
          <w:lang w:val="fr-FR"/>
        </w:rPr>
        <w:t xml:space="preserve"> </w:t>
      </w:r>
      <w:r w:rsidRPr="00D70E4A">
        <w:rPr>
          <w:i/>
          <w:lang w:val="fr-FR"/>
        </w:rPr>
        <w:t xml:space="preserve">de </w:t>
      </w:r>
      <w:r w:rsidR="009A22BC">
        <w:rPr>
          <w:i/>
          <w:lang w:val="fr-FR"/>
        </w:rPr>
        <w:t xml:space="preserve">la </w:t>
      </w:r>
      <w:r w:rsidRPr="00D70E4A">
        <w:rPr>
          <w:i/>
          <w:lang w:val="fr-FR"/>
        </w:rPr>
        <w:t>climatisation</w:t>
      </w:r>
      <w:r w:rsidR="00E51975" w:rsidRPr="00C3019D">
        <w:rPr>
          <w:i/>
          <w:lang w:val="fr-FR"/>
        </w:rPr>
        <w:t xml:space="preserve"> </w:t>
      </w:r>
    </w:p>
    <w:p w:rsidR="00F432EA" w:rsidRPr="00C3019D" w:rsidRDefault="00F432EA" w:rsidP="00E51975">
      <w:pPr>
        <w:rPr>
          <w:i/>
          <w:lang w:val="fr-FR"/>
        </w:rPr>
      </w:pPr>
    </w:p>
    <w:p w:rsidR="00D70E4A" w:rsidRPr="00C3019D" w:rsidRDefault="00D70E4A" w:rsidP="00D70E4A">
      <w:pPr>
        <w:pStyle w:val="Heading1"/>
        <w:rPr>
          <w:lang w:val="fr-FR"/>
        </w:rPr>
      </w:pPr>
      <w:r w:rsidRPr="00D70E4A">
        <w:rPr>
          <w:lang w:val="fr-FR"/>
        </w:rPr>
        <w:t>Dix-neuf prototypes de climatiseurs bibloc</w:t>
      </w:r>
      <w:r w:rsidR="00E1556A">
        <w:rPr>
          <w:lang w:val="fr-FR"/>
        </w:rPr>
        <w:t>s</w:t>
      </w:r>
      <w:r w:rsidRPr="00D70E4A">
        <w:rPr>
          <w:lang w:val="fr-FR"/>
        </w:rPr>
        <w:t xml:space="preserve"> fabriqué</w:t>
      </w:r>
      <w:r w:rsidR="00E1556A">
        <w:rPr>
          <w:lang w:val="fr-FR"/>
        </w:rPr>
        <w:t>s</w:t>
      </w:r>
      <w:r w:rsidRPr="00D70E4A">
        <w:rPr>
          <w:lang w:val="fr-FR"/>
        </w:rPr>
        <w:t xml:space="preserve"> sur mesure avec des compresseurs dédiés fournis par plusieurs entreprises ont été testés dans des laboratoires </w:t>
      </w:r>
      <w:r w:rsidR="00732221">
        <w:rPr>
          <w:lang w:val="fr-FR"/>
        </w:rPr>
        <w:t>locaux</w:t>
      </w:r>
      <w:r w:rsidR="009A22BC">
        <w:rPr>
          <w:lang w:val="fr-FR"/>
        </w:rPr>
        <w:t xml:space="preserve"> </w:t>
      </w:r>
      <w:r w:rsidRPr="00D70E4A">
        <w:rPr>
          <w:lang w:val="fr-FR"/>
        </w:rPr>
        <w:t>accrédités disponibles avec des frigorigènes livrés par</w:t>
      </w:r>
      <w:r w:rsidR="00D77991">
        <w:rPr>
          <w:lang w:val="fr-FR"/>
        </w:rPr>
        <w:t xml:space="preserve"> </w:t>
      </w:r>
      <w:r w:rsidRPr="00D70E4A">
        <w:rPr>
          <w:lang w:val="fr-FR"/>
        </w:rPr>
        <w:t>Arkema, Chemours, Daikin et Honeywell.</w:t>
      </w:r>
      <w:r w:rsidRPr="00C3019D">
        <w:rPr>
          <w:lang w:val="fr-FR"/>
        </w:rPr>
        <w:t xml:space="preserve"> </w:t>
      </w:r>
      <w:r w:rsidRPr="00D70E4A">
        <w:rPr>
          <w:lang w:val="fr-FR"/>
        </w:rPr>
        <w:t>Les détails des résultats des tests figurent à l</w:t>
      </w:r>
      <w:r w:rsidR="00D77991">
        <w:rPr>
          <w:lang w:val="fr-FR"/>
        </w:rPr>
        <w:t>’</w:t>
      </w:r>
      <w:r w:rsidRPr="00D70E4A">
        <w:rPr>
          <w:lang w:val="fr-FR"/>
        </w:rPr>
        <w:t>annexe I au présent document.</w:t>
      </w:r>
      <w:r w:rsidRPr="00C3019D">
        <w:rPr>
          <w:lang w:val="fr-FR"/>
        </w:rPr>
        <w:t xml:space="preserve"> </w:t>
      </w:r>
      <w:r w:rsidRPr="00D70E4A">
        <w:rPr>
          <w:lang w:val="fr-FR"/>
        </w:rPr>
        <w:t>Les résultats d</w:t>
      </w:r>
      <w:r w:rsidR="00D77991">
        <w:rPr>
          <w:lang w:val="fr-FR"/>
        </w:rPr>
        <w:t>’</w:t>
      </w:r>
      <w:r w:rsidRPr="00D70E4A">
        <w:rPr>
          <w:lang w:val="fr-FR"/>
        </w:rPr>
        <w:t>EGYPRA ont présidé à la sélection des solutions de remplacement à faible PRP dans les entreprises du secteur de la fabrication de climatiseurs résidentiels.</w:t>
      </w:r>
    </w:p>
    <w:p w:rsidR="00E51975" w:rsidRPr="00D70E4A" w:rsidRDefault="00D70E4A" w:rsidP="00D70E4A">
      <w:pPr>
        <w:pStyle w:val="Heading1"/>
        <w:numPr>
          <w:ilvl w:val="0"/>
          <w:numId w:val="0"/>
        </w:numPr>
        <w:rPr>
          <w:u w:val="single"/>
          <w:lang w:val="en-CA"/>
        </w:rPr>
      </w:pPr>
      <w:r w:rsidRPr="00D70E4A">
        <w:rPr>
          <w:u w:val="single"/>
          <w:lang w:val="fr-FR"/>
        </w:rPr>
        <w:t>Niveau de décaissement du financement</w:t>
      </w:r>
    </w:p>
    <w:p w:rsidR="00D70E4A" w:rsidRPr="00D70E4A" w:rsidRDefault="00D70E4A" w:rsidP="00D70E4A">
      <w:pPr>
        <w:pStyle w:val="Heading1"/>
      </w:pPr>
      <w:r w:rsidRPr="00D70E4A">
        <w:rPr>
          <w:lang w:val="fr-FR"/>
        </w:rPr>
        <w:t>En date d</w:t>
      </w:r>
      <w:r w:rsidR="00D77991">
        <w:rPr>
          <w:lang w:val="fr-FR"/>
        </w:rPr>
        <w:t>’</w:t>
      </w:r>
      <w:r w:rsidRPr="00D70E4A">
        <w:rPr>
          <w:lang w:val="fr-FR"/>
        </w:rPr>
        <w:t xml:space="preserve">octobre 2019, sur les </w:t>
      </w:r>
      <w:r w:rsidRPr="00D70E4A">
        <w:rPr>
          <w:color w:val="000000"/>
          <w:lang w:val="fr-FR" w:eastAsia="en-CA"/>
        </w:rPr>
        <w:t>6 148 975 $US</w:t>
      </w:r>
      <w:r w:rsidRPr="00D70E4A">
        <w:rPr>
          <w:rStyle w:val="FootnoteReference"/>
          <w:lang w:val="fr-FR"/>
        </w:rPr>
        <w:footnoteReference w:id="5"/>
      </w:r>
      <w:r w:rsidRPr="00D70E4A">
        <w:rPr>
          <w:lang w:val="fr-FR"/>
        </w:rPr>
        <w:t xml:space="preserve"> approuvés jusqu</w:t>
      </w:r>
      <w:r w:rsidR="00D77991">
        <w:rPr>
          <w:lang w:val="fr-FR"/>
        </w:rPr>
        <w:t>’</w:t>
      </w:r>
      <w:r w:rsidRPr="00D70E4A">
        <w:rPr>
          <w:lang w:val="fr-FR"/>
        </w:rPr>
        <w:t>à présent, 4 265 938 $US avaient été décaissés (1 25</w:t>
      </w:r>
      <w:r w:rsidR="009A22BC">
        <w:rPr>
          <w:lang w:val="fr-FR"/>
        </w:rPr>
        <w:t>5</w:t>
      </w:r>
      <w:r w:rsidRPr="00D70E4A">
        <w:rPr>
          <w:lang w:val="fr-FR"/>
        </w:rPr>
        <w:t> 811 $US pour l</w:t>
      </w:r>
      <w:r w:rsidR="00D77991">
        <w:rPr>
          <w:lang w:val="fr-FR"/>
        </w:rPr>
        <w:t>’</w:t>
      </w:r>
      <w:r w:rsidRPr="00D70E4A">
        <w:rPr>
          <w:lang w:val="fr-FR"/>
        </w:rPr>
        <w:t xml:space="preserve">ONUDI et </w:t>
      </w:r>
      <w:r w:rsidRPr="00D70E4A">
        <w:rPr>
          <w:color w:val="000000"/>
          <w:lang w:val="fr-FR" w:eastAsia="en-CA"/>
        </w:rPr>
        <w:t xml:space="preserve">3 010 120 $US pour le </w:t>
      </w:r>
      <w:r w:rsidRPr="00D70E4A">
        <w:rPr>
          <w:lang w:val="fr-FR"/>
        </w:rPr>
        <w:t>PNUD) comme l</w:t>
      </w:r>
      <w:r w:rsidR="00D77991">
        <w:rPr>
          <w:lang w:val="fr-FR"/>
        </w:rPr>
        <w:t>’</w:t>
      </w:r>
      <w:r w:rsidRPr="00D70E4A">
        <w:rPr>
          <w:lang w:val="fr-FR"/>
        </w:rPr>
        <w:t>indique le tableau 2. Le solde de 1 883 037</w:t>
      </w:r>
      <w:r w:rsidR="00D77991">
        <w:rPr>
          <w:lang w:val="fr-FR"/>
        </w:rPr>
        <w:t xml:space="preserve"> </w:t>
      </w:r>
      <w:r w:rsidRPr="00D70E4A">
        <w:rPr>
          <w:lang w:val="fr-FR"/>
        </w:rPr>
        <w:t>$US sera décaissé en 2019 et 2020.</w:t>
      </w:r>
    </w:p>
    <w:p w:rsidR="00E51975" w:rsidRPr="00C3019D" w:rsidRDefault="00D70E4A" w:rsidP="00E51975">
      <w:pPr>
        <w:keepNext/>
        <w:rPr>
          <w:b/>
          <w:lang w:val="fr-FR"/>
        </w:rPr>
      </w:pPr>
      <w:r w:rsidRPr="00D70E4A">
        <w:rPr>
          <w:b/>
          <w:lang w:val="fr-FR"/>
        </w:rPr>
        <w:t>Tableau 2. Rapport financier de la phase I du PGEH pour l</w:t>
      </w:r>
      <w:r w:rsidR="00D77991">
        <w:rPr>
          <w:b/>
          <w:lang w:val="fr-FR"/>
        </w:rPr>
        <w:t>’</w:t>
      </w:r>
      <w:r w:rsidRPr="00D70E4A">
        <w:rPr>
          <w:b/>
          <w:lang w:val="fr-FR"/>
        </w:rPr>
        <w:t>Égypte ($US)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7"/>
        <w:gridCol w:w="1350"/>
        <w:gridCol w:w="1080"/>
        <w:gridCol w:w="1170"/>
        <w:gridCol w:w="1260"/>
        <w:gridCol w:w="2250"/>
      </w:tblGrid>
      <w:tr w:rsidR="00B43DBB" w:rsidRPr="001F1E0E" w:rsidTr="000E33B5">
        <w:trPr>
          <w:trHeight w:val="152"/>
          <w:tblHeader/>
        </w:trPr>
        <w:tc>
          <w:tcPr>
            <w:tcW w:w="3487" w:type="dxa"/>
            <w:gridSpan w:val="2"/>
            <w:noWrap/>
            <w:tcMar>
              <w:top w:w="0" w:type="dxa"/>
              <w:left w:w="108" w:type="dxa"/>
              <w:bottom w:w="0" w:type="dxa"/>
              <w:right w:w="108" w:type="dxa"/>
            </w:tcMar>
            <w:vAlign w:val="center"/>
            <w:hideMark/>
          </w:tcPr>
          <w:p w:rsidR="00B43DBB" w:rsidRPr="00D70E4A" w:rsidRDefault="00D70E4A" w:rsidP="005B6FC5">
            <w:pPr>
              <w:rPr>
                <w:b/>
                <w:bCs/>
                <w:color w:val="000000"/>
                <w:sz w:val="20"/>
                <w:szCs w:val="20"/>
                <w:lang w:val="en-CA"/>
              </w:rPr>
            </w:pPr>
            <w:r w:rsidRPr="00D70E4A">
              <w:rPr>
                <w:b/>
                <w:bCs/>
                <w:color w:val="000000"/>
                <w:sz w:val="20"/>
                <w:szCs w:val="20"/>
                <w:lang w:val="fr-FR"/>
              </w:rPr>
              <w:t>Tranches</w:t>
            </w:r>
          </w:p>
        </w:tc>
        <w:tc>
          <w:tcPr>
            <w:tcW w:w="1080" w:type="dxa"/>
            <w:noWrap/>
            <w:tcMar>
              <w:top w:w="0" w:type="dxa"/>
              <w:left w:w="108" w:type="dxa"/>
              <w:bottom w:w="0" w:type="dxa"/>
              <w:right w:w="108" w:type="dxa"/>
            </w:tcMar>
            <w:vAlign w:val="center"/>
            <w:hideMark/>
          </w:tcPr>
          <w:p w:rsidR="00B43DBB" w:rsidRPr="00D70E4A" w:rsidRDefault="00D70E4A" w:rsidP="005B6FC5">
            <w:pPr>
              <w:jc w:val="center"/>
              <w:rPr>
                <w:b/>
                <w:bCs/>
                <w:color w:val="000000"/>
                <w:sz w:val="20"/>
                <w:szCs w:val="20"/>
                <w:lang w:val="en-CA"/>
              </w:rPr>
            </w:pPr>
            <w:r w:rsidRPr="00D70E4A">
              <w:rPr>
                <w:b/>
                <w:bCs/>
                <w:color w:val="000000"/>
                <w:sz w:val="20"/>
                <w:szCs w:val="20"/>
                <w:lang w:val="fr-FR"/>
              </w:rPr>
              <w:t>ONUDI</w:t>
            </w:r>
          </w:p>
        </w:tc>
        <w:tc>
          <w:tcPr>
            <w:tcW w:w="1170" w:type="dxa"/>
            <w:tcMar>
              <w:top w:w="0" w:type="dxa"/>
              <w:left w:w="108" w:type="dxa"/>
              <w:bottom w:w="0" w:type="dxa"/>
              <w:right w:w="108" w:type="dxa"/>
            </w:tcMar>
            <w:vAlign w:val="center"/>
            <w:hideMark/>
          </w:tcPr>
          <w:p w:rsidR="00B43DBB" w:rsidRPr="00D70E4A" w:rsidRDefault="00D70E4A" w:rsidP="005B6FC5">
            <w:pPr>
              <w:jc w:val="center"/>
              <w:rPr>
                <w:b/>
                <w:bCs/>
                <w:color w:val="000000"/>
                <w:sz w:val="20"/>
                <w:szCs w:val="20"/>
                <w:lang w:val="en-CA"/>
              </w:rPr>
            </w:pPr>
            <w:r w:rsidRPr="00D70E4A">
              <w:rPr>
                <w:b/>
                <w:bCs/>
                <w:color w:val="000000"/>
                <w:sz w:val="20"/>
                <w:szCs w:val="20"/>
                <w:lang w:val="fr-FR"/>
              </w:rPr>
              <w:t>PNUD</w:t>
            </w:r>
          </w:p>
        </w:tc>
        <w:tc>
          <w:tcPr>
            <w:tcW w:w="1260" w:type="dxa"/>
            <w:noWrap/>
            <w:tcMar>
              <w:top w:w="0" w:type="dxa"/>
              <w:left w:w="108" w:type="dxa"/>
              <w:bottom w:w="0" w:type="dxa"/>
              <w:right w:w="108" w:type="dxa"/>
            </w:tcMar>
            <w:vAlign w:val="center"/>
            <w:hideMark/>
          </w:tcPr>
          <w:p w:rsidR="00B43DBB" w:rsidRPr="00D70E4A" w:rsidRDefault="00D70E4A" w:rsidP="005B6FC5">
            <w:pPr>
              <w:jc w:val="center"/>
              <w:rPr>
                <w:b/>
                <w:bCs/>
                <w:color w:val="000000"/>
                <w:sz w:val="20"/>
                <w:szCs w:val="20"/>
                <w:lang w:val="en-CA"/>
              </w:rPr>
            </w:pPr>
            <w:r w:rsidRPr="00D70E4A">
              <w:rPr>
                <w:b/>
                <w:bCs/>
                <w:color w:val="000000"/>
                <w:sz w:val="20"/>
                <w:szCs w:val="20"/>
                <w:lang w:val="fr-FR"/>
              </w:rPr>
              <w:t>Total</w:t>
            </w:r>
          </w:p>
        </w:tc>
        <w:tc>
          <w:tcPr>
            <w:tcW w:w="2250" w:type="dxa"/>
            <w:noWrap/>
            <w:tcMar>
              <w:top w:w="0" w:type="dxa"/>
              <w:left w:w="108" w:type="dxa"/>
              <w:bottom w:w="0" w:type="dxa"/>
              <w:right w:w="108" w:type="dxa"/>
            </w:tcMar>
            <w:vAlign w:val="center"/>
            <w:hideMark/>
          </w:tcPr>
          <w:p w:rsidR="00B43DBB" w:rsidRPr="00D70E4A" w:rsidRDefault="00D70E4A" w:rsidP="005B6FC5">
            <w:pPr>
              <w:jc w:val="center"/>
              <w:rPr>
                <w:b/>
                <w:bCs/>
                <w:color w:val="000000"/>
                <w:sz w:val="20"/>
                <w:szCs w:val="20"/>
                <w:lang w:val="en-CA"/>
              </w:rPr>
            </w:pPr>
            <w:r w:rsidRPr="00D70E4A">
              <w:rPr>
                <w:b/>
                <w:bCs/>
                <w:color w:val="000000"/>
                <w:sz w:val="20"/>
                <w:szCs w:val="20"/>
                <w:lang w:val="fr-FR"/>
              </w:rPr>
              <w:t>Taux de décaissement (%)</w:t>
            </w:r>
          </w:p>
        </w:tc>
      </w:tr>
      <w:tr w:rsidR="00B43DBB" w:rsidRPr="001F1E0E" w:rsidTr="00B03A24">
        <w:trPr>
          <w:trHeight w:val="188"/>
        </w:trPr>
        <w:tc>
          <w:tcPr>
            <w:tcW w:w="2137" w:type="dxa"/>
            <w:vMerge w:val="restart"/>
            <w:noWrap/>
            <w:tcMar>
              <w:top w:w="0" w:type="dxa"/>
              <w:left w:w="108" w:type="dxa"/>
              <w:bottom w:w="0" w:type="dxa"/>
              <w:right w:w="108" w:type="dxa"/>
            </w:tcMar>
            <w:vAlign w:val="center"/>
            <w:hideMark/>
          </w:tcPr>
          <w:p w:rsidR="00B43DBB" w:rsidRPr="00D70E4A" w:rsidRDefault="00D70E4A" w:rsidP="005B6FC5">
            <w:pPr>
              <w:rPr>
                <w:color w:val="000000"/>
                <w:sz w:val="20"/>
                <w:szCs w:val="20"/>
                <w:lang w:val="en-CA"/>
              </w:rPr>
            </w:pPr>
            <w:r w:rsidRPr="00D70E4A">
              <w:rPr>
                <w:color w:val="000000"/>
                <w:sz w:val="20"/>
                <w:szCs w:val="20"/>
                <w:lang w:val="fr-FR"/>
              </w:rPr>
              <w:t>Première tranche</w:t>
            </w: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Approuvé</w:t>
            </w:r>
            <w:r w:rsidR="00B43DBB" w:rsidRPr="00D70E4A">
              <w:rPr>
                <w:color w:val="000000"/>
                <w:sz w:val="20"/>
                <w:szCs w:val="20"/>
                <w:lang w:val="en-CA"/>
              </w:rPr>
              <w:t xml:space="preserve"> </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950</w:t>
            </w:r>
            <w:r w:rsidR="009E134F">
              <w:rPr>
                <w:color w:val="000000"/>
                <w:sz w:val="20"/>
                <w:szCs w:val="20"/>
                <w:lang w:val="en-CA"/>
              </w:rPr>
              <w:t> </w:t>
            </w:r>
            <w:r w:rsidRPr="001F1E0E">
              <w:rPr>
                <w:color w:val="000000"/>
                <w:sz w:val="20"/>
                <w:szCs w:val="20"/>
                <w:lang w:val="en-CA"/>
              </w:rPr>
              <w:t>000</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w:t>
            </w:r>
            <w:r w:rsidR="009E134F">
              <w:rPr>
                <w:color w:val="000000"/>
                <w:sz w:val="20"/>
                <w:szCs w:val="20"/>
                <w:lang w:val="en-CA"/>
              </w:rPr>
              <w:t> </w:t>
            </w:r>
            <w:r w:rsidRPr="001F1E0E">
              <w:rPr>
                <w:color w:val="000000"/>
                <w:sz w:val="20"/>
                <w:szCs w:val="20"/>
                <w:lang w:val="en-CA"/>
              </w:rPr>
              <w:t>000</w:t>
            </w:r>
            <w:r w:rsidR="009E134F">
              <w:rPr>
                <w:color w:val="000000"/>
                <w:sz w:val="20"/>
                <w:szCs w:val="20"/>
                <w:lang w:val="en-CA"/>
              </w:rPr>
              <w:t> </w:t>
            </w:r>
            <w:r w:rsidRPr="001F1E0E">
              <w:rPr>
                <w:color w:val="000000"/>
                <w:sz w:val="20"/>
                <w:szCs w:val="20"/>
                <w:lang w:val="en-CA"/>
              </w:rPr>
              <w:t>000</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w:t>
            </w:r>
            <w:r w:rsidR="009E134F">
              <w:rPr>
                <w:color w:val="000000"/>
                <w:sz w:val="20"/>
                <w:szCs w:val="20"/>
                <w:lang w:val="en-CA"/>
              </w:rPr>
              <w:t> </w:t>
            </w:r>
            <w:r w:rsidRPr="001F1E0E">
              <w:rPr>
                <w:color w:val="000000"/>
                <w:sz w:val="20"/>
                <w:szCs w:val="20"/>
                <w:lang w:val="en-CA"/>
              </w:rPr>
              <w:t>950</w:t>
            </w:r>
            <w:r w:rsidR="009E134F">
              <w:rPr>
                <w:color w:val="000000"/>
                <w:sz w:val="20"/>
                <w:szCs w:val="20"/>
                <w:lang w:val="en-CA"/>
              </w:rPr>
              <w:t> </w:t>
            </w:r>
            <w:r w:rsidRPr="001F1E0E">
              <w:rPr>
                <w:color w:val="000000"/>
                <w:sz w:val="20"/>
                <w:szCs w:val="20"/>
                <w:lang w:val="en-CA"/>
              </w:rPr>
              <w:t>000</w:t>
            </w:r>
          </w:p>
        </w:tc>
        <w:tc>
          <w:tcPr>
            <w:tcW w:w="2250" w:type="dxa"/>
            <w:vMerge w:val="restart"/>
            <w:noWrap/>
            <w:tcMar>
              <w:top w:w="0" w:type="dxa"/>
              <w:left w:w="108" w:type="dxa"/>
              <w:bottom w:w="0" w:type="dxa"/>
              <w:right w:w="108" w:type="dxa"/>
            </w:tcMar>
            <w:vAlign w:val="center"/>
            <w:hideMark/>
          </w:tcPr>
          <w:p w:rsidR="00B43DBB" w:rsidRPr="001F1E0E" w:rsidRDefault="00B43DBB">
            <w:pPr>
              <w:jc w:val="center"/>
              <w:rPr>
                <w:color w:val="000000"/>
                <w:sz w:val="20"/>
                <w:szCs w:val="20"/>
                <w:lang w:val="en-CA"/>
              </w:rPr>
            </w:pPr>
            <w:r w:rsidRPr="001F1E0E">
              <w:rPr>
                <w:color w:val="000000"/>
                <w:sz w:val="20"/>
                <w:szCs w:val="20"/>
                <w:lang w:val="en-CA"/>
              </w:rPr>
              <w:t>98</w:t>
            </w:r>
          </w:p>
        </w:tc>
      </w:tr>
      <w:tr w:rsidR="00B43DBB" w:rsidRPr="001F1E0E" w:rsidTr="00B03A24">
        <w:trPr>
          <w:trHeight w:val="125"/>
        </w:trPr>
        <w:tc>
          <w:tcPr>
            <w:tcW w:w="2137" w:type="dxa"/>
            <w:vMerge/>
            <w:vAlign w:val="center"/>
            <w:hideMark/>
          </w:tcPr>
          <w:p w:rsidR="00B43DBB" w:rsidRPr="001F1E0E" w:rsidRDefault="00B43DBB">
            <w:pPr>
              <w:rPr>
                <w:rFonts w:eastAsiaTheme="minorHAnsi"/>
                <w:color w:val="000000"/>
                <w:sz w:val="20"/>
                <w:szCs w:val="20"/>
                <w:lang w:val="en-CA"/>
              </w:rPr>
            </w:pP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Décaissé</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950</w:t>
            </w:r>
            <w:r w:rsidR="009E134F">
              <w:rPr>
                <w:color w:val="000000"/>
                <w:sz w:val="20"/>
                <w:szCs w:val="20"/>
                <w:lang w:val="en-CA"/>
              </w:rPr>
              <w:t> </w:t>
            </w:r>
            <w:r w:rsidRPr="001F1E0E">
              <w:rPr>
                <w:color w:val="000000"/>
                <w:sz w:val="20"/>
                <w:szCs w:val="20"/>
                <w:lang w:val="en-CA"/>
              </w:rPr>
              <w:t>000</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954</w:t>
            </w:r>
            <w:r w:rsidR="009E134F">
              <w:rPr>
                <w:color w:val="000000"/>
                <w:sz w:val="20"/>
                <w:szCs w:val="20"/>
                <w:lang w:val="en-CA"/>
              </w:rPr>
              <w:t> </w:t>
            </w:r>
            <w:r w:rsidRPr="001F1E0E">
              <w:rPr>
                <w:color w:val="000000"/>
                <w:sz w:val="20"/>
                <w:szCs w:val="20"/>
                <w:lang w:val="en-CA"/>
              </w:rPr>
              <w:t xml:space="preserve">628 </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w:t>
            </w:r>
            <w:r w:rsidR="009E134F">
              <w:rPr>
                <w:color w:val="000000"/>
                <w:sz w:val="20"/>
                <w:szCs w:val="20"/>
                <w:lang w:val="en-CA"/>
              </w:rPr>
              <w:t> </w:t>
            </w:r>
            <w:r w:rsidRPr="001F1E0E">
              <w:rPr>
                <w:color w:val="000000"/>
                <w:sz w:val="20"/>
                <w:szCs w:val="20"/>
                <w:lang w:val="en-CA"/>
              </w:rPr>
              <w:t>904</w:t>
            </w:r>
            <w:r w:rsidR="009E134F">
              <w:rPr>
                <w:color w:val="000000"/>
                <w:sz w:val="20"/>
                <w:szCs w:val="20"/>
                <w:lang w:val="en-CA"/>
              </w:rPr>
              <w:t> </w:t>
            </w:r>
            <w:r w:rsidRPr="001F1E0E">
              <w:rPr>
                <w:color w:val="000000"/>
                <w:sz w:val="20"/>
                <w:szCs w:val="20"/>
                <w:lang w:val="en-CA"/>
              </w:rPr>
              <w:t xml:space="preserve">628 </w:t>
            </w:r>
          </w:p>
        </w:tc>
        <w:tc>
          <w:tcPr>
            <w:tcW w:w="2250" w:type="dxa"/>
            <w:vMerge/>
            <w:vAlign w:val="center"/>
            <w:hideMark/>
          </w:tcPr>
          <w:p w:rsidR="00B43DBB" w:rsidRPr="001F1E0E" w:rsidRDefault="00B43DBB">
            <w:pPr>
              <w:rPr>
                <w:rFonts w:eastAsiaTheme="minorHAnsi"/>
                <w:color w:val="000000"/>
                <w:sz w:val="20"/>
                <w:szCs w:val="20"/>
                <w:lang w:val="en-CA"/>
              </w:rPr>
            </w:pPr>
          </w:p>
        </w:tc>
      </w:tr>
      <w:tr w:rsidR="00B43DBB" w:rsidRPr="001F1E0E" w:rsidTr="00B03A24">
        <w:trPr>
          <w:trHeight w:val="71"/>
        </w:trPr>
        <w:tc>
          <w:tcPr>
            <w:tcW w:w="2137" w:type="dxa"/>
            <w:vMerge w:val="restart"/>
            <w:noWrap/>
            <w:tcMar>
              <w:top w:w="0" w:type="dxa"/>
              <w:left w:w="108" w:type="dxa"/>
              <w:bottom w:w="0" w:type="dxa"/>
              <w:right w:w="108" w:type="dxa"/>
            </w:tcMar>
            <w:vAlign w:val="center"/>
            <w:hideMark/>
          </w:tcPr>
          <w:p w:rsidR="00B43DBB" w:rsidRPr="00D70E4A" w:rsidRDefault="00D70E4A" w:rsidP="005B6FC5">
            <w:pPr>
              <w:rPr>
                <w:color w:val="000000"/>
                <w:sz w:val="20"/>
                <w:szCs w:val="20"/>
                <w:lang w:val="en-CA"/>
              </w:rPr>
            </w:pPr>
            <w:r w:rsidRPr="00D70E4A">
              <w:rPr>
                <w:color w:val="000000"/>
                <w:sz w:val="20"/>
                <w:szCs w:val="20"/>
                <w:lang w:val="fr-FR"/>
              </w:rPr>
              <w:t>Deuxième tranche</w:t>
            </w: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Approuvé</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250</w:t>
            </w:r>
            <w:r w:rsidR="009E134F">
              <w:rPr>
                <w:color w:val="000000"/>
                <w:sz w:val="20"/>
                <w:szCs w:val="20"/>
                <w:lang w:val="en-CA"/>
              </w:rPr>
              <w:t> </w:t>
            </w:r>
            <w:r w:rsidRPr="001F1E0E">
              <w:rPr>
                <w:color w:val="000000"/>
                <w:sz w:val="20"/>
                <w:szCs w:val="20"/>
                <w:lang w:val="en-CA"/>
              </w:rPr>
              <w:t>000</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w:t>
            </w:r>
            <w:r w:rsidR="009E134F">
              <w:rPr>
                <w:color w:val="000000"/>
                <w:sz w:val="20"/>
                <w:szCs w:val="20"/>
                <w:lang w:val="en-CA"/>
              </w:rPr>
              <w:t> </w:t>
            </w:r>
            <w:r w:rsidRPr="001F1E0E">
              <w:rPr>
                <w:color w:val="000000"/>
                <w:sz w:val="20"/>
                <w:szCs w:val="20"/>
                <w:lang w:val="en-CA"/>
              </w:rPr>
              <w:t>000</w:t>
            </w:r>
            <w:r w:rsidR="009E134F">
              <w:rPr>
                <w:color w:val="000000"/>
                <w:sz w:val="20"/>
                <w:szCs w:val="20"/>
                <w:lang w:val="en-CA"/>
              </w:rPr>
              <w:t> </w:t>
            </w:r>
            <w:r w:rsidRPr="001F1E0E">
              <w:rPr>
                <w:color w:val="000000"/>
                <w:sz w:val="20"/>
                <w:szCs w:val="20"/>
                <w:lang w:val="en-CA"/>
              </w:rPr>
              <w:t>000</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w:t>
            </w:r>
            <w:r w:rsidR="009E134F">
              <w:rPr>
                <w:color w:val="000000"/>
                <w:sz w:val="20"/>
                <w:szCs w:val="20"/>
                <w:lang w:val="en-CA"/>
              </w:rPr>
              <w:t> </w:t>
            </w:r>
            <w:r w:rsidRPr="001F1E0E">
              <w:rPr>
                <w:color w:val="000000"/>
                <w:sz w:val="20"/>
                <w:szCs w:val="20"/>
                <w:lang w:val="en-CA"/>
              </w:rPr>
              <w:t>250</w:t>
            </w:r>
            <w:r w:rsidR="009E134F">
              <w:rPr>
                <w:color w:val="000000"/>
                <w:sz w:val="20"/>
                <w:szCs w:val="20"/>
                <w:lang w:val="en-CA"/>
              </w:rPr>
              <w:t> </w:t>
            </w:r>
            <w:r w:rsidRPr="001F1E0E">
              <w:rPr>
                <w:color w:val="000000"/>
                <w:sz w:val="20"/>
                <w:szCs w:val="20"/>
                <w:lang w:val="en-CA"/>
              </w:rPr>
              <w:t>000</w:t>
            </w:r>
          </w:p>
        </w:tc>
        <w:tc>
          <w:tcPr>
            <w:tcW w:w="2250" w:type="dxa"/>
            <w:vMerge w:val="restart"/>
            <w:noWrap/>
            <w:tcMar>
              <w:top w:w="0" w:type="dxa"/>
              <w:left w:w="108" w:type="dxa"/>
              <w:bottom w:w="0" w:type="dxa"/>
              <w:right w:w="108" w:type="dxa"/>
            </w:tcMar>
            <w:vAlign w:val="center"/>
            <w:hideMark/>
          </w:tcPr>
          <w:p w:rsidR="00B43DBB" w:rsidRPr="001F1E0E" w:rsidRDefault="00B43DBB">
            <w:pPr>
              <w:jc w:val="center"/>
              <w:rPr>
                <w:color w:val="000000"/>
                <w:sz w:val="20"/>
                <w:szCs w:val="20"/>
                <w:lang w:val="en-CA"/>
              </w:rPr>
            </w:pPr>
            <w:r w:rsidRPr="001F1E0E">
              <w:rPr>
                <w:color w:val="000000"/>
                <w:sz w:val="20"/>
                <w:szCs w:val="20"/>
                <w:lang w:val="en-CA"/>
              </w:rPr>
              <w:t>58</w:t>
            </w:r>
          </w:p>
        </w:tc>
      </w:tr>
      <w:tr w:rsidR="00B43DBB" w:rsidRPr="001F1E0E" w:rsidTr="00B03A24">
        <w:trPr>
          <w:trHeight w:val="89"/>
        </w:trPr>
        <w:tc>
          <w:tcPr>
            <w:tcW w:w="2137" w:type="dxa"/>
            <w:vMerge/>
            <w:vAlign w:val="center"/>
            <w:hideMark/>
          </w:tcPr>
          <w:p w:rsidR="00B43DBB" w:rsidRPr="001F1E0E" w:rsidRDefault="00B43DBB">
            <w:pPr>
              <w:rPr>
                <w:rFonts w:eastAsiaTheme="minorHAnsi"/>
                <w:color w:val="000000"/>
                <w:sz w:val="20"/>
                <w:szCs w:val="20"/>
                <w:lang w:val="en-CA"/>
              </w:rPr>
            </w:pP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Décaissé</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250</w:t>
            </w:r>
            <w:r w:rsidR="009E134F">
              <w:rPr>
                <w:color w:val="000000"/>
                <w:sz w:val="20"/>
                <w:szCs w:val="20"/>
                <w:lang w:val="en-CA"/>
              </w:rPr>
              <w:t> </w:t>
            </w:r>
            <w:r w:rsidRPr="001F1E0E">
              <w:rPr>
                <w:color w:val="000000"/>
                <w:sz w:val="20"/>
                <w:szCs w:val="20"/>
                <w:lang w:val="en-CA"/>
              </w:rPr>
              <w:t>000</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055</w:t>
            </w:r>
            <w:r w:rsidR="009E134F">
              <w:rPr>
                <w:color w:val="000000"/>
                <w:sz w:val="20"/>
                <w:szCs w:val="20"/>
                <w:lang w:val="en-CA"/>
              </w:rPr>
              <w:t> </w:t>
            </w:r>
            <w:r w:rsidRPr="001F1E0E">
              <w:rPr>
                <w:color w:val="000000"/>
                <w:sz w:val="20"/>
                <w:szCs w:val="20"/>
                <w:lang w:val="en-CA"/>
              </w:rPr>
              <w:t xml:space="preserve">492 </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305</w:t>
            </w:r>
            <w:r w:rsidR="009E134F">
              <w:rPr>
                <w:color w:val="000000"/>
                <w:sz w:val="20"/>
                <w:szCs w:val="20"/>
                <w:lang w:val="en-CA"/>
              </w:rPr>
              <w:t> </w:t>
            </w:r>
            <w:r w:rsidRPr="001F1E0E">
              <w:rPr>
                <w:color w:val="000000"/>
                <w:sz w:val="20"/>
                <w:szCs w:val="20"/>
                <w:lang w:val="en-CA"/>
              </w:rPr>
              <w:t xml:space="preserve">492 </w:t>
            </w:r>
          </w:p>
        </w:tc>
        <w:tc>
          <w:tcPr>
            <w:tcW w:w="2250" w:type="dxa"/>
            <w:vMerge/>
            <w:vAlign w:val="center"/>
            <w:hideMark/>
          </w:tcPr>
          <w:p w:rsidR="00B43DBB" w:rsidRPr="001F1E0E" w:rsidRDefault="00B43DBB">
            <w:pPr>
              <w:rPr>
                <w:rFonts w:eastAsiaTheme="minorHAnsi"/>
                <w:color w:val="000000"/>
                <w:sz w:val="20"/>
                <w:szCs w:val="20"/>
                <w:lang w:val="en-CA"/>
              </w:rPr>
            </w:pPr>
          </w:p>
        </w:tc>
      </w:tr>
      <w:tr w:rsidR="00B43DBB" w:rsidRPr="001F1E0E" w:rsidTr="00B03A24">
        <w:trPr>
          <w:trHeight w:val="41"/>
        </w:trPr>
        <w:tc>
          <w:tcPr>
            <w:tcW w:w="2137" w:type="dxa"/>
            <w:vMerge w:val="restart"/>
            <w:noWrap/>
            <w:tcMar>
              <w:top w:w="0" w:type="dxa"/>
              <w:left w:w="108" w:type="dxa"/>
              <w:bottom w:w="0" w:type="dxa"/>
              <w:right w:w="108" w:type="dxa"/>
            </w:tcMar>
            <w:vAlign w:val="center"/>
            <w:hideMark/>
          </w:tcPr>
          <w:p w:rsidR="00B43DBB" w:rsidRPr="00D70E4A" w:rsidRDefault="004E4441" w:rsidP="005B6FC5">
            <w:pPr>
              <w:rPr>
                <w:color w:val="000000"/>
                <w:sz w:val="20"/>
                <w:szCs w:val="20"/>
                <w:lang w:val="en-CA"/>
              </w:rPr>
            </w:pPr>
            <w:r>
              <w:rPr>
                <w:color w:val="000000"/>
                <w:sz w:val="20"/>
                <w:szCs w:val="20"/>
                <w:lang w:val="fr-FR"/>
              </w:rPr>
              <w:lastRenderedPageBreak/>
              <w:t xml:space="preserve"> Troisième tranche</w:t>
            </w: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Approuvé</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232</w:t>
            </w:r>
            <w:r w:rsidR="009E134F">
              <w:rPr>
                <w:color w:val="000000"/>
                <w:sz w:val="20"/>
                <w:szCs w:val="20"/>
                <w:lang w:val="en-CA"/>
              </w:rPr>
              <w:t> </w:t>
            </w:r>
            <w:r w:rsidRPr="001F1E0E">
              <w:rPr>
                <w:color w:val="000000"/>
                <w:sz w:val="20"/>
                <w:szCs w:val="20"/>
                <w:lang w:val="en-CA"/>
              </w:rPr>
              <w:t>575</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716</w:t>
            </w:r>
            <w:r w:rsidR="009E134F">
              <w:rPr>
                <w:color w:val="000000"/>
                <w:sz w:val="20"/>
                <w:szCs w:val="20"/>
                <w:lang w:val="en-CA"/>
              </w:rPr>
              <w:t> </w:t>
            </w:r>
            <w:r w:rsidRPr="001F1E0E">
              <w:rPr>
                <w:color w:val="000000"/>
                <w:sz w:val="20"/>
                <w:szCs w:val="20"/>
                <w:lang w:val="en-CA"/>
              </w:rPr>
              <w:t>400</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948</w:t>
            </w:r>
            <w:r w:rsidR="009E134F">
              <w:rPr>
                <w:color w:val="000000"/>
                <w:sz w:val="20"/>
                <w:szCs w:val="20"/>
                <w:lang w:val="en-CA"/>
              </w:rPr>
              <w:t> </w:t>
            </w:r>
            <w:r w:rsidRPr="001F1E0E">
              <w:rPr>
                <w:color w:val="000000"/>
                <w:sz w:val="20"/>
                <w:szCs w:val="20"/>
                <w:lang w:val="en-CA"/>
              </w:rPr>
              <w:t>975</w:t>
            </w:r>
          </w:p>
        </w:tc>
        <w:tc>
          <w:tcPr>
            <w:tcW w:w="2250" w:type="dxa"/>
            <w:vMerge w:val="restart"/>
            <w:noWrap/>
            <w:tcMar>
              <w:top w:w="0" w:type="dxa"/>
              <w:left w:w="108" w:type="dxa"/>
              <w:bottom w:w="0" w:type="dxa"/>
              <w:right w:w="108" w:type="dxa"/>
            </w:tcMar>
            <w:vAlign w:val="center"/>
            <w:hideMark/>
          </w:tcPr>
          <w:p w:rsidR="00B43DBB" w:rsidRPr="001F1E0E" w:rsidRDefault="00B43DBB">
            <w:pPr>
              <w:jc w:val="center"/>
              <w:rPr>
                <w:color w:val="000000"/>
                <w:sz w:val="20"/>
                <w:szCs w:val="20"/>
                <w:lang w:val="en-CA"/>
              </w:rPr>
            </w:pPr>
            <w:r w:rsidRPr="001F1E0E">
              <w:rPr>
                <w:color w:val="000000"/>
                <w:sz w:val="20"/>
                <w:szCs w:val="20"/>
                <w:lang w:val="en-CA"/>
              </w:rPr>
              <w:t>6</w:t>
            </w:r>
          </w:p>
        </w:tc>
      </w:tr>
      <w:tr w:rsidR="00B43DBB" w:rsidRPr="001F1E0E" w:rsidTr="00B03A24">
        <w:trPr>
          <w:trHeight w:val="134"/>
        </w:trPr>
        <w:tc>
          <w:tcPr>
            <w:tcW w:w="2137" w:type="dxa"/>
            <w:vMerge/>
            <w:vAlign w:val="center"/>
            <w:hideMark/>
          </w:tcPr>
          <w:p w:rsidR="00B43DBB" w:rsidRPr="001F1E0E" w:rsidRDefault="00B43DBB">
            <w:pPr>
              <w:rPr>
                <w:rFonts w:eastAsiaTheme="minorHAnsi"/>
                <w:color w:val="000000"/>
                <w:sz w:val="20"/>
                <w:szCs w:val="20"/>
                <w:lang w:val="en-CA"/>
              </w:rPr>
            </w:pPr>
          </w:p>
        </w:tc>
        <w:tc>
          <w:tcPr>
            <w:tcW w:w="1350" w:type="dxa"/>
            <w:noWrap/>
            <w:tcMar>
              <w:top w:w="0" w:type="dxa"/>
              <w:left w:w="108" w:type="dxa"/>
              <w:bottom w:w="0" w:type="dxa"/>
              <w:right w:w="108" w:type="dxa"/>
            </w:tcMar>
            <w:vAlign w:val="center"/>
            <w:hideMark/>
          </w:tcPr>
          <w:p w:rsidR="00B43DBB" w:rsidRPr="001F1E0E" w:rsidRDefault="00D70E4A" w:rsidP="009E134F">
            <w:pPr>
              <w:rPr>
                <w:color w:val="000000"/>
                <w:sz w:val="20"/>
                <w:szCs w:val="20"/>
                <w:lang w:val="en-CA"/>
              </w:rPr>
            </w:pPr>
            <w:r w:rsidRPr="00D70E4A">
              <w:rPr>
                <w:color w:val="000000"/>
                <w:sz w:val="20"/>
                <w:szCs w:val="20"/>
                <w:lang w:val="fr-FR"/>
              </w:rPr>
              <w:t>Décaissé</w:t>
            </w:r>
            <w:r w:rsidR="00B43DBB" w:rsidRPr="00D70E4A">
              <w:rPr>
                <w:color w:val="000000"/>
                <w:sz w:val="20"/>
                <w:szCs w:val="20"/>
                <w:lang w:val="en-CA"/>
              </w:rPr>
              <w:t xml:space="preserve"> </w:t>
            </w:r>
          </w:p>
        </w:tc>
        <w:tc>
          <w:tcPr>
            <w:tcW w:w="108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55</w:t>
            </w:r>
            <w:r w:rsidR="009E134F">
              <w:rPr>
                <w:color w:val="000000"/>
                <w:sz w:val="20"/>
                <w:szCs w:val="20"/>
                <w:lang w:val="en-CA"/>
              </w:rPr>
              <w:t> </w:t>
            </w:r>
            <w:r w:rsidRPr="001F1E0E">
              <w:rPr>
                <w:color w:val="000000"/>
                <w:sz w:val="20"/>
                <w:szCs w:val="20"/>
                <w:lang w:val="en-CA"/>
              </w:rPr>
              <w:t>818</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0</w:t>
            </w:r>
          </w:p>
        </w:tc>
        <w:tc>
          <w:tcPr>
            <w:tcW w:w="1260" w:type="dxa"/>
            <w:noWrap/>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55</w:t>
            </w:r>
            <w:r w:rsidR="009E134F">
              <w:rPr>
                <w:color w:val="000000"/>
                <w:sz w:val="20"/>
                <w:szCs w:val="20"/>
                <w:lang w:val="en-CA"/>
              </w:rPr>
              <w:t> </w:t>
            </w:r>
            <w:r w:rsidRPr="001F1E0E">
              <w:rPr>
                <w:color w:val="000000"/>
                <w:sz w:val="20"/>
                <w:szCs w:val="20"/>
                <w:lang w:val="en-CA"/>
              </w:rPr>
              <w:t xml:space="preserve">818 </w:t>
            </w:r>
          </w:p>
        </w:tc>
        <w:tc>
          <w:tcPr>
            <w:tcW w:w="2250" w:type="dxa"/>
            <w:vMerge/>
            <w:vAlign w:val="center"/>
            <w:hideMark/>
          </w:tcPr>
          <w:p w:rsidR="00B43DBB" w:rsidRPr="001F1E0E" w:rsidRDefault="00B43DBB">
            <w:pPr>
              <w:rPr>
                <w:rFonts w:eastAsiaTheme="minorHAnsi"/>
                <w:color w:val="000000"/>
                <w:sz w:val="20"/>
                <w:szCs w:val="20"/>
                <w:lang w:val="en-CA"/>
              </w:rPr>
            </w:pPr>
          </w:p>
        </w:tc>
      </w:tr>
      <w:tr w:rsidR="00B43DBB" w:rsidRPr="001F1E0E" w:rsidTr="00B03A24">
        <w:trPr>
          <w:trHeight w:val="98"/>
        </w:trPr>
        <w:tc>
          <w:tcPr>
            <w:tcW w:w="2137" w:type="dxa"/>
            <w:vMerge w:val="restart"/>
            <w:tcMar>
              <w:top w:w="0" w:type="dxa"/>
              <w:left w:w="108" w:type="dxa"/>
              <w:bottom w:w="0" w:type="dxa"/>
              <w:right w:w="108" w:type="dxa"/>
            </w:tcMar>
            <w:vAlign w:val="center"/>
            <w:hideMark/>
          </w:tcPr>
          <w:p w:rsidR="00B43DBB" w:rsidRPr="001F1E0E" w:rsidRDefault="00B43DBB">
            <w:pPr>
              <w:rPr>
                <w:color w:val="000000"/>
                <w:sz w:val="20"/>
                <w:szCs w:val="20"/>
                <w:lang w:val="en-CA"/>
              </w:rPr>
            </w:pPr>
            <w:r w:rsidRPr="001F1E0E">
              <w:rPr>
                <w:color w:val="000000"/>
                <w:sz w:val="20"/>
                <w:szCs w:val="20"/>
                <w:lang w:val="en-CA"/>
              </w:rPr>
              <w:t>Total</w:t>
            </w:r>
          </w:p>
        </w:tc>
        <w:tc>
          <w:tcPr>
            <w:tcW w:w="1350" w:type="dxa"/>
            <w:tcMar>
              <w:top w:w="0" w:type="dxa"/>
              <w:left w:w="108" w:type="dxa"/>
              <w:bottom w:w="0" w:type="dxa"/>
              <w:right w:w="108" w:type="dxa"/>
            </w:tcMar>
            <w:vAlign w:val="center"/>
            <w:hideMark/>
          </w:tcPr>
          <w:p w:rsidR="00B43DBB" w:rsidRPr="009E134F" w:rsidRDefault="00B43DBB" w:rsidP="004E4441">
            <w:pPr>
              <w:rPr>
                <w:color w:val="000000"/>
                <w:sz w:val="20"/>
                <w:szCs w:val="20"/>
                <w:lang w:val="fr-FR"/>
              </w:rPr>
            </w:pPr>
            <w:r w:rsidRPr="009E134F">
              <w:rPr>
                <w:color w:val="000000"/>
                <w:sz w:val="20"/>
                <w:szCs w:val="20"/>
                <w:lang w:val="fr-FR"/>
              </w:rPr>
              <w:t>Appro</w:t>
            </w:r>
            <w:r w:rsidR="004E4441" w:rsidRPr="009E134F">
              <w:rPr>
                <w:color w:val="000000"/>
                <w:sz w:val="20"/>
                <w:szCs w:val="20"/>
                <w:lang w:val="fr-FR"/>
              </w:rPr>
              <w:t>uvé</w:t>
            </w:r>
            <w:r w:rsidRPr="009E134F">
              <w:rPr>
                <w:color w:val="000000"/>
                <w:sz w:val="20"/>
                <w:szCs w:val="20"/>
                <w:lang w:val="fr-FR"/>
              </w:rPr>
              <w:t xml:space="preserve"> </w:t>
            </w:r>
          </w:p>
        </w:tc>
        <w:tc>
          <w:tcPr>
            <w:tcW w:w="108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432</w:t>
            </w:r>
            <w:r w:rsidR="009E134F">
              <w:rPr>
                <w:color w:val="000000"/>
                <w:sz w:val="20"/>
                <w:szCs w:val="20"/>
                <w:lang w:val="en-CA"/>
              </w:rPr>
              <w:t> </w:t>
            </w:r>
            <w:r w:rsidRPr="001F1E0E">
              <w:rPr>
                <w:color w:val="000000"/>
                <w:sz w:val="20"/>
                <w:szCs w:val="20"/>
                <w:lang w:val="en-CA"/>
              </w:rPr>
              <w:t>575</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4</w:t>
            </w:r>
            <w:r w:rsidR="009E134F">
              <w:rPr>
                <w:color w:val="000000"/>
                <w:sz w:val="20"/>
                <w:szCs w:val="20"/>
                <w:lang w:val="en-CA"/>
              </w:rPr>
              <w:t> </w:t>
            </w:r>
            <w:r w:rsidRPr="001F1E0E">
              <w:rPr>
                <w:color w:val="000000"/>
                <w:sz w:val="20"/>
                <w:szCs w:val="20"/>
                <w:lang w:val="en-CA"/>
              </w:rPr>
              <w:t>716</w:t>
            </w:r>
            <w:r w:rsidR="009E134F">
              <w:rPr>
                <w:color w:val="000000"/>
                <w:sz w:val="20"/>
                <w:szCs w:val="20"/>
                <w:lang w:val="en-CA"/>
              </w:rPr>
              <w:t> </w:t>
            </w:r>
            <w:r w:rsidRPr="001F1E0E">
              <w:rPr>
                <w:color w:val="000000"/>
                <w:sz w:val="20"/>
                <w:szCs w:val="20"/>
                <w:lang w:val="en-CA"/>
              </w:rPr>
              <w:t>400</w:t>
            </w:r>
          </w:p>
        </w:tc>
        <w:tc>
          <w:tcPr>
            <w:tcW w:w="126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6</w:t>
            </w:r>
            <w:r w:rsidR="009E134F">
              <w:rPr>
                <w:color w:val="000000"/>
                <w:sz w:val="20"/>
                <w:szCs w:val="20"/>
                <w:lang w:val="en-CA"/>
              </w:rPr>
              <w:t> </w:t>
            </w:r>
            <w:r w:rsidRPr="001F1E0E">
              <w:rPr>
                <w:color w:val="000000"/>
                <w:sz w:val="20"/>
                <w:szCs w:val="20"/>
                <w:lang w:val="en-CA"/>
              </w:rPr>
              <w:t>148</w:t>
            </w:r>
            <w:r w:rsidR="009E134F">
              <w:rPr>
                <w:color w:val="000000"/>
                <w:sz w:val="20"/>
                <w:szCs w:val="20"/>
                <w:lang w:val="en-CA"/>
              </w:rPr>
              <w:t> </w:t>
            </w:r>
            <w:r w:rsidRPr="001F1E0E">
              <w:rPr>
                <w:color w:val="000000"/>
                <w:sz w:val="20"/>
                <w:szCs w:val="20"/>
                <w:lang w:val="en-CA"/>
              </w:rPr>
              <w:t>975</w:t>
            </w:r>
          </w:p>
        </w:tc>
        <w:tc>
          <w:tcPr>
            <w:tcW w:w="2250" w:type="dxa"/>
            <w:vMerge w:val="restart"/>
            <w:noWrap/>
            <w:tcMar>
              <w:top w:w="0" w:type="dxa"/>
              <w:left w:w="108" w:type="dxa"/>
              <w:bottom w:w="0" w:type="dxa"/>
              <w:right w:w="108" w:type="dxa"/>
            </w:tcMar>
            <w:vAlign w:val="center"/>
            <w:hideMark/>
          </w:tcPr>
          <w:p w:rsidR="00B43DBB" w:rsidRPr="001F1E0E" w:rsidRDefault="00B43DBB">
            <w:pPr>
              <w:jc w:val="center"/>
              <w:rPr>
                <w:color w:val="000000"/>
                <w:sz w:val="20"/>
                <w:szCs w:val="20"/>
                <w:lang w:val="en-CA"/>
              </w:rPr>
            </w:pPr>
            <w:r w:rsidRPr="001F1E0E">
              <w:rPr>
                <w:color w:val="000000"/>
                <w:sz w:val="20"/>
                <w:szCs w:val="20"/>
                <w:lang w:val="en-CA"/>
              </w:rPr>
              <w:t>69</w:t>
            </w:r>
          </w:p>
        </w:tc>
      </w:tr>
      <w:tr w:rsidR="00B43DBB" w:rsidRPr="001F1E0E" w:rsidTr="00B03A24">
        <w:trPr>
          <w:trHeight w:val="125"/>
        </w:trPr>
        <w:tc>
          <w:tcPr>
            <w:tcW w:w="2137" w:type="dxa"/>
            <w:vMerge/>
            <w:vAlign w:val="center"/>
            <w:hideMark/>
          </w:tcPr>
          <w:p w:rsidR="00B43DBB" w:rsidRPr="001F1E0E" w:rsidRDefault="00B43DBB">
            <w:pPr>
              <w:rPr>
                <w:rFonts w:eastAsiaTheme="minorHAnsi"/>
                <w:color w:val="000000"/>
                <w:sz w:val="20"/>
                <w:szCs w:val="20"/>
                <w:lang w:val="en-CA"/>
              </w:rPr>
            </w:pPr>
          </w:p>
        </w:tc>
        <w:tc>
          <w:tcPr>
            <w:tcW w:w="1350" w:type="dxa"/>
            <w:tcMar>
              <w:top w:w="0" w:type="dxa"/>
              <w:left w:w="108" w:type="dxa"/>
              <w:bottom w:w="0" w:type="dxa"/>
              <w:right w:w="108" w:type="dxa"/>
            </w:tcMar>
            <w:vAlign w:val="center"/>
            <w:hideMark/>
          </w:tcPr>
          <w:p w:rsidR="00B43DBB" w:rsidRPr="009E134F" w:rsidRDefault="00B43DBB" w:rsidP="004E4441">
            <w:pPr>
              <w:rPr>
                <w:color w:val="000000"/>
                <w:sz w:val="20"/>
                <w:szCs w:val="20"/>
                <w:lang w:val="fr-FR"/>
              </w:rPr>
            </w:pPr>
            <w:r w:rsidRPr="009E134F">
              <w:rPr>
                <w:color w:val="000000"/>
                <w:sz w:val="20"/>
                <w:szCs w:val="20"/>
                <w:lang w:val="fr-FR"/>
              </w:rPr>
              <w:t>D</w:t>
            </w:r>
            <w:r w:rsidR="004E4441" w:rsidRPr="009E134F">
              <w:rPr>
                <w:color w:val="000000"/>
                <w:sz w:val="20"/>
                <w:szCs w:val="20"/>
                <w:lang w:val="fr-FR"/>
              </w:rPr>
              <w:t>écaissé</w:t>
            </w:r>
          </w:p>
        </w:tc>
        <w:tc>
          <w:tcPr>
            <w:tcW w:w="108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1</w:t>
            </w:r>
            <w:r w:rsidR="009E134F">
              <w:rPr>
                <w:color w:val="000000"/>
                <w:sz w:val="20"/>
                <w:szCs w:val="20"/>
                <w:lang w:val="en-CA"/>
              </w:rPr>
              <w:t> </w:t>
            </w:r>
            <w:r w:rsidRPr="001F1E0E">
              <w:rPr>
                <w:color w:val="000000"/>
                <w:sz w:val="20"/>
                <w:szCs w:val="20"/>
                <w:lang w:val="en-CA"/>
              </w:rPr>
              <w:t>255</w:t>
            </w:r>
            <w:r w:rsidR="009E134F">
              <w:rPr>
                <w:color w:val="000000"/>
                <w:sz w:val="20"/>
                <w:szCs w:val="20"/>
                <w:lang w:val="en-CA"/>
              </w:rPr>
              <w:t> </w:t>
            </w:r>
            <w:r w:rsidRPr="001F1E0E">
              <w:rPr>
                <w:color w:val="000000"/>
                <w:sz w:val="20"/>
                <w:szCs w:val="20"/>
                <w:lang w:val="en-CA"/>
              </w:rPr>
              <w:t>818</w:t>
            </w:r>
          </w:p>
        </w:tc>
        <w:tc>
          <w:tcPr>
            <w:tcW w:w="117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3</w:t>
            </w:r>
            <w:r w:rsidR="009E134F">
              <w:rPr>
                <w:color w:val="000000"/>
                <w:sz w:val="20"/>
                <w:szCs w:val="20"/>
                <w:lang w:val="en-CA"/>
              </w:rPr>
              <w:t> </w:t>
            </w:r>
            <w:r w:rsidRPr="001F1E0E">
              <w:rPr>
                <w:color w:val="000000"/>
                <w:sz w:val="20"/>
                <w:szCs w:val="20"/>
                <w:lang w:val="en-CA"/>
              </w:rPr>
              <w:t>010</w:t>
            </w:r>
            <w:r w:rsidR="009E134F">
              <w:rPr>
                <w:color w:val="000000"/>
                <w:sz w:val="20"/>
                <w:szCs w:val="20"/>
                <w:lang w:val="en-CA"/>
              </w:rPr>
              <w:t> </w:t>
            </w:r>
            <w:r w:rsidRPr="001F1E0E">
              <w:rPr>
                <w:color w:val="000000"/>
                <w:sz w:val="20"/>
                <w:szCs w:val="20"/>
                <w:lang w:val="en-CA"/>
              </w:rPr>
              <w:t>120</w:t>
            </w:r>
          </w:p>
        </w:tc>
        <w:tc>
          <w:tcPr>
            <w:tcW w:w="1260" w:type="dxa"/>
            <w:tcMar>
              <w:top w:w="0" w:type="dxa"/>
              <w:left w:w="108" w:type="dxa"/>
              <w:bottom w:w="0" w:type="dxa"/>
              <w:right w:w="108" w:type="dxa"/>
            </w:tcMar>
            <w:vAlign w:val="center"/>
            <w:hideMark/>
          </w:tcPr>
          <w:p w:rsidR="00B43DBB" w:rsidRPr="001F1E0E" w:rsidRDefault="00B43DBB">
            <w:pPr>
              <w:jc w:val="right"/>
              <w:rPr>
                <w:color w:val="000000"/>
                <w:sz w:val="20"/>
                <w:szCs w:val="20"/>
                <w:lang w:val="en-CA"/>
              </w:rPr>
            </w:pPr>
            <w:r w:rsidRPr="001F1E0E">
              <w:rPr>
                <w:color w:val="000000"/>
                <w:sz w:val="20"/>
                <w:szCs w:val="20"/>
                <w:lang w:val="en-CA"/>
              </w:rPr>
              <w:t>4</w:t>
            </w:r>
            <w:r w:rsidR="009E134F">
              <w:rPr>
                <w:color w:val="000000"/>
                <w:sz w:val="20"/>
                <w:szCs w:val="20"/>
                <w:lang w:val="en-CA"/>
              </w:rPr>
              <w:t> </w:t>
            </w:r>
            <w:r w:rsidRPr="001F1E0E">
              <w:rPr>
                <w:color w:val="000000"/>
                <w:sz w:val="20"/>
                <w:szCs w:val="20"/>
                <w:lang w:val="en-CA"/>
              </w:rPr>
              <w:t>265</w:t>
            </w:r>
            <w:r w:rsidR="009E134F">
              <w:rPr>
                <w:color w:val="000000"/>
                <w:sz w:val="20"/>
                <w:szCs w:val="20"/>
                <w:lang w:val="en-CA"/>
              </w:rPr>
              <w:t> </w:t>
            </w:r>
            <w:r w:rsidRPr="001F1E0E">
              <w:rPr>
                <w:color w:val="000000"/>
                <w:sz w:val="20"/>
                <w:szCs w:val="20"/>
                <w:lang w:val="en-CA"/>
              </w:rPr>
              <w:t>938</w:t>
            </w:r>
          </w:p>
        </w:tc>
        <w:tc>
          <w:tcPr>
            <w:tcW w:w="2250" w:type="dxa"/>
            <w:vMerge/>
            <w:vAlign w:val="center"/>
            <w:hideMark/>
          </w:tcPr>
          <w:p w:rsidR="00B43DBB" w:rsidRPr="001F1E0E" w:rsidRDefault="00B43DBB">
            <w:pPr>
              <w:rPr>
                <w:rFonts w:eastAsiaTheme="minorHAnsi"/>
                <w:color w:val="000000"/>
                <w:sz w:val="20"/>
                <w:szCs w:val="20"/>
                <w:lang w:val="en-CA"/>
              </w:rPr>
            </w:pPr>
          </w:p>
        </w:tc>
      </w:tr>
    </w:tbl>
    <w:p w:rsidR="00B43DBB" w:rsidRPr="001F1E0E" w:rsidRDefault="00B43DBB" w:rsidP="00E51975">
      <w:pPr>
        <w:rPr>
          <w:lang w:val="en-CA"/>
        </w:rPr>
      </w:pPr>
    </w:p>
    <w:p w:rsidR="00E51975" w:rsidRPr="00835057" w:rsidRDefault="00835057" w:rsidP="00835057">
      <w:pPr>
        <w:keepNext/>
        <w:keepLines/>
        <w:rPr>
          <w:b/>
          <w:lang w:val="en-CA"/>
        </w:rPr>
      </w:pPr>
      <w:r w:rsidRPr="00835057">
        <w:rPr>
          <w:b/>
          <w:lang w:val="fr-FR"/>
        </w:rPr>
        <w:t>Observations du Secrétariat</w:t>
      </w:r>
    </w:p>
    <w:p w:rsidR="00E51975" w:rsidRPr="001F1E0E" w:rsidRDefault="00E51975" w:rsidP="00781153">
      <w:pPr>
        <w:keepNext/>
        <w:keepLines/>
        <w:rPr>
          <w:lang w:val="en-CA"/>
        </w:rPr>
      </w:pPr>
    </w:p>
    <w:p w:rsidR="00E51975" w:rsidRPr="00C3019D" w:rsidRDefault="00835057" w:rsidP="00E51975">
      <w:pPr>
        <w:rPr>
          <w:u w:val="single"/>
          <w:lang w:val="fr-FR"/>
        </w:rPr>
      </w:pPr>
      <w:r w:rsidRPr="00835057">
        <w:rPr>
          <w:u w:val="single"/>
          <w:lang w:val="fr-FR"/>
        </w:rPr>
        <w:t>Observations concernant le rapport annuel de la phase I du PGEH</w:t>
      </w:r>
      <w:r w:rsidR="00E51975" w:rsidRPr="00C3019D">
        <w:rPr>
          <w:u w:val="single"/>
          <w:lang w:val="fr-FR"/>
        </w:rPr>
        <w:t xml:space="preserve"> </w:t>
      </w:r>
    </w:p>
    <w:p w:rsidR="00E51975" w:rsidRPr="00C3019D" w:rsidRDefault="00E51975" w:rsidP="00E51975">
      <w:pPr>
        <w:rPr>
          <w:lang w:val="fr-FR"/>
        </w:rPr>
      </w:pPr>
    </w:p>
    <w:p w:rsidR="00E51975" w:rsidRPr="004E4441" w:rsidRDefault="004E4441" w:rsidP="004E4441">
      <w:pPr>
        <w:rPr>
          <w:i/>
          <w:lang w:val="en-CA"/>
        </w:rPr>
      </w:pPr>
      <w:r w:rsidRPr="004E4441">
        <w:rPr>
          <w:i/>
          <w:lang w:val="fr-FR"/>
        </w:rPr>
        <w:t>Cadre</w:t>
      </w:r>
      <w:r w:rsidR="00D77991">
        <w:rPr>
          <w:i/>
          <w:lang w:val="fr-FR"/>
        </w:rPr>
        <w:t xml:space="preserve"> </w:t>
      </w:r>
      <w:r w:rsidRPr="004E4441">
        <w:rPr>
          <w:i/>
          <w:lang w:val="fr-FR"/>
        </w:rPr>
        <w:t>juridique</w:t>
      </w:r>
    </w:p>
    <w:p w:rsidR="00E51975" w:rsidRPr="001F1E0E" w:rsidRDefault="00E51975" w:rsidP="00E51975">
      <w:pPr>
        <w:rPr>
          <w:i/>
          <w:lang w:val="en-CA"/>
        </w:rPr>
      </w:pPr>
    </w:p>
    <w:p w:rsidR="004F0C1D" w:rsidRPr="00C3019D" w:rsidRDefault="004E4441" w:rsidP="004E4441">
      <w:pPr>
        <w:pStyle w:val="Heading1"/>
        <w:rPr>
          <w:lang w:val="fr-FR"/>
        </w:rPr>
      </w:pPr>
      <w:r w:rsidRPr="004F0C1D">
        <w:rPr>
          <w:lang w:val="fr-FR"/>
        </w:rPr>
        <w:t>Le</w:t>
      </w:r>
      <w:r w:rsidR="00D77991" w:rsidRPr="004F0C1D">
        <w:rPr>
          <w:lang w:val="fr-FR"/>
        </w:rPr>
        <w:t xml:space="preserve"> </w:t>
      </w:r>
      <w:r w:rsidRPr="004F0C1D">
        <w:rPr>
          <w:lang w:val="fr-FR"/>
        </w:rPr>
        <w:t>gouvernement de l</w:t>
      </w:r>
      <w:r w:rsidR="00D77991" w:rsidRPr="004F0C1D">
        <w:rPr>
          <w:lang w:val="fr-FR"/>
        </w:rPr>
        <w:t>’</w:t>
      </w:r>
      <w:r w:rsidRPr="004F0C1D">
        <w:rPr>
          <w:lang w:val="fr-FR"/>
        </w:rPr>
        <w:t xml:space="preserve">Égypte a fixé pour 2019 </w:t>
      </w:r>
      <w:r w:rsidR="009A22BC" w:rsidRPr="004F0C1D">
        <w:rPr>
          <w:lang w:val="fr-FR"/>
        </w:rPr>
        <w:t>l</w:t>
      </w:r>
      <w:r w:rsidRPr="004F0C1D">
        <w:rPr>
          <w:lang w:val="fr-FR"/>
        </w:rPr>
        <w:t>es quotas d</w:t>
      </w:r>
      <w:r w:rsidR="00D77991" w:rsidRPr="004F0C1D">
        <w:rPr>
          <w:lang w:val="fr-FR"/>
        </w:rPr>
        <w:t>’</w:t>
      </w:r>
      <w:r w:rsidRPr="004F0C1D">
        <w:rPr>
          <w:lang w:val="fr-FR"/>
        </w:rPr>
        <w:t>importation de HCFC à</w:t>
      </w:r>
      <w:r w:rsidR="00D77991" w:rsidRPr="004F0C1D">
        <w:rPr>
          <w:lang w:val="fr-FR"/>
        </w:rPr>
        <w:t xml:space="preserve"> </w:t>
      </w:r>
      <w:r w:rsidRPr="004F0C1D">
        <w:rPr>
          <w:lang w:val="fr-FR"/>
        </w:rPr>
        <w:t xml:space="preserve">289,7 tonnes PAO, ce qui est inférieur aux objectifs de réglementation du Protocole </w:t>
      </w:r>
      <w:r w:rsidR="009A22BC" w:rsidRPr="004F0C1D">
        <w:rPr>
          <w:lang w:val="fr-FR"/>
        </w:rPr>
        <w:t>d</w:t>
      </w:r>
      <w:r w:rsidRPr="004F0C1D">
        <w:rPr>
          <w:lang w:val="fr-FR"/>
        </w:rPr>
        <w:t>e Montréal et conforme aux objectifs spécifi</w:t>
      </w:r>
      <w:r w:rsidR="009A22BC" w:rsidRPr="004F0C1D">
        <w:rPr>
          <w:lang w:val="fr-FR"/>
        </w:rPr>
        <w:t>é</w:t>
      </w:r>
      <w:r w:rsidRPr="004F0C1D">
        <w:rPr>
          <w:lang w:val="fr-FR"/>
        </w:rPr>
        <w:t>s dans l</w:t>
      </w:r>
      <w:r w:rsidR="00D77991" w:rsidRPr="004F0C1D">
        <w:rPr>
          <w:lang w:val="fr-FR"/>
        </w:rPr>
        <w:t>’</w:t>
      </w:r>
      <w:r w:rsidRPr="004F0C1D">
        <w:rPr>
          <w:lang w:val="fr-FR"/>
        </w:rPr>
        <w:t>accord conclu entre le pays et le Comité exécutif.</w:t>
      </w:r>
      <w:r w:rsidRPr="00C3019D">
        <w:rPr>
          <w:lang w:val="fr-FR"/>
        </w:rPr>
        <w:t xml:space="preserve"> </w:t>
      </w:r>
    </w:p>
    <w:p w:rsidR="004F0C1D" w:rsidRDefault="004F0C1D" w:rsidP="00353650">
      <w:pPr>
        <w:rPr>
          <w:i/>
          <w:lang w:val="fr-FR"/>
        </w:rPr>
      </w:pPr>
      <w:r w:rsidRPr="004E4441">
        <w:rPr>
          <w:i/>
          <w:lang w:val="fr-FR"/>
        </w:rPr>
        <w:t>Rapport sur l</w:t>
      </w:r>
      <w:r>
        <w:rPr>
          <w:i/>
          <w:lang w:val="fr-FR"/>
        </w:rPr>
        <w:t>’</w:t>
      </w:r>
      <w:r w:rsidRPr="004E4441">
        <w:rPr>
          <w:i/>
          <w:lang w:val="fr-FR"/>
        </w:rPr>
        <w:t>état d</w:t>
      </w:r>
      <w:r>
        <w:rPr>
          <w:i/>
          <w:lang w:val="fr-FR"/>
        </w:rPr>
        <w:t>’</w:t>
      </w:r>
      <w:r w:rsidRPr="004E4441">
        <w:rPr>
          <w:i/>
          <w:lang w:val="fr-FR"/>
        </w:rPr>
        <w:t>avancement de l</w:t>
      </w:r>
      <w:r>
        <w:rPr>
          <w:i/>
          <w:lang w:val="fr-FR"/>
        </w:rPr>
        <w:t>’</w:t>
      </w:r>
      <w:r w:rsidRPr="004E4441">
        <w:rPr>
          <w:i/>
          <w:lang w:val="fr-FR"/>
        </w:rPr>
        <w:t>utilisation de la technologie provisoire</w:t>
      </w:r>
    </w:p>
    <w:p w:rsidR="00353650" w:rsidRPr="00353650" w:rsidRDefault="00353650" w:rsidP="00353650">
      <w:pPr>
        <w:rPr>
          <w:i/>
          <w:lang w:val="fr-FR"/>
        </w:rPr>
      </w:pPr>
    </w:p>
    <w:p w:rsidR="004E4441" w:rsidRPr="00353650" w:rsidRDefault="004E4441" w:rsidP="00353650">
      <w:pPr>
        <w:pStyle w:val="Heading1"/>
        <w:rPr>
          <w:lang w:val="fr-FR"/>
        </w:rPr>
      </w:pPr>
      <w:r w:rsidRPr="004F0C1D">
        <w:rPr>
          <w:lang w:val="fr-FR"/>
        </w:rPr>
        <w:t>Tandis que trois sociétés de formulation ont réussi à assurer la reconversion de leurs clients en aval pour passer à des produits de remplacement à faible PRP, notamment l</w:t>
      </w:r>
      <w:r w:rsidR="00D77991" w:rsidRPr="004F0C1D">
        <w:rPr>
          <w:lang w:val="fr-FR"/>
        </w:rPr>
        <w:t>’</w:t>
      </w:r>
      <w:r w:rsidRPr="004F0C1D">
        <w:rPr>
          <w:lang w:val="fr-FR"/>
        </w:rPr>
        <w:t>eau, les hydrofluoro-oléfines (HFO) et le formiate de méthyle, ces sociétés produisent également des formules à PRP élevé et les vendent à des clients autres que ceux qui bénéficient d</w:t>
      </w:r>
      <w:r w:rsidR="00D77991" w:rsidRPr="004F0C1D">
        <w:rPr>
          <w:lang w:val="fr-FR"/>
        </w:rPr>
        <w:t>’</w:t>
      </w:r>
      <w:r w:rsidRPr="004F0C1D">
        <w:rPr>
          <w:lang w:val="fr-FR"/>
        </w:rPr>
        <w:t>une aide dans le cadre du projet.</w:t>
      </w:r>
      <w:r w:rsidRPr="00C3019D">
        <w:rPr>
          <w:lang w:val="fr-FR"/>
        </w:rPr>
        <w:t xml:space="preserve"> </w:t>
      </w:r>
      <w:r w:rsidRPr="004F0C1D">
        <w:rPr>
          <w:lang w:val="fr-FR"/>
        </w:rPr>
        <w:t>Afin d</w:t>
      </w:r>
      <w:r w:rsidR="00D77991" w:rsidRPr="004F0C1D">
        <w:rPr>
          <w:lang w:val="fr-FR"/>
        </w:rPr>
        <w:t>’</w:t>
      </w:r>
      <w:r w:rsidRPr="004F0C1D">
        <w:rPr>
          <w:lang w:val="fr-FR"/>
        </w:rPr>
        <w:t>assurer l</w:t>
      </w:r>
      <w:r w:rsidR="00D77991" w:rsidRPr="004F0C1D">
        <w:rPr>
          <w:lang w:val="fr-FR"/>
        </w:rPr>
        <w:t>’</w:t>
      </w:r>
      <w:r w:rsidRPr="004F0C1D">
        <w:rPr>
          <w:lang w:val="fr-FR"/>
        </w:rPr>
        <w:t>usage durable des solutions de remplacement à faible PRP chez les clients en aval une fois le projet achevé,</w:t>
      </w:r>
      <w:r w:rsidR="00D77991" w:rsidRPr="004F0C1D">
        <w:rPr>
          <w:lang w:val="fr-FR"/>
        </w:rPr>
        <w:t xml:space="preserve"> </w:t>
      </w:r>
      <w:r w:rsidRPr="004F0C1D">
        <w:rPr>
          <w:lang w:val="fr-FR"/>
        </w:rPr>
        <w:t>la procédure du protocole de transfert du PNUD n</w:t>
      </w:r>
      <w:r w:rsidR="00D77991" w:rsidRPr="004F0C1D">
        <w:rPr>
          <w:lang w:val="fr-FR"/>
        </w:rPr>
        <w:t>’</w:t>
      </w:r>
      <w:r w:rsidRPr="004F0C1D">
        <w:rPr>
          <w:lang w:val="fr-FR"/>
        </w:rPr>
        <w:t xml:space="preserve">autorisera pas les sociétés de formulation à utiliser des produits de remplacement à PRP élevé </w:t>
      </w:r>
      <w:r w:rsidR="009A22BC" w:rsidRPr="004F0C1D">
        <w:rPr>
          <w:lang w:val="fr-FR"/>
        </w:rPr>
        <w:t xml:space="preserve">chez </w:t>
      </w:r>
      <w:r w:rsidRPr="004F0C1D">
        <w:rPr>
          <w:lang w:val="fr-FR"/>
        </w:rPr>
        <w:t>les clients en aval qui ont participé au projet.</w:t>
      </w:r>
      <w:r w:rsidR="00D77991" w:rsidRPr="00C3019D">
        <w:rPr>
          <w:lang w:val="fr-FR"/>
        </w:rPr>
        <w:t xml:space="preserve"> </w:t>
      </w:r>
    </w:p>
    <w:p w:rsidR="00E51975" w:rsidRPr="00C3019D" w:rsidRDefault="004E4441" w:rsidP="00D00388">
      <w:pPr>
        <w:keepNext/>
        <w:keepLines/>
        <w:rPr>
          <w:i/>
          <w:lang w:val="fr-FR"/>
        </w:rPr>
      </w:pPr>
      <w:r w:rsidRPr="004E4441">
        <w:rPr>
          <w:i/>
          <w:lang w:val="fr-FR"/>
        </w:rPr>
        <w:t xml:space="preserve">Activités de facilitation dans le secteur de la réfrigération et de </w:t>
      </w:r>
      <w:r w:rsidR="00AA6C6B">
        <w:rPr>
          <w:i/>
          <w:lang w:val="fr-FR"/>
        </w:rPr>
        <w:t xml:space="preserve">la </w:t>
      </w:r>
      <w:r w:rsidRPr="004E4441">
        <w:rPr>
          <w:i/>
          <w:lang w:val="fr-FR"/>
        </w:rPr>
        <w:t>climatisation</w:t>
      </w:r>
      <w:r w:rsidR="00E51975" w:rsidRPr="00C3019D">
        <w:rPr>
          <w:i/>
          <w:lang w:val="fr-FR"/>
        </w:rPr>
        <w:t xml:space="preserve"> </w:t>
      </w:r>
    </w:p>
    <w:p w:rsidR="00E51975" w:rsidRPr="00C3019D" w:rsidRDefault="00E51975" w:rsidP="00D00388">
      <w:pPr>
        <w:keepNext/>
        <w:keepLines/>
        <w:rPr>
          <w:lang w:val="fr-FR"/>
        </w:rPr>
      </w:pPr>
    </w:p>
    <w:p w:rsidR="00E51975" w:rsidRPr="00353650" w:rsidRDefault="004E4441" w:rsidP="00353650">
      <w:pPr>
        <w:pStyle w:val="Heading1"/>
        <w:keepNext/>
        <w:keepLines/>
        <w:rPr>
          <w:lang w:val="fr-FR"/>
        </w:rPr>
      </w:pPr>
      <w:r w:rsidRPr="004E4441">
        <w:rPr>
          <w:lang w:val="fr-FR"/>
        </w:rPr>
        <w:t>Le Secrétariat a pris note avec satisfaction du rapport détaillé de l</w:t>
      </w:r>
      <w:r w:rsidR="00D77991">
        <w:rPr>
          <w:lang w:val="fr-FR"/>
        </w:rPr>
        <w:t>’</w:t>
      </w:r>
      <w:r w:rsidRPr="004E4441">
        <w:rPr>
          <w:lang w:val="fr-FR"/>
        </w:rPr>
        <w:t>EGY</w:t>
      </w:r>
      <w:r w:rsidR="00AA6C6B">
        <w:rPr>
          <w:lang w:val="fr-FR"/>
        </w:rPr>
        <w:t>PR</w:t>
      </w:r>
      <w:r w:rsidRPr="004E4441">
        <w:rPr>
          <w:lang w:val="fr-FR"/>
        </w:rPr>
        <w:t>A.</w:t>
      </w:r>
      <w:r w:rsidRPr="00C3019D">
        <w:rPr>
          <w:lang w:val="fr-FR"/>
        </w:rPr>
        <w:t xml:space="preserve"> </w:t>
      </w:r>
      <w:r w:rsidRPr="004E4441">
        <w:rPr>
          <w:lang w:val="fr-FR"/>
        </w:rPr>
        <w:t>Bien que les tests sur les climatiseurs biblocs soient achevés, un délai supplémentaire est requis pour terminer les essais sur les unités centrales, qui sont déjà fabriquées, afin de rédiger le rapport final qui sera soumis à la 86</w:t>
      </w:r>
      <w:r w:rsidRPr="004E4441">
        <w:rPr>
          <w:vertAlign w:val="superscript"/>
          <w:lang w:val="fr-FR"/>
        </w:rPr>
        <w:t>e</w:t>
      </w:r>
      <w:r w:rsidRPr="004E4441">
        <w:rPr>
          <w:lang w:val="fr-FR"/>
        </w:rPr>
        <w:t xml:space="preserve"> réunion, et pour achever les travaux sur un outil de modélisation qui pourrait être utilisé par les fabricants locaux.</w:t>
      </w:r>
      <w:r w:rsidRPr="00C3019D">
        <w:rPr>
          <w:lang w:val="fr-FR"/>
        </w:rPr>
        <w:t xml:space="preserve"> </w:t>
      </w:r>
      <w:r w:rsidRPr="004E4441">
        <w:rPr>
          <w:lang w:val="fr-FR"/>
        </w:rPr>
        <w:t>En conséquence, l</w:t>
      </w:r>
      <w:r w:rsidR="00D77991">
        <w:rPr>
          <w:lang w:val="fr-FR"/>
        </w:rPr>
        <w:t>’</w:t>
      </w:r>
      <w:r w:rsidRPr="004E4441">
        <w:rPr>
          <w:lang w:val="fr-FR"/>
        </w:rPr>
        <w:t>ONUDI a demandé de prolonger la date d</w:t>
      </w:r>
      <w:r w:rsidR="00D77991">
        <w:rPr>
          <w:lang w:val="fr-FR"/>
        </w:rPr>
        <w:t>’</w:t>
      </w:r>
      <w:r w:rsidRPr="004E4441">
        <w:rPr>
          <w:lang w:val="fr-FR"/>
        </w:rPr>
        <w:t>achèvement de la phase I du PGEH jusqu</w:t>
      </w:r>
      <w:r w:rsidR="00D77991">
        <w:rPr>
          <w:lang w:val="fr-FR"/>
        </w:rPr>
        <w:t>’</w:t>
      </w:r>
      <w:r w:rsidRPr="004E4441">
        <w:rPr>
          <w:lang w:val="fr-FR"/>
        </w:rPr>
        <w:t>au</w:t>
      </w:r>
      <w:r w:rsidR="00D77991">
        <w:rPr>
          <w:lang w:val="fr-FR"/>
        </w:rPr>
        <w:t xml:space="preserve"> </w:t>
      </w:r>
      <w:r w:rsidRPr="004E4441">
        <w:rPr>
          <w:lang w:val="fr-FR"/>
        </w:rPr>
        <w:t xml:space="preserve">30 juin 2020, notant que tous les autres </w:t>
      </w:r>
      <w:r w:rsidR="00AA6C6B">
        <w:rPr>
          <w:lang w:val="fr-FR"/>
        </w:rPr>
        <w:t>volet</w:t>
      </w:r>
      <w:r w:rsidRPr="004E4441">
        <w:rPr>
          <w:lang w:val="fr-FR"/>
        </w:rPr>
        <w:t>s de la phase I seraient achevés d</w:t>
      </w:r>
      <w:r w:rsidR="00D77991">
        <w:rPr>
          <w:lang w:val="fr-FR"/>
        </w:rPr>
        <w:t>’</w:t>
      </w:r>
      <w:r w:rsidR="00353650">
        <w:rPr>
          <w:lang w:val="fr-FR"/>
        </w:rPr>
        <w:t>ici le 31 </w:t>
      </w:r>
      <w:r w:rsidR="00353650" w:rsidRPr="00353650">
        <w:rPr>
          <w:lang w:val="fr-FR"/>
        </w:rPr>
        <w:t>décembre</w:t>
      </w:r>
      <w:r w:rsidR="00353650">
        <w:rPr>
          <w:lang w:val="fr-FR"/>
        </w:rPr>
        <w:t> </w:t>
      </w:r>
      <w:r w:rsidRPr="00353650">
        <w:rPr>
          <w:lang w:val="fr-FR"/>
        </w:rPr>
        <w:t>2019</w:t>
      </w:r>
      <w:r w:rsidRPr="004E4441">
        <w:rPr>
          <w:lang w:val="fr-FR"/>
        </w:rPr>
        <w:t>, que le rapport d</w:t>
      </w:r>
      <w:r w:rsidR="00D77991">
        <w:rPr>
          <w:lang w:val="fr-FR"/>
        </w:rPr>
        <w:t>’</w:t>
      </w:r>
      <w:r w:rsidRPr="004E4441">
        <w:rPr>
          <w:lang w:val="fr-FR"/>
        </w:rPr>
        <w:t>achèvement de projet serait soumis à la 87</w:t>
      </w:r>
      <w:r w:rsidRPr="004E4441">
        <w:rPr>
          <w:vertAlign w:val="superscript"/>
          <w:lang w:val="fr-FR"/>
        </w:rPr>
        <w:t>e</w:t>
      </w:r>
      <w:r w:rsidRPr="004E4441">
        <w:rPr>
          <w:lang w:val="fr-FR"/>
        </w:rPr>
        <w:t xml:space="preserve"> réunion et que l</w:t>
      </w:r>
      <w:r w:rsidR="00D77991">
        <w:rPr>
          <w:lang w:val="fr-FR"/>
        </w:rPr>
        <w:t>’</w:t>
      </w:r>
      <w:r w:rsidRPr="004E4441">
        <w:rPr>
          <w:lang w:val="fr-FR"/>
        </w:rPr>
        <w:t>ONUDI restituerait tous les soldes d</w:t>
      </w:r>
      <w:r w:rsidR="00D77991">
        <w:rPr>
          <w:lang w:val="fr-FR"/>
        </w:rPr>
        <w:t>’</w:t>
      </w:r>
      <w:r w:rsidRPr="004E4441">
        <w:rPr>
          <w:lang w:val="fr-FR"/>
        </w:rPr>
        <w:t>ici le 30 juin 2020,</w:t>
      </w:r>
      <w:r w:rsidR="00AA6C6B">
        <w:rPr>
          <w:lang w:val="fr-FR"/>
        </w:rPr>
        <w:t xml:space="preserve"> </w:t>
      </w:r>
      <w:r w:rsidRPr="004E4441">
        <w:rPr>
          <w:lang w:val="fr-FR"/>
        </w:rPr>
        <w:t xml:space="preserve">tandis que le PNUD </w:t>
      </w:r>
      <w:r w:rsidR="00AA6C6B">
        <w:rPr>
          <w:lang w:val="fr-FR"/>
        </w:rPr>
        <w:t xml:space="preserve">pour sa part les restituerait </w:t>
      </w:r>
      <w:r w:rsidRPr="004E4441">
        <w:rPr>
          <w:lang w:val="fr-FR"/>
        </w:rPr>
        <w:t>d</w:t>
      </w:r>
      <w:r w:rsidR="00D77991">
        <w:rPr>
          <w:lang w:val="fr-FR"/>
        </w:rPr>
        <w:t>’</w:t>
      </w:r>
      <w:r w:rsidRPr="004E4441">
        <w:rPr>
          <w:lang w:val="fr-FR"/>
        </w:rPr>
        <w:t>ici le 31 décembre 2020 (conformément à la date de la clôture financière du secteur des mousses de polyuréthane).</w:t>
      </w:r>
    </w:p>
    <w:p w:rsidR="00A76538" w:rsidRPr="00C3019D" w:rsidRDefault="00A76538" w:rsidP="00A76538">
      <w:pPr>
        <w:pStyle w:val="Heading1"/>
        <w:rPr>
          <w:lang w:val="fr-FR"/>
        </w:rPr>
      </w:pPr>
      <w:r w:rsidRPr="00A76538">
        <w:rPr>
          <w:lang w:val="fr-FR"/>
        </w:rPr>
        <w:t xml:space="preserve">Du fait de sa pertinence pour la sélection </w:t>
      </w:r>
      <w:r w:rsidR="00AA6C6B">
        <w:rPr>
          <w:lang w:val="fr-FR"/>
        </w:rPr>
        <w:t xml:space="preserve">de </w:t>
      </w:r>
      <w:r w:rsidRPr="00A76538">
        <w:rPr>
          <w:lang w:val="fr-FR"/>
        </w:rPr>
        <w:t xml:space="preserve">solutions de </w:t>
      </w:r>
      <w:r w:rsidRPr="00C75DB1">
        <w:rPr>
          <w:lang w:val="fr-FR"/>
        </w:rPr>
        <w:t>remplacement à faible PRP dans le secteur de la fabrication d</w:t>
      </w:r>
      <w:r w:rsidR="00D77991" w:rsidRPr="00C75DB1">
        <w:rPr>
          <w:lang w:val="fr-FR"/>
        </w:rPr>
        <w:t>’</w:t>
      </w:r>
      <w:r w:rsidRPr="00C75DB1">
        <w:rPr>
          <w:lang w:val="fr-FR"/>
        </w:rPr>
        <w:t>équipements de climatisation, le résumé du Secrétariat du rapport de l</w:t>
      </w:r>
      <w:r w:rsidR="00D77991" w:rsidRPr="00C75DB1">
        <w:rPr>
          <w:lang w:val="fr-FR"/>
        </w:rPr>
        <w:t>’</w:t>
      </w:r>
      <w:r w:rsidRPr="00C75DB1">
        <w:rPr>
          <w:lang w:val="fr-FR"/>
        </w:rPr>
        <w:t>EGYPRA ainsi que le rapport intégral so</w:t>
      </w:r>
      <w:r w:rsidR="00AA6C6B" w:rsidRPr="00C75DB1">
        <w:rPr>
          <w:lang w:val="fr-FR"/>
        </w:rPr>
        <w:t>n</w:t>
      </w:r>
      <w:r w:rsidRPr="00C75DB1">
        <w:rPr>
          <w:lang w:val="fr-FR"/>
        </w:rPr>
        <w:t>t joints en annexe au présent document.</w:t>
      </w:r>
      <w:r w:rsidRPr="00C3019D">
        <w:rPr>
          <w:lang w:val="fr-FR"/>
        </w:rPr>
        <w:t xml:space="preserve"> </w:t>
      </w:r>
      <w:r w:rsidRPr="00C75DB1">
        <w:rPr>
          <w:lang w:val="fr-FR"/>
        </w:rPr>
        <w:t>Les</w:t>
      </w:r>
      <w:r w:rsidRPr="00A76538">
        <w:rPr>
          <w:lang w:val="fr-FR"/>
        </w:rPr>
        <w:t xml:space="preserve"> </w:t>
      </w:r>
      <w:r w:rsidR="00AA6C6B">
        <w:rPr>
          <w:lang w:val="fr-FR"/>
        </w:rPr>
        <w:t xml:space="preserve">résultats </w:t>
      </w:r>
      <w:r w:rsidRPr="00A76538">
        <w:rPr>
          <w:lang w:val="fr-FR"/>
        </w:rPr>
        <w:t>de l</w:t>
      </w:r>
      <w:r w:rsidR="00D77991">
        <w:rPr>
          <w:lang w:val="fr-FR"/>
        </w:rPr>
        <w:t>’</w:t>
      </w:r>
      <w:r w:rsidRPr="00A76538">
        <w:rPr>
          <w:lang w:val="fr-FR"/>
        </w:rPr>
        <w:t>EGYPRA ont contribué directement à la sélection de la technologie pour le projet de reconversion visant cinq fabricants de climatiseurs résidentiels à des solutions de remplacement à faible PRP soumis à la présente réunion, conformément à la décision 79/34(d).</w:t>
      </w:r>
      <w:r w:rsidRPr="00C3019D">
        <w:rPr>
          <w:lang w:val="fr-FR"/>
        </w:rPr>
        <w:t xml:space="preserve"> </w:t>
      </w:r>
      <w:r w:rsidRPr="00A76538">
        <w:rPr>
          <w:lang w:val="fr-FR"/>
        </w:rPr>
        <w:t>Dès que le rapport final sera disponible, il sera posté sur le site internet du Fonds Multilatéral</w:t>
      </w:r>
      <w:r w:rsidRPr="00A76538">
        <w:rPr>
          <w:rStyle w:val="FootnoteReference"/>
          <w:lang w:val="en-CA"/>
        </w:rPr>
        <w:footnoteReference w:id="6"/>
      </w:r>
      <w:r w:rsidR="00732221">
        <w:rPr>
          <w:lang w:val="fr-FR"/>
        </w:rPr>
        <w:t>.</w:t>
      </w:r>
    </w:p>
    <w:p w:rsidR="00E51975" w:rsidRPr="00C3019D" w:rsidRDefault="00E51975" w:rsidP="004E4441">
      <w:pPr>
        <w:pStyle w:val="Heading1"/>
        <w:numPr>
          <w:ilvl w:val="0"/>
          <w:numId w:val="0"/>
        </w:numPr>
        <w:spacing w:after="0"/>
        <w:rPr>
          <w:lang w:val="fr-FR"/>
        </w:rPr>
      </w:pPr>
    </w:p>
    <w:p w:rsidR="00A76538" w:rsidRPr="0057769B" w:rsidRDefault="00A76538" w:rsidP="0057769B">
      <w:pPr>
        <w:pStyle w:val="Heading1"/>
        <w:rPr>
          <w:lang w:val="fr-FR"/>
        </w:rPr>
      </w:pPr>
      <w:r w:rsidRPr="00A76538">
        <w:rPr>
          <w:lang w:val="fr-FR"/>
        </w:rPr>
        <w:lastRenderedPageBreak/>
        <w:t xml:space="preserve">Le Secrétariat a </w:t>
      </w:r>
      <w:r w:rsidR="0084051B">
        <w:rPr>
          <w:lang w:val="fr-FR"/>
        </w:rPr>
        <w:t>voulu</w:t>
      </w:r>
      <w:r w:rsidRPr="00A76538">
        <w:rPr>
          <w:lang w:val="fr-FR"/>
        </w:rPr>
        <w:t xml:space="preserve"> savoir si les constatations et les conclusions de l</w:t>
      </w:r>
      <w:r w:rsidR="00D77991">
        <w:rPr>
          <w:lang w:val="fr-FR"/>
        </w:rPr>
        <w:t>’</w:t>
      </w:r>
      <w:r w:rsidRPr="00A76538">
        <w:rPr>
          <w:lang w:val="fr-FR"/>
        </w:rPr>
        <w:t xml:space="preserve">EGYPRA étaient </w:t>
      </w:r>
      <w:r w:rsidR="0084051B">
        <w:rPr>
          <w:lang w:val="fr-FR"/>
        </w:rPr>
        <w:t>identiques à</w:t>
      </w:r>
      <w:r w:rsidRPr="00A76538">
        <w:rPr>
          <w:lang w:val="fr-FR"/>
        </w:rPr>
        <w:t xml:space="preserve"> </w:t>
      </w:r>
      <w:r w:rsidR="00DB1EA4">
        <w:rPr>
          <w:lang w:val="fr-FR"/>
        </w:rPr>
        <w:t xml:space="preserve">celles </w:t>
      </w:r>
      <w:r w:rsidRPr="00A76538">
        <w:rPr>
          <w:lang w:val="fr-FR"/>
        </w:rPr>
        <w:t>d</w:t>
      </w:r>
      <w:r w:rsidR="00D77991">
        <w:rPr>
          <w:lang w:val="fr-FR"/>
        </w:rPr>
        <w:t>’</w:t>
      </w:r>
      <w:r w:rsidRPr="00A76538">
        <w:rPr>
          <w:lang w:val="fr-FR"/>
        </w:rPr>
        <w:t>autres programmes d</w:t>
      </w:r>
      <w:r w:rsidR="00D77991">
        <w:rPr>
          <w:lang w:val="fr-FR"/>
        </w:rPr>
        <w:t>’</w:t>
      </w:r>
      <w:r w:rsidRPr="00A76538">
        <w:rPr>
          <w:lang w:val="fr-FR"/>
        </w:rPr>
        <w:t>essais qui avaient également testé des solutions de remplacement à faible PRP dans le secteur de la fabrication d</w:t>
      </w:r>
      <w:r w:rsidR="00D77991">
        <w:rPr>
          <w:lang w:val="fr-FR"/>
        </w:rPr>
        <w:t>’</w:t>
      </w:r>
      <w:r w:rsidRPr="00A76538">
        <w:rPr>
          <w:lang w:val="fr-FR"/>
        </w:rPr>
        <w:t>équipements de climatisation, notamment des projets de démonstration financés par le Fonds Multilatéral.</w:t>
      </w:r>
      <w:r w:rsidRPr="00C3019D">
        <w:rPr>
          <w:lang w:val="fr-FR"/>
        </w:rPr>
        <w:t xml:space="preserve"> </w:t>
      </w:r>
      <w:r w:rsidRPr="00A76538">
        <w:rPr>
          <w:lang w:val="fr-FR"/>
        </w:rPr>
        <w:t>L</w:t>
      </w:r>
      <w:r w:rsidR="00D77991">
        <w:rPr>
          <w:lang w:val="fr-FR"/>
        </w:rPr>
        <w:t>’</w:t>
      </w:r>
      <w:r w:rsidRPr="00A76538">
        <w:rPr>
          <w:lang w:val="fr-FR"/>
        </w:rPr>
        <w:t>EGYPRA n</w:t>
      </w:r>
      <w:r w:rsidR="00D77991">
        <w:rPr>
          <w:lang w:val="fr-FR"/>
        </w:rPr>
        <w:t>’</w:t>
      </w:r>
      <w:r w:rsidRPr="00A76538">
        <w:rPr>
          <w:lang w:val="fr-FR"/>
        </w:rPr>
        <w:t xml:space="preserve">a pas été comparé avec le rapport final sur le projet de démonstration chez des fabricants de climatiseurs afin de développer des climatiseurs de fenêtre et des climatiseurs </w:t>
      </w:r>
      <w:r w:rsidR="00E1556A" w:rsidRPr="00A76538">
        <w:rPr>
          <w:lang w:val="fr-FR"/>
        </w:rPr>
        <w:t>monoblocs</w:t>
      </w:r>
      <w:r w:rsidR="00E1556A">
        <w:rPr>
          <w:lang w:val="fr-FR"/>
        </w:rPr>
        <w:t xml:space="preserve"> </w:t>
      </w:r>
      <w:r w:rsidRPr="00A76538">
        <w:rPr>
          <w:lang w:val="fr-FR"/>
        </w:rPr>
        <w:t>utilisant des frigorigènes à faible PRP en Arabie Saoudite</w:t>
      </w:r>
      <w:r w:rsidR="00D77991">
        <w:rPr>
          <w:lang w:val="fr-FR"/>
        </w:rPr>
        <w:t xml:space="preserve"> </w:t>
      </w:r>
      <w:r w:rsidRPr="00A76538">
        <w:rPr>
          <w:lang w:val="fr-FR"/>
        </w:rPr>
        <w:t xml:space="preserve"> ni avec le rapport final sur le projet de démonstration de l</w:t>
      </w:r>
      <w:r w:rsidR="00D77991">
        <w:rPr>
          <w:lang w:val="fr-FR"/>
        </w:rPr>
        <w:t>’</w:t>
      </w:r>
      <w:r w:rsidRPr="00A76538">
        <w:rPr>
          <w:lang w:val="fr-FR"/>
        </w:rPr>
        <w:t>élimination du</w:t>
      </w:r>
      <w:r w:rsidR="00D77991">
        <w:rPr>
          <w:lang w:val="fr-FR"/>
        </w:rPr>
        <w:t xml:space="preserve"> </w:t>
      </w:r>
      <w:r w:rsidRPr="00A76538">
        <w:rPr>
          <w:lang w:val="fr-FR"/>
        </w:rPr>
        <w:t>HCFC-22 dans la fabrication d</w:t>
      </w:r>
      <w:r w:rsidR="00D77991">
        <w:rPr>
          <w:lang w:val="fr-FR"/>
        </w:rPr>
        <w:t>’</w:t>
      </w:r>
      <w:r w:rsidRPr="00A76538">
        <w:rPr>
          <w:lang w:val="fr-FR"/>
        </w:rPr>
        <w:t xml:space="preserve">équipements de climatisation à usage commercial chez Industrias Thermotar Ltda en Colombie ; </w:t>
      </w:r>
      <w:r w:rsidR="0084051B">
        <w:rPr>
          <w:lang w:val="fr-FR"/>
        </w:rPr>
        <w:t>c</w:t>
      </w:r>
      <w:r w:rsidRPr="00A76538">
        <w:rPr>
          <w:lang w:val="fr-FR"/>
        </w:rPr>
        <w:t>ependant, il a été comparé avec trois programmes d</w:t>
      </w:r>
      <w:r w:rsidR="00D77991">
        <w:rPr>
          <w:lang w:val="fr-FR"/>
        </w:rPr>
        <w:t>’</w:t>
      </w:r>
      <w:r w:rsidRPr="00A76538">
        <w:rPr>
          <w:lang w:val="fr-FR"/>
        </w:rPr>
        <w:t>essais :</w:t>
      </w:r>
      <w:r w:rsidRPr="00C3019D">
        <w:rPr>
          <w:lang w:val="fr-FR"/>
        </w:rPr>
        <w:t xml:space="preserve"> </w:t>
      </w:r>
      <w:r w:rsidRPr="00A76538">
        <w:rPr>
          <w:lang w:val="fr-FR"/>
        </w:rPr>
        <w:t>AREP</w:t>
      </w:r>
      <w:r w:rsidRPr="00A76538">
        <w:rPr>
          <w:lang w:val="fr-FR"/>
        </w:rPr>
        <w:noBreakHyphen/>
        <w:t>II</w:t>
      </w:r>
      <w:r w:rsidRPr="00A76538">
        <w:rPr>
          <w:rStyle w:val="FootnoteReference"/>
          <w:lang w:val="fr-FR"/>
        </w:rPr>
        <w:footnoteReference w:id="7"/>
      </w:r>
      <w:r w:rsidRPr="00A76538">
        <w:rPr>
          <w:lang w:val="fr-FR"/>
        </w:rPr>
        <w:t>, ORNL</w:t>
      </w:r>
      <w:r w:rsidRPr="00A76538">
        <w:rPr>
          <w:rStyle w:val="FootnoteReference"/>
          <w:lang w:val="fr-FR"/>
        </w:rPr>
        <w:footnoteReference w:id="8"/>
      </w:r>
      <w:r w:rsidRPr="00A76538">
        <w:rPr>
          <w:lang w:val="fr-FR"/>
        </w:rPr>
        <w:t>, et PRAHA</w:t>
      </w:r>
      <w:r w:rsidRPr="00A76538">
        <w:rPr>
          <w:rStyle w:val="FootnoteReference"/>
          <w:lang w:val="en-CA"/>
        </w:rPr>
        <w:footnoteReference w:id="9"/>
      </w:r>
      <w:r w:rsidR="00C75DB1">
        <w:rPr>
          <w:lang w:val="fr-FR"/>
        </w:rPr>
        <w:t>.</w:t>
      </w:r>
      <w:r w:rsidRPr="00C3019D">
        <w:rPr>
          <w:lang w:val="fr-FR"/>
        </w:rPr>
        <w:t xml:space="preserve"> </w:t>
      </w:r>
      <w:r w:rsidRPr="00A76538">
        <w:rPr>
          <w:lang w:val="fr-FR"/>
        </w:rPr>
        <w:t>Une description des caractéristiques distinctives d</w:t>
      </w:r>
      <w:r w:rsidR="00D77991">
        <w:rPr>
          <w:lang w:val="fr-FR"/>
        </w:rPr>
        <w:t>’</w:t>
      </w:r>
      <w:r w:rsidRPr="00A76538">
        <w:rPr>
          <w:lang w:val="fr-FR"/>
        </w:rPr>
        <w:t>EGYPRA et la comparaison avec les trois programmes d</w:t>
      </w:r>
      <w:r w:rsidR="00D77991">
        <w:rPr>
          <w:lang w:val="fr-FR"/>
        </w:rPr>
        <w:t>’</w:t>
      </w:r>
      <w:r w:rsidRPr="00A76538">
        <w:rPr>
          <w:lang w:val="fr-FR"/>
        </w:rPr>
        <w:t>essais figurent à l</w:t>
      </w:r>
      <w:r w:rsidR="00D77991">
        <w:rPr>
          <w:lang w:val="fr-FR"/>
        </w:rPr>
        <w:t>’</w:t>
      </w:r>
      <w:r w:rsidRPr="00A76538">
        <w:rPr>
          <w:lang w:val="fr-FR"/>
        </w:rPr>
        <w:t>annexe II du présent document.</w:t>
      </w:r>
    </w:p>
    <w:p w:rsidR="00E51975" w:rsidRPr="001F1E0E" w:rsidRDefault="00A76538" w:rsidP="00A76538">
      <w:pPr>
        <w:pStyle w:val="Heading1"/>
        <w:numPr>
          <w:ilvl w:val="0"/>
          <w:numId w:val="0"/>
        </w:numPr>
        <w:rPr>
          <w:u w:val="single"/>
          <w:lang w:val="en-CA"/>
        </w:rPr>
      </w:pPr>
      <w:r w:rsidRPr="00A76538">
        <w:rPr>
          <w:u w:val="single"/>
          <w:lang w:val="fr-FR"/>
        </w:rPr>
        <w:t>Conclusion</w:t>
      </w:r>
      <w:r w:rsidR="00E51975" w:rsidRPr="00A76538">
        <w:rPr>
          <w:u w:val="single"/>
          <w:lang w:val="en-CA"/>
        </w:rPr>
        <w:t xml:space="preserve"> </w:t>
      </w:r>
    </w:p>
    <w:p w:rsidR="00A76538" w:rsidRPr="00C3019D" w:rsidRDefault="00A76538" w:rsidP="00A76538">
      <w:pPr>
        <w:pStyle w:val="Heading1"/>
        <w:rPr>
          <w:lang w:val="fr-FR"/>
        </w:rPr>
      </w:pPr>
      <w:r w:rsidRPr="00A76538">
        <w:rPr>
          <w:lang w:val="fr-FR"/>
        </w:rPr>
        <w:t>Le gouvernement est en train de mettre en vigueur un système d</w:t>
      </w:r>
      <w:r w:rsidR="00D77991">
        <w:rPr>
          <w:lang w:val="fr-FR"/>
        </w:rPr>
        <w:t>’</w:t>
      </w:r>
      <w:r w:rsidRPr="00A76538">
        <w:rPr>
          <w:lang w:val="fr-FR"/>
        </w:rPr>
        <w:t>autorisation et de quotas pour les importations et les exportations de HCFC, et la consommation de 2018 est inférieure aux objectifs de réglementation du Protocole de Montréal et ceux stipulés</w:t>
      </w:r>
      <w:r w:rsidR="00D77991">
        <w:rPr>
          <w:lang w:val="fr-FR"/>
        </w:rPr>
        <w:t xml:space="preserve"> </w:t>
      </w:r>
      <w:r w:rsidRPr="00A76538">
        <w:rPr>
          <w:lang w:val="fr-FR"/>
        </w:rPr>
        <w:t>dans l</w:t>
      </w:r>
      <w:r w:rsidR="00D77991">
        <w:rPr>
          <w:lang w:val="fr-FR"/>
        </w:rPr>
        <w:t>’</w:t>
      </w:r>
      <w:r w:rsidRPr="00A76538">
        <w:rPr>
          <w:lang w:val="fr-FR"/>
        </w:rPr>
        <w:t>accord conclu avec le Comité exécutif.</w:t>
      </w:r>
      <w:r w:rsidRPr="00C3019D">
        <w:rPr>
          <w:lang w:val="fr-FR"/>
        </w:rPr>
        <w:t xml:space="preserve"> </w:t>
      </w:r>
      <w:r w:rsidRPr="00A76538">
        <w:rPr>
          <w:lang w:val="fr-FR"/>
        </w:rPr>
        <w:t>L</w:t>
      </w:r>
      <w:r w:rsidR="00D77991">
        <w:rPr>
          <w:lang w:val="fr-FR"/>
        </w:rPr>
        <w:t>’</w:t>
      </w:r>
      <w:r w:rsidRPr="00A76538">
        <w:rPr>
          <w:lang w:val="fr-FR"/>
        </w:rPr>
        <w:t>interdiction des importations de HCFC</w:t>
      </w:r>
      <w:r w:rsidRPr="00A76538">
        <w:rPr>
          <w:lang w:val="fr-FR"/>
        </w:rPr>
        <w:noBreakHyphen/>
        <w:t>141b dans les polyols prémélangés est en place depuis le 1</w:t>
      </w:r>
      <w:r w:rsidRPr="00A76538">
        <w:rPr>
          <w:vertAlign w:val="superscript"/>
          <w:lang w:val="fr-FR"/>
        </w:rPr>
        <w:t>er</w:t>
      </w:r>
      <w:r w:rsidRPr="00A76538">
        <w:rPr>
          <w:lang w:val="fr-FR"/>
        </w:rPr>
        <w:t xml:space="preserve"> janvier 2018, et l</w:t>
      </w:r>
      <w:r w:rsidR="00D77991">
        <w:rPr>
          <w:lang w:val="fr-FR"/>
        </w:rPr>
        <w:t>’</w:t>
      </w:r>
      <w:r w:rsidRPr="00A76538">
        <w:rPr>
          <w:lang w:val="fr-FR"/>
        </w:rPr>
        <w:t>interdiction des importations, utilisations et exportations d</w:t>
      </w:r>
      <w:r w:rsidR="00CD2328">
        <w:rPr>
          <w:lang w:val="fr-FR"/>
        </w:rPr>
        <w:t>e</w:t>
      </w:r>
      <w:r w:rsidRPr="00A76538">
        <w:rPr>
          <w:lang w:val="fr-FR"/>
        </w:rPr>
        <w:t xml:space="preserve"> HCFC</w:t>
      </w:r>
      <w:r w:rsidR="00CD2328">
        <w:rPr>
          <w:lang w:val="fr-FR"/>
        </w:rPr>
        <w:t>-</w:t>
      </w:r>
      <w:r w:rsidRPr="00A76538">
        <w:rPr>
          <w:lang w:val="fr-FR"/>
        </w:rPr>
        <w:t xml:space="preserve">141b en vrac et </w:t>
      </w:r>
      <w:r w:rsidR="00C75DB1">
        <w:rPr>
          <w:lang w:val="fr-FR"/>
        </w:rPr>
        <w:t>d</w:t>
      </w:r>
      <w:r w:rsidRPr="00A76538">
        <w:rPr>
          <w:lang w:val="fr-FR"/>
        </w:rPr>
        <w:t>es exportations de HCFC-141b contenu dans les polyols prémélangés sera mise en place le 1</w:t>
      </w:r>
      <w:r w:rsidRPr="00A76538">
        <w:rPr>
          <w:vertAlign w:val="superscript"/>
          <w:lang w:val="fr-FR"/>
        </w:rPr>
        <w:t>er</w:t>
      </w:r>
      <w:r w:rsidRPr="00A76538">
        <w:rPr>
          <w:lang w:val="fr-FR"/>
        </w:rPr>
        <w:t xml:space="preserve"> janvier</w:t>
      </w:r>
      <w:r w:rsidR="00D77991">
        <w:rPr>
          <w:lang w:val="fr-FR"/>
        </w:rPr>
        <w:t xml:space="preserve"> </w:t>
      </w:r>
      <w:r w:rsidRPr="00A76538">
        <w:rPr>
          <w:lang w:val="fr-FR"/>
        </w:rPr>
        <w:t>2020. Le taux de décaissement global est de</w:t>
      </w:r>
      <w:r w:rsidR="00D77991">
        <w:rPr>
          <w:lang w:val="fr-FR"/>
        </w:rPr>
        <w:t xml:space="preserve"> </w:t>
      </w:r>
      <w:r w:rsidRPr="00A76538">
        <w:rPr>
          <w:lang w:val="fr-FR"/>
        </w:rPr>
        <w:t>69 pour cent.</w:t>
      </w:r>
      <w:r w:rsidRPr="00C3019D">
        <w:rPr>
          <w:lang w:val="fr-FR"/>
        </w:rPr>
        <w:t xml:space="preserve"> </w:t>
      </w:r>
      <w:r w:rsidRPr="00A76538">
        <w:rPr>
          <w:lang w:val="fr-FR"/>
        </w:rPr>
        <w:t>Les activités d</w:t>
      </w:r>
      <w:r w:rsidR="00D77991">
        <w:rPr>
          <w:lang w:val="fr-FR"/>
        </w:rPr>
        <w:t>’</w:t>
      </w:r>
      <w:r w:rsidRPr="00A76538">
        <w:rPr>
          <w:lang w:val="fr-FR"/>
        </w:rPr>
        <w:t>assistance technique dans le secteur de la</w:t>
      </w:r>
      <w:r w:rsidR="00D77991">
        <w:rPr>
          <w:lang w:val="fr-FR"/>
        </w:rPr>
        <w:t xml:space="preserve"> </w:t>
      </w:r>
      <w:r w:rsidRPr="00A76538">
        <w:rPr>
          <w:lang w:val="fr-FR"/>
        </w:rPr>
        <w:t>réfrigération et de la</w:t>
      </w:r>
      <w:r w:rsidR="00D77991">
        <w:rPr>
          <w:lang w:val="fr-FR"/>
        </w:rPr>
        <w:t xml:space="preserve"> </w:t>
      </w:r>
      <w:r w:rsidRPr="00A76538">
        <w:rPr>
          <w:lang w:val="fr-FR"/>
        </w:rPr>
        <w:t>climatisation ont été mises en œuvre avec succès avec des constructions de prototypes de climatiseurs aussi bien domestiques que commerciaux, bien qu</w:t>
      </w:r>
      <w:r w:rsidR="00D77991">
        <w:rPr>
          <w:lang w:val="fr-FR"/>
        </w:rPr>
        <w:t>’</w:t>
      </w:r>
      <w:r w:rsidRPr="00A76538">
        <w:rPr>
          <w:lang w:val="fr-FR"/>
        </w:rPr>
        <w:t>un délai supplémentaire soit nécessaire pour tester les unités centrales de climatiseurs qui sont déjà fabriquées ; en conséquence une prolongation est nécessaire jusqu</w:t>
      </w:r>
      <w:r w:rsidR="00D77991">
        <w:rPr>
          <w:lang w:val="fr-FR"/>
        </w:rPr>
        <w:t>’</w:t>
      </w:r>
      <w:r w:rsidRPr="00A76538">
        <w:rPr>
          <w:lang w:val="fr-FR"/>
        </w:rPr>
        <w:t>au 30 juin 2020.</w:t>
      </w:r>
      <w:r w:rsidRPr="00C3019D">
        <w:rPr>
          <w:lang w:val="fr-FR"/>
        </w:rPr>
        <w:t xml:space="preserve"> </w:t>
      </w:r>
      <w:r w:rsidRPr="00A76538">
        <w:rPr>
          <w:lang w:val="fr-FR"/>
        </w:rPr>
        <w:t>Les trois sociétés de formulation ont réussi à assurer la reconversion de leurs clients en aval à des solutions de remplacement à faible PRP et celle du secteur des mousses sera achevée d</w:t>
      </w:r>
      <w:r w:rsidR="00D77991">
        <w:rPr>
          <w:lang w:val="fr-FR"/>
        </w:rPr>
        <w:t>’</w:t>
      </w:r>
      <w:r w:rsidRPr="00A76538">
        <w:rPr>
          <w:lang w:val="fr-FR"/>
        </w:rPr>
        <w:t>ici le 31 décembre 2019.</w:t>
      </w:r>
      <w:r w:rsidR="00D77991" w:rsidRPr="00C3019D">
        <w:rPr>
          <w:lang w:val="fr-FR"/>
        </w:rPr>
        <w:t xml:space="preserve"> </w:t>
      </w:r>
    </w:p>
    <w:p w:rsidR="00E51975" w:rsidRPr="001C7FF0" w:rsidRDefault="001C7FF0" w:rsidP="001C7FF0">
      <w:pPr>
        <w:keepNext/>
        <w:keepLines/>
        <w:rPr>
          <w:b/>
          <w:lang w:val="en-CA"/>
        </w:rPr>
      </w:pPr>
      <w:r w:rsidRPr="001C7FF0">
        <w:rPr>
          <w:b/>
          <w:lang w:val="fr-FR"/>
        </w:rPr>
        <w:t xml:space="preserve">Recommandation du </w:t>
      </w:r>
      <w:r w:rsidR="00C75DB1">
        <w:rPr>
          <w:b/>
          <w:lang w:val="fr-FR"/>
        </w:rPr>
        <w:t>S</w:t>
      </w:r>
      <w:r w:rsidRPr="001C7FF0">
        <w:rPr>
          <w:b/>
          <w:lang w:val="fr-FR"/>
        </w:rPr>
        <w:t>ecrétariat</w:t>
      </w:r>
    </w:p>
    <w:p w:rsidR="00E51975" w:rsidRPr="001F1E0E" w:rsidRDefault="00E51975" w:rsidP="00D00388">
      <w:pPr>
        <w:keepNext/>
        <w:keepLines/>
        <w:rPr>
          <w:lang w:val="en-CA"/>
        </w:rPr>
      </w:pPr>
    </w:p>
    <w:p w:rsidR="001C7FF0" w:rsidRPr="00C3019D" w:rsidRDefault="001C7FF0" w:rsidP="001C7FF0">
      <w:pPr>
        <w:pStyle w:val="Heading1"/>
        <w:keepNext/>
        <w:keepLines/>
        <w:rPr>
          <w:lang w:val="fr-FR"/>
        </w:rPr>
      </w:pPr>
      <w:r w:rsidRPr="001C7FF0">
        <w:rPr>
          <w:lang w:val="fr-FR"/>
        </w:rPr>
        <w:t>Le Comité exécutif pourrait envisager :</w:t>
      </w:r>
    </w:p>
    <w:p w:rsidR="001C7FF0" w:rsidRPr="00C3019D" w:rsidRDefault="001C7FF0" w:rsidP="001C7FF0">
      <w:pPr>
        <w:pStyle w:val="Heading2"/>
        <w:keepNext/>
        <w:keepLines/>
        <w:tabs>
          <w:tab w:val="num" w:pos="557"/>
        </w:tabs>
        <w:rPr>
          <w:lang w:val="fr-FR"/>
        </w:rPr>
      </w:pPr>
      <w:r w:rsidRPr="001C7FF0">
        <w:rPr>
          <w:lang w:val="fr-FR"/>
        </w:rPr>
        <w:t>De prendre note des informations soumises par l</w:t>
      </w:r>
      <w:r w:rsidR="00D77991">
        <w:rPr>
          <w:lang w:val="fr-FR"/>
        </w:rPr>
        <w:t>’</w:t>
      </w:r>
      <w:r w:rsidRPr="001C7FF0">
        <w:rPr>
          <w:lang w:val="fr-FR"/>
        </w:rPr>
        <w:t>ONUDI, figurant dans le document</w:t>
      </w:r>
      <w:r w:rsidR="00D77991">
        <w:rPr>
          <w:lang w:val="fr-FR"/>
        </w:rPr>
        <w:t xml:space="preserve"> </w:t>
      </w:r>
      <w:r w:rsidRPr="001C7FF0">
        <w:rPr>
          <w:lang w:val="fr-FR"/>
        </w:rPr>
        <w:t>UNEP/OzL.Pro/ExCom/84/49 :</w:t>
      </w:r>
    </w:p>
    <w:p w:rsidR="001C7FF0" w:rsidRPr="00C3019D" w:rsidRDefault="001C7FF0" w:rsidP="001C7FF0">
      <w:pPr>
        <w:pStyle w:val="Heading3"/>
        <w:rPr>
          <w:lang w:val="fr-FR"/>
        </w:rPr>
      </w:pPr>
      <w:r w:rsidRPr="001C7FF0">
        <w:rPr>
          <w:lang w:val="fr-FR"/>
        </w:rPr>
        <w:t>Le rapport</w:t>
      </w:r>
      <w:r w:rsidR="00D77991">
        <w:rPr>
          <w:lang w:val="fr-FR"/>
        </w:rPr>
        <w:t xml:space="preserve"> </w:t>
      </w:r>
      <w:r w:rsidRPr="001C7FF0">
        <w:rPr>
          <w:lang w:val="fr-FR"/>
        </w:rPr>
        <w:t>périodique de la mise en œuvre de la troisième tranche de la phase I du plan de gestion de l</w:t>
      </w:r>
      <w:r w:rsidR="00D77991">
        <w:rPr>
          <w:lang w:val="fr-FR"/>
        </w:rPr>
        <w:t>’</w:t>
      </w:r>
      <w:r w:rsidRPr="001C7FF0">
        <w:rPr>
          <w:lang w:val="fr-FR"/>
        </w:rPr>
        <w:t>élimination des HCFC (PGEH) pour l</w:t>
      </w:r>
      <w:r w:rsidR="00D77991">
        <w:rPr>
          <w:lang w:val="fr-FR"/>
        </w:rPr>
        <w:t>’</w:t>
      </w:r>
      <w:r w:rsidRPr="001C7FF0">
        <w:rPr>
          <w:lang w:val="fr-FR"/>
        </w:rPr>
        <w:t>Égypte ;</w:t>
      </w:r>
    </w:p>
    <w:p w:rsidR="001C7FF0" w:rsidRPr="00C3019D" w:rsidRDefault="001C7FF0" w:rsidP="001C7FF0">
      <w:pPr>
        <w:pStyle w:val="Heading3"/>
        <w:rPr>
          <w:lang w:val="fr-FR"/>
        </w:rPr>
      </w:pPr>
      <w:r w:rsidRPr="001C7FF0">
        <w:rPr>
          <w:lang w:val="fr-FR"/>
        </w:rPr>
        <w:t>Le rapport sur le projet de promotion des frigorigènes à faible potentiel de réchauffement de la planète concernant l</w:t>
      </w:r>
      <w:r w:rsidR="00D77991">
        <w:rPr>
          <w:lang w:val="fr-FR"/>
        </w:rPr>
        <w:t>’</w:t>
      </w:r>
      <w:r w:rsidRPr="001C7FF0">
        <w:rPr>
          <w:lang w:val="fr-FR"/>
        </w:rPr>
        <w:t>industrie de la climatisation en Égypte</w:t>
      </w:r>
      <w:r w:rsidR="00D77991">
        <w:rPr>
          <w:lang w:val="fr-FR"/>
        </w:rPr>
        <w:t xml:space="preserve"> </w:t>
      </w:r>
      <w:r w:rsidR="0057769B">
        <w:rPr>
          <w:lang w:val="fr-FR"/>
        </w:rPr>
        <w:t>(EGYPRA) ;</w:t>
      </w:r>
    </w:p>
    <w:p w:rsidR="001C7FF0" w:rsidRPr="00C3019D" w:rsidRDefault="002906BC" w:rsidP="002906BC">
      <w:pPr>
        <w:pStyle w:val="Heading3"/>
        <w:rPr>
          <w:lang w:val="fr-FR"/>
        </w:rPr>
      </w:pPr>
      <w:r w:rsidRPr="002906BC">
        <w:rPr>
          <w:lang w:val="fr-FR"/>
        </w:rPr>
        <w:t>Un rapport sur l</w:t>
      </w:r>
      <w:r w:rsidR="00D77991">
        <w:rPr>
          <w:lang w:val="fr-FR"/>
        </w:rPr>
        <w:t>’</w:t>
      </w:r>
      <w:r w:rsidRPr="002906BC">
        <w:rPr>
          <w:lang w:val="fr-FR"/>
        </w:rPr>
        <w:t xml:space="preserve">état de la reconversion des sociétés de formulation, des 81 petites et moyennes entreprises (PME) et des 350 très petits utilisateurs, et </w:t>
      </w:r>
      <w:r w:rsidR="00CD2328">
        <w:rPr>
          <w:lang w:val="fr-FR"/>
        </w:rPr>
        <w:t>le</w:t>
      </w:r>
      <w:r w:rsidRPr="002906BC">
        <w:rPr>
          <w:lang w:val="fr-FR"/>
        </w:rPr>
        <w:t xml:space="preserve"> rapport sur l</w:t>
      </w:r>
      <w:r w:rsidR="00D77991">
        <w:rPr>
          <w:lang w:val="fr-FR"/>
        </w:rPr>
        <w:t>’</w:t>
      </w:r>
      <w:r w:rsidRPr="002906BC">
        <w:rPr>
          <w:lang w:val="fr-FR"/>
        </w:rPr>
        <w:t>état de l</w:t>
      </w:r>
      <w:r w:rsidR="00D77991">
        <w:rPr>
          <w:lang w:val="fr-FR"/>
        </w:rPr>
        <w:t>’</w:t>
      </w:r>
      <w:r w:rsidRPr="002906BC">
        <w:rPr>
          <w:lang w:val="fr-FR"/>
        </w:rPr>
        <w:t>utilisati</w:t>
      </w:r>
      <w:r w:rsidR="0057769B">
        <w:rPr>
          <w:lang w:val="fr-FR"/>
        </w:rPr>
        <w:t>on de la technologie provisoire ;</w:t>
      </w:r>
    </w:p>
    <w:p w:rsidR="002906BC" w:rsidRPr="00C3019D" w:rsidRDefault="002906BC" w:rsidP="002906BC">
      <w:pPr>
        <w:pStyle w:val="Heading2"/>
        <w:rPr>
          <w:lang w:val="fr-FR"/>
        </w:rPr>
      </w:pPr>
      <w:r w:rsidRPr="002906BC">
        <w:rPr>
          <w:lang w:val="fr-FR"/>
        </w:rPr>
        <w:lastRenderedPageBreak/>
        <w:t>De noter que toutes les activités de la phase I du PGEH pour l</w:t>
      </w:r>
      <w:r w:rsidR="00D77991">
        <w:rPr>
          <w:lang w:val="fr-FR"/>
        </w:rPr>
        <w:t>’</w:t>
      </w:r>
      <w:r w:rsidRPr="002906BC">
        <w:rPr>
          <w:lang w:val="fr-FR"/>
        </w:rPr>
        <w:t>Égypte seront achevées d</w:t>
      </w:r>
      <w:r w:rsidR="00D77991">
        <w:rPr>
          <w:lang w:val="fr-FR"/>
        </w:rPr>
        <w:t>’</w:t>
      </w:r>
      <w:r w:rsidRPr="002906BC">
        <w:rPr>
          <w:lang w:val="fr-FR"/>
        </w:rPr>
        <w:t>ici le 31 décembre 2019, tous les soldes restants</w:t>
      </w:r>
      <w:r w:rsidR="00D77991">
        <w:rPr>
          <w:lang w:val="fr-FR"/>
        </w:rPr>
        <w:t xml:space="preserve"> </w:t>
      </w:r>
      <w:r w:rsidRPr="002906BC">
        <w:rPr>
          <w:lang w:val="fr-FR"/>
        </w:rPr>
        <w:t>restitués d</w:t>
      </w:r>
      <w:r w:rsidR="00D77991">
        <w:rPr>
          <w:lang w:val="fr-FR"/>
        </w:rPr>
        <w:t>’</w:t>
      </w:r>
      <w:r w:rsidRPr="002906BC">
        <w:rPr>
          <w:lang w:val="fr-FR"/>
        </w:rPr>
        <w:t xml:space="preserve">ici le 31 décembre 2020, excepté pour un volet de </w:t>
      </w:r>
      <w:r w:rsidR="00CD2328">
        <w:rPr>
          <w:lang w:val="fr-FR"/>
        </w:rPr>
        <w:t>l</w:t>
      </w:r>
      <w:r w:rsidR="00D77991">
        <w:rPr>
          <w:lang w:val="fr-FR"/>
        </w:rPr>
        <w:t>’</w:t>
      </w:r>
      <w:r w:rsidRPr="002906BC">
        <w:rPr>
          <w:lang w:val="fr-FR"/>
        </w:rPr>
        <w:t>ONUDI dans le secteur de l</w:t>
      </w:r>
      <w:r w:rsidR="00D77991">
        <w:rPr>
          <w:lang w:val="fr-FR"/>
        </w:rPr>
        <w:t>’</w:t>
      </w:r>
      <w:r w:rsidRPr="002906BC">
        <w:rPr>
          <w:lang w:val="fr-FR"/>
        </w:rPr>
        <w:t>entretien qui sera achevé d</w:t>
      </w:r>
      <w:r w:rsidR="00D77991">
        <w:rPr>
          <w:lang w:val="fr-FR"/>
        </w:rPr>
        <w:t>’</w:t>
      </w:r>
      <w:r w:rsidRPr="002906BC">
        <w:rPr>
          <w:lang w:val="fr-FR"/>
        </w:rPr>
        <w:t>ici le 30 juin</w:t>
      </w:r>
      <w:r w:rsidR="00CD2328">
        <w:rPr>
          <w:lang w:val="fr-FR"/>
        </w:rPr>
        <w:t xml:space="preserve"> </w:t>
      </w:r>
      <w:r w:rsidRPr="002906BC">
        <w:rPr>
          <w:lang w:val="fr-FR"/>
        </w:rPr>
        <w:t>2020</w:t>
      </w:r>
      <w:r w:rsidR="00C75DB1">
        <w:rPr>
          <w:lang w:val="fr-FR"/>
        </w:rPr>
        <w:t> </w:t>
      </w:r>
      <w:r w:rsidRPr="002906BC">
        <w:rPr>
          <w:lang w:val="fr-FR"/>
        </w:rPr>
        <w:t>;</w:t>
      </w:r>
      <w:r w:rsidRPr="00C3019D">
        <w:rPr>
          <w:lang w:val="fr-FR"/>
        </w:rPr>
        <w:t xml:space="preserve"> </w:t>
      </w:r>
    </w:p>
    <w:p w:rsidR="002906BC" w:rsidRPr="00C3019D" w:rsidRDefault="002906BC" w:rsidP="00151D97">
      <w:pPr>
        <w:pStyle w:val="Heading2"/>
        <w:rPr>
          <w:lang w:val="fr-FR"/>
        </w:rPr>
      </w:pPr>
      <w:r w:rsidRPr="002906BC">
        <w:rPr>
          <w:lang w:val="fr-FR"/>
        </w:rPr>
        <w:t>D</w:t>
      </w:r>
      <w:r w:rsidR="00D77991">
        <w:rPr>
          <w:lang w:val="fr-FR"/>
        </w:rPr>
        <w:t>’</w:t>
      </w:r>
      <w:r w:rsidRPr="002906BC">
        <w:rPr>
          <w:lang w:val="fr-FR"/>
        </w:rPr>
        <w:t>approuver la prolongation de la phase I du PGEH jusqu</w:t>
      </w:r>
      <w:r w:rsidR="00D77991">
        <w:rPr>
          <w:lang w:val="fr-FR"/>
        </w:rPr>
        <w:t>’</w:t>
      </w:r>
      <w:r w:rsidRPr="002906BC">
        <w:rPr>
          <w:lang w:val="fr-FR"/>
        </w:rPr>
        <w:t>au 30 juin 2020 pour permettre l</w:t>
      </w:r>
      <w:r w:rsidR="00D77991">
        <w:rPr>
          <w:lang w:val="fr-FR"/>
        </w:rPr>
        <w:t>’</w:t>
      </w:r>
      <w:r w:rsidRPr="002906BC">
        <w:rPr>
          <w:lang w:val="fr-FR"/>
        </w:rPr>
        <w:t xml:space="preserve">achèvement des activités mentionnées </w:t>
      </w:r>
      <w:r w:rsidR="00151D97">
        <w:rPr>
          <w:lang w:val="fr-FR"/>
        </w:rPr>
        <w:t>à l</w:t>
      </w:r>
      <w:r w:rsidR="00D77991">
        <w:rPr>
          <w:lang w:val="fr-FR"/>
        </w:rPr>
        <w:t>’</w:t>
      </w:r>
      <w:r w:rsidR="00151D97">
        <w:rPr>
          <w:lang w:val="fr-FR"/>
        </w:rPr>
        <w:t>alinéa</w:t>
      </w:r>
      <w:r w:rsidRPr="002906BC">
        <w:rPr>
          <w:lang w:val="fr-FR"/>
        </w:rPr>
        <w:t> (b) ;</w:t>
      </w:r>
      <w:r w:rsidRPr="00C3019D">
        <w:rPr>
          <w:lang w:val="fr-FR"/>
        </w:rPr>
        <w:t xml:space="preserve"> </w:t>
      </w:r>
    </w:p>
    <w:p w:rsidR="002906BC" w:rsidRPr="00C3019D" w:rsidRDefault="002906BC" w:rsidP="002906BC">
      <w:pPr>
        <w:pStyle w:val="Heading2"/>
        <w:rPr>
          <w:lang w:val="fr-FR"/>
        </w:rPr>
      </w:pPr>
      <w:r w:rsidRPr="002906BC">
        <w:rPr>
          <w:lang w:val="fr-FR"/>
        </w:rPr>
        <w:t>Demander au gouvernement de l</w:t>
      </w:r>
      <w:r w:rsidR="00D77991">
        <w:rPr>
          <w:lang w:val="fr-FR"/>
        </w:rPr>
        <w:t>’</w:t>
      </w:r>
      <w:r w:rsidRPr="002906BC">
        <w:rPr>
          <w:lang w:val="fr-FR"/>
        </w:rPr>
        <w:t>Égypte et à l</w:t>
      </w:r>
      <w:r w:rsidR="00D77991">
        <w:rPr>
          <w:lang w:val="fr-FR"/>
        </w:rPr>
        <w:t>’</w:t>
      </w:r>
      <w:r w:rsidRPr="002906BC">
        <w:rPr>
          <w:lang w:val="fr-FR"/>
        </w:rPr>
        <w:t>ONU</w:t>
      </w:r>
      <w:r w:rsidR="00CD2328">
        <w:rPr>
          <w:lang w:val="fr-FR"/>
        </w:rPr>
        <w:t>D</w:t>
      </w:r>
      <w:r w:rsidRPr="002906BC">
        <w:rPr>
          <w:lang w:val="fr-FR"/>
        </w:rPr>
        <w:t>I de soumettre le rapport final sur l</w:t>
      </w:r>
      <w:r w:rsidR="00D77991">
        <w:rPr>
          <w:lang w:val="fr-FR"/>
        </w:rPr>
        <w:t>’</w:t>
      </w:r>
      <w:r w:rsidRPr="002906BC">
        <w:rPr>
          <w:lang w:val="fr-FR"/>
        </w:rPr>
        <w:t>EGYPRA à la 86</w:t>
      </w:r>
      <w:r w:rsidRPr="002906BC">
        <w:rPr>
          <w:vertAlign w:val="superscript"/>
          <w:lang w:val="fr-FR"/>
        </w:rPr>
        <w:t>e</w:t>
      </w:r>
      <w:r w:rsidRPr="002906BC">
        <w:rPr>
          <w:lang w:val="fr-FR"/>
        </w:rPr>
        <w:t xml:space="preserve"> réunion ; et</w:t>
      </w:r>
    </w:p>
    <w:p w:rsidR="002906BC" w:rsidRPr="00C3019D" w:rsidRDefault="00842FB3" w:rsidP="00842FB3">
      <w:pPr>
        <w:pStyle w:val="Heading2"/>
        <w:rPr>
          <w:vanish/>
          <w:lang w:val="fr-FR"/>
        </w:rPr>
      </w:pPr>
      <w:r w:rsidRPr="00842FB3">
        <w:rPr>
          <w:lang w:val="fr-FR"/>
        </w:rPr>
        <w:t>Demander au gouvernement de l</w:t>
      </w:r>
      <w:r w:rsidR="00D77991">
        <w:rPr>
          <w:lang w:val="fr-FR"/>
        </w:rPr>
        <w:t>’</w:t>
      </w:r>
      <w:r w:rsidRPr="00842FB3">
        <w:rPr>
          <w:lang w:val="fr-FR"/>
        </w:rPr>
        <w:t>Égypte et à l</w:t>
      </w:r>
      <w:r w:rsidR="00D77991">
        <w:rPr>
          <w:lang w:val="fr-FR"/>
        </w:rPr>
        <w:t>’</w:t>
      </w:r>
      <w:r w:rsidRPr="00842FB3">
        <w:rPr>
          <w:lang w:val="fr-FR"/>
        </w:rPr>
        <w:t>ONUDI de soumettre des rapports périodiques sur une base annuelle sur la</w:t>
      </w:r>
      <w:r w:rsidR="00D77991">
        <w:rPr>
          <w:lang w:val="fr-FR"/>
        </w:rPr>
        <w:t xml:space="preserve"> </w:t>
      </w:r>
      <w:r w:rsidRPr="00842FB3">
        <w:rPr>
          <w:lang w:val="fr-FR"/>
        </w:rPr>
        <w:t xml:space="preserve">mise en œuvre du programme de travail associé à la tranche finale de la </w:t>
      </w:r>
      <w:r w:rsidRPr="00C75DB1">
        <w:rPr>
          <w:lang w:val="fr-FR"/>
        </w:rPr>
        <w:t xml:space="preserve">phase I </w:t>
      </w:r>
      <w:r w:rsidR="00C75DB1" w:rsidRPr="00C75DB1">
        <w:rPr>
          <w:lang w:val="fr-FR"/>
        </w:rPr>
        <w:t>dans le cadre</w:t>
      </w:r>
      <w:r w:rsidRPr="00C75DB1">
        <w:rPr>
          <w:lang w:val="fr-FR"/>
        </w:rPr>
        <w:t xml:space="preserve"> de l</w:t>
      </w:r>
      <w:r w:rsidR="00D77991" w:rsidRPr="00C75DB1">
        <w:rPr>
          <w:lang w:val="fr-FR"/>
        </w:rPr>
        <w:t>’</w:t>
      </w:r>
      <w:r w:rsidRPr="00C75DB1">
        <w:rPr>
          <w:lang w:val="fr-FR"/>
        </w:rPr>
        <w:t>achèvement du projet, et le rapport</w:t>
      </w:r>
      <w:r w:rsidRPr="00842FB3">
        <w:rPr>
          <w:lang w:val="fr-FR"/>
        </w:rPr>
        <w:t xml:space="preserve"> d</w:t>
      </w:r>
      <w:r w:rsidR="00D77991">
        <w:rPr>
          <w:lang w:val="fr-FR"/>
        </w:rPr>
        <w:t>’</w:t>
      </w:r>
      <w:r w:rsidRPr="00842FB3">
        <w:rPr>
          <w:lang w:val="fr-FR"/>
        </w:rPr>
        <w:t>achèvement de projet à la 87</w:t>
      </w:r>
      <w:r w:rsidRPr="00842FB3">
        <w:rPr>
          <w:vertAlign w:val="superscript"/>
          <w:lang w:val="fr-FR"/>
        </w:rPr>
        <w:t>e</w:t>
      </w:r>
      <w:r w:rsidRPr="00842FB3">
        <w:rPr>
          <w:lang w:val="fr-FR"/>
        </w:rPr>
        <w:t xml:space="preserve"> réunion.</w:t>
      </w:r>
      <w:r w:rsidRPr="00C3019D">
        <w:rPr>
          <w:lang w:val="fr-FR"/>
        </w:rPr>
        <w:t xml:space="preserve"> </w:t>
      </w:r>
    </w:p>
    <w:p w:rsidR="00E51975" w:rsidRPr="00C3019D" w:rsidRDefault="00E51975">
      <w:pPr>
        <w:jc w:val="left"/>
        <w:rPr>
          <w:b/>
          <w:lang w:val="fr-FR"/>
        </w:rPr>
      </w:pPr>
    </w:p>
    <w:p w:rsidR="00C247DB" w:rsidRPr="00C3019D" w:rsidRDefault="00C247DB" w:rsidP="00255CDE">
      <w:pPr>
        <w:jc w:val="center"/>
        <w:rPr>
          <w:b/>
          <w:lang w:val="fr-FR"/>
        </w:rPr>
      </w:pPr>
    </w:p>
    <w:p w:rsidR="00C247DB" w:rsidRPr="00C3019D" w:rsidRDefault="00C247DB" w:rsidP="00255CDE">
      <w:pPr>
        <w:jc w:val="center"/>
        <w:rPr>
          <w:b/>
          <w:lang w:val="fr-FR"/>
        </w:rPr>
      </w:pPr>
    </w:p>
    <w:p w:rsidR="00255CDE" w:rsidRPr="00C3019D" w:rsidRDefault="00D77991" w:rsidP="00255CDE">
      <w:pPr>
        <w:jc w:val="center"/>
        <w:rPr>
          <w:b/>
          <w:lang w:val="fr-FR"/>
        </w:rPr>
      </w:pPr>
      <w:r>
        <w:rPr>
          <w:b/>
          <w:lang w:val="fr-FR"/>
        </w:rPr>
        <w:br w:type="page"/>
      </w:r>
      <w:r w:rsidR="00842FB3" w:rsidRPr="00842FB3">
        <w:rPr>
          <w:b/>
          <w:lang w:val="fr-FR"/>
        </w:rPr>
        <w:lastRenderedPageBreak/>
        <w:t>FICHE D</w:t>
      </w:r>
      <w:r>
        <w:rPr>
          <w:b/>
          <w:lang w:val="fr-FR"/>
        </w:rPr>
        <w:t>’</w:t>
      </w:r>
      <w:r w:rsidR="00842FB3" w:rsidRPr="00842FB3">
        <w:rPr>
          <w:b/>
          <w:lang w:val="fr-FR"/>
        </w:rPr>
        <w:t>ÉVALUATION DE PROJET - PROJETS PLURIANNUELS</w:t>
      </w:r>
    </w:p>
    <w:p w:rsidR="00255CDE" w:rsidRPr="00C3019D" w:rsidRDefault="00255CDE" w:rsidP="00255CDE">
      <w:pPr>
        <w:jc w:val="center"/>
        <w:rPr>
          <w:lang w:val="fr-FR"/>
        </w:rPr>
      </w:pPr>
    </w:p>
    <w:p w:rsidR="00255CDE" w:rsidRPr="00842FB3" w:rsidRDefault="00842FB3" w:rsidP="00255CDE">
      <w:pPr>
        <w:jc w:val="center"/>
        <w:rPr>
          <w:b/>
          <w:lang w:val="en-CA"/>
        </w:rPr>
      </w:pPr>
      <w:r w:rsidRPr="00842FB3">
        <w:rPr>
          <w:b/>
          <w:lang w:val="fr-FR"/>
        </w:rPr>
        <w:t>Égypte</w:t>
      </w:r>
    </w:p>
    <w:p w:rsidR="007802D7" w:rsidRPr="001F1E0E" w:rsidRDefault="007802D7" w:rsidP="007802D7">
      <w:pPr>
        <w:spacing w:after="80"/>
        <w:jc w:val="center"/>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5000"/>
        <w:gridCol w:w="5000"/>
      </w:tblGrid>
      <w:tr w:rsidR="007802D7" w:rsidRPr="001F1E0E" w:rsidTr="00BD26B4">
        <w:trPr>
          <w:trHeight w:val="240"/>
          <w:jc w:val="center"/>
        </w:trPr>
        <w:tc>
          <w:tcPr>
            <w:tcW w:w="4788" w:type="dxa"/>
            <w:shd w:val="clear" w:color="auto" w:fill="auto"/>
          </w:tcPr>
          <w:p w:rsidR="007802D7" w:rsidRPr="00842FB3" w:rsidRDefault="00842FB3" w:rsidP="005B6FC5">
            <w:pPr>
              <w:spacing w:after="80"/>
              <w:jc w:val="left"/>
              <w:rPr>
                <w:b/>
                <w:sz w:val="18"/>
                <w:szCs w:val="18"/>
                <w:lang w:val="en-CA"/>
              </w:rPr>
            </w:pPr>
            <w:r w:rsidRPr="00842FB3">
              <w:rPr>
                <w:b/>
                <w:sz w:val="18"/>
                <w:szCs w:val="18"/>
                <w:lang w:val="fr-FR"/>
              </w:rPr>
              <w:t>(I) TITRE DU PROJET</w:t>
            </w:r>
          </w:p>
        </w:tc>
        <w:tc>
          <w:tcPr>
            <w:tcW w:w="4788" w:type="dxa"/>
            <w:shd w:val="clear" w:color="auto" w:fill="auto"/>
          </w:tcPr>
          <w:p w:rsidR="007802D7" w:rsidRPr="00842FB3" w:rsidRDefault="00842FB3" w:rsidP="005B6FC5">
            <w:pPr>
              <w:spacing w:after="80"/>
              <w:jc w:val="center"/>
              <w:rPr>
                <w:b/>
                <w:sz w:val="18"/>
                <w:szCs w:val="18"/>
                <w:lang w:val="en-CA"/>
              </w:rPr>
            </w:pPr>
            <w:r w:rsidRPr="00842FB3">
              <w:rPr>
                <w:b/>
                <w:sz w:val="18"/>
                <w:szCs w:val="18"/>
                <w:lang w:val="fr-FR"/>
              </w:rPr>
              <w:t>AGENCE</w:t>
            </w:r>
          </w:p>
        </w:tc>
      </w:tr>
      <w:tr w:rsidR="007802D7" w:rsidRPr="00C17C20" w:rsidTr="00BD26B4">
        <w:trPr>
          <w:trHeight w:val="240"/>
          <w:jc w:val="center"/>
        </w:trPr>
        <w:tc>
          <w:tcPr>
            <w:tcW w:w="4788" w:type="dxa"/>
            <w:shd w:val="clear" w:color="auto" w:fill="auto"/>
          </w:tcPr>
          <w:p w:rsidR="007802D7" w:rsidRPr="00C3019D" w:rsidRDefault="00842FB3" w:rsidP="005B6FC5">
            <w:pPr>
              <w:spacing w:after="80"/>
              <w:jc w:val="center"/>
              <w:rPr>
                <w:sz w:val="18"/>
                <w:szCs w:val="18"/>
                <w:lang w:val="fr-FR"/>
              </w:rPr>
            </w:pPr>
            <w:r w:rsidRPr="00842FB3">
              <w:rPr>
                <w:sz w:val="18"/>
                <w:szCs w:val="18"/>
                <w:lang w:val="fr-FR"/>
              </w:rPr>
              <w:t>Plan d</w:t>
            </w:r>
            <w:r w:rsidR="00D77991">
              <w:rPr>
                <w:sz w:val="18"/>
                <w:szCs w:val="18"/>
                <w:lang w:val="fr-FR"/>
              </w:rPr>
              <w:t>’</w:t>
            </w:r>
            <w:r w:rsidRPr="00842FB3">
              <w:rPr>
                <w:sz w:val="18"/>
                <w:szCs w:val="18"/>
                <w:lang w:val="fr-FR"/>
              </w:rPr>
              <w:t>élimination des HCFC (Phase II)</w:t>
            </w:r>
          </w:p>
        </w:tc>
        <w:tc>
          <w:tcPr>
            <w:tcW w:w="4788" w:type="dxa"/>
            <w:shd w:val="clear" w:color="auto" w:fill="auto"/>
          </w:tcPr>
          <w:p w:rsidR="007802D7" w:rsidRPr="00C3019D" w:rsidRDefault="00842FB3" w:rsidP="005B6FC5">
            <w:pPr>
              <w:spacing w:after="80"/>
              <w:jc w:val="center"/>
              <w:rPr>
                <w:sz w:val="18"/>
                <w:szCs w:val="18"/>
                <w:lang w:val="fr-FR"/>
              </w:rPr>
            </w:pPr>
            <w:r w:rsidRPr="00842FB3">
              <w:rPr>
                <w:sz w:val="18"/>
                <w:lang w:val="fr-FR"/>
              </w:rPr>
              <w:t>ONUDI (agence principale) PNUD, PNUE, Allemagne</w:t>
            </w:r>
          </w:p>
        </w:tc>
      </w:tr>
    </w:tbl>
    <w:p w:rsidR="007802D7" w:rsidRPr="00C3019D" w:rsidRDefault="007802D7" w:rsidP="007802D7">
      <w:pPr>
        <w:spacing w:after="60"/>
        <w:jc w:val="center"/>
        <w:rPr>
          <w:lang w:val="fr-FR"/>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7802D7" w:rsidRPr="001F1E0E" w:rsidTr="00C964D6">
        <w:trPr>
          <w:trHeight w:val="240"/>
          <w:jc w:val="center"/>
        </w:trPr>
        <w:tc>
          <w:tcPr>
            <w:tcW w:w="5200" w:type="dxa"/>
            <w:shd w:val="clear" w:color="auto" w:fill="auto"/>
          </w:tcPr>
          <w:p w:rsidR="007802D7" w:rsidRPr="00C3019D" w:rsidRDefault="00842FB3" w:rsidP="005B6FC5">
            <w:pPr>
              <w:spacing w:after="60"/>
              <w:jc w:val="left"/>
              <w:rPr>
                <w:b/>
                <w:sz w:val="18"/>
                <w:lang w:val="fr-FR"/>
              </w:rPr>
            </w:pPr>
            <w:r w:rsidRPr="00842FB3">
              <w:rPr>
                <w:b/>
                <w:sz w:val="18"/>
                <w:lang w:val="fr-FR"/>
              </w:rPr>
              <w:t>(II) DERNIÈRES DONNÉES CONFORMÉMENT À L</w:t>
            </w:r>
            <w:r w:rsidR="00D77991">
              <w:rPr>
                <w:b/>
                <w:sz w:val="18"/>
                <w:lang w:val="fr-FR"/>
              </w:rPr>
              <w:t>’</w:t>
            </w:r>
            <w:r w:rsidRPr="00842FB3">
              <w:rPr>
                <w:b/>
                <w:sz w:val="18"/>
                <w:lang w:val="fr-FR"/>
              </w:rPr>
              <w:t>ARTICLE 7 (Annexe C Groupe l)</w:t>
            </w:r>
          </w:p>
        </w:tc>
        <w:tc>
          <w:tcPr>
            <w:tcW w:w="2400" w:type="dxa"/>
            <w:shd w:val="clear" w:color="auto" w:fill="auto"/>
          </w:tcPr>
          <w:p w:rsidR="007802D7" w:rsidRPr="001F1E0E" w:rsidRDefault="00842FB3" w:rsidP="005B6FC5">
            <w:pPr>
              <w:spacing w:after="60"/>
              <w:jc w:val="center"/>
              <w:rPr>
                <w:sz w:val="18"/>
                <w:lang w:val="en-CA"/>
              </w:rPr>
            </w:pPr>
            <w:r w:rsidRPr="00842FB3">
              <w:rPr>
                <w:sz w:val="18"/>
                <w:lang w:val="fr-FR"/>
              </w:rPr>
              <w:t>Année :</w:t>
            </w:r>
            <w:r w:rsidR="007802D7" w:rsidRPr="00842FB3">
              <w:rPr>
                <w:sz w:val="18"/>
                <w:lang w:val="en-CA"/>
              </w:rPr>
              <w:t xml:space="preserve"> </w:t>
            </w:r>
            <w:r w:rsidR="007802D7" w:rsidRPr="001F1E0E">
              <w:rPr>
                <w:sz w:val="18"/>
                <w:lang w:val="en-CA"/>
              </w:rPr>
              <w:t>201</w:t>
            </w:r>
            <w:r w:rsidR="009834AE" w:rsidRPr="001F1E0E">
              <w:rPr>
                <w:sz w:val="18"/>
                <w:lang w:val="en-CA"/>
              </w:rPr>
              <w:t>8</w:t>
            </w:r>
          </w:p>
        </w:tc>
        <w:tc>
          <w:tcPr>
            <w:tcW w:w="2400" w:type="dxa"/>
            <w:shd w:val="clear" w:color="auto" w:fill="auto"/>
          </w:tcPr>
          <w:p w:rsidR="007802D7" w:rsidRPr="00842FB3" w:rsidRDefault="00842FB3" w:rsidP="005B6FC5">
            <w:pPr>
              <w:spacing w:after="60"/>
              <w:jc w:val="right"/>
              <w:rPr>
                <w:sz w:val="18"/>
                <w:lang w:val="en-CA"/>
              </w:rPr>
            </w:pPr>
            <w:r w:rsidRPr="00842FB3">
              <w:rPr>
                <w:sz w:val="18"/>
                <w:lang w:val="fr-FR"/>
              </w:rPr>
              <w:t>287</w:t>
            </w:r>
            <w:r w:rsidR="009E134F">
              <w:rPr>
                <w:sz w:val="18"/>
                <w:lang w:val="fr-FR"/>
              </w:rPr>
              <w:t>,</w:t>
            </w:r>
            <w:r w:rsidRPr="00842FB3">
              <w:rPr>
                <w:sz w:val="18"/>
                <w:lang w:val="fr-FR"/>
              </w:rPr>
              <w:t>45 (tonnes PAO)</w:t>
            </w:r>
          </w:p>
        </w:tc>
      </w:tr>
    </w:tbl>
    <w:p w:rsidR="007802D7" w:rsidRPr="001F1E0E" w:rsidRDefault="007802D7" w:rsidP="007802D7">
      <w:pPr>
        <w:spacing w:after="60"/>
        <w:jc w:val="center"/>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26"/>
        <w:gridCol w:w="856"/>
        <w:gridCol w:w="847"/>
        <w:gridCol w:w="936"/>
        <w:gridCol w:w="1036"/>
        <w:gridCol w:w="876"/>
        <w:gridCol w:w="837"/>
        <w:gridCol w:w="1276"/>
        <w:gridCol w:w="1047"/>
        <w:gridCol w:w="1317"/>
      </w:tblGrid>
      <w:tr w:rsidR="007802D7" w:rsidRPr="001F1E0E" w:rsidTr="00C964D6">
        <w:trPr>
          <w:trHeight w:val="240"/>
          <w:jc w:val="center"/>
        </w:trPr>
        <w:tc>
          <w:tcPr>
            <w:tcW w:w="0" w:type="auto"/>
            <w:gridSpan w:val="8"/>
            <w:shd w:val="clear" w:color="auto" w:fill="auto"/>
          </w:tcPr>
          <w:p w:rsidR="007802D7" w:rsidRPr="00C3019D" w:rsidRDefault="00842FB3" w:rsidP="005B6FC5">
            <w:pPr>
              <w:spacing w:after="60"/>
              <w:jc w:val="left"/>
              <w:rPr>
                <w:b/>
                <w:sz w:val="18"/>
                <w:lang w:val="fr-FR"/>
              </w:rPr>
            </w:pPr>
            <w:r w:rsidRPr="00842FB3">
              <w:rPr>
                <w:b/>
                <w:sz w:val="18"/>
                <w:lang w:val="fr-FR"/>
              </w:rPr>
              <w:t>(III) DERNIÈRES DONNÉES SECTORIELLES DU PROGRAMME DE PAYS (tonnes PAO)</w:t>
            </w:r>
          </w:p>
        </w:tc>
        <w:tc>
          <w:tcPr>
            <w:tcW w:w="0" w:type="auto"/>
            <w:gridSpan w:val="2"/>
            <w:shd w:val="clear" w:color="auto" w:fill="auto"/>
          </w:tcPr>
          <w:p w:rsidR="007802D7" w:rsidRPr="001F1E0E" w:rsidRDefault="00842FB3" w:rsidP="005B6FC5">
            <w:pPr>
              <w:spacing w:after="60"/>
              <w:jc w:val="right"/>
              <w:rPr>
                <w:b/>
                <w:sz w:val="18"/>
                <w:lang w:val="en-CA"/>
              </w:rPr>
            </w:pPr>
            <w:r w:rsidRPr="00842FB3">
              <w:rPr>
                <w:b/>
                <w:sz w:val="18"/>
                <w:lang w:val="fr-FR"/>
              </w:rPr>
              <w:t>Année :</w:t>
            </w:r>
            <w:r w:rsidR="007802D7" w:rsidRPr="00842FB3">
              <w:rPr>
                <w:b/>
                <w:sz w:val="18"/>
                <w:lang w:val="en-CA"/>
              </w:rPr>
              <w:t xml:space="preserve"> </w:t>
            </w:r>
            <w:r w:rsidR="007802D7" w:rsidRPr="001F1E0E">
              <w:rPr>
                <w:b/>
                <w:sz w:val="18"/>
                <w:lang w:val="en-CA"/>
              </w:rPr>
              <w:t>201</w:t>
            </w:r>
            <w:r w:rsidR="00C964D6" w:rsidRPr="001F1E0E">
              <w:rPr>
                <w:b/>
                <w:sz w:val="18"/>
                <w:lang w:val="en-CA"/>
              </w:rPr>
              <w:t>8</w:t>
            </w:r>
          </w:p>
        </w:tc>
      </w:tr>
      <w:tr w:rsidR="007802D7" w:rsidRPr="001F1E0E" w:rsidTr="00C964D6">
        <w:trPr>
          <w:trHeight w:val="240"/>
          <w:jc w:val="center"/>
        </w:trPr>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Substance chimique</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Aérosols</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Mousses</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Lutte contre l</w:t>
            </w:r>
            <w:r w:rsidR="00D77991">
              <w:rPr>
                <w:sz w:val="18"/>
                <w:lang w:val="fr-FR"/>
              </w:rPr>
              <w:t>’</w:t>
            </w:r>
            <w:r w:rsidRPr="00842FB3">
              <w:rPr>
                <w:sz w:val="18"/>
                <w:lang w:val="fr-FR"/>
              </w:rPr>
              <w:t>incendie</w:t>
            </w:r>
          </w:p>
        </w:tc>
        <w:tc>
          <w:tcPr>
            <w:tcW w:w="0" w:type="auto"/>
            <w:gridSpan w:val="2"/>
            <w:shd w:val="clear" w:color="auto" w:fill="auto"/>
          </w:tcPr>
          <w:p w:rsidR="007802D7" w:rsidRPr="00842FB3" w:rsidRDefault="00842FB3" w:rsidP="005B6FC5">
            <w:pPr>
              <w:spacing w:after="60"/>
              <w:jc w:val="center"/>
              <w:rPr>
                <w:sz w:val="18"/>
                <w:lang w:val="en-CA"/>
              </w:rPr>
            </w:pPr>
            <w:r w:rsidRPr="00842FB3">
              <w:rPr>
                <w:sz w:val="18"/>
                <w:lang w:val="fr-FR"/>
              </w:rPr>
              <w:t>Réfrigération</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Solvants</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Agent de transformation</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Utilisations en laboratoire</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Consommation totale par secteur</w:t>
            </w:r>
          </w:p>
        </w:tc>
      </w:tr>
      <w:tr w:rsidR="007802D7" w:rsidRPr="001F1E0E" w:rsidTr="00C964D6">
        <w:trPr>
          <w:trHeight w:val="240"/>
          <w:jc w:val="center"/>
        </w:trPr>
        <w:tc>
          <w:tcPr>
            <w:tcW w:w="0" w:type="auto"/>
            <w:gridSpan w:val="4"/>
            <w:shd w:val="clear" w:color="auto" w:fill="auto"/>
          </w:tcPr>
          <w:p w:rsidR="007802D7" w:rsidRPr="001F1E0E" w:rsidRDefault="007802D7" w:rsidP="00C964D6">
            <w:pPr>
              <w:spacing w:after="60"/>
              <w:jc w:val="center"/>
              <w:rPr>
                <w:sz w:val="18"/>
                <w:lang w:val="en-CA"/>
              </w:rPr>
            </w:pPr>
            <w:r w:rsidRPr="001F1E0E">
              <w:rPr>
                <w:sz w:val="18"/>
                <w:lang w:val="en-CA"/>
              </w:rPr>
              <w:t xml:space="preserve"> </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Fabrication</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Entretien</w:t>
            </w:r>
          </w:p>
        </w:tc>
        <w:tc>
          <w:tcPr>
            <w:tcW w:w="0" w:type="auto"/>
            <w:gridSpan w:val="4"/>
            <w:shd w:val="clear" w:color="auto" w:fill="auto"/>
          </w:tcPr>
          <w:p w:rsidR="007802D7" w:rsidRPr="001F1E0E" w:rsidRDefault="007802D7" w:rsidP="00C964D6">
            <w:pPr>
              <w:spacing w:after="60"/>
              <w:jc w:val="center"/>
              <w:rPr>
                <w:sz w:val="18"/>
                <w:lang w:val="en-CA"/>
              </w:rPr>
            </w:pPr>
          </w:p>
        </w:tc>
      </w:tr>
      <w:tr w:rsidR="007802D7" w:rsidRPr="001F1E0E" w:rsidTr="00C964D6">
        <w:trPr>
          <w:trHeight w:val="240"/>
          <w:jc w:val="center"/>
        </w:trPr>
        <w:tc>
          <w:tcPr>
            <w:tcW w:w="1200" w:type="dxa"/>
            <w:tcBorders>
              <w:bottom w:val="single" w:sz="4" w:space="0" w:color="5F497A" w:themeColor="accent4" w:themeShade="BF"/>
            </w:tcBorders>
            <w:shd w:val="clear" w:color="auto" w:fill="auto"/>
          </w:tcPr>
          <w:p w:rsidR="007802D7" w:rsidRPr="00842FB3" w:rsidRDefault="00842FB3" w:rsidP="005B6FC5">
            <w:pPr>
              <w:spacing w:after="60"/>
              <w:jc w:val="left"/>
              <w:rPr>
                <w:sz w:val="18"/>
                <w:lang w:val="en-CA"/>
              </w:rPr>
            </w:pPr>
            <w:r w:rsidRPr="00842FB3">
              <w:rPr>
                <w:sz w:val="18"/>
                <w:lang w:val="fr-FR"/>
              </w:rPr>
              <w:t>HCFC-22</w:t>
            </w:r>
          </w:p>
        </w:tc>
        <w:tc>
          <w:tcPr>
            <w:tcW w:w="0" w:type="auto"/>
            <w:tcBorders>
              <w:bottom w:val="single" w:sz="4" w:space="0" w:color="5F497A" w:themeColor="accent4" w:themeShade="BF"/>
            </w:tcBorders>
            <w:shd w:val="clear" w:color="auto" w:fill="auto"/>
          </w:tcPr>
          <w:p w:rsidR="007802D7" w:rsidRPr="001F1E0E" w:rsidRDefault="007802D7" w:rsidP="00C964D6">
            <w:pPr>
              <w:spacing w:after="60"/>
              <w:jc w:val="right"/>
              <w:rPr>
                <w:sz w:val="18"/>
                <w:lang w:val="en-CA"/>
              </w:rPr>
            </w:pPr>
          </w:p>
        </w:tc>
        <w:tc>
          <w:tcPr>
            <w:tcW w:w="0" w:type="auto"/>
            <w:tcBorders>
              <w:bottom w:val="single" w:sz="4" w:space="0" w:color="5F497A" w:themeColor="accent4" w:themeShade="BF"/>
            </w:tcBorders>
            <w:shd w:val="clear" w:color="auto" w:fill="auto"/>
          </w:tcPr>
          <w:p w:rsidR="007802D7" w:rsidRPr="001F1E0E" w:rsidRDefault="00C964D6" w:rsidP="00C964D6">
            <w:pPr>
              <w:spacing w:after="60"/>
              <w:jc w:val="right"/>
              <w:rPr>
                <w:sz w:val="18"/>
                <w:lang w:val="en-CA"/>
              </w:rPr>
            </w:pPr>
            <w:r w:rsidRPr="001F1E0E">
              <w:rPr>
                <w:sz w:val="18"/>
                <w:lang w:val="en-CA"/>
              </w:rPr>
              <w:t>32</w:t>
            </w:r>
            <w:r w:rsidR="009E134F">
              <w:rPr>
                <w:sz w:val="18"/>
                <w:lang w:val="en-CA"/>
              </w:rPr>
              <w:t>,</w:t>
            </w:r>
            <w:r w:rsidRPr="001F1E0E">
              <w:rPr>
                <w:sz w:val="18"/>
                <w:lang w:val="en-CA"/>
              </w:rPr>
              <w:t>19</w:t>
            </w:r>
          </w:p>
        </w:tc>
        <w:tc>
          <w:tcPr>
            <w:tcW w:w="0" w:type="auto"/>
            <w:tcBorders>
              <w:bottom w:val="single" w:sz="4" w:space="0" w:color="5F497A" w:themeColor="accent4" w:themeShade="BF"/>
            </w:tcBorders>
            <w:shd w:val="clear" w:color="auto" w:fill="auto"/>
          </w:tcPr>
          <w:p w:rsidR="007802D7" w:rsidRPr="001F1E0E" w:rsidRDefault="007802D7" w:rsidP="00C964D6">
            <w:pPr>
              <w:spacing w:after="60"/>
              <w:jc w:val="right"/>
              <w:rPr>
                <w:sz w:val="18"/>
                <w:lang w:val="en-CA"/>
              </w:rPr>
            </w:pPr>
          </w:p>
        </w:tc>
        <w:tc>
          <w:tcPr>
            <w:tcW w:w="0" w:type="auto"/>
            <w:tcBorders>
              <w:bottom w:val="single" w:sz="4" w:space="0" w:color="5F497A" w:themeColor="accent4" w:themeShade="BF"/>
            </w:tcBorders>
            <w:shd w:val="clear" w:color="auto" w:fill="auto"/>
          </w:tcPr>
          <w:p w:rsidR="007802D7" w:rsidRPr="001F1E0E" w:rsidRDefault="00C964D6" w:rsidP="00C964D6">
            <w:pPr>
              <w:spacing w:after="60"/>
              <w:jc w:val="right"/>
              <w:rPr>
                <w:sz w:val="18"/>
                <w:lang w:val="en-CA"/>
              </w:rPr>
            </w:pPr>
            <w:r w:rsidRPr="001F1E0E">
              <w:rPr>
                <w:sz w:val="18"/>
                <w:lang w:val="en-CA"/>
              </w:rPr>
              <w:t>85</w:t>
            </w:r>
            <w:r w:rsidR="009E134F">
              <w:rPr>
                <w:sz w:val="18"/>
                <w:lang w:val="en-CA"/>
              </w:rPr>
              <w:t>,</w:t>
            </w:r>
            <w:r w:rsidRPr="001F1E0E">
              <w:rPr>
                <w:sz w:val="18"/>
                <w:lang w:val="en-CA"/>
              </w:rPr>
              <w:t>83</w:t>
            </w:r>
          </w:p>
        </w:tc>
        <w:tc>
          <w:tcPr>
            <w:tcW w:w="0" w:type="auto"/>
            <w:tcBorders>
              <w:bottom w:val="single" w:sz="4" w:space="0" w:color="5F497A" w:themeColor="accent4" w:themeShade="BF"/>
            </w:tcBorders>
            <w:shd w:val="clear" w:color="auto" w:fill="auto"/>
          </w:tcPr>
          <w:p w:rsidR="007802D7" w:rsidRPr="001F1E0E" w:rsidRDefault="00F35DDC" w:rsidP="00C964D6">
            <w:pPr>
              <w:spacing w:after="60"/>
              <w:jc w:val="right"/>
              <w:rPr>
                <w:sz w:val="18"/>
                <w:lang w:val="en-CA"/>
              </w:rPr>
            </w:pPr>
            <w:r w:rsidRPr="001F1E0E">
              <w:rPr>
                <w:sz w:val="18"/>
                <w:lang w:val="en-CA"/>
              </w:rPr>
              <w:t>97</w:t>
            </w:r>
            <w:r w:rsidR="009E134F">
              <w:rPr>
                <w:sz w:val="18"/>
                <w:lang w:val="en-CA"/>
              </w:rPr>
              <w:t>,</w:t>
            </w:r>
            <w:r w:rsidRPr="001F1E0E">
              <w:rPr>
                <w:sz w:val="18"/>
                <w:lang w:val="en-CA"/>
              </w:rPr>
              <w:t>54</w:t>
            </w:r>
          </w:p>
        </w:tc>
        <w:tc>
          <w:tcPr>
            <w:tcW w:w="0" w:type="auto"/>
            <w:tcBorders>
              <w:bottom w:val="single" w:sz="4" w:space="0" w:color="5F497A" w:themeColor="accent4" w:themeShade="BF"/>
            </w:tcBorders>
            <w:shd w:val="clear" w:color="auto" w:fill="auto"/>
          </w:tcPr>
          <w:p w:rsidR="007802D7" w:rsidRPr="001F1E0E" w:rsidRDefault="007802D7" w:rsidP="00C964D6">
            <w:pPr>
              <w:spacing w:after="60"/>
              <w:jc w:val="right"/>
              <w:rPr>
                <w:sz w:val="18"/>
                <w:lang w:val="en-CA"/>
              </w:rPr>
            </w:pPr>
          </w:p>
        </w:tc>
        <w:tc>
          <w:tcPr>
            <w:tcW w:w="0" w:type="auto"/>
            <w:tcBorders>
              <w:bottom w:val="single" w:sz="4" w:space="0" w:color="5F497A" w:themeColor="accent4" w:themeShade="BF"/>
            </w:tcBorders>
            <w:shd w:val="clear" w:color="auto" w:fill="auto"/>
          </w:tcPr>
          <w:p w:rsidR="007802D7" w:rsidRPr="001F1E0E" w:rsidRDefault="007802D7" w:rsidP="00C964D6">
            <w:pPr>
              <w:spacing w:after="60"/>
              <w:jc w:val="right"/>
              <w:rPr>
                <w:sz w:val="18"/>
                <w:lang w:val="en-CA"/>
              </w:rPr>
            </w:pPr>
          </w:p>
        </w:tc>
        <w:tc>
          <w:tcPr>
            <w:tcW w:w="0" w:type="auto"/>
            <w:tcBorders>
              <w:bottom w:val="single" w:sz="4" w:space="0" w:color="5F497A" w:themeColor="accent4" w:themeShade="BF"/>
            </w:tcBorders>
            <w:shd w:val="clear" w:color="auto" w:fill="auto"/>
          </w:tcPr>
          <w:p w:rsidR="007802D7" w:rsidRPr="001F1E0E" w:rsidRDefault="007802D7" w:rsidP="00C964D6">
            <w:pPr>
              <w:spacing w:after="60"/>
              <w:jc w:val="right"/>
              <w:rPr>
                <w:sz w:val="18"/>
                <w:lang w:val="en-CA"/>
              </w:rPr>
            </w:pPr>
          </w:p>
        </w:tc>
        <w:tc>
          <w:tcPr>
            <w:tcW w:w="0" w:type="auto"/>
            <w:tcBorders>
              <w:bottom w:val="single" w:sz="4" w:space="0" w:color="5F497A" w:themeColor="accent4" w:themeShade="BF"/>
            </w:tcBorders>
            <w:shd w:val="clear" w:color="auto" w:fill="auto"/>
          </w:tcPr>
          <w:p w:rsidR="007802D7" w:rsidRPr="001F1E0E" w:rsidRDefault="00F35DDC" w:rsidP="00C964D6">
            <w:pPr>
              <w:spacing w:after="60"/>
              <w:jc w:val="right"/>
              <w:rPr>
                <w:sz w:val="18"/>
                <w:lang w:val="en-CA"/>
              </w:rPr>
            </w:pPr>
            <w:r w:rsidRPr="001F1E0E">
              <w:rPr>
                <w:sz w:val="18"/>
                <w:lang w:val="en-CA"/>
              </w:rPr>
              <w:t>215</w:t>
            </w:r>
            <w:r w:rsidR="009E134F">
              <w:rPr>
                <w:sz w:val="18"/>
                <w:lang w:val="en-CA"/>
              </w:rPr>
              <w:t>,</w:t>
            </w:r>
            <w:r w:rsidRPr="001F1E0E">
              <w:rPr>
                <w:sz w:val="18"/>
                <w:lang w:val="en-CA"/>
              </w:rPr>
              <w:t>57</w:t>
            </w:r>
          </w:p>
        </w:tc>
      </w:tr>
      <w:tr w:rsidR="007802D7" w:rsidRPr="001F1E0E" w:rsidTr="00C9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842FB3" w:rsidRDefault="00842FB3" w:rsidP="005B6FC5">
            <w:pPr>
              <w:spacing w:after="60"/>
              <w:jc w:val="left"/>
              <w:rPr>
                <w:sz w:val="18"/>
                <w:lang w:val="en-CA"/>
              </w:rPr>
            </w:pPr>
            <w:r w:rsidRPr="00842FB3">
              <w:rPr>
                <w:sz w:val="18"/>
                <w:lang w:val="fr-FR"/>
              </w:rPr>
              <w:t>HCFC-123</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r w:rsidRPr="001F1E0E">
              <w:rPr>
                <w:sz w:val="18"/>
                <w:lang w:val="en-CA"/>
              </w:rPr>
              <w:t>0</w:t>
            </w:r>
            <w:r w:rsidR="009E134F">
              <w:rPr>
                <w:sz w:val="18"/>
                <w:lang w:val="en-CA"/>
              </w:rPr>
              <w:t>,</w:t>
            </w:r>
            <w:r w:rsidR="00C964D6" w:rsidRPr="001F1E0E">
              <w:rPr>
                <w:sz w:val="18"/>
                <w:lang w:val="en-CA"/>
              </w:rPr>
              <w:t>04</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bottom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r w:rsidRPr="001F1E0E">
              <w:rPr>
                <w:sz w:val="18"/>
                <w:lang w:val="en-CA"/>
              </w:rPr>
              <w:t>0</w:t>
            </w:r>
            <w:r w:rsidR="009E134F">
              <w:rPr>
                <w:sz w:val="18"/>
                <w:lang w:val="en-CA"/>
              </w:rPr>
              <w:t>,</w:t>
            </w:r>
            <w:r w:rsidR="00C964D6" w:rsidRPr="001F1E0E">
              <w:rPr>
                <w:sz w:val="18"/>
                <w:lang w:val="en-CA"/>
              </w:rPr>
              <w:t>04</w:t>
            </w:r>
          </w:p>
        </w:tc>
      </w:tr>
      <w:tr w:rsidR="007802D7" w:rsidRPr="001F1E0E" w:rsidTr="00C9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842FB3" w:rsidRDefault="00842FB3" w:rsidP="005B6FC5">
            <w:pPr>
              <w:spacing w:after="60"/>
              <w:jc w:val="left"/>
              <w:rPr>
                <w:sz w:val="18"/>
                <w:lang w:val="en-CA"/>
              </w:rPr>
            </w:pPr>
            <w:r w:rsidRPr="00842FB3">
              <w:rPr>
                <w:sz w:val="18"/>
                <w:lang w:val="fr-FR"/>
              </w:rPr>
              <w:t>HCFC-141b</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C964D6" w:rsidP="00C964D6">
            <w:pPr>
              <w:spacing w:after="60"/>
              <w:jc w:val="right"/>
              <w:rPr>
                <w:sz w:val="18"/>
                <w:lang w:val="en-CA"/>
              </w:rPr>
            </w:pPr>
            <w:r w:rsidRPr="001F1E0E">
              <w:rPr>
                <w:sz w:val="18"/>
                <w:lang w:val="en-CA"/>
              </w:rPr>
              <w:t>69</w:t>
            </w:r>
            <w:r w:rsidR="009E134F">
              <w:rPr>
                <w:sz w:val="18"/>
                <w:lang w:val="en-CA"/>
              </w:rPr>
              <w:t>,</w:t>
            </w:r>
            <w:r w:rsidRPr="001F1E0E">
              <w:rPr>
                <w:sz w:val="18"/>
                <w:lang w:val="en-CA"/>
              </w:rPr>
              <w:t>24</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C964D6" w:rsidP="00C964D6">
            <w:pPr>
              <w:spacing w:after="60"/>
              <w:jc w:val="right"/>
              <w:rPr>
                <w:sz w:val="18"/>
                <w:lang w:val="en-CA"/>
              </w:rPr>
            </w:pPr>
            <w:r w:rsidRPr="001F1E0E">
              <w:rPr>
                <w:sz w:val="18"/>
                <w:lang w:val="en-CA"/>
              </w:rPr>
              <w:t>69</w:t>
            </w:r>
            <w:r w:rsidR="009E134F">
              <w:rPr>
                <w:sz w:val="18"/>
                <w:lang w:val="en-CA"/>
              </w:rPr>
              <w:t>,</w:t>
            </w:r>
            <w:r w:rsidRPr="001F1E0E">
              <w:rPr>
                <w:sz w:val="18"/>
                <w:lang w:val="en-CA"/>
              </w:rPr>
              <w:t>24</w:t>
            </w:r>
          </w:p>
        </w:tc>
      </w:tr>
      <w:tr w:rsidR="007802D7" w:rsidRPr="001F1E0E" w:rsidTr="00C9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842FB3" w:rsidRDefault="00842FB3" w:rsidP="005B6FC5">
            <w:pPr>
              <w:spacing w:after="60"/>
              <w:jc w:val="left"/>
              <w:rPr>
                <w:sz w:val="18"/>
                <w:lang w:val="en-CA"/>
              </w:rPr>
            </w:pPr>
            <w:r w:rsidRPr="00842FB3">
              <w:rPr>
                <w:sz w:val="18"/>
                <w:lang w:val="fr-FR"/>
              </w:rPr>
              <w:t>HCFC-142b</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F35DDC" w:rsidP="00C964D6">
            <w:pPr>
              <w:spacing w:after="60"/>
              <w:jc w:val="right"/>
              <w:rPr>
                <w:sz w:val="18"/>
                <w:lang w:val="en-CA"/>
              </w:rPr>
            </w:pPr>
            <w:r w:rsidRPr="001F1E0E">
              <w:rPr>
                <w:sz w:val="18"/>
                <w:lang w:val="en-CA"/>
              </w:rPr>
              <w:t>2</w:t>
            </w:r>
            <w:r w:rsidR="009E134F">
              <w:rPr>
                <w:sz w:val="18"/>
                <w:lang w:val="en-CA"/>
              </w:rPr>
              <w:t>,</w:t>
            </w:r>
            <w:r w:rsidRPr="001F1E0E">
              <w:rPr>
                <w:sz w:val="18"/>
                <w:lang w:val="en-CA"/>
              </w:rPr>
              <w:t>60</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F35DDC" w:rsidP="00C964D6">
            <w:pPr>
              <w:spacing w:after="60"/>
              <w:jc w:val="right"/>
              <w:rPr>
                <w:sz w:val="18"/>
                <w:lang w:val="en-CA"/>
              </w:rPr>
            </w:pPr>
            <w:r w:rsidRPr="001F1E0E">
              <w:rPr>
                <w:sz w:val="18"/>
                <w:lang w:val="en-CA"/>
              </w:rPr>
              <w:t>2</w:t>
            </w:r>
            <w:r w:rsidR="009E134F">
              <w:rPr>
                <w:sz w:val="18"/>
                <w:lang w:val="en-CA"/>
              </w:rPr>
              <w:t>,</w:t>
            </w:r>
            <w:r w:rsidRPr="001F1E0E">
              <w:rPr>
                <w:sz w:val="18"/>
                <w:lang w:val="en-CA"/>
              </w:rPr>
              <w:t>60</w:t>
            </w:r>
          </w:p>
        </w:tc>
      </w:tr>
      <w:tr w:rsidR="007802D7" w:rsidRPr="001F1E0E" w:rsidTr="00C9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12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C3019D" w:rsidRDefault="00842FB3" w:rsidP="005B6FC5">
            <w:pPr>
              <w:spacing w:after="60"/>
              <w:jc w:val="left"/>
              <w:rPr>
                <w:sz w:val="18"/>
                <w:lang w:val="fr-FR"/>
              </w:rPr>
            </w:pPr>
            <w:r w:rsidRPr="00842FB3">
              <w:rPr>
                <w:sz w:val="18"/>
                <w:lang w:val="fr-FR"/>
              </w:rPr>
              <w:t>HCFC-141b dans les polyols prémélangés importés</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C3019D" w:rsidRDefault="007802D7" w:rsidP="00C964D6">
            <w:pPr>
              <w:spacing w:after="60"/>
              <w:jc w:val="right"/>
              <w:rPr>
                <w:sz w:val="18"/>
                <w:lang w:val="fr-FR"/>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C964D6" w:rsidP="00C964D6">
            <w:pPr>
              <w:spacing w:after="60"/>
              <w:jc w:val="right"/>
              <w:rPr>
                <w:sz w:val="18"/>
                <w:lang w:val="en-CA"/>
              </w:rPr>
            </w:pPr>
            <w:r w:rsidRPr="001F1E0E">
              <w:rPr>
                <w:sz w:val="18"/>
                <w:lang w:val="en-CA"/>
              </w:rPr>
              <w:t>0</w:t>
            </w: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7802D7" w:rsidP="00C964D6">
            <w:pPr>
              <w:spacing w:after="60"/>
              <w:jc w:val="right"/>
              <w:rPr>
                <w:sz w:val="18"/>
                <w:lang w:val="en-CA"/>
              </w:rPr>
            </w:pPr>
          </w:p>
        </w:tc>
        <w:tc>
          <w:tcPr>
            <w:tcW w:w="0" w:type="auto"/>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tcPr>
          <w:p w:rsidR="007802D7" w:rsidRPr="001F1E0E" w:rsidRDefault="00C964D6" w:rsidP="00C964D6">
            <w:pPr>
              <w:spacing w:after="60"/>
              <w:jc w:val="right"/>
              <w:rPr>
                <w:sz w:val="18"/>
                <w:lang w:val="en-CA"/>
              </w:rPr>
            </w:pPr>
            <w:r w:rsidRPr="001F1E0E">
              <w:rPr>
                <w:sz w:val="18"/>
                <w:lang w:val="en-CA"/>
              </w:rPr>
              <w:t>0</w:t>
            </w:r>
          </w:p>
        </w:tc>
      </w:tr>
    </w:tbl>
    <w:p w:rsidR="007802D7" w:rsidRPr="001F1E0E" w:rsidRDefault="007802D7" w:rsidP="007802D7">
      <w:pPr>
        <w:spacing w:after="60"/>
        <w:rPr>
          <w:lang w:val="en-CA"/>
        </w:rPr>
      </w:pPr>
    </w:p>
    <w:tbl>
      <w:tblPr>
        <w:tblStyle w:val="TableGrid"/>
        <w:tblW w:w="1000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94"/>
        <w:gridCol w:w="916"/>
        <w:gridCol w:w="4874"/>
        <w:gridCol w:w="916"/>
      </w:tblGrid>
      <w:tr w:rsidR="007802D7" w:rsidRPr="00C17C20" w:rsidTr="00C964D6">
        <w:trPr>
          <w:trHeight w:val="240"/>
          <w:jc w:val="center"/>
        </w:trPr>
        <w:tc>
          <w:tcPr>
            <w:tcW w:w="0" w:type="auto"/>
            <w:gridSpan w:val="4"/>
            <w:shd w:val="clear" w:color="auto" w:fill="auto"/>
          </w:tcPr>
          <w:p w:rsidR="007802D7" w:rsidRPr="00C3019D" w:rsidRDefault="00842FB3" w:rsidP="005B6FC5">
            <w:pPr>
              <w:spacing w:after="60"/>
              <w:jc w:val="left"/>
              <w:rPr>
                <w:b/>
                <w:sz w:val="18"/>
                <w:lang w:val="fr-FR"/>
              </w:rPr>
            </w:pPr>
            <w:r w:rsidRPr="00842FB3">
              <w:rPr>
                <w:b/>
                <w:sz w:val="18"/>
                <w:lang w:val="fr-FR"/>
              </w:rPr>
              <w:t>(IV) DONNÉES SUR LA CONSOMMATION (tonnes PAO)</w:t>
            </w:r>
          </w:p>
        </w:tc>
      </w:tr>
      <w:tr w:rsidR="007802D7" w:rsidRPr="001F1E0E" w:rsidTr="00C964D6">
        <w:trPr>
          <w:trHeight w:val="240"/>
          <w:jc w:val="center"/>
        </w:trPr>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Valeur de référence 2009-2010 :</w:t>
            </w:r>
          </w:p>
        </w:tc>
        <w:tc>
          <w:tcPr>
            <w:tcW w:w="0" w:type="auto"/>
            <w:shd w:val="clear" w:color="auto" w:fill="auto"/>
          </w:tcPr>
          <w:p w:rsidR="007802D7" w:rsidRPr="001F1E0E" w:rsidRDefault="007802D7" w:rsidP="00C964D6">
            <w:pPr>
              <w:spacing w:after="60"/>
              <w:jc w:val="right"/>
              <w:rPr>
                <w:sz w:val="18"/>
                <w:lang w:val="en-CA"/>
              </w:rPr>
            </w:pPr>
            <w:r w:rsidRPr="001F1E0E">
              <w:rPr>
                <w:sz w:val="18"/>
                <w:lang w:val="en-CA"/>
              </w:rPr>
              <w:t>386</w:t>
            </w:r>
            <w:r w:rsidR="009E134F">
              <w:rPr>
                <w:sz w:val="18"/>
                <w:lang w:val="en-CA"/>
              </w:rPr>
              <w:t>,</w:t>
            </w:r>
            <w:r w:rsidRPr="001F1E0E">
              <w:rPr>
                <w:sz w:val="18"/>
                <w:lang w:val="en-CA"/>
              </w:rPr>
              <w:t>3</w:t>
            </w:r>
          </w:p>
        </w:tc>
        <w:tc>
          <w:tcPr>
            <w:tcW w:w="0" w:type="auto"/>
            <w:shd w:val="clear" w:color="auto" w:fill="auto"/>
          </w:tcPr>
          <w:p w:rsidR="007802D7" w:rsidRPr="00C3019D" w:rsidRDefault="00842FB3" w:rsidP="005B6FC5">
            <w:pPr>
              <w:spacing w:after="60"/>
              <w:jc w:val="center"/>
              <w:rPr>
                <w:sz w:val="18"/>
                <w:lang w:val="fr-FR"/>
              </w:rPr>
            </w:pPr>
            <w:r w:rsidRPr="00842FB3">
              <w:rPr>
                <w:sz w:val="18"/>
                <w:lang w:val="fr-FR"/>
              </w:rPr>
              <w:t>Point de départ des réductions globales durables :</w:t>
            </w:r>
          </w:p>
        </w:tc>
        <w:tc>
          <w:tcPr>
            <w:tcW w:w="0" w:type="auto"/>
            <w:shd w:val="clear" w:color="auto" w:fill="auto"/>
          </w:tcPr>
          <w:p w:rsidR="007802D7" w:rsidRPr="001F1E0E" w:rsidRDefault="007802D7" w:rsidP="00C964D6">
            <w:pPr>
              <w:spacing w:after="60"/>
              <w:jc w:val="right"/>
              <w:rPr>
                <w:sz w:val="18"/>
                <w:lang w:val="en-CA"/>
              </w:rPr>
            </w:pPr>
            <w:r w:rsidRPr="001F1E0E">
              <w:rPr>
                <w:sz w:val="18"/>
                <w:lang w:val="en-CA"/>
              </w:rPr>
              <w:t>484</w:t>
            </w:r>
            <w:r w:rsidR="009E134F">
              <w:rPr>
                <w:sz w:val="18"/>
                <w:lang w:val="en-CA"/>
              </w:rPr>
              <w:t>,</w:t>
            </w:r>
            <w:r w:rsidRPr="001F1E0E">
              <w:rPr>
                <w:sz w:val="18"/>
                <w:lang w:val="en-CA"/>
              </w:rPr>
              <w:t>61</w:t>
            </w:r>
          </w:p>
        </w:tc>
      </w:tr>
      <w:tr w:rsidR="007802D7" w:rsidRPr="00C17C20" w:rsidTr="00C964D6">
        <w:trPr>
          <w:trHeight w:val="240"/>
          <w:jc w:val="center"/>
        </w:trPr>
        <w:tc>
          <w:tcPr>
            <w:tcW w:w="0" w:type="auto"/>
            <w:gridSpan w:val="4"/>
            <w:shd w:val="clear" w:color="auto" w:fill="auto"/>
          </w:tcPr>
          <w:p w:rsidR="007802D7" w:rsidRPr="00C3019D" w:rsidRDefault="00842FB3" w:rsidP="005B6FC5">
            <w:pPr>
              <w:spacing w:after="60"/>
              <w:jc w:val="center"/>
              <w:rPr>
                <w:b/>
                <w:sz w:val="18"/>
                <w:lang w:val="fr-FR"/>
              </w:rPr>
            </w:pPr>
            <w:r w:rsidRPr="00842FB3">
              <w:rPr>
                <w:b/>
                <w:sz w:val="18"/>
                <w:lang w:val="fr-FR"/>
              </w:rPr>
              <w:t>CONSOMMATION ÉLIGIBLE AU FINANCEMENT (tonnes PAO)</w:t>
            </w:r>
          </w:p>
        </w:tc>
      </w:tr>
      <w:tr w:rsidR="007802D7" w:rsidRPr="001F1E0E" w:rsidTr="00C964D6">
        <w:trPr>
          <w:trHeight w:val="240"/>
          <w:jc w:val="center"/>
        </w:trPr>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Déjà approuvée :</w:t>
            </w:r>
          </w:p>
        </w:tc>
        <w:tc>
          <w:tcPr>
            <w:tcW w:w="0" w:type="auto"/>
            <w:shd w:val="clear" w:color="auto" w:fill="auto"/>
          </w:tcPr>
          <w:p w:rsidR="007802D7" w:rsidRPr="001F1E0E" w:rsidRDefault="007802D7" w:rsidP="00C964D6">
            <w:pPr>
              <w:spacing w:after="60"/>
              <w:jc w:val="right"/>
              <w:rPr>
                <w:sz w:val="18"/>
                <w:lang w:val="en-CA"/>
              </w:rPr>
            </w:pPr>
            <w:r w:rsidRPr="001F1E0E">
              <w:rPr>
                <w:sz w:val="18"/>
                <w:lang w:val="en-CA"/>
              </w:rPr>
              <w:t>174</w:t>
            </w:r>
            <w:r w:rsidR="009E134F">
              <w:rPr>
                <w:sz w:val="18"/>
                <w:lang w:val="en-CA"/>
              </w:rPr>
              <w:t>,</w:t>
            </w:r>
            <w:r w:rsidRPr="001F1E0E">
              <w:rPr>
                <w:sz w:val="18"/>
                <w:lang w:val="en-CA"/>
              </w:rPr>
              <w:t>00</w:t>
            </w:r>
          </w:p>
        </w:tc>
        <w:tc>
          <w:tcPr>
            <w:tcW w:w="0" w:type="auto"/>
            <w:shd w:val="clear" w:color="auto" w:fill="auto"/>
          </w:tcPr>
          <w:p w:rsidR="007802D7" w:rsidRPr="00842FB3" w:rsidRDefault="00842FB3" w:rsidP="005B6FC5">
            <w:pPr>
              <w:spacing w:after="60"/>
              <w:jc w:val="center"/>
              <w:rPr>
                <w:sz w:val="18"/>
                <w:lang w:val="en-CA"/>
              </w:rPr>
            </w:pPr>
            <w:r w:rsidRPr="00842FB3">
              <w:rPr>
                <w:sz w:val="18"/>
                <w:lang w:val="fr-FR"/>
              </w:rPr>
              <w:t>Restante :</w:t>
            </w:r>
          </w:p>
        </w:tc>
        <w:tc>
          <w:tcPr>
            <w:tcW w:w="0" w:type="auto"/>
            <w:shd w:val="clear" w:color="auto" w:fill="auto"/>
          </w:tcPr>
          <w:p w:rsidR="007802D7" w:rsidRPr="001F1E0E" w:rsidRDefault="007802D7" w:rsidP="00C964D6">
            <w:pPr>
              <w:spacing w:after="60"/>
              <w:jc w:val="right"/>
              <w:rPr>
                <w:sz w:val="18"/>
                <w:lang w:val="en-CA"/>
              </w:rPr>
            </w:pPr>
            <w:r w:rsidRPr="001F1E0E">
              <w:rPr>
                <w:sz w:val="18"/>
                <w:lang w:val="en-CA"/>
              </w:rPr>
              <w:t>310</w:t>
            </w:r>
            <w:r w:rsidR="009E134F">
              <w:rPr>
                <w:sz w:val="18"/>
                <w:lang w:val="en-CA"/>
              </w:rPr>
              <w:t>,</w:t>
            </w:r>
            <w:r w:rsidRPr="001F1E0E">
              <w:rPr>
                <w:sz w:val="18"/>
                <w:lang w:val="en-CA"/>
              </w:rPr>
              <w:t>61</w:t>
            </w:r>
          </w:p>
        </w:tc>
      </w:tr>
    </w:tbl>
    <w:p w:rsidR="007802D7" w:rsidRPr="001F1E0E" w:rsidRDefault="007802D7" w:rsidP="007802D7">
      <w:pPr>
        <w:spacing w:after="60"/>
        <w:jc w:val="center"/>
        <w:rPr>
          <w:lang w:val="en-CA"/>
        </w:rPr>
      </w:pPr>
    </w:p>
    <w:tbl>
      <w:tblPr>
        <w:tblStyle w:val="TableGrid"/>
        <w:tblW w:w="9985"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28"/>
        <w:gridCol w:w="2430"/>
        <w:gridCol w:w="1165"/>
        <w:gridCol w:w="1165"/>
        <w:gridCol w:w="1166"/>
        <w:gridCol w:w="1165"/>
        <w:gridCol w:w="1166"/>
      </w:tblGrid>
      <w:tr w:rsidR="00FC7795" w:rsidRPr="001F1E0E" w:rsidTr="00584F96">
        <w:trPr>
          <w:trHeight w:val="240"/>
          <w:jc w:val="center"/>
        </w:trPr>
        <w:tc>
          <w:tcPr>
            <w:tcW w:w="4158" w:type="dxa"/>
            <w:gridSpan w:val="2"/>
            <w:shd w:val="clear" w:color="auto" w:fill="auto"/>
          </w:tcPr>
          <w:p w:rsidR="00FC7795" w:rsidRPr="00842FB3" w:rsidRDefault="00842FB3" w:rsidP="005B6FC5">
            <w:pPr>
              <w:spacing w:after="60"/>
              <w:jc w:val="left"/>
              <w:rPr>
                <w:b/>
                <w:sz w:val="18"/>
                <w:lang w:val="en-CA"/>
              </w:rPr>
            </w:pPr>
            <w:r w:rsidRPr="00842FB3">
              <w:rPr>
                <w:b/>
                <w:sz w:val="18"/>
                <w:lang w:val="fr-FR"/>
              </w:rPr>
              <w:t>(V) PLAN D</w:t>
            </w:r>
            <w:r w:rsidR="00D77991">
              <w:rPr>
                <w:b/>
                <w:sz w:val="18"/>
                <w:lang w:val="fr-FR"/>
              </w:rPr>
              <w:t>’</w:t>
            </w:r>
            <w:r w:rsidRPr="00842FB3">
              <w:rPr>
                <w:b/>
                <w:sz w:val="18"/>
                <w:lang w:val="fr-FR"/>
              </w:rPr>
              <w:t>ACTIVITÉS</w:t>
            </w:r>
          </w:p>
        </w:tc>
        <w:tc>
          <w:tcPr>
            <w:tcW w:w="1165" w:type="dxa"/>
            <w:shd w:val="clear" w:color="auto" w:fill="auto"/>
          </w:tcPr>
          <w:p w:rsidR="00FC7795" w:rsidRPr="001F1E0E" w:rsidRDefault="00FC7795" w:rsidP="00C964D6">
            <w:pPr>
              <w:spacing w:after="60"/>
              <w:jc w:val="center"/>
              <w:rPr>
                <w:b/>
                <w:sz w:val="18"/>
                <w:lang w:val="en-CA"/>
              </w:rPr>
            </w:pPr>
            <w:r w:rsidRPr="001F1E0E">
              <w:rPr>
                <w:b/>
                <w:sz w:val="18"/>
                <w:lang w:val="en-CA"/>
              </w:rPr>
              <w:t>2019</w:t>
            </w:r>
          </w:p>
        </w:tc>
        <w:tc>
          <w:tcPr>
            <w:tcW w:w="1165" w:type="dxa"/>
            <w:shd w:val="clear" w:color="auto" w:fill="auto"/>
          </w:tcPr>
          <w:p w:rsidR="00FC7795" w:rsidRPr="001F1E0E" w:rsidRDefault="00FC7795" w:rsidP="00FC7795">
            <w:pPr>
              <w:spacing w:after="60"/>
              <w:jc w:val="center"/>
              <w:rPr>
                <w:b/>
                <w:sz w:val="18"/>
                <w:lang w:val="en-CA"/>
              </w:rPr>
            </w:pPr>
            <w:r w:rsidRPr="001F1E0E">
              <w:rPr>
                <w:b/>
                <w:sz w:val="18"/>
                <w:lang w:val="en-CA"/>
              </w:rPr>
              <w:t>2020</w:t>
            </w:r>
          </w:p>
        </w:tc>
        <w:tc>
          <w:tcPr>
            <w:tcW w:w="1166" w:type="dxa"/>
            <w:shd w:val="clear" w:color="auto" w:fill="auto"/>
          </w:tcPr>
          <w:p w:rsidR="00FC7795" w:rsidRPr="001F1E0E" w:rsidRDefault="00FC7795" w:rsidP="00FC7795">
            <w:pPr>
              <w:spacing w:after="60"/>
              <w:jc w:val="center"/>
              <w:rPr>
                <w:b/>
                <w:sz w:val="18"/>
                <w:lang w:val="en-CA"/>
              </w:rPr>
            </w:pPr>
            <w:r w:rsidRPr="001F1E0E">
              <w:rPr>
                <w:b/>
                <w:sz w:val="18"/>
                <w:lang w:val="en-CA"/>
              </w:rPr>
              <w:t>2021</w:t>
            </w:r>
          </w:p>
        </w:tc>
        <w:tc>
          <w:tcPr>
            <w:tcW w:w="1165" w:type="dxa"/>
            <w:shd w:val="clear" w:color="auto" w:fill="auto"/>
          </w:tcPr>
          <w:p w:rsidR="00FC7795" w:rsidRPr="00842FB3" w:rsidRDefault="00842FB3" w:rsidP="005B6FC5">
            <w:pPr>
              <w:spacing w:after="60"/>
              <w:jc w:val="center"/>
              <w:rPr>
                <w:b/>
                <w:sz w:val="18"/>
                <w:lang w:val="en-CA"/>
              </w:rPr>
            </w:pPr>
            <w:r w:rsidRPr="00842FB3">
              <w:rPr>
                <w:b/>
                <w:sz w:val="18"/>
                <w:lang w:val="fr-FR"/>
              </w:rPr>
              <w:t>Après 2021</w:t>
            </w:r>
          </w:p>
        </w:tc>
        <w:tc>
          <w:tcPr>
            <w:tcW w:w="1166" w:type="dxa"/>
            <w:shd w:val="clear" w:color="auto" w:fill="auto"/>
          </w:tcPr>
          <w:p w:rsidR="00FC7795" w:rsidRPr="00842FB3" w:rsidRDefault="00842FB3" w:rsidP="005B6FC5">
            <w:pPr>
              <w:spacing w:after="60"/>
              <w:jc w:val="center"/>
              <w:rPr>
                <w:b/>
                <w:sz w:val="18"/>
                <w:lang w:val="en-CA"/>
              </w:rPr>
            </w:pPr>
            <w:r w:rsidRPr="00842FB3">
              <w:rPr>
                <w:b/>
                <w:sz w:val="18"/>
                <w:lang w:val="fr-FR"/>
              </w:rPr>
              <w:t>Total</w:t>
            </w:r>
          </w:p>
        </w:tc>
      </w:tr>
      <w:tr w:rsidR="00FC7795" w:rsidRPr="001F1E0E" w:rsidTr="00584F96">
        <w:trPr>
          <w:trHeight w:val="240"/>
          <w:jc w:val="center"/>
        </w:trPr>
        <w:tc>
          <w:tcPr>
            <w:tcW w:w="1728" w:type="dxa"/>
            <w:vMerge w:val="restart"/>
            <w:shd w:val="clear" w:color="auto" w:fill="auto"/>
          </w:tcPr>
          <w:p w:rsidR="00FC7795" w:rsidRPr="00842FB3" w:rsidRDefault="00842FB3" w:rsidP="005B6FC5">
            <w:pPr>
              <w:spacing w:after="60"/>
              <w:jc w:val="center"/>
              <w:rPr>
                <w:sz w:val="18"/>
                <w:lang w:val="en-CA"/>
              </w:rPr>
            </w:pPr>
            <w:r w:rsidRPr="00842FB3">
              <w:rPr>
                <w:sz w:val="18"/>
                <w:lang w:val="fr-FR"/>
              </w:rPr>
              <w:t>ONUDI</w:t>
            </w:r>
          </w:p>
        </w:tc>
        <w:tc>
          <w:tcPr>
            <w:tcW w:w="2430" w:type="dxa"/>
            <w:shd w:val="clear" w:color="auto" w:fill="auto"/>
          </w:tcPr>
          <w:p w:rsidR="00FC7795" w:rsidRPr="00C3019D" w:rsidRDefault="00842FB3" w:rsidP="005B6FC5">
            <w:pPr>
              <w:spacing w:after="60"/>
              <w:jc w:val="left"/>
              <w:rPr>
                <w:sz w:val="18"/>
                <w:lang w:val="fr-FR"/>
              </w:rPr>
            </w:pPr>
            <w:r w:rsidRPr="00842FB3">
              <w:rPr>
                <w:sz w:val="18"/>
                <w:lang w:val="fr-FR"/>
              </w:rPr>
              <w:t>Elimination des SAO (tonnes PAO)</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10</w:t>
            </w:r>
            <w:r w:rsidR="009E134F">
              <w:rPr>
                <w:sz w:val="18"/>
                <w:lang w:val="en-CA"/>
              </w:rPr>
              <w:t>,</w:t>
            </w:r>
            <w:r w:rsidRPr="001F1E0E">
              <w:rPr>
                <w:sz w:val="18"/>
                <w:lang w:val="en-CA"/>
              </w:rPr>
              <w:t>13</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12</w:t>
            </w:r>
            <w:r w:rsidR="009E134F">
              <w:rPr>
                <w:sz w:val="18"/>
                <w:lang w:val="en-CA"/>
              </w:rPr>
              <w:t>,</w:t>
            </w:r>
            <w:r w:rsidRPr="001F1E0E">
              <w:rPr>
                <w:sz w:val="18"/>
                <w:lang w:val="en-CA"/>
              </w:rPr>
              <w:t>54</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12</w:t>
            </w:r>
            <w:r w:rsidR="009E134F">
              <w:rPr>
                <w:sz w:val="18"/>
                <w:lang w:val="en-CA"/>
              </w:rPr>
              <w:t>,</w:t>
            </w:r>
            <w:r w:rsidRPr="001F1E0E">
              <w:rPr>
                <w:sz w:val="18"/>
                <w:lang w:val="en-CA"/>
              </w:rPr>
              <w:t>75</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35</w:t>
            </w:r>
            <w:r w:rsidR="009E134F">
              <w:rPr>
                <w:noProof/>
                <w:sz w:val="18"/>
                <w:lang w:val="en-CA"/>
              </w:rPr>
              <w:t>,</w:t>
            </w:r>
            <w:r w:rsidRPr="001F1E0E">
              <w:rPr>
                <w:noProof/>
                <w:sz w:val="18"/>
                <w:lang w:val="en-CA"/>
              </w:rPr>
              <w:t>42</w:t>
            </w:r>
            <w:r w:rsidRPr="001F1E0E">
              <w:rPr>
                <w:sz w:val="18"/>
                <w:lang w:val="en-CA"/>
              </w:rPr>
              <w:fldChar w:fldCharType="end"/>
            </w:r>
          </w:p>
        </w:tc>
      </w:tr>
      <w:tr w:rsidR="00FC7795" w:rsidRPr="001F1E0E" w:rsidTr="00584F96">
        <w:trPr>
          <w:trHeight w:val="240"/>
          <w:jc w:val="center"/>
        </w:trPr>
        <w:tc>
          <w:tcPr>
            <w:tcW w:w="1728" w:type="dxa"/>
            <w:vMerge/>
            <w:shd w:val="clear" w:color="auto" w:fill="auto"/>
          </w:tcPr>
          <w:p w:rsidR="00FC7795" w:rsidRPr="001F1E0E" w:rsidRDefault="00FC7795" w:rsidP="00C964D6">
            <w:pPr>
              <w:spacing w:after="60"/>
              <w:jc w:val="center"/>
              <w:rPr>
                <w:sz w:val="18"/>
                <w:lang w:val="en-CA"/>
              </w:rPr>
            </w:pPr>
          </w:p>
        </w:tc>
        <w:tc>
          <w:tcPr>
            <w:tcW w:w="2430" w:type="dxa"/>
            <w:shd w:val="clear" w:color="auto" w:fill="auto"/>
          </w:tcPr>
          <w:p w:rsidR="00FC7795" w:rsidRPr="00842FB3" w:rsidRDefault="00842FB3" w:rsidP="005B6FC5">
            <w:pPr>
              <w:spacing w:after="60"/>
              <w:jc w:val="left"/>
              <w:rPr>
                <w:sz w:val="18"/>
                <w:lang w:val="en-CA"/>
              </w:rPr>
            </w:pPr>
            <w:r w:rsidRPr="00842FB3">
              <w:rPr>
                <w:sz w:val="18"/>
                <w:lang w:val="fr-FR"/>
              </w:rPr>
              <w:t>Financement ($US)</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807</w:t>
            </w:r>
            <w:r w:rsidR="009E134F">
              <w:rPr>
                <w:sz w:val="18"/>
                <w:lang w:val="en-CA"/>
              </w:rPr>
              <w:t> </w:t>
            </w:r>
            <w:r w:rsidRPr="001F1E0E">
              <w:rPr>
                <w:sz w:val="18"/>
                <w:lang w:val="en-CA"/>
              </w:rPr>
              <w:t>850</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1</w:t>
            </w:r>
            <w:r w:rsidR="009E134F">
              <w:rPr>
                <w:sz w:val="18"/>
                <w:lang w:val="en-CA"/>
              </w:rPr>
              <w:t> </w:t>
            </w:r>
            <w:r w:rsidRPr="001F1E0E">
              <w:rPr>
                <w:sz w:val="18"/>
                <w:lang w:val="en-CA"/>
              </w:rPr>
              <w:t>000</w:t>
            </w:r>
            <w:r w:rsidR="009E134F">
              <w:rPr>
                <w:sz w:val="18"/>
                <w:lang w:val="en-CA"/>
              </w:rPr>
              <w:t> </w:t>
            </w:r>
            <w:r w:rsidRPr="001F1E0E">
              <w:rPr>
                <w:sz w:val="18"/>
                <w:lang w:val="en-CA"/>
              </w:rPr>
              <w:t>450</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1</w:t>
            </w:r>
            <w:r w:rsidR="009E134F">
              <w:rPr>
                <w:sz w:val="18"/>
                <w:lang w:val="en-CA"/>
              </w:rPr>
              <w:t> </w:t>
            </w:r>
            <w:r w:rsidRPr="001F1E0E">
              <w:rPr>
                <w:sz w:val="18"/>
                <w:lang w:val="en-CA"/>
              </w:rPr>
              <w:t>016</w:t>
            </w:r>
            <w:r w:rsidR="009E134F">
              <w:rPr>
                <w:sz w:val="18"/>
                <w:lang w:val="en-CA"/>
              </w:rPr>
              <w:t> </w:t>
            </w:r>
            <w:r w:rsidRPr="001F1E0E">
              <w:rPr>
                <w:sz w:val="18"/>
                <w:lang w:val="en-CA"/>
              </w:rPr>
              <w:t>714</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2</w:t>
            </w:r>
            <w:r w:rsidR="009E134F">
              <w:rPr>
                <w:noProof/>
                <w:sz w:val="18"/>
                <w:lang w:val="en-CA"/>
              </w:rPr>
              <w:t> </w:t>
            </w:r>
            <w:r w:rsidRPr="001F1E0E">
              <w:rPr>
                <w:noProof/>
                <w:sz w:val="18"/>
                <w:lang w:val="en-CA"/>
              </w:rPr>
              <w:t>825</w:t>
            </w:r>
            <w:r w:rsidR="009E134F">
              <w:rPr>
                <w:noProof/>
                <w:sz w:val="18"/>
                <w:lang w:val="en-CA"/>
              </w:rPr>
              <w:t> </w:t>
            </w:r>
            <w:r w:rsidRPr="001F1E0E">
              <w:rPr>
                <w:noProof/>
                <w:sz w:val="18"/>
                <w:lang w:val="en-CA"/>
              </w:rPr>
              <w:t>014</w:t>
            </w:r>
            <w:r w:rsidRPr="001F1E0E">
              <w:rPr>
                <w:sz w:val="18"/>
                <w:lang w:val="en-CA"/>
              </w:rPr>
              <w:fldChar w:fldCharType="end"/>
            </w:r>
          </w:p>
        </w:tc>
      </w:tr>
      <w:tr w:rsidR="00FC7795" w:rsidRPr="001F1E0E" w:rsidTr="00584F96">
        <w:trPr>
          <w:trHeight w:val="240"/>
          <w:jc w:val="center"/>
        </w:trPr>
        <w:tc>
          <w:tcPr>
            <w:tcW w:w="1728" w:type="dxa"/>
            <w:vMerge w:val="restart"/>
            <w:shd w:val="clear" w:color="auto" w:fill="auto"/>
          </w:tcPr>
          <w:p w:rsidR="00FC7795" w:rsidRPr="00842FB3" w:rsidRDefault="00842FB3" w:rsidP="005B6FC5">
            <w:pPr>
              <w:spacing w:after="60"/>
              <w:jc w:val="center"/>
              <w:rPr>
                <w:sz w:val="18"/>
                <w:lang w:val="en-CA"/>
              </w:rPr>
            </w:pPr>
            <w:r w:rsidRPr="00842FB3">
              <w:rPr>
                <w:sz w:val="18"/>
                <w:lang w:val="fr-FR"/>
              </w:rPr>
              <w:t>PNUD</w:t>
            </w:r>
          </w:p>
        </w:tc>
        <w:tc>
          <w:tcPr>
            <w:tcW w:w="2430" w:type="dxa"/>
            <w:shd w:val="clear" w:color="auto" w:fill="auto"/>
          </w:tcPr>
          <w:p w:rsidR="00FC7795" w:rsidRPr="00C3019D" w:rsidRDefault="00842FB3" w:rsidP="005B6FC5">
            <w:pPr>
              <w:spacing w:after="60"/>
              <w:jc w:val="left"/>
              <w:rPr>
                <w:sz w:val="18"/>
                <w:lang w:val="fr-FR"/>
              </w:rPr>
            </w:pPr>
            <w:r w:rsidRPr="00842FB3">
              <w:rPr>
                <w:sz w:val="18"/>
                <w:lang w:val="fr-FR"/>
              </w:rPr>
              <w:t>Elimination des SAO (tonnes PAO)</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24</w:t>
            </w:r>
            <w:r w:rsidR="009E134F">
              <w:rPr>
                <w:sz w:val="18"/>
                <w:lang w:val="en-CA"/>
              </w:rPr>
              <w:t>,</w:t>
            </w:r>
            <w:r w:rsidRPr="001F1E0E">
              <w:rPr>
                <w:sz w:val="18"/>
                <w:lang w:val="en-CA"/>
              </w:rPr>
              <w:t>62</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10</w:t>
            </w:r>
            <w:r w:rsidR="009E134F">
              <w:rPr>
                <w:sz w:val="18"/>
                <w:lang w:val="en-CA"/>
              </w:rPr>
              <w:t>,</w:t>
            </w:r>
            <w:r w:rsidRPr="001F1E0E">
              <w:rPr>
                <w:sz w:val="18"/>
                <w:lang w:val="en-CA"/>
              </w:rPr>
              <w:t>96</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35</w:t>
            </w:r>
            <w:r w:rsidR="009E134F">
              <w:rPr>
                <w:noProof/>
                <w:sz w:val="18"/>
                <w:lang w:val="en-CA"/>
              </w:rPr>
              <w:t>,</w:t>
            </w:r>
            <w:r w:rsidRPr="001F1E0E">
              <w:rPr>
                <w:noProof/>
                <w:sz w:val="18"/>
                <w:lang w:val="en-CA"/>
              </w:rPr>
              <w:t>58</w:t>
            </w:r>
            <w:r w:rsidRPr="001F1E0E">
              <w:rPr>
                <w:sz w:val="18"/>
                <w:lang w:val="en-CA"/>
              </w:rPr>
              <w:fldChar w:fldCharType="end"/>
            </w:r>
          </w:p>
        </w:tc>
      </w:tr>
      <w:tr w:rsidR="00FC7795" w:rsidRPr="001F1E0E" w:rsidTr="00584F96">
        <w:trPr>
          <w:trHeight w:val="240"/>
          <w:jc w:val="center"/>
        </w:trPr>
        <w:tc>
          <w:tcPr>
            <w:tcW w:w="1728" w:type="dxa"/>
            <w:vMerge/>
            <w:shd w:val="clear" w:color="auto" w:fill="auto"/>
          </w:tcPr>
          <w:p w:rsidR="00FC7795" w:rsidRPr="001F1E0E" w:rsidRDefault="00FC7795" w:rsidP="00C964D6">
            <w:pPr>
              <w:spacing w:after="60"/>
              <w:jc w:val="center"/>
              <w:rPr>
                <w:sz w:val="18"/>
                <w:lang w:val="en-CA"/>
              </w:rPr>
            </w:pPr>
          </w:p>
        </w:tc>
        <w:tc>
          <w:tcPr>
            <w:tcW w:w="2430" w:type="dxa"/>
            <w:shd w:val="clear" w:color="auto" w:fill="auto"/>
          </w:tcPr>
          <w:p w:rsidR="00FC7795" w:rsidRPr="00842FB3" w:rsidRDefault="00842FB3" w:rsidP="005B6FC5">
            <w:pPr>
              <w:spacing w:after="60"/>
              <w:jc w:val="left"/>
              <w:rPr>
                <w:sz w:val="18"/>
                <w:lang w:val="en-CA"/>
              </w:rPr>
            </w:pPr>
            <w:r w:rsidRPr="00842FB3">
              <w:rPr>
                <w:sz w:val="18"/>
                <w:lang w:val="fr-FR"/>
              </w:rPr>
              <w:t>Financement ($US)</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1</w:t>
            </w:r>
            <w:r w:rsidR="009E134F">
              <w:rPr>
                <w:sz w:val="18"/>
                <w:lang w:val="en-CA"/>
              </w:rPr>
              <w:t> </w:t>
            </w:r>
            <w:r w:rsidRPr="001F1E0E">
              <w:rPr>
                <w:sz w:val="18"/>
                <w:lang w:val="en-CA"/>
              </w:rPr>
              <w:t>965</w:t>
            </w:r>
            <w:r w:rsidR="009E134F">
              <w:rPr>
                <w:sz w:val="18"/>
                <w:lang w:val="en-CA"/>
              </w:rPr>
              <w:t> </w:t>
            </w:r>
            <w:r w:rsidRPr="001F1E0E">
              <w:rPr>
                <w:sz w:val="18"/>
                <w:lang w:val="en-CA"/>
              </w:rPr>
              <w:t>323</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873</w:t>
            </w:r>
            <w:r w:rsidR="009E134F">
              <w:rPr>
                <w:sz w:val="18"/>
                <w:lang w:val="en-CA"/>
              </w:rPr>
              <w:t> </w:t>
            </w:r>
            <w:r w:rsidRPr="001F1E0E">
              <w:rPr>
                <w:sz w:val="18"/>
                <w:lang w:val="en-CA"/>
              </w:rPr>
              <w:t>783</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2</w:t>
            </w:r>
            <w:r w:rsidR="009E134F">
              <w:rPr>
                <w:noProof/>
                <w:sz w:val="18"/>
                <w:lang w:val="en-CA"/>
              </w:rPr>
              <w:t> </w:t>
            </w:r>
            <w:r w:rsidRPr="001F1E0E">
              <w:rPr>
                <w:noProof/>
                <w:sz w:val="18"/>
                <w:lang w:val="en-CA"/>
              </w:rPr>
              <w:t>839</w:t>
            </w:r>
            <w:r w:rsidR="009E134F">
              <w:rPr>
                <w:noProof/>
                <w:sz w:val="18"/>
                <w:lang w:val="en-CA"/>
              </w:rPr>
              <w:t> </w:t>
            </w:r>
            <w:r w:rsidRPr="001F1E0E">
              <w:rPr>
                <w:noProof/>
                <w:sz w:val="18"/>
                <w:lang w:val="en-CA"/>
              </w:rPr>
              <w:t>106</w:t>
            </w:r>
            <w:r w:rsidRPr="001F1E0E">
              <w:rPr>
                <w:sz w:val="18"/>
                <w:lang w:val="en-CA"/>
              </w:rPr>
              <w:fldChar w:fldCharType="end"/>
            </w:r>
          </w:p>
        </w:tc>
      </w:tr>
      <w:tr w:rsidR="00FC7795" w:rsidRPr="001F1E0E" w:rsidTr="00584F96">
        <w:trPr>
          <w:trHeight w:val="240"/>
          <w:jc w:val="center"/>
        </w:trPr>
        <w:tc>
          <w:tcPr>
            <w:tcW w:w="1728" w:type="dxa"/>
            <w:vMerge w:val="restart"/>
            <w:shd w:val="clear" w:color="auto" w:fill="auto"/>
          </w:tcPr>
          <w:p w:rsidR="00FC7795" w:rsidRPr="00842FB3" w:rsidRDefault="00842FB3" w:rsidP="005B6FC5">
            <w:pPr>
              <w:spacing w:after="60"/>
              <w:jc w:val="center"/>
              <w:rPr>
                <w:sz w:val="18"/>
                <w:lang w:val="en-CA"/>
              </w:rPr>
            </w:pPr>
            <w:r w:rsidRPr="00842FB3">
              <w:rPr>
                <w:sz w:val="18"/>
                <w:lang w:val="fr-FR"/>
              </w:rPr>
              <w:t>PNUE</w:t>
            </w:r>
          </w:p>
        </w:tc>
        <w:tc>
          <w:tcPr>
            <w:tcW w:w="2430" w:type="dxa"/>
            <w:shd w:val="clear" w:color="auto" w:fill="auto"/>
          </w:tcPr>
          <w:p w:rsidR="00FC7795" w:rsidRPr="00C3019D" w:rsidRDefault="00842FB3" w:rsidP="005B6FC5">
            <w:pPr>
              <w:spacing w:after="60"/>
              <w:jc w:val="left"/>
              <w:rPr>
                <w:sz w:val="18"/>
                <w:lang w:val="fr-FR"/>
              </w:rPr>
            </w:pPr>
            <w:r w:rsidRPr="00842FB3">
              <w:rPr>
                <w:sz w:val="18"/>
                <w:lang w:val="fr-FR"/>
              </w:rPr>
              <w:t>Elimination des SAO (tonnes PAO)</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3</w:t>
            </w:r>
            <w:r w:rsidR="009E134F">
              <w:rPr>
                <w:sz w:val="18"/>
                <w:lang w:val="en-CA"/>
              </w:rPr>
              <w:t>,</w:t>
            </w:r>
            <w:r w:rsidRPr="001F1E0E">
              <w:rPr>
                <w:sz w:val="18"/>
                <w:lang w:val="en-CA"/>
              </w:rPr>
              <w:t>75</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3</w:t>
            </w:r>
            <w:r w:rsidR="009E134F">
              <w:rPr>
                <w:sz w:val="18"/>
                <w:lang w:val="en-CA"/>
              </w:rPr>
              <w:t>,</w:t>
            </w:r>
            <w:r w:rsidRPr="001F1E0E">
              <w:rPr>
                <w:sz w:val="18"/>
                <w:lang w:val="en-CA"/>
              </w:rPr>
              <w:t>49</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3</w:t>
            </w:r>
            <w:r w:rsidR="009E134F">
              <w:rPr>
                <w:sz w:val="18"/>
                <w:lang w:val="en-CA"/>
              </w:rPr>
              <w:t>,</w:t>
            </w:r>
            <w:r w:rsidRPr="001F1E0E">
              <w:rPr>
                <w:sz w:val="18"/>
                <w:lang w:val="en-CA"/>
              </w:rPr>
              <w:t>83</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11</w:t>
            </w:r>
            <w:r w:rsidR="009E134F">
              <w:rPr>
                <w:noProof/>
                <w:sz w:val="18"/>
                <w:lang w:val="en-CA"/>
              </w:rPr>
              <w:t>,</w:t>
            </w:r>
            <w:r w:rsidRPr="001F1E0E">
              <w:rPr>
                <w:noProof/>
                <w:sz w:val="18"/>
                <w:lang w:val="en-CA"/>
              </w:rPr>
              <w:t>07</w:t>
            </w:r>
            <w:r w:rsidRPr="001F1E0E">
              <w:rPr>
                <w:sz w:val="18"/>
                <w:lang w:val="en-CA"/>
              </w:rPr>
              <w:fldChar w:fldCharType="end"/>
            </w:r>
          </w:p>
        </w:tc>
      </w:tr>
      <w:tr w:rsidR="00FC7795" w:rsidRPr="001F1E0E" w:rsidTr="00584F96">
        <w:trPr>
          <w:trHeight w:val="240"/>
          <w:jc w:val="center"/>
        </w:trPr>
        <w:tc>
          <w:tcPr>
            <w:tcW w:w="1728" w:type="dxa"/>
            <w:vMerge/>
            <w:shd w:val="clear" w:color="auto" w:fill="auto"/>
          </w:tcPr>
          <w:p w:rsidR="00FC7795" w:rsidRPr="001F1E0E" w:rsidRDefault="00FC7795" w:rsidP="00C964D6">
            <w:pPr>
              <w:spacing w:after="60"/>
              <w:jc w:val="center"/>
              <w:rPr>
                <w:sz w:val="18"/>
                <w:lang w:val="en-CA"/>
              </w:rPr>
            </w:pPr>
          </w:p>
        </w:tc>
        <w:tc>
          <w:tcPr>
            <w:tcW w:w="2430" w:type="dxa"/>
            <w:shd w:val="clear" w:color="auto" w:fill="auto"/>
          </w:tcPr>
          <w:p w:rsidR="00FC7795" w:rsidRPr="00842FB3" w:rsidRDefault="00842FB3" w:rsidP="005B6FC5">
            <w:pPr>
              <w:spacing w:after="60"/>
              <w:jc w:val="left"/>
              <w:rPr>
                <w:sz w:val="18"/>
                <w:lang w:val="en-CA"/>
              </w:rPr>
            </w:pPr>
            <w:r w:rsidRPr="00842FB3">
              <w:rPr>
                <w:sz w:val="18"/>
                <w:lang w:val="fr-FR"/>
              </w:rPr>
              <w:t>Financement ($US)</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312</w:t>
            </w:r>
            <w:r w:rsidR="009E134F">
              <w:rPr>
                <w:sz w:val="18"/>
                <w:lang w:val="en-CA"/>
              </w:rPr>
              <w:t> </w:t>
            </w:r>
            <w:r w:rsidRPr="001F1E0E">
              <w:rPr>
                <w:sz w:val="18"/>
                <w:lang w:val="en-CA"/>
              </w:rPr>
              <w:t>894</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291</w:t>
            </w:r>
            <w:r w:rsidR="009E134F">
              <w:rPr>
                <w:sz w:val="18"/>
                <w:lang w:val="en-CA"/>
              </w:rPr>
              <w:t> </w:t>
            </w:r>
            <w:r w:rsidRPr="001F1E0E">
              <w:rPr>
                <w:sz w:val="18"/>
                <w:lang w:val="en-CA"/>
              </w:rPr>
              <w:t>064</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319</w:t>
            </w:r>
            <w:r w:rsidR="009E134F">
              <w:rPr>
                <w:sz w:val="18"/>
                <w:lang w:val="en-CA"/>
              </w:rPr>
              <w:t> </w:t>
            </w:r>
            <w:r w:rsidRPr="001F1E0E">
              <w:rPr>
                <w:sz w:val="18"/>
                <w:lang w:val="en-CA"/>
              </w:rPr>
              <w:t>611</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923</w:t>
            </w:r>
            <w:r w:rsidR="009E134F">
              <w:rPr>
                <w:noProof/>
                <w:sz w:val="18"/>
                <w:lang w:val="en-CA"/>
              </w:rPr>
              <w:t> </w:t>
            </w:r>
            <w:r w:rsidRPr="001F1E0E">
              <w:rPr>
                <w:noProof/>
                <w:sz w:val="18"/>
                <w:lang w:val="en-CA"/>
              </w:rPr>
              <w:t>569</w:t>
            </w:r>
            <w:r w:rsidRPr="001F1E0E">
              <w:rPr>
                <w:sz w:val="18"/>
                <w:lang w:val="en-CA"/>
              </w:rPr>
              <w:fldChar w:fldCharType="end"/>
            </w:r>
          </w:p>
        </w:tc>
      </w:tr>
      <w:tr w:rsidR="00FC7795" w:rsidRPr="001F1E0E" w:rsidTr="00584F96">
        <w:trPr>
          <w:trHeight w:val="240"/>
          <w:jc w:val="center"/>
        </w:trPr>
        <w:tc>
          <w:tcPr>
            <w:tcW w:w="1728" w:type="dxa"/>
            <w:vMerge w:val="restart"/>
            <w:shd w:val="clear" w:color="auto" w:fill="auto"/>
          </w:tcPr>
          <w:p w:rsidR="00FC7795" w:rsidRPr="00842FB3" w:rsidRDefault="00842FB3" w:rsidP="005B6FC5">
            <w:pPr>
              <w:spacing w:after="60"/>
              <w:jc w:val="center"/>
              <w:rPr>
                <w:sz w:val="18"/>
                <w:lang w:val="en-CA"/>
              </w:rPr>
            </w:pPr>
            <w:r w:rsidRPr="00842FB3">
              <w:rPr>
                <w:sz w:val="18"/>
                <w:lang w:val="fr-FR"/>
              </w:rPr>
              <w:t>Allemagne</w:t>
            </w:r>
          </w:p>
        </w:tc>
        <w:tc>
          <w:tcPr>
            <w:tcW w:w="2430" w:type="dxa"/>
            <w:shd w:val="clear" w:color="auto" w:fill="auto"/>
          </w:tcPr>
          <w:p w:rsidR="00FC7795" w:rsidRPr="00C3019D" w:rsidRDefault="00842FB3" w:rsidP="005B6FC5">
            <w:pPr>
              <w:spacing w:after="60"/>
              <w:jc w:val="left"/>
              <w:rPr>
                <w:sz w:val="18"/>
                <w:lang w:val="fr-FR"/>
              </w:rPr>
            </w:pPr>
            <w:r w:rsidRPr="00842FB3">
              <w:rPr>
                <w:sz w:val="18"/>
                <w:lang w:val="fr-FR"/>
              </w:rPr>
              <w:t>Elimination des SAO (tonnes PAO)</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2</w:t>
            </w:r>
            <w:r w:rsidR="009E134F">
              <w:rPr>
                <w:sz w:val="18"/>
                <w:lang w:val="en-CA"/>
              </w:rPr>
              <w:t>,</w:t>
            </w:r>
            <w:r w:rsidRPr="001F1E0E">
              <w:rPr>
                <w:sz w:val="18"/>
                <w:lang w:val="en-CA"/>
              </w:rPr>
              <w:t>78</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2</w:t>
            </w:r>
            <w:r w:rsidR="009E134F">
              <w:rPr>
                <w:noProof/>
                <w:sz w:val="18"/>
                <w:lang w:val="en-CA"/>
              </w:rPr>
              <w:t>,</w:t>
            </w:r>
            <w:r w:rsidRPr="001F1E0E">
              <w:rPr>
                <w:noProof/>
                <w:sz w:val="18"/>
                <w:lang w:val="en-CA"/>
              </w:rPr>
              <w:t>78</w:t>
            </w:r>
            <w:r w:rsidRPr="001F1E0E">
              <w:rPr>
                <w:sz w:val="18"/>
                <w:lang w:val="en-CA"/>
              </w:rPr>
              <w:fldChar w:fldCharType="end"/>
            </w:r>
          </w:p>
        </w:tc>
      </w:tr>
      <w:tr w:rsidR="00FC7795" w:rsidRPr="001F1E0E" w:rsidTr="00584F96">
        <w:trPr>
          <w:trHeight w:val="240"/>
          <w:jc w:val="center"/>
        </w:trPr>
        <w:tc>
          <w:tcPr>
            <w:tcW w:w="1728" w:type="dxa"/>
            <w:vMerge/>
            <w:shd w:val="clear" w:color="auto" w:fill="auto"/>
          </w:tcPr>
          <w:p w:rsidR="00FC7795" w:rsidRPr="001F1E0E" w:rsidRDefault="00FC7795" w:rsidP="00C964D6">
            <w:pPr>
              <w:spacing w:after="60"/>
              <w:jc w:val="center"/>
              <w:rPr>
                <w:sz w:val="18"/>
                <w:lang w:val="en-CA"/>
              </w:rPr>
            </w:pPr>
          </w:p>
        </w:tc>
        <w:tc>
          <w:tcPr>
            <w:tcW w:w="2430" w:type="dxa"/>
            <w:shd w:val="clear" w:color="auto" w:fill="auto"/>
          </w:tcPr>
          <w:p w:rsidR="00FC7795" w:rsidRPr="00842FB3" w:rsidRDefault="00842FB3" w:rsidP="005B6FC5">
            <w:pPr>
              <w:spacing w:after="60"/>
              <w:jc w:val="left"/>
              <w:rPr>
                <w:sz w:val="18"/>
                <w:lang w:val="en-CA"/>
              </w:rPr>
            </w:pPr>
            <w:r w:rsidRPr="00842FB3">
              <w:rPr>
                <w:sz w:val="18"/>
                <w:lang w:val="fr-FR"/>
              </w:rPr>
              <w:t>Financement ($US)</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234</w:t>
            </w:r>
            <w:r w:rsidR="009E134F">
              <w:rPr>
                <w:sz w:val="18"/>
                <w:lang w:val="en-CA"/>
              </w:rPr>
              <w:t> </w:t>
            </w:r>
            <w:r w:rsidRPr="001F1E0E">
              <w:rPr>
                <w:sz w:val="18"/>
                <w:lang w:val="en-CA"/>
              </w:rPr>
              <w:t>249</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5" w:type="dxa"/>
            <w:shd w:val="clear" w:color="auto" w:fill="auto"/>
          </w:tcPr>
          <w:p w:rsidR="00FC7795" w:rsidRPr="001F1E0E" w:rsidRDefault="00FC7795" w:rsidP="00C964D6">
            <w:pPr>
              <w:spacing w:after="60"/>
              <w:jc w:val="right"/>
              <w:rPr>
                <w:sz w:val="18"/>
                <w:lang w:val="en-CA"/>
              </w:rPr>
            </w:pPr>
            <w:r w:rsidRPr="001F1E0E">
              <w:rPr>
                <w:sz w:val="18"/>
                <w:lang w:val="en-CA"/>
              </w:rPr>
              <w:t>0</w:t>
            </w:r>
          </w:p>
        </w:tc>
        <w:tc>
          <w:tcPr>
            <w:tcW w:w="1166" w:type="dxa"/>
            <w:shd w:val="clear" w:color="auto" w:fill="auto"/>
          </w:tcPr>
          <w:p w:rsidR="00FC7795" w:rsidRPr="001F1E0E" w:rsidRDefault="00E22A4C" w:rsidP="00C964D6">
            <w:pPr>
              <w:spacing w:after="60"/>
              <w:jc w:val="right"/>
              <w:rPr>
                <w:sz w:val="18"/>
                <w:lang w:val="en-CA"/>
              </w:rPr>
            </w:pPr>
            <w:r w:rsidRPr="001F1E0E">
              <w:rPr>
                <w:sz w:val="18"/>
                <w:lang w:val="en-CA"/>
              </w:rPr>
              <w:fldChar w:fldCharType="begin"/>
            </w:r>
            <w:r w:rsidRPr="001F1E0E">
              <w:rPr>
                <w:sz w:val="18"/>
                <w:lang w:val="en-CA"/>
              </w:rPr>
              <w:instrText xml:space="preserve"> =SUM(left) </w:instrText>
            </w:r>
            <w:r w:rsidRPr="001F1E0E">
              <w:rPr>
                <w:sz w:val="18"/>
                <w:lang w:val="en-CA"/>
              </w:rPr>
              <w:fldChar w:fldCharType="separate"/>
            </w:r>
            <w:r w:rsidRPr="001F1E0E">
              <w:rPr>
                <w:noProof/>
                <w:sz w:val="18"/>
                <w:lang w:val="en-CA"/>
              </w:rPr>
              <w:t>234</w:t>
            </w:r>
            <w:r w:rsidR="009E134F">
              <w:rPr>
                <w:noProof/>
                <w:sz w:val="18"/>
                <w:lang w:val="en-CA"/>
              </w:rPr>
              <w:t> </w:t>
            </w:r>
            <w:r w:rsidRPr="001F1E0E">
              <w:rPr>
                <w:noProof/>
                <w:sz w:val="18"/>
                <w:lang w:val="en-CA"/>
              </w:rPr>
              <w:t>249</w:t>
            </w:r>
            <w:r w:rsidRPr="001F1E0E">
              <w:rPr>
                <w:sz w:val="18"/>
                <w:lang w:val="en-CA"/>
              </w:rPr>
              <w:fldChar w:fldCharType="end"/>
            </w:r>
          </w:p>
        </w:tc>
      </w:tr>
    </w:tbl>
    <w:p w:rsidR="007802D7" w:rsidRPr="001F1E0E" w:rsidRDefault="007802D7" w:rsidP="007802D7">
      <w:pPr>
        <w:spacing w:after="60"/>
        <w:jc w:val="center"/>
        <w:rPr>
          <w:lang w:val="en-CA"/>
        </w:rPr>
      </w:pPr>
    </w:p>
    <w:p w:rsidR="007802D7" w:rsidRPr="001F1E0E" w:rsidRDefault="007802D7" w:rsidP="007802D7">
      <w:pPr>
        <w:jc w:val="left"/>
        <w:rPr>
          <w:lang w:val="en-CA"/>
        </w:rPr>
      </w:pPr>
      <w:r w:rsidRPr="001F1E0E">
        <w:rPr>
          <w:lang w:val="en-CA"/>
        </w:rPr>
        <w:br w:type="page"/>
      </w:r>
    </w:p>
    <w:p w:rsidR="007802D7" w:rsidRPr="001F1E0E" w:rsidRDefault="007802D7" w:rsidP="007802D7">
      <w:pPr>
        <w:spacing w:after="60"/>
        <w:rPr>
          <w:lang w:val="en-CA"/>
        </w:rPr>
      </w:pPr>
    </w:p>
    <w:p w:rsidR="00C247DB" w:rsidRDefault="00C247DB" w:rsidP="007802D7">
      <w:pPr>
        <w:spacing w:after="60"/>
        <w:rPr>
          <w:lang w:val="en-CA"/>
        </w:rPr>
      </w:pPr>
    </w:p>
    <w:p w:rsidR="00DD3C6A" w:rsidRPr="001F1E0E" w:rsidRDefault="00DD3C6A" w:rsidP="007802D7">
      <w:pPr>
        <w:spacing w:after="60"/>
        <w:rPr>
          <w:lang w:val="en-CA"/>
        </w:rPr>
      </w:pPr>
    </w:p>
    <w:tbl>
      <w:tblPr>
        <w:tblStyle w:val="TableGrid"/>
        <w:tblW w:w="1127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46"/>
        <w:gridCol w:w="1006"/>
        <w:gridCol w:w="781"/>
        <w:gridCol w:w="936"/>
        <w:gridCol w:w="760"/>
        <w:gridCol w:w="936"/>
        <w:gridCol w:w="760"/>
        <w:gridCol w:w="810"/>
        <w:gridCol w:w="760"/>
        <w:gridCol w:w="810"/>
        <w:gridCol w:w="760"/>
        <w:gridCol w:w="859"/>
        <w:gridCol w:w="948"/>
      </w:tblGrid>
      <w:tr w:rsidR="00842FB3" w:rsidRPr="001F1E0E" w:rsidTr="00FA28F7">
        <w:trPr>
          <w:jc w:val="center"/>
        </w:trPr>
        <w:tc>
          <w:tcPr>
            <w:tcW w:w="2580" w:type="dxa"/>
            <w:gridSpan w:val="3"/>
            <w:shd w:val="clear" w:color="auto" w:fill="auto"/>
          </w:tcPr>
          <w:p w:rsidR="007802D7" w:rsidRPr="00842FB3" w:rsidRDefault="00842FB3" w:rsidP="005B6FC5">
            <w:pPr>
              <w:spacing w:after="60"/>
              <w:jc w:val="left"/>
              <w:rPr>
                <w:b/>
                <w:sz w:val="18"/>
                <w:szCs w:val="18"/>
                <w:lang w:val="en-CA"/>
              </w:rPr>
            </w:pPr>
            <w:r w:rsidRPr="00842FB3">
              <w:rPr>
                <w:b/>
                <w:sz w:val="18"/>
                <w:szCs w:val="18"/>
                <w:lang w:val="fr-FR"/>
              </w:rPr>
              <w:t>(VI) DONNÉES DU PROJET</w:t>
            </w:r>
          </w:p>
        </w:tc>
        <w:tc>
          <w:tcPr>
            <w:tcW w:w="936"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2017</w:t>
            </w:r>
          </w:p>
        </w:tc>
        <w:tc>
          <w:tcPr>
            <w:tcW w:w="821"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2018</w:t>
            </w:r>
          </w:p>
        </w:tc>
        <w:tc>
          <w:tcPr>
            <w:tcW w:w="936"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2019</w:t>
            </w:r>
          </w:p>
        </w:tc>
        <w:tc>
          <w:tcPr>
            <w:tcW w:w="821"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2020</w:t>
            </w:r>
          </w:p>
        </w:tc>
        <w:tc>
          <w:tcPr>
            <w:tcW w:w="821"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2021</w:t>
            </w:r>
          </w:p>
        </w:tc>
        <w:tc>
          <w:tcPr>
            <w:tcW w:w="821" w:type="dxa"/>
            <w:shd w:val="clear" w:color="auto" w:fill="auto"/>
          </w:tcPr>
          <w:p w:rsidR="007802D7" w:rsidRPr="001F1E0E" w:rsidRDefault="007802D7" w:rsidP="00C964D6">
            <w:pPr>
              <w:spacing w:after="60"/>
              <w:jc w:val="center"/>
              <w:rPr>
                <w:b/>
                <w:sz w:val="18"/>
                <w:szCs w:val="18"/>
                <w:lang w:val="en-CA"/>
              </w:rPr>
            </w:pPr>
            <w:r w:rsidRPr="001F1E0E">
              <w:rPr>
                <w:b/>
                <w:sz w:val="18"/>
                <w:szCs w:val="18"/>
                <w:lang w:val="en-CA"/>
              </w:rPr>
              <w:t>2022</w:t>
            </w:r>
          </w:p>
        </w:tc>
        <w:tc>
          <w:tcPr>
            <w:tcW w:w="821" w:type="dxa"/>
          </w:tcPr>
          <w:p w:rsidR="007802D7" w:rsidRPr="001F1E0E" w:rsidRDefault="007802D7" w:rsidP="00C964D6">
            <w:pPr>
              <w:spacing w:after="60"/>
              <w:jc w:val="center"/>
              <w:rPr>
                <w:b/>
                <w:sz w:val="18"/>
                <w:szCs w:val="18"/>
                <w:lang w:val="en-CA"/>
              </w:rPr>
            </w:pPr>
            <w:r w:rsidRPr="001F1E0E">
              <w:rPr>
                <w:b/>
                <w:sz w:val="18"/>
                <w:szCs w:val="18"/>
                <w:lang w:val="en-CA"/>
              </w:rPr>
              <w:t>2023</w:t>
            </w:r>
          </w:p>
        </w:tc>
        <w:tc>
          <w:tcPr>
            <w:tcW w:w="821" w:type="dxa"/>
          </w:tcPr>
          <w:p w:rsidR="007802D7" w:rsidRPr="001F1E0E" w:rsidRDefault="007802D7" w:rsidP="00C964D6">
            <w:pPr>
              <w:spacing w:after="60"/>
              <w:jc w:val="center"/>
              <w:rPr>
                <w:b/>
                <w:sz w:val="18"/>
                <w:szCs w:val="18"/>
                <w:lang w:val="en-CA"/>
              </w:rPr>
            </w:pPr>
            <w:r w:rsidRPr="001F1E0E">
              <w:rPr>
                <w:b/>
                <w:sz w:val="18"/>
                <w:szCs w:val="18"/>
                <w:lang w:val="en-CA"/>
              </w:rPr>
              <w:t>2024</w:t>
            </w:r>
          </w:p>
        </w:tc>
        <w:tc>
          <w:tcPr>
            <w:tcW w:w="931" w:type="dxa"/>
          </w:tcPr>
          <w:p w:rsidR="007802D7" w:rsidRPr="001F1E0E" w:rsidRDefault="007802D7" w:rsidP="00C964D6">
            <w:pPr>
              <w:spacing w:after="60"/>
              <w:jc w:val="center"/>
              <w:rPr>
                <w:b/>
                <w:sz w:val="18"/>
                <w:szCs w:val="18"/>
                <w:lang w:val="en-CA"/>
              </w:rPr>
            </w:pPr>
            <w:r w:rsidRPr="001F1E0E">
              <w:rPr>
                <w:b/>
                <w:sz w:val="18"/>
                <w:szCs w:val="18"/>
                <w:lang w:val="en-CA"/>
              </w:rPr>
              <w:t>2025</w:t>
            </w:r>
          </w:p>
        </w:tc>
        <w:tc>
          <w:tcPr>
            <w:tcW w:w="963" w:type="dxa"/>
            <w:shd w:val="clear" w:color="auto" w:fill="auto"/>
          </w:tcPr>
          <w:p w:rsidR="007802D7" w:rsidRPr="00842FB3" w:rsidRDefault="00842FB3" w:rsidP="005B6FC5">
            <w:pPr>
              <w:spacing w:after="60"/>
              <w:jc w:val="center"/>
              <w:rPr>
                <w:b/>
                <w:sz w:val="18"/>
                <w:szCs w:val="18"/>
                <w:lang w:val="en-CA"/>
              </w:rPr>
            </w:pPr>
            <w:r w:rsidRPr="00842FB3">
              <w:rPr>
                <w:b/>
                <w:sz w:val="18"/>
                <w:szCs w:val="18"/>
                <w:lang w:val="fr-FR"/>
              </w:rPr>
              <w:t>Total</w:t>
            </w:r>
          </w:p>
        </w:tc>
      </w:tr>
      <w:tr w:rsidR="00842FB3" w:rsidRPr="001F1E0E" w:rsidTr="00FA28F7">
        <w:trPr>
          <w:trHeight w:val="359"/>
          <w:jc w:val="center"/>
        </w:trPr>
        <w:tc>
          <w:tcPr>
            <w:tcW w:w="2580" w:type="dxa"/>
            <w:gridSpan w:val="3"/>
            <w:shd w:val="clear" w:color="auto" w:fill="auto"/>
          </w:tcPr>
          <w:p w:rsidR="00FA28F7" w:rsidRPr="00C3019D" w:rsidRDefault="00842FB3" w:rsidP="005B6FC5">
            <w:pPr>
              <w:spacing w:after="60"/>
              <w:jc w:val="left"/>
              <w:rPr>
                <w:sz w:val="18"/>
                <w:szCs w:val="18"/>
                <w:lang w:val="fr-FR"/>
              </w:rPr>
            </w:pPr>
            <w:r w:rsidRPr="00842FB3">
              <w:rPr>
                <w:sz w:val="18"/>
                <w:szCs w:val="18"/>
                <w:lang w:val="fr-FR"/>
              </w:rPr>
              <w:t>Limites de consommation du Protocole de Montréal</w:t>
            </w:r>
          </w:p>
        </w:tc>
        <w:tc>
          <w:tcPr>
            <w:tcW w:w="936" w:type="dxa"/>
            <w:shd w:val="clear" w:color="auto" w:fill="auto"/>
          </w:tcPr>
          <w:p w:rsidR="00FA28F7" w:rsidRPr="001F1E0E" w:rsidRDefault="00FA28F7" w:rsidP="00FA28F7">
            <w:pPr>
              <w:jc w:val="right"/>
              <w:rPr>
                <w:sz w:val="18"/>
                <w:szCs w:val="18"/>
                <w:lang w:val="en-CA"/>
              </w:rPr>
            </w:pPr>
            <w:r w:rsidRPr="001F1E0E">
              <w:rPr>
                <w:sz w:val="18"/>
                <w:szCs w:val="18"/>
                <w:lang w:val="en-CA"/>
              </w:rPr>
              <w:t>347</w:t>
            </w:r>
            <w:r w:rsidR="009E134F">
              <w:rPr>
                <w:sz w:val="18"/>
                <w:szCs w:val="18"/>
                <w:lang w:val="en-CA"/>
              </w:rPr>
              <w:t>,</w:t>
            </w:r>
            <w:r w:rsidRPr="001F1E0E">
              <w:rPr>
                <w:sz w:val="18"/>
                <w:szCs w:val="18"/>
                <w:lang w:val="en-CA"/>
              </w:rPr>
              <w:t>64</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347</w:t>
            </w:r>
            <w:r w:rsidR="009E134F">
              <w:rPr>
                <w:sz w:val="18"/>
                <w:szCs w:val="18"/>
                <w:lang w:val="en-CA"/>
              </w:rPr>
              <w:t>,</w:t>
            </w:r>
            <w:r w:rsidRPr="001F1E0E">
              <w:rPr>
                <w:sz w:val="18"/>
                <w:szCs w:val="18"/>
                <w:lang w:val="en-CA"/>
              </w:rPr>
              <w:t>64</w:t>
            </w:r>
          </w:p>
        </w:tc>
        <w:tc>
          <w:tcPr>
            <w:tcW w:w="936" w:type="dxa"/>
            <w:shd w:val="clear" w:color="auto" w:fill="auto"/>
          </w:tcPr>
          <w:p w:rsidR="00FA28F7" w:rsidRPr="001F1E0E" w:rsidRDefault="00FA28F7" w:rsidP="00FA28F7">
            <w:pPr>
              <w:jc w:val="right"/>
              <w:rPr>
                <w:sz w:val="18"/>
                <w:szCs w:val="18"/>
                <w:lang w:val="en-CA"/>
              </w:rPr>
            </w:pPr>
            <w:r w:rsidRPr="001F1E0E">
              <w:rPr>
                <w:sz w:val="18"/>
                <w:szCs w:val="18"/>
                <w:lang w:val="en-CA"/>
              </w:rPr>
              <w:t>347</w:t>
            </w:r>
            <w:r w:rsidR="009E134F">
              <w:rPr>
                <w:sz w:val="18"/>
                <w:szCs w:val="18"/>
                <w:lang w:val="en-CA"/>
              </w:rPr>
              <w:t>,</w:t>
            </w:r>
            <w:r w:rsidRPr="001F1E0E">
              <w:rPr>
                <w:sz w:val="18"/>
                <w:szCs w:val="18"/>
                <w:lang w:val="en-CA"/>
              </w:rPr>
              <w:t>64</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931" w:type="dxa"/>
          </w:tcPr>
          <w:p w:rsidR="00FA28F7" w:rsidRPr="001F1E0E" w:rsidRDefault="00FA28F7" w:rsidP="00FA28F7">
            <w:pPr>
              <w:jc w:val="right"/>
              <w:rPr>
                <w:sz w:val="18"/>
                <w:szCs w:val="18"/>
                <w:lang w:val="en-CA"/>
              </w:rPr>
            </w:pPr>
            <w:r w:rsidRPr="001F1E0E">
              <w:rPr>
                <w:sz w:val="18"/>
                <w:szCs w:val="18"/>
                <w:lang w:val="en-CA"/>
              </w:rPr>
              <w:t>125</w:t>
            </w:r>
            <w:r w:rsidR="009E134F">
              <w:rPr>
                <w:sz w:val="18"/>
                <w:szCs w:val="18"/>
                <w:lang w:val="en-CA"/>
              </w:rPr>
              <w:t>,</w:t>
            </w:r>
            <w:r w:rsidRPr="001F1E0E">
              <w:rPr>
                <w:sz w:val="18"/>
                <w:szCs w:val="18"/>
                <w:lang w:val="en-CA"/>
              </w:rPr>
              <w:t>54</w:t>
            </w:r>
          </w:p>
        </w:tc>
        <w:tc>
          <w:tcPr>
            <w:tcW w:w="963" w:type="dxa"/>
            <w:shd w:val="clear" w:color="auto" w:fill="auto"/>
          </w:tcPr>
          <w:p w:rsidR="00FA28F7" w:rsidRPr="00842FB3" w:rsidRDefault="00842FB3" w:rsidP="009E134F">
            <w:pPr>
              <w:jc w:val="right"/>
              <w:rPr>
                <w:color w:val="000000"/>
                <w:sz w:val="18"/>
                <w:szCs w:val="18"/>
                <w:lang w:val="en-CA"/>
              </w:rPr>
            </w:pPr>
            <w:r w:rsidRPr="00842FB3">
              <w:rPr>
                <w:color w:val="000000"/>
                <w:sz w:val="18"/>
                <w:szCs w:val="18"/>
                <w:lang w:val="fr-FR"/>
              </w:rPr>
              <w:t>s</w:t>
            </w:r>
            <w:r w:rsidR="009E134F">
              <w:rPr>
                <w:color w:val="000000"/>
                <w:sz w:val="18"/>
                <w:szCs w:val="18"/>
                <w:lang w:val="fr-FR"/>
              </w:rPr>
              <w:t>.</w:t>
            </w:r>
            <w:r w:rsidRPr="00842FB3">
              <w:rPr>
                <w:color w:val="000000"/>
                <w:sz w:val="18"/>
                <w:szCs w:val="18"/>
                <w:lang w:val="fr-FR"/>
              </w:rPr>
              <w:t>o</w:t>
            </w:r>
            <w:r w:rsidR="009E134F">
              <w:rPr>
                <w:color w:val="000000"/>
                <w:sz w:val="18"/>
                <w:szCs w:val="18"/>
                <w:lang w:val="fr-FR"/>
              </w:rPr>
              <w:t>.</w:t>
            </w:r>
          </w:p>
        </w:tc>
      </w:tr>
      <w:tr w:rsidR="00842FB3" w:rsidRPr="001F1E0E" w:rsidTr="00FA28F7">
        <w:trPr>
          <w:jc w:val="center"/>
        </w:trPr>
        <w:tc>
          <w:tcPr>
            <w:tcW w:w="2580" w:type="dxa"/>
            <w:gridSpan w:val="3"/>
            <w:shd w:val="clear" w:color="auto" w:fill="auto"/>
          </w:tcPr>
          <w:p w:rsidR="00FA28F7" w:rsidRPr="00C3019D" w:rsidRDefault="00842FB3" w:rsidP="005B6FC5">
            <w:pPr>
              <w:spacing w:after="60"/>
              <w:jc w:val="left"/>
              <w:rPr>
                <w:sz w:val="18"/>
                <w:szCs w:val="18"/>
                <w:lang w:val="fr-FR"/>
              </w:rPr>
            </w:pPr>
            <w:r w:rsidRPr="00842FB3">
              <w:rPr>
                <w:sz w:val="18"/>
                <w:szCs w:val="18"/>
                <w:lang w:val="fr-FR"/>
              </w:rPr>
              <w:t>Consommation maximale autorisée (tonnes PAO)</w:t>
            </w:r>
          </w:p>
        </w:tc>
        <w:tc>
          <w:tcPr>
            <w:tcW w:w="936" w:type="dxa"/>
            <w:shd w:val="clear" w:color="auto" w:fill="auto"/>
          </w:tcPr>
          <w:p w:rsidR="00FA28F7" w:rsidRPr="001F1E0E" w:rsidRDefault="00FA28F7" w:rsidP="00FA28F7">
            <w:pPr>
              <w:jc w:val="right"/>
              <w:rPr>
                <w:sz w:val="18"/>
                <w:szCs w:val="18"/>
                <w:lang w:val="en-CA"/>
              </w:rPr>
            </w:pPr>
            <w:r w:rsidRPr="001F1E0E">
              <w:rPr>
                <w:sz w:val="18"/>
                <w:szCs w:val="18"/>
                <w:lang w:val="en-CA"/>
              </w:rPr>
              <w:t>347</w:t>
            </w:r>
            <w:r w:rsidR="009E134F">
              <w:rPr>
                <w:sz w:val="18"/>
                <w:szCs w:val="18"/>
                <w:lang w:val="en-CA"/>
              </w:rPr>
              <w:t>,</w:t>
            </w:r>
            <w:r w:rsidRPr="001F1E0E">
              <w:rPr>
                <w:sz w:val="18"/>
                <w:szCs w:val="18"/>
                <w:lang w:val="en-CA"/>
              </w:rPr>
              <w:t>64</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289</w:t>
            </w:r>
            <w:r w:rsidR="009E134F">
              <w:rPr>
                <w:sz w:val="18"/>
                <w:szCs w:val="18"/>
                <w:lang w:val="en-CA"/>
              </w:rPr>
              <w:t>,</w:t>
            </w:r>
            <w:r w:rsidRPr="001F1E0E">
              <w:rPr>
                <w:sz w:val="18"/>
                <w:szCs w:val="18"/>
                <w:lang w:val="en-CA"/>
              </w:rPr>
              <w:t>70</w:t>
            </w:r>
          </w:p>
        </w:tc>
        <w:tc>
          <w:tcPr>
            <w:tcW w:w="936" w:type="dxa"/>
            <w:shd w:val="clear" w:color="auto" w:fill="auto"/>
          </w:tcPr>
          <w:p w:rsidR="00FA28F7" w:rsidRPr="001F1E0E" w:rsidRDefault="00FA28F7" w:rsidP="00FA28F7">
            <w:pPr>
              <w:jc w:val="right"/>
              <w:rPr>
                <w:sz w:val="18"/>
                <w:szCs w:val="18"/>
                <w:lang w:val="en-CA"/>
              </w:rPr>
            </w:pPr>
            <w:r w:rsidRPr="001F1E0E">
              <w:rPr>
                <w:sz w:val="18"/>
                <w:szCs w:val="18"/>
                <w:lang w:val="en-CA"/>
              </w:rPr>
              <w:t>289</w:t>
            </w:r>
            <w:r w:rsidR="009E134F">
              <w:rPr>
                <w:sz w:val="18"/>
                <w:szCs w:val="18"/>
                <w:lang w:val="en-CA"/>
              </w:rPr>
              <w:t>,</w:t>
            </w:r>
            <w:r w:rsidRPr="001F1E0E">
              <w:rPr>
                <w:sz w:val="18"/>
                <w:szCs w:val="18"/>
                <w:lang w:val="en-CA"/>
              </w:rPr>
              <w:t>70</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shd w:val="clear" w:color="auto" w:fill="auto"/>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821" w:type="dxa"/>
          </w:tcPr>
          <w:p w:rsidR="00FA28F7" w:rsidRPr="001F1E0E" w:rsidRDefault="00FA28F7" w:rsidP="00FA28F7">
            <w:pPr>
              <w:jc w:val="right"/>
              <w:rPr>
                <w:sz w:val="18"/>
                <w:szCs w:val="18"/>
                <w:lang w:val="en-CA"/>
              </w:rPr>
            </w:pPr>
            <w:r w:rsidRPr="001F1E0E">
              <w:rPr>
                <w:sz w:val="18"/>
                <w:szCs w:val="18"/>
                <w:lang w:val="en-CA"/>
              </w:rPr>
              <w:t>251</w:t>
            </w:r>
            <w:r w:rsidR="009E134F">
              <w:rPr>
                <w:sz w:val="18"/>
                <w:szCs w:val="18"/>
                <w:lang w:val="en-CA"/>
              </w:rPr>
              <w:t>,</w:t>
            </w:r>
            <w:r w:rsidRPr="001F1E0E">
              <w:rPr>
                <w:sz w:val="18"/>
                <w:szCs w:val="18"/>
                <w:lang w:val="en-CA"/>
              </w:rPr>
              <w:t>08</w:t>
            </w:r>
          </w:p>
        </w:tc>
        <w:tc>
          <w:tcPr>
            <w:tcW w:w="931" w:type="dxa"/>
          </w:tcPr>
          <w:p w:rsidR="00FA28F7" w:rsidRPr="001F1E0E" w:rsidRDefault="00FA28F7" w:rsidP="00FA28F7">
            <w:pPr>
              <w:jc w:val="right"/>
              <w:rPr>
                <w:sz w:val="18"/>
                <w:szCs w:val="18"/>
                <w:lang w:val="en-CA"/>
              </w:rPr>
            </w:pPr>
            <w:r w:rsidRPr="001F1E0E">
              <w:rPr>
                <w:sz w:val="18"/>
                <w:szCs w:val="18"/>
                <w:lang w:val="en-CA"/>
              </w:rPr>
              <w:t>125</w:t>
            </w:r>
            <w:r w:rsidR="009E134F">
              <w:rPr>
                <w:sz w:val="18"/>
                <w:szCs w:val="18"/>
                <w:lang w:val="en-CA"/>
              </w:rPr>
              <w:t>,</w:t>
            </w:r>
            <w:r w:rsidRPr="001F1E0E">
              <w:rPr>
                <w:sz w:val="18"/>
                <w:szCs w:val="18"/>
                <w:lang w:val="en-CA"/>
              </w:rPr>
              <w:t>54*</w:t>
            </w:r>
          </w:p>
        </w:tc>
        <w:tc>
          <w:tcPr>
            <w:tcW w:w="963" w:type="dxa"/>
            <w:shd w:val="clear" w:color="auto" w:fill="auto"/>
          </w:tcPr>
          <w:p w:rsidR="00FA28F7" w:rsidRPr="00842FB3" w:rsidRDefault="00842FB3" w:rsidP="005B6FC5">
            <w:pPr>
              <w:jc w:val="right"/>
              <w:rPr>
                <w:color w:val="000000"/>
                <w:sz w:val="18"/>
                <w:szCs w:val="18"/>
                <w:lang w:val="en-CA"/>
              </w:rPr>
            </w:pPr>
            <w:r w:rsidRPr="00842FB3">
              <w:rPr>
                <w:color w:val="000000"/>
                <w:sz w:val="18"/>
                <w:szCs w:val="18"/>
                <w:lang w:val="fr-FR"/>
              </w:rPr>
              <w:t>s.o.</w:t>
            </w:r>
          </w:p>
        </w:tc>
      </w:tr>
      <w:tr w:rsidR="00842FB3" w:rsidRPr="001F1E0E" w:rsidTr="00FA28F7">
        <w:trPr>
          <w:jc w:val="center"/>
        </w:trPr>
        <w:tc>
          <w:tcPr>
            <w:tcW w:w="814" w:type="dxa"/>
            <w:vMerge w:val="restart"/>
            <w:shd w:val="clear" w:color="auto" w:fill="auto"/>
          </w:tcPr>
          <w:p w:rsidR="00FA28F7" w:rsidRPr="00842FB3" w:rsidRDefault="00842FB3" w:rsidP="005B6FC5">
            <w:pPr>
              <w:spacing w:after="60"/>
              <w:jc w:val="left"/>
              <w:rPr>
                <w:sz w:val="18"/>
                <w:szCs w:val="18"/>
                <w:lang w:val="en-CA"/>
              </w:rPr>
            </w:pPr>
            <w:r w:rsidRPr="00842FB3">
              <w:rPr>
                <w:sz w:val="18"/>
                <w:szCs w:val="18"/>
                <w:lang w:val="fr-FR"/>
              </w:rPr>
              <w:t>Financement convenu ($US)</w:t>
            </w:r>
          </w:p>
        </w:tc>
        <w:tc>
          <w:tcPr>
            <w:tcW w:w="966" w:type="dxa"/>
            <w:vMerge w:val="restart"/>
            <w:shd w:val="clear" w:color="auto" w:fill="auto"/>
          </w:tcPr>
          <w:p w:rsidR="00FA28F7" w:rsidRPr="00842FB3" w:rsidRDefault="00842FB3" w:rsidP="005B6FC5">
            <w:pPr>
              <w:spacing w:after="60"/>
              <w:jc w:val="center"/>
              <w:rPr>
                <w:sz w:val="18"/>
                <w:szCs w:val="18"/>
                <w:lang w:val="en-CA"/>
              </w:rPr>
            </w:pPr>
            <w:r w:rsidRPr="00842FB3">
              <w:rPr>
                <w:sz w:val="18"/>
                <w:szCs w:val="18"/>
                <w:lang w:val="fr-FR"/>
              </w:rPr>
              <w:t>ONUDI</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w:t>
            </w:r>
            <w:r w:rsidR="009E134F">
              <w:rPr>
                <w:color w:val="000000"/>
                <w:sz w:val="18"/>
                <w:szCs w:val="18"/>
                <w:lang w:val="en-CA"/>
              </w:rPr>
              <w:t> </w:t>
            </w:r>
            <w:r w:rsidRPr="001F1E0E">
              <w:rPr>
                <w:color w:val="000000"/>
                <w:sz w:val="18"/>
                <w:szCs w:val="18"/>
                <w:lang w:val="en-CA"/>
              </w:rPr>
              <w:t>356</w:t>
            </w:r>
            <w:r w:rsidR="009E134F">
              <w:rPr>
                <w:color w:val="000000"/>
                <w:sz w:val="18"/>
                <w:szCs w:val="18"/>
                <w:lang w:val="en-CA"/>
              </w:rPr>
              <w:t> </w:t>
            </w:r>
            <w:r w:rsidRPr="001F1E0E">
              <w:rPr>
                <w:color w:val="000000"/>
                <w:sz w:val="18"/>
                <w:szCs w:val="18"/>
                <w:lang w:val="en-CA"/>
              </w:rPr>
              <w:t>641</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755</w:t>
            </w:r>
            <w:r w:rsidR="009E134F">
              <w:rPr>
                <w:color w:val="000000"/>
                <w:sz w:val="18"/>
                <w:szCs w:val="18"/>
                <w:lang w:val="en-CA"/>
              </w:rPr>
              <w:t> </w:t>
            </w:r>
            <w:r w:rsidRPr="001F1E0E">
              <w:rPr>
                <w:color w:val="000000"/>
                <w:sz w:val="18"/>
                <w:szCs w:val="18"/>
                <w:lang w:val="en-CA"/>
              </w:rPr>
              <w:t>000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935</w:t>
            </w:r>
            <w:r w:rsidR="009E134F">
              <w:rPr>
                <w:color w:val="000000"/>
                <w:sz w:val="18"/>
                <w:szCs w:val="18"/>
                <w:lang w:val="en-CA"/>
              </w:rPr>
              <w:t> </w:t>
            </w:r>
            <w:r w:rsidRPr="001F1E0E">
              <w:rPr>
                <w:color w:val="000000"/>
                <w:sz w:val="18"/>
                <w:szCs w:val="18"/>
                <w:lang w:val="en-CA"/>
              </w:rPr>
              <w:t>000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755</w:t>
            </w:r>
            <w:r w:rsidR="009E134F">
              <w:rPr>
                <w:color w:val="000000"/>
                <w:sz w:val="18"/>
                <w:szCs w:val="18"/>
                <w:lang w:val="en-CA"/>
              </w:rPr>
              <w:t> </w:t>
            </w:r>
            <w:r w:rsidRPr="001F1E0E">
              <w:rPr>
                <w:color w:val="000000"/>
                <w:sz w:val="18"/>
                <w:szCs w:val="18"/>
                <w:lang w:val="en-CA"/>
              </w:rPr>
              <w:t>200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195</w:t>
            </w:r>
            <w:r w:rsidR="009E134F">
              <w:rPr>
                <w:color w:val="000000"/>
                <w:sz w:val="18"/>
                <w:szCs w:val="18"/>
                <w:lang w:val="en-CA"/>
              </w:rPr>
              <w:t> </w:t>
            </w:r>
            <w:r w:rsidRPr="001F1E0E">
              <w:rPr>
                <w:color w:val="000000"/>
                <w:sz w:val="18"/>
                <w:szCs w:val="18"/>
                <w:lang w:val="en-CA"/>
              </w:rPr>
              <w:t>000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5</w:t>
            </w:r>
            <w:r w:rsidR="009E134F">
              <w:rPr>
                <w:color w:val="000000"/>
                <w:sz w:val="18"/>
                <w:szCs w:val="18"/>
                <w:lang w:val="en-CA"/>
              </w:rPr>
              <w:t> </w:t>
            </w:r>
            <w:r w:rsidRPr="001F1E0E">
              <w:rPr>
                <w:color w:val="000000"/>
                <w:sz w:val="18"/>
                <w:szCs w:val="18"/>
                <w:lang w:val="en-CA"/>
              </w:rPr>
              <w:t>996</w:t>
            </w:r>
            <w:r w:rsidR="009E134F">
              <w:rPr>
                <w:color w:val="000000"/>
                <w:sz w:val="18"/>
                <w:szCs w:val="18"/>
                <w:lang w:val="en-CA"/>
              </w:rPr>
              <w:t> </w:t>
            </w:r>
            <w:r w:rsidRPr="001F1E0E">
              <w:rPr>
                <w:color w:val="000000"/>
                <w:sz w:val="18"/>
                <w:szCs w:val="18"/>
                <w:lang w:val="en-CA"/>
              </w:rPr>
              <w:t>841</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shd w:val="clear" w:color="auto" w:fill="auto"/>
          </w:tcPr>
          <w:p w:rsidR="00FA28F7" w:rsidRPr="001F1E0E" w:rsidRDefault="00FA28F7" w:rsidP="00FA28F7">
            <w:pPr>
              <w:spacing w:after="60"/>
              <w:jc w:val="center"/>
              <w:rPr>
                <w:sz w:val="18"/>
                <w:szCs w:val="18"/>
                <w:lang w:val="en-CA"/>
              </w:rPr>
            </w:pP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234</w:t>
            </w:r>
            <w:r w:rsidR="009E134F">
              <w:rPr>
                <w:color w:val="000000"/>
                <w:sz w:val="18"/>
                <w:szCs w:val="18"/>
                <w:lang w:val="en-CA"/>
              </w:rPr>
              <w:t> </w:t>
            </w:r>
            <w:r w:rsidRPr="001F1E0E">
              <w:rPr>
                <w:color w:val="000000"/>
                <w:sz w:val="18"/>
                <w:szCs w:val="18"/>
                <w:lang w:val="en-CA"/>
              </w:rPr>
              <w:t>965</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52</w:t>
            </w:r>
            <w:r w:rsidR="009E134F">
              <w:rPr>
                <w:color w:val="000000"/>
                <w:sz w:val="18"/>
                <w:szCs w:val="18"/>
                <w:lang w:val="en-CA"/>
              </w:rPr>
              <w:t> </w:t>
            </w:r>
            <w:r w:rsidRPr="001F1E0E">
              <w:rPr>
                <w:color w:val="000000"/>
                <w:sz w:val="18"/>
                <w:szCs w:val="18"/>
                <w:lang w:val="en-CA"/>
              </w:rPr>
              <w:t>850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65</w:t>
            </w:r>
            <w:r w:rsidR="009E134F">
              <w:rPr>
                <w:color w:val="000000"/>
                <w:sz w:val="18"/>
                <w:szCs w:val="18"/>
                <w:lang w:val="en-CA"/>
              </w:rPr>
              <w:t> </w:t>
            </w:r>
            <w:r w:rsidRPr="001F1E0E">
              <w:rPr>
                <w:color w:val="000000"/>
                <w:sz w:val="18"/>
                <w:szCs w:val="18"/>
                <w:lang w:val="en-CA"/>
              </w:rPr>
              <w:t>450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52</w:t>
            </w:r>
            <w:r w:rsidR="009E134F">
              <w:rPr>
                <w:color w:val="000000"/>
                <w:sz w:val="18"/>
                <w:szCs w:val="18"/>
                <w:lang w:val="en-CA"/>
              </w:rPr>
              <w:t> </w:t>
            </w:r>
            <w:r w:rsidRPr="001F1E0E">
              <w:rPr>
                <w:color w:val="000000"/>
                <w:sz w:val="18"/>
                <w:szCs w:val="18"/>
                <w:lang w:val="en-CA"/>
              </w:rPr>
              <w:t>864</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13</w:t>
            </w:r>
            <w:r w:rsidR="009E134F">
              <w:rPr>
                <w:color w:val="000000"/>
                <w:sz w:val="18"/>
                <w:szCs w:val="18"/>
                <w:lang w:val="en-CA"/>
              </w:rPr>
              <w:t> </w:t>
            </w:r>
            <w:r w:rsidRPr="001F1E0E">
              <w:rPr>
                <w:color w:val="000000"/>
                <w:sz w:val="18"/>
                <w:szCs w:val="18"/>
                <w:lang w:val="en-CA"/>
              </w:rPr>
              <w:t>650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419</w:t>
            </w:r>
            <w:r w:rsidR="009E134F">
              <w:rPr>
                <w:color w:val="000000"/>
                <w:sz w:val="18"/>
                <w:szCs w:val="18"/>
                <w:lang w:val="en-CA"/>
              </w:rPr>
              <w:t> </w:t>
            </w:r>
            <w:r w:rsidRPr="001F1E0E">
              <w:rPr>
                <w:color w:val="000000"/>
                <w:sz w:val="18"/>
                <w:szCs w:val="18"/>
                <w:lang w:val="en-CA"/>
              </w:rPr>
              <w:t>779</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val="restart"/>
            <w:shd w:val="clear" w:color="auto" w:fill="auto"/>
          </w:tcPr>
          <w:p w:rsidR="00FA28F7" w:rsidRPr="00842FB3" w:rsidRDefault="00842FB3" w:rsidP="005B6FC5">
            <w:pPr>
              <w:spacing w:after="60"/>
              <w:jc w:val="center"/>
              <w:rPr>
                <w:sz w:val="18"/>
                <w:szCs w:val="18"/>
                <w:lang w:val="en-CA"/>
              </w:rPr>
            </w:pPr>
            <w:r w:rsidRPr="00842FB3">
              <w:rPr>
                <w:sz w:val="18"/>
                <w:szCs w:val="18"/>
                <w:lang w:val="fr-FR"/>
              </w:rPr>
              <w:t>PNUD</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1</w:t>
            </w:r>
            <w:r w:rsidR="009E134F">
              <w:rPr>
                <w:color w:val="000000"/>
                <w:sz w:val="18"/>
                <w:szCs w:val="18"/>
                <w:lang w:val="en-CA"/>
              </w:rPr>
              <w:t> </w:t>
            </w:r>
            <w:r w:rsidRPr="001F1E0E">
              <w:rPr>
                <w:color w:val="000000"/>
                <w:sz w:val="18"/>
                <w:szCs w:val="18"/>
                <w:lang w:val="en-CA"/>
              </w:rPr>
              <w:t>042</w:t>
            </w:r>
            <w:r w:rsidR="009E134F">
              <w:rPr>
                <w:color w:val="000000"/>
                <w:sz w:val="18"/>
                <w:szCs w:val="18"/>
                <w:lang w:val="en-CA"/>
              </w:rPr>
              <w:t> </w:t>
            </w:r>
            <w:r w:rsidRPr="001F1E0E">
              <w:rPr>
                <w:color w:val="000000"/>
                <w:sz w:val="18"/>
                <w:szCs w:val="18"/>
                <w:lang w:val="en-CA"/>
              </w:rPr>
              <w:t>352</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1</w:t>
            </w:r>
            <w:r w:rsidR="009E134F">
              <w:rPr>
                <w:color w:val="000000"/>
                <w:sz w:val="18"/>
                <w:szCs w:val="18"/>
                <w:lang w:val="en-CA"/>
              </w:rPr>
              <w:t> </w:t>
            </w:r>
            <w:r w:rsidRPr="001F1E0E">
              <w:rPr>
                <w:color w:val="000000"/>
                <w:sz w:val="18"/>
                <w:szCs w:val="18"/>
                <w:lang w:val="en-CA"/>
              </w:rPr>
              <w:t>836</w:t>
            </w:r>
            <w:r w:rsidR="009E134F">
              <w:rPr>
                <w:color w:val="000000"/>
                <w:sz w:val="18"/>
                <w:szCs w:val="18"/>
                <w:lang w:val="en-CA"/>
              </w:rPr>
              <w:t> </w:t>
            </w:r>
            <w:r w:rsidRPr="001F1E0E">
              <w:rPr>
                <w:color w:val="000000"/>
                <w:sz w:val="18"/>
                <w:szCs w:val="18"/>
                <w:lang w:val="en-CA"/>
              </w:rPr>
              <w:t>750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816</w:t>
            </w:r>
            <w:r w:rsidR="009E134F">
              <w:rPr>
                <w:color w:val="000000"/>
                <w:sz w:val="18"/>
                <w:szCs w:val="18"/>
                <w:lang w:val="en-CA"/>
              </w:rPr>
              <w:t> </w:t>
            </w:r>
            <w:r w:rsidRPr="001F1E0E">
              <w:rPr>
                <w:color w:val="000000"/>
                <w:sz w:val="18"/>
                <w:szCs w:val="18"/>
                <w:lang w:val="en-CA"/>
              </w:rPr>
              <w:t>620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w:t>
            </w:r>
            <w:r w:rsidR="009E134F">
              <w:rPr>
                <w:color w:val="000000"/>
                <w:sz w:val="18"/>
                <w:szCs w:val="18"/>
                <w:lang w:val="en-CA"/>
              </w:rPr>
              <w:t> </w:t>
            </w:r>
            <w:r w:rsidRPr="001F1E0E">
              <w:rPr>
                <w:color w:val="000000"/>
                <w:sz w:val="18"/>
                <w:szCs w:val="18"/>
                <w:lang w:val="en-CA"/>
              </w:rPr>
              <w:t>695</w:t>
            </w:r>
            <w:r w:rsidR="009E134F">
              <w:rPr>
                <w:color w:val="000000"/>
                <w:sz w:val="18"/>
                <w:szCs w:val="18"/>
                <w:lang w:val="en-CA"/>
              </w:rPr>
              <w:t> </w:t>
            </w:r>
            <w:r w:rsidRPr="001F1E0E">
              <w:rPr>
                <w:color w:val="000000"/>
                <w:sz w:val="18"/>
                <w:szCs w:val="18"/>
                <w:lang w:val="en-CA"/>
              </w:rPr>
              <w:t>722</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shd w:val="clear" w:color="auto" w:fill="auto"/>
          </w:tcPr>
          <w:p w:rsidR="00FA28F7" w:rsidRPr="001F1E0E" w:rsidRDefault="00FA28F7" w:rsidP="00FA28F7">
            <w:pPr>
              <w:spacing w:after="60"/>
              <w:jc w:val="center"/>
              <w:rPr>
                <w:sz w:val="18"/>
                <w:szCs w:val="18"/>
                <w:lang w:val="en-CA"/>
              </w:rPr>
            </w:pP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72</w:t>
            </w:r>
            <w:r w:rsidR="009E134F">
              <w:rPr>
                <w:color w:val="000000"/>
                <w:sz w:val="18"/>
                <w:szCs w:val="18"/>
                <w:lang w:val="en-CA"/>
              </w:rPr>
              <w:t> </w:t>
            </w:r>
            <w:r w:rsidRPr="001F1E0E">
              <w:rPr>
                <w:color w:val="000000"/>
                <w:sz w:val="18"/>
                <w:szCs w:val="18"/>
                <w:lang w:val="en-CA"/>
              </w:rPr>
              <w:t>965</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128</w:t>
            </w:r>
            <w:r w:rsidR="009E134F">
              <w:rPr>
                <w:color w:val="000000"/>
                <w:sz w:val="18"/>
                <w:szCs w:val="18"/>
                <w:lang w:val="en-CA"/>
              </w:rPr>
              <w:t> </w:t>
            </w:r>
            <w:r w:rsidRPr="001F1E0E">
              <w:rPr>
                <w:color w:val="000000"/>
                <w:sz w:val="18"/>
                <w:szCs w:val="18"/>
                <w:lang w:val="en-CA"/>
              </w:rPr>
              <w:t>573</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57</w:t>
            </w:r>
            <w:r w:rsidR="009E134F">
              <w:rPr>
                <w:color w:val="000000"/>
                <w:sz w:val="18"/>
                <w:szCs w:val="18"/>
                <w:lang w:val="en-CA"/>
              </w:rPr>
              <w:t> </w:t>
            </w:r>
            <w:r w:rsidRPr="001F1E0E">
              <w:rPr>
                <w:color w:val="000000"/>
                <w:sz w:val="18"/>
                <w:szCs w:val="18"/>
                <w:lang w:val="en-CA"/>
              </w:rPr>
              <w:t>163</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258</w:t>
            </w:r>
            <w:r w:rsidR="009E134F">
              <w:rPr>
                <w:color w:val="000000"/>
                <w:sz w:val="18"/>
                <w:szCs w:val="18"/>
                <w:lang w:val="en-CA"/>
              </w:rPr>
              <w:t> </w:t>
            </w:r>
            <w:r w:rsidRPr="001F1E0E">
              <w:rPr>
                <w:color w:val="000000"/>
                <w:sz w:val="18"/>
                <w:szCs w:val="18"/>
                <w:lang w:val="en-CA"/>
              </w:rPr>
              <w:t>701</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val="restart"/>
            <w:shd w:val="clear" w:color="auto" w:fill="auto"/>
          </w:tcPr>
          <w:p w:rsidR="00FA28F7" w:rsidRPr="001F1E0E" w:rsidRDefault="00842FB3" w:rsidP="005B6FC5">
            <w:pPr>
              <w:spacing w:after="60"/>
              <w:jc w:val="center"/>
              <w:rPr>
                <w:sz w:val="18"/>
                <w:szCs w:val="18"/>
                <w:lang w:val="en-CA"/>
              </w:rPr>
            </w:pPr>
            <w:r w:rsidRPr="00842FB3">
              <w:rPr>
                <w:sz w:val="18"/>
                <w:szCs w:val="18"/>
                <w:lang w:val="fr-FR"/>
              </w:rPr>
              <w:t>PNUE</w:t>
            </w:r>
            <w:r w:rsidR="00FA28F7" w:rsidRPr="00842FB3">
              <w:rPr>
                <w:sz w:val="18"/>
                <w:szCs w:val="18"/>
                <w:lang w:val="en-CA"/>
              </w:rPr>
              <w:t xml:space="preserve"> </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230</w:t>
            </w:r>
            <w:r w:rsidR="009E134F">
              <w:rPr>
                <w:color w:val="000000"/>
                <w:sz w:val="18"/>
                <w:szCs w:val="18"/>
                <w:lang w:val="en-CA"/>
              </w:rPr>
              <w:t> </w:t>
            </w:r>
            <w:r w:rsidRPr="001F1E0E">
              <w:rPr>
                <w:color w:val="000000"/>
                <w:sz w:val="18"/>
                <w:szCs w:val="18"/>
                <w:lang w:val="en-CA"/>
              </w:rPr>
              <w:t>000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279</w:t>
            </w:r>
            <w:r w:rsidR="009E134F">
              <w:rPr>
                <w:color w:val="000000"/>
                <w:sz w:val="18"/>
                <w:szCs w:val="18"/>
                <w:lang w:val="en-CA"/>
              </w:rPr>
              <w:t> </w:t>
            </w:r>
            <w:r w:rsidRPr="001F1E0E">
              <w:rPr>
                <w:color w:val="000000"/>
                <w:sz w:val="18"/>
                <w:szCs w:val="18"/>
                <w:lang w:val="en-CA"/>
              </w:rPr>
              <w:t>500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260</w:t>
            </w:r>
            <w:r w:rsidR="009E134F">
              <w:rPr>
                <w:color w:val="000000"/>
                <w:sz w:val="18"/>
                <w:szCs w:val="18"/>
                <w:lang w:val="en-CA"/>
              </w:rPr>
              <w:t> </w:t>
            </w:r>
            <w:r w:rsidRPr="001F1E0E">
              <w:rPr>
                <w:color w:val="000000"/>
                <w:sz w:val="18"/>
                <w:szCs w:val="18"/>
                <w:lang w:val="en-CA"/>
              </w:rPr>
              <w:t>000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180</w:t>
            </w:r>
            <w:r w:rsidR="009E134F">
              <w:rPr>
                <w:color w:val="000000"/>
                <w:sz w:val="18"/>
                <w:szCs w:val="18"/>
                <w:lang w:val="en-CA"/>
              </w:rPr>
              <w:t> </w:t>
            </w:r>
            <w:r w:rsidRPr="001F1E0E">
              <w:rPr>
                <w:color w:val="000000"/>
                <w:sz w:val="18"/>
                <w:szCs w:val="18"/>
                <w:lang w:val="en-CA"/>
              </w:rPr>
              <w:t>000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105</w:t>
            </w:r>
            <w:r w:rsidR="009E134F">
              <w:rPr>
                <w:color w:val="000000"/>
                <w:sz w:val="18"/>
                <w:szCs w:val="18"/>
                <w:lang w:val="en-CA"/>
              </w:rPr>
              <w:t> </w:t>
            </w:r>
            <w:r w:rsidRPr="001F1E0E">
              <w:rPr>
                <w:color w:val="000000"/>
                <w:sz w:val="18"/>
                <w:szCs w:val="18"/>
                <w:lang w:val="en-CA"/>
              </w:rPr>
              <w:t>500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1</w:t>
            </w:r>
            <w:r w:rsidR="009E134F">
              <w:rPr>
                <w:color w:val="000000"/>
                <w:sz w:val="18"/>
                <w:szCs w:val="18"/>
                <w:lang w:val="en-CA"/>
              </w:rPr>
              <w:t> </w:t>
            </w:r>
            <w:r w:rsidRPr="001F1E0E">
              <w:rPr>
                <w:color w:val="000000"/>
                <w:sz w:val="18"/>
                <w:szCs w:val="18"/>
                <w:lang w:val="en-CA"/>
              </w:rPr>
              <w:t>055</w:t>
            </w:r>
            <w:r w:rsidR="009E134F">
              <w:rPr>
                <w:color w:val="000000"/>
                <w:sz w:val="18"/>
                <w:szCs w:val="18"/>
                <w:lang w:val="en-CA"/>
              </w:rPr>
              <w:t> </w:t>
            </w:r>
            <w:r w:rsidRPr="001F1E0E">
              <w:rPr>
                <w:color w:val="000000"/>
                <w:sz w:val="18"/>
                <w:szCs w:val="18"/>
                <w:lang w:val="en-CA"/>
              </w:rPr>
              <w:t>000</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shd w:val="clear" w:color="auto" w:fill="auto"/>
          </w:tcPr>
          <w:p w:rsidR="00FA28F7" w:rsidRPr="001F1E0E" w:rsidRDefault="00FA28F7" w:rsidP="00FA28F7">
            <w:pPr>
              <w:spacing w:after="60"/>
              <w:jc w:val="center"/>
              <w:rPr>
                <w:sz w:val="18"/>
                <w:szCs w:val="18"/>
                <w:lang w:val="en-CA"/>
              </w:rPr>
            </w:pP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27</w:t>
            </w:r>
            <w:r w:rsidR="009E134F">
              <w:rPr>
                <w:color w:val="000000"/>
                <w:sz w:val="18"/>
                <w:szCs w:val="18"/>
                <w:lang w:val="en-CA"/>
              </w:rPr>
              <w:t> </w:t>
            </w:r>
            <w:r w:rsidRPr="001F1E0E">
              <w:rPr>
                <w:color w:val="000000"/>
                <w:sz w:val="18"/>
                <w:szCs w:val="18"/>
                <w:lang w:val="en-CA"/>
              </w:rPr>
              <w:t>480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33</w:t>
            </w:r>
            <w:r w:rsidR="009E134F">
              <w:rPr>
                <w:color w:val="000000"/>
                <w:sz w:val="18"/>
                <w:szCs w:val="18"/>
                <w:lang w:val="en-CA"/>
              </w:rPr>
              <w:t> </w:t>
            </w:r>
            <w:r w:rsidRPr="001F1E0E">
              <w:rPr>
                <w:color w:val="000000"/>
                <w:sz w:val="18"/>
                <w:szCs w:val="18"/>
                <w:lang w:val="en-CA"/>
              </w:rPr>
              <w:t>394</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31</w:t>
            </w:r>
            <w:r w:rsidR="009E134F">
              <w:rPr>
                <w:color w:val="000000"/>
                <w:sz w:val="18"/>
                <w:szCs w:val="18"/>
                <w:lang w:val="en-CA"/>
              </w:rPr>
              <w:t> </w:t>
            </w:r>
            <w:r w:rsidRPr="001F1E0E">
              <w:rPr>
                <w:color w:val="000000"/>
                <w:sz w:val="18"/>
                <w:szCs w:val="18"/>
                <w:lang w:val="en-CA"/>
              </w:rPr>
              <w:t>064</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21</w:t>
            </w:r>
            <w:r w:rsidR="009E134F">
              <w:rPr>
                <w:color w:val="000000"/>
                <w:sz w:val="18"/>
                <w:szCs w:val="18"/>
                <w:lang w:val="en-CA"/>
              </w:rPr>
              <w:t> </w:t>
            </w:r>
            <w:r w:rsidRPr="001F1E0E">
              <w:rPr>
                <w:color w:val="000000"/>
                <w:sz w:val="18"/>
                <w:szCs w:val="18"/>
                <w:lang w:val="en-CA"/>
              </w:rPr>
              <w:t>506</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12</w:t>
            </w:r>
            <w:r w:rsidR="009E134F">
              <w:rPr>
                <w:color w:val="000000"/>
                <w:sz w:val="18"/>
                <w:szCs w:val="18"/>
                <w:lang w:val="en-CA"/>
              </w:rPr>
              <w:t> </w:t>
            </w:r>
            <w:r w:rsidRPr="001F1E0E">
              <w:rPr>
                <w:color w:val="000000"/>
                <w:sz w:val="18"/>
                <w:szCs w:val="18"/>
                <w:lang w:val="en-CA"/>
              </w:rPr>
              <w:t>605</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126</w:t>
            </w:r>
            <w:r w:rsidR="009E134F">
              <w:rPr>
                <w:color w:val="000000"/>
                <w:sz w:val="18"/>
                <w:szCs w:val="18"/>
                <w:lang w:val="en-CA"/>
              </w:rPr>
              <w:t> </w:t>
            </w:r>
            <w:r w:rsidRPr="001F1E0E">
              <w:rPr>
                <w:color w:val="000000"/>
                <w:sz w:val="18"/>
                <w:szCs w:val="18"/>
                <w:lang w:val="en-CA"/>
              </w:rPr>
              <w:t>050</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val="restart"/>
            <w:shd w:val="clear" w:color="auto" w:fill="auto"/>
          </w:tcPr>
          <w:p w:rsidR="00FA28F7" w:rsidRPr="00842FB3" w:rsidRDefault="00842FB3" w:rsidP="005B6FC5">
            <w:pPr>
              <w:spacing w:after="60"/>
              <w:jc w:val="center"/>
              <w:rPr>
                <w:sz w:val="18"/>
                <w:szCs w:val="18"/>
                <w:lang w:val="en-CA"/>
              </w:rPr>
            </w:pPr>
            <w:r w:rsidRPr="00842FB3">
              <w:rPr>
                <w:sz w:val="18"/>
                <w:szCs w:val="18"/>
                <w:lang w:val="fr-FR"/>
              </w:rPr>
              <w:t>Allemagne</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207</w:t>
            </w:r>
            <w:r w:rsidR="009E134F">
              <w:rPr>
                <w:color w:val="000000"/>
                <w:sz w:val="18"/>
                <w:szCs w:val="18"/>
                <w:lang w:val="en-CA"/>
              </w:rPr>
              <w:t> </w:t>
            </w:r>
            <w:r w:rsidRPr="001F1E0E">
              <w:rPr>
                <w:color w:val="000000"/>
                <w:sz w:val="18"/>
                <w:szCs w:val="18"/>
                <w:lang w:val="en-CA"/>
              </w:rPr>
              <w:t>300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207</w:t>
            </w:r>
            <w:r w:rsidR="009E134F">
              <w:rPr>
                <w:color w:val="000000"/>
                <w:sz w:val="18"/>
                <w:szCs w:val="18"/>
                <w:lang w:val="en-CA"/>
              </w:rPr>
              <w:t> </w:t>
            </w:r>
            <w:r w:rsidRPr="001F1E0E">
              <w:rPr>
                <w:color w:val="000000"/>
                <w:sz w:val="18"/>
                <w:szCs w:val="18"/>
                <w:lang w:val="en-CA"/>
              </w:rPr>
              <w:t>300</w:t>
            </w:r>
          </w:p>
        </w:tc>
      </w:tr>
      <w:tr w:rsidR="00842FB3" w:rsidRPr="001F1E0E" w:rsidTr="00FA28F7">
        <w:trPr>
          <w:jc w:val="center"/>
        </w:trPr>
        <w:tc>
          <w:tcPr>
            <w:tcW w:w="814" w:type="dxa"/>
            <w:vMerge/>
            <w:shd w:val="clear" w:color="auto" w:fill="auto"/>
          </w:tcPr>
          <w:p w:rsidR="00FA28F7" w:rsidRPr="001F1E0E" w:rsidRDefault="00FA28F7" w:rsidP="00FA28F7">
            <w:pPr>
              <w:spacing w:after="60"/>
              <w:jc w:val="center"/>
              <w:rPr>
                <w:sz w:val="18"/>
                <w:szCs w:val="18"/>
                <w:lang w:val="en-CA"/>
              </w:rPr>
            </w:pPr>
          </w:p>
        </w:tc>
        <w:tc>
          <w:tcPr>
            <w:tcW w:w="966" w:type="dxa"/>
            <w:vMerge/>
            <w:shd w:val="clear" w:color="auto" w:fill="auto"/>
          </w:tcPr>
          <w:p w:rsidR="00FA28F7" w:rsidRPr="001F1E0E" w:rsidRDefault="00FA28F7" w:rsidP="00FA28F7">
            <w:pPr>
              <w:spacing w:after="60"/>
              <w:jc w:val="center"/>
              <w:rPr>
                <w:sz w:val="18"/>
                <w:szCs w:val="18"/>
                <w:lang w:val="en-CA"/>
              </w:rPr>
            </w:pP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26</w:t>
            </w:r>
            <w:r w:rsidR="009E134F">
              <w:rPr>
                <w:color w:val="000000"/>
                <w:sz w:val="18"/>
                <w:szCs w:val="18"/>
                <w:lang w:val="en-CA"/>
              </w:rPr>
              <w:t> </w:t>
            </w:r>
            <w:r w:rsidRPr="001F1E0E">
              <w:rPr>
                <w:color w:val="000000"/>
                <w:sz w:val="18"/>
                <w:szCs w:val="18"/>
                <w:lang w:val="en-CA"/>
              </w:rPr>
              <w:t>949</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1" w:type="dxa"/>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26</w:t>
            </w:r>
            <w:r w:rsidR="009E134F">
              <w:rPr>
                <w:color w:val="000000"/>
                <w:sz w:val="18"/>
                <w:szCs w:val="18"/>
                <w:lang w:val="en-CA"/>
              </w:rPr>
              <w:t> </w:t>
            </w:r>
            <w:r w:rsidRPr="001F1E0E">
              <w:rPr>
                <w:color w:val="000000"/>
                <w:sz w:val="18"/>
                <w:szCs w:val="18"/>
                <w:lang w:val="en-CA"/>
              </w:rPr>
              <w:t>949</w:t>
            </w:r>
          </w:p>
        </w:tc>
      </w:tr>
      <w:tr w:rsidR="00842FB3" w:rsidRPr="001F1E0E" w:rsidTr="00FA28F7">
        <w:trPr>
          <w:jc w:val="center"/>
        </w:trPr>
        <w:tc>
          <w:tcPr>
            <w:tcW w:w="1780" w:type="dxa"/>
            <w:gridSpan w:val="2"/>
            <w:vMerge w:val="restart"/>
            <w:shd w:val="clear" w:color="auto" w:fill="auto"/>
          </w:tcPr>
          <w:p w:rsidR="00FA28F7" w:rsidRPr="00C3019D" w:rsidRDefault="00842FB3" w:rsidP="005B6FC5">
            <w:pPr>
              <w:spacing w:after="60"/>
              <w:jc w:val="left"/>
              <w:rPr>
                <w:sz w:val="18"/>
                <w:szCs w:val="18"/>
                <w:lang w:val="fr-FR"/>
              </w:rPr>
            </w:pPr>
            <w:r w:rsidRPr="00842FB3">
              <w:rPr>
                <w:sz w:val="18"/>
                <w:szCs w:val="18"/>
                <w:lang w:val="fr-FR"/>
              </w:rPr>
              <w:t>Financements approuvés par l</w:t>
            </w:r>
            <w:r w:rsidR="00D77991">
              <w:rPr>
                <w:sz w:val="18"/>
                <w:szCs w:val="18"/>
                <w:lang w:val="fr-FR"/>
              </w:rPr>
              <w:t>’</w:t>
            </w:r>
            <w:r w:rsidRPr="00842FB3">
              <w:rPr>
                <w:sz w:val="18"/>
                <w:szCs w:val="18"/>
                <w:lang w:val="fr-FR"/>
              </w:rPr>
              <w:t>ExCom ($US)</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4</w:t>
            </w:r>
            <w:r w:rsidR="009E134F">
              <w:rPr>
                <w:color w:val="000000"/>
                <w:sz w:val="18"/>
                <w:szCs w:val="18"/>
                <w:lang w:val="en-CA"/>
              </w:rPr>
              <w:t> </w:t>
            </w:r>
            <w:r w:rsidRPr="001F1E0E">
              <w:rPr>
                <w:color w:val="000000"/>
                <w:sz w:val="18"/>
                <w:szCs w:val="18"/>
                <w:lang w:val="en-CA"/>
              </w:rPr>
              <w:t>628</w:t>
            </w:r>
            <w:r w:rsidR="009E134F">
              <w:rPr>
                <w:color w:val="000000"/>
                <w:sz w:val="18"/>
                <w:szCs w:val="18"/>
                <w:lang w:val="en-CA"/>
              </w:rPr>
              <w:t> </w:t>
            </w:r>
            <w:r w:rsidRPr="001F1E0E">
              <w:rPr>
                <w:color w:val="000000"/>
                <w:sz w:val="18"/>
                <w:szCs w:val="18"/>
                <w:lang w:val="en-CA"/>
              </w:rPr>
              <w:t>993</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931" w:type="dxa"/>
          </w:tcPr>
          <w:p w:rsidR="00FA28F7" w:rsidRPr="001F1E0E" w:rsidRDefault="00FA28F7" w:rsidP="00FA28F7">
            <w:pPr>
              <w:jc w:val="right"/>
              <w:rPr>
                <w:color w:val="000000"/>
                <w:sz w:val="18"/>
                <w:szCs w:val="18"/>
                <w:lang w:val="en-CA"/>
              </w:rPr>
            </w:pP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4</w:t>
            </w:r>
            <w:r w:rsidR="009E134F">
              <w:rPr>
                <w:color w:val="000000"/>
                <w:sz w:val="18"/>
                <w:szCs w:val="18"/>
                <w:lang w:val="en-CA"/>
              </w:rPr>
              <w:t> </w:t>
            </w:r>
            <w:r w:rsidRPr="001F1E0E">
              <w:rPr>
                <w:color w:val="000000"/>
                <w:sz w:val="18"/>
                <w:szCs w:val="18"/>
                <w:lang w:val="en-CA"/>
              </w:rPr>
              <w:t>628</w:t>
            </w:r>
            <w:r w:rsidR="009E134F">
              <w:rPr>
                <w:color w:val="000000"/>
                <w:sz w:val="18"/>
                <w:szCs w:val="18"/>
                <w:lang w:val="en-CA"/>
              </w:rPr>
              <w:t> </w:t>
            </w:r>
            <w:r w:rsidRPr="001F1E0E">
              <w:rPr>
                <w:color w:val="000000"/>
                <w:sz w:val="18"/>
                <w:szCs w:val="18"/>
                <w:lang w:val="en-CA"/>
              </w:rPr>
              <w:t>993</w:t>
            </w:r>
          </w:p>
        </w:tc>
      </w:tr>
      <w:tr w:rsidR="00842FB3" w:rsidRPr="001F1E0E" w:rsidTr="00FA28F7">
        <w:trPr>
          <w:jc w:val="center"/>
        </w:trPr>
        <w:tc>
          <w:tcPr>
            <w:tcW w:w="1780" w:type="dxa"/>
            <w:gridSpan w:val="2"/>
            <w:vMerge/>
            <w:shd w:val="clear" w:color="auto" w:fill="auto"/>
          </w:tcPr>
          <w:p w:rsidR="00FA28F7" w:rsidRPr="001F1E0E" w:rsidRDefault="00FA28F7" w:rsidP="00FA28F7">
            <w:pPr>
              <w:spacing w:after="60"/>
              <w:jc w:val="center"/>
              <w:rPr>
                <w:sz w:val="18"/>
                <w:szCs w:val="18"/>
                <w:lang w:val="en-CA"/>
              </w:rPr>
            </w:pP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335</w:t>
            </w:r>
            <w:r w:rsidR="009E134F">
              <w:rPr>
                <w:color w:val="000000"/>
                <w:sz w:val="18"/>
                <w:szCs w:val="18"/>
                <w:lang w:val="en-CA"/>
              </w:rPr>
              <w:t> </w:t>
            </w:r>
            <w:r w:rsidRPr="001F1E0E">
              <w:rPr>
                <w:color w:val="000000"/>
                <w:sz w:val="18"/>
                <w:szCs w:val="18"/>
                <w:lang w:val="en-CA"/>
              </w:rPr>
              <w:t>410</w:t>
            </w:r>
          </w:p>
        </w:tc>
        <w:tc>
          <w:tcPr>
            <w:tcW w:w="821"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0</w:t>
            </w: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931" w:type="dxa"/>
          </w:tcPr>
          <w:p w:rsidR="00FA28F7" w:rsidRPr="001F1E0E" w:rsidRDefault="00FA28F7" w:rsidP="00FA28F7">
            <w:pPr>
              <w:jc w:val="right"/>
              <w:rPr>
                <w:color w:val="000000"/>
                <w:sz w:val="18"/>
                <w:szCs w:val="18"/>
                <w:lang w:val="en-CA"/>
              </w:rPr>
            </w:pP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335</w:t>
            </w:r>
            <w:r w:rsidR="009E134F">
              <w:rPr>
                <w:color w:val="000000"/>
                <w:sz w:val="18"/>
                <w:szCs w:val="18"/>
                <w:lang w:val="en-CA"/>
              </w:rPr>
              <w:t> </w:t>
            </w:r>
            <w:r w:rsidRPr="001F1E0E">
              <w:rPr>
                <w:color w:val="000000"/>
                <w:sz w:val="18"/>
                <w:szCs w:val="18"/>
                <w:lang w:val="en-CA"/>
              </w:rPr>
              <w:t>410</w:t>
            </w:r>
          </w:p>
        </w:tc>
      </w:tr>
      <w:tr w:rsidR="00842FB3" w:rsidRPr="001F1E0E" w:rsidTr="00FA28F7">
        <w:trPr>
          <w:jc w:val="center"/>
        </w:trPr>
        <w:tc>
          <w:tcPr>
            <w:tcW w:w="1780" w:type="dxa"/>
            <w:gridSpan w:val="2"/>
            <w:vMerge w:val="restart"/>
            <w:shd w:val="clear" w:color="auto" w:fill="auto"/>
          </w:tcPr>
          <w:p w:rsidR="00FA28F7" w:rsidRPr="00C3019D" w:rsidRDefault="00842FB3" w:rsidP="005B6FC5">
            <w:pPr>
              <w:spacing w:after="60"/>
              <w:jc w:val="left"/>
              <w:rPr>
                <w:sz w:val="18"/>
                <w:szCs w:val="18"/>
                <w:lang w:val="fr-FR"/>
              </w:rPr>
            </w:pPr>
            <w:r w:rsidRPr="00842FB3">
              <w:rPr>
                <w:sz w:val="18"/>
                <w:szCs w:val="18"/>
                <w:lang w:val="fr-FR"/>
              </w:rPr>
              <w:t>Total du financement demandé soumis pour approbation à la présente réunion (US $)</w:t>
            </w:r>
          </w:p>
        </w:tc>
        <w:tc>
          <w:tcPr>
            <w:tcW w:w="800" w:type="dxa"/>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de projet</w:t>
            </w:r>
          </w:p>
        </w:tc>
        <w:tc>
          <w:tcPr>
            <w:tcW w:w="936"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936"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w:t>
            </w:r>
            <w:r w:rsidR="009E134F">
              <w:rPr>
                <w:color w:val="000000"/>
                <w:sz w:val="18"/>
                <w:szCs w:val="18"/>
                <w:lang w:val="en-CA"/>
              </w:rPr>
              <w:t> </w:t>
            </w:r>
            <w:r w:rsidRPr="001F1E0E">
              <w:rPr>
                <w:color w:val="000000"/>
                <w:sz w:val="18"/>
                <w:szCs w:val="18"/>
                <w:lang w:val="en-CA"/>
              </w:rPr>
              <w:t>078</w:t>
            </w:r>
            <w:r w:rsidR="009E134F">
              <w:rPr>
                <w:color w:val="000000"/>
                <w:sz w:val="18"/>
                <w:szCs w:val="18"/>
                <w:lang w:val="en-CA"/>
              </w:rPr>
              <w:t> </w:t>
            </w:r>
            <w:r w:rsidRPr="001F1E0E">
              <w:rPr>
                <w:color w:val="000000"/>
                <w:sz w:val="18"/>
                <w:szCs w:val="18"/>
                <w:lang w:val="en-CA"/>
              </w:rPr>
              <w:t>550</w:t>
            </w: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shd w:val="clear" w:color="auto" w:fill="auto"/>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821" w:type="dxa"/>
          </w:tcPr>
          <w:p w:rsidR="00FA28F7" w:rsidRPr="001F1E0E" w:rsidRDefault="00FA28F7" w:rsidP="00FA28F7">
            <w:pPr>
              <w:jc w:val="right"/>
              <w:rPr>
                <w:color w:val="000000"/>
                <w:sz w:val="18"/>
                <w:szCs w:val="18"/>
                <w:lang w:val="en-CA"/>
              </w:rPr>
            </w:pPr>
          </w:p>
        </w:tc>
        <w:tc>
          <w:tcPr>
            <w:tcW w:w="931" w:type="dxa"/>
          </w:tcPr>
          <w:p w:rsidR="00FA28F7" w:rsidRPr="001F1E0E" w:rsidRDefault="00FA28F7" w:rsidP="00FA28F7">
            <w:pPr>
              <w:jc w:val="right"/>
              <w:rPr>
                <w:color w:val="000000"/>
                <w:sz w:val="18"/>
                <w:szCs w:val="18"/>
                <w:lang w:val="en-CA"/>
              </w:rPr>
            </w:pPr>
          </w:p>
        </w:tc>
        <w:tc>
          <w:tcPr>
            <w:tcW w:w="963" w:type="dxa"/>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3</w:t>
            </w:r>
            <w:r w:rsidR="009E134F">
              <w:rPr>
                <w:color w:val="000000"/>
                <w:sz w:val="18"/>
                <w:szCs w:val="18"/>
                <w:lang w:val="en-CA"/>
              </w:rPr>
              <w:t> </w:t>
            </w:r>
            <w:r w:rsidRPr="001F1E0E">
              <w:rPr>
                <w:color w:val="000000"/>
                <w:sz w:val="18"/>
                <w:szCs w:val="18"/>
                <w:lang w:val="en-CA"/>
              </w:rPr>
              <w:t>078</w:t>
            </w:r>
            <w:r w:rsidR="009E134F">
              <w:rPr>
                <w:color w:val="000000"/>
                <w:sz w:val="18"/>
                <w:szCs w:val="18"/>
                <w:lang w:val="en-CA"/>
              </w:rPr>
              <w:t> </w:t>
            </w:r>
            <w:r w:rsidRPr="001F1E0E">
              <w:rPr>
                <w:color w:val="000000"/>
                <w:sz w:val="18"/>
                <w:szCs w:val="18"/>
                <w:lang w:val="en-CA"/>
              </w:rPr>
              <w:t>550</w:t>
            </w:r>
          </w:p>
        </w:tc>
      </w:tr>
      <w:tr w:rsidR="00842FB3" w:rsidRPr="001F1E0E" w:rsidTr="00FA28F7">
        <w:trPr>
          <w:jc w:val="center"/>
        </w:trPr>
        <w:tc>
          <w:tcPr>
            <w:tcW w:w="1780" w:type="dxa"/>
            <w:gridSpan w:val="2"/>
            <w:vMerge/>
            <w:tcBorders>
              <w:bottom w:val="single" w:sz="4" w:space="0" w:color="auto"/>
            </w:tcBorders>
            <w:shd w:val="clear" w:color="auto" w:fill="auto"/>
          </w:tcPr>
          <w:p w:rsidR="00FA28F7" w:rsidRPr="001F1E0E" w:rsidRDefault="00FA28F7" w:rsidP="00FA28F7">
            <w:pPr>
              <w:spacing w:after="60"/>
              <w:jc w:val="center"/>
              <w:rPr>
                <w:sz w:val="18"/>
                <w:szCs w:val="18"/>
                <w:lang w:val="en-CA"/>
              </w:rPr>
            </w:pPr>
          </w:p>
        </w:tc>
        <w:tc>
          <w:tcPr>
            <w:tcW w:w="800" w:type="dxa"/>
            <w:tcBorders>
              <w:bottom w:val="single" w:sz="4" w:space="0" w:color="auto"/>
            </w:tcBorders>
            <w:shd w:val="clear" w:color="auto" w:fill="auto"/>
          </w:tcPr>
          <w:p w:rsidR="00FA28F7" w:rsidRPr="00842FB3" w:rsidRDefault="00842FB3" w:rsidP="005B6FC5">
            <w:pPr>
              <w:spacing w:after="60"/>
              <w:jc w:val="left"/>
              <w:rPr>
                <w:sz w:val="18"/>
                <w:szCs w:val="18"/>
                <w:lang w:val="en-CA"/>
              </w:rPr>
            </w:pPr>
            <w:r w:rsidRPr="00842FB3">
              <w:rPr>
                <w:sz w:val="18"/>
                <w:szCs w:val="18"/>
                <w:lang w:val="fr-FR"/>
              </w:rPr>
              <w:t>Coûts d</w:t>
            </w:r>
            <w:r w:rsidR="00D77991">
              <w:rPr>
                <w:sz w:val="18"/>
                <w:szCs w:val="18"/>
                <w:lang w:val="fr-FR"/>
              </w:rPr>
              <w:t>’</w:t>
            </w:r>
            <w:r w:rsidRPr="00842FB3">
              <w:rPr>
                <w:sz w:val="18"/>
                <w:szCs w:val="18"/>
                <w:lang w:val="fr-FR"/>
              </w:rPr>
              <w:t>appui</w:t>
            </w:r>
          </w:p>
        </w:tc>
        <w:tc>
          <w:tcPr>
            <w:tcW w:w="936"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p>
        </w:tc>
        <w:tc>
          <w:tcPr>
            <w:tcW w:w="821"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p>
        </w:tc>
        <w:tc>
          <w:tcPr>
            <w:tcW w:w="936"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241</w:t>
            </w:r>
            <w:r w:rsidR="009E134F">
              <w:rPr>
                <w:color w:val="000000"/>
                <w:sz w:val="18"/>
                <w:szCs w:val="18"/>
                <w:lang w:val="en-CA"/>
              </w:rPr>
              <w:t> </w:t>
            </w:r>
            <w:r w:rsidRPr="001F1E0E">
              <w:rPr>
                <w:color w:val="000000"/>
                <w:sz w:val="18"/>
                <w:szCs w:val="18"/>
                <w:lang w:val="en-CA"/>
              </w:rPr>
              <w:t>766</w:t>
            </w:r>
          </w:p>
        </w:tc>
        <w:tc>
          <w:tcPr>
            <w:tcW w:w="821"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p>
        </w:tc>
        <w:tc>
          <w:tcPr>
            <w:tcW w:w="821"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p>
        </w:tc>
        <w:tc>
          <w:tcPr>
            <w:tcW w:w="821"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p>
        </w:tc>
        <w:tc>
          <w:tcPr>
            <w:tcW w:w="821" w:type="dxa"/>
            <w:tcBorders>
              <w:bottom w:val="single" w:sz="4" w:space="0" w:color="auto"/>
            </w:tcBorders>
          </w:tcPr>
          <w:p w:rsidR="00FA28F7" w:rsidRPr="001F1E0E" w:rsidRDefault="00FA28F7" w:rsidP="00FA28F7">
            <w:pPr>
              <w:jc w:val="right"/>
              <w:rPr>
                <w:color w:val="000000"/>
                <w:sz w:val="18"/>
                <w:szCs w:val="18"/>
                <w:lang w:val="en-CA"/>
              </w:rPr>
            </w:pPr>
          </w:p>
        </w:tc>
        <w:tc>
          <w:tcPr>
            <w:tcW w:w="821" w:type="dxa"/>
            <w:tcBorders>
              <w:bottom w:val="single" w:sz="4" w:space="0" w:color="auto"/>
            </w:tcBorders>
          </w:tcPr>
          <w:p w:rsidR="00FA28F7" w:rsidRPr="001F1E0E" w:rsidRDefault="00FA28F7" w:rsidP="00FA28F7">
            <w:pPr>
              <w:jc w:val="right"/>
              <w:rPr>
                <w:color w:val="000000"/>
                <w:sz w:val="18"/>
                <w:szCs w:val="18"/>
                <w:lang w:val="en-CA"/>
              </w:rPr>
            </w:pPr>
          </w:p>
        </w:tc>
        <w:tc>
          <w:tcPr>
            <w:tcW w:w="931" w:type="dxa"/>
            <w:tcBorders>
              <w:bottom w:val="single" w:sz="4" w:space="0" w:color="auto"/>
            </w:tcBorders>
          </w:tcPr>
          <w:p w:rsidR="00FA28F7" w:rsidRPr="001F1E0E" w:rsidRDefault="00FA28F7" w:rsidP="00FA28F7">
            <w:pPr>
              <w:jc w:val="right"/>
              <w:rPr>
                <w:color w:val="000000"/>
                <w:sz w:val="18"/>
                <w:szCs w:val="18"/>
                <w:lang w:val="en-CA"/>
              </w:rPr>
            </w:pPr>
          </w:p>
        </w:tc>
        <w:tc>
          <w:tcPr>
            <w:tcW w:w="963" w:type="dxa"/>
            <w:tcBorders>
              <w:bottom w:val="single" w:sz="4" w:space="0" w:color="auto"/>
            </w:tcBorders>
            <w:shd w:val="clear" w:color="auto" w:fill="auto"/>
          </w:tcPr>
          <w:p w:rsidR="00FA28F7" w:rsidRPr="001F1E0E" w:rsidRDefault="00FA28F7" w:rsidP="00FA28F7">
            <w:pPr>
              <w:jc w:val="right"/>
              <w:rPr>
                <w:color w:val="000000"/>
                <w:sz w:val="18"/>
                <w:szCs w:val="18"/>
                <w:lang w:val="en-CA"/>
              </w:rPr>
            </w:pPr>
            <w:r w:rsidRPr="001F1E0E">
              <w:rPr>
                <w:color w:val="000000"/>
                <w:sz w:val="18"/>
                <w:szCs w:val="18"/>
                <w:lang w:val="en-CA"/>
              </w:rPr>
              <w:t>241</w:t>
            </w:r>
            <w:r w:rsidR="009E134F">
              <w:rPr>
                <w:color w:val="000000"/>
                <w:sz w:val="18"/>
                <w:szCs w:val="18"/>
                <w:lang w:val="en-CA"/>
              </w:rPr>
              <w:t> </w:t>
            </w:r>
            <w:r w:rsidRPr="001F1E0E">
              <w:rPr>
                <w:color w:val="000000"/>
                <w:sz w:val="18"/>
                <w:szCs w:val="18"/>
                <w:lang w:val="en-CA"/>
              </w:rPr>
              <w:t>766</w:t>
            </w:r>
          </w:p>
        </w:tc>
      </w:tr>
      <w:tr w:rsidR="00FA28F7" w:rsidRPr="00C17C20" w:rsidTr="00FA28F7">
        <w:trPr>
          <w:jc w:val="center"/>
        </w:trPr>
        <w:tc>
          <w:tcPr>
            <w:tcW w:w="11272" w:type="dxa"/>
            <w:gridSpan w:val="13"/>
            <w:tcBorders>
              <w:top w:val="single" w:sz="4" w:space="0" w:color="auto"/>
              <w:left w:val="nil"/>
              <w:bottom w:val="nil"/>
              <w:right w:val="nil"/>
            </w:tcBorders>
            <w:shd w:val="clear" w:color="auto" w:fill="auto"/>
          </w:tcPr>
          <w:p w:rsidR="00FA28F7" w:rsidRPr="00C3019D" w:rsidRDefault="00842FB3" w:rsidP="00037B50">
            <w:pPr>
              <w:jc w:val="left"/>
              <w:rPr>
                <w:szCs w:val="16"/>
                <w:lang w:val="fr-FR"/>
              </w:rPr>
            </w:pPr>
            <w:r w:rsidRPr="00BD26B4">
              <w:rPr>
                <w:lang w:val="fr-FR"/>
              </w:rPr>
              <w:t>*</w:t>
            </w:r>
            <w:r w:rsidR="00D77991">
              <w:rPr>
                <w:lang w:val="fr-FR"/>
              </w:rPr>
              <w:t xml:space="preserve"> </w:t>
            </w:r>
            <w:r w:rsidR="00BD26B4" w:rsidRPr="00BD26B4">
              <w:rPr>
                <w:sz w:val="16"/>
                <w:szCs w:val="16"/>
                <w:lang w:val="fr-FR"/>
              </w:rPr>
              <w:t xml:space="preserve">La consommation totale maximum autorisée des substances </w:t>
            </w:r>
            <w:r w:rsidR="00037B50">
              <w:rPr>
                <w:sz w:val="16"/>
                <w:szCs w:val="16"/>
                <w:lang w:val="fr-FR"/>
              </w:rPr>
              <w:t>du Groupe I de</w:t>
            </w:r>
            <w:r w:rsidR="00BD26B4" w:rsidRPr="00BD26B4">
              <w:rPr>
                <w:sz w:val="16"/>
                <w:szCs w:val="16"/>
                <w:lang w:val="fr-FR"/>
              </w:rPr>
              <w:t xml:space="preserve"> l</w:t>
            </w:r>
            <w:r w:rsidR="00D77991">
              <w:rPr>
                <w:sz w:val="16"/>
                <w:szCs w:val="16"/>
                <w:lang w:val="fr-FR"/>
              </w:rPr>
              <w:t>’</w:t>
            </w:r>
            <w:r w:rsidRPr="00BD26B4">
              <w:rPr>
                <w:sz w:val="16"/>
                <w:szCs w:val="16"/>
                <w:lang w:val="fr-FR"/>
              </w:rPr>
              <w:t>Annex</w:t>
            </w:r>
            <w:r w:rsidR="00BD26B4" w:rsidRPr="00BD26B4">
              <w:rPr>
                <w:sz w:val="16"/>
                <w:szCs w:val="16"/>
                <w:lang w:val="fr-FR"/>
              </w:rPr>
              <w:t>e</w:t>
            </w:r>
            <w:r w:rsidRPr="00BD26B4">
              <w:rPr>
                <w:sz w:val="16"/>
                <w:szCs w:val="16"/>
                <w:lang w:val="fr-FR"/>
              </w:rPr>
              <w:t xml:space="preserve"> C </w:t>
            </w:r>
            <w:r w:rsidR="00BD26B4" w:rsidRPr="00BD26B4">
              <w:rPr>
                <w:sz w:val="16"/>
                <w:szCs w:val="16"/>
                <w:lang w:val="fr-FR"/>
              </w:rPr>
              <w:t>sera davantage réduite</w:t>
            </w:r>
            <w:r w:rsidRPr="00BD26B4">
              <w:rPr>
                <w:sz w:val="16"/>
                <w:szCs w:val="16"/>
                <w:lang w:val="fr-FR"/>
              </w:rPr>
              <w:t xml:space="preserve"> </w:t>
            </w:r>
            <w:r w:rsidR="00BD26B4" w:rsidRPr="00BD26B4">
              <w:rPr>
                <w:sz w:val="16"/>
                <w:szCs w:val="16"/>
                <w:lang w:val="fr-FR"/>
              </w:rPr>
              <w:t xml:space="preserve">de </w:t>
            </w:r>
            <w:r w:rsidRPr="00BD26B4">
              <w:rPr>
                <w:sz w:val="16"/>
                <w:szCs w:val="16"/>
                <w:lang w:val="fr-FR"/>
              </w:rPr>
              <w:t xml:space="preserve">10 </w:t>
            </w:r>
            <w:r w:rsidR="00BD26B4" w:rsidRPr="00BD26B4">
              <w:rPr>
                <w:sz w:val="16"/>
                <w:szCs w:val="16"/>
                <w:lang w:val="fr-FR"/>
              </w:rPr>
              <w:t>tonnes PAO au plus</w:t>
            </w:r>
            <w:r w:rsidR="00C75DB1">
              <w:rPr>
                <w:sz w:val="16"/>
                <w:szCs w:val="16"/>
                <w:lang w:val="fr-FR"/>
              </w:rPr>
              <w:t xml:space="preserve">, </w:t>
            </w:r>
            <w:r w:rsidR="00BD26B4" w:rsidRPr="00BD26B4">
              <w:rPr>
                <w:sz w:val="16"/>
                <w:szCs w:val="16"/>
                <w:lang w:val="fr-FR"/>
              </w:rPr>
              <w:t>après l</w:t>
            </w:r>
            <w:r w:rsidR="00D77991">
              <w:rPr>
                <w:sz w:val="16"/>
                <w:szCs w:val="16"/>
                <w:lang w:val="fr-FR"/>
              </w:rPr>
              <w:t>’</w:t>
            </w:r>
            <w:r w:rsidR="00BD26B4" w:rsidRPr="00BD26B4">
              <w:rPr>
                <w:sz w:val="16"/>
                <w:szCs w:val="16"/>
                <w:lang w:val="fr-FR"/>
              </w:rPr>
              <w:t>approbation du</w:t>
            </w:r>
          </w:p>
          <w:p w:rsidR="00FA28F7" w:rsidRPr="00C3019D" w:rsidRDefault="00D77991" w:rsidP="00BD26B4">
            <w:pPr>
              <w:jc w:val="left"/>
              <w:rPr>
                <w:sz w:val="16"/>
                <w:szCs w:val="16"/>
                <w:lang w:val="fr-FR"/>
              </w:rPr>
            </w:pPr>
            <w:r w:rsidRPr="00C3019D">
              <w:rPr>
                <w:sz w:val="16"/>
                <w:szCs w:val="16"/>
                <w:lang w:val="fr-FR"/>
              </w:rPr>
              <w:t xml:space="preserve">   </w:t>
            </w:r>
            <w:r w:rsidR="00DD3C6A">
              <w:rPr>
                <w:sz w:val="16"/>
                <w:szCs w:val="16"/>
                <w:lang w:val="fr-FR"/>
              </w:rPr>
              <w:t xml:space="preserve"> </w:t>
            </w:r>
            <w:r w:rsidR="00BD26B4" w:rsidRPr="00BD26B4">
              <w:rPr>
                <w:sz w:val="16"/>
                <w:szCs w:val="16"/>
                <w:lang w:val="fr-FR"/>
              </w:rPr>
              <w:t>plan de secteur de la climatisation dans le cadre de la phase II</w:t>
            </w:r>
          </w:p>
          <w:p w:rsidR="005F136A" w:rsidRPr="00C3019D" w:rsidRDefault="00BD26B4" w:rsidP="00C75DB1">
            <w:pPr>
              <w:jc w:val="left"/>
              <w:rPr>
                <w:color w:val="000000"/>
                <w:sz w:val="16"/>
                <w:szCs w:val="16"/>
                <w:lang w:val="fr-FR"/>
              </w:rPr>
            </w:pPr>
            <w:r w:rsidRPr="00BD26B4">
              <w:rPr>
                <w:color w:val="000000"/>
                <w:sz w:val="16"/>
                <w:szCs w:val="16"/>
                <w:lang w:val="fr-FR"/>
              </w:rPr>
              <w:t>Note :</w:t>
            </w:r>
            <w:r w:rsidR="005F136A" w:rsidRPr="00C3019D">
              <w:rPr>
                <w:color w:val="000000"/>
                <w:sz w:val="16"/>
                <w:szCs w:val="16"/>
                <w:lang w:val="fr-FR"/>
              </w:rPr>
              <w:t xml:space="preserve"> </w:t>
            </w:r>
            <w:r w:rsidRPr="00BD26B4">
              <w:rPr>
                <w:color w:val="000000"/>
                <w:sz w:val="16"/>
                <w:szCs w:val="16"/>
                <w:lang w:val="fr-FR"/>
              </w:rPr>
              <w:t>Accord révisé devant être examin</w:t>
            </w:r>
            <w:r w:rsidR="00C75DB1">
              <w:rPr>
                <w:color w:val="000000"/>
                <w:sz w:val="16"/>
                <w:szCs w:val="16"/>
                <w:lang w:val="fr-FR"/>
              </w:rPr>
              <w:t>é</w:t>
            </w:r>
            <w:r w:rsidRPr="00BD26B4">
              <w:rPr>
                <w:color w:val="000000"/>
                <w:sz w:val="16"/>
                <w:szCs w:val="16"/>
                <w:lang w:val="fr-FR"/>
              </w:rPr>
              <w:t xml:space="preserve"> lors de la 84</w:t>
            </w:r>
            <w:r w:rsidRPr="00BD26B4">
              <w:rPr>
                <w:color w:val="000000"/>
                <w:sz w:val="16"/>
                <w:szCs w:val="16"/>
                <w:vertAlign w:val="superscript"/>
                <w:lang w:val="fr-FR"/>
              </w:rPr>
              <w:t>e</w:t>
            </w:r>
            <w:r w:rsidRPr="00BD26B4">
              <w:rPr>
                <w:color w:val="000000"/>
                <w:sz w:val="16"/>
                <w:szCs w:val="16"/>
                <w:lang w:val="fr-FR"/>
              </w:rPr>
              <w:t xml:space="preserve"> réunion.</w:t>
            </w:r>
          </w:p>
        </w:tc>
      </w:tr>
    </w:tbl>
    <w:p w:rsidR="00FA28F7" w:rsidRPr="00C3019D" w:rsidRDefault="00FA28F7" w:rsidP="007802D7">
      <w:pPr>
        <w:spacing w:after="60"/>
        <w:rPr>
          <w:sz w:val="16"/>
          <w:szCs w:val="16"/>
          <w:lang w:val="fr-FR"/>
        </w:rPr>
      </w:pPr>
    </w:p>
    <w:p w:rsidR="00270A25" w:rsidRPr="00C3019D" w:rsidRDefault="00270A25" w:rsidP="007802D7">
      <w:pPr>
        <w:spacing w:after="60"/>
        <w:rPr>
          <w:sz w:val="16"/>
          <w:szCs w:val="16"/>
          <w:lang w:val="fr-FR"/>
        </w:rPr>
      </w:pPr>
    </w:p>
    <w:tbl>
      <w:tblPr>
        <w:tblStyle w:val="TableGrid"/>
        <w:tblW w:w="10992" w:type="dxa"/>
        <w:tblInd w:w="-71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714"/>
        <w:gridCol w:w="7278"/>
      </w:tblGrid>
      <w:tr w:rsidR="007802D7" w:rsidRPr="001F1E0E" w:rsidTr="00C964D6">
        <w:trPr>
          <w:trHeight w:val="240"/>
        </w:trPr>
        <w:tc>
          <w:tcPr>
            <w:tcW w:w="3714" w:type="dxa"/>
            <w:shd w:val="clear" w:color="auto" w:fill="auto"/>
          </w:tcPr>
          <w:p w:rsidR="007802D7" w:rsidRPr="00BD26B4" w:rsidRDefault="00BD26B4" w:rsidP="005B6FC5">
            <w:pPr>
              <w:spacing w:after="60"/>
              <w:jc w:val="left"/>
              <w:rPr>
                <w:b/>
                <w:sz w:val="18"/>
                <w:lang w:val="en-CA"/>
              </w:rPr>
            </w:pPr>
            <w:r w:rsidRPr="00BD26B4">
              <w:rPr>
                <w:b/>
                <w:sz w:val="18"/>
                <w:lang w:val="fr-FR"/>
              </w:rPr>
              <w:t xml:space="preserve">Recommandation du </w:t>
            </w:r>
            <w:r w:rsidR="00C75DB1">
              <w:rPr>
                <w:b/>
                <w:sz w:val="18"/>
                <w:lang w:val="fr-FR"/>
              </w:rPr>
              <w:t>Secrétariat</w:t>
            </w:r>
            <w:r w:rsidRPr="00BD26B4">
              <w:rPr>
                <w:b/>
                <w:sz w:val="18"/>
                <w:lang w:val="fr-FR"/>
              </w:rPr>
              <w:t> :</w:t>
            </w:r>
          </w:p>
        </w:tc>
        <w:tc>
          <w:tcPr>
            <w:tcW w:w="7278" w:type="dxa"/>
            <w:shd w:val="clear" w:color="auto" w:fill="auto"/>
          </w:tcPr>
          <w:p w:rsidR="007802D7" w:rsidRPr="00BD26B4" w:rsidRDefault="00BD26B4" w:rsidP="005B6FC5">
            <w:pPr>
              <w:spacing w:after="60"/>
              <w:jc w:val="center"/>
              <w:rPr>
                <w:sz w:val="18"/>
                <w:lang w:val="en-CA"/>
              </w:rPr>
            </w:pPr>
            <w:r w:rsidRPr="00BD26B4">
              <w:rPr>
                <w:sz w:val="18"/>
                <w:lang w:val="fr-FR"/>
              </w:rPr>
              <w:t>Pour examen individuel</w:t>
            </w:r>
          </w:p>
        </w:tc>
      </w:tr>
    </w:tbl>
    <w:p w:rsidR="007802D7" w:rsidRPr="001F1E0E" w:rsidRDefault="007802D7" w:rsidP="007802D7">
      <w:pPr>
        <w:rPr>
          <w:lang w:val="en-CA"/>
        </w:rPr>
      </w:pPr>
    </w:p>
    <w:p w:rsidR="00255CDE" w:rsidRPr="001F1E0E" w:rsidRDefault="00255CDE" w:rsidP="00255CDE">
      <w:pPr>
        <w:rPr>
          <w:lang w:val="en-CA"/>
        </w:rPr>
      </w:pPr>
    </w:p>
    <w:p w:rsidR="00255CDE" w:rsidRPr="001F1E0E" w:rsidRDefault="00255CDE" w:rsidP="00255CDE">
      <w:pPr>
        <w:rPr>
          <w:lang w:val="en-CA"/>
        </w:rPr>
      </w:pPr>
    </w:p>
    <w:p w:rsidR="00255CDE" w:rsidRPr="001F1E0E" w:rsidRDefault="00255CDE" w:rsidP="00255CDE">
      <w:pPr>
        <w:rPr>
          <w:lang w:val="en-CA"/>
        </w:rPr>
      </w:pPr>
      <w:r w:rsidRPr="001F1E0E">
        <w:rPr>
          <w:lang w:val="en-CA"/>
        </w:rPr>
        <w:br w:type="page"/>
      </w:r>
    </w:p>
    <w:p w:rsidR="00D00388" w:rsidRPr="001F1E0E" w:rsidRDefault="00D00388" w:rsidP="00255CDE">
      <w:pPr>
        <w:jc w:val="center"/>
        <w:rPr>
          <w:b/>
          <w:lang w:val="en-CA"/>
        </w:rPr>
      </w:pPr>
    </w:p>
    <w:p w:rsidR="00D00388" w:rsidRPr="001F1E0E" w:rsidRDefault="00D00388" w:rsidP="00255CDE">
      <w:pPr>
        <w:jc w:val="center"/>
        <w:rPr>
          <w:b/>
          <w:lang w:val="en-CA"/>
        </w:rPr>
      </w:pPr>
    </w:p>
    <w:p w:rsidR="00255CDE" w:rsidRPr="00BD26B4" w:rsidRDefault="00BD26B4" w:rsidP="00255CDE">
      <w:pPr>
        <w:jc w:val="center"/>
        <w:rPr>
          <w:b/>
          <w:lang w:val="en-CA"/>
        </w:rPr>
      </w:pPr>
      <w:r w:rsidRPr="00BD26B4">
        <w:rPr>
          <w:b/>
          <w:lang w:val="fr-FR"/>
        </w:rPr>
        <w:t>DESCRIPTION DU PROJET</w:t>
      </w:r>
    </w:p>
    <w:p w:rsidR="00255CDE" w:rsidRPr="001F1E0E" w:rsidRDefault="00255CDE" w:rsidP="00255CDE">
      <w:pPr>
        <w:rPr>
          <w:lang w:val="en-CA"/>
        </w:rPr>
      </w:pPr>
    </w:p>
    <w:p w:rsidR="00BD26B4" w:rsidRPr="00C3019D" w:rsidRDefault="00BD26B4" w:rsidP="00BD26B4">
      <w:pPr>
        <w:pStyle w:val="Heading1"/>
        <w:rPr>
          <w:lang w:val="fr-FR"/>
        </w:rPr>
      </w:pPr>
      <w:r w:rsidRPr="00BD26B4">
        <w:rPr>
          <w:lang w:val="fr-FR"/>
        </w:rPr>
        <w:t>Au nom du gouvernement de l</w:t>
      </w:r>
      <w:r w:rsidR="00D77991">
        <w:rPr>
          <w:lang w:val="fr-FR"/>
        </w:rPr>
        <w:t>’</w:t>
      </w:r>
      <w:r w:rsidRPr="00BD26B4">
        <w:rPr>
          <w:lang w:val="fr-FR"/>
        </w:rPr>
        <w:t>Égypte, l</w:t>
      </w:r>
      <w:r w:rsidR="00D77991">
        <w:rPr>
          <w:lang w:val="fr-FR"/>
        </w:rPr>
        <w:t>’</w:t>
      </w:r>
      <w:r w:rsidRPr="00BD26B4">
        <w:rPr>
          <w:lang w:val="fr-FR"/>
        </w:rPr>
        <w:t>ONUDI, en qualité agence d</w:t>
      </w:r>
      <w:r w:rsidR="00D77991">
        <w:rPr>
          <w:lang w:val="fr-FR"/>
        </w:rPr>
        <w:t>’</w:t>
      </w:r>
      <w:r w:rsidRPr="00BD26B4">
        <w:rPr>
          <w:lang w:val="fr-FR"/>
        </w:rPr>
        <w:t>exécution principale, a soumis une demande de financement pour la deuxième tranche de la phase II du plan de gestion de l</w:t>
      </w:r>
      <w:r w:rsidR="00D77991">
        <w:rPr>
          <w:lang w:val="fr-FR"/>
        </w:rPr>
        <w:t>’</w:t>
      </w:r>
      <w:r w:rsidRPr="00BD26B4">
        <w:rPr>
          <w:lang w:val="fr-FR"/>
        </w:rPr>
        <w:t>élimination des HCFC (PGEH) représentant un montant total de 3 320 316 $US, soit 755 000 $US plus coûts d</w:t>
      </w:r>
      <w:r w:rsidR="00D77991">
        <w:rPr>
          <w:lang w:val="fr-FR"/>
        </w:rPr>
        <w:t>’</w:t>
      </w:r>
      <w:r w:rsidRPr="00BD26B4">
        <w:rPr>
          <w:lang w:val="fr-FR"/>
        </w:rPr>
        <w:t>appui d</w:t>
      </w:r>
      <w:r w:rsidR="00D77991">
        <w:rPr>
          <w:lang w:val="fr-FR"/>
        </w:rPr>
        <w:t>’</w:t>
      </w:r>
      <w:r w:rsidRPr="00BD26B4">
        <w:rPr>
          <w:lang w:val="fr-FR"/>
        </w:rPr>
        <w:t>agence de 52 850 $US pour l</w:t>
      </w:r>
      <w:r w:rsidR="00D77991">
        <w:rPr>
          <w:lang w:val="fr-FR"/>
        </w:rPr>
        <w:t>’</w:t>
      </w:r>
      <w:r w:rsidRPr="00BD26B4">
        <w:rPr>
          <w:lang w:val="fr-FR"/>
        </w:rPr>
        <w:t>ONUDI, 1 836 750 $US plus coûts d</w:t>
      </w:r>
      <w:r w:rsidR="00D77991">
        <w:rPr>
          <w:lang w:val="fr-FR"/>
        </w:rPr>
        <w:t>’</w:t>
      </w:r>
      <w:r w:rsidRPr="00BD26B4">
        <w:rPr>
          <w:lang w:val="fr-FR"/>
        </w:rPr>
        <w:t>appui d</w:t>
      </w:r>
      <w:r w:rsidR="00D77991">
        <w:rPr>
          <w:lang w:val="fr-FR"/>
        </w:rPr>
        <w:t>’</w:t>
      </w:r>
      <w:r w:rsidRPr="00BD26B4">
        <w:rPr>
          <w:lang w:val="fr-FR"/>
        </w:rPr>
        <w:t>agence de 128 573 $US pour le PNUD, 279 500 $US plus coûts d</w:t>
      </w:r>
      <w:r w:rsidR="00D77991">
        <w:rPr>
          <w:lang w:val="fr-FR"/>
        </w:rPr>
        <w:t>’</w:t>
      </w:r>
      <w:r w:rsidRPr="00BD26B4">
        <w:rPr>
          <w:lang w:val="fr-FR"/>
        </w:rPr>
        <w:t>appui d</w:t>
      </w:r>
      <w:r w:rsidR="00D77991">
        <w:rPr>
          <w:lang w:val="fr-FR"/>
        </w:rPr>
        <w:t>’</w:t>
      </w:r>
      <w:r w:rsidRPr="00BD26B4">
        <w:rPr>
          <w:lang w:val="fr-FR"/>
        </w:rPr>
        <w:t>agence de 33 394 $US pour le PNUE et</w:t>
      </w:r>
      <w:r w:rsidR="00D77991">
        <w:rPr>
          <w:lang w:val="fr-FR"/>
        </w:rPr>
        <w:t xml:space="preserve"> </w:t>
      </w:r>
      <w:r w:rsidRPr="00BD26B4">
        <w:rPr>
          <w:lang w:val="fr-FR"/>
        </w:rPr>
        <w:t>207 300 $US plus coûts d</w:t>
      </w:r>
      <w:r w:rsidR="00D77991">
        <w:rPr>
          <w:lang w:val="fr-FR"/>
        </w:rPr>
        <w:t>’</w:t>
      </w:r>
      <w:r w:rsidRPr="00BD26B4">
        <w:rPr>
          <w:lang w:val="fr-FR"/>
        </w:rPr>
        <w:t>appui d</w:t>
      </w:r>
      <w:r w:rsidR="00D77991">
        <w:rPr>
          <w:lang w:val="fr-FR"/>
        </w:rPr>
        <w:t>’</w:t>
      </w:r>
      <w:r w:rsidRPr="00BD26B4">
        <w:rPr>
          <w:lang w:val="fr-FR"/>
        </w:rPr>
        <w:t>agence de 26 949 $US pour le gouvernement de l</w:t>
      </w:r>
      <w:r w:rsidR="00D77991">
        <w:rPr>
          <w:lang w:val="fr-FR"/>
        </w:rPr>
        <w:t>’</w:t>
      </w:r>
      <w:r w:rsidRPr="00BD26B4">
        <w:rPr>
          <w:lang w:val="fr-FR"/>
        </w:rPr>
        <w:t>Allemagne</w:t>
      </w:r>
      <w:r w:rsidRPr="00BD26B4">
        <w:rPr>
          <w:rStyle w:val="FootnoteReference"/>
          <w:lang w:val="en-CA"/>
        </w:rPr>
        <w:footnoteReference w:id="10"/>
      </w:r>
      <w:r w:rsidR="00C75DB1">
        <w:rPr>
          <w:lang w:val="fr-FR"/>
        </w:rPr>
        <w:t>.</w:t>
      </w:r>
      <w:r w:rsidRPr="00C3019D">
        <w:rPr>
          <w:lang w:val="fr-FR"/>
        </w:rPr>
        <w:t xml:space="preserve"> </w:t>
      </w:r>
      <w:r w:rsidRPr="00BD26B4">
        <w:rPr>
          <w:lang w:val="fr-FR"/>
        </w:rPr>
        <w:t>Cette demande comprend un rapport périodique sur la mise en œuvre de la première tranche du PGEH ainsi que le rapport de vérification de la consommation de HCFC pour 2018 et le plan de mise en œuvre de la tranche pour la période 2019-2021.</w:t>
      </w:r>
    </w:p>
    <w:p w:rsidR="00BD26B4" w:rsidRPr="000B2C68" w:rsidRDefault="00BD26B4" w:rsidP="002866A1">
      <w:pPr>
        <w:pStyle w:val="Heading1"/>
        <w:rPr>
          <w:lang w:val="fr-FR"/>
        </w:rPr>
      </w:pPr>
      <w:r w:rsidRPr="00BD26B4">
        <w:rPr>
          <w:lang w:val="fr-FR"/>
        </w:rPr>
        <w:t>Lors de la 79</w:t>
      </w:r>
      <w:r w:rsidRPr="00BD26B4">
        <w:rPr>
          <w:vertAlign w:val="superscript"/>
          <w:lang w:val="fr-FR"/>
        </w:rPr>
        <w:t>e</w:t>
      </w:r>
      <w:r w:rsidR="00D77991">
        <w:rPr>
          <w:lang w:val="fr-FR"/>
        </w:rPr>
        <w:t xml:space="preserve"> </w:t>
      </w:r>
      <w:r w:rsidRPr="00BD26B4">
        <w:rPr>
          <w:lang w:val="fr-FR"/>
        </w:rPr>
        <w:t>réunion, le Comité exécutif a décidé d</w:t>
      </w:r>
      <w:r w:rsidR="00D77991">
        <w:rPr>
          <w:lang w:val="fr-FR"/>
        </w:rPr>
        <w:t>’</w:t>
      </w:r>
      <w:r w:rsidRPr="00BD26B4">
        <w:rPr>
          <w:lang w:val="fr-FR"/>
        </w:rPr>
        <w:t>inviter le gouvernement de l</w:t>
      </w:r>
      <w:r w:rsidR="00D77991">
        <w:rPr>
          <w:lang w:val="fr-FR"/>
        </w:rPr>
        <w:t>’</w:t>
      </w:r>
      <w:r w:rsidRPr="00BD26B4">
        <w:rPr>
          <w:lang w:val="fr-FR"/>
        </w:rPr>
        <w:t>Égypte à présenter, à titre exceptionnel, dès qu</w:t>
      </w:r>
      <w:r w:rsidR="00D77991">
        <w:rPr>
          <w:lang w:val="fr-FR"/>
        </w:rPr>
        <w:t>’</w:t>
      </w:r>
      <w:r w:rsidRPr="00BD26B4">
        <w:rPr>
          <w:lang w:val="fr-FR"/>
        </w:rPr>
        <w:t>une technologie sera sélectionnée et avant le 1</w:t>
      </w:r>
      <w:r w:rsidRPr="00BD26B4">
        <w:rPr>
          <w:vertAlign w:val="superscript"/>
          <w:lang w:val="fr-FR"/>
        </w:rPr>
        <w:t>er</w:t>
      </w:r>
      <w:r w:rsidRPr="00BD26B4">
        <w:rPr>
          <w:lang w:val="fr-FR"/>
        </w:rPr>
        <w:t xml:space="preserve"> janvier 2020, dans le cadre de la phase II, une proposition visant à reconvertir le secteur de la climatisation domestique à des solutions de remplacement à faible potentiel de réchauffement de la planète (décision 79/34(d)).</w:t>
      </w:r>
      <w:r w:rsidR="00D77991" w:rsidRPr="00C3019D">
        <w:rPr>
          <w:lang w:val="fr-FR"/>
        </w:rPr>
        <w:t xml:space="preserve"> </w:t>
      </w:r>
      <w:r w:rsidR="00BF18E8" w:rsidRPr="00BF18E8">
        <w:rPr>
          <w:lang w:val="fr-FR"/>
        </w:rPr>
        <w:t>Au nom du gouvernement de l</w:t>
      </w:r>
      <w:r w:rsidR="00D77991">
        <w:rPr>
          <w:lang w:val="fr-FR"/>
        </w:rPr>
        <w:t>’</w:t>
      </w:r>
      <w:r w:rsidR="00BF18E8" w:rsidRPr="00BF18E8">
        <w:rPr>
          <w:lang w:val="fr-FR"/>
        </w:rPr>
        <w:t>Égypte, l</w:t>
      </w:r>
      <w:r w:rsidR="00D77991">
        <w:rPr>
          <w:lang w:val="fr-FR"/>
        </w:rPr>
        <w:t>’</w:t>
      </w:r>
      <w:r w:rsidR="00BF18E8" w:rsidRPr="00BF18E8">
        <w:rPr>
          <w:lang w:val="fr-FR"/>
        </w:rPr>
        <w:t>ONUDI a soumis un projet de reconversion du HC</w:t>
      </w:r>
      <w:r w:rsidR="00CD2328">
        <w:rPr>
          <w:lang w:val="fr-FR"/>
        </w:rPr>
        <w:t>F</w:t>
      </w:r>
      <w:r w:rsidR="00BF18E8" w:rsidRPr="00BF18E8">
        <w:rPr>
          <w:lang w:val="fr-FR"/>
        </w:rPr>
        <w:t xml:space="preserve">C-22 dans le secteur de la fabrication </w:t>
      </w:r>
      <w:r w:rsidR="00E70B5B">
        <w:rPr>
          <w:lang w:val="fr-FR"/>
        </w:rPr>
        <w:t xml:space="preserve">des climatiseurs résidentiels </w:t>
      </w:r>
      <w:r w:rsidR="00BF18E8" w:rsidRPr="00BF18E8">
        <w:rPr>
          <w:lang w:val="fr-FR"/>
        </w:rPr>
        <w:t>représentant un montant de 11 710 018 $US plus coûts d</w:t>
      </w:r>
      <w:r w:rsidR="00D77991">
        <w:rPr>
          <w:lang w:val="fr-FR"/>
        </w:rPr>
        <w:t>’</w:t>
      </w:r>
      <w:r w:rsidR="00BF18E8" w:rsidRPr="00BF18E8">
        <w:rPr>
          <w:lang w:val="fr-FR"/>
        </w:rPr>
        <w:t>appui d</w:t>
      </w:r>
      <w:r w:rsidR="00D77991">
        <w:rPr>
          <w:lang w:val="fr-FR"/>
        </w:rPr>
        <w:t>’</w:t>
      </w:r>
      <w:r w:rsidR="00BF18E8" w:rsidRPr="00BF18E8">
        <w:rPr>
          <w:lang w:val="fr-FR"/>
        </w:rPr>
        <w:t>agence de 819 701 $US, selon la proposition soumise.</w:t>
      </w:r>
      <w:r w:rsidR="00BF18E8" w:rsidRPr="00C3019D">
        <w:rPr>
          <w:lang w:val="fr-FR"/>
        </w:rPr>
        <w:t xml:space="preserve"> </w:t>
      </w:r>
      <w:r w:rsidR="00BF18E8" w:rsidRPr="00BF18E8">
        <w:rPr>
          <w:lang w:val="fr-FR"/>
        </w:rPr>
        <w:t>Si le projet est approuvé, il sera incorporé dans l</w:t>
      </w:r>
      <w:r w:rsidR="00D77991">
        <w:rPr>
          <w:lang w:val="fr-FR"/>
        </w:rPr>
        <w:t>’</w:t>
      </w:r>
      <w:r w:rsidR="00BF18E8" w:rsidRPr="00BF18E8">
        <w:rPr>
          <w:lang w:val="fr-FR"/>
        </w:rPr>
        <w:t>accord conclu</w:t>
      </w:r>
      <w:r w:rsidR="00CD2328">
        <w:rPr>
          <w:lang w:val="fr-FR"/>
        </w:rPr>
        <w:t xml:space="preserve"> avec</w:t>
      </w:r>
      <w:r w:rsidR="00BF18E8" w:rsidRPr="00BF18E8">
        <w:rPr>
          <w:lang w:val="fr-FR"/>
        </w:rPr>
        <w:t xml:space="preserve"> le Comité exécutif pour la phase II du PGEH</w:t>
      </w:r>
      <w:r w:rsidR="00BF18E8" w:rsidRPr="00BF18E8">
        <w:rPr>
          <w:rStyle w:val="FootnoteReference"/>
          <w:lang w:val="en-CA"/>
        </w:rPr>
        <w:footnoteReference w:id="11"/>
      </w:r>
      <w:r w:rsidR="00C75DB1">
        <w:rPr>
          <w:lang w:val="fr-FR"/>
        </w:rPr>
        <w:t>.</w:t>
      </w:r>
    </w:p>
    <w:p w:rsidR="002866A1" w:rsidRPr="00C3019D" w:rsidRDefault="00BF18E8" w:rsidP="002866A1">
      <w:pPr>
        <w:rPr>
          <w:u w:val="single"/>
          <w:lang w:val="fr-FR"/>
        </w:rPr>
      </w:pPr>
      <w:r w:rsidRPr="00BF18E8">
        <w:rPr>
          <w:u w:val="single"/>
          <w:lang w:val="fr-FR"/>
        </w:rPr>
        <w:t>Rapport sur la consommation de HCFC</w:t>
      </w:r>
    </w:p>
    <w:p w:rsidR="002866A1" w:rsidRPr="00C3019D" w:rsidRDefault="002866A1" w:rsidP="002866A1">
      <w:pPr>
        <w:rPr>
          <w:lang w:val="fr-FR"/>
        </w:rPr>
      </w:pPr>
    </w:p>
    <w:p w:rsidR="00BF18E8" w:rsidRPr="00C3019D" w:rsidRDefault="00BF18E8" w:rsidP="00BF18E8">
      <w:pPr>
        <w:pStyle w:val="Heading1"/>
        <w:rPr>
          <w:lang w:val="fr-FR"/>
        </w:rPr>
      </w:pPr>
      <w:r w:rsidRPr="00BF18E8">
        <w:rPr>
          <w:lang w:val="fr-FR"/>
        </w:rPr>
        <w:t>Comme cela a été mentionné au paragraphe 8 du présent document, le gouvernement a indiqué une consommation de HCFC de 287,45 tonnes PAO en 2018, quantité inférieure à l</w:t>
      </w:r>
      <w:r w:rsidR="00D77991">
        <w:rPr>
          <w:lang w:val="fr-FR"/>
        </w:rPr>
        <w:t>’</w:t>
      </w:r>
      <w:r w:rsidRPr="00BF18E8">
        <w:rPr>
          <w:lang w:val="fr-FR"/>
        </w:rPr>
        <w:t>objectif spécifié dans l</w:t>
      </w:r>
      <w:r w:rsidR="00D77991">
        <w:rPr>
          <w:lang w:val="fr-FR"/>
        </w:rPr>
        <w:t>’</w:t>
      </w:r>
      <w:r w:rsidRPr="00BF18E8">
        <w:rPr>
          <w:lang w:val="fr-FR"/>
        </w:rPr>
        <w:t>accord de pays conclu avec le Comité exécutif pour</w:t>
      </w:r>
      <w:r w:rsidR="00D77991">
        <w:rPr>
          <w:lang w:val="fr-FR"/>
        </w:rPr>
        <w:t xml:space="preserve"> </w:t>
      </w:r>
      <w:r w:rsidRPr="00BF18E8">
        <w:rPr>
          <w:lang w:val="fr-FR"/>
        </w:rPr>
        <w:t>2018, et de 26 pour cent inférieure à la valeur de référence des HCFC aux fins de conformité.</w:t>
      </w:r>
      <w:r w:rsidRPr="00C3019D">
        <w:rPr>
          <w:lang w:val="fr-FR"/>
        </w:rPr>
        <w:t xml:space="preserve"> </w:t>
      </w:r>
    </w:p>
    <w:p w:rsidR="00255CDE" w:rsidRPr="00BF18E8" w:rsidRDefault="00BF18E8" w:rsidP="00255CDE">
      <w:pPr>
        <w:rPr>
          <w:i/>
          <w:lang w:val="en-CA"/>
        </w:rPr>
      </w:pPr>
      <w:r w:rsidRPr="00BF18E8">
        <w:rPr>
          <w:i/>
          <w:lang w:val="fr-FR"/>
        </w:rPr>
        <w:t>Rapport de vérification</w:t>
      </w:r>
    </w:p>
    <w:p w:rsidR="00255CDE" w:rsidRPr="001F1E0E" w:rsidRDefault="00255CDE" w:rsidP="00255CDE">
      <w:pPr>
        <w:rPr>
          <w:lang w:val="en-CA"/>
        </w:rPr>
      </w:pPr>
    </w:p>
    <w:p w:rsidR="00255CDE" w:rsidRPr="000B2C68" w:rsidRDefault="00BF18E8" w:rsidP="000B2C68">
      <w:pPr>
        <w:pStyle w:val="Heading1"/>
        <w:rPr>
          <w:lang w:val="fr-FR"/>
        </w:rPr>
      </w:pPr>
      <w:r w:rsidRPr="00BF18E8">
        <w:rPr>
          <w:lang w:val="fr-FR"/>
        </w:rPr>
        <w:t>Le rapport de vérification a confirmé que le gouvernement est en train de mettre en œuvre un système d</w:t>
      </w:r>
      <w:r w:rsidR="00D77991">
        <w:rPr>
          <w:lang w:val="fr-FR"/>
        </w:rPr>
        <w:t>’</w:t>
      </w:r>
      <w:r w:rsidRPr="00BF18E8">
        <w:rPr>
          <w:lang w:val="fr-FR"/>
        </w:rPr>
        <w:t>autorisation et de quotas pour les importations de HCFC et que</w:t>
      </w:r>
      <w:r w:rsidR="00D77991">
        <w:rPr>
          <w:lang w:val="fr-FR"/>
        </w:rPr>
        <w:t xml:space="preserve"> </w:t>
      </w:r>
      <w:r w:rsidRPr="00BF18E8">
        <w:rPr>
          <w:lang w:val="fr-FR"/>
        </w:rPr>
        <w:t>la consommation totale de HCFC pour 2018 était de 287,48 tonnes PAO.</w:t>
      </w:r>
      <w:r w:rsidRPr="00C3019D">
        <w:rPr>
          <w:lang w:val="fr-FR"/>
        </w:rPr>
        <w:t xml:space="preserve"> </w:t>
      </w:r>
      <w:r w:rsidRPr="00BF18E8">
        <w:rPr>
          <w:lang w:val="fr-FR"/>
        </w:rPr>
        <w:t>La</w:t>
      </w:r>
      <w:r w:rsidR="00D77991">
        <w:rPr>
          <w:lang w:val="fr-FR"/>
        </w:rPr>
        <w:t xml:space="preserve"> </w:t>
      </w:r>
      <w:r w:rsidRPr="00BF18E8">
        <w:rPr>
          <w:lang w:val="fr-FR"/>
        </w:rPr>
        <w:t>vérification a conclu que l</w:t>
      </w:r>
      <w:r w:rsidR="00D77991">
        <w:rPr>
          <w:lang w:val="fr-FR"/>
        </w:rPr>
        <w:t>’</w:t>
      </w:r>
      <w:r w:rsidRPr="00BF18E8">
        <w:rPr>
          <w:lang w:val="fr-FR"/>
        </w:rPr>
        <w:t>Égypte était en conformité avec la consommation maximum autorisée de toutes les substances du Groupe I de l</w:t>
      </w:r>
      <w:r w:rsidR="00D77991">
        <w:rPr>
          <w:lang w:val="fr-FR"/>
        </w:rPr>
        <w:t>’</w:t>
      </w:r>
      <w:r w:rsidRPr="00BF18E8">
        <w:rPr>
          <w:lang w:val="fr-FR"/>
        </w:rPr>
        <w:t>Annexe C, selon son accord conclu avec le Comité exécutif, et que la consommation vérifiée et celle communiquée au titre de l</w:t>
      </w:r>
      <w:r w:rsidR="00D77991">
        <w:rPr>
          <w:lang w:val="fr-FR"/>
        </w:rPr>
        <w:t>’</w:t>
      </w:r>
      <w:r w:rsidRPr="00BF18E8">
        <w:rPr>
          <w:lang w:val="fr-FR"/>
        </w:rPr>
        <w:t xml:space="preserve">article 7 du Protocole de </w:t>
      </w:r>
      <w:r w:rsidRPr="00AD0459">
        <w:rPr>
          <w:lang w:val="fr-FR"/>
        </w:rPr>
        <w:t xml:space="preserve">Montréal </w:t>
      </w:r>
      <w:r w:rsidR="00AD0459" w:rsidRPr="00AD0459">
        <w:rPr>
          <w:lang w:val="fr-FR"/>
        </w:rPr>
        <w:t>correspondent aux</w:t>
      </w:r>
      <w:r w:rsidR="003A3AC1" w:rsidRPr="00AD0459">
        <w:rPr>
          <w:lang w:val="fr-FR"/>
        </w:rPr>
        <w:t xml:space="preserve"> résultats </w:t>
      </w:r>
      <w:r w:rsidR="00AD0459" w:rsidRPr="00AD0459">
        <w:rPr>
          <w:lang w:val="fr-FR"/>
        </w:rPr>
        <w:t xml:space="preserve">corrects </w:t>
      </w:r>
      <w:r w:rsidR="003A3AC1" w:rsidRPr="00AD0459">
        <w:rPr>
          <w:lang w:val="fr-FR"/>
        </w:rPr>
        <w:t>arrondis</w:t>
      </w:r>
      <w:r w:rsidRPr="00AD0459">
        <w:rPr>
          <w:lang w:val="fr-FR"/>
        </w:rPr>
        <w:t>.</w:t>
      </w:r>
      <w:r w:rsidRPr="00C3019D">
        <w:rPr>
          <w:lang w:val="fr-FR"/>
        </w:rPr>
        <w:t xml:space="preserve"> </w:t>
      </w:r>
      <w:r w:rsidRPr="00BF18E8">
        <w:rPr>
          <w:lang w:val="fr-FR"/>
        </w:rPr>
        <w:t>Le rapport prend note que des expéditions suspectes de substances réglementées constatées au point d</w:t>
      </w:r>
      <w:r w:rsidR="00D77991">
        <w:rPr>
          <w:lang w:val="fr-FR"/>
        </w:rPr>
        <w:t>’</w:t>
      </w:r>
      <w:r w:rsidRPr="00BF18E8">
        <w:rPr>
          <w:lang w:val="fr-FR"/>
        </w:rPr>
        <w:t xml:space="preserve">entrée sont interceptées par les Autorités douanières, et </w:t>
      </w:r>
      <w:r w:rsidR="00CD2328">
        <w:rPr>
          <w:lang w:val="fr-FR"/>
        </w:rPr>
        <w:t xml:space="preserve">que </w:t>
      </w:r>
      <w:r w:rsidRPr="00BF18E8">
        <w:rPr>
          <w:lang w:val="fr-FR"/>
        </w:rPr>
        <w:t>l</w:t>
      </w:r>
      <w:r w:rsidR="00D77991">
        <w:rPr>
          <w:lang w:val="fr-FR"/>
        </w:rPr>
        <w:t>’</w:t>
      </w:r>
      <w:r w:rsidRPr="00BF18E8">
        <w:rPr>
          <w:lang w:val="fr-FR"/>
        </w:rPr>
        <w:t>UNO et l</w:t>
      </w:r>
      <w:r w:rsidR="00D77991">
        <w:rPr>
          <w:lang w:val="fr-FR"/>
        </w:rPr>
        <w:t>’</w:t>
      </w:r>
      <w:r w:rsidRPr="00BF18E8">
        <w:rPr>
          <w:lang w:val="fr-FR"/>
        </w:rPr>
        <w:t xml:space="preserve">Organisation générale du contrôle des importations et des exportations </w:t>
      </w:r>
      <w:r w:rsidR="00CD2328">
        <w:rPr>
          <w:lang w:val="fr-FR"/>
        </w:rPr>
        <w:t xml:space="preserve">en </w:t>
      </w:r>
      <w:r w:rsidRPr="00BF18E8">
        <w:rPr>
          <w:lang w:val="fr-FR"/>
        </w:rPr>
        <w:t>sont informées.</w:t>
      </w:r>
      <w:r w:rsidRPr="00C3019D">
        <w:rPr>
          <w:lang w:val="fr-FR"/>
        </w:rPr>
        <w:t xml:space="preserve"> </w:t>
      </w:r>
      <w:r w:rsidRPr="00BF18E8">
        <w:rPr>
          <w:lang w:val="fr-FR"/>
        </w:rPr>
        <w:t>Après confirmation que l</w:t>
      </w:r>
      <w:r w:rsidR="00D77991">
        <w:rPr>
          <w:lang w:val="fr-FR"/>
        </w:rPr>
        <w:t>’</w:t>
      </w:r>
      <w:r w:rsidRPr="00BF18E8">
        <w:rPr>
          <w:lang w:val="fr-FR"/>
        </w:rPr>
        <w:t>expédition n</w:t>
      </w:r>
      <w:r w:rsidR="00D77991">
        <w:rPr>
          <w:lang w:val="fr-FR"/>
        </w:rPr>
        <w:t>’</w:t>
      </w:r>
      <w:r w:rsidRPr="00BF18E8">
        <w:rPr>
          <w:lang w:val="fr-FR"/>
        </w:rPr>
        <w:t>est pas en conformité avec l</w:t>
      </w:r>
      <w:r w:rsidR="00D77991">
        <w:rPr>
          <w:lang w:val="fr-FR"/>
        </w:rPr>
        <w:t>’</w:t>
      </w:r>
      <w:r w:rsidRPr="00BF18E8">
        <w:rPr>
          <w:lang w:val="fr-FR"/>
        </w:rPr>
        <w:t>autorisation émise, et que l</w:t>
      </w:r>
      <w:r w:rsidR="00D77991">
        <w:rPr>
          <w:lang w:val="fr-FR"/>
        </w:rPr>
        <w:t>’</w:t>
      </w:r>
      <w:r w:rsidRPr="00BF18E8">
        <w:rPr>
          <w:lang w:val="fr-FR"/>
        </w:rPr>
        <w:t>importateur a eu la possibilité de demander une vérification supplémentaire, l</w:t>
      </w:r>
      <w:r w:rsidR="00D77991">
        <w:rPr>
          <w:lang w:val="fr-FR"/>
        </w:rPr>
        <w:t>’</w:t>
      </w:r>
      <w:r w:rsidRPr="00BF18E8">
        <w:rPr>
          <w:lang w:val="fr-FR"/>
        </w:rPr>
        <w:t>importateur doit retourner à ses frais la cargaison à l</w:t>
      </w:r>
      <w:r w:rsidR="00D77991">
        <w:rPr>
          <w:lang w:val="fr-FR"/>
        </w:rPr>
        <w:t>’</w:t>
      </w:r>
      <w:r w:rsidRPr="00BF18E8">
        <w:rPr>
          <w:lang w:val="fr-FR"/>
        </w:rPr>
        <w:t xml:space="preserve">exportateur ; en outre, le pays exportateur est averti par le dispositif informel du consentement préalable en connaissance de cause (iPIC) et </w:t>
      </w:r>
      <w:r w:rsidR="00CD2328">
        <w:rPr>
          <w:lang w:val="fr-FR"/>
        </w:rPr>
        <w:t>d</w:t>
      </w:r>
      <w:r w:rsidRPr="00BF18E8">
        <w:rPr>
          <w:lang w:val="fr-FR"/>
        </w:rPr>
        <w:t>oit donner son approbation pour la</w:t>
      </w:r>
      <w:r w:rsidR="00D77991">
        <w:rPr>
          <w:lang w:val="fr-FR"/>
        </w:rPr>
        <w:t xml:space="preserve"> </w:t>
      </w:r>
      <w:r w:rsidRPr="00BF18E8">
        <w:rPr>
          <w:lang w:val="fr-FR"/>
        </w:rPr>
        <w:t>réimportation de la cargaison.</w:t>
      </w:r>
      <w:r w:rsidRPr="00C3019D">
        <w:rPr>
          <w:lang w:val="fr-FR"/>
        </w:rPr>
        <w:t xml:space="preserve"> </w:t>
      </w:r>
      <w:r w:rsidRPr="00BF18E8">
        <w:rPr>
          <w:lang w:val="fr-FR"/>
        </w:rPr>
        <w:t>Cette procédure a été suivie pour deux cargaisons suspectes de SAO en</w:t>
      </w:r>
      <w:r w:rsidR="00D77991">
        <w:rPr>
          <w:lang w:val="fr-FR"/>
        </w:rPr>
        <w:t xml:space="preserve"> </w:t>
      </w:r>
      <w:r w:rsidRPr="00BF18E8">
        <w:rPr>
          <w:lang w:val="fr-FR"/>
        </w:rPr>
        <w:t>2010 ; depuis cette date, aucune cargaison suspecte n</w:t>
      </w:r>
      <w:r w:rsidR="00D77991">
        <w:rPr>
          <w:lang w:val="fr-FR"/>
        </w:rPr>
        <w:t>’</w:t>
      </w:r>
      <w:r w:rsidRPr="00BF18E8">
        <w:rPr>
          <w:lang w:val="fr-FR"/>
        </w:rPr>
        <w:t>a été identifiée, contenant notamment des CFC-11 or CFC-12. À la suite d</w:t>
      </w:r>
      <w:r w:rsidR="00D77991">
        <w:rPr>
          <w:lang w:val="fr-FR"/>
        </w:rPr>
        <w:t>’</w:t>
      </w:r>
      <w:r w:rsidRPr="00BF18E8">
        <w:rPr>
          <w:lang w:val="fr-FR"/>
        </w:rPr>
        <w:t>un amende</w:t>
      </w:r>
      <w:r w:rsidR="00CD2328">
        <w:rPr>
          <w:lang w:val="fr-FR"/>
        </w:rPr>
        <w:t>me</w:t>
      </w:r>
      <w:r w:rsidRPr="00BF18E8">
        <w:rPr>
          <w:lang w:val="fr-FR"/>
        </w:rPr>
        <w:t xml:space="preserve">nt à la loi </w:t>
      </w:r>
      <w:r w:rsidR="00CD2328" w:rsidRPr="00BF18E8">
        <w:rPr>
          <w:lang w:val="fr-FR"/>
        </w:rPr>
        <w:t xml:space="preserve">en 2009 </w:t>
      </w:r>
      <w:r w:rsidRPr="00BF18E8">
        <w:rPr>
          <w:lang w:val="fr-FR"/>
        </w:rPr>
        <w:t>visant les déchets dangereux, les sanctions prévues pour les contraventions aux réglementations des substances réglementées peuvent comprendre une peine de prison (allant jusqu</w:t>
      </w:r>
      <w:r w:rsidR="00D77991">
        <w:rPr>
          <w:lang w:val="fr-FR"/>
        </w:rPr>
        <w:t>’</w:t>
      </w:r>
      <w:r w:rsidRPr="00BF18E8">
        <w:rPr>
          <w:lang w:val="fr-FR"/>
        </w:rPr>
        <w:t xml:space="preserve">à 5 ans) et une amende comprise entre 20 000 </w:t>
      </w:r>
      <w:r w:rsidR="00AD0459">
        <w:rPr>
          <w:lang w:val="fr-FR"/>
        </w:rPr>
        <w:t>et</w:t>
      </w:r>
      <w:r w:rsidRPr="00BF18E8">
        <w:rPr>
          <w:lang w:val="fr-FR"/>
        </w:rPr>
        <w:t xml:space="preserve"> 40 000 Livres égyptiennes</w:t>
      </w:r>
      <w:r w:rsidR="00D77991">
        <w:rPr>
          <w:lang w:val="fr-FR"/>
        </w:rPr>
        <w:t xml:space="preserve"> </w:t>
      </w:r>
      <w:r w:rsidRPr="00BF18E8">
        <w:rPr>
          <w:lang w:val="fr-FR"/>
        </w:rPr>
        <w:t>(soit approximativement entre</w:t>
      </w:r>
      <w:r w:rsidR="00D77991">
        <w:rPr>
          <w:lang w:val="fr-FR"/>
        </w:rPr>
        <w:t xml:space="preserve"> </w:t>
      </w:r>
      <w:r w:rsidRPr="00BF18E8">
        <w:rPr>
          <w:lang w:val="fr-FR"/>
        </w:rPr>
        <w:t>1 240 et 2 842 $</w:t>
      </w:r>
      <w:r w:rsidR="00732221" w:rsidRPr="00BF18E8">
        <w:rPr>
          <w:lang w:val="fr-FR"/>
        </w:rPr>
        <w:t>US)</w:t>
      </w:r>
      <w:r w:rsidRPr="00BF18E8">
        <w:rPr>
          <w:lang w:val="fr-FR"/>
        </w:rPr>
        <w:t>.</w:t>
      </w:r>
    </w:p>
    <w:p w:rsidR="00255CDE" w:rsidRPr="00C3019D" w:rsidRDefault="0043767D" w:rsidP="00D00388">
      <w:pPr>
        <w:keepNext/>
        <w:keepLines/>
        <w:rPr>
          <w:u w:val="single"/>
          <w:lang w:val="fr-FR"/>
        </w:rPr>
      </w:pPr>
      <w:r w:rsidRPr="0043767D">
        <w:rPr>
          <w:u w:val="single"/>
          <w:lang w:val="fr-FR"/>
        </w:rPr>
        <w:lastRenderedPageBreak/>
        <w:t>Rapport périodique sur la mise en œuvre de la première tranche du PGEH</w:t>
      </w:r>
    </w:p>
    <w:p w:rsidR="00255CDE" w:rsidRPr="00C3019D" w:rsidRDefault="00255CDE" w:rsidP="00D00388">
      <w:pPr>
        <w:keepNext/>
        <w:keepLines/>
        <w:rPr>
          <w:lang w:val="fr-FR"/>
        </w:rPr>
      </w:pPr>
    </w:p>
    <w:p w:rsidR="004E1A94" w:rsidRPr="00C3019D" w:rsidRDefault="0043767D" w:rsidP="0043767D">
      <w:pPr>
        <w:keepNext/>
        <w:keepLines/>
        <w:widowControl w:val="0"/>
        <w:spacing w:after="240"/>
        <w:outlineLvl w:val="0"/>
        <w:rPr>
          <w:u w:val="single"/>
          <w:lang w:val="fr-FR"/>
        </w:rPr>
      </w:pPr>
      <w:r w:rsidRPr="0043767D">
        <w:rPr>
          <w:u w:val="single"/>
          <w:lang w:val="fr-FR"/>
        </w:rPr>
        <w:t>Activités dans le secteur de la fabrication</w:t>
      </w:r>
    </w:p>
    <w:p w:rsidR="004E1A94" w:rsidRPr="00C3019D" w:rsidRDefault="0043767D" w:rsidP="0043767D">
      <w:pPr>
        <w:keepNext/>
        <w:keepLines/>
        <w:widowControl w:val="0"/>
        <w:spacing w:after="240"/>
        <w:outlineLvl w:val="0"/>
        <w:rPr>
          <w:i/>
          <w:lang w:val="fr-FR"/>
        </w:rPr>
      </w:pPr>
      <w:r w:rsidRPr="0043767D">
        <w:rPr>
          <w:i/>
          <w:lang w:val="fr-FR"/>
        </w:rPr>
        <w:t>Secteur de fabrication des mousses de polyuréthane (PU)</w:t>
      </w:r>
    </w:p>
    <w:p w:rsidR="00D732CD" w:rsidRPr="000B2C68" w:rsidRDefault="00633C46" w:rsidP="000B2C68">
      <w:pPr>
        <w:pStyle w:val="Heading1"/>
        <w:rPr>
          <w:lang w:val="fr-FR"/>
        </w:rPr>
      </w:pPr>
      <w:r w:rsidRPr="00633C46">
        <w:rPr>
          <w:lang w:val="fr-FR"/>
        </w:rPr>
        <w:t xml:space="preserve">Le secteur de la fabrication des mousses de polyuréthane comprenait : la reconversion </w:t>
      </w:r>
      <w:r w:rsidR="00CD2328" w:rsidRPr="00633C46">
        <w:rPr>
          <w:lang w:val="fr-FR"/>
        </w:rPr>
        <w:t xml:space="preserve">au cyclopentane </w:t>
      </w:r>
      <w:r w:rsidRPr="00633C46">
        <w:rPr>
          <w:lang w:val="fr-FR"/>
        </w:rPr>
        <w:t xml:space="preserve">des huit entreprises </w:t>
      </w:r>
      <w:r w:rsidR="00CD2328">
        <w:rPr>
          <w:lang w:val="fr-FR"/>
        </w:rPr>
        <w:t xml:space="preserve">restantes </w:t>
      </w:r>
      <w:r w:rsidRPr="00633C46">
        <w:rPr>
          <w:lang w:val="fr-FR"/>
        </w:rPr>
        <w:t>de fabrication de réfrigérateurs domestiques (Bahgat, Fresh, Ocean, Siltal, Star, Top Maker et Tredco, avec l</w:t>
      </w:r>
      <w:r w:rsidR="00D77991">
        <w:rPr>
          <w:lang w:val="fr-FR"/>
        </w:rPr>
        <w:t>’</w:t>
      </w:r>
      <w:r w:rsidRPr="00633C46">
        <w:rPr>
          <w:lang w:val="fr-FR"/>
        </w:rPr>
        <w:t>assistance du Fonds multilatéral ; l</w:t>
      </w:r>
      <w:r w:rsidR="00D77991">
        <w:rPr>
          <w:lang w:val="fr-FR"/>
        </w:rPr>
        <w:t>’</w:t>
      </w:r>
      <w:r w:rsidRPr="00633C46">
        <w:rPr>
          <w:lang w:val="fr-FR"/>
        </w:rPr>
        <w:t>entreprise Everest devait financer avec ses propres ressources sa reconversion) ; la reconversion au cyclopentane de deux entreprises (</w:t>
      </w:r>
      <w:r w:rsidRPr="00AD0459">
        <w:rPr>
          <w:lang w:val="fr-FR"/>
        </w:rPr>
        <w:t>Electrostar et Kiriazi) fabriquant des chauffe-eau électrique</w:t>
      </w:r>
      <w:r w:rsidR="00CD2328" w:rsidRPr="00AD0459">
        <w:rPr>
          <w:lang w:val="fr-FR"/>
        </w:rPr>
        <w:t>s</w:t>
      </w:r>
      <w:r w:rsidRPr="00AD0459">
        <w:rPr>
          <w:lang w:val="fr-FR"/>
        </w:rPr>
        <w:t xml:space="preserve"> ; et un projet de groupe </w:t>
      </w:r>
      <w:r w:rsidR="00AD0459" w:rsidRPr="00AD0459">
        <w:rPr>
          <w:lang w:val="fr-FR"/>
        </w:rPr>
        <w:t xml:space="preserve">la reconversion de </w:t>
      </w:r>
      <w:r w:rsidRPr="00AD0459">
        <w:rPr>
          <w:lang w:val="fr-FR"/>
        </w:rPr>
        <w:t xml:space="preserve">38 PME pour passer au formiate de méthyle, avec le financement du Fonds multilatéral pour 28 </w:t>
      </w:r>
      <w:r w:rsidR="00AD0459" w:rsidRPr="00AD0459">
        <w:rPr>
          <w:lang w:val="fr-FR"/>
        </w:rPr>
        <w:t>d’entre elles</w:t>
      </w:r>
      <w:r w:rsidRPr="00AD0459">
        <w:rPr>
          <w:lang w:val="fr-FR"/>
        </w:rPr>
        <w:t xml:space="preserve"> et </w:t>
      </w:r>
      <w:r w:rsidR="00AD0459" w:rsidRPr="00AD0459">
        <w:rPr>
          <w:lang w:val="fr-FR"/>
        </w:rPr>
        <w:t xml:space="preserve">les </w:t>
      </w:r>
      <w:r w:rsidRPr="00AD0459">
        <w:rPr>
          <w:lang w:val="fr-FR"/>
        </w:rPr>
        <w:t>10 autres réalisant cette reconversion</w:t>
      </w:r>
      <w:r w:rsidRPr="00633C46">
        <w:rPr>
          <w:lang w:val="fr-FR"/>
        </w:rPr>
        <w:t xml:space="preserve"> avec leurs propres ressources.</w:t>
      </w:r>
      <w:r w:rsidRPr="00C3019D">
        <w:rPr>
          <w:lang w:val="fr-FR"/>
        </w:rPr>
        <w:t xml:space="preserve"> </w:t>
      </w:r>
      <w:r w:rsidRPr="00633C46">
        <w:rPr>
          <w:lang w:val="fr-FR"/>
        </w:rPr>
        <w:t>L</w:t>
      </w:r>
      <w:r w:rsidR="00D77991">
        <w:rPr>
          <w:lang w:val="fr-FR"/>
        </w:rPr>
        <w:t>’</w:t>
      </w:r>
      <w:r w:rsidRPr="00633C46">
        <w:rPr>
          <w:lang w:val="fr-FR"/>
        </w:rPr>
        <w:t>élimination totale du</w:t>
      </w:r>
      <w:r w:rsidR="00D77991">
        <w:rPr>
          <w:lang w:val="fr-FR"/>
        </w:rPr>
        <w:t xml:space="preserve"> </w:t>
      </w:r>
      <w:r w:rsidRPr="00633C46">
        <w:rPr>
          <w:lang w:val="fr-FR"/>
        </w:rPr>
        <w:t>HCFC</w:t>
      </w:r>
      <w:r w:rsidRPr="00633C46">
        <w:rPr>
          <w:lang w:val="fr-FR"/>
        </w:rPr>
        <w:noBreakHyphen/>
        <w:t>141b pour laquelle le financement avait été approuvé dans le sous-secteur de la fabrication d</w:t>
      </w:r>
      <w:r w:rsidR="00D77991">
        <w:rPr>
          <w:lang w:val="fr-FR"/>
        </w:rPr>
        <w:t>’</w:t>
      </w:r>
      <w:r w:rsidRPr="00633C46">
        <w:rPr>
          <w:lang w:val="fr-FR"/>
        </w:rPr>
        <w:t>équipements de réfrigération domestiques s</w:t>
      </w:r>
      <w:r w:rsidR="00D77991">
        <w:rPr>
          <w:lang w:val="fr-FR"/>
        </w:rPr>
        <w:t>’</w:t>
      </w:r>
      <w:r w:rsidRPr="00633C46">
        <w:rPr>
          <w:lang w:val="fr-FR"/>
        </w:rPr>
        <w:t>élevait à 422,50 tm (46,48 tonnes PAO), et</w:t>
      </w:r>
      <w:r w:rsidR="00D77991">
        <w:rPr>
          <w:lang w:val="fr-FR"/>
        </w:rPr>
        <w:t xml:space="preserve"> </w:t>
      </w:r>
      <w:r w:rsidRPr="00633C46">
        <w:rPr>
          <w:lang w:val="fr-FR"/>
        </w:rPr>
        <w:t>49,79 tm (5,48 tonnes PAO) dans le sous-secteur restant des mousses de polyuréthane isolantes, représentant un total de</w:t>
      </w:r>
      <w:r w:rsidR="00D77991">
        <w:rPr>
          <w:lang w:val="fr-FR"/>
        </w:rPr>
        <w:t xml:space="preserve"> </w:t>
      </w:r>
      <w:r w:rsidRPr="00633C46">
        <w:rPr>
          <w:lang w:val="fr-FR"/>
        </w:rPr>
        <w:t>472,29 tm (51,95 tonnes PAO).</w:t>
      </w:r>
      <w:r w:rsidRPr="00C3019D">
        <w:rPr>
          <w:lang w:val="fr-FR"/>
        </w:rPr>
        <w:t xml:space="preserve"> </w:t>
      </w:r>
      <w:r w:rsidRPr="00633C46">
        <w:rPr>
          <w:lang w:val="fr-FR"/>
        </w:rPr>
        <w:t xml:space="preserve">Everest </w:t>
      </w:r>
      <w:r w:rsidR="00CD2328">
        <w:rPr>
          <w:lang w:val="fr-FR"/>
        </w:rPr>
        <w:t xml:space="preserve">et </w:t>
      </w:r>
      <w:r w:rsidRPr="00633C46">
        <w:rPr>
          <w:lang w:val="fr-FR"/>
        </w:rPr>
        <w:t>les 10 autres PME élimineront 114,43 tm (12,59 tonnes PAO) de plus avec leurs propres ressources.</w:t>
      </w:r>
      <w:r w:rsidRPr="00C3019D">
        <w:rPr>
          <w:lang w:val="fr-FR"/>
        </w:rPr>
        <w:t xml:space="preserve"> </w:t>
      </w:r>
      <w:r w:rsidRPr="00633C46">
        <w:rPr>
          <w:lang w:val="fr-FR"/>
        </w:rPr>
        <w:t>Le Comité Exécutif a noté que le gouvernement de l</w:t>
      </w:r>
      <w:r w:rsidR="00D77991">
        <w:rPr>
          <w:lang w:val="fr-FR"/>
        </w:rPr>
        <w:t>’</w:t>
      </w:r>
      <w:r w:rsidRPr="00633C46">
        <w:rPr>
          <w:lang w:val="fr-FR"/>
        </w:rPr>
        <w:t xml:space="preserve">Égypte aurait la souplesse nécessaire pour affecter des fonds aux entreprises </w:t>
      </w:r>
      <w:r w:rsidR="00AD0459">
        <w:rPr>
          <w:lang w:val="fr-FR"/>
        </w:rPr>
        <w:t>éligibl</w:t>
      </w:r>
      <w:r w:rsidRPr="00633C46">
        <w:rPr>
          <w:lang w:val="fr-FR"/>
        </w:rPr>
        <w:t>es dans le secteur de la mousse de polyuréthane pour lesquelles un financement n</w:t>
      </w:r>
      <w:r w:rsidR="00D77991">
        <w:rPr>
          <w:lang w:val="fr-FR"/>
        </w:rPr>
        <w:t>’</w:t>
      </w:r>
      <w:r w:rsidRPr="00633C46">
        <w:rPr>
          <w:lang w:val="fr-FR"/>
        </w:rPr>
        <w:t>est pas demandé, s</w:t>
      </w:r>
      <w:r w:rsidR="00D77991">
        <w:rPr>
          <w:lang w:val="fr-FR"/>
        </w:rPr>
        <w:t>’</w:t>
      </w:r>
      <w:r w:rsidRPr="00633C46">
        <w:rPr>
          <w:lang w:val="fr-FR"/>
        </w:rPr>
        <w:t>il était jugé nécessaire de le faire pendant la mise en œuvre (décision 79/34(e)).</w:t>
      </w:r>
      <w:r w:rsidRPr="00C3019D">
        <w:rPr>
          <w:lang w:val="fr-FR"/>
        </w:rPr>
        <w:t xml:space="preserve"> </w:t>
      </w:r>
    </w:p>
    <w:p w:rsidR="00633C46" w:rsidRPr="00C3019D" w:rsidRDefault="00633C46" w:rsidP="00633C46">
      <w:pPr>
        <w:pStyle w:val="Heading1"/>
        <w:rPr>
          <w:lang w:val="fr-FR"/>
        </w:rPr>
      </w:pPr>
      <w:r w:rsidRPr="00633C46">
        <w:rPr>
          <w:lang w:val="fr-FR"/>
        </w:rPr>
        <w:t xml:space="preserve">Les huit entreprises de fabrication de réfrigérateurs domestiques ont été </w:t>
      </w:r>
      <w:r w:rsidR="00732221" w:rsidRPr="00633C46">
        <w:rPr>
          <w:lang w:val="fr-FR"/>
        </w:rPr>
        <w:t>visitées</w:t>
      </w:r>
      <w:r w:rsidRPr="00633C46">
        <w:rPr>
          <w:lang w:val="fr-FR"/>
        </w:rPr>
        <w:t>, un accord de collaboration</w:t>
      </w:r>
      <w:r w:rsidRPr="00633C46">
        <w:rPr>
          <w:rStyle w:val="FootnoteReference"/>
          <w:lang w:val="fr-FR"/>
        </w:rPr>
        <w:footnoteReference w:id="12"/>
      </w:r>
      <w:r w:rsidRPr="00633C46">
        <w:rPr>
          <w:lang w:val="fr-FR"/>
        </w:rPr>
        <w:t xml:space="preserve"> signé avec chacune d</w:t>
      </w:r>
      <w:r w:rsidR="00D77991">
        <w:rPr>
          <w:lang w:val="fr-FR"/>
        </w:rPr>
        <w:t>’</w:t>
      </w:r>
      <w:r w:rsidRPr="00633C46">
        <w:rPr>
          <w:lang w:val="fr-FR"/>
        </w:rPr>
        <w:t>elles et les termes de référence préparés.</w:t>
      </w:r>
      <w:r w:rsidRPr="00C3019D">
        <w:rPr>
          <w:lang w:val="fr-FR"/>
        </w:rPr>
        <w:t xml:space="preserve"> </w:t>
      </w:r>
      <w:r w:rsidRPr="00633C46">
        <w:rPr>
          <w:lang w:val="fr-FR"/>
        </w:rPr>
        <w:t>La procédure d</w:t>
      </w:r>
      <w:r w:rsidR="00D77991">
        <w:rPr>
          <w:lang w:val="fr-FR"/>
        </w:rPr>
        <w:t>’</w:t>
      </w:r>
      <w:r w:rsidRPr="00633C46">
        <w:rPr>
          <w:lang w:val="fr-FR"/>
        </w:rPr>
        <w:t>appel d</w:t>
      </w:r>
      <w:r w:rsidR="00D77991">
        <w:rPr>
          <w:lang w:val="fr-FR"/>
        </w:rPr>
        <w:t>’</w:t>
      </w:r>
      <w:r w:rsidRPr="00633C46">
        <w:rPr>
          <w:lang w:val="fr-FR"/>
        </w:rPr>
        <w:t>offre international a été menée à bien pour les sept entreprises bénéficiant d</w:t>
      </w:r>
      <w:r w:rsidR="00D77991">
        <w:rPr>
          <w:lang w:val="fr-FR"/>
        </w:rPr>
        <w:t>’</w:t>
      </w:r>
      <w:r w:rsidRPr="00633C46">
        <w:rPr>
          <w:lang w:val="fr-FR"/>
        </w:rPr>
        <w:t>un financement par le Fonds Multilatéral,</w:t>
      </w:r>
      <w:r w:rsidR="00D77991">
        <w:rPr>
          <w:lang w:val="fr-FR"/>
        </w:rPr>
        <w:t xml:space="preserve"> </w:t>
      </w:r>
      <w:r w:rsidRPr="00633C46">
        <w:rPr>
          <w:lang w:val="fr-FR"/>
        </w:rPr>
        <w:t>des fournisseurs d</w:t>
      </w:r>
      <w:r w:rsidR="00D77991">
        <w:rPr>
          <w:lang w:val="fr-FR"/>
        </w:rPr>
        <w:t>’</w:t>
      </w:r>
      <w:r w:rsidRPr="00633C46">
        <w:rPr>
          <w:lang w:val="fr-FR"/>
        </w:rPr>
        <w:t xml:space="preserve">équipements sélectionnés et </w:t>
      </w:r>
      <w:r w:rsidR="00CD2328">
        <w:rPr>
          <w:lang w:val="fr-FR"/>
        </w:rPr>
        <w:t>l</w:t>
      </w:r>
      <w:r w:rsidRPr="00633C46">
        <w:rPr>
          <w:lang w:val="fr-FR"/>
        </w:rPr>
        <w:t>es commandes passées.</w:t>
      </w:r>
      <w:r w:rsidRPr="00C3019D">
        <w:rPr>
          <w:lang w:val="fr-FR"/>
        </w:rPr>
        <w:t xml:space="preserve"> </w:t>
      </w:r>
      <w:r w:rsidRPr="00633C46">
        <w:rPr>
          <w:lang w:val="fr-FR"/>
        </w:rPr>
        <w:t>Les équipements ont été livrés à trois entreprises (Bahgat, Fresh et Star) et l</w:t>
      </w:r>
      <w:r w:rsidR="00D77991">
        <w:rPr>
          <w:lang w:val="fr-FR"/>
        </w:rPr>
        <w:t>’</w:t>
      </w:r>
      <w:r w:rsidRPr="00633C46">
        <w:rPr>
          <w:lang w:val="fr-FR"/>
        </w:rPr>
        <w:t>installation et la mise en service est en cours ; la livraison des équipements pour deux autres entreprises (Siltal et Tredco) était prévue pour octobre, avec l</w:t>
      </w:r>
      <w:r w:rsidR="00D77991">
        <w:rPr>
          <w:lang w:val="fr-FR"/>
        </w:rPr>
        <w:t>’</w:t>
      </w:r>
      <w:r w:rsidRPr="00633C46">
        <w:rPr>
          <w:lang w:val="fr-FR"/>
        </w:rPr>
        <w:t>installation et la mise en service devant être achevées d</w:t>
      </w:r>
      <w:r w:rsidR="00D77991">
        <w:rPr>
          <w:lang w:val="fr-FR"/>
        </w:rPr>
        <w:t>’</w:t>
      </w:r>
      <w:r w:rsidRPr="00633C46">
        <w:rPr>
          <w:lang w:val="fr-FR"/>
        </w:rPr>
        <w:t>ici le 31 décembre 2019. Les équipements destinés à</w:t>
      </w:r>
      <w:r w:rsidR="00D77991">
        <w:rPr>
          <w:lang w:val="fr-FR"/>
        </w:rPr>
        <w:t xml:space="preserve"> </w:t>
      </w:r>
      <w:r w:rsidRPr="00633C46">
        <w:rPr>
          <w:lang w:val="fr-FR"/>
        </w:rPr>
        <w:t>Ocean et Top Maker devraient être livrés d</w:t>
      </w:r>
      <w:r w:rsidR="00D77991">
        <w:rPr>
          <w:lang w:val="fr-FR"/>
        </w:rPr>
        <w:t>’</w:t>
      </w:r>
      <w:r w:rsidRPr="00633C46">
        <w:rPr>
          <w:lang w:val="fr-FR"/>
        </w:rPr>
        <w:t>ici le 31 décembre 2019</w:t>
      </w:r>
      <w:r w:rsidR="00CD2328">
        <w:rPr>
          <w:lang w:val="fr-FR"/>
        </w:rPr>
        <w:t> </w:t>
      </w:r>
      <w:r w:rsidRPr="00633C46">
        <w:rPr>
          <w:lang w:val="fr-FR"/>
        </w:rPr>
        <w:t>; l</w:t>
      </w:r>
      <w:r w:rsidR="00D77991">
        <w:rPr>
          <w:lang w:val="fr-FR"/>
        </w:rPr>
        <w:t>’</w:t>
      </w:r>
      <w:r w:rsidRPr="00633C46">
        <w:rPr>
          <w:lang w:val="fr-FR"/>
        </w:rPr>
        <w:t>installation et la mise en service devant être achevées au cours du premier trimestre 2020. Les deux entreprises devraient cesser de fabriquer des mousses à base de HCFC à compter du 1</w:t>
      </w:r>
      <w:r w:rsidRPr="00633C46">
        <w:rPr>
          <w:vertAlign w:val="superscript"/>
          <w:lang w:val="fr-FR"/>
        </w:rPr>
        <w:t>er</w:t>
      </w:r>
      <w:r w:rsidR="00D77991">
        <w:rPr>
          <w:lang w:val="fr-FR"/>
        </w:rPr>
        <w:t xml:space="preserve"> </w:t>
      </w:r>
      <w:r w:rsidRPr="00633C46">
        <w:rPr>
          <w:lang w:val="fr-FR"/>
        </w:rPr>
        <w:t>janvier 2020. Les équipements destinés à Everest, l</w:t>
      </w:r>
      <w:r w:rsidR="00D77991">
        <w:rPr>
          <w:lang w:val="fr-FR"/>
        </w:rPr>
        <w:t>’</w:t>
      </w:r>
      <w:r w:rsidRPr="00633C46">
        <w:rPr>
          <w:lang w:val="fr-FR"/>
        </w:rPr>
        <w:t>entreprise pour laquelle le financement n</w:t>
      </w:r>
      <w:r w:rsidR="00D77991">
        <w:rPr>
          <w:lang w:val="fr-FR"/>
        </w:rPr>
        <w:t>’</w:t>
      </w:r>
      <w:r w:rsidRPr="00633C46">
        <w:rPr>
          <w:lang w:val="fr-FR"/>
        </w:rPr>
        <w:t>a pas été approuvé, devrai</w:t>
      </w:r>
      <w:r w:rsidR="00B10048">
        <w:rPr>
          <w:lang w:val="fr-FR"/>
        </w:rPr>
        <w:t>en</w:t>
      </w:r>
      <w:r w:rsidRPr="00633C46">
        <w:rPr>
          <w:lang w:val="fr-FR"/>
        </w:rPr>
        <w:t>t être livré</w:t>
      </w:r>
      <w:r w:rsidR="00B10048">
        <w:rPr>
          <w:lang w:val="fr-FR"/>
        </w:rPr>
        <w:t>s</w:t>
      </w:r>
      <w:r w:rsidRPr="00633C46">
        <w:rPr>
          <w:lang w:val="fr-FR"/>
        </w:rPr>
        <w:t xml:space="preserve"> d</w:t>
      </w:r>
      <w:r w:rsidR="00D77991">
        <w:rPr>
          <w:lang w:val="fr-FR"/>
        </w:rPr>
        <w:t>’</w:t>
      </w:r>
      <w:r w:rsidRPr="00633C46">
        <w:rPr>
          <w:lang w:val="fr-FR"/>
        </w:rPr>
        <w:t>ici la fin de 2019, et</w:t>
      </w:r>
      <w:r w:rsidR="00D77991">
        <w:rPr>
          <w:lang w:val="fr-FR"/>
        </w:rPr>
        <w:t xml:space="preserve"> </w:t>
      </w:r>
      <w:r w:rsidRPr="00633C46">
        <w:rPr>
          <w:lang w:val="fr-FR"/>
        </w:rPr>
        <w:t>l</w:t>
      </w:r>
      <w:r w:rsidR="00D77991">
        <w:rPr>
          <w:lang w:val="fr-FR"/>
        </w:rPr>
        <w:t>’</w:t>
      </w:r>
      <w:r w:rsidRPr="00633C46">
        <w:rPr>
          <w:lang w:val="fr-FR"/>
        </w:rPr>
        <w:t>installation et la mise en service devraient être terminées au cours du premier trimestre 2020. L</w:t>
      </w:r>
      <w:r w:rsidR="00D77991">
        <w:rPr>
          <w:lang w:val="fr-FR"/>
        </w:rPr>
        <w:t>’</w:t>
      </w:r>
      <w:r w:rsidRPr="00633C46">
        <w:rPr>
          <w:lang w:val="fr-FR"/>
        </w:rPr>
        <w:t>entreprise s</w:t>
      </w:r>
      <w:r w:rsidR="00D77991">
        <w:rPr>
          <w:lang w:val="fr-FR"/>
        </w:rPr>
        <w:t>’</w:t>
      </w:r>
      <w:r w:rsidRPr="00633C46">
        <w:rPr>
          <w:lang w:val="fr-FR"/>
        </w:rPr>
        <w:t>est engagée à cesser de fabriquer des mousses à base de</w:t>
      </w:r>
      <w:r w:rsidR="00D77991">
        <w:rPr>
          <w:lang w:val="fr-FR"/>
        </w:rPr>
        <w:t xml:space="preserve"> </w:t>
      </w:r>
      <w:r w:rsidRPr="00633C46">
        <w:rPr>
          <w:lang w:val="fr-FR"/>
        </w:rPr>
        <w:t>HCFC à compter du 1</w:t>
      </w:r>
      <w:r w:rsidRPr="00633C46">
        <w:rPr>
          <w:vertAlign w:val="superscript"/>
          <w:lang w:val="fr-FR"/>
        </w:rPr>
        <w:t>er</w:t>
      </w:r>
      <w:r w:rsidR="00D77991">
        <w:rPr>
          <w:lang w:val="fr-FR"/>
        </w:rPr>
        <w:t xml:space="preserve"> </w:t>
      </w:r>
      <w:r w:rsidRPr="00633C46">
        <w:rPr>
          <w:lang w:val="fr-FR"/>
        </w:rPr>
        <w:t xml:space="preserve"> janvier 2020.</w:t>
      </w:r>
    </w:p>
    <w:p w:rsidR="00D56BC7" w:rsidRPr="000B2C68" w:rsidRDefault="00633C46" w:rsidP="000B2C68">
      <w:pPr>
        <w:pStyle w:val="Heading1"/>
        <w:rPr>
          <w:lang w:val="fr-FR"/>
        </w:rPr>
      </w:pPr>
      <w:r w:rsidRPr="00633C46">
        <w:rPr>
          <w:lang w:val="fr-FR"/>
        </w:rPr>
        <w:t xml:space="preserve">Un </w:t>
      </w:r>
      <w:r w:rsidR="003A3AC1">
        <w:rPr>
          <w:lang w:val="fr-FR"/>
        </w:rPr>
        <w:t>mémorandum d</w:t>
      </w:r>
      <w:r w:rsidR="00D77991">
        <w:rPr>
          <w:lang w:val="fr-FR"/>
        </w:rPr>
        <w:t>’</w:t>
      </w:r>
      <w:r w:rsidR="003A3AC1">
        <w:rPr>
          <w:lang w:val="fr-FR"/>
        </w:rPr>
        <w:t xml:space="preserve">entente </w:t>
      </w:r>
      <w:r w:rsidRPr="00633C46">
        <w:rPr>
          <w:lang w:val="fr-FR"/>
        </w:rPr>
        <w:t>(Md</w:t>
      </w:r>
      <w:r w:rsidR="003A3AC1">
        <w:rPr>
          <w:lang w:val="fr-FR"/>
        </w:rPr>
        <w:t>E</w:t>
      </w:r>
      <w:r w:rsidRPr="00633C46">
        <w:rPr>
          <w:lang w:val="fr-FR"/>
        </w:rPr>
        <w:t>)</w:t>
      </w:r>
      <w:r w:rsidRPr="00633C46">
        <w:rPr>
          <w:rStyle w:val="FootnoteReference"/>
          <w:lang w:val="fr-FR"/>
        </w:rPr>
        <w:footnoteReference w:id="13"/>
      </w:r>
      <w:r w:rsidRPr="00633C46">
        <w:rPr>
          <w:lang w:val="fr-FR"/>
        </w:rPr>
        <w:t xml:space="preserve"> a été signé avec les deux entreprises qui fabriquent des chauffe-eau électriques (Electrostar et Kiriazi).</w:t>
      </w:r>
      <w:r w:rsidRPr="00C3019D">
        <w:rPr>
          <w:lang w:val="fr-FR"/>
        </w:rPr>
        <w:t xml:space="preserve"> </w:t>
      </w:r>
      <w:r w:rsidRPr="00633C46">
        <w:rPr>
          <w:lang w:val="fr-FR"/>
        </w:rPr>
        <w:t>La procédure d</w:t>
      </w:r>
      <w:r w:rsidR="00D77991">
        <w:rPr>
          <w:lang w:val="fr-FR"/>
        </w:rPr>
        <w:t>’</w:t>
      </w:r>
      <w:r w:rsidRPr="00633C46">
        <w:rPr>
          <w:lang w:val="fr-FR"/>
        </w:rPr>
        <w:t>appel d</w:t>
      </w:r>
      <w:r w:rsidR="00D77991">
        <w:rPr>
          <w:lang w:val="fr-FR"/>
        </w:rPr>
        <w:t>’</w:t>
      </w:r>
      <w:r w:rsidRPr="00633C46">
        <w:rPr>
          <w:lang w:val="fr-FR"/>
        </w:rPr>
        <w:t>offre international a été menée à bien, des fournisseurs d</w:t>
      </w:r>
      <w:r w:rsidR="00D77991">
        <w:rPr>
          <w:lang w:val="fr-FR"/>
        </w:rPr>
        <w:t>’</w:t>
      </w:r>
      <w:r w:rsidRPr="00633C46">
        <w:rPr>
          <w:lang w:val="fr-FR"/>
        </w:rPr>
        <w:t xml:space="preserve">équipements sélectionnés et </w:t>
      </w:r>
      <w:r w:rsidR="00B10048">
        <w:rPr>
          <w:lang w:val="fr-FR"/>
        </w:rPr>
        <w:t>l</w:t>
      </w:r>
      <w:r w:rsidRPr="00633C46">
        <w:rPr>
          <w:lang w:val="fr-FR"/>
        </w:rPr>
        <w:t>es commandes passées.</w:t>
      </w:r>
      <w:r w:rsidRPr="00C3019D">
        <w:rPr>
          <w:lang w:val="fr-FR"/>
        </w:rPr>
        <w:t xml:space="preserve"> </w:t>
      </w:r>
      <w:r w:rsidR="00835BAE" w:rsidRPr="00835BAE">
        <w:rPr>
          <w:lang w:val="fr-FR"/>
        </w:rPr>
        <w:t>Les équipements devraient être livrés d</w:t>
      </w:r>
      <w:r w:rsidR="00D77991">
        <w:rPr>
          <w:lang w:val="fr-FR"/>
        </w:rPr>
        <w:t>’</w:t>
      </w:r>
      <w:r w:rsidR="00835BAE" w:rsidRPr="00835BAE">
        <w:rPr>
          <w:lang w:val="fr-FR"/>
        </w:rPr>
        <w:t>ici le 31 décembre 2019</w:t>
      </w:r>
      <w:r w:rsidR="00AD0459">
        <w:rPr>
          <w:lang w:val="fr-FR"/>
        </w:rPr>
        <w:t> </w:t>
      </w:r>
      <w:r w:rsidR="00835BAE" w:rsidRPr="00835BAE">
        <w:rPr>
          <w:lang w:val="fr-FR"/>
        </w:rPr>
        <w:t>; l</w:t>
      </w:r>
      <w:r w:rsidR="00D77991">
        <w:rPr>
          <w:lang w:val="fr-FR"/>
        </w:rPr>
        <w:t>’</w:t>
      </w:r>
      <w:r w:rsidR="00835BAE" w:rsidRPr="00835BAE">
        <w:rPr>
          <w:lang w:val="fr-FR"/>
        </w:rPr>
        <w:t>installation et la mise en service devraient être terminées au cours du premier trimestre 2020. Les deux entreprises cesseront de fabriquer des mousses contenant des HCFC à compter du 1</w:t>
      </w:r>
      <w:r w:rsidR="00835BAE" w:rsidRPr="00AD0459">
        <w:rPr>
          <w:vertAlign w:val="superscript"/>
          <w:lang w:val="fr-FR"/>
        </w:rPr>
        <w:t>er</w:t>
      </w:r>
      <w:r w:rsidR="00AD0459">
        <w:rPr>
          <w:lang w:val="fr-FR"/>
        </w:rPr>
        <w:t xml:space="preserve"> </w:t>
      </w:r>
      <w:r w:rsidR="00835BAE" w:rsidRPr="00835BAE">
        <w:rPr>
          <w:lang w:val="fr-FR"/>
        </w:rPr>
        <w:t>janvier 2020.</w:t>
      </w:r>
    </w:p>
    <w:p w:rsidR="00A1290A" w:rsidRPr="000B2C68" w:rsidRDefault="00835BAE" w:rsidP="000B2C68">
      <w:pPr>
        <w:pStyle w:val="Heading1"/>
        <w:rPr>
          <w:lang w:val="fr-FR"/>
        </w:rPr>
      </w:pPr>
      <w:r w:rsidRPr="00835BAE">
        <w:rPr>
          <w:lang w:val="fr-FR"/>
        </w:rPr>
        <w:t xml:space="preserve">Le </w:t>
      </w:r>
      <w:r w:rsidR="003A3AC1">
        <w:rPr>
          <w:lang w:val="fr-FR"/>
        </w:rPr>
        <w:t>MdE</w:t>
      </w:r>
      <w:r w:rsidR="00D77991">
        <w:rPr>
          <w:lang w:val="fr-FR"/>
        </w:rPr>
        <w:t xml:space="preserve"> </w:t>
      </w:r>
      <w:r w:rsidRPr="00835BAE">
        <w:rPr>
          <w:lang w:val="fr-FR"/>
        </w:rPr>
        <w:t>conclu avec Beta Technical</w:t>
      </w:r>
      <w:r w:rsidR="00D77991">
        <w:rPr>
          <w:lang w:val="fr-FR"/>
        </w:rPr>
        <w:t xml:space="preserve"> </w:t>
      </w:r>
      <w:r w:rsidR="00B10048">
        <w:rPr>
          <w:lang w:val="fr-FR"/>
        </w:rPr>
        <w:t xml:space="preserve">et </w:t>
      </w:r>
      <w:r w:rsidRPr="00835BAE">
        <w:rPr>
          <w:lang w:val="fr-FR"/>
        </w:rPr>
        <w:t xml:space="preserve">Trading Bureau a été signé et des essais à base de formiate de méthyle ont été </w:t>
      </w:r>
      <w:r w:rsidR="00732221" w:rsidRPr="00835BAE">
        <w:rPr>
          <w:lang w:val="fr-FR"/>
        </w:rPr>
        <w:t>achevés</w:t>
      </w:r>
      <w:r w:rsidRPr="00835BAE">
        <w:rPr>
          <w:lang w:val="fr-FR"/>
        </w:rPr>
        <w:t xml:space="preserve"> dans 24 PME ; ces clients ont signé une attestation d</w:t>
      </w:r>
      <w:r w:rsidR="00D77991">
        <w:rPr>
          <w:lang w:val="fr-FR"/>
        </w:rPr>
        <w:t>’</w:t>
      </w:r>
      <w:r w:rsidRPr="00835BAE">
        <w:rPr>
          <w:lang w:val="fr-FR"/>
        </w:rPr>
        <w:t>achèvement et l</w:t>
      </w:r>
      <w:r w:rsidR="00D77991">
        <w:rPr>
          <w:lang w:val="fr-FR"/>
        </w:rPr>
        <w:t>’</w:t>
      </w:r>
      <w:r w:rsidRPr="00835BAE">
        <w:rPr>
          <w:lang w:val="fr-FR"/>
        </w:rPr>
        <w:t>engagement de cesser de fabriquer des mousses contenant des HCFC.</w:t>
      </w:r>
      <w:r w:rsidRPr="00C3019D">
        <w:rPr>
          <w:lang w:val="fr-FR"/>
        </w:rPr>
        <w:t xml:space="preserve"> </w:t>
      </w:r>
      <w:r w:rsidRPr="00835BAE">
        <w:rPr>
          <w:lang w:val="fr-FR"/>
        </w:rPr>
        <w:t>Les essais dans les quatre PME restantes bénéficiant d</w:t>
      </w:r>
      <w:r w:rsidR="00D77991">
        <w:rPr>
          <w:lang w:val="fr-FR"/>
        </w:rPr>
        <w:t>’</w:t>
      </w:r>
      <w:r w:rsidRPr="00835BAE">
        <w:rPr>
          <w:lang w:val="fr-FR"/>
        </w:rPr>
        <w:t>un financement sont en cours ; la reconversion au formiate de méthyle devrait être finalisée d</w:t>
      </w:r>
      <w:r w:rsidR="00D77991">
        <w:rPr>
          <w:lang w:val="fr-FR"/>
        </w:rPr>
        <w:t>’</w:t>
      </w:r>
      <w:r w:rsidRPr="00835BAE">
        <w:rPr>
          <w:lang w:val="fr-FR"/>
        </w:rPr>
        <w:t>ici le 31 décembre 2019. Le PNUD a confirmé que toutes les 28 PME sont éligibles au financement.</w:t>
      </w:r>
      <w:r w:rsidRPr="00C3019D">
        <w:rPr>
          <w:lang w:val="fr-FR"/>
        </w:rPr>
        <w:t xml:space="preserve"> </w:t>
      </w:r>
      <w:r w:rsidRPr="00835BAE">
        <w:rPr>
          <w:lang w:val="fr-FR"/>
        </w:rPr>
        <w:t>Les 10 PME restantes n</w:t>
      </w:r>
      <w:r w:rsidR="00D77991">
        <w:rPr>
          <w:lang w:val="fr-FR"/>
        </w:rPr>
        <w:t>’</w:t>
      </w:r>
      <w:r w:rsidRPr="00835BAE">
        <w:rPr>
          <w:lang w:val="fr-FR"/>
        </w:rPr>
        <w:t>ont pas été considérées éligibles ; bien qu</w:t>
      </w:r>
      <w:r w:rsidR="00D77991">
        <w:rPr>
          <w:lang w:val="fr-FR"/>
        </w:rPr>
        <w:t>’</w:t>
      </w:r>
      <w:r w:rsidRPr="00835BAE">
        <w:rPr>
          <w:lang w:val="fr-FR"/>
        </w:rPr>
        <w:t>on ignore l</w:t>
      </w:r>
      <w:r w:rsidR="00D77991">
        <w:rPr>
          <w:lang w:val="fr-FR"/>
        </w:rPr>
        <w:t>’</w:t>
      </w:r>
      <w:r w:rsidRPr="00835BAE">
        <w:rPr>
          <w:lang w:val="fr-FR"/>
        </w:rPr>
        <w:t xml:space="preserve">état </w:t>
      </w:r>
      <w:r w:rsidRPr="00835BAE">
        <w:rPr>
          <w:lang w:val="fr-FR"/>
        </w:rPr>
        <w:lastRenderedPageBreak/>
        <w:t>d</w:t>
      </w:r>
      <w:r w:rsidR="00D77991">
        <w:rPr>
          <w:lang w:val="fr-FR"/>
        </w:rPr>
        <w:t>’</w:t>
      </w:r>
      <w:r w:rsidRPr="00835BAE">
        <w:rPr>
          <w:lang w:val="fr-FR"/>
        </w:rPr>
        <w:t>avancement de leur reconversion et les solutions de remplacement qu</w:t>
      </w:r>
      <w:r w:rsidR="00D77991">
        <w:rPr>
          <w:lang w:val="fr-FR"/>
        </w:rPr>
        <w:t>’</w:t>
      </w:r>
      <w:r w:rsidRPr="00835BAE">
        <w:rPr>
          <w:lang w:val="fr-FR"/>
        </w:rPr>
        <w:t>elles ont choisies, leur reconversion sera achevée d</w:t>
      </w:r>
      <w:r w:rsidR="00D77991">
        <w:rPr>
          <w:lang w:val="fr-FR"/>
        </w:rPr>
        <w:t>’</w:t>
      </w:r>
      <w:r w:rsidRPr="00835BAE">
        <w:rPr>
          <w:lang w:val="fr-FR"/>
        </w:rPr>
        <w:t>ici le 31 décembre 2019, en phase avec l</w:t>
      </w:r>
      <w:r w:rsidR="00D77991">
        <w:rPr>
          <w:lang w:val="fr-FR"/>
        </w:rPr>
        <w:t>’</w:t>
      </w:r>
      <w:r w:rsidRPr="00835BAE">
        <w:rPr>
          <w:lang w:val="fr-FR"/>
        </w:rPr>
        <w:t>interdiction du 1</w:t>
      </w:r>
      <w:r w:rsidRPr="00835BAE">
        <w:rPr>
          <w:vertAlign w:val="superscript"/>
          <w:lang w:val="fr-FR"/>
        </w:rPr>
        <w:t>er</w:t>
      </w:r>
      <w:r w:rsidRPr="00835BAE">
        <w:rPr>
          <w:lang w:val="fr-FR"/>
        </w:rPr>
        <w:t xml:space="preserve"> janvier 2020.</w:t>
      </w:r>
    </w:p>
    <w:p w:rsidR="00D56BC7" w:rsidRPr="00C3019D" w:rsidRDefault="00E80E63" w:rsidP="00E80E63">
      <w:pPr>
        <w:keepNext/>
        <w:keepLines/>
        <w:rPr>
          <w:i/>
          <w:lang w:val="fr-FR"/>
        </w:rPr>
      </w:pPr>
      <w:r w:rsidRPr="00E80E63">
        <w:rPr>
          <w:i/>
          <w:lang w:val="fr-FR"/>
        </w:rPr>
        <w:t>Assistance</w:t>
      </w:r>
      <w:r w:rsidR="00D77991">
        <w:rPr>
          <w:i/>
          <w:lang w:val="fr-FR"/>
        </w:rPr>
        <w:t xml:space="preserve"> </w:t>
      </w:r>
      <w:r w:rsidRPr="00E80E63">
        <w:rPr>
          <w:i/>
          <w:lang w:val="fr-FR"/>
        </w:rPr>
        <w:t>technique pour le secteur de la fabrication de climatiseurs résidentiels</w:t>
      </w:r>
    </w:p>
    <w:p w:rsidR="00D56BC7" w:rsidRPr="00C3019D" w:rsidRDefault="00D56BC7" w:rsidP="00A1290A">
      <w:pPr>
        <w:keepNext/>
        <w:keepLines/>
        <w:rPr>
          <w:lang w:val="fr-FR"/>
        </w:rPr>
      </w:pPr>
    </w:p>
    <w:p w:rsidR="00E80E63" w:rsidRPr="00C3019D" w:rsidRDefault="00E80E63" w:rsidP="00F74CE5">
      <w:pPr>
        <w:pStyle w:val="Heading1"/>
        <w:keepNext/>
        <w:keepLines/>
        <w:rPr>
          <w:lang w:val="fr-FR"/>
        </w:rPr>
      </w:pPr>
      <w:r w:rsidRPr="00E80E63">
        <w:rPr>
          <w:lang w:val="fr-FR"/>
        </w:rPr>
        <w:t xml:space="preserve">Sur la base de données communiquées par cinq fabricants de climatiseurs résidentiels (El-Araby, Fresh, Miraco, Power et Unionaire) concernant </w:t>
      </w:r>
      <w:r w:rsidR="00D77991">
        <w:rPr>
          <w:lang w:val="fr-FR"/>
        </w:rPr>
        <w:t>l</w:t>
      </w:r>
      <w:r w:rsidRPr="00E80E63">
        <w:rPr>
          <w:lang w:val="fr-FR"/>
        </w:rPr>
        <w:t xml:space="preserve">es </w:t>
      </w:r>
      <w:r w:rsidR="00D77991">
        <w:rPr>
          <w:lang w:val="fr-FR"/>
        </w:rPr>
        <w:t>dispositifs</w:t>
      </w:r>
      <w:r w:rsidRPr="00E80E63">
        <w:rPr>
          <w:lang w:val="fr-FR"/>
        </w:rPr>
        <w:t xml:space="preserve"> de référence et la reconversion prévue, la transition vers d</w:t>
      </w:r>
      <w:r w:rsidR="00D77991">
        <w:rPr>
          <w:lang w:val="fr-FR"/>
        </w:rPr>
        <w:t>’</w:t>
      </w:r>
      <w:r w:rsidRPr="00E80E63">
        <w:rPr>
          <w:lang w:val="fr-FR"/>
        </w:rPr>
        <w:t>autres frigorigènes ainsi que les données de rendement en vue de la validation ont été évaluées.</w:t>
      </w:r>
      <w:r w:rsidRPr="00C3019D">
        <w:rPr>
          <w:lang w:val="fr-FR"/>
        </w:rPr>
        <w:t xml:space="preserve"> </w:t>
      </w:r>
      <w:r w:rsidRPr="00E80E63">
        <w:rPr>
          <w:lang w:val="fr-FR"/>
        </w:rPr>
        <w:t>Le consultant</w:t>
      </w:r>
      <w:r w:rsidR="00D77991">
        <w:rPr>
          <w:lang w:val="fr-FR"/>
        </w:rPr>
        <w:t xml:space="preserve"> </w:t>
      </w:r>
      <w:r w:rsidRPr="00E80E63">
        <w:rPr>
          <w:lang w:val="fr-FR"/>
        </w:rPr>
        <w:t>international a réalisé un travail approfondi de modélisation, de validation et d</w:t>
      </w:r>
      <w:r w:rsidR="00D77991">
        <w:rPr>
          <w:lang w:val="fr-FR"/>
        </w:rPr>
        <w:t>’</w:t>
      </w:r>
      <w:r w:rsidRPr="00E80E63">
        <w:rPr>
          <w:lang w:val="fr-FR"/>
        </w:rPr>
        <w:t>optimisation des performances pour les différents fabricants.</w:t>
      </w:r>
      <w:r w:rsidRPr="00C3019D">
        <w:rPr>
          <w:lang w:val="fr-FR"/>
        </w:rPr>
        <w:t xml:space="preserve"> </w:t>
      </w:r>
      <w:r w:rsidRPr="00E80E63">
        <w:rPr>
          <w:lang w:val="fr-FR"/>
        </w:rPr>
        <w:t>Les modèles ont été élaborés pour les équipements de base et validés.</w:t>
      </w:r>
      <w:r w:rsidRPr="00C3019D">
        <w:rPr>
          <w:lang w:val="fr-FR"/>
        </w:rPr>
        <w:t xml:space="preserve"> </w:t>
      </w:r>
      <w:r w:rsidRPr="00E80E63">
        <w:rPr>
          <w:lang w:val="fr-FR"/>
        </w:rPr>
        <w:t xml:space="preserve">Les simulations ont été réalisées en utilisant les frigorigènes de remplacement suggérés en tant que produits de substitution directe </w:t>
      </w:r>
      <w:r w:rsidRPr="00AD0459">
        <w:rPr>
          <w:lang w:val="fr-FR"/>
        </w:rPr>
        <w:t xml:space="preserve">et </w:t>
      </w:r>
      <w:r w:rsidR="00B10048" w:rsidRPr="00AD0459">
        <w:rPr>
          <w:lang w:val="fr-FR"/>
        </w:rPr>
        <w:t xml:space="preserve">avec une </w:t>
      </w:r>
      <w:r w:rsidRPr="00AD0459">
        <w:rPr>
          <w:lang w:val="fr-FR"/>
        </w:rPr>
        <w:t xml:space="preserve">optimisation </w:t>
      </w:r>
      <w:r w:rsidR="00B10048" w:rsidRPr="00AD0459">
        <w:rPr>
          <w:lang w:val="fr-FR"/>
        </w:rPr>
        <w:t>douce</w:t>
      </w:r>
      <w:r w:rsidRPr="00AD0459">
        <w:rPr>
          <w:lang w:val="fr-FR"/>
        </w:rPr>
        <w:t xml:space="preserve"> pour correspondre à la capacité de référence.</w:t>
      </w:r>
      <w:r w:rsidRPr="00C3019D">
        <w:rPr>
          <w:lang w:val="fr-FR"/>
        </w:rPr>
        <w:t xml:space="preserve"> </w:t>
      </w:r>
      <w:r w:rsidR="00F74CE5" w:rsidRPr="00AD0459">
        <w:rPr>
          <w:lang w:val="fr-FR"/>
        </w:rPr>
        <w:t>Des visites de sites ont été organisé</w:t>
      </w:r>
      <w:r w:rsidR="00D77991" w:rsidRPr="00AD0459">
        <w:rPr>
          <w:lang w:val="fr-FR"/>
        </w:rPr>
        <w:t>e</w:t>
      </w:r>
      <w:r w:rsidR="00F74CE5" w:rsidRPr="00AD0459">
        <w:rPr>
          <w:lang w:val="fr-FR"/>
        </w:rPr>
        <w:t>s au cours desquelles l</w:t>
      </w:r>
      <w:r w:rsidR="00D77991" w:rsidRPr="00AD0459">
        <w:rPr>
          <w:lang w:val="fr-FR"/>
        </w:rPr>
        <w:t>’</w:t>
      </w:r>
      <w:r w:rsidR="00F74CE5" w:rsidRPr="00AD0459">
        <w:rPr>
          <w:lang w:val="fr-FR"/>
        </w:rPr>
        <w:t>outil de simulation des systèmes (</w:t>
      </w:r>
      <w:r w:rsidR="00AD0459" w:rsidRPr="00AD0459">
        <w:rPr>
          <w:lang w:val="fr-FR"/>
        </w:rPr>
        <w:t>Mo</w:t>
      </w:r>
      <w:r w:rsidR="00F74CE5" w:rsidRPr="00AD0459">
        <w:rPr>
          <w:lang w:val="fr-FR"/>
        </w:rPr>
        <w:t xml:space="preserve">dèle de conception de pompe à chaleur </w:t>
      </w:r>
      <w:r w:rsidR="00D77991" w:rsidRPr="00AD0459">
        <w:rPr>
          <w:lang w:val="fr-FR"/>
        </w:rPr>
        <w:t>(HPDM)</w:t>
      </w:r>
      <w:r w:rsidR="00F74CE5" w:rsidRPr="00AD0459">
        <w:rPr>
          <w:lang w:val="fr-FR"/>
        </w:rPr>
        <w:t xml:space="preserve"> de l</w:t>
      </w:r>
      <w:r w:rsidR="00D77991" w:rsidRPr="00AD0459">
        <w:rPr>
          <w:lang w:val="fr-FR"/>
        </w:rPr>
        <w:t>’</w:t>
      </w:r>
      <w:r w:rsidR="00F74CE5" w:rsidRPr="00AD0459">
        <w:rPr>
          <w:lang w:val="fr-FR"/>
        </w:rPr>
        <w:t xml:space="preserve">ORNL) a été </w:t>
      </w:r>
      <w:r w:rsidR="008768DA" w:rsidRPr="00AD0459">
        <w:rPr>
          <w:lang w:val="fr-FR"/>
        </w:rPr>
        <w:t>fourni</w:t>
      </w:r>
      <w:r w:rsidR="00F74CE5" w:rsidRPr="00AD0459">
        <w:rPr>
          <w:lang w:val="fr-FR"/>
        </w:rPr>
        <w:t>, ainsi qu</w:t>
      </w:r>
      <w:r w:rsidR="00D77991" w:rsidRPr="00AD0459">
        <w:rPr>
          <w:lang w:val="fr-FR"/>
        </w:rPr>
        <w:t>’</w:t>
      </w:r>
      <w:r w:rsidR="00F74CE5" w:rsidRPr="00AD0459">
        <w:rPr>
          <w:lang w:val="fr-FR"/>
        </w:rPr>
        <w:t xml:space="preserve">un atelier </w:t>
      </w:r>
      <w:r w:rsidR="008768DA" w:rsidRPr="00AD0459">
        <w:rPr>
          <w:lang w:val="fr-FR"/>
        </w:rPr>
        <w:t>de</w:t>
      </w:r>
      <w:r w:rsidR="00F74CE5" w:rsidRPr="00AD0459">
        <w:rPr>
          <w:lang w:val="fr-FR"/>
        </w:rPr>
        <w:t xml:space="preserve"> conception afin d</w:t>
      </w:r>
      <w:r w:rsidR="00D77991" w:rsidRPr="00AD0459">
        <w:rPr>
          <w:lang w:val="fr-FR"/>
        </w:rPr>
        <w:t>’</w:t>
      </w:r>
      <w:r w:rsidR="00F74CE5" w:rsidRPr="00AD0459">
        <w:rPr>
          <w:lang w:val="fr-FR"/>
        </w:rPr>
        <w:t>améliorer les performances du système tout en changeant de frigorigène pour passer à un</w:t>
      </w:r>
      <w:r w:rsidR="00D77991" w:rsidRPr="00AD0459">
        <w:rPr>
          <w:lang w:val="fr-FR"/>
        </w:rPr>
        <w:t xml:space="preserve"> </w:t>
      </w:r>
      <w:r w:rsidR="00F74CE5" w:rsidRPr="00AD0459">
        <w:rPr>
          <w:lang w:val="fr-FR"/>
        </w:rPr>
        <w:t>frigorigène à faible PRP.</w:t>
      </w:r>
    </w:p>
    <w:p w:rsidR="00D56BC7" w:rsidRPr="00C3019D" w:rsidRDefault="00D56BC7" w:rsidP="00E80E63">
      <w:pPr>
        <w:pStyle w:val="Heading1"/>
        <w:keepNext/>
        <w:keepLines/>
        <w:numPr>
          <w:ilvl w:val="0"/>
          <w:numId w:val="0"/>
        </w:numPr>
        <w:spacing w:after="0"/>
        <w:rPr>
          <w:lang w:val="fr-FR"/>
        </w:rPr>
      </w:pPr>
    </w:p>
    <w:p w:rsidR="00905B67" w:rsidRPr="00C3019D" w:rsidRDefault="00F74CE5" w:rsidP="00905B67">
      <w:pPr>
        <w:rPr>
          <w:u w:val="single"/>
          <w:lang w:val="fr-FR"/>
        </w:rPr>
      </w:pPr>
      <w:r w:rsidRPr="00F74CE5">
        <w:rPr>
          <w:u w:val="single"/>
          <w:lang w:val="fr-FR"/>
        </w:rPr>
        <w:t>Activités dans le secteur de l</w:t>
      </w:r>
      <w:r w:rsidR="00D77991">
        <w:rPr>
          <w:u w:val="single"/>
          <w:lang w:val="fr-FR"/>
        </w:rPr>
        <w:t>’</w:t>
      </w:r>
      <w:r w:rsidRPr="00F74CE5">
        <w:rPr>
          <w:u w:val="single"/>
          <w:lang w:val="fr-FR"/>
        </w:rPr>
        <w:t>entretien des équipements de réfrigération</w:t>
      </w:r>
    </w:p>
    <w:p w:rsidR="00905B67" w:rsidRPr="00C3019D" w:rsidRDefault="00905B67" w:rsidP="00905B67">
      <w:pPr>
        <w:rPr>
          <w:u w:val="single"/>
          <w:lang w:val="fr-FR"/>
        </w:rPr>
      </w:pPr>
    </w:p>
    <w:p w:rsidR="00F74CE5" w:rsidRPr="00C3019D" w:rsidRDefault="00F74CE5" w:rsidP="00F74CE5">
      <w:pPr>
        <w:pStyle w:val="Heading1"/>
        <w:rPr>
          <w:lang w:val="fr-FR"/>
        </w:rPr>
      </w:pPr>
      <w:r w:rsidRPr="00F74CE5">
        <w:rPr>
          <w:lang w:val="fr-FR"/>
        </w:rPr>
        <w:t>Les activités suivantes ont été menées à bien</w:t>
      </w:r>
      <w:r w:rsidR="008768DA">
        <w:rPr>
          <w:lang w:val="fr-FR"/>
        </w:rPr>
        <w:t> </w:t>
      </w:r>
      <w:r w:rsidRPr="00F74CE5">
        <w:rPr>
          <w:lang w:val="fr-FR"/>
        </w:rPr>
        <w:t>:</w:t>
      </w:r>
    </w:p>
    <w:p w:rsidR="00F74CE5" w:rsidRPr="00C3019D" w:rsidRDefault="00F74CE5" w:rsidP="00F74CE5">
      <w:pPr>
        <w:pStyle w:val="Heading2"/>
        <w:rPr>
          <w:lang w:val="fr-FR"/>
        </w:rPr>
      </w:pPr>
      <w:r w:rsidRPr="00F74CE5">
        <w:rPr>
          <w:lang w:val="fr-FR"/>
        </w:rPr>
        <w:t>Signature d</w:t>
      </w:r>
      <w:r w:rsidR="00D77991">
        <w:rPr>
          <w:lang w:val="fr-FR"/>
        </w:rPr>
        <w:t>’</w:t>
      </w:r>
      <w:r>
        <w:rPr>
          <w:lang w:val="fr-FR"/>
        </w:rPr>
        <w:t>un</w:t>
      </w:r>
      <w:r w:rsidRPr="00F74CE5">
        <w:rPr>
          <w:lang w:val="fr-FR"/>
        </w:rPr>
        <w:t xml:space="preserve"> protocole entre </w:t>
      </w:r>
      <w:r w:rsidRPr="00F74CE5">
        <w:rPr>
          <w:bCs/>
          <w:lang w:val="fr-FR"/>
        </w:rPr>
        <w:t>l</w:t>
      </w:r>
      <w:r w:rsidR="00D77991">
        <w:rPr>
          <w:bCs/>
          <w:lang w:val="fr-FR"/>
        </w:rPr>
        <w:t>’</w:t>
      </w:r>
      <w:r w:rsidRPr="00F74CE5">
        <w:rPr>
          <w:bCs/>
          <w:lang w:val="fr-FR"/>
        </w:rPr>
        <w:t>Agence égyptienne des affaires environnementales (EEAA)</w:t>
      </w:r>
      <w:r w:rsidRPr="00F74CE5">
        <w:rPr>
          <w:b/>
          <w:bCs/>
          <w:lang w:val="fr-FR"/>
        </w:rPr>
        <w:t xml:space="preserve"> </w:t>
      </w:r>
      <w:r w:rsidRPr="00F74CE5">
        <w:rPr>
          <w:bCs/>
          <w:lang w:val="fr-FR"/>
        </w:rPr>
        <w:t>et l</w:t>
      </w:r>
      <w:r w:rsidR="00D77991">
        <w:rPr>
          <w:bCs/>
          <w:lang w:val="fr-FR"/>
        </w:rPr>
        <w:t>’</w:t>
      </w:r>
      <w:r w:rsidRPr="00F74CE5">
        <w:rPr>
          <w:bCs/>
          <w:lang w:val="fr-FR"/>
        </w:rPr>
        <w:t>Agence de protection des consommateurs</w:t>
      </w:r>
      <w:r w:rsidRPr="00F74CE5">
        <w:rPr>
          <w:b/>
          <w:bCs/>
          <w:lang w:val="fr-FR"/>
        </w:rPr>
        <w:t xml:space="preserve"> </w:t>
      </w:r>
      <w:r w:rsidRPr="00F74CE5">
        <w:rPr>
          <w:lang w:val="fr-FR"/>
        </w:rPr>
        <w:t xml:space="preserve">(CPA), afin de suivre et lutter contre les </w:t>
      </w:r>
      <w:r w:rsidRPr="008768DA">
        <w:rPr>
          <w:lang w:val="fr-FR"/>
        </w:rPr>
        <w:t>produits frigorigènes de contrefaçon</w:t>
      </w:r>
      <w:r w:rsidRPr="00F74CE5">
        <w:rPr>
          <w:lang w:val="fr-FR"/>
        </w:rPr>
        <w:t xml:space="preserve"> sur le marché local ; mise au point de paramètres pour une étude des impacts</w:t>
      </w:r>
      <w:r w:rsidR="00D77991">
        <w:rPr>
          <w:lang w:val="fr-FR"/>
        </w:rPr>
        <w:t xml:space="preserve"> </w:t>
      </w:r>
      <w:r w:rsidRPr="00F74CE5">
        <w:rPr>
          <w:lang w:val="fr-FR"/>
        </w:rPr>
        <w:t>socio-économiques</w:t>
      </w:r>
      <w:r w:rsidR="00D77991">
        <w:rPr>
          <w:lang w:val="fr-FR"/>
        </w:rPr>
        <w:t xml:space="preserve"> </w:t>
      </w:r>
      <w:r w:rsidRPr="00F74CE5">
        <w:rPr>
          <w:lang w:val="fr-FR"/>
        </w:rPr>
        <w:t>de l</w:t>
      </w:r>
      <w:r w:rsidR="00D77991">
        <w:rPr>
          <w:lang w:val="fr-FR"/>
        </w:rPr>
        <w:t>’</w:t>
      </w:r>
      <w:r w:rsidRPr="00F74CE5">
        <w:rPr>
          <w:lang w:val="fr-FR"/>
        </w:rPr>
        <w:t>élimination des HCFC et de l</w:t>
      </w:r>
      <w:r w:rsidR="00D77991">
        <w:rPr>
          <w:lang w:val="fr-FR"/>
        </w:rPr>
        <w:t>’</w:t>
      </w:r>
      <w:r w:rsidRPr="00F74CE5">
        <w:rPr>
          <w:lang w:val="fr-FR"/>
        </w:rPr>
        <w:t>utilisation de produits de remplacement</w:t>
      </w:r>
      <w:r w:rsidR="00B10048">
        <w:rPr>
          <w:lang w:val="fr-FR"/>
        </w:rPr>
        <w:t xml:space="preserve"> dans</w:t>
      </w:r>
      <w:r w:rsidRPr="00F74CE5">
        <w:rPr>
          <w:lang w:val="fr-FR"/>
        </w:rPr>
        <w:t xml:space="preserve"> le secteur de la</w:t>
      </w:r>
      <w:r w:rsidR="00D77991">
        <w:rPr>
          <w:lang w:val="fr-FR"/>
        </w:rPr>
        <w:t xml:space="preserve"> </w:t>
      </w:r>
      <w:r w:rsidRPr="00F74CE5">
        <w:rPr>
          <w:lang w:val="fr-FR"/>
        </w:rPr>
        <w:t>réfrigération et de la</w:t>
      </w:r>
      <w:r w:rsidR="00D77991">
        <w:rPr>
          <w:lang w:val="fr-FR"/>
        </w:rPr>
        <w:t xml:space="preserve"> </w:t>
      </w:r>
      <w:r w:rsidRPr="00F74CE5">
        <w:rPr>
          <w:lang w:val="fr-FR"/>
        </w:rPr>
        <w:t>climatisation ;</w:t>
      </w:r>
    </w:p>
    <w:p w:rsidR="00F74CE5" w:rsidRPr="00C3019D" w:rsidRDefault="00F74CE5" w:rsidP="00F74CE5">
      <w:pPr>
        <w:pStyle w:val="Heading2"/>
        <w:rPr>
          <w:lang w:val="fr-FR"/>
        </w:rPr>
      </w:pPr>
      <w:r w:rsidRPr="00F74CE5">
        <w:rPr>
          <w:lang w:val="fr-FR"/>
        </w:rPr>
        <w:t xml:space="preserve">Un atelier </w:t>
      </w:r>
      <w:r w:rsidR="008768DA">
        <w:rPr>
          <w:lang w:val="fr-FR"/>
        </w:rPr>
        <w:t>de</w:t>
      </w:r>
      <w:r w:rsidRPr="00F74CE5">
        <w:rPr>
          <w:lang w:val="fr-FR"/>
        </w:rPr>
        <w:t xml:space="preserve"> formation des formateurs afin de former 30 inspecteurs de la CPA et huit atelier</w:t>
      </w:r>
      <w:r w:rsidR="00B10048">
        <w:rPr>
          <w:lang w:val="fr-FR"/>
        </w:rPr>
        <w:t>s</w:t>
      </w:r>
      <w:r w:rsidRPr="00F74CE5">
        <w:rPr>
          <w:lang w:val="fr-FR"/>
        </w:rPr>
        <w:t xml:space="preserve"> pour former 140</w:t>
      </w:r>
      <w:r w:rsidR="00D77991">
        <w:rPr>
          <w:lang w:val="fr-FR"/>
        </w:rPr>
        <w:t xml:space="preserve"> </w:t>
      </w:r>
      <w:r w:rsidRPr="00F74CE5">
        <w:rPr>
          <w:lang w:val="fr-FR"/>
        </w:rPr>
        <w:t>inspecteurs de la CPA dans deux gouvernorats ont été organisés, complétés par 10 autres ateliers pour former 175 inspecteurs de la CPA dans les gouvernorats restants</w:t>
      </w:r>
      <w:r w:rsidR="00B10048">
        <w:rPr>
          <w:lang w:val="fr-FR"/>
        </w:rPr>
        <w:t>,</w:t>
      </w:r>
      <w:r w:rsidRPr="00F74CE5">
        <w:rPr>
          <w:lang w:val="fr-FR"/>
        </w:rPr>
        <w:t xml:space="preserve"> prévus pour octobre 2019. Les sujets traitaient notamment de la législation, et du suivi de la fourniture et de l</w:t>
      </w:r>
      <w:r w:rsidR="00D77991">
        <w:rPr>
          <w:lang w:val="fr-FR"/>
        </w:rPr>
        <w:t>’</w:t>
      </w:r>
      <w:r w:rsidRPr="00F74CE5">
        <w:rPr>
          <w:lang w:val="fr-FR"/>
        </w:rPr>
        <w:t>utilisation des HCFC ;</w:t>
      </w:r>
      <w:r w:rsidRPr="00C3019D">
        <w:rPr>
          <w:lang w:val="fr-FR"/>
        </w:rPr>
        <w:t xml:space="preserve"> </w:t>
      </w:r>
    </w:p>
    <w:p w:rsidR="00F74CE5" w:rsidRPr="00C3019D" w:rsidRDefault="00F74CE5" w:rsidP="00F74CE5">
      <w:pPr>
        <w:pStyle w:val="Heading2"/>
        <w:rPr>
          <w:lang w:val="fr-FR"/>
        </w:rPr>
      </w:pPr>
      <w:r w:rsidRPr="00F74CE5">
        <w:rPr>
          <w:lang w:val="fr-FR"/>
        </w:rPr>
        <w:t>Signature d</w:t>
      </w:r>
      <w:r w:rsidR="00D77991">
        <w:rPr>
          <w:lang w:val="fr-FR"/>
        </w:rPr>
        <w:t>’</w:t>
      </w:r>
      <w:r w:rsidRPr="00F74CE5">
        <w:rPr>
          <w:lang w:val="fr-FR"/>
        </w:rPr>
        <w:t>un protocole avec le ministère du Commerce et de l</w:t>
      </w:r>
      <w:r w:rsidR="00D77991">
        <w:rPr>
          <w:lang w:val="fr-FR"/>
        </w:rPr>
        <w:t>’</w:t>
      </w:r>
      <w:r w:rsidRPr="00F74CE5">
        <w:rPr>
          <w:lang w:val="fr-FR"/>
        </w:rPr>
        <w:t>Industrie afin d</w:t>
      </w:r>
      <w:r w:rsidR="00D77991">
        <w:rPr>
          <w:lang w:val="fr-FR"/>
        </w:rPr>
        <w:t>’</w:t>
      </w:r>
      <w:r w:rsidRPr="00F74CE5">
        <w:rPr>
          <w:lang w:val="fr-FR"/>
        </w:rPr>
        <w:t>examiner les réglementations et les politiques, et d</w:t>
      </w:r>
      <w:r w:rsidR="00D77991">
        <w:rPr>
          <w:lang w:val="fr-FR"/>
        </w:rPr>
        <w:t>’</w:t>
      </w:r>
      <w:r w:rsidRPr="00F74CE5">
        <w:rPr>
          <w:lang w:val="fr-FR"/>
        </w:rPr>
        <w:t>introduire des mesures destinées à renforcer la supervision des substances réglementées ; actualisation des codes douaniers des substances réglementées conformément aux mises à jour de l</w:t>
      </w:r>
      <w:r w:rsidR="00D77991">
        <w:rPr>
          <w:lang w:val="fr-FR"/>
        </w:rPr>
        <w:t>’</w:t>
      </w:r>
      <w:r w:rsidRPr="00F74CE5">
        <w:rPr>
          <w:lang w:val="fr-FR"/>
        </w:rPr>
        <w:t>Organisation mondiale des Douanes ;</w:t>
      </w:r>
    </w:p>
    <w:p w:rsidR="00F74CE5" w:rsidRPr="00C3019D" w:rsidRDefault="00F74CE5" w:rsidP="00F74CE5">
      <w:pPr>
        <w:pStyle w:val="Heading2"/>
        <w:rPr>
          <w:lang w:val="fr-FR"/>
        </w:rPr>
      </w:pPr>
      <w:r w:rsidRPr="00F74CE5">
        <w:rPr>
          <w:lang w:val="fr-FR"/>
        </w:rPr>
        <w:t>Achat de 10 identificateurs de frigorigènes aux fins d</w:t>
      </w:r>
      <w:r w:rsidR="00D77991">
        <w:rPr>
          <w:lang w:val="fr-FR"/>
        </w:rPr>
        <w:t>’</w:t>
      </w:r>
      <w:r w:rsidRPr="00F74CE5">
        <w:rPr>
          <w:lang w:val="fr-FR"/>
        </w:rPr>
        <w:t>utilisation par les douanes et les inspecteurs de la CPA, et formation de 180 inspecteurs à leur utilisation ;</w:t>
      </w:r>
    </w:p>
    <w:p w:rsidR="00F74CE5" w:rsidRPr="00C3019D" w:rsidRDefault="00F74CE5" w:rsidP="00F74CE5">
      <w:pPr>
        <w:pStyle w:val="Heading2"/>
        <w:rPr>
          <w:lang w:val="fr-FR"/>
        </w:rPr>
      </w:pPr>
      <w:r w:rsidRPr="00F74CE5">
        <w:rPr>
          <w:lang w:val="fr-FR"/>
        </w:rPr>
        <w:t xml:space="preserve">Arrêté ministériel publié le 25 juillet 2019 actualisant la liste des substances réglementées pour y inclure tous les mélanges de HCFC importés ; publication en 2019 </w:t>
      </w:r>
      <w:r w:rsidR="00C7168E" w:rsidRPr="00C7168E">
        <w:rPr>
          <w:lang w:val="fr-FR"/>
        </w:rPr>
        <w:t>par les</w:t>
      </w:r>
      <w:r w:rsidR="00C7168E" w:rsidRPr="00F74CE5">
        <w:rPr>
          <w:lang w:val="fr-FR"/>
        </w:rPr>
        <w:t xml:space="preserve"> Autorités douanières </w:t>
      </w:r>
      <w:r w:rsidRPr="00F74CE5">
        <w:rPr>
          <w:lang w:val="fr-FR"/>
        </w:rPr>
        <w:t xml:space="preserve">des </w:t>
      </w:r>
      <w:r w:rsidRPr="00C7168E">
        <w:rPr>
          <w:lang w:val="fr-FR"/>
        </w:rPr>
        <w:t xml:space="preserve">règlementations </w:t>
      </w:r>
      <w:r w:rsidR="00C7168E" w:rsidRPr="00C7168E">
        <w:rPr>
          <w:lang w:val="fr-FR"/>
        </w:rPr>
        <w:t>en matière d’</w:t>
      </w:r>
      <w:r w:rsidRPr="00C7168E">
        <w:rPr>
          <w:lang w:val="fr-FR"/>
        </w:rPr>
        <w:t>importations</w:t>
      </w:r>
      <w:r w:rsidR="00D77991" w:rsidRPr="00C7168E">
        <w:rPr>
          <w:lang w:val="fr-FR"/>
        </w:rPr>
        <w:t xml:space="preserve"> </w:t>
      </w:r>
      <w:r w:rsidRPr="00F74CE5">
        <w:rPr>
          <w:lang w:val="fr-FR"/>
        </w:rPr>
        <w:t>afin d</w:t>
      </w:r>
      <w:r w:rsidR="00D77991">
        <w:rPr>
          <w:lang w:val="fr-FR"/>
        </w:rPr>
        <w:t>’</w:t>
      </w:r>
      <w:r w:rsidRPr="00F74CE5">
        <w:rPr>
          <w:lang w:val="fr-FR"/>
        </w:rPr>
        <w:t>interdire l</w:t>
      </w:r>
      <w:r w:rsidR="00D77991">
        <w:rPr>
          <w:lang w:val="fr-FR"/>
        </w:rPr>
        <w:t>’</w:t>
      </w:r>
      <w:r w:rsidRPr="00F74CE5">
        <w:rPr>
          <w:lang w:val="fr-FR"/>
        </w:rPr>
        <w:t>importation du</w:t>
      </w:r>
      <w:r w:rsidR="00D77991">
        <w:rPr>
          <w:lang w:val="fr-FR"/>
        </w:rPr>
        <w:t xml:space="preserve"> </w:t>
      </w:r>
      <w:r w:rsidRPr="00F74CE5">
        <w:rPr>
          <w:lang w:val="fr-FR"/>
        </w:rPr>
        <w:t>HCFC-141b à compter du 1</w:t>
      </w:r>
      <w:r w:rsidRPr="00F74CE5">
        <w:rPr>
          <w:vertAlign w:val="superscript"/>
          <w:lang w:val="fr-FR"/>
        </w:rPr>
        <w:t>er</w:t>
      </w:r>
      <w:r w:rsidRPr="00F74CE5">
        <w:rPr>
          <w:lang w:val="fr-FR"/>
        </w:rPr>
        <w:t xml:space="preserve"> janvier ; mise à jour des autorisations d</w:t>
      </w:r>
      <w:r w:rsidR="00D77991">
        <w:rPr>
          <w:lang w:val="fr-FR"/>
        </w:rPr>
        <w:t>’</w:t>
      </w:r>
      <w:r w:rsidRPr="00F74CE5">
        <w:rPr>
          <w:lang w:val="fr-FR"/>
        </w:rPr>
        <w:t>importation du</w:t>
      </w:r>
      <w:r w:rsidR="00D77991">
        <w:rPr>
          <w:lang w:val="fr-FR"/>
        </w:rPr>
        <w:t xml:space="preserve"> </w:t>
      </w:r>
      <w:r w:rsidRPr="00F74CE5">
        <w:rPr>
          <w:lang w:val="fr-FR"/>
        </w:rPr>
        <w:t>HCFC-22 pour limiter les importations à 40 tm</w:t>
      </w:r>
      <w:r w:rsidR="00B10048">
        <w:rPr>
          <w:lang w:val="fr-FR"/>
        </w:rPr>
        <w:t> </w:t>
      </w:r>
      <w:r w:rsidRPr="00F74CE5">
        <w:rPr>
          <w:lang w:val="fr-FR"/>
        </w:rPr>
        <w:t>;</w:t>
      </w:r>
    </w:p>
    <w:p w:rsidR="00AD0459" w:rsidRDefault="00AD0459" w:rsidP="002860CF">
      <w:pPr>
        <w:pStyle w:val="Heading2"/>
        <w:keepNext/>
        <w:keepLines/>
        <w:rPr>
          <w:lang w:val="fr-FR"/>
        </w:rPr>
      </w:pPr>
      <w:r w:rsidRPr="00AD0459">
        <w:rPr>
          <w:lang w:val="fr-FR"/>
        </w:rPr>
        <w:lastRenderedPageBreak/>
        <w:t>Lancement d’a</w:t>
      </w:r>
      <w:r w:rsidR="002860CF" w:rsidRPr="00AD0459">
        <w:rPr>
          <w:lang w:val="fr-FR"/>
        </w:rPr>
        <w:t>ctivités destinées à mettre en place le programme de surveillance du marché des frigorigènes, notamment en modifiant les procédures de fonctionnement de la Loi sur la protection du consommateur égyptien (181/2018) en y incluant les substances réglementées, et développement des supports de la campagne de sensibilisation ciblant les négociants, les détaillants et les consommateurs sur les produits frauduleux ; cette campagne devrait démarrer en janvier 2020</w:t>
      </w:r>
      <w:r w:rsidR="00B10048" w:rsidRPr="00AD0459">
        <w:rPr>
          <w:lang w:val="fr-FR"/>
        </w:rPr>
        <w:t> </w:t>
      </w:r>
      <w:r w:rsidR="002860CF" w:rsidRPr="00AD0459">
        <w:rPr>
          <w:lang w:val="fr-FR"/>
        </w:rPr>
        <w:t>;</w:t>
      </w:r>
    </w:p>
    <w:p w:rsidR="00AD0459" w:rsidRDefault="002860CF" w:rsidP="002860CF">
      <w:pPr>
        <w:pStyle w:val="Heading2"/>
        <w:keepNext/>
        <w:keepLines/>
        <w:rPr>
          <w:lang w:val="fr-FR"/>
        </w:rPr>
      </w:pPr>
      <w:r w:rsidRPr="00AD0459">
        <w:rPr>
          <w:lang w:val="fr-FR"/>
        </w:rPr>
        <w:t xml:space="preserve">Protocoles de coopération </w:t>
      </w:r>
      <w:r w:rsidR="00C7168E" w:rsidRPr="00AD0459">
        <w:rPr>
          <w:lang w:val="fr-FR"/>
        </w:rPr>
        <w:t xml:space="preserve">signés </w:t>
      </w:r>
      <w:r w:rsidRPr="00AD0459">
        <w:rPr>
          <w:lang w:val="fr-FR"/>
        </w:rPr>
        <w:t>avec deux écoles de formation professionnelle afin de mettre en place un programme de certification nationale</w:t>
      </w:r>
      <w:r w:rsidR="00B10048" w:rsidRPr="00AD0459">
        <w:rPr>
          <w:lang w:val="fr-FR"/>
        </w:rPr>
        <w:t>,</w:t>
      </w:r>
      <w:r w:rsidR="00D77991" w:rsidRPr="00AD0459">
        <w:rPr>
          <w:lang w:val="fr-FR"/>
        </w:rPr>
        <w:t xml:space="preserve"> </w:t>
      </w:r>
      <w:r w:rsidRPr="00AD0459">
        <w:rPr>
          <w:lang w:val="fr-FR"/>
        </w:rPr>
        <w:t>et avant-projet de système de certification en cours d</w:t>
      </w:r>
      <w:r w:rsidR="00D77991" w:rsidRPr="00AD0459">
        <w:rPr>
          <w:lang w:val="fr-FR"/>
        </w:rPr>
        <w:t>’</w:t>
      </w:r>
      <w:r w:rsidRPr="00AD0459">
        <w:rPr>
          <w:lang w:val="fr-FR"/>
        </w:rPr>
        <w:t>examen final ; signature d</w:t>
      </w:r>
      <w:r w:rsidR="00D77991" w:rsidRPr="00AD0459">
        <w:rPr>
          <w:lang w:val="fr-FR"/>
        </w:rPr>
        <w:t>’</w:t>
      </w:r>
      <w:r w:rsidRPr="00AD0459">
        <w:rPr>
          <w:lang w:val="fr-FR"/>
        </w:rPr>
        <w:t>un protocole de coopération avec l</w:t>
      </w:r>
      <w:r w:rsidR="00D77991" w:rsidRPr="00AD0459">
        <w:rPr>
          <w:lang w:val="fr-FR"/>
        </w:rPr>
        <w:t>’</w:t>
      </w:r>
      <w:r w:rsidRPr="00AD0459">
        <w:rPr>
          <w:lang w:val="fr-FR"/>
        </w:rPr>
        <w:t>Organisation égyptienne de normalisation et de contrôle de la qualité (EOS), qui a commenc</w:t>
      </w:r>
      <w:r w:rsidR="00B10048" w:rsidRPr="00AD0459">
        <w:rPr>
          <w:lang w:val="fr-FR"/>
        </w:rPr>
        <w:t>é</w:t>
      </w:r>
      <w:r w:rsidRPr="00AD0459">
        <w:rPr>
          <w:lang w:val="fr-FR"/>
        </w:rPr>
        <w:t xml:space="preserve"> à préparer les lignes directrices qui seront mises en œuvre par le ministère de la Main d</w:t>
      </w:r>
      <w:r w:rsidR="00D77991" w:rsidRPr="00AD0459">
        <w:rPr>
          <w:lang w:val="fr-FR"/>
        </w:rPr>
        <w:t>’</w:t>
      </w:r>
      <w:r w:rsidRPr="00AD0459">
        <w:rPr>
          <w:lang w:val="fr-FR"/>
        </w:rPr>
        <w:t>œuvre pour délivrer des certificats aux centres</w:t>
      </w:r>
      <w:r w:rsidR="00D77991" w:rsidRPr="00AD0459">
        <w:rPr>
          <w:lang w:val="fr-FR"/>
        </w:rPr>
        <w:t xml:space="preserve"> </w:t>
      </w:r>
      <w:r w:rsidRPr="00AD0459">
        <w:rPr>
          <w:lang w:val="fr-FR"/>
        </w:rPr>
        <w:t>et aux techniciens de l</w:t>
      </w:r>
      <w:r w:rsidR="00D77991" w:rsidRPr="00AD0459">
        <w:rPr>
          <w:lang w:val="fr-FR"/>
        </w:rPr>
        <w:t>’</w:t>
      </w:r>
      <w:r w:rsidRPr="00AD0459">
        <w:rPr>
          <w:lang w:val="fr-FR"/>
        </w:rPr>
        <w:t>entretien</w:t>
      </w:r>
      <w:r w:rsidRPr="002860CF">
        <w:rPr>
          <w:rStyle w:val="FootnoteReference"/>
          <w:lang w:val="fr-FR"/>
        </w:rPr>
        <w:footnoteReference w:id="14"/>
      </w:r>
      <w:r w:rsidRPr="00AD0459">
        <w:rPr>
          <w:lang w:val="fr-FR"/>
        </w:rPr>
        <w:t> ; et un appel à proposition</w:t>
      </w:r>
      <w:r w:rsidR="00B10048" w:rsidRPr="00AD0459">
        <w:rPr>
          <w:lang w:val="fr-FR"/>
        </w:rPr>
        <w:t>s</w:t>
      </w:r>
      <w:r w:rsidRPr="00AD0459">
        <w:rPr>
          <w:lang w:val="fr-FR"/>
        </w:rPr>
        <w:t xml:space="preserve"> a été publié concernant un centre pilote de récupération et de régénération des frigorigènes ;</w:t>
      </w:r>
    </w:p>
    <w:p w:rsidR="002860CF" w:rsidRPr="00C3019D" w:rsidRDefault="00AD0459" w:rsidP="002860CF">
      <w:pPr>
        <w:pStyle w:val="Heading2"/>
        <w:keepNext/>
        <w:keepLines/>
        <w:rPr>
          <w:lang w:val="fr-FR"/>
        </w:rPr>
      </w:pPr>
      <w:r w:rsidRPr="00AD0459">
        <w:rPr>
          <w:lang w:val="fr-FR"/>
        </w:rPr>
        <w:t>M</w:t>
      </w:r>
      <w:r w:rsidR="002860CF" w:rsidRPr="00AD0459">
        <w:rPr>
          <w:lang w:val="fr-FR"/>
        </w:rPr>
        <w:t>ise à jour des programmes d</w:t>
      </w:r>
      <w:r w:rsidR="00D77991" w:rsidRPr="00AD0459">
        <w:rPr>
          <w:lang w:val="fr-FR"/>
        </w:rPr>
        <w:t>’</w:t>
      </w:r>
      <w:r w:rsidR="002860CF" w:rsidRPr="00AD0459">
        <w:rPr>
          <w:lang w:val="fr-FR"/>
        </w:rPr>
        <w:t>enseignement technique et professionnel local,</w:t>
      </w:r>
      <w:r w:rsidR="00D77991" w:rsidRPr="00AD0459">
        <w:rPr>
          <w:lang w:val="fr-FR"/>
        </w:rPr>
        <w:t xml:space="preserve"> </w:t>
      </w:r>
      <w:r w:rsidR="002860CF" w:rsidRPr="00AD0459">
        <w:rPr>
          <w:lang w:val="fr-FR"/>
        </w:rPr>
        <w:t>évaluation des équipement</w:t>
      </w:r>
      <w:r w:rsidR="00B10048" w:rsidRPr="00AD0459">
        <w:rPr>
          <w:lang w:val="fr-FR"/>
        </w:rPr>
        <w:t>s</w:t>
      </w:r>
      <w:r w:rsidR="002860CF" w:rsidRPr="00AD0459">
        <w:rPr>
          <w:lang w:val="fr-FR"/>
        </w:rPr>
        <w:t xml:space="preserve"> et des outils nécessaires à la formation ; mises à jour et évaluation sont en cours d</w:t>
      </w:r>
      <w:r w:rsidR="00D77991" w:rsidRPr="00AD0459">
        <w:rPr>
          <w:lang w:val="fr-FR"/>
        </w:rPr>
        <w:t>’</w:t>
      </w:r>
      <w:r w:rsidR="002860CF" w:rsidRPr="00AD0459">
        <w:rPr>
          <w:lang w:val="fr-FR"/>
        </w:rPr>
        <w:t>examen final ;</w:t>
      </w:r>
      <w:r w:rsidR="002860CF" w:rsidRPr="00C3019D">
        <w:rPr>
          <w:lang w:val="fr-FR"/>
        </w:rPr>
        <w:t xml:space="preserve"> </w:t>
      </w:r>
    </w:p>
    <w:p w:rsidR="002860CF" w:rsidRPr="00C3019D" w:rsidRDefault="002860CF" w:rsidP="002860CF">
      <w:pPr>
        <w:pStyle w:val="Heading2"/>
        <w:rPr>
          <w:lang w:val="fr-FR"/>
        </w:rPr>
      </w:pPr>
      <w:r w:rsidRPr="002860CF">
        <w:rPr>
          <w:lang w:val="fr-FR"/>
        </w:rPr>
        <w:t>Signature d</w:t>
      </w:r>
      <w:r w:rsidR="00D77991">
        <w:rPr>
          <w:lang w:val="fr-FR"/>
        </w:rPr>
        <w:t>’</w:t>
      </w:r>
      <w:r w:rsidRPr="002860CF">
        <w:rPr>
          <w:lang w:val="fr-FR"/>
        </w:rPr>
        <w:t>un protocole avec le Centre de recherche sur le logement et la construction</w:t>
      </w:r>
      <w:r w:rsidR="00D77991">
        <w:rPr>
          <w:lang w:val="fr-FR"/>
        </w:rPr>
        <w:t xml:space="preserve"> </w:t>
      </w:r>
      <w:r w:rsidRPr="002860CF">
        <w:rPr>
          <w:lang w:val="fr-FR"/>
        </w:rPr>
        <w:t>(HBRC) pour actualiser les codes nationaux et faciliter l</w:t>
      </w:r>
      <w:r w:rsidR="00D77991">
        <w:rPr>
          <w:lang w:val="fr-FR"/>
        </w:rPr>
        <w:t>’</w:t>
      </w:r>
      <w:r w:rsidRPr="002860CF">
        <w:rPr>
          <w:lang w:val="fr-FR"/>
        </w:rPr>
        <w:t>introduction de solutions de remplacement à faible PR</w:t>
      </w:r>
      <w:r w:rsidR="00C7168E">
        <w:rPr>
          <w:lang w:val="fr-FR"/>
        </w:rPr>
        <w:t>P</w:t>
      </w:r>
      <w:r w:rsidRPr="002860CF">
        <w:rPr>
          <w:lang w:val="fr-FR"/>
        </w:rPr>
        <w:t> ; et</w:t>
      </w:r>
    </w:p>
    <w:p w:rsidR="002860CF" w:rsidRPr="00C3019D" w:rsidRDefault="002860CF" w:rsidP="002860CF">
      <w:pPr>
        <w:pStyle w:val="Heading2"/>
        <w:rPr>
          <w:lang w:val="fr-FR"/>
        </w:rPr>
      </w:pPr>
      <w:r w:rsidRPr="002860CF">
        <w:rPr>
          <w:lang w:val="fr-FR"/>
        </w:rPr>
        <w:t>Conception</w:t>
      </w:r>
      <w:r w:rsidR="00C7168E">
        <w:rPr>
          <w:lang w:val="fr-FR"/>
        </w:rPr>
        <w:t xml:space="preserve"> </w:t>
      </w:r>
      <w:r w:rsidRPr="002860CF">
        <w:rPr>
          <w:lang w:val="fr-FR"/>
        </w:rPr>
        <w:t>d</w:t>
      </w:r>
      <w:r w:rsidR="00D77991">
        <w:rPr>
          <w:lang w:val="fr-FR"/>
        </w:rPr>
        <w:t>’</w:t>
      </w:r>
      <w:r w:rsidRPr="002860CF">
        <w:rPr>
          <w:lang w:val="fr-FR"/>
        </w:rPr>
        <w:t xml:space="preserve">une campagne de sensibilisation nationale sur les solutions de remplacement à faible PRP, avec trois ateliers destinés à 188 participants et un séminaire technique sur les solutions de remplacement à faible PRP pour approximativement 50 </w:t>
      </w:r>
      <w:r w:rsidRPr="00AD0459">
        <w:rPr>
          <w:lang w:val="fr-FR"/>
        </w:rPr>
        <w:t xml:space="preserve">chercheurs </w:t>
      </w:r>
      <w:r w:rsidR="00C7168E" w:rsidRPr="00AD0459">
        <w:rPr>
          <w:lang w:val="fr-FR"/>
        </w:rPr>
        <w:t>à</w:t>
      </w:r>
      <w:r w:rsidRPr="00AD0459">
        <w:rPr>
          <w:lang w:val="fr-FR"/>
        </w:rPr>
        <w:t xml:space="preserve"> l</w:t>
      </w:r>
      <w:r w:rsidR="00D77991" w:rsidRPr="00AD0459">
        <w:rPr>
          <w:lang w:val="fr-FR"/>
        </w:rPr>
        <w:t>’</w:t>
      </w:r>
      <w:r w:rsidRPr="00AD0459">
        <w:rPr>
          <w:lang w:val="fr-FR"/>
        </w:rPr>
        <w:t>Institut d</w:t>
      </w:r>
      <w:r w:rsidR="00D77991" w:rsidRPr="00AD0459">
        <w:rPr>
          <w:lang w:val="fr-FR"/>
        </w:rPr>
        <w:t>’</w:t>
      </w:r>
      <w:r w:rsidRPr="00AD0459">
        <w:rPr>
          <w:lang w:val="fr-FR"/>
        </w:rPr>
        <w:t>études et de recherches</w:t>
      </w:r>
      <w:r w:rsidRPr="002860CF">
        <w:rPr>
          <w:lang w:val="fr-FR"/>
        </w:rPr>
        <w:t xml:space="preserve"> environnementales, Université d</w:t>
      </w:r>
      <w:r w:rsidR="00D77991">
        <w:rPr>
          <w:lang w:val="fr-FR"/>
        </w:rPr>
        <w:t>’</w:t>
      </w:r>
      <w:r w:rsidRPr="002860CF">
        <w:rPr>
          <w:lang w:val="fr-FR"/>
        </w:rPr>
        <w:t>Ain Shams.</w:t>
      </w:r>
    </w:p>
    <w:p w:rsidR="00255CDE" w:rsidRPr="00C3019D" w:rsidRDefault="002860CF" w:rsidP="00255CDE">
      <w:pPr>
        <w:rPr>
          <w:i/>
          <w:lang w:val="fr-FR"/>
        </w:rPr>
      </w:pPr>
      <w:r w:rsidRPr="002860CF">
        <w:rPr>
          <w:i/>
          <w:lang w:val="fr-FR"/>
        </w:rPr>
        <w:t>Unité de</w:t>
      </w:r>
      <w:r w:rsidR="00D77991">
        <w:rPr>
          <w:i/>
          <w:lang w:val="fr-FR"/>
        </w:rPr>
        <w:t xml:space="preserve"> </w:t>
      </w:r>
      <w:r w:rsidRPr="002860CF">
        <w:rPr>
          <w:i/>
          <w:lang w:val="fr-FR"/>
        </w:rPr>
        <w:t>mise en œuvre et de suivi de projet (PMU)</w:t>
      </w:r>
    </w:p>
    <w:p w:rsidR="00255CDE" w:rsidRPr="00C3019D" w:rsidRDefault="00255CDE" w:rsidP="00255CDE">
      <w:pPr>
        <w:rPr>
          <w:lang w:val="fr-FR"/>
        </w:rPr>
      </w:pPr>
    </w:p>
    <w:p w:rsidR="00255CDE" w:rsidRPr="000B2C68" w:rsidRDefault="00732221" w:rsidP="000B2C68">
      <w:pPr>
        <w:pStyle w:val="Heading1"/>
        <w:rPr>
          <w:lang w:val="fr-FR"/>
        </w:rPr>
      </w:pPr>
      <w:r w:rsidRPr="002860CF">
        <w:rPr>
          <w:lang w:val="fr-FR"/>
        </w:rPr>
        <w:t>La</w:t>
      </w:r>
      <w:r w:rsidR="002860CF" w:rsidRPr="002860CF">
        <w:rPr>
          <w:lang w:val="fr-FR"/>
        </w:rPr>
        <w:t xml:space="preserve"> gestion de projet </w:t>
      </w:r>
      <w:r w:rsidR="002A38C7">
        <w:rPr>
          <w:lang w:val="fr-FR"/>
        </w:rPr>
        <w:t>a été</w:t>
      </w:r>
      <w:r w:rsidR="002860CF" w:rsidRPr="002860CF">
        <w:rPr>
          <w:lang w:val="fr-FR"/>
        </w:rPr>
        <w:t xml:space="preserve"> divisée en deux volets, l</w:t>
      </w:r>
      <w:r w:rsidR="00D77991">
        <w:rPr>
          <w:lang w:val="fr-FR"/>
        </w:rPr>
        <w:t>’</w:t>
      </w:r>
      <w:r w:rsidR="002860CF" w:rsidRPr="002860CF">
        <w:rPr>
          <w:lang w:val="fr-FR"/>
        </w:rPr>
        <w:t>un en relation avec l</w:t>
      </w:r>
      <w:r w:rsidR="00D77991">
        <w:rPr>
          <w:lang w:val="fr-FR"/>
        </w:rPr>
        <w:t>’</w:t>
      </w:r>
      <w:r w:rsidR="002860CF" w:rsidRPr="002860CF">
        <w:rPr>
          <w:lang w:val="fr-FR"/>
        </w:rPr>
        <w:t>ONUDI et l</w:t>
      </w:r>
      <w:r w:rsidR="00D77991">
        <w:rPr>
          <w:lang w:val="fr-FR"/>
        </w:rPr>
        <w:t>’</w:t>
      </w:r>
      <w:r w:rsidR="002860CF" w:rsidRPr="002860CF">
        <w:rPr>
          <w:lang w:val="fr-FR"/>
        </w:rPr>
        <w:t xml:space="preserve">autre avec le PNUD, pour la gestion des activités respectives du </w:t>
      </w:r>
      <w:r w:rsidR="002860CF" w:rsidRPr="00A36BE1">
        <w:rPr>
          <w:lang w:val="fr-FR"/>
        </w:rPr>
        <w:t>projet, l</w:t>
      </w:r>
      <w:r w:rsidR="00D77991" w:rsidRPr="00A36BE1">
        <w:rPr>
          <w:lang w:val="fr-FR"/>
        </w:rPr>
        <w:t>’</w:t>
      </w:r>
      <w:r w:rsidR="002860CF" w:rsidRPr="00A36BE1">
        <w:rPr>
          <w:lang w:val="fr-FR"/>
        </w:rPr>
        <w:t>ONUDI supervis</w:t>
      </w:r>
      <w:r w:rsidR="002A38C7" w:rsidRPr="00A36BE1">
        <w:rPr>
          <w:lang w:val="fr-FR"/>
        </w:rPr>
        <w:t>ant</w:t>
      </w:r>
      <w:r w:rsidR="002860CF" w:rsidRPr="00A36BE1">
        <w:rPr>
          <w:lang w:val="fr-FR"/>
        </w:rPr>
        <w:t xml:space="preserve"> tou</w:t>
      </w:r>
      <w:r w:rsidR="002A38C7" w:rsidRPr="00A36BE1">
        <w:rPr>
          <w:lang w:val="fr-FR"/>
        </w:rPr>
        <w:t>te</w:t>
      </w:r>
      <w:r w:rsidR="002860CF" w:rsidRPr="00A36BE1">
        <w:rPr>
          <w:lang w:val="fr-FR"/>
        </w:rPr>
        <w:t>s</w:t>
      </w:r>
      <w:r w:rsidR="002860CF" w:rsidRPr="002860CF">
        <w:rPr>
          <w:lang w:val="fr-FR"/>
        </w:rPr>
        <w:t xml:space="preserve"> les activités de projet et la coordination d</w:t>
      </w:r>
      <w:r w:rsidR="00D77991">
        <w:rPr>
          <w:lang w:val="fr-FR"/>
        </w:rPr>
        <w:t>’</w:t>
      </w:r>
      <w:r w:rsidR="002860CF" w:rsidRPr="002860CF">
        <w:rPr>
          <w:lang w:val="fr-FR"/>
        </w:rPr>
        <w:t>ensemble.</w:t>
      </w:r>
      <w:r w:rsidR="002860CF" w:rsidRPr="00C3019D">
        <w:rPr>
          <w:lang w:val="fr-FR"/>
        </w:rPr>
        <w:t xml:space="preserve"> </w:t>
      </w:r>
      <w:r w:rsidR="00FB0B70" w:rsidRPr="00FB0B70">
        <w:rPr>
          <w:lang w:val="fr-FR"/>
        </w:rPr>
        <w:t>L</w:t>
      </w:r>
      <w:r w:rsidR="00D77991">
        <w:rPr>
          <w:lang w:val="fr-FR"/>
        </w:rPr>
        <w:t>’</w:t>
      </w:r>
      <w:r w:rsidR="00FB0B70" w:rsidRPr="00FB0B70">
        <w:rPr>
          <w:lang w:val="fr-FR"/>
        </w:rPr>
        <w:t xml:space="preserve">ONUDI a recruté des consultants nationaux chargés de coordonner et de suivre la mise en œuvre du projet, notamment de </w:t>
      </w:r>
      <w:r w:rsidR="002A38C7">
        <w:rPr>
          <w:lang w:val="fr-FR"/>
        </w:rPr>
        <w:t>rencontrer les</w:t>
      </w:r>
      <w:r w:rsidR="00FB0B70" w:rsidRPr="00FB0B70">
        <w:rPr>
          <w:lang w:val="fr-FR"/>
        </w:rPr>
        <w:t xml:space="preserve"> bénéficiaires et </w:t>
      </w:r>
      <w:r w:rsidR="002A38C7">
        <w:rPr>
          <w:lang w:val="fr-FR"/>
        </w:rPr>
        <w:t>l</w:t>
      </w:r>
      <w:r w:rsidR="00FB0B70" w:rsidRPr="00FB0B70">
        <w:rPr>
          <w:lang w:val="fr-FR"/>
        </w:rPr>
        <w:t>es parties prenantes ; d</w:t>
      </w:r>
      <w:r w:rsidR="00D77991">
        <w:rPr>
          <w:lang w:val="fr-FR"/>
        </w:rPr>
        <w:t>’</w:t>
      </w:r>
      <w:r w:rsidR="00FB0B70" w:rsidRPr="00FB0B70">
        <w:rPr>
          <w:lang w:val="fr-FR"/>
        </w:rPr>
        <w:t>organiser des ateliers, des réunions et des événements ; et de rédiger et diffuser une documentation de soutien et des supports de sensibilisation (89 397 $US). Le PNUD a recruté un chef de projet charg</w:t>
      </w:r>
      <w:r w:rsidR="002A38C7">
        <w:rPr>
          <w:lang w:val="fr-FR"/>
        </w:rPr>
        <w:t xml:space="preserve">é </w:t>
      </w:r>
      <w:r w:rsidR="00FB0B70" w:rsidRPr="00FB0B70">
        <w:rPr>
          <w:lang w:val="fr-FR"/>
        </w:rPr>
        <w:t>de rendre visite aux bénéficiaires ; de fournir un soutien technique pour la spécification des équipements</w:t>
      </w:r>
      <w:r w:rsidR="00D77991">
        <w:rPr>
          <w:lang w:val="fr-FR"/>
        </w:rPr>
        <w:t xml:space="preserve"> </w:t>
      </w:r>
      <w:r w:rsidR="00FB0B70" w:rsidRPr="00FB0B70">
        <w:rPr>
          <w:lang w:val="fr-FR"/>
        </w:rPr>
        <w:t>et de rendre compte de l</w:t>
      </w:r>
      <w:r w:rsidR="00D77991">
        <w:rPr>
          <w:lang w:val="fr-FR"/>
        </w:rPr>
        <w:t>’</w:t>
      </w:r>
      <w:r w:rsidR="00FB0B70" w:rsidRPr="00FB0B70">
        <w:rPr>
          <w:lang w:val="fr-FR"/>
        </w:rPr>
        <w:t>avancement de la mise en œuvre ; d</w:t>
      </w:r>
      <w:r w:rsidR="00D77991">
        <w:rPr>
          <w:lang w:val="fr-FR"/>
        </w:rPr>
        <w:t>’</w:t>
      </w:r>
      <w:r w:rsidR="00FB0B70" w:rsidRPr="00FB0B70">
        <w:rPr>
          <w:lang w:val="fr-FR"/>
        </w:rPr>
        <w:t>élaborer des contrats pour les bénéficiaires</w:t>
      </w:r>
      <w:r w:rsidR="00D77991">
        <w:rPr>
          <w:lang w:val="fr-FR"/>
        </w:rPr>
        <w:t xml:space="preserve"> </w:t>
      </w:r>
      <w:r w:rsidR="00FB0B70" w:rsidRPr="00FB0B70">
        <w:rPr>
          <w:lang w:val="fr-FR"/>
        </w:rPr>
        <w:t>en concertation avec l</w:t>
      </w:r>
      <w:r w:rsidR="00D77991">
        <w:rPr>
          <w:lang w:val="fr-FR"/>
        </w:rPr>
        <w:t>’</w:t>
      </w:r>
      <w:r w:rsidR="00FB0B70" w:rsidRPr="00FB0B70">
        <w:rPr>
          <w:lang w:val="fr-FR"/>
        </w:rPr>
        <w:t>UNO et le PNUD ; de la mise en œuvre au quotidien des activités du PGEH ; et du contrôle financier</w:t>
      </w:r>
      <w:r w:rsidR="00D77991">
        <w:rPr>
          <w:lang w:val="fr-FR"/>
        </w:rPr>
        <w:t xml:space="preserve"> </w:t>
      </w:r>
      <w:r w:rsidR="00FB0B70" w:rsidRPr="00FB0B70">
        <w:rPr>
          <w:lang w:val="fr-FR"/>
        </w:rPr>
        <w:t>(14 314 $US).</w:t>
      </w:r>
    </w:p>
    <w:p w:rsidR="00255CDE" w:rsidRPr="00FB0B70" w:rsidRDefault="00FB0B70" w:rsidP="00255CDE">
      <w:pPr>
        <w:rPr>
          <w:u w:val="single"/>
          <w:lang w:val="en-CA"/>
        </w:rPr>
      </w:pPr>
      <w:r w:rsidRPr="00FB0B70">
        <w:rPr>
          <w:u w:val="single"/>
          <w:lang w:val="fr-FR"/>
        </w:rPr>
        <w:t>Niveau de décaissement du financement</w:t>
      </w:r>
    </w:p>
    <w:p w:rsidR="00255CDE" w:rsidRPr="001F1E0E" w:rsidRDefault="00255CDE" w:rsidP="00255CDE">
      <w:pPr>
        <w:rPr>
          <w:lang w:val="en-CA"/>
        </w:rPr>
      </w:pPr>
    </w:p>
    <w:p w:rsidR="00FB0B70" w:rsidRPr="00FB0B70" w:rsidRDefault="00FB0B70" w:rsidP="00FB0B70">
      <w:pPr>
        <w:pStyle w:val="Heading1"/>
        <w:rPr>
          <w:lang w:val="en-CA"/>
        </w:rPr>
      </w:pPr>
      <w:r w:rsidRPr="00FB0B70">
        <w:rPr>
          <w:lang w:val="fr-FR"/>
        </w:rPr>
        <w:t>En date de septembre 2019, sur les 4 628 993 $US approuvés jusqu</w:t>
      </w:r>
      <w:r w:rsidR="00D77991">
        <w:rPr>
          <w:lang w:val="fr-FR"/>
        </w:rPr>
        <w:t>’</w:t>
      </w:r>
      <w:r w:rsidRPr="00FB0B70">
        <w:rPr>
          <w:lang w:val="fr-FR"/>
        </w:rPr>
        <w:t>à présent (3 356 641 $US pour l</w:t>
      </w:r>
      <w:r w:rsidR="00D77991">
        <w:rPr>
          <w:lang w:val="fr-FR"/>
        </w:rPr>
        <w:t>’</w:t>
      </w:r>
      <w:r w:rsidRPr="00FB0B70">
        <w:rPr>
          <w:lang w:val="fr-FR"/>
        </w:rPr>
        <w:t xml:space="preserve">ONUDI, 1 042 352 $US pour le PNUD et 230 000 $US pour le PNUE), 1 523 242 $US (soit </w:t>
      </w:r>
      <w:r w:rsidRPr="00FB0B70">
        <w:rPr>
          <w:lang w:val="fr-FR"/>
        </w:rPr>
        <w:lastRenderedPageBreak/>
        <w:t>33 pour cent) avaient été décaissés</w:t>
      </w:r>
      <w:r w:rsidR="00D77991">
        <w:rPr>
          <w:lang w:val="fr-FR"/>
        </w:rPr>
        <w:t xml:space="preserve"> </w:t>
      </w:r>
      <w:r w:rsidRPr="00FB0B70">
        <w:rPr>
          <w:lang w:val="fr-FR"/>
        </w:rPr>
        <w:t>(895 028 $US pour l</w:t>
      </w:r>
      <w:r w:rsidR="00D77991">
        <w:rPr>
          <w:lang w:val="fr-FR"/>
        </w:rPr>
        <w:t>’</w:t>
      </w:r>
      <w:r w:rsidRPr="00FB0B70">
        <w:rPr>
          <w:lang w:val="fr-FR"/>
        </w:rPr>
        <w:t>ONUDI, 465 314 $US pour le PNUD et 162 900 $US pour le PNUE).</w:t>
      </w:r>
      <w:r w:rsidRPr="00C3019D">
        <w:rPr>
          <w:lang w:val="fr-FR"/>
        </w:rPr>
        <w:t xml:space="preserve"> </w:t>
      </w:r>
      <w:r w:rsidRPr="00FB0B70">
        <w:rPr>
          <w:lang w:val="fr-FR"/>
        </w:rPr>
        <w:t>Le solde de 3 105 751 $US sera décaissé en 2020-2021.</w:t>
      </w:r>
    </w:p>
    <w:p w:rsidR="00255CDE" w:rsidRPr="00C3019D" w:rsidRDefault="00FB0B70" w:rsidP="00255CDE">
      <w:pPr>
        <w:rPr>
          <w:u w:val="single"/>
          <w:lang w:val="fr-FR"/>
        </w:rPr>
      </w:pPr>
      <w:r w:rsidRPr="00FB0B70">
        <w:rPr>
          <w:u w:val="single"/>
          <w:lang w:val="fr-FR"/>
        </w:rPr>
        <w:t>Plan de mise en œuvre pour la deuxième tranche du PGEH</w:t>
      </w:r>
    </w:p>
    <w:p w:rsidR="00255CDE" w:rsidRPr="00C3019D" w:rsidRDefault="00255CDE" w:rsidP="00255CDE">
      <w:pPr>
        <w:rPr>
          <w:lang w:val="fr-FR"/>
        </w:rPr>
      </w:pPr>
    </w:p>
    <w:p w:rsidR="00FB0B70" w:rsidRPr="00C3019D" w:rsidRDefault="00FB0B70" w:rsidP="00FB0B70">
      <w:pPr>
        <w:pStyle w:val="Heading1"/>
        <w:rPr>
          <w:lang w:val="fr-FR"/>
        </w:rPr>
      </w:pPr>
      <w:r w:rsidRPr="00FB0B70">
        <w:rPr>
          <w:lang w:val="fr-FR"/>
        </w:rPr>
        <w:t>Les</w:t>
      </w:r>
      <w:r w:rsidR="00D77991">
        <w:rPr>
          <w:lang w:val="fr-FR"/>
        </w:rPr>
        <w:t xml:space="preserve"> </w:t>
      </w:r>
      <w:r w:rsidRPr="00FB0B70">
        <w:rPr>
          <w:lang w:val="fr-FR"/>
        </w:rPr>
        <w:t>activités suivantes seront mises en œuvre entre janvier 2020 et décembre 2022 :</w:t>
      </w:r>
    </w:p>
    <w:p w:rsidR="00FB0B70" w:rsidRPr="00C3019D" w:rsidRDefault="00FB0B70" w:rsidP="00FB0B70">
      <w:pPr>
        <w:pStyle w:val="Heading2"/>
        <w:rPr>
          <w:lang w:val="fr-FR"/>
        </w:rPr>
      </w:pPr>
      <w:r w:rsidRPr="00FB0B70">
        <w:rPr>
          <w:lang w:val="fr-FR"/>
        </w:rPr>
        <w:t>Poursuite de l</w:t>
      </w:r>
      <w:r w:rsidR="00D77991">
        <w:rPr>
          <w:lang w:val="fr-FR"/>
        </w:rPr>
        <w:t>’</w:t>
      </w:r>
      <w:r w:rsidRPr="00FB0B70">
        <w:rPr>
          <w:lang w:val="fr-FR"/>
        </w:rPr>
        <w:t>élaboration, de l</w:t>
      </w:r>
      <w:r w:rsidR="00D77991">
        <w:rPr>
          <w:lang w:val="fr-FR"/>
        </w:rPr>
        <w:t>’</w:t>
      </w:r>
      <w:r w:rsidRPr="00FB0B70">
        <w:rPr>
          <w:lang w:val="fr-FR"/>
        </w:rPr>
        <w:t>application et du suivi des politiques, et de la formation notamment concernant le programme de surveillance du marché des frigorigènes ; poursuite du développement du</w:t>
      </w:r>
      <w:r w:rsidR="00D77991">
        <w:rPr>
          <w:lang w:val="fr-FR"/>
        </w:rPr>
        <w:t xml:space="preserve"> </w:t>
      </w:r>
      <w:r w:rsidRPr="00FB0B70">
        <w:rPr>
          <w:lang w:val="fr-FR"/>
        </w:rPr>
        <w:t>système de certification des techniciens, mise à jour des programmes d</w:t>
      </w:r>
      <w:r w:rsidR="00D77991">
        <w:rPr>
          <w:lang w:val="fr-FR"/>
        </w:rPr>
        <w:t>’</w:t>
      </w:r>
      <w:r w:rsidRPr="00FB0B70">
        <w:rPr>
          <w:lang w:val="fr-FR"/>
        </w:rPr>
        <w:t>enseignement technique et professionnel local</w:t>
      </w:r>
      <w:r w:rsidR="002A38C7">
        <w:rPr>
          <w:lang w:val="fr-FR"/>
        </w:rPr>
        <w:t>,</w:t>
      </w:r>
      <w:r w:rsidRPr="00FB0B70">
        <w:rPr>
          <w:lang w:val="fr-FR"/>
        </w:rPr>
        <w:t xml:space="preserve"> et lancement d</w:t>
      </w:r>
      <w:r w:rsidR="00D77991">
        <w:rPr>
          <w:lang w:val="fr-FR"/>
        </w:rPr>
        <w:t>’</w:t>
      </w:r>
      <w:r w:rsidRPr="00FB0B70">
        <w:rPr>
          <w:lang w:val="fr-FR"/>
        </w:rPr>
        <w:t>un</w:t>
      </w:r>
      <w:r w:rsidR="00D77991">
        <w:rPr>
          <w:lang w:val="fr-FR"/>
        </w:rPr>
        <w:t xml:space="preserve"> </w:t>
      </w:r>
      <w:r w:rsidRPr="00FB0B70">
        <w:rPr>
          <w:lang w:val="fr-FR"/>
        </w:rPr>
        <w:t>programme de certification pilote (PNUE) (140 000 $US)</w:t>
      </w:r>
      <w:r w:rsidR="002A38C7">
        <w:rPr>
          <w:lang w:val="fr-FR"/>
        </w:rPr>
        <w:t> </w:t>
      </w:r>
      <w:r w:rsidRPr="00FB0B70">
        <w:rPr>
          <w:lang w:val="fr-FR"/>
        </w:rPr>
        <w:t>;</w:t>
      </w:r>
    </w:p>
    <w:p w:rsidR="00FB0B70" w:rsidRPr="00C3019D" w:rsidRDefault="00FB0B70" w:rsidP="00FB0B70">
      <w:pPr>
        <w:pStyle w:val="Heading2"/>
        <w:keepNext/>
        <w:keepLines/>
        <w:rPr>
          <w:lang w:val="fr-FR"/>
        </w:rPr>
      </w:pPr>
      <w:r w:rsidRPr="00FB0B70">
        <w:rPr>
          <w:lang w:val="fr-FR"/>
        </w:rPr>
        <w:t>Continuation de la collaboration avec le HBRC pour la mise à jour des codes nationaux, examen des normes locales s</w:t>
      </w:r>
      <w:r w:rsidR="00D77991">
        <w:rPr>
          <w:lang w:val="fr-FR"/>
        </w:rPr>
        <w:t>’</w:t>
      </w:r>
      <w:r w:rsidRPr="00FB0B70">
        <w:rPr>
          <w:lang w:val="fr-FR"/>
        </w:rPr>
        <w:t>appliquant aux équipements et aux conteneurs, et formation et sensibilisation aux codes et aux normes</w:t>
      </w:r>
      <w:r w:rsidR="00D77991">
        <w:rPr>
          <w:lang w:val="fr-FR"/>
        </w:rPr>
        <w:t xml:space="preserve"> </w:t>
      </w:r>
      <w:r w:rsidRPr="00FB0B70">
        <w:rPr>
          <w:lang w:val="fr-FR"/>
        </w:rPr>
        <w:t>(PNUE) (79 500 $US)</w:t>
      </w:r>
      <w:r w:rsidR="002A38C7">
        <w:rPr>
          <w:lang w:val="fr-FR"/>
        </w:rPr>
        <w:t> </w:t>
      </w:r>
      <w:r w:rsidRPr="00FB0B70">
        <w:rPr>
          <w:lang w:val="fr-FR"/>
        </w:rPr>
        <w:t>;</w:t>
      </w:r>
    </w:p>
    <w:p w:rsidR="00FB0B70" w:rsidRPr="00C3019D" w:rsidRDefault="00FB0B70" w:rsidP="00FB0B70">
      <w:pPr>
        <w:pStyle w:val="Heading2"/>
        <w:rPr>
          <w:lang w:val="fr-FR"/>
        </w:rPr>
      </w:pPr>
      <w:r w:rsidRPr="00FB0B70">
        <w:rPr>
          <w:lang w:val="fr-FR"/>
        </w:rPr>
        <w:t>Formation sur les approvisionnements écologiques destinée au secteur public, au groupe consultatif et aux consultants (PNUE) (60 000 $US) ;</w:t>
      </w:r>
    </w:p>
    <w:p w:rsidR="00FB0B70" w:rsidRPr="00C3019D" w:rsidRDefault="00FB0B70" w:rsidP="00FB0B70">
      <w:pPr>
        <w:pStyle w:val="Heading2"/>
        <w:rPr>
          <w:lang w:val="fr-FR"/>
        </w:rPr>
      </w:pPr>
      <w:r w:rsidRPr="00FB0B70">
        <w:rPr>
          <w:lang w:val="fr-FR"/>
        </w:rPr>
        <w:t>Achat d</w:t>
      </w:r>
      <w:r w:rsidR="00D77991">
        <w:rPr>
          <w:lang w:val="fr-FR"/>
        </w:rPr>
        <w:t>’</w:t>
      </w:r>
      <w:r w:rsidRPr="00FB0B70">
        <w:rPr>
          <w:lang w:val="fr-FR"/>
        </w:rPr>
        <w:t>environ 15 identificateurs de frigorigènes (60 000 $US) et mise en place de deux centres de</w:t>
      </w:r>
      <w:r w:rsidR="001E1160">
        <w:rPr>
          <w:lang w:val="fr-FR"/>
        </w:rPr>
        <w:t xml:space="preserve"> </w:t>
      </w:r>
      <w:r w:rsidRPr="001E1160">
        <w:rPr>
          <w:lang w:val="fr-FR"/>
        </w:rPr>
        <w:t>formation pour maîtres formateurs</w:t>
      </w:r>
      <w:r w:rsidR="00D77991">
        <w:rPr>
          <w:lang w:val="fr-FR"/>
        </w:rPr>
        <w:t xml:space="preserve"> </w:t>
      </w:r>
      <w:r w:rsidRPr="00FB0B70">
        <w:rPr>
          <w:lang w:val="fr-FR"/>
        </w:rPr>
        <w:t>(60</w:t>
      </w:r>
      <w:r w:rsidR="002A38C7">
        <w:rPr>
          <w:lang w:val="fr-FR"/>
        </w:rPr>
        <w:t> </w:t>
      </w:r>
      <w:r w:rsidRPr="00FB0B70">
        <w:rPr>
          <w:lang w:val="fr-FR"/>
        </w:rPr>
        <w:t>000</w:t>
      </w:r>
      <w:r w:rsidR="002A38C7">
        <w:rPr>
          <w:lang w:val="fr-FR"/>
        </w:rPr>
        <w:t> $US</w:t>
      </w:r>
      <w:r w:rsidRPr="00FB0B70">
        <w:rPr>
          <w:lang w:val="fr-FR"/>
        </w:rPr>
        <w:t>) (UNIDO)</w:t>
      </w:r>
      <w:r w:rsidR="002A38C7">
        <w:rPr>
          <w:lang w:val="fr-FR"/>
        </w:rPr>
        <w:t> </w:t>
      </w:r>
      <w:r w:rsidRPr="00FB0B70">
        <w:rPr>
          <w:lang w:val="fr-FR"/>
        </w:rPr>
        <w:t>;</w:t>
      </w:r>
    </w:p>
    <w:p w:rsidR="00FB0B70" w:rsidRPr="00C3019D" w:rsidRDefault="001E1160" w:rsidP="001E1160">
      <w:pPr>
        <w:pStyle w:val="Heading2"/>
        <w:rPr>
          <w:lang w:val="fr-FR"/>
        </w:rPr>
      </w:pPr>
      <w:r w:rsidRPr="001E1160">
        <w:rPr>
          <w:lang w:val="fr-FR"/>
        </w:rPr>
        <w:t>Mise en place d</w:t>
      </w:r>
      <w:r w:rsidR="00D77991">
        <w:rPr>
          <w:lang w:val="fr-FR"/>
        </w:rPr>
        <w:t>’</w:t>
      </w:r>
      <w:r w:rsidRPr="001E1160">
        <w:rPr>
          <w:lang w:val="fr-FR"/>
        </w:rPr>
        <w:t>un centre local de régénération, comprenant un laboratoire indépendant d</w:t>
      </w:r>
      <w:r w:rsidR="00D77991">
        <w:rPr>
          <w:lang w:val="fr-FR"/>
        </w:rPr>
        <w:t>’</w:t>
      </w:r>
      <w:r w:rsidRPr="001E1160">
        <w:rPr>
          <w:lang w:val="fr-FR"/>
        </w:rPr>
        <w:t>essais</w:t>
      </w:r>
      <w:r w:rsidR="00D77991">
        <w:rPr>
          <w:lang w:val="fr-FR"/>
        </w:rPr>
        <w:t xml:space="preserve"> </w:t>
      </w:r>
      <w:r w:rsidRPr="001E1160">
        <w:rPr>
          <w:lang w:val="fr-FR"/>
        </w:rPr>
        <w:t>(150 000 $US) et</w:t>
      </w:r>
      <w:r w:rsidR="002A38C7">
        <w:rPr>
          <w:lang w:val="fr-FR"/>
        </w:rPr>
        <w:t xml:space="preserve"> </w:t>
      </w:r>
      <w:r w:rsidRPr="001E1160">
        <w:rPr>
          <w:lang w:val="fr-FR"/>
        </w:rPr>
        <w:t>création d</w:t>
      </w:r>
      <w:r w:rsidR="002A38C7">
        <w:rPr>
          <w:lang w:val="fr-FR"/>
        </w:rPr>
        <w:t>u</w:t>
      </w:r>
      <w:r w:rsidRPr="001E1160">
        <w:rPr>
          <w:lang w:val="fr-FR"/>
        </w:rPr>
        <w:t xml:space="preserve"> réseau de récupération et régénération en fournissant des dispositifs et des bonbonnes de récupération (150 000 $US) (ONUDI) ;</w:t>
      </w:r>
    </w:p>
    <w:p w:rsidR="001974FE" w:rsidRPr="00C3019D" w:rsidRDefault="001974FE" w:rsidP="001974FE">
      <w:pPr>
        <w:pStyle w:val="Heading2"/>
        <w:rPr>
          <w:lang w:val="fr-FR"/>
        </w:rPr>
      </w:pPr>
      <w:r w:rsidRPr="00AD0459">
        <w:rPr>
          <w:lang w:val="fr-FR"/>
        </w:rPr>
        <w:t>Deux ateliers de parties prenantes pour centre de formation (VTC) sur les frigorigènes inflammables ; sélection d</w:t>
      </w:r>
      <w:r w:rsidR="002A38C7" w:rsidRPr="00AD0459">
        <w:rPr>
          <w:lang w:val="fr-FR"/>
        </w:rPr>
        <w:t>u</w:t>
      </w:r>
      <w:r w:rsidRPr="00AD0459">
        <w:rPr>
          <w:lang w:val="fr-FR"/>
        </w:rPr>
        <w:t xml:space="preserve"> VTC et évaluation connexe des capacités et analyse des lacunes ; quatre formations destinées aux maitres formateurs (y compris outils et équipements pour les frigorigènes A2, A2L et A3 ; compétences en matière de soudage et méthodes de raccordement de tubes par pression</w:t>
      </w:r>
      <w:r w:rsidR="00AD0459" w:rsidRPr="00AD0459">
        <w:rPr>
          <w:lang w:val="fr-FR"/>
        </w:rPr>
        <w:t> </w:t>
      </w:r>
      <w:r w:rsidRPr="00AD0459">
        <w:rPr>
          <w:lang w:val="fr-FR"/>
        </w:rPr>
        <w:t>; manipulations du circuit de frigorigène ; récupération des frigorigènes,</w:t>
      </w:r>
      <w:r w:rsidR="00D77991" w:rsidRPr="00AD0459">
        <w:rPr>
          <w:lang w:val="fr-FR"/>
        </w:rPr>
        <w:t xml:space="preserve"> </w:t>
      </w:r>
      <w:r w:rsidRPr="00AD0459">
        <w:rPr>
          <w:lang w:val="fr-FR"/>
        </w:rPr>
        <w:t>évacuation et élimination</w:t>
      </w:r>
      <w:r w:rsidRPr="001974FE">
        <w:rPr>
          <w:lang w:val="fr-FR"/>
        </w:rPr>
        <w:t xml:space="preserve"> définitive ; établissement de rapports, registres et évaluation) et achat d</w:t>
      </w:r>
      <w:r w:rsidR="00D77991">
        <w:rPr>
          <w:lang w:val="fr-FR"/>
        </w:rPr>
        <w:t>’</w:t>
      </w:r>
      <w:r w:rsidRPr="001974FE">
        <w:rPr>
          <w:lang w:val="fr-FR"/>
        </w:rPr>
        <w:t>équipements, outils, équipement de protection individuelle et unités de formation pour le VTC (gouvernement de l</w:t>
      </w:r>
      <w:r w:rsidR="00D77991">
        <w:rPr>
          <w:lang w:val="fr-FR"/>
        </w:rPr>
        <w:t>’</w:t>
      </w:r>
      <w:r w:rsidRPr="001974FE">
        <w:rPr>
          <w:lang w:val="fr-FR"/>
        </w:rPr>
        <w:t>Allemagne) (207 300 $US) ;</w:t>
      </w:r>
    </w:p>
    <w:p w:rsidR="001974FE" w:rsidRPr="00C3019D" w:rsidRDefault="001974FE" w:rsidP="001974FE">
      <w:pPr>
        <w:pStyle w:val="Heading2"/>
        <w:rPr>
          <w:lang w:val="fr-FR"/>
        </w:rPr>
      </w:pPr>
      <w:r w:rsidRPr="001974FE">
        <w:rPr>
          <w:lang w:val="fr-FR"/>
        </w:rPr>
        <w:t>Poursuite du développement d</w:t>
      </w:r>
      <w:r w:rsidR="00D77991">
        <w:rPr>
          <w:lang w:val="fr-FR"/>
        </w:rPr>
        <w:t>’</w:t>
      </w:r>
      <w:r w:rsidRPr="001974FE">
        <w:rPr>
          <w:lang w:val="fr-FR"/>
        </w:rPr>
        <w:t>un logiciel simplifié d</w:t>
      </w:r>
      <w:r w:rsidR="00D77991">
        <w:rPr>
          <w:lang w:val="fr-FR"/>
        </w:rPr>
        <w:t>’</w:t>
      </w:r>
      <w:r w:rsidRPr="001974FE">
        <w:rPr>
          <w:lang w:val="fr-FR"/>
        </w:rPr>
        <w:t>utilisation gratuite de modélisation pouvant être utilisé par les fabricants de climatiseurs résidentiels pour le développement de produit (ONUDI) (100 000 $US) ;</w:t>
      </w:r>
    </w:p>
    <w:p w:rsidR="001974FE" w:rsidRPr="00C3019D" w:rsidRDefault="001974FE" w:rsidP="001974FE">
      <w:pPr>
        <w:pStyle w:val="Heading2"/>
        <w:rPr>
          <w:lang w:val="fr-FR"/>
        </w:rPr>
      </w:pPr>
      <w:r w:rsidRPr="001974FE">
        <w:rPr>
          <w:lang w:val="fr-FR"/>
        </w:rPr>
        <w:t>Fourniture d</w:t>
      </w:r>
      <w:r w:rsidR="00D77991">
        <w:rPr>
          <w:lang w:val="fr-FR"/>
        </w:rPr>
        <w:t>’</w:t>
      </w:r>
      <w:r w:rsidRPr="001974FE">
        <w:rPr>
          <w:lang w:val="fr-FR"/>
        </w:rPr>
        <w:t>une assistance technique et construction de prototypes chez trois fabricants commerciaux de dispositifs de climatisation à faible PRP pour applications d</w:t>
      </w:r>
      <w:r w:rsidR="00D77991">
        <w:rPr>
          <w:lang w:val="fr-FR"/>
        </w:rPr>
        <w:t>’</w:t>
      </w:r>
      <w:r w:rsidRPr="001974FE">
        <w:rPr>
          <w:lang w:val="fr-FR"/>
        </w:rPr>
        <w:t>une capacité inférieure à 10 tonnes de réfrigération (TR), et</w:t>
      </w:r>
      <w:r w:rsidR="00D77991">
        <w:rPr>
          <w:lang w:val="fr-FR"/>
        </w:rPr>
        <w:t xml:space="preserve"> </w:t>
      </w:r>
      <w:r w:rsidRPr="001974FE">
        <w:rPr>
          <w:lang w:val="fr-FR"/>
        </w:rPr>
        <w:t>refroidissement évaporatif indirect combiné au refroidissement par détente directe</w:t>
      </w:r>
      <w:r w:rsidR="00D77991">
        <w:rPr>
          <w:lang w:val="fr-FR"/>
        </w:rPr>
        <w:t xml:space="preserve"> </w:t>
      </w:r>
      <w:r w:rsidRPr="001974FE">
        <w:rPr>
          <w:lang w:val="fr-FR"/>
        </w:rPr>
        <w:t>(de produits de remplacement à faible PRP) pour des applications ayant une capacité allant de 12 à 40 TR</w:t>
      </w:r>
      <w:r w:rsidR="00D77991">
        <w:rPr>
          <w:lang w:val="fr-FR"/>
        </w:rPr>
        <w:t xml:space="preserve"> </w:t>
      </w:r>
      <w:r w:rsidRPr="001974FE">
        <w:rPr>
          <w:lang w:val="fr-FR"/>
        </w:rPr>
        <w:t>(ONUDI (110 000 $US) ;</w:t>
      </w:r>
    </w:p>
    <w:p w:rsidR="001974FE" w:rsidRPr="00C3019D" w:rsidRDefault="001974FE" w:rsidP="001974FE">
      <w:pPr>
        <w:pStyle w:val="Heading2"/>
        <w:rPr>
          <w:lang w:val="fr-FR"/>
        </w:rPr>
      </w:pPr>
      <w:r w:rsidRPr="001974FE">
        <w:rPr>
          <w:lang w:val="fr-FR"/>
        </w:rPr>
        <w:t>Reconversion de quatre fabricants de mousses de polystyrène extrudé</w:t>
      </w:r>
      <w:r w:rsidR="00D77991">
        <w:rPr>
          <w:lang w:val="fr-FR"/>
        </w:rPr>
        <w:t xml:space="preserve"> </w:t>
      </w:r>
      <w:r w:rsidRPr="001974FE">
        <w:rPr>
          <w:lang w:val="fr-FR"/>
        </w:rPr>
        <w:t>(XPS) pour passer à un mélange</w:t>
      </w:r>
      <w:r w:rsidR="00D77991">
        <w:rPr>
          <w:lang w:val="fr-FR"/>
        </w:rPr>
        <w:t xml:space="preserve"> </w:t>
      </w:r>
      <w:r w:rsidRPr="001974FE">
        <w:rPr>
          <w:lang w:val="fr-FR"/>
        </w:rPr>
        <w:t>60/40 de HFO</w:t>
      </w:r>
      <w:r w:rsidRPr="001974FE">
        <w:rPr>
          <w:lang w:val="fr-FR"/>
        </w:rPr>
        <w:noBreakHyphen/>
        <w:t xml:space="preserve">1234ze et </w:t>
      </w:r>
      <w:r w:rsidRPr="001974FE">
        <w:rPr>
          <w:rStyle w:val="e24kjd"/>
          <w:lang w:val="fr-FR"/>
        </w:rPr>
        <w:t>éther</w:t>
      </w:r>
      <w:r w:rsidRPr="001974FE">
        <w:rPr>
          <w:lang w:val="fr-FR"/>
        </w:rPr>
        <w:t xml:space="preserve"> méthylique (ONUD</w:t>
      </w:r>
      <w:r w:rsidR="00464A3D">
        <w:rPr>
          <w:lang w:val="fr-FR"/>
        </w:rPr>
        <w:t>I</w:t>
      </w:r>
      <w:r w:rsidRPr="001974FE">
        <w:rPr>
          <w:lang w:val="fr-FR"/>
        </w:rPr>
        <w:t>) (1 761 750 $US) ; et</w:t>
      </w:r>
    </w:p>
    <w:p w:rsidR="00464A3D" w:rsidRPr="000B2C68" w:rsidRDefault="001974FE" w:rsidP="00255CDE">
      <w:pPr>
        <w:pStyle w:val="Heading2"/>
        <w:rPr>
          <w:lang w:val="fr-FR"/>
        </w:rPr>
      </w:pPr>
      <w:r w:rsidRPr="001974FE">
        <w:rPr>
          <w:lang w:val="fr-FR"/>
        </w:rPr>
        <w:t>L</w:t>
      </w:r>
      <w:r w:rsidR="00D77991">
        <w:rPr>
          <w:lang w:val="fr-FR"/>
        </w:rPr>
        <w:t>’</w:t>
      </w:r>
      <w:r w:rsidRPr="001974FE">
        <w:rPr>
          <w:lang w:val="fr-FR"/>
        </w:rPr>
        <w:t>Unité de gestion de projet continuera à coordonner et suivre la mise en œuvre des activités ne portant pas sur des investissements et des activités d</w:t>
      </w:r>
      <w:r w:rsidR="00D77991">
        <w:rPr>
          <w:lang w:val="fr-FR"/>
        </w:rPr>
        <w:t>’</w:t>
      </w:r>
      <w:r w:rsidRPr="001974FE">
        <w:rPr>
          <w:lang w:val="fr-FR"/>
        </w:rPr>
        <w:t xml:space="preserve">investissement, y </w:t>
      </w:r>
      <w:r w:rsidRPr="001974FE">
        <w:rPr>
          <w:lang w:val="fr-FR"/>
        </w:rPr>
        <w:lastRenderedPageBreak/>
        <w:t>compris les visites</w:t>
      </w:r>
      <w:r w:rsidR="00D77991">
        <w:rPr>
          <w:lang w:val="fr-FR"/>
        </w:rPr>
        <w:t xml:space="preserve"> </w:t>
      </w:r>
      <w:r w:rsidRPr="001974FE">
        <w:rPr>
          <w:lang w:val="fr-FR"/>
        </w:rPr>
        <w:t>auprès des bénéficiaires et des parties prenantes, ainsi que l</w:t>
      </w:r>
      <w:r w:rsidR="00D77991">
        <w:rPr>
          <w:lang w:val="fr-FR"/>
        </w:rPr>
        <w:t>’</w:t>
      </w:r>
      <w:r w:rsidRPr="001974FE">
        <w:rPr>
          <w:lang w:val="fr-FR"/>
        </w:rPr>
        <w:t>organisation d</w:t>
      </w:r>
      <w:r w:rsidR="00D77991">
        <w:rPr>
          <w:lang w:val="fr-FR"/>
        </w:rPr>
        <w:t>’</w:t>
      </w:r>
      <w:r w:rsidRPr="001974FE">
        <w:rPr>
          <w:lang w:val="fr-FR"/>
        </w:rPr>
        <w:t>ateliers et de réunions (ONUDI) (125 000 $US) ; elle démarrera la reconversion des entreprises de mousses XPS, incluant</w:t>
      </w:r>
      <w:r w:rsidR="00D77991">
        <w:rPr>
          <w:lang w:val="fr-FR"/>
        </w:rPr>
        <w:t xml:space="preserve"> </w:t>
      </w:r>
      <w:r w:rsidRPr="001974FE">
        <w:rPr>
          <w:lang w:val="fr-FR"/>
        </w:rPr>
        <w:t>visites</w:t>
      </w:r>
      <w:r w:rsidR="00D77991">
        <w:rPr>
          <w:lang w:val="fr-FR"/>
        </w:rPr>
        <w:t xml:space="preserve"> </w:t>
      </w:r>
      <w:r w:rsidRPr="001974FE">
        <w:rPr>
          <w:lang w:val="fr-FR"/>
        </w:rPr>
        <w:t>auprès des bénéficiaires, élaboration de spécifications techniques, soutien technique, établissement de rapports et contrôle financier des fonds (PNUD) (75 000 $US).</w:t>
      </w:r>
    </w:p>
    <w:p w:rsidR="00EB0CD6" w:rsidRPr="00C3019D" w:rsidRDefault="001974FE" w:rsidP="00255CDE">
      <w:pPr>
        <w:rPr>
          <w:u w:val="single"/>
          <w:lang w:val="fr-FR"/>
        </w:rPr>
      </w:pPr>
      <w:r w:rsidRPr="001974FE">
        <w:rPr>
          <w:u w:val="single"/>
          <w:lang w:val="fr-FR"/>
        </w:rPr>
        <w:t>Reconversion du HCFC-22 dans la fabrication de climatiseurs résidentiels</w:t>
      </w:r>
    </w:p>
    <w:p w:rsidR="00EB0CD6" w:rsidRPr="00C3019D" w:rsidRDefault="00EB0CD6" w:rsidP="00255CDE">
      <w:pPr>
        <w:rPr>
          <w:lang w:val="fr-FR"/>
        </w:rPr>
      </w:pPr>
    </w:p>
    <w:p w:rsidR="00270A25" w:rsidRPr="001974FE" w:rsidRDefault="001974FE" w:rsidP="00255CDE">
      <w:pPr>
        <w:rPr>
          <w:b/>
          <w:lang w:val="en-CA"/>
        </w:rPr>
      </w:pPr>
      <w:r w:rsidRPr="001974FE">
        <w:rPr>
          <w:b/>
          <w:lang w:val="fr-FR"/>
        </w:rPr>
        <w:t>Contexte</w:t>
      </w:r>
    </w:p>
    <w:p w:rsidR="00270A25" w:rsidRPr="001F1E0E" w:rsidRDefault="00270A25" w:rsidP="00255CDE">
      <w:pPr>
        <w:rPr>
          <w:lang w:val="en-CA"/>
        </w:rPr>
      </w:pPr>
    </w:p>
    <w:p w:rsidR="001974FE" w:rsidRPr="00C3019D" w:rsidRDefault="00FE1398" w:rsidP="00FE1398">
      <w:pPr>
        <w:pStyle w:val="Heading1"/>
        <w:rPr>
          <w:lang w:val="fr-FR"/>
        </w:rPr>
      </w:pPr>
      <w:r w:rsidRPr="00FE1398">
        <w:rPr>
          <w:lang w:val="fr-FR"/>
        </w:rPr>
        <w:t>L</w:t>
      </w:r>
      <w:r w:rsidR="00D77991">
        <w:rPr>
          <w:lang w:val="fr-FR"/>
        </w:rPr>
        <w:t>’</w:t>
      </w:r>
      <w:r w:rsidRPr="00FE1398">
        <w:rPr>
          <w:lang w:val="fr-FR"/>
        </w:rPr>
        <w:t xml:space="preserve">ONUDI a soumis une proposition de projet pour la reconversion </w:t>
      </w:r>
      <w:r w:rsidR="00464A3D">
        <w:rPr>
          <w:lang w:val="fr-FR"/>
        </w:rPr>
        <w:t>du</w:t>
      </w:r>
      <w:r w:rsidRPr="00FE1398">
        <w:rPr>
          <w:lang w:val="fr-FR"/>
        </w:rPr>
        <w:t xml:space="preserve"> HCFC-22 dans la fabrication de climatiseurs résidentiels afin de passer au HFC-32 et R-454B, pour un montant de 11 710 018 $US plus coûts d</w:t>
      </w:r>
      <w:r w:rsidR="00D77991">
        <w:rPr>
          <w:lang w:val="fr-FR"/>
        </w:rPr>
        <w:t>’</w:t>
      </w:r>
      <w:r w:rsidRPr="00FE1398">
        <w:rPr>
          <w:lang w:val="fr-FR"/>
        </w:rPr>
        <w:t>appui d</w:t>
      </w:r>
      <w:r w:rsidR="00D77991">
        <w:rPr>
          <w:lang w:val="fr-FR"/>
        </w:rPr>
        <w:t>’</w:t>
      </w:r>
      <w:r w:rsidRPr="00FE1398">
        <w:rPr>
          <w:lang w:val="fr-FR"/>
        </w:rPr>
        <w:t>agence de 819 701 $US, conformément à la demande soumise.</w:t>
      </w:r>
    </w:p>
    <w:p w:rsidR="00FE1398" w:rsidRPr="00C3019D" w:rsidRDefault="00FE1398" w:rsidP="00FE1398">
      <w:pPr>
        <w:pStyle w:val="Heading1"/>
        <w:keepNext/>
        <w:keepLines/>
        <w:rPr>
          <w:lang w:val="fr-FR"/>
        </w:rPr>
      </w:pPr>
      <w:r w:rsidRPr="00FE1398">
        <w:rPr>
          <w:lang w:val="fr-FR"/>
        </w:rPr>
        <w:t>Le projet a pour objectif d</w:t>
      </w:r>
      <w:r w:rsidR="00D77991">
        <w:rPr>
          <w:lang w:val="fr-FR"/>
        </w:rPr>
        <w:t>’</w:t>
      </w:r>
      <w:r w:rsidRPr="00FE1398">
        <w:rPr>
          <w:lang w:val="fr-FR"/>
        </w:rPr>
        <w:t>éliminer le</w:t>
      </w:r>
      <w:r w:rsidR="00D77991">
        <w:rPr>
          <w:lang w:val="fr-FR"/>
        </w:rPr>
        <w:t xml:space="preserve"> </w:t>
      </w:r>
      <w:r w:rsidRPr="00FE1398">
        <w:rPr>
          <w:lang w:val="fr-FR"/>
        </w:rPr>
        <w:t>HCFC-22 dans le secteur de la fabrication des climatiseurs résidentiels :</w:t>
      </w:r>
      <w:r w:rsidRPr="00C3019D">
        <w:rPr>
          <w:lang w:val="fr-FR"/>
        </w:rPr>
        <w:t xml:space="preserve"> </w:t>
      </w:r>
    </w:p>
    <w:p w:rsidR="00FE1398" w:rsidRPr="00C3019D" w:rsidRDefault="00E11652" w:rsidP="00FE1398">
      <w:pPr>
        <w:pStyle w:val="Heading2"/>
        <w:keepNext/>
        <w:keepLines/>
        <w:rPr>
          <w:lang w:val="fr-FR"/>
        </w:rPr>
      </w:pPr>
      <w:r>
        <w:rPr>
          <w:lang w:val="fr-FR"/>
        </w:rPr>
        <w:t>Par l’adaptation</w:t>
      </w:r>
      <w:r w:rsidR="00FE1398" w:rsidRPr="00FE1398">
        <w:rPr>
          <w:lang w:val="fr-FR"/>
        </w:rPr>
        <w:t xml:space="preserve"> et </w:t>
      </w:r>
      <w:r>
        <w:rPr>
          <w:lang w:val="fr-FR"/>
        </w:rPr>
        <w:t>la restructuration d</w:t>
      </w:r>
      <w:r w:rsidR="00FE1398" w:rsidRPr="00FE1398">
        <w:rPr>
          <w:lang w:val="fr-FR"/>
        </w:rPr>
        <w:t xml:space="preserve">es équipements de climatisation </w:t>
      </w:r>
      <w:r>
        <w:rPr>
          <w:lang w:val="fr-FR"/>
        </w:rPr>
        <w:t>afin d’</w:t>
      </w:r>
      <w:r w:rsidR="00FE1398" w:rsidRPr="00FE1398">
        <w:rPr>
          <w:lang w:val="fr-FR"/>
        </w:rPr>
        <w:t>utilis</w:t>
      </w:r>
      <w:r>
        <w:rPr>
          <w:lang w:val="fr-FR"/>
        </w:rPr>
        <w:t>er des</w:t>
      </w:r>
      <w:r w:rsidR="00FE1398" w:rsidRPr="00FE1398">
        <w:rPr>
          <w:lang w:val="fr-FR"/>
        </w:rPr>
        <w:t xml:space="preserve"> frigorigènes de remplacement à faible PRP ;</w:t>
      </w:r>
      <w:r w:rsidR="00FE1398" w:rsidRPr="00C3019D">
        <w:rPr>
          <w:lang w:val="fr-FR"/>
        </w:rPr>
        <w:t xml:space="preserve"> </w:t>
      </w:r>
    </w:p>
    <w:p w:rsidR="00FE1398" w:rsidRPr="00C3019D" w:rsidRDefault="00E11652" w:rsidP="00FE1398">
      <w:pPr>
        <w:pStyle w:val="Heading2"/>
        <w:keepNext/>
        <w:keepLines/>
        <w:rPr>
          <w:lang w:val="fr-FR"/>
        </w:rPr>
      </w:pPr>
      <w:r>
        <w:rPr>
          <w:lang w:val="fr-FR"/>
        </w:rPr>
        <w:t xml:space="preserve">Par la </w:t>
      </w:r>
      <w:r w:rsidR="00464A3D">
        <w:rPr>
          <w:lang w:val="fr-FR"/>
        </w:rPr>
        <w:t>r</w:t>
      </w:r>
      <w:r w:rsidR="00FE1398" w:rsidRPr="00FE1398">
        <w:rPr>
          <w:lang w:val="fr-FR"/>
        </w:rPr>
        <w:t>econver</w:t>
      </w:r>
      <w:r>
        <w:rPr>
          <w:lang w:val="fr-FR"/>
        </w:rPr>
        <w:t>sion des</w:t>
      </w:r>
      <w:r w:rsidR="00FE1398" w:rsidRPr="00FE1398">
        <w:rPr>
          <w:lang w:val="fr-FR"/>
        </w:rPr>
        <w:t xml:space="preserve"> entreprises de fabrication à des frigorigènes de remplacement en :</w:t>
      </w:r>
    </w:p>
    <w:p w:rsidR="00FE1398" w:rsidRPr="00C3019D" w:rsidRDefault="00FE1398" w:rsidP="00FE1398">
      <w:pPr>
        <w:pStyle w:val="Heading3"/>
        <w:rPr>
          <w:lang w:val="fr-FR"/>
        </w:rPr>
      </w:pPr>
      <w:r w:rsidRPr="00FE1398">
        <w:rPr>
          <w:lang w:val="fr-FR"/>
        </w:rPr>
        <w:t>Achetant de nouveaux équipements de fabrication si nécessaire, sans accroitre la capacité de production ;</w:t>
      </w:r>
      <w:r w:rsidRPr="00C3019D">
        <w:rPr>
          <w:lang w:val="fr-FR"/>
        </w:rPr>
        <w:t xml:space="preserve"> </w:t>
      </w:r>
    </w:p>
    <w:p w:rsidR="00FE1398" w:rsidRPr="00C3019D" w:rsidRDefault="00464A3D" w:rsidP="00FE1398">
      <w:pPr>
        <w:pStyle w:val="Heading3"/>
        <w:rPr>
          <w:lang w:val="fr-FR"/>
        </w:rPr>
      </w:pPr>
      <w:r>
        <w:rPr>
          <w:lang w:val="fr-FR"/>
        </w:rPr>
        <w:t>M</w:t>
      </w:r>
      <w:r w:rsidR="00FE1398" w:rsidRPr="00FE1398">
        <w:rPr>
          <w:lang w:val="fr-FR"/>
        </w:rPr>
        <w:t xml:space="preserve">ettant en place des systèmes de sécurité pour un stockage </w:t>
      </w:r>
      <w:r w:rsidR="00DE144A">
        <w:rPr>
          <w:lang w:val="fr-FR"/>
        </w:rPr>
        <w:t xml:space="preserve">et une </w:t>
      </w:r>
      <w:r w:rsidR="00FE1398" w:rsidRPr="00FE1398">
        <w:rPr>
          <w:lang w:val="fr-FR"/>
        </w:rPr>
        <w:t xml:space="preserve">manipulation </w:t>
      </w:r>
      <w:r w:rsidR="00DE144A" w:rsidRPr="00FE1398">
        <w:rPr>
          <w:lang w:val="fr-FR"/>
        </w:rPr>
        <w:t xml:space="preserve">sans danger </w:t>
      </w:r>
      <w:r w:rsidR="00FE1398" w:rsidRPr="00FE1398">
        <w:rPr>
          <w:lang w:val="fr-FR"/>
        </w:rPr>
        <w:t>des frigorigènes inflammables ;</w:t>
      </w:r>
      <w:r w:rsidR="00FE1398" w:rsidRPr="00C3019D">
        <w:rPr>
          <w:lang w:val="fr-FR"/>
        </w:rPr>
        <w:t xml:space="preserve"> </w:t>
      </w:r>
    </w:p>
    <w:p w:rsidR="00FE1398" w:rsidRPr="00C3019D" w:rsidRDefault="00464A3D" w:rsidP="00FE1398">
      <w:pPr>
        <w:pStyle w:val="Heading3"/>
        <w:rPr>
          <w:lang w:val="fr-FR"/>
        </w:rPr>
      </w:pPr>
      <w:r>
        <w:rPr>
          <w:lang w:val="fr-FR"/>
        </w:rPr>
        <w:t>F</w:t>
      </w:r>
      <w:r w:rsidR="00FE1398" w:rsidRPr="00FE1398">
        <w:rPr>
          <w:lang w:val="fr-FR"/>
        </w:rPr>
        <w:t>ournissant une assistance technique pour la</w:t>
      </w:r>
      <w:r>
        <w:rPr>
          <w:lang w:val="fr-FR"/>
        </w:rPr>
        <w:t xml:space="preserve"> </w:t>
      </w:r>
      <w:r w:rsidR="00FE1398">
        <w:rPr>
          <w:lang w:val="fr-FR"/>
        </w:rPr>
        <w:t>restructuration</w:t>
      </w:r>
      <w:r>
        <w:rPr>
          <w:lang w:val="fr-FR"/>
        </w:rPr>
        <w:t xml:space="preserve"> </w:t>
      </w:r>
      <w:r w:rsidR="00FE1398" w:rsidRPr="00FE1398">
        <w:rPr>
          <w:lang w:val="fr-FR"/>
        </w:rPr>
        <w:t>des nouveaux équipements afin de maintenir ou d</w:t>
      </w:r>
      <w:r w:rsidR="00D77991">
        <w:rPr>
          <w:lang w:val="fr-FR"/>
        </w:rPr>
        <w:t>’</w:t>
      </w:r>
      <w:r w:rsidR="00FE1398" w:rsidRPr="00FE1398">
        <w:rPr>
          <w:lang w:val="fr-FR"/>
        </w:rPr>
        <w:t>améliorer l</w:t>
      </w:r>
      <w:r w:rsidR="00D77991">
        <w:rPr>
          <w:lang w:val="fr-FR"/>
        </w:rPr>
        <w:t>’</w:t>
      </w:r>
      <w:r w:rsidR="00FE1398" w:rsidRPr="00FE1398">
        <w:rPr>
          <w:lang w:val="fr-FR"/>
        </w:rPr>
        <w:t>efficacité énergétique ;</w:t>
      </w:r>
    </w:p>
    <w:p w:rsidR="00FE1398" w:rsidRPr="00C3019D" w:rsidRDefault="00464A3D" w:rsidP="00FE1398">
      <w:pPr>
        <w:pStyle w:val="Heading3"/>
        <w:rPr>
          <w:lang w:val="fr-FR"/>
        </w:rPr>
      </w:pPr>
      <w:r w:rsidRPr="00FE1398">
        <w:rPr>
          <w:lang w:val="fr-FR"/>
        </w:rPr>
        <w:t>Fourni</w:t>
      </w:r>
      <w:r>
        <w:rPr>
          <w:lang w:val="fr-FR"/>
        </w:rPr>
        <w:t xml:space="preserve">ssant </w:t>
      </w:r>
      <w:r w:rsidR="00732221">
        <w:rPr>
          <w:lang w:val="fr-FR"/>
        </w:rPr>
        <w:t>une</w:t>
      </w:r>
      <w:r w:rsidR="00FE1398" w:rsidRPr="00FE1398">
        <w:rPr>
          <w:lang w:val="fr-FR"/>
        </w:rPr>
        <w:t xml:space="preserve"> assistance technique pour la </w:t>
      </w:r>
      <w:r>
        <w:rPr>
          <w:lang w:val="fr-FR"/>
        </w:rPr>
        <w:t>restructuration</w:t>
      </w:r>
      <w:r w:rsidR="00FE1398" w:rsidRPr="00FE1398">
        <w:rPr>
          <w:lang w:val="fr-FR"/>
        </w:rPr>
        <w:t xml:space="preserve"> des nouveaux équipements afin d</w:t>
      </w:r>
      <w:r w:rsidR="00D77991">
        <w:rPr>
          <w:lang w:val="fr-FR"/>
        </w:rPr>
        <w:t>’</w:t>
      </w:r>
      <w:r w:rsidR="00FE1398" w:rsidRPr="00FE1398">
        <w:rPr>
          <w:lang w:val="fr-FR"/>
        </w:rPr>
        <w:t xml:space="preserve">assurer la conformité avec </w:t>
      </w:r>
      <w:r w:rsidR="00DE144A">
        <w:rPr>
          <w:lang w:val="fr-FR"/>
        </w:rPr>
        <w:t xml:space="preserve">les </w:t>
      </w:r>
      <w:r w:rsidR="00FE1398" w:rsidRPr="00FE1398">
        <w:rPr>
          <w:lang w:val="fr-FR"/>
        </w:rPr>
        <w:t>normes internationales de sécurité pertinentes ;</w:t>
      </w:r>
    </w:p>
    <w:p w:rsidR="00FE1398" w:rsidRPr="00C3019D" w:rsidRDefault="00FE1398" w:rsidP="00FE1398">
      <w:pPr>
        <w:pStyle w:val="Heading3"/>
        <w:rPr>
          <w:lang w:val="fr-FR"/>
        </w:rPr>
      </w:pPr>
      <w:r w:rsidRPr="00FE1398">
        <w:rPr>
          <w:lang w:val="fr-FR"/>
        </w:rPr>
        <w:t>M</w:t>
      </w:r>
      <w:r w:rsidR="00DE144A">
        <w:rPr>
          <w:lang w:val="fr-FR"/>
        </w:rPr>
        <w:t>ettant en</w:t>
      </w:r>
      <w:r w:rsidRPr="00FE1398">
        <w:rPr>
          <w:lang w:val="fr-FR"/>
        </w:rPr>
        <w:t xml:space="preserve"> œuvre de</w:t>
      </w:r>
      <w:r w:rsidR="00DE144A">
        <w:rPr>
          <w:lang w:val="fr-FR"/>
        </w:rPr>
        <w:t>s</w:t>
      </w:r>
      <w:r w:rsidRPr="00FE1398">
        <w:rPr>
          <w:lang w:val="fr-FR"/>
        </w:rPr>
        <w:t xml:space="preserve"> procédures de travail pour la manipulation en toute sécurité de frigorigènes inflammables ; et</w:t>
      </w:r>
    </w:p>
    <w:p w:rsidR="00FE1398" w:rsidRPr="00C3019D" w:rsidRDefault="00FE1398" w:rsidP="00FE1398">
      <w:pPr>
        <w:pStyle w:val="Heading3"/>
        <w:rPr>
          <w:lang w:val="fr-FR"/>
        </w:rPr>
      </w:pPr>
      <w:r w:rsidRPr="00FE1398">
        <w:rPr>
          <w:lang w:val="fr-FR"/>
        </w:rPr>
        <w:t>Obten</w:t>
      </w:r>
      <w:r w:rsidR="00DE144A">
        <w:rPr>
          <w:lang w:val="fr-FR"/>
        </w:rPr>
        <w:t>ant une</w:t>
      </w:r>
      <w:r w:rsidRPr="00FE1398">
        <w:rPr>
          <w:lang w:val="fr-FR"/>
        </w:rPr>
        <w:t xml:space="preserve"> certification de sécurité aux normes internationales actuelles (par ex. directives de l</w:t>
      </w:r>
      <w:r w:rsidR="00D77991">
        <w:rPr>
          <w:lang w:val="fr-FR"/>
        </w:rPr>
        <w:t>’</w:t>
      </w:r>
      <w:r w:rsidRPr="00FE1398">
        <w:rPr>
          <w:lang w:val="fr-FR"/>
        </w:rPr>
        <w:t>Union Européenne).</w:t>
      </w:r>
    </w:p>
    <w:p w:rsidR="00EB0CD6" w:rsidRPr="00FE1398" w:rsidRDefault="00FE1398" w:rsidP="00255CDE">
      <w:pPr>
        <w:rPr>
          <w:b/>
          <w:lang w:val="en-CA"/>
        </w:rPr>
      </w:pPr>
      <w:r w:rsidRPr="00FE1398">
        <w:rPr>
          <w:b/>
          <w:lang w:val="fr-FR"/>
        </w:rPr>
        <w:t>Description du projet</w:t>
      </w:r>
    </w:p>
    <w:p w:rsidR="00EB0CD6" w:rsidRPr="001F1E0E" w:rsidRDefault="00EB0CD6" w:rsidP="00255CDE">
      <w:pPr>
        <w:rPr>
          <w:lang w:val="en-CA"/>
        </w:rPr>
      </w:pPr>
    </w:p>
    <w:p w:rsidR="00043949" w:rsidRPr="000B2C68" w:rsidRDefault="00FE1398" w:rsidP="000B2C68">
      <w:pPr>
        <w:pStyle w:val="Heading1"/>
        <w:rPr>
          <w:lang w:val="fr-FR"/>
        </w:rPr>
      </w:pPr>
      <w:r w:rsidRPr="00AD0459">
        <w:rPr>
          <w:lang w:val="fr-FR"/>
        </w:rPr>
        <w:t>Cinq fabricants</w:t>
      </w:r>
      <w:r w:rsidR="00D77991" w:rsidRPr="00AD0459">
        <w:rPr>
          <w:lang w:val="fr-FR"/>
        </w:rPr>
        <w:t xml:space="preserve"> </w:t>
      </w:r>
      <w:r w:rsidRPr="00AD0459">
        <w:rPr>
          <w:lang w:val="fr-FR"/>
        </w:rPr>
        <w:t xml:space="preserve">(El-Araby, Fresh, Miraco, Power et Unionaire), qui sont les seuls fabricants de climatiseurs résidentiels du pays et qui </w:t>
      </w:r>
      <w:r w:rsidR="00E11652" w:rsidRPr="00AD0459">
        <w:rPr>
          <w:lang w:val="fr-FR"/>
        </w:rPr>
        <w:t xml:space="preserve">ont </w:t>
      </w:r>
      <w:r w:rsidRPr="00AD0459">
        <w:rPr>
          <w:lang w:val="fr-FR"/>
        </w:rPr>
        <w:t>particip</w:t>
      </w:r>
      <w:r w:rsidR="00E11652" w:rsidRPr="00AD0459">
        <w:rPr>
          <w:lang w:val="fr-FR"/>
        </w:rPr>
        <w:t>é</w:t>
      </w:r>
      <w:r w:rsidRPr="00AD0459">
        <w:rPr>
          <w:lang w:val="fr-FR"/>
        </w:rPr>
        <w:t xml:space="preserve"> à l</w:t>
      </w:r>
      <w:r w:rsidR="00D77991" w:rsidRPr="00AD0459">
        <w:rPr>
          <w:lang w:val="fr-FR"/>
        </w:rPr>
        <w:t>’</w:t>
      </w:r>
      <w:r w:rsidRPr="00AD0459">
        <w:rPr>
          <w:lang w:val="fr-FR"/>
        </w:rPr>
        <w:t>EGYPRA, vont éliminer</w:t>
      </w:r>
      <w:r w:rsidRPr="00FE1398">
        <w:rPr>
          <w:lang w:val="fr-FR"/>
        </w:rPr>
        <w:t xml:space="preserve"> </w:t>
      </w:r>
      <w:r w:rsidR="00E11652">
        <w:rPr>
          <w:lang w:val="fr-FR"/>
        </w:rPr>
        <w:t xml:space="preserve">leur </w:t>
      </w:r>
      <w:r w:rsidRPr="00FE1398">
        <w:rPr>
          <w:lang w:val="fr-FR"/>
        </w:rPr>
        <w:t>utilisation du</w:t>
      </w:r>
      <w:r w:rsidR="00D77991">
        <w:rPr>
          <w:lang w:val="fr-FR"/>
        </w:rPr>
        <w:t xml:space="preserve"> </w:t>
      </w:r>
      <w:r w:rsidRPr="00FE1398">
        <w:rPr>
          <w:lang w:val="fr-FR"/>
        </w:rPr>
        <w:t>HCFC-22. La plupart de leurs équipements de climatisation résidentielle sont vendus localement</w:t>
      </w:r>
      <w:r w:rsidR="00AD0459">
        <w:rPr>
          <w:lang w:val="fr-FR"/>
        </w:rPr>
        <w:t>,</w:t>
      </w:r>
      <w:r w:rsidRPr="00FE1398">
        <w:rPr>
          <w:lang w:val="fr-FR"/>
        </w:rPr>
        <w:t xml:space="preserve"> mais ils exportent également vers les régions du Golfe et de </w:t>
      </w:r>
      <w:r w:rsidR="00732221">
        <w:rPr>
          <w:lang w:val="fr-FR"/>
        </w:rPr>
        <w:t>l</w:t>
      </w:r>
      <w:r w:rsidR="00D77991">
        <w:rPr>
          <w:lang w:val="fr-FR"/>
        </w:rPr>
        <w:t>’</w:t>
      </w:r>
      <w:r w:rsidRPr="00FE1398">
        <w:rPr>
          <w:lang w:val="fr-FR"/>
        </w:rPr>
        <w:t xml:space="preserve">Afrique </w:t>
      </w:r>
      <w:r w:rsidR="00732221">
        <w:rPr>
          <w:lang w:val="fr-FR"/>
        </w:rPr>
        <w:t>d</w:t>
      </w:r>
      <w:r w:rsidRPr="00FE1398">
        <w:rPr>
          <w:lang w:val="fr-FR"/>
        </w:rPr>
        <w:t>u Nord. Ils n</w:t>
      </w:r>
      <w:r w:rsidR="00D77991">
        <w:rPr>
          <w:lang w:val="fr-FR"/>
        </w:rPr>
        <w:t>’</w:t>
      </w:r>
      <w:r w:rsidRPr="00FE1398">
        <w:rPr>
          <w:lang w:val="fr-FR"/>
        </w:rPr>
        <w:t>exportent pas vers des pays non visés à l</w:t>
      </w:r>
      <w:r w:rsidR="00D77991">
        <w:rPr>
          <w:lang w:val="fr-FR"/>
        </w:rPr>
        <w:t>’</w:t>
      </w:r>
      <w:r w:rsidRPr="00FE1398">
        <w:rPr>
          <w:lang w:val="fr-FR"/>
        </w:rPr>
        <w:t>article 5.</w:t>
      </w:r>
      <w:r w:rsidRPr="00C3019D">
        <w:rPr>
          <w:lang w:val="fr-FR"/>
        </w:rPr>
        <w:t xml:space="preserve"> </w:t>
      </w:r>
      <w:r w:rsidR="00AD0459" w:rsidRPr="00C3019D">
        <w:rPr>
          <w:lang w:val="fr-FR"/>
        </w:rPr>
        <w:t>Ce</w:t>
      </w:r>
      <w:r w:rsidR="0092457A" w:rsidRPr="0092457A">
        <w:rPr>
          <w:lang w:val="fr-FR"/>
        </w:rPr>
        <w:t>s cinq fabricants ont un capital relevant à 100 pour cent de l</w:t>
      </w:r>
      <w:r w:rsidR="00D77991">
        <w:rPr>
          <w:lang w:val="fr-FR"/>
        </w:rPr>
        <w:t>’</w:t>
      </w:r>
      <w:r w:rsidR="0092457A" w:rsidRPr="0092457A">
        <w:rPr>
          <w:lang w:val="fr-FR"/>
        </w:rPr>
        <w:t>article 5, à l</w:t>
      </w:r>
      <w:r w:rsidR="00D77991">
        <w:rPr>
          <w:lang w:val="fr-FR"/>
        </w:rPr>
        <w:t>’</w:t>
      </w:r>
      <w:r w:rsidR="0092457A" w:rsidRPr="0092457A">
        <w:rPr>
          <w:lang w:val="fr-FR"/>
        </w:rPr>
        <w:t xml:space="preserve">exception de Miraco dont 37 pour cent du capital ne </w:t>
      </w:r>
      <w:r w:rsidR="00E11652">
        <w:rPr>
          <w:lang w:val="fr-FR"/>
        </w:rPr>
        <w:t>relèvent pas de</w:t>
      </w:r>
      <w:r w:rsidR="0092457A" w:rsidRPr="0092457A">
        <w:rPr>
          <w:lang w:val="fr-FR"/>
        </w:rPr>
        <w:t xml:space="preserve"> l</w:t>
      </w:r>
      <w:r w:rsidR="00D77991">
        <w:rPr>
          <w:lang w:val="fr-FR"/>
        </w:rPr>
        <w:t>’</w:t>
      </w:r>
      <w:r w:rsidR="0092457A" w:rsidRPr="0092457A">
        <w:rPr>
          <w:lang w:val="fr-FR"/>
        </w:rPr>
        <w:t>article 5.</w:t>
      </w:r>
      <w:r w:rsidR="0092457A" w:rsidRPr="00C3019D">
        <w:rPr>
          <w:lang w:val="fr-FR"/>
        </w:rPr>
        <w:t xml:space="preserve"> </w:t>
      </w:r>
      <w:r w:rsidR="0092457A" w:rsidRPr="0092457A">
        <w:rPr>
          <w:lang w:val="fr-FR"/>
        </w:rPr>
        <w:t>Certains fabricants ont passé un accord avec des fournisseurs mondiaux d</w:t>
      </w:r>
      <w:r w:rsidR="00D77991">
        <w:rPr>
          <w:lang w:val="fr-FR"/>
        </w:rPr>
        <w:t>’</w:t>
      </w:r>
      <w:r w:rsidR="0092457A" w:rsidRPr="0092457A">
        <w:rPr>
          <w:lang w:val="fr-FR"/>
        </w:rPr>
        <w:t>équipements de climatisation et dépendent donc d</w:t>
      </w:r>
      <w:r w:rsidR="00D77991">
        <w:rPr>
          <w:lang w:val="fr-FR"/>
        </w:rPr>
        <w:t>’</w:t>
      </w:r>
      <w:r w:rsidR="0092457A" w:rsidRPr="0092457A">
        <w:rPr>
          <w:lang w:val="fr-FR"/>
        </w:rPr>
        <w:t>eux quant au choix de la conception et des composants, ce qui impacte également le choix de la technologie des frigorigènes.</w:t>
      </w:r>
      <w:r w:rsidR="0092457A" w:rsidRPr="00C3019D">
        <w:rPr>
          <w:lang w:val="fr-FR"/>
        </w:rPr>
        <w:t xml:space="preserve"> </w:t>
      </w:r>
      <w:r w:rsidR="0092457A" w:rsidRPr="0092457A">
        <w:rPr>
          <w:lang w:val="fr-FR"/>
        </w:rPr>
        <w:t>Chaque fabricant dispose d</w:t>
      </w:r>
      <w:r w:rsidR="00D77991">
        <w:rPr>
          <w:lang w:val="fr-FR"/>
        </w:rPr>
        <w:t>’</w:t>
      </w:r>
      <w:r w:rsidR="0092457A" w:rsidRPr="0092457A">
        <w:rPr>
          <w:lang w:val="fr-FR"/>
        </w:rPr>
        <w:t>une usine et ils produisent tous une gamme complète d</w:t>
      </w:r>
      <w:r w:rsidR="00D77991">
        <w:rPr>
          <w:lang w:val="fr-FR"/>
        </w:rPr>
        <w:t>’</w:t>
      </w:r>
      <w:r w:rsidR="0092457A" w:rsidRPr="0092457A">
        <w:rPr>
          <w:lang w:val="fr-FR"/>
        </w:rPr>
        <w:t>équipements et d</w:t>
      </w:r>
      <w:r w:rsidR="00D77991">
        <w:rPr>
          <w:lang w:val="fr-FR"/>
        </w:rPr>
        <w:t>’</w:t>
      </w:r>
      <w:r w:rsidR="0092457A" w:rsidRPr="0092457A">
        <w:rPr>
          <w:lang w:val="fr-FR"/>
        </w:rPr>
        <w:t>appareils de climatisation résidentielle.</w:t>
      </w:r>
      <w:r w:rsidR="0092457A" w:rsidRPr="00C3019D">
        <w:rPr>
          <w:lang w:val="fr-FR"/>
        </w:rPr>
        <w:t xml:space="preserve"> </w:t>
      </w:r>
      <w:r w:rsidR="0092457A" w:rsidRPr="0092457A">
        <w:rPr>
          <w:lang w:val="fr-FR"/>
        </w:rPr>
        <w:t>Ils utilisent t</w:t>
      </w:r>
      <w:r w:rsidR="00C53019">
        <w:rPr>
          <w:lang w:val="fr-FR"/>
        </w:rPr>
        <w:t>o</w:t>
      </w:r>
      <w:r w:rsidR="0092457A" w:rsidRPr="0092457A">
        <w:rPr>
          <w:lang w:val="fr-FR"/>
        </w:rPr>
        <w:t>us du HCFC-22 et du R</w:t>
      </w:r>
      <w:r w:rsidR="0092457A" w:rsidRPr="0092457A">
        <w:rPr>
          <w:lang w:val="fr-FR"/>
        </w:rPr>
        <w:noBreakHyphen/>
        <w:t xml:space="preserve">410A, à </w:t>
      </w:r>
      <w:r w:rsidR="0092457A" w:rsidRPr="0092457A">
        <w:rPr>
          <w:lang w:val="fr-FR"/>
        </w:rPr>
        <w:lastRenderedPageBreak/>
        <w:t>l</w:t>
      </w:r>
      <w:r w:rsidR="00D77991">
        <w:rPr>
          <w:lang w:val="fr-FR"/>
        </w:rPr>
        <w:t>’</w:t>
      </w:r>
      <w:r w:rsidR="0092457A" w:rsidRPr="0092457A">
        <w:rPr>
          <w:lang w:val="fr-FR"/>
        </w:rPr>
        <w:t>exception de Power, qui utilis</w:t>
      </w:r>
      <w:r w:rsidR="00E11652">
        <w:rPr>
          <w:lang w:val="fr-FR"/>
        </w:rPr>
        <w:t>e</w:t>
      </w:r>
      <w:r w:rsidR="0092457A" w:rsidRPr="0092457A">
        <w:rPr>
          <w:lang w:val="fr-FR"/>
        </w:rPr>
        <w:t xml:space="preserve"> seulement du</w:t>
      </w:r>
      <w:r w:rsidR="00D77991">
        <w:rPr>
          <w:lang w:val="fr-FR"/>
        </w:rPr>
        <w:t xml:space="preserve"> </w:t>
      </w:r>
      <w:r w:rsidR="0092457A" w:rsidRPr="0092457A">
        <w:rPr>
          <w:lang w:val="fr-FR"/>
        </w:rPr>
        <w:t>HCFC-22. Aucun de ces fabricants n</w:t>
      </w:r>
      <w:r w:rsidR="00D77991">
        <w:rPr>
          <w:lang w:val="fr-FR"/>
        </w:rPr>
        <w:t>’</w:t>
      </w:r>
      <w:r w:rsidR="0092457A" w:rsidRPr="0092457A">
        <w:rPr>
          <w:lang w:val="fr-FR"/>
        </w:rPr>
        <w:t>a bénéficié précédemment d</w:t>
      </w:r>
      <w:r w:rsidR="00D77991">
        <w:rPr>
          <w:lang w:val="fr-FR"/>
        </w:rPr>
        <w:t>’</w:t>
      </w:r>
      <w:r w:rsidR="0092457A" w:rsidRPr="0092457A">
        <w:rPr>
          <w:lang w:val="fr-FR"/>
        </w:rPr>
        <w:t>un financement pour la reconversion des technologies à base de HCFC</w:t>
      </w:r>
      <w:r w:rsidR="0092457A" w:rsidRPr="00E11652">
        <w:rPr>
          <w:lang w:val="fr-FR"/>
        </w:rPr>
        <w:t xml:space="preserve">. </w:t>
      </w:r>
      <w:r w:rsidR="00E11652" w:rsidRPr="00E11652">
        <w:rPr>
          <w:lang w:val="fr-FR"/>
        </w:rPr>
        <w:t xml:space="preserve">Le tableau </w:t>
      </w:r>
      <w:r w:rsidR="0092457A" w:rsidRPr="00E11652">
        <w:rPr>
          <w:lang w:val="fr-FR"/>
        </w:rPr>
        <w:t xml:space="preserve">3 </w:t>
      </w:r>
      <w:r w:rsidR="00E11652" w:rsidRPr="00E11652">
        <w:rPr>
          <w:lang w:val="fr-FR"/>
        </w:rPr>
        <w:t xml:space="preserve">récapitule </w:t>
      </w:r>
      <w:r w:rsidR="00E11652">
        <w:rPr>
          <w:lang w:val="fr-FR"/>
        </w:rPr>
        <w:t>l</w:t>
      </w:r>
      <w:r w:rsidR="00E11652" w:rsidRPr="00E11652">
        <w:rPr>
          <w:lang w:val="fr-FR"/>
        </w:rPr>
        <w:t>’état de la fabrication de ces cin</w:t>
      </w:r>
      <w:r w:rsidR="00E11652">
        <w:rPr>
          <w:lang w:val="fr-FR"/>
        </w:rPr>
        <w:t>q</w:t>
      </w:r>
      <w:r w:rsidR="00E11652" w:rsidRPr="00E11652">
        <w:rPr>
          <w:lang w:val="fr-FR"/>
        </w:rPr>
        <w:t xml:space="preserve"> entreprises et </w:t>
      </w:r>
      <w:r w:rsidR="00E11652">
        <w:rPr>
          <w:lang w:val="fr-FR"/>
        </w:rPr>
        <w:t xml:space="preserve">de </w:t>
      </w:r>
      <w:r w:rsidR="00E11652" w:rsidRPr="00E11652">
        <w:rPr>
          <w:lang w:val="fr-FR"/>
        </w:rPr>
        <w:t xml:space="preserve">leur consommation de </w:t>
      </w:r>
      <w:r w:rsidR="0092457A" w:rsidRPr="00E11652">
        <w:rPr>
          <w:lang w:val="fr-FR"/>
        </w:rPr>
        <w:t xml:space="preserve"> 2016</w:t>
      </w:r>
      <w:r w:rsidR="00E11652">
        <w:rPr>
          <w:lang w:val="fr-FR"/>
        </w:rPr>
        <w:t xml:space="preserve"> à</w:t>
      </w:r>
      <w:r w:rsidR="0092457A" w:rsidRPr="00E11652">
        <w:rPr>
          <w:lang w:val="fr-FR"/>
        </w:rPr>
        <w:t xml:space="preserve"> 2018</w:t>
      </w:r>
      <w:r w:rsidR="00AD0459">
        <w:rPr>
          <w:lang w:val="fr-FR"/>
        </w:rPr>
        <w:t>.</w:t>
      </w:r>
    </w:p>
    <w:p w:rsidR="00043949" w:rsidRPr="00C3019D" w:rsidRDefault="00C53019" w:rsidP="00BB78EF">
      <w:pPr>
        <w:rPr>
          <w:b/>
          <w:lang w:val="fr-FR"/>
        </w:rPr>
      </w:pPr>
      <w:r w:rsidRPr="00C53019">
        <w:rPr>
          <w:b/>
          <w:lang w:val="fr-FR"/>
        </w:rPr>
        <w:t>Tableau 3.</w:t>
      </w:r>
      <w:r w:rsidR="00D77991">
        <w:rPr>
          <w:b/>
          <w:lang w:val="fr-FR"/>
        </w:rPr>
        <w:t xml:space="preserve"> </w:t>
      </w:r>
      <w:r w:rsidRPr="00C53019">
        <w:rPr>
          <w:b/>
          <w:lang w:val="fr-FR"/>
        </w:rPr>
        <w:t xml:space="preserve">État </w:t>
      </w:r>
      <w:r w:rsidR="00E11652">
        <w:rPr>
          <w:b/>
          <w:lang w:val="fr-FR"/>
        </w:rPr>
        <w:t>de la fabrication et de la</w:t>
      </w:r>
      <w:r w:rsidRPr="00C53019">
        <w:rPr>
          <w:b/>
          <w:lang w:val="fr-FR"/>
        </w:rPr>
        <w:t xml:space="preserve"> consommation de HCFC-22 dans les cinq entreprises (tm)</w:t>
      </w:r>
    </w:p>
    <w:tbl>
      <w:tblPr>
        <w:tblStyle w:val="TableGrid"/>
        <w:tblW w:w="9242" w:type="dxa"/>
        <w:tblInd w:w="108" w:type="dxa"/>
        <w:tblLayout w:type="fixed"/>
        <w:tblLook w:val="04A0" w:firstRow="1" w:lastRow="0" w:firstColumn="1" w:lastColumn="0" w:noHBand="0" w:noVBand="1"/>
      </w:tblPr>
      <w:tblGrid>
        <w:gridCol w:w="1319"/>
        <w:gridCol w:w="949"/>
        <w:gridCol w:w="4849"/>
        <w:gridCol w:w="708"/>
        <w:gridCol w:w="709"/>
        <w:gridCol w:w="708"/>
      </w:tblGrid>
      <w:tr w:rsidR="00605AC1" w:rsidRPr="001F1E0E" w:rsidTr="000B2C68">
        <w:trPr>
          <w:tblHeader/>
        </w:trPr>
        <w:tc>
          <w:tcPr>
            <w:tcW w:w="1319" w:type="dxa"/>
          </w:tcPr>
          <w:p w:rsidR="00605AC1" w:rsidRPr="00C53019" w:rsidRDefault="00C53019" w:rsidP="005B6FC5">
            <w:pPr>
              <w:jc w:val="center"/>
              <w:rPr>
                <w:b/>
                <w:sz w:val="20"/>
                <w:szCs w:val="20"/>
                <w:lang w:val="en-CA"/>
              </w:rPr>
            </w:pPr>
            <w:r w:rsidRPr="00C53019">
              <w:rPr>
                <w:b/>
                <w:sz w:val="20"/>
                <w:szCs w:val="20"/>
                <w:lang w:val="fr-FR"/>
              </w:rPr>
              <w:t>Fabricant</w:t>
            </w:r>
          </w:p>
        </w:tc>
        <w:tc>
          <w:tcPr>
            <w:tcW w:w="949" w:type="dxa"/>
          </w:tcPr>
          <w:p w:rsidR="00605AC1" w:rsidRPr="00C53019" w:rsidRDefault="00C53019" w:rsidP="00C53019">
            <w:pPr>
              <w:jc w:val="center"/>
              <w:rPr>
                <w:b/>
                <w:sz w:val="20"/>
                <w:szCs w:val="20"/>
                <w:lang w:val="en-CA"/>
              </w:rPr>
            </w:pPr>
            <w:r>
              <w:rPr>
                <w:b/>
                <w:sz w:val="20"/>
                <w:szCs w:val="20"/>
                <w:lang w:val="en-CA"/>
              </w:rPr>
              <w:t>Nbre de chaînes</w:t>
            </w:r>
          </w:p>
        </w:tc>
        <w:tc>
          <w:tcPr>
            <w:tcW w:w="4849" w:type="dxa"/>
          </w:tcPr>
          <w:p w:rsidR="00605AC1" w:rsidRPr="00C53019" w:rsidRDefault="00C53019" w:rsidP="005B6FC5">
            <w:pPr>
              <w:jc w:val="center"/>
              <w:rPr>
                <w:b/>
                <w:sz w:val="20"/>
                <w:szCs w:val="20"/>
                <w:lang w:val="en-CA"/>
              </w:rPr>
            </w:pPr>
            <w:r w:rsidRPr="00C53019">
              <w:rPr>
                <w:b/>
                <w:sz w:val="20"/>
                <w:szCs w:val="20"/>
                <w:lang w:val="fr-FR"/>
              </w:rPr>
              <w:t>Détails de la production</w:t>
            </w:r>
          </w:p>
        </w:tc>
        <w:tc>
          <w:tcPr>
            <w:tcW w:w="708" w:type="dxa"/>
          </w:tcPr>
          <w:p w:rsidR="00605AC1" w:rsidRPr="001F1E0E" w:rsidRDefault="00605AC1" w:rsidP="009B3179">
            <w:pPr>
              <w:jc w:val="center"/>
              <w:rPr>
                <w:b/>
                <w:sz w:val="20"/>
                <w:szCs w:val="20"/>
                <w:lang w:val="en-CA"/>
              </w:rPr>
            </w:pPr>
            <w:r w:rsidRPr="001F1E0E">
              <w:rPr>
                <w:b/>
                <w:sz w:val="20"/>
                <w:szCs w:val="20"/>
                <w:lang w:val="en-CA"/>
              </w:rPr>
              <w:t>2016</w:t>
            </w:r>
          </w:p>
        </w:tc>
        <w:tc>
          <w:tcPr>
            <w:tcW w:w="709" w:type="dxa"/>
          </w:tcPr>
          <w:p w:rsidR="00605AC1" w:rsidRPr="001F1E0E" w:rsidRDefault="00605AC1" w:rsidP="009B3179">
            <w:pPr>
              <w:jc w:val="center"/>
              <w:rPr>
                <w:b/>
                <w:sz w:val="20"/>
                <w:szCs w:val="20"/>
                <w:lang w:val="en-CA"/>
              </w:rPr>
            </w:pPr>
            <w:r w:rsidRPr="001F1E0E">
              <w:rPr>
                <w:b/>
                <w:sz w:val="20"/>
                <w:szCs w:val="20"/>
                <w:lang w:val="en-CA"/>
              </w:rPr>
              <w:t>2017</w:t>
            </w:r>
          </w:p>
        </w:tc>
        <w:tc>
          <w:tcPr>
            <w:tcW w:w="708" w:type="dxa"/>
          </w:tcPr>
          <w:p w:rsidR="00605AC1" w:rsidRPr="001F1E0E" w:rsidRDefault="00605AC1" w:rsidP="009B3179">
            <w:pPr>
              <w:jc w:val="center"/>
              <w:rPr>
                <w:b/>
                <w:sz w:val="20"/>
                <w:szCs w:val="20"/>
                <w:lang w:val="en-CA"/>
              </w:rPr>
            </w:pPr>
            <w:r w:rsidRPr="001F1E0E">
              <w:rPr>
                <w:b/>
                <w:sz w:val="20"/>
                <w:szCs w:val="20"/>
                <w:lang w:val="en-CA"/>
              </w:rPr>
              <w:t>2018</w:t>
            </w:r>
          </w:p>
        </w:tc>
      </w:tr>
      <w:tr w:rsidR="00605AC1" w:rsidRPr="001F1E0E" w:rsidTr="000B2C68">
        <w:tc>
          <w:tcPr>
            <w:tcW w:w="1319" w:type="dxa"/>
          </w:tcPr>
          <w:p w:rsidR="00605AC1" w:rsidRPr="00C53019" w:rsidRDefault="00C53019" w:rsidP="005B6FC5">
            <w:pPr>
              <w:rPr>
                <w:sz w:val="20"/>
                <w:szCs w:val="20"/>
                <w:lang w:val="en-CA"/>
              </w:rPr>
            </w:pPr>
            <w:r w:rsidRPr="00C53019">
              <w:rPr>
                <w:sz w:val="20"/>
                <w:szCs w:val="20"/>
                <w:lang w:val="fr-FR"/>
              </w:rPr>
              <w:t>El-Araby</w:t>
            </w:r>
          </w:p>
        </w:tc>
        <w:tc>
          <w:tcPr>
            <w:tcW w:w="949" w:type="dxa"/>
          </w:tcPr>
          <w:p w:rsidR="00605AC1" w:rsidRPr="001F1E0E" w:rsidRDefault="00605AC1" w:rsidP="00605AC1">
            <w:pPr>
              <w:rPr>
                <w:sz w:val="20"/>
                <w:szCs w:val="20"/>
                <w:lang w:val="en-CA"/>
              </w:rPr>
            </w:pPr>
            <w:r w:rsidRPr="001F1E0E">
              <w:rPr>
                <w:sz w:val="20"/>
                <w:szCs w:val="20"/>
                <w:lang w:val="en-CA"/>
              </w:rPr>
              <w:t>2</w:t>
            </w:r>
          </w:p>
        </w:tc>
        <w:tc>
          <w:tcPr>
            <w:tcW w:w="4849" w:type="dxa"/>
          </w:tcPr>
          <w:p w:rsidR="00605AC1" w:rsidRPr="00C3019D" w:rsidRDefault="00C53019" w:rsidP="005B6FC5">
            <w:pPr>
              <w:rPr>
                <w:sz w:val="20"/>
                <w:szCs w:val="20"/>
                <w:lang w:val="fr-FR"/>
              </w:rPr>
            </w:pPr>
            <w:r w:rsidRPr="00C53019">
              <w:rPr>
                <w:sz w:val="20"/>
                <w:szCs w:val="20"/>
                <w:lang w:val="fr-FR"/>
              </w:rPr>
              <w:t>Les deux chaînes de production fonctionnent à différentes vitesses et avec des temps de cycle différents.</w:t>
            </w:r>
            <w:r w:rsidR="00605AC1" w:rsidRPr="00C3019D">
              <w:rPr>
                <w:sz w:val="20"/>
                <w:szCs w:val="20"/>
                <w:lang w:val="fr-FR"/>
              </w:rPr>
              <w:t xml:space="preserve"> </w:t>
            </w:r>
            <w:r w:rsidRPr="00C53019">
              <w:rPr>
                <w:sz w:val="20"/>
                <w:szCs w:val="20"/>
                <w:lang w:val="fr-FR"/>
              </w:rPr>
              <w:t xml:space="preserve">Le test de fuite pour les unités intérieures est </w:t>
            </w:r>
            <w:r w:rsidR="00732221" w:rsidRPr="00C53019">
              <w:rPr>
                <w:sz w:val="20"/>
                <w:szCs w:val="20"/>
                <w:lang w:val="fr-FR"/>
              </w:rPr>
              <w:t>réalisé</w:t>
            </w:r>
            <w:r w:rsidRPr="00C53019">
              <w:rPr>
                <w:sz w:val="20"/>
                <w:szCs w:val="20"/>
                <w:lang w:val="fr-FR"/>
              </w:rPr>
              <w:t xml:space="preserve"> en chargeant une petite quantité de HCFC-22 et en utilisant un détecteur de fuite d</w:t>
            </w:r>
            <w:r w:rsidR="00D77991">
              <w:rPr>
                <w:sz w:val="20"/>
                <w:szCs w:val="20"/>
                <w:lang w:val="fr-FR"/>
              </w:rPr>
              <w:t>’</w:t>
            </w:r>
            <w:r w:rsidRPr="00C53019">
              <w:rPr>
                <w:sz w:val="20"/>
                <w:szCs w:val="20"/>
                <w:lang w:val="fr-FR"/>
              </w:rPr>
              <w:t>halogène.</w:t>
            </w:r>
          </w:p>
        </w:tc>
        <w:tc>
          <w:tcPr>
            <w:tcW w:w="708" w:type="dxa"/>
          </w:tcPr>
          <w:p w:rsidR="00605AC1" w:rsidRPr="001F1E0E" w:rsidRDefault="00605AC1" w:rsidP="00605AC1">
            <w:pPr>
              <w:jc w:val="right"/>
              <w:rPr>
                <w:sz w:val="20"/>
                <w:szCs w:val="20"/>
                <w:lang w:val="en-CA"/>
              </w:rPr>
            </w:pPr>
            <w:r w:rsidRPr="001F1E0E">
              <w:rPr>
                <w:sz w:val="20"/>
                <w:szCs w:val="20"/>
                <w:lang w:val="en-CA"/>
              </w:rPr>
              <w:t>275</w:t>
            </w:r>
          </w:p>
        </w:tc>
        <w:tc>
          <w:tcPr>
            <w:tcW w:w="709" w:type="dxa"/>
          </w:tcPr>
          <w:p w:rsidR="00605AC1" w:rsidRPr="001F1E0E" w:rsidRDefault="00605AC1" w:rsidP="00605AC1">
            <w:pPr>
              <w:jc w:val="right"/>
              <w:rPr>
                <w:sz w:val="20"/>
                <w:szCs w:val="20"/>
                <w:lang w:val="en-CA"/>
              </w:rPr>
            </w:pPr>
            <w:r w:rsidRPr="001F1E0E">
              <w:rPr>
                <w:sz w:val="20"/>
                <w:szCs w:val="20"/>
                <w:lang w:val="en-CA"/>
              </w:rPr>
              <w:t>198</w:t>
            </w:r>
          </w:p>
        </w:tc>
        <w:tc>
          <w:tcPr>
            <w:tcW w:w="708" w:type="dxa"/>
          </w:tcPr>
          <w:p w:rsidR="00605AC1" w:rsidRPr="001F1E0E" w:rsidRDefault="00605AC1" w:rsidP="00605AC1">
            <w:pPr>
              <w:jc w:val="right"/>
              <w:rPr>
                <w:sz w:val="20"/>
                <w:szCs w:val="20"/>
                <w:lang w:val="en-CA"/>
              </w:rPr>
            </w:pPr>
            <w:r w:rsidRPr="001F1E0E">
              <w:rPr>
                <w:sz w:val="20"/>
                <w:szCs w:val="20"/>
                <w:lang w:val="en-CA"/>
              </w:rPr>
              <w:t>212</w:t>
            </w:r>
          </w:p>
        </w:tc>
      </w:tr>
      <w:tr w:rsidR="00605AC1" w:rsidRPr="001F1E0E" w:rsidTr="000B2C68">
        <w:tc>
          <w:tcPr>
            <w:tcW w:w="1319" w:type="dxa"/>
          </w:tcPr>
          <w:p w:rsidR="00605AC1" w:rsidRPr="00C53019" w:rsidRDefault="00C53019" w:rsidP="005B6FC5">
            <w:pPr>
              <w:rPr>
                <w:sz w:val="20"/>
                <w:szCs w:val="20"/>
                <w:lang w:val="en-CA"/>
              </w:rPr>
            </w:pPr>
            <w:r w:rsidRPr="00C53019">
              <w:rPr>
                <w:sz w:val="20"/>
                <w:szCs w:val="20"/>
                <w:lang w:val="fr-FR"/>
              </w:rPr>
              <w:t>Fresh</w:t>
            </w:r>
          </w:p>
        </w:tc>
        <w:tc>
          <w:tcPr>
            <w:tcW w:w="949" w:type="dxa"/>
          </w:tcPr>
          <w:p w:rsidR="00605AC1" w:rsidRPr="001F1E0E" w:rsidRDefault="00605AC1" w:rsidP="00605AC1">
            <w:pPr>
              <w:rPr>
                <w:sz w:val="20"/>
                <w:szCs w:val="20"/>
                <w:lang w:val="en-CA"/>
              </w:rPr>
            </w:pPr>
            <w:r w:rsidRPr="001F1E0E">
              <w:rPr>
                <w:sz w:val="20"/>
                <w:szCs w:val="20"/>
                <w:lang w:val="en-CA"/>
              </w:rPr>
              <w:t>2</w:t>
            </w:r>
          </w:p>
        </w:tc>
        <w:tc>
          <w:tcPr>
            <w:tcW w:w="4849" w:type="dxa"/>
          </w:tcPr>
          <w:p w:rsidR="00605AC1" w:rsidRPr="00C3019D" w:rsidRDefault="00C53019" w:rsidP="005B6FC5">
            <w:pPr>
              <w:rPr>
                <w:sz w:val="20"/>
                <w:szCs w:val="20"/>
                <w:lang w:val="fr-FR"/>
              </w:rPr>
            </w:pPr>
            <w:r w:rsidRPr="00C53019">
              <w:rPr>
                <w:sz w:val="20"/>
                <w:szCs w:val="20"/>
                <w:lang w:val="fr-FR"/>
              </w:rPr>
              <w:t>Les deux chaînes de production ont la même vitesse et le même</w:t>
            </w:r>
            <w:r w:rsidR="00D77991">
              <w:rPr>
                <w:sz w:val="20"/>
                <w:szCs w:val="20"/>
                <w:lang w:val="fr-FR"/>
              </w:rPr>
              <w:t xml:space="preserve"> </w:t>
            </w:r>
            <w:r w:rsidRPr="00C53019">
              <w:rPr>
                <w:sz w:val="20"/>
                <w:szCs w:val="20"/>
                <w:lang w:val="fr-FR"/>
              </w:rPr>
              <w:t>temps de cycle.</w:t>
            </w:r>
            <w:r w:rsidR="00605AC1" w:rsidRPr="00C3019D">
              <w:rPr>
                <w:sz w:val="20"/>
                <w:szCs w:val="20"/>
                <w:lang w:val="fr-FR"/>
              </w:rPr>
              <w:t xml:space="preserve"> </w:t>
            </w:r>
            <w:r w:rsidRPr="00C53019">
              <w:rPr>
                <w:sz w:val="20"/>
                <w:szCs w:val="20"/>
                <w:lang w:val="fr-FR"/>
              </w:rPr>
              <w:t>Fresh utilise des chambres de tests d</w:t>
            </w:r>
            <w:r w:rsidR="00D77991">
              <w:rPr>
                <w:sz w:val="20"/>
                <w:szCs w:val="20"/>
                <w:lang w:val="fr-FR"/>
              </w:rPr>
              <w:t>’</w:t>
            </w:r>
            <w:r w:rsidRPr="00C53019">
              <w:rPr>
                <w:sz w:val="20"/>
                <w:szCs w:val="20"/>
                <w:lang w:val="fr-FR"/>
              </w:rPr>
              <w:t>étanchéité à l</w:t>
            </w:r>
            <w:r w:rsidR="00D77991">
              <w:rPr>
                <w:sz w:val="20"/>
                <w:szCs w:val="20"/>
                <w:lang w:val="fr-FR"/>
              </w:rPr>
              <w:t>’</w:t>
            </w:r>
            <w:r w:rsidRPr="00C53019">
              <w:rPr>
                <w:sz w:val="20"/>
                <w:szCs w:val="20"/>
                <w:lang w:val="fr-FR"/>
              </w:rPr>
              <w:t>hélium pour les unités intérieures.</w:t>
            </w:r>
          </w:p>
        </w:tc>
        <w:tc>
          <w:tcPr>
            <w:tcW w:w="708" w:type="dxa"/>
          </w:tcPr>
          <w:p w:rsidR="00605AC1" w:rsidRPr="001F1E0E" w:rsidRDefault="00605AC1" w:rsidP="00605AC1">
            <w:pPr>
              <w:jc w:val="right"/>
              <w:rPr>
                <w:sz w:val="20"/>
                <w:szCs w:val="20"/>
                <w:lang w:val="en-CA"/>
              </w:rPr>
            </w:pPr>
            <w:r w:rsidRPr="001F1E0E">
              <w:rPr>
                <w:sz w:val="20"/>
                <w:szCs w:val="20"/>
                <w:lang w:val="en-CA"/>
              </w:rPr>
              <w:t>136</w:t>
            </w:r>
          </w:p>
        </w:tc>
        <w:tc>
          <w:tcPr>
            <w:tcW w:w="709" w:type="dxa"/>
          </w:tcPr>
          <w:p w:rsidR="00605AC1" w:rsidRPr="001F1E0E" w:rsidRDefault="00605AC1" w:rsidP="00605AC1">
            <w:pPr>
              <w:jc w:val="right"/>
              <w:rPr>
                <w:sz w:val="20"/>
                <w:szCs w:val="20"/>
                <w:lang w:val="en-CA"/>
              </w:rPr>
            </w:pPr>
            <w:r w:rsidRPr="001F1E0E">
              <w:rPr>
                <w:sz w:val="20"/>
                <w:szCs w:val="20"/>
                <w:lang w:val="en-CA"/>
              </w:rPr>
              <w:t>142</w:t>
            </w:r>
          </w:p>
        </w:tc>
        <w:tc>
          <w:tcPr>
            <w:tcW w:w="708" w:type="dxa"/>
          </w:tcPr>
          <w:p w:rsidR="00605AC1" w:rsidRPr="001F1E0E" w:rsidRDefault="00605AC1" w:rsidP="00605AC1">
            <w:pPr>
              <w:jc w:val="right"/>
              <w:rPr>
                <w:sz w:val="20"/>
                <w:szCs w:val="20"/>
                <w:lang w:val="en-CA"/>
              </w:rPr>
            </w:pPr>
            <w:r w:rsidRPr="001F1E0E">
              <w:rPr>
                <w:sz w:val="20"/>
                <w:szCs w:val="20"/>
                <w:lang w:val="en-CA"/>
              </w:rPr>
              <w:t>147</w:t>
            </w:r>
          </w:p>
        </w:tc>
      </w:tr>
      <w:tr w:rsidR="00605AC1" w:rsidRPr="001F1E0E" w:rsidTr="000B2C68">
        <w:tc>
          <w:tcPr>
            <w:tcW w:w="1319" w:type="dxa"/>
          </w:tcPr>
          <w:p w:rsidR="00605AC1" w:rsidRPr="00C53019" w:rsidRDefault="00C53019" w:rsidP="005B6FC5">
            <w:pPr>
              <w:rPr>
                <w:sz w:val="20"/>
                <w:szCs w:val="20"/>
                <w:lang w:val="en-CA"/>
              </w:rPr>
            </w:pPr>
            <w:r w:rsidRPr="00C53019">
              <w:rPr>
                <w:sz w:val="20"/>
                <w:szCs w:val="20"/>
                <w:lang w:val="fr-FR"/>
              </w:rPr>
              <w:t>Miraco</w:t>
            </w:r>
          </w:p>
        </w:tc>
        <w:tc>
          <w:tcPr>
            <w:tcW w:w="949" w:type="dxa"/>
          </w:tcPr>
          <w:p w:rsidR="00605AC1" w:rsidRPr="001F1E0E" w:rsidRDefault="00605AC1" w:rsidP="00605AC1">
            <w:pPr>
              <w:rPr>
                <w:sz w:val="20"/>
                <w:szCs w:val="20"/>
                <w:lang w:val="en-CA"/>
              </w:rPr>
            </w:pPr>
            <w:r w:rsidRPr="001F1E0E">
              <w:rPr>
                <w:sz w:val="20"/>
                <w:szCs w:val="20"/>
                <w:lang w:val="en-CA"/>
              </w:rPr>
              <w:t>3</w:t>
            </w:r>
          </w:p>
        </w:tc>
        <w:tc>
          <w:tcPr>
            <w:tcW w:w="4849" w:type="dxa"/>
          </w:tcPr>
          <w:p w:rsidR="00605AC1" w:rsidRPr="00C3019D" w:rsidRDefault="00C53019" w:rsidP="005B6FC5">
            <w:pPr>
              <w:rPr>
                <w:sz w:val="20"/>
                <w:szCs w:val="20"/>
                <w:lang w:val="fr-FR"/>
              </w:rPr>
            </w:pPr>
            <w:r w:rsidRPr="00C53019">
              <w:rPr>
                <w:sz w:val="20"/>
                <w:szCs w:val="20"/>
                <w:lang w:val="fr-FR"/>
              </w:rPr>
              <w:t>Les trois chaînes de production ont la même vitesse et le même</w:t>
            </w:r>
            <w:r w:rsidR="00D77991">
              <w:rPr>
                <w:sz w:val="20"/>
                <w:szCs w:val="20"/>
                <w:lang w:val="fr-FR"/>
              </w:rPr>
              <w:t xml:space="preserve"> </w:t>
            </w:r>
            <w:r w:rsidRPr="00C53019">
              <w:rPr>
                <w:sz w:val="20"/>
                <w:szCs w:val="20"/>
                <w:lang w:val="fr-FR"/>
              </w:rPr>
              <w:t>temps de cycle.</w:t>
            </w:r>
            <w:r w:rsidR="00605AC1" w:rsidRPr="00C3019D">
              <w:rPr>
                <w:sz w:val="20"/>
                <w:szCs w:val="20"/>
                <w:lang w:val="fr-FR"/>
              </w:rPr>
              <w:t xml:space="preserve"> </w:t>
            </w:r>
            <w:r w:rsidRPr="00C53019">
              <w:rPr>
                <w:sz w:val="20"/>
                <w:szCs w:val="20"/>
                <w:lang w:val="fr-FR"/>
              </w:rPr>
              <w:t>Miraco utilise des chambres de tests d</w:t>
            </w:r>
            <w:r w:rsidR="00D77991">
              <w:rPr>
                <w:sz w:val="20"/>
                <w:szCs w:val="20"/>
                <w:lang w:val="fr-FR"/>
              </w:rPr>
              <w:t>’</w:t>
            </w:r>
            <w:r w:rsidRPr="00C53019">
              <w:rPr>
                <w:sz w:val="20"/>
                <w:szCs w:val="20"/>
                <w:lang w:val="fr-FR"/>
              </w:rPr>
              <w:t>étanchéité à l</w:t>
            </w:r>
            <w:r w:rsidR="00D77991">
              <w:rPr>
                <w:sz w:val="20"/>
                <w:szCs w:val="20"/>
                <w:lang w:val="fr-FR"/>
              </w:rPr>
              <w:t>’</w:t>
            </w:r>
            <w:r w:rsidRPr="00C53019">
              <w:rPr>
                <w:sz w:val="20"/>
                <w:szCs w:val="20"/>
                <w:lang w:val="fr-FR"/>
              </w:rPr>
              <w:t>hélium pour les unités intérieures.</w:t>
            </w:r>
          </w:p>
        </w:tc>
        <w:tc>
          <w:tcPr>
            <w:tcW w:w="708" w:type="dxa"/>
          </w:tcPr>
          <w:p w:rsidR="00605AC1" w:rsidRPr="001F1E0E" w:rsidRDefault="00605AC1" w:rsidP="00605AC1">
            <w:pPr>
              <w:jc w:val="right"/>
              <w:rPr>
                <w:sz w:val="20"/>
                <w:szCs w:val="20"/>
                <w:lang w:val="en-CA"/>
              </w:rPr>
            </w:pPr>
            <w:r w:rsidRPr="001F1E0E">
              <w:rPr>
                <w:sz w:val="20"/>
                <w:szCs w:val="20"/>
                <w:lang w:val="en-CA"/>
              </w:rPr>
              <w:t>396</w:t>
            </w:r>
          </w:p>
        </w:tc>
        <w:tc>
          <w:tcPr>
            <w:tcW w:w="709" w:type="dxa"/>
          </w:tcPr>
          <w:p w:rsidR="00605AC1" w:rsidRPr="001F1E0E" w:rsidRDefault="00605AC1" w:rsidP="00605AC1">
            <w:pPr>
              <w:jc w:val="right"/>
              <w:rPr>
                <w:sz w:val="20"/>
                <w:szCs w:val="20"/>
                <w:lang w:val="en-CA"/>
              </w:rPr>
            </w:pPr>
            <w:r w:rsidRPr="001F1E0E">
              <w:rPr>
                <w:sz w:val="20"/>
                <w:szCs w:val="20"/>
                <w:lang w:val="en-CA"/>
              </w:rPr>
              <w:t>359</w:t>
            </w:r>
          </w:p>
        </w:tc>
        <w:tc>
          <w:tcPr>
            <w:tcW w:w="708" w:type="dxa"/>
          </w:tcPr>
          <w:p w:rsidR="00605AC1" w:rsidRPr="001F1E0E" w:rsidRDefault="00605AC1" w:rsidP="00605AC1">
            <w:pPr>
              <w:jc w:val="right"/>
              <w:rPr>
                <w:sz w:val="20"/>
                <w:szCs w:val="20"/>
                <w:lang w:val="en-CA"/>
              </w:rPr>
            </w:pPr>
            <w:r w:rsidRPr="001F1E0E">
              <w:rPr>
                <w:sz w:val="20"/>
                <w:szCs w:val="20"/>
                <w:lang w:val="en-CA"/>
              </w:rPr>
              <w:t>366</w:t>
            </w:r>
          </w:p>
        </w:tc>
      </w:tr>
      <w:tr w:rsidR="00605AC1" w:rsidRPr="001F1E0E" w:rsidTr="000B2C68">
        <w:tc>
          <w:tcPr>
            <w:tcW w:w="1319" w:type="dxa"/>
          </w:tcPr>
          <w:p w:rsidR="00605AC1" w:rsidRPr="00C53019" w:rsidRDefault="00C53019" w:rsidP="005B6FC5">
            <w:pPr>
              <w:keepNext/>
              <w:rPr>
                <w:sz w:val="20"/>
                <w:szCs w:val="20"/>
                <w:lang w:val="en-CA"/>
              </w:rPr>
            </w:pPr>
            <w:r w:rsidRPr="00C53019">
              <w:rPr>
                <w:sz w:val="20"/>
                <w:szCs w:val="20"/>
                <w:lang w:val="fr-FR"/>
              </w:rPr>
              <w:t>Power</w:t>
            </w:r>
          </w:p>
        </w:tc>
        <w:tc>
          <w:tcPr>
            <w:tcW w:w="949" w:type="dxa"/>
          </w:tcPr>
          <w:p w:rsidR="00605AC1" w:rsidRPr="001F1E0E" w:rsidRDefault="00605AC1" w:rsidP="00A1290A">
            <w:pPr>
              <w:keepNext/>
              <w:rPr>
                <w:sz w:val="20"/>
                <w:szCs w:val="20"/>
                <w:lang w:val="en-CA"/>
              </w:rPr>
            </w:pPr>
            <w:r w:rsidRPr="001F1E0E">
              <w:rPr>
                <w:sz w:val="20"/>
                <w:szCs w:val="20"/>
                <w:lang w:val="en-CA"/>
              </w:rPr>
              <w:t>1</w:t>
            </w:r>
          </w:p>
        </w:tc>
        <w:tc>
          <w:tcPr>
            <w:tcW w:w="4849" w:type="dxa"/>
          </w:tcPr>
          <w:p w:rsidR="00605AC1" w:rsidRPr="00C3019D" w:rsidRDefault="00C53019" w:rsidP="005B6FC5">
            <w:pPr>
              <w:keepNext/>
              <w:rPr>
                <w:sz w:val="20"/>
                <w:szCs w:val="20"/>
                <w:lang w:val="fr-FR"/>
              </w:rPr>
            </w:pPr>
            <w:r w:rsidRPr="00C53019">
              <w:rPr>
                <w:sz w:val="20"/>
                <w:szCs w:val="20"/>
                <w:lang w:val="fr-FR"/>
              </w:rPr>
              <w:t>La chaîne de fabrication fonctionne avec un temps de cycle d</w:t>
            </w:r>
            <w:r w:rsidR="00D77991">
              <w:rPr>
                <w:sz w:val="20"/>
                <w:szCs w:val="20"/>
                <w:lang w:val="fr-FR"/>
              </w:rPr>
              <w:t>’</w:t>
            </w:r>
            <w:r w:rsidRPr="00C53019">
              <w:rPr>
                <w:sz w:val="20"/>
                <w:szCs w:val="20"/>
                <w:lang w:val="fr-FR"/>
              </w:rPr>
              <w:t>environ 70s.</w:t>
            </w:r>
            <w:r w:rsidR="00605AC1" w:rsidRPr="00C3019D">
              <w:rPr>
                <w:sz w:val="20"/>
                <w:szCs w:val="20"/>
                <w:lang w:val="fr-FR"/>
              </w:rPr>
              <w:t xml:space="preserve"> </w:t>
            </w:r>
            <w:r w:rsidRPr="00C53019">
              <w:rPr>
                <w:sz w:val="20"/>
                <w:szCs w:val="20"/>
                <w:lang w:val="fr-FR"/>
              </w:rPr>
              <w:t>La même chaîne est utilisée pour la production des unités extérieures et intérieures.</w:t>
            </w:r>
            <w:r w:rsidR="00605AC1" w:rsidRPr="00C3019D">
              <w:rPr>
                <w:sz w:val="20"/>
                <w:szCs w:val="20"/>
                <w:lang w:val="fr-FR"/>
              </w:rPr>
              <w:t xml:space="preserve"> </w:t>
            </w:r>
            <w:r w:rsidRPr="00C53019">
              <w:rPr>
                <w:sz w:val="20"/>
                <w:szCs w:val="20"/>
                <w:lang w:val="fr-FR"/>
              </w:rPr>
              <w:t xml:space="preserve">Le test de fuite pour les unités intérieures est </w:t>
            </w:r>
            <w:r w:rsidR="00732221" w:rsidRPr="00C53019">
              <w:rPr>
                <w:sz w:val="20"/>
                <w:szCs w:val="20"/>
                <w:lang w:val="fr-FR"/>
              </w:rPr>
              <w:t>réalisé</w:t>
            </w:r>
            <w:r w:rsidRPr="00C53019">
              <w:rPr>
                <w:sz w:val="20"/>
                <w:szCs w:val="20"/>
                <w:lang w:val="fr-FR"/>
              </w:rPr>
              <w:t xml:space="preserve"> en chargeant une petite quantité de HCFC-22 et en utilisant un détecteur de fuite d</w:t>
            </w:r>
            <w:r w:rsidR="00D77991">
              <w:rPr>
                <w:sz w:val="20"/>
                <w:szCs w:val="20"/>
                <w:lang w:val="fr-FR"/>
              </w:rPr>
              <w:t>’</w:t>
            </w:r>
            <w:r w:rsidRPr="00C53019">
              <w:rPr>
                <w:sz w:val="20"/>
                <w:szCs w:val="20"/>
                <w:lang w:val="fr-FR"/>
              </w:rPr>
              <w:t>halogène.</w:t>
            </w:r>
            <w:r w:rsidR="00D77991" w:rsidRPr="00C3019D">
              <w:rPr>
                <w:sz w:val="20"/>
                <w:szCs w:val="20"/>
                <w:lang w:val="fr-FR"/>
              </w:rPr>
              <w:t xml:space="preserve"> </w:t>
            </w:r>
          </w:p>
        </w:tc>
        <w:tc>
          <w:tcPr>
            <w:tcW w:w="708" w:type="dxa"/>
          </w:tcPr>
          <w:p w:rsidR="00605AC1" w:rsidRPr="001F1E0E" w:rsidRDefault="00605AC1" w:rsidP="00A1290A">
            <w:pPr>
              <w:keepNext/>
              <w:jc w:val="right"/>
              <w:rPr>
                <w:sz w:val="20"/>
                <w:szCs w:val="20"/>
                <w:lang w:val="en-CA"/>
              </w:rPr>
            </w:pPr>
            <w:r w:rsidRPr="001F1E0E">
              <w:rPr>
                <w:sz w:val="20"/>
                <w:szCs w:val="20"/>
                <w:lang w:val="en-CA"/>
              </w:rPr>
              <w:t>50</w:t>
            </w:r>
          </w:p>
        </w:tc>
        <w:tc>
          <w:tcPr>
            <w:tcW w:w="709" w:type="dxa"/>
          </w:tcPr>
          <w:p w:rsidR="00605AC1" w:rsidRPr="001F1E0E" w:rsidRDefault="00605AC1" w:rsidP="00A1290A">
            <w:pPr>
              <w:keepNext/>
              <w:jc w:val="right"/>
              <w:rPr>
                <w:sz w:val="20"/>
                <w:szCs w:val="20"/>
                <w:lang w:val="en-CA"/>
              </w:rPr>
            </w:pPr>
            <w:r w:rsidRPr="001F1E0E">
              <w:rPr>
                <w:sz w:val="20"/>
                <w:szCs w:val="20"/>
                <w:lang w:val="en-CA"/>
              </w:rPr>
              <w:t>43</w:t>
            </w:r>
          </w:p>
        </w:tc>
        <w:tc>
          <w:tcPr>
            <w:tcW w:w="708" w:type="dxa"/>
          </w:tcPr>
          <w:p w:rsidR="00605AC1" w:rsidRPr="001F1E0E" w:rsidRDefault="00605AC1" w:rsidP="00A1290A">
            <w:pPr>
              <w:keepNext/>
              <w:jc w:val="right"/>
              <w:rPr>
                <w:sz w:val="20"/>
                <w:szCs w:val="20"/>
                <w:lang w:val="en-CA"/>
              </w:rPr>
            </w:pPr>
            <w:r w:rsidRPr="001F1E0E">
              <w:rPr>
                <w:sz w:val="20"/>
                <w:szCs w:val="20"/>
                <w:lang w:val="en-CA"/>
              </w:rPr>
              <w:t>45</w:t>
            </w:r>
          </w:p>
        </w:tc>
      </w:tr>
      <w:tr w:rsidR="00605AC1" w:rsidRPr="001F1E0E" w:rsidTr="000B2C68">
        <w:tc>
          <w:tcPr>
            <w:tcW w:w="1319" w:type="dxa"/>
          </w:tcPr>
          <w:p w:rsidR="00605AC1" w:rsidRPr="00C53019" w:rsidRDefault="00C53019" w:rsidP="005B6FC5">
            <w:pPr>
              <w:rPr>
                <w:sz w:val="20"/>
                <w:szCs w:val="20"/>
                <w:lang w:val="en-CA"/>
              </w:rPr>
            </w:pPr>
            <w:r w:rsidRPr="00C53019">
              <w:rPr>
                <w:sz w:val="20"/>
                <w:szCs w:val="20"/>
                <w:lang w:val="fr-FR"/>
              </w:rPr>
              <w:t>Unionaire</w:t>
            </w:r>
          </w:p>
        </w:tc>
        <w:tc>
          <w:tcPr>
            <w:tcW w:w="949" w:type="dxa"/>
          </w:tcPr>
          <w:p w:rsidR="00605AC1" w:rsidRPr="001F1E0E" w:rsidRDefault="00605AC1" w:rsidP="00605AC1">
            <w:pPr>
              <w:rPr>
                <w:sz w:val="20"/>
                <w:szCs w:val="20"/>
                <w:lang w:val="en-CA"/>
              </w:rPr>
            </w:pPr>
            <w:r w:rsidRPr="001F1E0E">
              <w:rPr>
                <w:sz w:val="20"/>
                <w:szCs w:val="20"/>
                <w:lang w:val="en-CA"/>
              </w:rPr>
              <w:t>2</w:t>
            </w:r>
          </w:p>
        </w:tc>
        <w:tc>
          <w:tcPr>
            <w:tcW w:w="4849" w:type="dxa"/>
          </w:tcPr>
          <w:p w:rsidR="00605AC1" w:rsidRPr="00C3019D" w:rsidRDefault="00C53019" w:rsidP="005B6FC5">
            <w:pPr>
              <w:rPr>
                <w:sz w:val="20"/>
                <w:szCs w:val="20"/>
                <w:lang w:val="fr-FR"/>
              </w:rPr>
            </w:pPr>
            <w:r w:rsidRPr="00C53019">
              <w:rPr>
                <w:sz w:val="20"/>
                <w:szCs w:val="20"/>
                <w:lang w:val="fr-FR"/>
              </w:rPr>
              <w:t>La chaîne de fabrication fonctionne avec un temps de cycle d</w:t>
            </w:r>
            <w:r w:rsidR="00D77991">
              <w:rPr>
                <w:sz w:val="20"/>
                <w:szCs w:val="20"/>
                <w:lang w:val="fr-FR"/>
              </w:rPr>
              <w:t>’</w:t>
            </w:r>
            <w:r w:rsidRPr="00C53019">
              <w:rPr>
                <w:sz w:val="20"/>
                <w:szCs w:val="20"/>
                <w:lang w:val="fr-FR"/>
              </w:rPr>
              <w:t>environ 40s.</w:t>
            </w:r>
            <w:r w:rsidR="00605AC1" w:rsidRPr="00C3019D">
              <w:rPr>
                <w:sz w:val="20"/>
                <w:szCs w:val="20"/>
                <w:lang w:val="fr-FR"/>
              </w:rPr>
              <w:t xml:space="preserve"> </w:t>
            </w:r>
            <w:r w:rsidRPr="00C53019">
              <w:rPr>
                <w:sz w:val="20"/>
                <w:szCs w:val="20"/>
                <w:lang w:val="fr-FR"/>
              </w:rPr>
              <w:t xml:space="preserve">Le test de fuite pour les unités intérieures est </w:t>
            </w:r>
            <w:r w:rsidR="00732221" w:rsidRPr="00C53019">
              <w:rPr>
                <w:sz w:val="20"/>
                <w:szCs w:val="20"/>
                <w:lang w:val="fr-FR"/>
              </w:rPr>
              <w:t>réalisé</w:t>
            </w:r>
            <w:r w:rsidRPr="00C53019">
              <w:rPr>
                <w:sz w:val="20"/>
                <w:szCs w:val="20"/>
                <w:lang w:val="fr-FR"/>
              </w:rPr>
              <w:t xml:space="preserve"> en chargeant une petite quantité de HCFC-22 et en utilisant un détecteur de fuite d</w:t>
            </w:r>
            <w:r w:rsidR="00D77991">
              <w:rPr>
                <w:sz w:val="20"/>
                <w:szCs w:val="20"/>
                <w:lang w:val="fr-FR"/>
              </w:rPr>
              <w:t>’</w:t>
            </w:r>
            <w:r w:rsidRPr="00C53019">
              <w:rPr>
                <w:sz w:val="20"/>
                <w:szCs w:val="20"/>
                <w:lang w:val="fr-FR"/>
              </w:rPr>
              <w:t>halogène.</w:t>
            </w:r>
          </w:p>
        </w:tc>
        <w:tc>
          <w:tcPr>
            <w:tcW w:w="708" w:type="dxa"/>
          </w:tcPr>
          <w:p w:rsidR="00605AC1" w:rsidRPr="001F1E0E" w:rsidRDefault="00605AC1" w:rsidP="00605AC1">
            <w:pPr>
              <w:jc w:val="right"/>
              <w:rPr>
                <w:sz w:val="20"/>
                <w:szCs w:val="20"/>
                <w:lang w:val="en-CA"/>
              </w:rPr>
            </w:pPr>
            <w:r w:rsidRPr="001F1E0E">
              <w:rPr>
                <w:sz w:val="20"/>
                <w:szCs w:val="20"/>
                <w:lang w:val="en-CA"/>
              </w:rPr>
              <w:t>600</w:t>
            </w:r>
          </w:p>
        </w:tc>
        <w:tc>
          <w:tcPr>
            <w:tcW w:w="709" w:type="dxa"/>
          </w:tcPr>
          <w:p w:rsidR="00605AC1" w:rsidRPr="001F1E0E" w:rsidRDefault="00605AC1" w:rsidP="00605AC1">
            <w:pPr>
              <w:jc w:val="right"/>
              <w:rPr>
                <w:sz w:val="20"/>
                <w:szCs w:val="20"/>
                <w:lang w:val="en-CA"/>
              </w:rPr>
            </w:pPr>
            <w:r w:rsidRPr="001F1E0E">
              <w:rPr>
                <w:sz w:val="20"/>
                <w:szCs w:val="20"/>
                <w:lang w:val="en-CA"/>
              </w:rPr>
              <w:t>360</w:t>
            </w:r>
          </w:p>
        </w:tc>
        <w:tc>
          <w:tcPr>
            <w:tcW w:w="708" w:type="dxa"/>
          </w:tcPr>
          <w:p w:rsidR="00605AC1" w:rsidRPr="001F1E0E" w:rsidRDefault="00605AC1" w:rsidP="00605AC1">
            <w:pPr>
              <w:jc w:val="right"/>
              <w:rPr>
                <w:sz w:val="20"/>
                <w:szCs w:val="20"/>
                <w:lang w:val="en-CA"/>
              </w:rPr>
            </w:pPr>
            <w:r w:rsidRPr="001F1E0E">
              <w:rPr>
                <w:sz w:val="20"/>
                <w:szCs w:val="20"/>
                <w:lang w:val="en-CA"/>
              </w:rPr>
              <w:t>240</w:t>
            </w:r>
          </w:p>
        </w:tc>
      </w:tr>
    </w:tbl>
    <w:p w:rsidR="00043949" w:rsidRPr="001F1E0E" w:rsidRDefault="00043949" w:rsidP="00043949">
      <w:pPr>
        <w:rPr>
          <w:lang w:val="en-CA"/>
        </w:rPr>
      </w:pPr>
    </w:p>
    <w:p w:rsidR="00093F0D" w:rsidRPr="00C3019D" w:rsidRDefault="000E3610" w:rsidP="00093F0D">
      <w:pPr>
        <w:pStyle w:val="Heading1"/>
        <w:rPr>
          <w:lang w:val="fr-FR"/>
        </w:rPr>
      </w:pPr>
      <w:r>
        <w:rPr>
          <w:lang w:val="fr-FR"/>
        </w:rPr>
        <w:t>L</w:t>
      </w:r>
      <w:r w:rsidR="00093F0D" w:rsidRPr="00093F0D">
        <w:rPr>
          <w:lang w:val="fr-FR"/>
        </w:rPr>
        <w:t xml:space="preserve">es processus et </w:t>
      </w:r>
      <w:r>
        <w:rPr>
          <w:lang w:val="fr-FR"/>
        </w:rPr>
        <w:t>l</w:t>
      </w:r>
      <w:r w:rsidR="00093F0D" w:rsidRPr="00093F0D">
        <w:rPr>
          <w:lang w:val="fr-FR"/>
        </w:rPr>
        <w:t xml:space="preserve">es zones de tests </w:t>
      </w:r>
      <w:r>
        <w:rPr>
          <w:lang w:val="fr-FR"/>
        </w:rPr>
        <w:t xml:space="preserve">suivants </w:t>
      </w:r>
      <w:r w:rsidR="00093F0D" w:rsidRPr="00093F0D">
        <w:rPr>
          <w:lang w:val="fr-FR"/>
        </w:rPr>
        <w:t>des installations de l</w:t>
      </w:r>
      <w:r w:rsidR="00D77991">
        <w:rPr>
          <w:lang w:val="fr-FR"/>
        </w:rPr>
        <w:t>’</w:t>
      </w:r>
      <w:r w:rsidR="00093F0D" w:rsidRPr="00093F0D">
        <w:rPr>
          <w:lang w:val="fr-FR"/>
        </w:rPr>
        <w:t>usine seront impactés par la reconversion à des frigorigènes inflammables, à savoir : les tests de fuite (chaîne de fabrication de</w:t>
      </w:r>
      <w:r>
        <w:rPr>
          <w:lang w:val="fr-FR"/>
        </w:rPr>
        <w:t xml:space="preserve">s </w:t>
      </w:r>
      <w:r w:rsidR="00093F0D" w:rsidRPr="00093F0D">
        <w:rPr>
          <w:lang w:val="fr-FR"/>
        </w:rPr>
        <w:t>unité</w:t>
      </w:r>
      <w:r>
        <w:rPr>
          <w:lang w:val="fr-FR"/>
        </w:rPr>
        <w:t>s</w:t>
      </w:r>
      <w:r w:rsidR="00093F0D" w:rsidRPr="00093F0D">
        <w:rPr>
          <w:lang w:val="fr-FR"/>
        </w:rPr>
        <w:t xml:space="preserve"> intérieure</w:t>
      </w:r>
      <w:r>
        <w:rPr>
          <w:lang w:val="fr-FR"/>
        </w:rPr>
        <w:t>s</w:t>
      </w:r>
      <w:r w:rsidR="00093F0D" w:rsidRPr="00093F0D">
        <w:rPr>
          <w:lang w:val="fr-FR"/>
        </w:rPr>
        <w:t>), système</w:t>
      </w:r>
      <w:r>
        <w:rPr>
          <w:lang w:val="fr-FR"/>
        </w:rPr>
        <w:t>s</w:t>
      </w:r>
      <w:r w:rsidR="00093F0D" w:rsidRPr="00093F0D">
        <w:rPr>
          <w:lang w:val="fr-FR"/>
        </w:rPr>
        <w:t xml:space="preserve"> de vide (chaîne de fabrication de</w:t>
      </w:r>
      <w:r>
        <w:rPr>
          <w:lang w:val="fr-FR"/>
        </w:rPr>
        <w:t xml:space="preserve">s </w:t>
      </w:r>
      <w:r w:rsidR="00093F0D" w:rsidRPr="00093F0D">
        <w:rPr>
          <w:lang w:val="fr-FR"/>
        </w:rPr>
        <w:t>unité</w:t>
      </w:r>
      <w:r>
        <w:rPr>
          <w:lang w:val="fr-FR"/>
        </w:rPr>
        <w:t>s</w:t>
      </w:r>
      <w:r w:rsidR="00093F0D" w:rsidRPr="00093F0D">
        <w:rPr>
          <w:lang w:val="fr-FR"/>
        </w:rPr>
        <w:t xml:space="preserve"> extérieure</w:t>
      </w:r>
      <w:r>
        <w:rPr>
          <w:lang w:val="fr-FR"/>
        </w:rPr>
        <w:t>s</w:t>
      </w:r>
      <w:r w:rsidR="00093F0D" w:rsidRPr="00093F0D">
        <w:rPr>
          <w:lang w:val="fr-FR"/>
        </w:rPr>
        <w:t>), stockage des</w:t>
      </w:r>
      <w:r w:rsidR="00D77991">
        <w:rPr>
          <w:lang w:val="fr-FR"/>
        </w:rPr>
        <w:t xml:space="preserve"> </w:t>
      </w:r>
      <w:r>
        <w:rPr>
          <w:lang w:val="fr-FR"/>
        </w:rPr>
        <w:t xml:space="preserve">frigorigènes </w:t>
      </w:r>
      <w:r w:rsidR="00093F0D" w:rsidRPr="00093F0D">
        <w:rPr>
          <w:lang w:val="fr-FR"/>
        </w:rPr>
        <w:t xml:space="preserve">et systèmes </w:t>
      </w:r>
      <w:r w:rsidR="00093F0D" w:rsidRPr="00AD0459">
        <w:rPr>
          <w:lang w:val="fr-FR"/>
        </w:rPr>
        <w:t>d</w:t>
      </w:r>
      <w:r w:rsidR="00D77991" w:rsidRPr="00AD0459">
        <w:rPr>
          <w:lang w:val="fr-FR"/>
        </w:rPr>
        <w:t>’</w:t>
      </w:r>
      <w:r w:rsidR="00093F0D" w:rsidRPr="00AD0459">
        <w:rPr>
          <w:lang w:val="fr-FR"/>
        </w:rPr>
        <w:t xml:space="preserve">approvisionnement, systèmes de chargement des frigorigènes (chaîne de fabrication </w:t>
      </w:r>
      <w:r w:rsidRPr="00AD0459">
        <w:rPr>
          <w:lang w:val="fr-FR"/>
        </w:rPr>
        <w:t>des unités extérieures</w:t>
      </w:r>
      <w:r w:rsidR="00093F0D" w:rsidRPr="00AD0459">
        <w:rPr>
          <w:lang w:val="fr-FR"/>
        </w:rPr>
        <w:t xml:space="preserve">), matériel de soudage (chaîne de fabrication </w:t>
      </w:r>
      <w:r w:rsidRPr="00AD0459">
        <w:rPr>
          <w:lang w:val="fr-FR"/>
        </w:rPr>
        <w:t>des unités extérieures</w:t>
      </w:r>
      <w:r w:rsidR="00093F0D" w:rsidRPr="00AD0459">
        <w:rPr>
          <w:lang w:val="fr-FR"/>
        </w:rPr>
        <w:t>) détection finale</w:t>
      </w:r>
      <w:r w:rsidR="00093F0D" w:rsidRPr="00093F0D">
        <w:rPr>
          <w:lang w:val="fr-FR"/>
        </w:rPr>
        <w:t xml:space="preserve"> des fuites (chaîne de fabrication </w:t>
      </w:r>
      <w:r w:rsidRPr="00093F0D">
        <w:rPr>
          <w:lang w:val="fr-FR"/>
        </w:rPr>
        <w:t>de</w:t>
      </w:r>
      <w:r>
        <w:rPr>
          <w:lang w:val="fr-FR"/>
        </w:rPr>
        <w:t xml:space="preserve">s </w:t>
      </w:r>
      <w:r w:rsidRPr="00093F0D">
        <w:rPr>
          <w:lang w:val="fr-FR"/>
        </w:rPr>
        <w:t>unité</w:t>
      </w:r>
      <w:r>
        <w:rPr>
          <w:lang w:val="fr-FR"/>
        </w:rPr>
        <w:t>s</w:t>
      </w:r>
      <w:r w:rsidRPr="00093F0D">
        <w:rPr>
          <w:lang w:val="fr-FR"/>
        </w:rPr>
        <w:t xml:space="preserve"> extérieure</w:t>
      </w:r>
      <w:r>
        <w:rPr>
          <w:lang w:val="fr-FR"/>
        </w:rPr>
        <w:t>s</w:t>
      </w:r>
      <w:r w:rsidR="00093F0D" w:rsidRPr="00093F0D">
        <w:rPr>
          <w:lang w:val="fr-FR"/>
        </w:rPr>
        <w:t>), zones de tests (chaîne de fabrication de</w:t>
      </w:r>
      <w:r>
        <w:rPr>
          <w:lang w:val="fr-FR"/>
        </w:rPr>
        <w:t xml:space="preserve">s </w:t>
      </w:r>
      <w:r w:rsidRPr="00093F0D">
        <w:rPr>
          <w:lang w:val="fr-FR"/>
        </w:rPr>
        <w:t>unité</w:t>
      </w:r>
      <w:r>
        <w:rPr>
          <w:lang w:val="fr-FR"/>
        </w:rPr>
        <w:t>s</w:t>
      </w:r>
      <w:r w:rsidRPr="00093F0D">
        <w:rPr>
          <w:lang w:val="fr-FR"/>
        </w:rPr>
        <w:t xml:space="preserve"> extérieure</w:t>
      </w:r>
      <w:r>
        <w:rPr>
          <w:lang w:val="fr-FR"/>
        </w:rPr>
        <w:t>s</w:t>
      </w:r>
      <w:r w:rsidR="00093F0D" w:rsidRPr="00093F0D">
        <w:rPr>
          <w:lang w:val="fr-FR"/>
        </w:rPr>
        <w:t>) et chambres de tests de laboratoire.</w:t>
      </w:r>
      <w:r w:rsidR="00093F0D" w:rsidRPr="00C3019D">
        <w:rPr>
          <w:lang w:val="fr-FR"/>
        </w:rPr>
        <w:t xml:space="preserve"> </w:t>
      </w:r>
      <w:r w:rsidR="00093F0D" w:rsidRPr="00093F0D">
        <w:rPr>
          <w:lang w:val="fr-FR"/>
        </w:rPr>
        <w:t>L</w:t>
      </w:r>
      <w:r w:rsidR="00D77991">
        <w:rPr>
          <w:lang w:val="fr-FR"/>
        </w:rPr>
        <w:t>’</w:t>
      </w:r>
      <w:r w:rsidR="00093F0D" w:rsidRPr="00093F0D">
        <w:rPr>
          <w:lang w:val="fr-FR"/>
        </w:rPr>
        <w:t>infrastructure générale de l</w:t>
      </w:r>
      <w:r w:rsidR="00D77991">
        <w:rPr>
          <w:lang w:val="fr-FR"/>
        </w:rPr>
        <w:t>’</w:t>
      </w:r>
      <w:r w:rsidR="00093F0D" w:rsidRPr="00093F0D">
        <w:rPr>
          <w:lang w:val="fr-FR"/>
        </w:rPr>
        <w:t>usine, telle que le support des systèmes de ventilation, la mise à la terre électrique</w:t>
      </w:r>
      <w:r w:rsidR="00D77991">
        <w:rPr>
          <w:lang w:val="fr-FR"/>
        </w:rPr>
        <w:t xml:space="preserve"> </w:t>
      </w:r>
      <w:r w:rsidR="00093F0D" w:rsidRPr="00093F0D">
        <w:rPr>
          <w:lang w:val="fr-FR"/>
        </w:rPr>
        <w:t xml:space="preserve">et la protection antistatique </w:t>
      </w:r>
      <w:r w:rsidR="00732221" w:rsidRPr="00093F0D">
        <w:rPr>
          <w:lang w:val="fr-FR"/>
        </w:rPr>
        <w:t>étaient</w:t>
      </w:r>
      <w:r w:rsidR="00093F0D" w:rsidRPr="00093F0D">
        <w:rPr>
          <w:lang w:val="fr-FR"/>
        </w:rPr>
        <w:t xml:space="preserve"> considérés comme étant la responsabilité de chaque fabricant.</w:t>
      </w:r>
    </w:p>
    <w:p w:rsidR="00EB0CD6" w:rsidRPr="00093F0D" w:rsidRDefault="00093F0D" w:rsidP="00255CDE">
      <w:pPr>
        <w:rPr>
          <w:b/>
          <w:lang w:val="en-CA"/>
        </w:rPr>
      </w:pPr>
      <w:r w:rsidRPr="00093F0D">
        <w:rPr>
          <w:b/>
          <w:lang w:val="fr-FR"/>
        </w:rPr>
        <w:t>Coûts de projet</w:t>
      </w:r>
    </w:p>
    <w:p w:rsidR="00EB0CD6" w:rsidRPr="001F1E0E" w:rsidRDefault="00EB0CD6" w:rsidP="00255CDE">
      <w:pPr>
        <w:rPr>
          <w:lang w:val="en-CA"/>
        </w:rPr>
      </w:pPr>
    </w:p>
    <w:p w:rsidR="00093F0D" w:rsidRPr="00C3019D" w:rsidRDefault="00093F0D" w:rsidP="00093F0D">
      <w:pPr>
        <w:pStyle w:val="Heading1"/>
        <w:rPr>
          <w:lang w:val="fr-FR"/>
        </w:rPr>
      </w:pPr>
      <w:r w:rsidRPr="00093F0D">
        <w:rPr>
          <w:lang w:val="fr-FR"/>
        </w:rPr>
        <w:t>Le tableau 4 récapitule les équipements requis pour la reconversion et les coûts différentiels d</w:t>
      </w:r>
      <w:r w:rsidR="00D77991">
        <w:rPr>
          <w:lang w:val="fr-FR"/>
        </w:rPr>
        <w:t>’</w:t>
      </w:r>
      <w:r w:rsidRPr="00093F0D">
        <w:rPr>
          <w:lang w:val="fr-FR"/>
        </w:rPr>
        <w:t>investissement (</w:t>
      </w:r>
      <w:r w:rsidR="00E8082E">
        <w:rPr>
          <w:lang w:val="fr-FR"/>
        </w:rPr>
        <w:t>CDI</w:t>
      </w:r>
      <w:r w:rsidRPr="00093F0D">
        <w:rPr>
          <w:lang w:val="fr-FR"/>
        </w:rPr>
        <w:t>) pour chaque fabricant.</w:t>
      </w:r>
      <w:r w:rsidRPr="00C3019D">
        <w:rPr>
          <w:lang w:val="fr-FR"/>
        </w:rPr>
        <w:t xml:space="preserve"> </w:t>
      </w:r>
      <w:r w:rsidRPr="00093F0D">
        <w:rPr>
          <w:lang w:val="fr-FR"/>
        </w:rPr>
        <w:t>Le total des coûts différentiels d</w:t>
      </w:r>
      <w:r w:rsidR="00D77991">
        <w:rPr>
          <w:lang w:val="fr-FR"/>
        </w:rPr>
        <w:t>’</w:t>
      </w:r>
      <w:r w:rsidRPr="00093F0D">
        <w:rPr>
          <w:lang w:val="fr-FR"/>
        </w:rPr>
        <w:t>investissement s</w:t>
      </w:r>
      <w:r w:rsidR="00D77991">
        <w:rPr>
          <w:lang w:val="fr-FR"/>
        </w:rPr>
        <w:t>’</w:t>
      </w:r>
      <w:r w:rsidRPr="00093F0D">
        <w:rPr>
          <w:lang w:val="fr-FR"/>
        </w:rPr>
        <w:t>élève à 5 085 410 $US, avec tous les coûts associés aux modifications de l</w:t>
      </w:r>
      <w:r w:rsidR="00D77991">
        <w:rPr>
          <w:lang w:val="fr-FR"/>
        </w:rPr>
        <w:t>’</w:t>
      </w:r>
      <w:r w:rsidRPr="00093F0D">
        <w:rPr>
          <w:lang w:val="fr-FR"/>
        </w:rPr>
        <w:t>échangeur de chaleur à la charge des fabricants.</w:t>
      </w:r>
    </w:p>
    <w:p w:rsidR="00C17C20" w:rsidRDefault="00C17C20">
      <w:pPr>
        <w:jc w:val="left"/>
        <w:rPr>
          <w:b/>
          <w:lang w:val="fr-FR"/>
        </w:rPr>
      </w:pPr>
      <w:r>
        <w:rPr>
          <w:b/>
          <w:lang w:val="fr-FR"/>
        </w:rPr>
        <w:br w:type="page"/>
      </w:r>
    </w:p>
    <w:p w:rsidR="00C436C0" w:rsidRPr="00C3019D" w:rsidRDefault="00093F0D" w:rsidP="00C436C0">
      <w:pPr>
        <w:rPr>
          <w:b/>
          <w:lang w:val="fr-FR"/>
        </w:rPr>
      </w:pPr>
      <w:r w:rsidRPr="00093F0D">
        <w:rPr>
          <w:b/>
          <w:lang w:val="fr-FR"/>
        </w:rPr>
        <w:lastRenderedPageBreak/>
        <w:t>Tableau 4.</w:t>
      </w:r>
      <w:r w:rsidR="00D77991">
        <w:rPr>
          <w:b/>
          <w:lang w:val="fr-FR"/>
        </w:rPr>
        <w:t xml:space="preserve"> </w:t>
      </w:r>
      <w:r w:rsidRPr="00093F0D">
        <w:rPr>
          <w:b/>
          <w:lang w:val="fr-FR"/>
        </w:rPr>
        <w:t>Coûts différentiels d</w:t>
      </w:r>
      <w:r w:rsidR="00D77991">
        <w:rPr>
          <w:b/>
          <w:lang w:val="fr-FR"/>
        </w:rPr>
        <w:t>’</w:t>
      </w:r>
      <w:r w:rsidRPr="00093F0D">
        <w:rPr>
          <w:b/>
          <w:lang w:val="fr-FR"/>
        </w:rPr>
        <w:t>investissement (</w:t>
      </w:r>
      <w:r w:rsidR="00E8082E">
        <w:rPr>
          <w:b/>
          <w:lang w:val="fr-FR"/>
        </w:rPr>
        <w:t>CDI</w:t>
      </w:r>
      <w:r w:rsidRPr="00093F0D">
        <w:rPr>
          <w:b/>
          <w:lang w:val="fr-FR"/>
        </w:rPr>
        <w:t>) pour les cinq entreprise</w:t>
      </w:r>
      <w:r w:rsidR="00E8082E">
        <w:rPr>
          <w:b/>
          <w:lang w:val="fr-FR"/>
        </w:rPr>
        <w:t>s</w:t>
      </w:r>
      <w:r w:rsidRPr="00093F0D">
        <w:rPr>
          <w:b/>
          <w:lang w:val="fr-FR"/>
        </w:rPr>
        <w:t>, tels que soumis ($US)</w:t>
      </w:r>
    </w:p>
    <w:tbl>
      <w:tblPr>
        <w:tblStyle w:val="TableGrid"/>
        <w:tblW w:w="4944" w:type="pct"/>
        <w:tblInd w:w="108" w:type="dxa"/>
        <w:tblLook w:val="04A0" w:firstRow="1" w:lastRow="0" w:firstColumn="1" w:lastColumn="0" w:noHBand="0" w:noVBand="1"/>
      </w:tblPr>
      <w:tblGrid>
        <w:gridCol w:w="3081"/>
        <w:gridCol w:w="1043"/>
        <w:gridCol w:w="1026"/>
        <w:gridCol w:w="1025"/>
        <w:gridCol w:w="1025"/>
        <w:gridCol w:w="1119"/>
        <w:gridCol w:w="1150"/>
      </w:tblGrid>
      <w:tr w:rsidR="00093F0D" w:rsidRPr="001F1E0E" w:rsidTr="00472458">
        <w:trPr>
          <w:tblHeader/>
        </w:trPr>
        <w:tc>
          <w:tcPr>
            <w:tcW w:w="1627" w:type="pct"/>
            <w:vMerge w:val="restart"/>
          </w:tcPr>
          <w:p w:rsidR="00162C8F" w:rsidRPr="00C3019D" w:rsidRDefault="00162C8F" w:rsidP="00162C8F">
            <w:pPr>
              <w:jc w:val="center"/>
              <w:rPr>
                <w:b/>
                <w:sz w:val="20"/>
                <w:szCs w:val="20"/>
                <w:lang w:val="fr-FR"/>
              </w:rPr>
            </w:pPr>
          </w:p>
          <w:p w:rsidR="00162C8F" w:rsidRPr="00C3019D" w:rsidRDefault="00093F0D" w:rsidP="005B6FC5">
            <w:pPr>
              <w:jc w:val="center"/>
              <w:rPr>
                <w:b/>
                <w:sz w:val="20"/>
                <w:szCs w:val="20"/>
                <w:lang w:val="fr-FR"/>
              </w:rPr>
            </w:pPr>
            <w:r w:rsidRPr="00093F0D">
              <w:rPr>
                <w:b/>
                <w:sz w:val="20"/>
                <w:szCs w:val="20"/>
                <w:lang w:val="fr-FR"/>
              </w:rPr>
              <w:t xml:space="preserve">Zones et équipements des processus </w:t>
            </w:r>
          </w:p>
        </w:tc>
        <w:tc>
          <w:tcPr>
            <w:tcW w:w="2766" w:type="pct"/>
            <w:gridSpan w:val="5"/>
          </w:tcPr>
          <w:p w:rsidR="00162C8F" w:rsidRPr="00093F0D" w:rsidRDefault="00093F0D" w:rsidP="005B6FC5">
            <w:pPr>
              <w:jc w:val="center"/>
              <w:rPr>
                <w:b/>
                <w:sz w:val="20"/>
                <w:szCs w:val="20"/>
                <w:lang w:val="en-CA"/>
              </w:rPr>
            </w:pPr>
            <w:r w:rsidRPr="00093F0D">
              <w:rPr>
                <w:b/>
                <w:sz w:val="20"/>
                <w:szCs w:val="20"/>
                <w:lang w:val="fr-FR"/>
              </w:rPr>
              <w:t>Fabricant</w:t>
            </w:r>
          </w:p>
        </w:tc>
        <w:tc>
          <w:tcPr>
            <w:tcW w:w="607" w:type="pct"/>
            <w:vMerge w:val="restart"/>
          </w:tcPr>
          <w:p w:rsidR="00162C8F" w:rsidRPr="001F1E0E" w:rsidRDefault="00162C8F" w:rsidP="00162C8F">
            <w:pPr>
              <w:jc w:val="center"/>
              <w:rPr>
                <w:b/>
                <w:sz w:val="20"/>
                <w:szCs w:val="20"/>
                <w:lang w:val="en-CA"/>
              </w:rPr>
            </w:pPr>
          </w:p>
          <w:p w:rsidR="00162C8F" w:rsidRPr="00093F0D" w:rsidRDefault="00093F0D" w:rsidP="005B6FC5">
            <w:pPr>
              <w:jc w:val="center"/>
              <w:rPr>
                <w:b/>
                <w:sz w:val="20"/>
                <w:szCs w:val="20"/>
                <w:lang w:val="en-CA"/>
              </w:rPr>
            </w:pPr>
            <w:r w:rsidRPr="00093F0D">
              <w:rPr>
                <w:b/>
                <w:sz w:val="20"/>
                <w:szCs w:val="20"/>
                <w:lang w:val="fr-FR"/>
              </w:rPr>
              <w:t>Total</w:t>
            </w:r>
          </w:p>
        </w:tc>
      </w:tr>
      <w:tr w:rsidR="00093F0D" w:rsidRPr="001F1E0E" w:rsidTr="00472458">
        <w:trPr>
          <w:tblHeader/>
        </w:trPr>
        <w:tc>
          <w:tcPr>
            <w:tcW w:w="1627" w:type="pct"/>
            <w:vMerge/>
          </w:tcPr>
          <w:p w:rsidR="00162C8F" w:rsidRPr="001F1E0E" w:rsidRDefault="00162C8F" w:rsidP="00162C8F">
            <w:pPr>
              <w:jc w:val="left"/>
              <w:rPr>
                <w:sz w:val="20"/>
                <w:szCs w:val="20"/>
                <w:lang w:val="en-CA"/>
              </w:rPr>
            </w:pPr>
          </w:p>
        </w:tc>
        <w:tc>
          <w:tcPr>
            <w:tcW w:w="551" w:type="pct"/>
          </w:tcPr>
          <w:p w:rsidR="00162C8F" w:rsidRPr="00093F0D" w:rsidRDefault="00093F0D" w:rsidP="005B6FC5">
            <w:pPr>
              <w:spacing w:line="259" w:lineRule="auto"/>
              <w:ind w:left="5"/>
              <w:jc w:val="center"/>
              <w:rPr>
                <w:sz w:val="20"/>
                <w:szCs w:val="20"/>
                <w:lang w:val="en-CA"/>
              </w:rPr>
            </w:pPr>
            <w:r w:rsidRPr="00093F0D">
              <w:rPr>
                <w:b/>
                <w:sz w:val="20"/>
                <w:szCs w:val="20"/>
                <w:lang w:val="fr-FR"/>
              </w:rPr>
              <w:t>El-Araby</w:t>
            </w:r>
          </w:p>
        </w:tc>
        <w:tc>
          <w:tcPr>
            <w:tcW w:w="542" w:type="pct"/>
          </w:tcPr>
          <w:p w:rsidR="00162C8F" w:rsidRPr="00093F0D" w:rsidRDefault="00093F0D" w:rsidP="005B6FC5">
            <w:pPr>
              <w:spacing w:line="259" w:lineRule="auto"/>
              <w:ind w:left="5"/>
              <w:jc w:val="center"/>
              <w:rPr>
                <w:sz w:val="20"/>
                <w:szCs w:val="20"/>
                <w:lang w:val="en-CA"/>
              </w:rPr>
            </w:pPr>
            <w:r w:rsidRPr="00093F0D">
              <w:rPr>
                <w:b/>
                <w:sz w:val="20"/>
                <w:szCs w:val="20"/>
                <w:lang w:val="fr-FR"/>
              </w:rPr>
              <w:t>Fresh</w:t>
            </w:r>
          </w:p>
        </w:tc>
        <w:tc>
          <w:tcPr>
            <w:tcW w:w="541" w:type="pct"/>
          </w:tcPr>
          <w:p w:rsidR="00162C8F" w:rsidRPr="00093F0D" w:rsidRDefault="00093F0D" w:rsidP="005B6FC5">
            <w:pPr>
              <w:spacing w:line="259" w:lineRule="auto"/>
              <w:ind w:left="5"/>
              <w:jc w:val="center"/>
              <w:rPr>
                <w:sz w:val="20"/>
                <w:szCs w:val="20"/>
                <w:lang w:val="en-CA"/>
              </w:rPr>
            </w:pPr>
            <w:r w:rsidRPr="00093F0D">
              <w:rPr>
                <w:b/>
                <w:sz w:val="20"/>
                <w:szCs w:val="20"/>
                <w:lang w:val="fr-FR"/>
              </w:rPr>
              <w:t>Miraco*</w:t>
            </w:r>
          </w:p>
        </w:tc>
        <w:tc>
          <w:tcPr>
            <w:tcW w:w="541" w:type="pct"/>
          </w:tcPr>
          <w:p w:rsidR="00162C8F" w:rsidRPr="00093F0D" w:rsidRDefault="00093F0D" w:rsidP="005B6FC5">
            <w:pPr>
              <w:spacing w:line="259" w:lineRule="auto"/>
              <w:ind w:left="5"/>
              <w:jc w:val="center"/>
              <w:rPr>
                <w:sz w:val="20"/>
                <w:szCs w:val="20"/>
                <w:lang w:val="en-CA"/>
              </w:rPr>
            </w:pPr>
            <w:r w:rsidRPr="00093F0D">
              <w:rPr>
                <w:b/>
                <w:sz w:val="20"/>
                <w:szCs w:val="20"/>
                <w:lang w:val="fr-FR"/>
              </w:rPr>
              <w:t>Power</w:t>
            </w:r>
          </w:p>
        </w:tc>
        <w:tc>
          <w:tcPr>
            <w:tcW w:w="591" w:type="pct"/>
          </w:tcPr>
          <w:p w:rsidR="00162C8F" w:rsidRPr="00093F0D" w:rsidRDefault="00093F0D" w:rsidP="005B6FC5">
            <w:pPr>
              <w:spacing w:line="259" w:lineRule="auto"/>
              <w:ind w:left="5"/>
              <w:jc w:val="center"/>
              <w:rPr>
                <w:sz w:val="20"/>
                <w:szCs w:val="20"/>
                <w:lang w:val="en-CA"/>
              </w:rPr>
            </w:pPr>
            <w:r w:rsidRPr="00093F0D">
              <w:rPr>
                <w:b/>
                <w:sz w:val="20"/>
                <w:szCs w:val="20"/>
                <w:lang w:val="fr-FR"/>
              </w:rPr>
              <w:t>Unionaire</w:t>
            </w:r>
          </w:p>
        </w:tc>
        <w:tc>
          <w:tcPr>
            <w:tcW w:w="607" w:type="pct"/>
            <w:vMerge/>
          </w:tcPr>
          <w:p w:rsidR="00162C8F" w:rsidRPr="001F1E0E" w:rsidRDefault="00162C8F" w:rsidP="00162C8F">
            <w:pPr>
              <w:jc w:val="right"/>
              <w:rPr>
                <w:sz w:val="20"/>
                <w:szCs w:val="20"/>
                <w:lang w:val="en-CA"/>
              </w:rPr>
            </w:pPr>
          </w:p>
        </w:tc>
      </w:tr>
      <w:tr w:rsidR="00093F0D" w:rsidRPr="001F1E0E" w:rsidTr="00472458">
        <w:tc>
          <w:tcPr>
            <w:tcW w:w="1627" w:type="pct"/>
          </w:tcPr>
          <w:p w:rsidR="008A4A9C" w:rsidRPr="00C3019D" w:rsidRDefault="00EA28FB" w:rsidP="005B6FC5">
            <w:pPr>
              <w:jc w:val="left"/>
              <w:rPr>
                <w:sz w:val="20"/>
                <w:szCs w:val="20"/>
                <w:lang w:val="fr-FR"/>
              </w:rPr>
            </w:pPr>
            <w:r w:rsidRPr="00EA28FB">
              <w:rPr>
                <w:sz w:val="20"/>
                <w:szCs w:val="20"/>
                <w:lang w:val="fr-FR"/>
              </w:rPr>
              <w:t>Système d</w:t>
            </w:r>
            <w:r w:rsidR="00D77991">
              <w:rPr>
                <w:sz w:val="20"/>
                <w:szCs w:val="20"/>
                <w:lang w:val="fr-FR"/>
              </w:rPr>
              <w:t>’</w:t>
            </w:r>
            <w:r w:rsidRPr="00EA28FB">
              <w:rPr>
                <w:sz w:val="20"/>
                <w:szCs w:val="20"/>
                <w:lang w:val="fr-FR"/>
              </w:rPr>
              <w:t xml:space="preserve">alimentation en frigorigène </w:t>
            </w:r>
            <w:r w:rsidR="00732221" w:rsidRPr="00EA28FB">
              <w:rPr>
                <w:sz w:val="20"/>
                <w:szCs w:val="20"/>
                <w:lang w:val="fr-FR"/>
              </w:rPr>
              <w:t>(pompe</w:t>
            </w:r>
            <w:r w:rsidRPr="00EA28FB">
              <w:rPr>
                <w:sz w:val="20"/>
                <w:szCs w:val="20"/>
                <w:lang w:val="fr-FR"/>
              </w:rPr>
              <w:t xml:space="preserve"> d</w:t>
            </w:r>
            <w:r w:rsidR="00D77991">
              <w:rPr>
                <w:sz w:val="20"/>
                <w:szCs w:val="20"/>
                <w:lang w:val="fr-FR"/>
              </w:rPr>
              <w:t>’</w:t>
            </w:r>
            <w:r w:rsidRPr="00EA28FB">
              <w:rPr>
                <w:sz w:val="20"/>
                <w:szCs w:val="20"/>
                <w:lang w:val="fr-FR"/>
              </w:rPr>
              <w:t>approvisionnement, pipeline(s), e</w:t>
            </w:r>
            <w:r w:rsidR="00E8082E">
              <w:rPr>
                <w:sz w:val="20"/>
                <w:szCs w:val="20"/>
                <w:lang w:val="fr-FR"/>
              </w:rPr>
              <w:t>t</w:t>
            </w:r>
            <w:r w:rsidRPr="00EA28FB">
              <w:rPr>
                <w:sz w:val="20"/>
                <w:szCs w:val="20"/>
                <w:lang w:val="fr-FR"/>
              </w:rPr>
              <w:t xml:space="preserve"> détecteurs de gaz)</w:t>
            </w:r>
          </w:p>
        </w:tc>
        <w:tc>
          <w:tcPr>
            <w:tcW w:w="551" w:type="pct"/>
          </w:tcPr>
          <w:p w:rsidR="008A4A9C" w:rsidRPr="001F1E0E" w:rsidRDefault="008A4A9C" w:rsidP="008A4A9C">
            <w:pPr>
              <w:spacing w:line="259" w:lineRule="auto"/>
              <w:ind w:right="8"/>
              <w:jc w:val="right"/>
              <w:rPr>
                <w:sz w:val="20"/>
                <w:szCs w:val="20"/>
                <w:lang w:val="en-CA"/>
              </w:rPr>
            </w:pPr>
            <w:r w:rsidRPr="001F1E0E">
              <w:rPr>
                <w:sz w:val="20"/>
                <w:szCs w:val="20"/>
                <w:lang w:val="en-CA"/>
              </w:rPr>
              <w:t>81</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8A4A9C">
            <w:pPr>
              <w:spacing w:line="259" w:lineRule="auto"/>
              <w:ind w:right="8"/>
              <w:jc w:val="right"/>
              <w:rPr>
                <w:sz w:val="20"/>
                <w:szCs w:val="20"/>
                <w:lang w:val="en-CA"/>
              </w:rPr>
            </w:pPr>
            <w:r w:rsidRPr="001F1E0E">
              <w:rPr>
                <w:sz w:val="20"/>
                <w:szCs w:val="20"/>
                <w:lang w:val="en-CA"/>
              </w:rPr>
              <w:t>118</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8A4A9C">
            <w:pPr>
              <w:spacing w:line="259" w:lineRule="auto"/>
              <w:ind w:right="9"/>
              <w:jc w:val="right"/>
              <w:rPr>
                <w:sz w:val="20"/>
                <w:szCs w:val="20"/>
                <w:lang w:val="en-CA"/>
              </w:rPr>
            </w:pPr>
            <w:r w:rsidRPr="001F1E0E">
              <w:rPr>
                <w:sz w:val="20"/>
                <w:szCs w:val="20"/>
                <w:lang w:val="en-CA"/>
              </w:rPr>
              <w:t>74</w:t>
            </w:r>
            <w:r w:rsidR="00E8082E">
              <w:rPr>
                <w:sz w:val="20"/>
                <w:szCs w:val="20"/>
                <w:lang w:val="en-CA"/>
              </w:rPr>
              <w:t> </w:t>
            </w:r>
            <w:r w:rsidRPr="001F1E0E">
              <w:rPr>
                <w:sz w:val="20"/>
                <w:szCs w:val="20"/>
                <w:lang w:val="en-CA"/>
              </w:rPr>
              <w:t xml:space="preserve">340 </w:t>
            </w:r>
          </w:p>
        </w:tc>
        <w:tc>
          <w:tcPr>
            <w:tcW w:w="541" w:type="pct"/>
          </w:tcPr>
          <w:p w:rsidR="008A4A9C" w:rsidRPr="001F1E0E" w:rsidRDefault="008A4A9C" w:rsidP="008A4A9C">
            <w:pPr>
              <w:spacing w:line="259" w:lineRule="auto"/>
              <w:ind w:right="9"/>
              <w:jc w:val="right"/>
              <w:rPr>
                <w:sz w:val="20"/>
                <w:szCs w:val="20"/>
                <w:lang w:val="en-CA"/>
              </w:rPr>
            </w:pPr>
            <w:r w:rsidRPr="001F1E0E">
              <w:rPr>
                <w:sz w:val="20"/>
                <w:szCs w:val="20"/>
                <w:lang w:val="en-CA"/>
              </w:rPr>
              <w:t>76</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8A4A9C">
            <w:pPr>
              <w:spacing w:line="259" w:lineRule="auto"/>
              <w:ind w:right="9"/>
              <w:jc w:val="right"/>
              <w:rPr>
                <w:sz w:val="20"/>
                <w:szCs w:val="20"/>
                <w:lang w:val="en-CA"/>
              </w:rPr>
            </w:pPr>
            <w:r w:rsidRPr="001F1E0E">
              <w:rPr>
                <w:sz w:val="20"/>
                <w:szCs w:val="20"/>
                <w:lang w:val="en-CA"/>
              </w:rPr>
              <w:t>118</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467</w:t>
            </w:r>
            <w:r w:rsidR="00E8082E">
              <w:rPr>
                <w:sz w:val="20"/>
                <w:szCs w:val="20"/>
                <w:lang w:val="en-CA"/>
              </w:rPr>
              <w:t> </w:t>
            </w:r>
            <w:r w:rsidRPr="001F1E0E">
              <w:rPr>
                <w:sz w:val="20"/>
                <w:szCs w:val="20"/>
                <w:lang w:val="en-CA"/>
              </w:rPr>
              <w:t>340</w:t>
            </w:r>
          </w:p>
        </w:tc>
      </w:tr>
      <w:tr w:rsidR="00093F0D" w:rsidRPr="001F1E0E" w:rsidTr="00472458">
        <w:tc>
          <w:tcPr>
            <w:tcW w:w="1627" w:type="pct"/>
          </w:tcPr>
          <w:p w:rsidR="008A4A9C" w:rsidRPr="00C3019D" w:rsidRDefault="00EA28FB" w:rsidP="005B6FC5">
            <w:pPr>
              <w:jc w:val="left"/>
              <w:rPr>
                <w:sz w:val="20"/>
                <w:szCs w:val="20"/>
                <w:lang w:val="fr-FR"/>
              </w:rPr>
            </w:pPr>
            <w:r w:rsidRPr="00EA28FB">
              <w:rPr>
                <w:sz w:val="20"/>
                <w:szCs w:val="20"/>
                <w:lang w:val="fr-FR"/>
              </w:rPr>
              <w:t>Chaîne de fabrication intérieure (équipement de chargement, station de récupération des frigorigènes, systèmes de sécurité et</w:t>
            </w:r>
            <w:r w:rsidR="00D77991">
              <w:rPr>
                <w:sz w:val="20"/>
                <w:szCs w:val="20"/>
                <w:lang w:val="fr-FR"/>
              </w:rPr>
              <w:t xml:space="preserve"> </w:t>
            </w:r>
            <w:r w:rsidRPr="00EA28FB">
              <w:rPr>
                <w:sz w:val="20"/>
                <w:szCs w:val="20"/>
                <w:lang w:val="fr-FR"/>
              </w:rPr>
              <w:t>ventilation)</w:t>
            </w:r>
          </w:p>
        </w:tc>
        <w:tc>
          <w:tcPr>
            <w:tcW w:w="551" w:type="pct"/>
          </w:tcPr>
          <w:p w:rsidR="008A4A9C" w:rsidRPr="001F1E0E" w:rsidRDefault="008A4A9C" w:rsidP="008A4A9C">
            <w:pPr>
              <w:jc w:val="right"/>
              <w:rPr>
                <w:sz w:val="20"/>
                <w:szCs w:val="20"/>
                <w:lang w:val="en-CA"/>
              </w:rPr>
            </w:pPr>
            <w:r w:rsidRPr="001F1E0E">
              <w:rPr>
                <w:sz w:val="20"/>
                <w:szCs w:val="20"/>
                <w:lang w:val="en-CA"/>
              </w:rPr>
              <w:t>84</w:t>
            </w:r>
            <w:r w:rsidR="00E8082E">
              <w:rPr>
                <w:sz w:val="20"/>
                <w:szCs w:val="20"/>
                <w:lang w:val="en-CA"/>
              </w:rPr>
              <w:t> </w:t>
            </w:r>
            <w:r w:rsidRPr="001F1E0E">
              <w:rPr>
                <w:sz w:val="20"/>
                <w:szCs w:val="20"/>
                <w:lang w:val="en-CA"/>
              </w:rPr>
              <w:t>000</w:t>
            </w:r>
          </w:p>
        </w:tc>
        <w:tc>
          <w:tcPr>
            <w:tcW w:w="542" w:type="pct"/>
          </w:tcPr>
          <w:p w:rsidR="008A4A9C" w:rsidRPr="001F1E0E" w:rsidRDefault="008A4A9C" w:rsidP="008A4A9C">
            <w:pPr>
              <w:jc w:val="right"/>
              <w:rPr>
                <w:sz w:val="20"/>
                <w:szCs w:val="20"/>
                <w:lang w:val="en-CA"/>
              </w:rPr>
            </w:pPr>
            <w:r w:rsidRPr="001F1E0E">
              <w:rPr>
                <w:sz w:val="20"/>
                <w:szCs w:val="20"/>
                <w:lang w:val="en-CA"/>
              </w:rPr>
              <w:t>0</w:t>
            </w:r>
          </w:p>
        </w:tc>
        <w:tc>
          <w:tcPr>
            <w:tcW w:w="541" w:type="pct"/>
          </w:tcPr>
          <w:p w:rsidR="008A4A9C" w:rsidRPr="001F1E0E" w:rsidRDefault="008A4A9C" w:rsidP="008A4A9C">
            <w:pPr>
              <w:jc w:val="right"/>
              <w:rPr>
                <w:sz w:val="20"/>
                <w:szCs w:val="20"/>
                <w:lang w:val="en-CA"/>
              </w:rPr>
            </w:pPr>
            <w:r w:rsidRPr="001F1E0E">
              <w:rPr>
                <w:sz w:val="20"/>
                <w:szCs w:val="20"/>
                <w:lang w:val="en-CA"/>
              </w:rPr>
              <w:t>0</w:t>
            </w:r>
          </w:p>
        </w:tc>
        <w:tc>
          <w:tcPr>
            <w:tcW w:w="541" w:type="pct"/>
          </w:tcPr>
          <w:p w:rsidR="008A4A9C" w:rsidRPr="001F1E0E" w:rsidRDefault="008A4A9C" w:rsidP="008A4A9C">
            <w:pPr>
              <w:jc w:val="right"/>
              <w:rPr>
                <w:sz w:val="20"/>
                <w:szCs w:val="20"/>
                <w:lang w:val="en-CA"/>
              </w:rPr>
            </w:pPr>
            <w:r w:rsidRPr="001F1E0E">
              <w:rPr>
                <w:sz w:val="20"/>
                <w:szCs w:val="20"/>
                <w:lang w:val="en-CA"/>
              </w:rPr>
              <w:t>0</w:t>
            </w:r>
          </w:p>
        </w:tc>
        <w:tc>
          <w:tcPr>
            <w:tcW w:w="591" w:type="pct"/>
          </w:tcPr>
          <w:p w:rsidR="008A4A9C" w:rsidRPr="001F1E0E" w:rsidRDefault="008A4A9C" w:rsidP="008A4A9C">
            <w:pPr>
              <w:jc w:val="right"/>
              <w:rPr>
                <w:sz w:val="20"/>
                <w:szCs w:val="20"/>
                <w:lang w:val="en-CA"/>
              </w:rPr>
            </w:pPr>
            <w:r w:rsidRPr="001F1E0E">
              <w:rPr>
                <w:sz w:val="20"/>
                <w:szCs w:val="20"/>
                <w:lang w:val="en-CA"/>
              </w:rPr>
              <w:t>168</w:t>
            </w:r>
            <w:r w:rsidR="00E8082E">
              <w:rPr>
                <w:sz w:val="20"/>
                <w:szCs w:val="20"/>
                <w:lang w:val="en-CA"/>
              </w:rPr>
              <w:t> </w:t>
            </w:r>
            <w:r w:rsidRPr="001F1E0E">
              <w:rPr>
                <w:sz w:val="20"/>
                <w:szCs w:val="20"/>
                <w:lang w:val="en-CA"/>
              </w:rPr>
              <w:t>000</w:t>
            </w:r>
          </w:p>
        </w:tc>
        <w:tc>
          <w:tcPr>
            <w:tcW w:w="607" w:type="pct"/>
          </w:tcPr>
          <w:p w:rsidR="008A4A9C" w:rsidRPr="001F1E0E" w:rsidRDefault="008A4A9C" w:rsidP="00162C8F">
            <w:pPr>
              <w:jc w:val="right"/>
              <w:rPr>
                <w:sz w:val="20"/>
                <w:szCs w:val="20"/>
                <w:lang w:val="en-CA"/>
              </w:rPr>
            </w:pPr>
            <w:r w:rsidRPr="001F1E0E">
              <w:rPr>
                <w:sz w:val="20"/>
                <w:szCs w:val="20"/>
                <w:lang w:val="en-CA"/>
              </w:rPr>
              <w:t>252</w:t>
            </w:r>
            <w:r w:rsidR="00E8082E">
              <w:rPr>
                <w:sz w:val="20"/>
                <w:szCs w:val="20"/>
                <w:lang w:val="en-CA"/>
              </w:rPr>
              <w:t> </w:t>
            </w:r>
            <w:r w:rsidRPr="001F1E0E">
              <w:rPr>
                <w:sz w:val="20"/>
                <w:szCs w:val="20"/>
                <w:lang w:val="en-CA"/>
              </w:rPr>
              <w:t>000</w:t>
            </w:r>
          </w:p>
        </w:tc>
      </w:tr>
      <w:tr w:rsidR="00093F0D" w:rsidRPr="001F1E0E" w:rsidTr="00472458">
        <w:tc>
          <w:tcPr>
            <w:tcW w:w="1627" w:type="pct"/>
          </w:tcPr>
          <w:p w:rsidR="008A4A9C" w:rsidRPr="00C3019D" w:rsidRDefault="00EA28FB" w:rsidP="005B6FC5">
            <w:pPr>
              <w:jc w:val="left"/>
              <w:rPr>
                <w:sz w:val="20"/>
                <w:szCs w:val="20"/>
                <w:lang w:val="fr-FR"/>
              </w:rPr>
            </w:pPr>
            <w:r w:rsidRPr="00EA28FB">
              <w:rPr>
                <w:sz w:val="20"/>
                <w:szCs w:val="20"/>
                <w:lang w:val="fr-FR"/>
              </w:rPr>
              <w:t>Chaîne de fabrication extérieure (équipement de chargement, station de récupération des frigorigènes, systèmes de sécurité et</w:t>
            </w:r>
            <w:r w:rsidR="00D77991">
              <w:rPr>
                <w:sz w:val="20"/>
                <w:szCs w:val="20"/>
                <w:lang w:val="fr-FR"/>
              </w:rPr>
              <w:t xml:space="preserve"> </w:t>
            </w:r>
            <w:r w:rsidRPr="00EA28FB">
              <w:rPr>
                <w:sz w:val="20"/>
                <w:szCs w:val="20"/>
                <w:lang w:val="fr-FR"/>
              </w:rPr>
              <w:t>ventilation, détection des fuites et coupleurs de processus)</w:t>
            </w:r>
          </w:p>
        </w:tc>
        <w:tc>
          <w:tcPr>
            <w:tcW w:w="551" w:type="pct"/>
          </w:tcPr>
          <w:p w:rsidR="008A4A9C" w:rsidRPr="001F1E0E" w:rsidRDefault="008A4A9C" w:rsidP="008A4A9C">
            <w:pPr>
              <w:spacing w:line="259" w:lineRule="auto"/>
              <w:ind w:right="9"/>
              <w:jc w:val="right"/>
              <w:rPr>
                <w:sz w:val="20"/>
                <w:szCs w:val="20"/>
                <w:lang w:val="en-CA"/>
              </w:rPr>
            </w:pPr>
            <w:r w:rsidRPr="001F1E0E">
              <w:rPr>
                <w:sz w:val="20"/>
                <w:szCs w:val="20"/>
                <w:lang w:val="en-CA"/>
              </w:rPr>
              <w:t>473</w:t>
            </w:r>
            <w:r w:rsidR="00E8082E">
              <w:rPr>
                <w:sz w:val="20"/>
                <w:szCs w:val="20"/>
                <w:lang w:val="en-CA"/>
              </w:rPr>
              <w:t> </w:t>
            </w:r>
            <w:r w:rsidRPr="001F1E0E">
              <w:rPr>
                <w:sz w:val="20"/>
                <w:szCs w:val="20"/>
                <w:lang w:val="en-CA"/>
              </w:rPr>
              <w:t xml:space="preserve">500 </w:t>
            </w:r>
          </w:p>
        </w:tc>
        <w:tc>
          <w:tcPr>
            <w:tcW w:w="542" w:type="pct"/>
          </w:tcPr>
          <w:p w:rsidR="008A4A9C" w:rsidRPr="001F1E0E" w:rsidRDefault="008A4A9C" w:rsidP="008A4A9C">
            <w:pPr>
              <w:spacing w:line="259" w:lineRule="auto"/>
              <w:ind w:right="9"/>
              <w:jc w:val="right"/>
              <w:rPr>
                <w:sz w:val="20"/>
                <w:szCs w:val="20"/>
                <w:lang w:val="en-CA"/>
              </w:rPr>
            </w:pPr>
            <w:r w:rsidRPr="001F1E0E">
              <w:rPr>
                <w:sz w:val="20"/>
                <w:szCs w:val="20"/>
                <w:lang w:val="en-CA"/>
              </w:rPr>
              <w:t>405</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8A4A9C">
            <w:pPr>
              <w:spacing w:line="259" w:lineRule="auto"/>
              <w:ind w:right="9"/>
              <w:jc w:val="right"/>
              <w:rPr>
                <w:sz w:val="20"/>
                <w:szCs w:val="20"/>
                <w:lang w:val="en-CA"/>
              </w:rPr>
            </w:pPr>
            <w:r w:rsidRPr="001F1E0E">
              <w:rPr>
                <w:sz w:val="20"/>
                <w:szCs w:val="20"/>
                <w:lang w:val="en-CA"/>
              </w:rPr>
              <w:t>494</w:t>
            </w:r>
            <w:r w:rsidR="00E8082E">
              <w:rPr>
                <w:sz w:val="20"/>
                <w:szCs w:val="20"/>
                <w:lang w:val="en-CA"/>
              </w:rPr>
              <w:t> </w:t>
            </w:r>
            <w:r w:rsidRPr="001F1E0E">
              <w:rPr>
                <w:sz w:val="20"/>
                <w:szCs w:val="20"/>
                <w:lang w:val="en-CA"/>
              </w:rPr>
              <w:t xml:space="preserve">550 </w:t>
            </w:r>
          </w:p>
        </w:tc>
        <w:tc>
          <w:tcPr>
            <w:tcW w:w="541" w:type="pct"/>
          </w:tcPr>
          <w:p w:rsidR="008A4A9C" w:rsidRPr="001F1E0E" w:rsidRDefault="008A4A9C" w:rsidP="008A4A9C">
            <w:pPr>
              <w:spacing w:line="259" w:lineRule="auto"/>
              <w:ind w:right="9"/>
              <w:jc w:val="right"/>
              <w:rPr>
                <w:sz w:val="20"/>
                <w:szCs w:val="20"/>
                <w:lang w:val="en-CA"/>
              </w:rPr>
            </w:pPr>
            <w:r w:rsidRPr="001F1E0E">
              <w:rPr>
                <w:sz w:val="20"/>
                <w:szCs w:val="20"/>
                <w:lang w:val="en-CA"/>
              </w:rPr>
              <w:t>248</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8A4A9C">
            <w:pPr>
              <w:spacing w:line="259" w:lineRule="auto"/>
              <w:ind w:right="9"/>
              <w:jc w:val="right"/>
              <w:rPr>
                <w:sz w:val="20"/>
                <w:szCs w:val="20"/>
                <w:lang w:val="en-CA"/>
              </w:rPr>
            </w:pPr>
            <w:r w:rsidRPr="001F1E0E">
              <w:rPr>
                <w:sz w:val="20"/>
                <w:szCs w:val="20"/>
                <w:lang w:val="en-CA"/>
              </w:rPr>
              <w:t>535</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2</w:t>
            </w:r>
            <w:r w:rsidR="00E8082E">
              <w:rPr>
                <w:sz w:val="20"/>
                <w:szCs w:val="20"/>
                <w:lang w:val="en-CA"/>
              </w:rPr>
              <w:t> </w:t>
            </w:r>
            <w:r w:rsidRPr="001F1E0E">
              <w:rPr>
                <w:sz w:val="20"/>
                <w:szCs w:val="20"/>
                <w:lang w:val="en-CA"/>
              </w:rPr>
              <w:t>156</w:t>
            </w:r>
            <w:r w:rsidR="00E8082E">
              <w:rPr>
                <w:sz w:val="20"/>
                <w:szCs w:val="20"/>
                <w:lang w:val="en-CA"/>
              </w:rPr>
              <w:t> </w:t>
            </w:r>
            <w:r w:rsidRPr="001F1E0E">
              <w:rPr>
                <w:sz w:val="20"/>
                <w:szCs w:val="20"/>
                <w:lang w:val="en-CA"/>
              </w:rPr>
              <w:t>050</w:t>
            </w:r>
          </w:p>
        </w:tc>
      </w:tr>
      <w:tr w:rsidR="00093F0D" w:rsidRPr="001F1E0E" w:rsidTr="00472458">
        <w:tc>
          <w:tcPr>
            <w:tcW w:w="1627" w:type="pct"/>
          </w:tcPr>
          <w:p w:rsidR="008A4A9C" w:rsidRPr="00C3019D" w:rsidRDefault="00EA28FB" w:rsidP="00E8082E">
            <w:pPr>
              <w:jc w:val="left"/>
              <w:rPr>
                <w:sz w:val="20"/>
                <w:szCs w:val="20"/>
                <w:lang w:val="fr-FR"/>
              </w:rPr>
            </w:pPr>
            <w:r w:rsidRPr="003A3AC1">
              <w:rPr>
                <w:sz w:val="20"/>
                <w:szCs w:val="20"/>
                <w:lang w:val="fr-FR"/>
              </w:rPr>
              <w:t xml:space="preserve">Zone de </w:t>
            </w:r>
            <w:r w:rsidR="00D46292">
              <w:rPr>
                <w:sz w:val="20"/>
                <w:szCs w:val="20"/>
                <w:lang w:val="fr-FR"/>
              </w:rPr>
              <w:t xml:space="preserve">tests </w:t>
            </w:r>
            <w:r w:rsidRPr="00EA28FB">
              <w:rPr>
                <w:sz w:val="20"/>
                <w:szCs w:val="20"/>
                <w:lang w:val="fr-FR"/>
              </w:rPr>
              <w:t xml:space="preserve">(modifications de </w:t>
            </w:r>
            <w:r w:rsidR="00E8082E">
              <w:rPr>
                <w:sz w:val="20"/>
                <w:szCs w:val="20"/>
                <w:lang w:val="fr-FR"/>
              </w:rPr>
              <w:t>la zone</w:t>
            </w:r>
            <w:r w:rsidRPr="00EA28FB">
              <w:rPr>
                <w:sz w:val="20"/>
                <w:szCs w:val="20"/>
                <w:lang w:val="fr-FR"/>
              </w:rPr>
              <w:t xml:space="preserve"> </w:t>
            </w:r>
            <w:r w:rsidR="00E8082E">
              <w:rPr>
                <w:sz w:val="20"/>
                <w:szCs w:val="20"/>
                <w:lang w:val="fr-FR"/>
              </w:rPr>
              <w:t xml:space="preserve">réservée aux </w:t>
            </w:r>
            <w:r w:rsidRPr="00EA28FB">
              <w:rPr>
                <w:sz w:val="20"/>
                <w:szCs w:val="20"/>
                <w:lang w:val="fr-FR"/>
              </w:rPr>
              <w:t>essai</w:t>
            </w:r>
            <w:r w:rsidR="00E8082E">
              <w:rPr>
                <w:sz w:val="20"/>
                <w:szCs w:val="20"/>
                <w:lang w:val="fr-FR"/>
              </w:rPr>
              <w:t>s</w:t>
            </w:r>
            <w:r w:rsidRPr="00EA28FB">
              <w:rPr>
                <w:sz w:val="20"/>
                <w:szCs w:val="20"/>
                <w:lang w:val="fr-FR"/>
              </w:rPr>
              <w:t>, systèmes de sécurité et ventilation)</w:t>
            </w:r>
          </w:p>
        </w:tc>
        <w:tc>
          <w:tcPr>
            <w:tcW w:w="551" w:type="pct"/>
          </w:tcPr>
          <w:p w:rsidR="008A4A9C" w:rsidRPr="001F1E0E" w:rsidRDefault="008A4A9C" w:rsidP="00CA3727">
            <w:pPr>
              <w:spacing w:line="259" w:lineRule="auto"/>
              <w:ind w:right="9"/>
              <w:jc w:val="right"/>
              <w:rPr>
                <w:sz w:val="20"/>
                <w:szCs w:val="20"/>
                <w:lang w:val="en-CA"/>
              </w:rPr>
            </w:pPr>
            <w:r w:rsidRPr="001F1E0E">
              <w:rPr>
                <w:sz w:val="20"/>
                <w:szCs w:val="20"/>
                <w:lang w:val="en-CA"/>
              </w:rPr>
              <w:t>122</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CA3727">
            <w:pPr>
              <w:spacing w:line="259" w:lineRule="auto"/>
              <w:ind w:right="9"/>
              <w:jc w:val="right"/>
              <w:rPr>
                <w:sz w:val="20"/>
                <w:szCs w:val="20"/>
                <w:lang w:val="en-CA"/>
              </w:rPr>
            </w:pPr>
            <w:r w:rsidRPr="001F1E0E">
              <w:rPr>
                <w:sz w:val="20"/>
                <w:szCs w:val="20"/>
                <w:lang w:val="en-CA"/>
              </w:rPr>
              <w:t>82</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77</w:t>
            </w:r>
            <w:r w:rsidR="00E8082E">
              <w:rPr>
                <w:sz w:val="20"/>
                <w:szCs w:val="20"/>
                <w:lang w:val="en-CA"/>
              </w:rPr>
              <w:t> </w:t>
            </w:r>
            <w:r w:rsidRPr="001F1E0E">
              <w:rPr>
                <w:sz w:val="20"/>
                <w:szCs w:val="20"/>
                <w:lang w:val="en-CA"/>
              </w:rPr>
              <w:t xml:space="preserve">490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30</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100</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411</w:t>
            </w:r>
            <w:r w:rsidR="00E8082E">
              <w:rPr>
                <w:sz w:val="20"/>
                <w:szCs w:val="20"/>
                <w:lang w:val="en-CA"/>
              </w:rPr>
              <w:t> </w:t>
            </w:r>
            <w:r w:rsidRPr="001F1E0E">
              <w:rPr>
                <w:sz w:val="20"/>
                <w:szCs w:val="20"/>
                <w:lang w:val="en-CA"/>
              </w:rPr>
              <w:t>490</w:t>
            </w:r>
          </w:p>
        </w:tc>
      </w:tr>
      <w:tr w:rsidR="00093F0D" w:rsidRPr="001F1E0E" w:rsidTr="00472458">
        <w:tc>
          <w:tcPr>
            <w:tcW w:w="1627" w:type="pct"/>
          </w:tcPr>
          <w:p w:rsidR="008A4A9C" w:rsidRPr="00C3019D" w:rsidRDefault="00EA28FB" w:rsidP="005B6FC5">
            <w:pPr>
              <w:jc w:val="left"/>
              <w:rPr>
                <w:sz w:val="20"/>
                <w:szCs w:val="20"/>
                <w:lang w:val="fr-FR"/>
              </w:rPr>
            </w:pPr>
            <w:r w:rsidRPr="00EA28FB">
              <w:rPr>
                <w:sz w:val="20"/>
                <w:szCs w:val="20"/>
                <w:lang w:val="fr-FR"/>
              </w:rPr>
              <w:t>Chambres de laboratoire (récupération des frigorigènes,</w:t>
            </w:r>
            <w:r w:rsidR="00D77991">
              <w:rPr>
                <w:sz w:val="20"/>
                <w:szCs w:val="20"/>
                <w:lang w:val="fr-FR"/>
              </w:rPr>
              <w:t xml:space="preserve"> </w:t>
            </w:r>
            <w:r w:rsidRPr="00EA28FB">
              <w:rPr>
                <w:sz w:val="20"/>
                <w:szCs w:val="20"/>
                <w:lang w:val="fr-FR"/>
              </w:rPr>
              <w:t>systèmes de sécurité et</w:t>
            </w:r>
            <w:r w:rsidR="00D77991">
              <w:rPr>
                <w:sz w:val="20"/>
                <w:szCs w:val="20"/>
                <w:lang w:val="fr-FR"/>
              </w:rPr>
              <w:t xml:space="preserve"> </w:t>
            </w:r>
            <w:r w:rsidRPr="00EA28FB">
              <w:rPr>
                <w:sz w:val="20"/>
                <w:szCs w:val="20"/>
                <w:lang w:val="fr-FR"/>
              </w:rPr>
              <w:t>ventilation)</w:t>
            </w:r>
          </w:p>
        </w:tc>
        <w:tc>
          <w:tcPr>
            <w:tcW w:w="551" w:type="pct"/>
          </w:tcPr>
          <w:p w:rsidR="008A4A9C" w:rsidRPr="001F1E0E" w:rsidRDefault="008A4A9C" w:rsidP="00CA3727">
            <w:pPr>
              <w:spacing w:line="259" w:lineRule="auto"/>
              <w:ind w:right="9"/>
              <w:jc w:val="right"/>
              <w:rPr>
                <w:sz w:val="20"/>
                <w:szCs w:val="20"/>
                <w:lang w:val="en-CA"/>
              </w:rPr>
            </w:pPr>
            <w:r w:rsidRPr="001F1E0E">
              <w:rPr>
                <w:sz w:val="20"/>
                <w:szCs w:val="20"/>
                <w:lang w:val="en-CA"/>
              </w:rPr>
              <w:t>183</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CA3727">
            <w:pPr>
              <w:spacing w:line="259" w:lineRule="auto"/>
              <w:ind w:right="9"/>
              <w:jc w:val="right"/>
              <w:rPr>
                <w:sz w:val="20"/>
                <w:szCs w:val="20"/>
                <w:lang w:val="en-CA"/>
              </w:rPr>
            </w:pPr>
            <w:r w:rsidRPr="001F1E0E">
              <w:rPr>
                <w:sz w:val="20"/>
                <w:szCs w:val="20"/>
                <w:lang w:val="en-CA"/>
              </w:rPr>
              <w:t>61</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38</w:t>
            </w:r>
            <w:r w:rsidR="00E8082E">
              <w:rPr>
                <w:sz w:val="20"/>
                <w:szCs w:val="20"/>
                <w:lang w:val="en-CA"/>
              </w:rPr>
              <w:t> </w:t>
            </w:r>
            <w:r w:rsidRPr="001F1E0E">
              <w:rPr>
                <w:sz w:val="20"/>
                <w:szCs w:val="20"/>
                <w:lang w:val="en-CA"/>
              </w:rPr>
              <w:t xml:space="preserve">430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61</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61</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404</w:t>
            </w:r>
            <w:r w:rsidR="00E8082E">
              <w:rPr>
                <w:sz w:val="20"/>
                <w:szCs w:val="20"/>
                <w:lang w:val="en-CA"/>
              </w:rPr>
              <w:t> </w:t>
            </w:r>
            <w:r w:rsidRPr="001F1E0E">
              <w:rPr>
                <w:sz w:val="20"/>
                <w:szCs w:val="20"/>
                <w:lang w:val="en-CA"/>
              </w:rPr>
              <w:t>430</w:t>
            </w:r>
          </w:p>
        </w:tc>
      </w:tr>
      <w:tr w:rsidR="00093F0D" w:rsidRPr="001F1E0E" w:rsidTr="00472458">
        <w:tc>
          <w:tcPr>
            <w:tcW w:w="1627" w:type="pct"/>
          </w:tcPr>
          <w:p w:rsidR="008A4A9C" w:rsidRPr="00EA28FB" w:rsidRDefault="00EA28FB" w:rsidP="005B6FC5">
            <w:pPr>
              <w:jc w:val="left"/>
              <w:rPr>
                <w:sz w:val="20"/>
                <w:szCs w:val="20"/>
                <w:lang w:val="en-CA"/>
              </w:rPr>
            </w:pPr>
            <w:r w:rsidRPr="00EA28FB">
              <w:rPr>
                <w:sz w:val="20"/>
                <w:szCs w:val="20"/>
                <w:lang w:val="fr-FR"/>
              </w:rPr>
              <w:t>Général (pièces de rechange)</w:t>
            </w:r>
          </w:p>
        </w:tc>
        <w:tc>
          <w:tcPr>
            <w:tcW w:w="551" w:type="pct"/>
          </w:tcPr>
          <w:p w:rsidR="008A4A9C" w:rsidRPr="001F1E0E" w:rsidRDefault="008A4A9C" w:rsidP="00CA3727">
            <w:pPr>
              <w:spacing w:line="259" w:lineRule="auto"/>
              <w:ind w:right="8"/>
              <w:jc w:val="right"/>
              <w:rPr>
                <w:sz w:val="20"/>
                <w:szCs w:val="20"/>
                <w:lang w:val="en-CA"/>
              </w:rPr>
            </w:pPr>
            <w:r w:rsidRPr="001F1E0E">
              <w:rPr>
                <w:sz w:val="20"/>
                <w:szCs w:val="20"/>
                <w:lang w:val="en-CA"/>
              </w:rPr>
              <w:t>30</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CA3727">
            <w:pPr>
              <w:spacing w:line="259" w:lineRule="auto"/>
              <w:ind w:right="8"/>
              <w:jc w:val="right"/>
              <w:rPr>
                <w:sz w:val="20"/>
                <w:szCs w:val="20"/>
                <w:lang w:val="en-CA"/>
              </w:rPr>
            </w:pPr>
            <w:r w:rsidRPr="001F1E0E">
              <w:rPr>
                <w:sz w:val="20"/>
                <w:szCs w:val="20"/>
                <w:lang w:val="en-CA"/>
              </w:rPr>
              <w:t>30</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28</w:t>
            </w:r>
            <w:r w:rsidR="00E8082E">
              <w:rPr>
                <w:sz w:val="20"/>
                <w:szCs w:val="20"/>
                <w:lang w:val="en-CA"/>
              </w:rPr>
              <w:t> </w:t>
            </w:r>
            <w:r w:rsidRPr="001F1E0E">
              <w:rPr>
                <w:sz w:val="20"/>
                <w:szCs w:val="20"/>
                <w:lang w:val="en-CA"/>
              </w:rPr>
              <w:t xml:space="preserve">350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7</w:t>
            </w:r>
            <w:r w:rsidR="00E8082E">
              <w:rPr>
                <w:sz w:val="20"/>
                <w:szCs w:val="20"/>
                <w:lang w:val="en-CA"/>
              </w:rPr>
              <w:t> </w:t>
            </w:r>
            <w:r w:rsidRPr="001F1E0E">
              <w:rPr>
                <w:sz w:val="20"/>
                <w:szCs w:val="20"/>
                <w:lang w:val="en-CA"/>
              </w:rPr>
              <w:t xml:space="preserve">500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30</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125</w:t>
            </w:r>
            <w:r w:rsidR="00E8082E">
              <w:rPr>
                <w:sz w:val="20"/>
                <w:szCs w:val="20"/>
                <w:lang w:val="en-CA"/>
              </w:rPr>
              <w:t> </w:t>
            </w:r>
            <w:r w:rsidRPr="001F1E0E">
              <w:rPr>
                <w:sz w:val="20"/>
                <w:szCs w:val="20"/>
                <w:lang w:val="en-CA"/>
              </w:rPr>
              <w:t>850</w:t>
            </w:r>
          </w:p>
        </w:tc>
      </w:tr>
      <w:tr w:rsidR="00093F0D" w:rsidRPr="001F1E0E" w:rsidTr="00472458">
        <w:tc>
          <w:tcPr>
            <w:tcW w:w="1627" w:type="pct"/>
          </w:tcPr>
          <w:p w:rsidR="008A4A9C" w:rsidRPr="00C3019D" w:rsidRDefault="003B6B2E" w:rsidP="005B6FC5">
            <w:pPr>
              <w:jc w:val="left"/>
              <w:rPr>
                <w:sz w:val="20"/>
                <w:szCs w:val="20"/>
                <w:lang w:val="fr-FR"/>
              </w:rPr>
            </w:pPr>
            <w:r w:rsidRPr="003B6B2E">
              <w:rPr>
                <w:sz w:val="20"/>
                <w:szCs w:val="20"/>
                <w:lang w:val="fr-FR"/>
              </w:rPr>
              <w:t>Ingénierie</w:t>
            </w:r>
            <w:r w:rsidR="00EA28FB" w:rsidRPr="003B6B2E">
              <w:rPr>
                <w:sz w:val="20"/>
                <w:szCs w:val="20"/>
                <w:lang w:val="fr-FR"/>
              </w:rPr>
              <w:t xml:space="preserve">, </w:t>
            </w:r>
            <w:r w:rsidRPr="003B6B2E">
              <w:rPr>
                <w:sz w:val="20"/>
                <w:szCs w:val="20"/>
                <w:lang w:val="fr-FR"/>
              </w:rPr>
              <w:t>i</w:t>
            </w:r>
            <w:r w:rsidR="00EA28FB" w:rsidRPr="003B6B2E">
              <w:rPr>
                <w:sz w:val="20"/>
                <w:szCs w:val="20"/>
                <w:lang w:val="fr-FR"/>
              </w:rPr>
              <w:t xml:space="preserve">nstallation, certification </w:t>
            </w:r>
            <w:r w:rsidRPr="003B6B2E">
              <w:rPr>
                <w:sz w:val="20"/>
                <w:szCs w:val="20"/>
                <w:lang w:val="fr-FR"/>
              </w:rPr>
              <w:t>et formation</w:t>
            </w:r>
          </w:p>
        </w:tc>
        <w:tc>
          <w:tcPr>
            <w:tcW w:w="551" w:type="pct"/>
          </w:tcPr>
          <w:p w:rsidR="008A4A9C" w:rsidRPr="001F1E0E" w:rsidRDefault="008A4A9C" w:rsidP="00CA3727">
            <w:pPr>
              <w:spacing w:line="259" w:lineRule="auto"/>
              <w:ind w:right="9"/>
              <w:jc w:val="right"/>
              <w:rPr>
                <w:sz w:val="20"/>
                <w:szCs w:val="20"/>
                <w:lang w:val="en-CA"/>
              </w:rPr>
            </w:pPr>
            <w:r w:rsidRPr="001F1E0E">
              <w:rPr>
                <w:sz w:val="20"/>
                <w:szCs w:val="20"/>
                <w:lang w:val="en-CA"/>
              </w:rPr>
              <w:t>143</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CA3727">
            <w:pPr>
              <w:spacing w:line="259" w:lineRule="auto"/>
              <w:ind w:right="9"/>
              <w:jc w:val="right"/>
              <w:rPr>
                <w:sz w:val="20"/>
                <w:szCs w:val="20"/>
                <w:lang w:val="en-CA"/>
              </w:rPr>
            </w:pPr>
            <w:r w:rsidRPr="001F1E0E">
              <w:rPr>
                <w:sz w:val="20"/>
                <w:szCs w:val="20"/>
                <w:lang w:val="en-CA"/>
              </w:rPr>
              <w:t>98</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118</w:t>
            </w:r>
            <w:r w:rsidR="00E8082E">
              <w:rPr>
                <w:sz w:val="20"/>
                <w:szCs w:val="20"/>
                <w:lang w:val="en-CA"/>
              </w:rPr>
              <w:t> </w:t>
            </w:r>
            <w:r w:rsidRPr="001F1E0E">
              <w:rPr>
                <w:sz w:val="20"/>
                <w:szCs w:val="20"/>
                <w:lang w:val="en-CA"/>
              </w:rPr>
              <w:t xml:space="preserve">440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77</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138</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574</w:t>
            </w:r>
            <w:r w:rsidR="00E8082E">
              <w:rPr>
                <w:sz w:val="20"/>
                <w:szCs w:val="20"/>
                <w:lang w:val="en-CA"/>
              </w:rPr>
              <w:t> </w:t>
            </w:r>
            <w:r w:rsidRPr="001F1E0E">
              <w:rPr>
                <w:sz w:val="20"/>
                <w:szCs w:val="20"/>
                <w:lang w:val="en-CA"/>
              </w:rPr>
              <w:t>440</w:t>
            </w:r>
          </w:p>
        </w:tc>
      </w:tr>
      <w:tr w:rsidR="00093F0D" w:rsidRPr="001F1E0E" w:rsidTr="00472458">
        <w:tc>
          <w:tcPr>
            <w:tcW w:w="1627" w:type="pct"/>
          </w:tcPr>
          <w:p w:rsidR="008A4A9C" w:rsidRPr="003B6B2E" w:rsidRDefault="003B6B2E" w:rsidP="005B6FC5">
            <w:pPr>
              <w:jc w:val="left"/>
              <w:rPr>
                <w:sz w:val="20"/>
                <w:szCs w:val="20"/>
                <w:lang w:val="en-CA"/>
              </w:rPr>
            </w:pPr>
            <w:r w:rsidRPr="003B6B2E">
              <w:rPr>
                <w:sz w:val="20"/>
                <w:szCs w:val="20"/>
                <w:lang w:val="fr-FR"/>
              </w:rPr>
              <w:t>Assistance technique</w:t>
            </w:r>
          </w:p>
        </w:tc>
        <w:tc>
          <w:tcPr>
            <w:tcW w:w="551" w:type="pct"/>
          </w:tcPr>
          <w:p w:rsidR="008A4A9C" w:rsidRPr="001F1E0E" w:rsidRDefault="008A4A9C" w:rsidP="00CA3727">
            <w:pPr>
              <w:spacing w:line="259" w:lineRule="auto"/>
              <w:ind w:right="9"/>
              <w:jc w:val="right"/>
              <w:rPr>
                <w:sz w:val="20"/>
                <w:szCs w:val="20"/>
                <w:lang w:val="en-CA"/>
              </w:rPr>
            </w:pPr>
            <w:r w:rsidRPr="001F1E0E">
              <w:rPr>
                <w:sz w:val="20"/>
                <w:szCs w:val="20"/>
                <w:lang w:val="en-CA"/>
              </w:rPr>
              <w:t>50</w:t>
            </w:r>
            <w:r w:rsidR="00E8082E">
              <w:rPr>
                <w:sz w:val="20"/>
                <w:szCs w:val="20"/>
                <w:lang w:val="en-CA"/>
              </w:rPr>
              <w:t> </w:t>
            </w:r>
            <w:r w:rsidRPr="001F1E0E">
              <w:rPr>
                <w:sz w:val="20"/>
                <w:szCs w:val="20"/>
                <w:lang w:val="en-CA"/>
              </w:rPr>
              <w:t xml:space="preserve">000 </w:t>
            </w:r>
          </w:p>
        </w:tc>
        <w:tc>
          <w:tcPr>
            <w:tcW w:w="542" w:type="pct"/>
          </w:tcPr>
          <w:p w:rsidR="008A4A9C" w:rsidRPr="001F1E0E" w:rsidRDefault="008A4A9C" w:rsidP="00CA3727">
            <w:pPr>
              <w:spacing w:line="259" w:lineRule="auto"/>
              <w:ind w:right="9"/>
              <w:jc w:val="right"/>
              <w:rPr>
                <w:sz w:val="20"/>
                <w:szCs w:val="20"/>
                <w:lang w:val="en-CA"/>
              </w:rPr>
            </w:pPr>
            <w:r w:rsidRPr="001F1E0E">
              <w:rPr>
                <w:sz w:val="20"/>
                <w:szCs w:val="20"/>
                <w:lang w:val="en-CA"/>
              </w:rPr>
              <w:t>50</w:t>
            </w:r>
            <w:r w:rsidR="00E8082E">
              <w:rPr>
                <w:sz w:val="20"/>
                <w:szCs w:val="20"/>
                <w:lang w:val="en-CA"/>
              </w:rPr>
              <w:t> </w:t>
            </w:r>
            <w:r w:rsidRPr="001F1E0E">
              <w:rPr>
                <w:sz w:val="20"/>
                <w:szCs w:val="20"/>
                <w:lang w:val="en-CA"/>
              </w:rPr>
              <w:t xml:space="preserve">000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31</w:t>
            </w:r>
            <w:r w:rsidR="00E8082E">
              <w:rPr>
                <w:sz w:val="20"/>
                <w:szCs w:val="20"/>
                <w:lang w:val="en-CA"/>
              </w:rPr>
              <w:t> </w:t>
            </w:r>
            <w:r w:rsidRPr="001F1E0E">
              <w:rPr>
                <w:sz w:val="20"/>
                <w:szCs w:val="20"/>
                <w:lang w:val="en-CA"/>
              </w:rPr>
              <w:t xml:space="preserve">500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50</w:t>
            </w:r>
            <w:r w:rsidR="00E8082E">
              <w:rPr>
                <w:sz w:val="20"/>
                <w:szCs w:val="20"/>
                <w:lang w:val="en-CA"/>
              </w:rPr>
              <w:t> </w:t>
            </w:r>
            <w:r w:rsidRPr="001F1E0E">
              <w:rPr>
                <w:sz w:val="20"/>
                <w:szCs w:val="20"/>
                <w:lang w:val="en-CA"/>
              </w:rPr>
              <w:t xml:space="preserve">000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50</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231</w:t>
            </w:r>
            <w:r w:rsidR="00E8082E">
              <w:rPr>
                <w:sz w:val="20"/>
                <w:szCs w:val="20"/>
                <w:lang w:val="en-CA"/>
              </w:rPr>
              <w:t> </w:t>
            </w:r>
            <w:r w:rsidRPr="001F1E0E">
              <w:rPr>
                <w:sz w:val="20"/>
                <w:szCs w:val="20"/>
                <w:lang w:val="en-CA"/>
              </w:rPr>
              <w:t>500</w:t>
            </w:r>
          </w:p>
        </w:tc>
      </w:tr>
      <w:tr w:rsidR="00093F0D" w:rsidRPr="001F1E0E" w:rsidTr="00472458">
        <w:tc>
          <w:tcPr>
            <w:tcW w:w="1627" w:type="pct"/>
          </w:tcPr>
          <w:p w:rsidR="008A4A9C" w:rsidRPr="001F1E0E" w:rsidRDefault="003B6B2E" w:rsidP="005B6FC5">
            <w:pPr>
              <w:spacing w:line="259" w:lineRule="auto"/>
              <w:jc w:val="left"/>
              <w:rPr>
                <w:sz w:val="20"/>
                <w:szCs w:val="20"/>
                <w:lang w:val="en-CA"/>
              </w:rPr>
            </w:pPr>
            <w:r w:rsidRPr="003B6B2E">
              <w:rPr>
                <w:sz w:val="20"/>
                <w:szCs w:val="20"/>
                <w:lang w:val="fr-FR"/>
              </w:rPr>
              <w:t>Imprévus</w:t>
            </w:r>
            <w:r w:rsidR="008A4A9C" w:rsidRPr="003B6B2E">
              <w:rPr>
                <w:sz w:val="20"/>
                <w:szCs w:val="20"/>
                <w:lang w:val="en-CA"/>
              </w:rPr>
              <w:t xml:space="preserve"> </w:t>
            </w:r>
          </w:p>
        </w:tc>
        <w:tc>
          <w:tcPr>
            <w:tcW w:w="551" w:type="pct"/>
          </w:tcPr>
          <w:p w:rsidR="008A4A9C" w:rsidRPr="001F1E0E" w:rsidRDefault="008A4A9C" w:rsidP="00CA3727">
            <w:pPr>
              <w:spacing w:line="259" w:lineRule="auto"/>
              <w:ind w:right="9"/>
              <w:jc w:val="right"/>
              <w:rPr>
                <w:sz w:val="20"/>
                <w:szCs w:val="20"/>
                <w:lang w:val="en-CA"/>
              </w:rPr>
            </w:pPr>
            <w:r w:rsidRPr="001F1E0E">
              <w:rPr>
                <w:sz w:val="20"/>
                <w:szCs w:val="20"/>
                <w:lang w:val="en-CA"/>
              </w:rPr>
              <w:t>116</w:t>
            </w:r>
            <w:r w:rsidR="00E8082E">
              <w:rPr>
                <w:sz w:val="20"/>
                <w:szCs w:val="20"/>
                <w:lang w:val="en-CA"/>
              </w:rPr>
              <w:t> </w:t>
            </w:r>
            <w:r w:rsidRPr="001F1E0E">
              <w:rPr>
                <w:sz w:val="20"/>
                <w:szCs w:val="20"/>
                <w:lang w:val="en-CA"/>
              </w:rPr>
              <w:t xml:space="preserve">650 </w:t>
            </w:r>
          </w:p>
        </w:tc>
        <w:tc>
          <w:tcPr>
            <w:tcW w:w="542" w:type="pct"/>
          </w:tcPr>
          <w:p w:rsidR="008A4A9C" w:rsidRPr="001F1E0E" w:rsidRDefault="008A4A9C" w:rsidP="00CA3727">
            <w:pPr>
              <w:spacing w:line="259" w:lineRule="auto"/>
              <w:ind w:right="9"/>
              <w:jc w:val="right"/>
              <w:rPr>
                <w:sz w:val="20"/>
                <w:szCs w:val="20"/>
                <w:lang w:val="en-CA"/>
              </w:rPr>
            </w:pPr>
            <w:r w:rsidRPr="001F1E0E">
              <w:rPr>
                <w:sz w:val="20"/>
                <w:szCs w:val="20"/>
                <w:lang w:val="en-CA"/>
              </w:rPr>
              <w:t>84</w:t>
            </w:r>
            <w:r w:rsidR="00E8082E">
              <w:rPr>
                <w:sz w:val="20"/>
                <w:szCs w:val="20"/>
                <w:lang w:val="en-CA"/>
              </w:rPr>
              <w:t> </w:t>
            </w:r>
            <w:r w:rsidRPr="001F1E0E">
              <w:rPr>
                <w:sz w:val="20"/>
                <w:szCs w:val="20"/>
                <w:lang w:val="en-CA"/>
              </w:rPr>
              <w:t xml:space="preserve">400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86</w:t>
            </w:r>
            <w:r w:rsidR="00E8082E">
              <w:rPr>
                <w:sz w:val="20"/>
                <w:szCs w:val="20"/>
                <w:lang w:val="en-CA"/>
              </w:rPr>
              <w:t> </w:t>
            </w:r>
            <w:r w:rsidRPr="001F1E0E">
              <w:rPr>
                <w:sz w:val="20"/>
                <w:szCs w:val="20"/>
                <w:lang w:val="en-CA"/>
              </w:rPr>
              <w:t xml:space="preserve">310 </w:t>
            </w:r>
          </w:p>
        </w:tc>
        <w:tc>
          <w:tcPr>
            <w:tcW w:w="541" w:type="pct"/>
          </w:tcPr>
          <w:p w:rsidR="008A4A9C" w:rsidRPr="001F1E0E" w:rsidRDefault="008A4A9C" w:rsidP="00CA3727">
            <w:pPr>
              <w:spacing w:line="259" w:lineRule="auto"/>
              <w:ind w:right="9"/>
              <w:jc w:val="right"/>
              <w:rPr>
                <w:sz w:val="20"/>
                <w:szCs w:val="20"/>
                <w:lang w:val="en-CA"/>
              </w:rPr>
            </w:pPr>
            <w:r w:rsidRPr="001F1E0E">
              <w:rPr>
                <w:sz w:val="20"/>
                <w:szCs w:val="20"/>
                <w:lang w:val="en-CA"/>
              </w:rPr>
              <w:t>54</w:t>
            </w:r>
            <w:r w:rsidR="00E8082E">
              <w:rPr>
                <w:sz w:val="20"/>
                <w:szCs w:val="20"/>
                <w:lang w:val="en-CA"/>
              </w:rPr>
              <w:t> </w:t>
            </w:r>
            <w:r w:rsidRPr="001F1E0E">
              <w:rPr>
                <w:sz w:val="20"/>
                <w:szCs w:val="20"/>
                <w:lang w:val="en-CA"/>
              </w:rPr>
              <w:t xml:space="preserve">950 </w:t>
            </w:r>
          </w:p>
        </w:tc>
        <w:tc>
          <w:tcPr>
            <w:tcW w:w="591" w:type="pct"/>
          </w:tcPr>
          <w:p w:rsidR="008A4A9C" w:rsidRPr="001F1E0E" w:rsidRDefault="008A4A9C" w:rsidP="00CA3727">
            <w:pPr>
              <w:spacing w:line="259" w:lineRule="auto"/>
              <w:ind w:right="9"/>
              <w:jc w:val="right"/>
              <w:rPr>
                <w:sz w:val="20"/>
                <w:szCs w:val="20"/>
                <w:lang w:val="en-CA"/>
              </w:rPr>
            </w:pPr>
            <w:r w:rsidRPr="001F1E0E">
              <w:rPr>
                <w:sz w:val="20"/>
                <w:szCs w:val="20"/>
                <w:lang w:val="en-CA"/>
              </w:rPr>
              <w:t>120</w:t>
            </w:r>
            <w:r w:rsidR="00E8082E">
              <w:rPr>
                <w:sz w:val="20"/>
                <w:szCs w:val="20"/>
                <w:lang w:val="en-CA"/>
              </w:rPr>
              <w:t> </w:t>
            </w:r>
            <w:r w:rsidRPr="001F1E0E">
              <w:rPr>
                <w:sz w:val="20"/>
                <w:szCs w:val="20"/>
                <w:lang w:val="en-CA"/>
              </w:rPr>
              <w:t xml:space="preserve">000 </w:t>
            </w:r>
          </w:p>
        </w:tc>
        <w:tc>
          <w:tcPr>
            <w:tcW w:w="607" w:type="pct"/>
          </w:tcPr>
          <w:p w:rsidR="008A4A9C" w:rsidRPr="001F1E0E" w:rsidRDefault="008A4A9C" w:rsidP="00162C8F">
            <w:pPr>
              <w:jc w:val="right"/>
              <w:rPr>
                <w:sz w:val="20"/>
                <w:szCs w:val="20"/>
                <w:lang w:val="en-CA"/>
              </w:rPr>
            </w:pPr>
            <w:r w:rsidRPr="001F1E0E">
              <w:rPr>
                <w:sz w:val="20"/>
                <w:szCs w:val="20"/>
                <w:lang w:val="en-CA"/>
              </w:rPr>
              <w:t>462</w:t>
            </w:r>
            <w:r w:rsidR="00E8082E">
              <w:rPr>
                <w:sz w:val="20"/>
                <w:szCs w:val="20"/>
                <w:lang w:val="en-CA"/>
              </w:rPr>
              <w:t> </w:t>
            </w:r>
            <w:r w:rsidRPr="001F1E0E">
              <w:rPr>
                <w:sz w:val="20"/>
                <w:szCs w:val="20"/>
                <w:lang w:val="en-CA"/>
              </w:rPr>
              <w:t>310</w:t>
            </w:r>
          </w:p>
        </w:tc>
      </w:tr>
      <w:tr w:rsidR="00093F0D" w:rsidRPr="001F1E0E" w:rsidTr="00472458">
        <w:tc>
          <w:tcPr>
            <w:tcW w:w="1627" w:type="pct"/>
          </w:tcPr>
          <w:p w:rsidR="008A4A9C" w:rsidRPr="003B6B2E" w:rsidRDefault="003B6B2E" w:rsidP="005B6FC5">
            <w:pPr>
              <w:jc w:val="left"/>
              <w:rPr>
                <w:b/>
                <w:sz w:val="20"/>
                <w:szCs w:val="20"/>
                <w:lang w:val="en-CA"/>
              </w:rPr>
            </w:pPr>
            <w:r w:rsidRPr="003B6B2E">
              <w:rPr>
                <w:b/>
                <w:sz w:val="20"/>
                <w:szCs w:val="20"/>
                <w:lang w:val="fr-FR"/>
              </w:rPr>
              <w:t>Total</w:t>
            </w:r>
          </w:p>
        </w:tc>
        <w:tc>
          <w:tcPr>
            <w:tcW w:w="551" w:type="pct"/>
          </w:tcPr>
          <w:p w:rsidR="008A4A9C" w:rsidRPr="001F1E0E" w:rsidRDefault="008A4A9C" w:rsidP="008A4A9C">
            <w:pPr>
              <w:spacing w:line="259" w:lineRule="auto"/>
              <w:ind w:right="11"/>
              <w:jc w:val="center"/>
              <w:rPr>
                <w:b/>
                <w:sz w:val="20"/>
                <w:szCs w:val="20"/>
                <w:lang w:val="en-CA"/>
              </w:rPr>
            </w:pPr>
            <w:r w:rsidRPr="001F1E0E">
              <w:rPr>
                <w:b/>
                <w:sz w:val="20"/>
                <w:szCs w:val="20"/>
                <w:lang w:val="en-CA"/>
              </w:rPr>
              <w:t>1</w:t>
            </w:r>
            <w:r w:rsidR="00E8082E">
              <w:rPr>
                <w:b/>
                <w:sz w:val="20"/>
                <w:szCs w:val="20"/>
                <w:lang w:val="en-CA"/>
              </w:rPr>
              <w:t> </w:t>
            </w:r>
            <w:r w:rsidRPr="001F1E0E">
              <w:rPr>
                <w:b/>
                <w:sz w:val="20"/>
                <w:szCs w:val="20"/>
                <w:lang w:val="en-CA"/>
              </w:rPr>
              <w:t>283</w:t>
            </w:r>
            <w:r w:rsidR="00E8082E">
              <w:rPr>
                <w:b/>
                <w:sz w:val="20"/>
                <w:szCs w:val="20"/>
                <w:lang w:val="en-CA"/>
              </w:rPr>
              <w:t> </w:t>
            </w:r>
            <w:r w:rsidRPr="001F1E0E">
              <w:rPr>
                <w:b/>
                <w:sz w:val="20"/>
                <w:szCs w:val="20"/>
                <w:lang w:val="en-CA"/>
              </w:rPr>
              <w:t xml:space="preserve">150 </w:t>
            </w:r>
          </w:p>
        </w:tc>
        <w:tc>
          <w:tcPr>
            <w:tcW w:w="542" w:type="pct"/>
          </w:tcPr>
          <w:p w:rsidR="008A4A9C" w:rsidRPr="001F1E0E" w:rsidRDefault="008A4A9C" w:rsidP="008A4A9C">
            <w:pPr>
              <w:spacing w:line="259" w:lineRule="auto"/>
              <w:ind w:right="9"/>
              <w:jc w:val="center"/>
              <w:rPr>
                <w:b/>
                <w:sz w:val="20"/>
                <w:szCs w:val="20"/>
                <w:lang w:val="en-CA"/>
              </w:rPr>
            </w:pPr>
            <w:r w:rsidRPr="001F1E0E">
              <w:rPr>
                <w:b/>
                <w:sz w:val="20"/>
                <w:szCs w:val="20"/>
                <w:lang w:val="en-CA"/>
              </w:rPr>
              <w:t>928</w:t>
            </w:r>
            <w:r w:rsidR="00E8082E">
              <w:rPr>
                <w:b/>
                <w:sz w:val="20"/>
                <w:szCs w:val="20"/>
                <w:lang w:val="en-CA"/>
              </w:rPr>
              <w:t> </w:t>
            </w:r>
            <w:r w:rsidRPr="001F1E0E">
              <w:rPr>
                <w:b/>
                <w:sz w:val="20"/>
                <w:szCs w:val="20"/>
                <w:lang w:val="en-CA"/>
              </w:rPr>
              <w:t xml:space="preserve">400 </w:t>
            </w:r>
          </w:p>
        </w:tc>
        <w:tc>
          <w:tcPr>
            <w:tcW w:w="541" w:type="pct"/>
          </w:tcPr>
          <w:p w:rsidR="008A4A9C" w:rsidRPr="001F1E0E" w:rsidRDefault="008A4A9C" w:rsidP="008A4A9C">
            <w:pPr>
              <w:spacing w:line="259" w:lineRule="auto"/>
              <w:ind w:right="9"/>
              <w:jc w:val="center"/>
              <w:rPr>
                <w:b/>
                <w:sz w:val="20"/>
                <w:szCs w:val="20"/>
                <w:lang w:val="en-CA"/>
              </w:rPr>
            </w:pPr>
            <w:r w:rsidRPr="001F1E0E">
              <w:rPr>
                <w:b/>
                <w:sz w:val="20"/>
                <w:szCs w:val="20"/>
                <w:lang w:val="en-CA"/>
              </w:rPr>
              <w:t>949</w:t>
            </w:r>
            <w:r w:rsidR="00E8082E">
              <w:rPr>
                <w:b/>
                <w:sz w:val="20"/>
                <w:szCs w:val="20"/>
                <w:lang w:val="en-CA"/>
              </w:rPr>
              <w:t> </w:t>
            </w:r>
            <w:r w:rsidRPr="001F1E0E">
              <w:rPr>
                <w:b/>
                <w:sz w:val="20"/>
                <w:szCs w:val="20"/>
                <w:lang w:val="en-CA"/>
              </w:rPr>
              <w:t xml:space="preserve">410 </w:t>
            </w:r>
          </w:p>
        </w:tc>
        <w:tc>
          <w:tcPr>
            <w:tcW w:w="541" w:type="pct"/>
          </w:tcPr>
          <w:p w:rsidR="008A4A9C" w:rsidRPr="001F1E0E" w:rsidRDefault="008A4A9C" w:rsidP="008A4A9C">
            <w:pPr>
              <w:spacing w:line="259" w:lineRule="auto"/>
              <w:ind w:right="9"/>
              <w:jc w:val="center"/>
              <w:rPr>
                <w:b/>
                <w:sz w:val="20"/>
                <w:szCs w:val="20"/>
                <w:lang w:val="en-CA"/>
              </w:rPr>
            </w:pPr>
            <w:r w:rsidRPr="001F1E0E">
              <w:rPr>
                <w:b/>
                <w:sz w:val="20"/>
                <w:szCs w:val="20"/>
                <w:lang w:val="en-CA"/>
              </w:rPr>
              <w:t>604</w:t>
            </w:r>
            <w:r w:rsidR="00E8082E">
              <w:rPr>
                <w:b/>
                <w:sz w:val="20"/>
                <w:szCs w:val="20"/>
                <w:lang w:val="en-CA"/>
              </w:rPr>
              <w:t> </w:t>
            </w:r>
            <w:r w:rsidRPr="001F1E0E">
              <w:rPr>
                <w:b/>
                <w:sz w:val="20"/>
                <w:szCs w:val="20"/>
                <w:lang w:val="en-CA"/>
              </w:rPr>
              <w:t xml:space="preserve">450 </w:t>
            </w:r>
          </w:p>
        </w:tc>
        <w:tc>
          <w:tcPr>
            <w:tcW w:w="591" w:type="pct"/>
          </w:tcPr>
          <w:p w:rsidR="008A4A9C" w:rsidRPr="001F1E0E" w:rsidRDefault="008A4A9C" w:rsidP="008A4A9C">
            <w:pPr>
              <w:spacing w:line="259" w:lineRule="auto"/>
              <w:ind w:right="12"/>
              <w:jc w:val="center"/>
              <w:rPr>
                <w:b/>
                <w:sz w:val="20"/>
                <w:szCs w:val="20"/>
                <w:lang w:val="en-CA"/>
              </w:rPr>
            </w:pPr>
            <w:r w:rsidRPr="001F1E0E">
              <w:rPr>
                <w:b/>
                <w:sz w:val="20"/>
                <w:szCs w:val="20"/>
                <w:lang w:val="en-CA"/>
              </w:rPr>
              <w:t>1</w:t>
            </w:r>
            <w:r w:rsidR="00E8082E">
              <w:rPr>
                <w:b/>
                <w:sz w:val="20"/>
                <w:szCs w:val="20"/>
                <w:lang w:val="en-CA"/>
              </w:rPr>
              <w:t> </w:t>
            </w:r>
            <w:r w:rsidRPr="001F1E0E">
              <w:rPr>
                <w:b/>
                <w:sz w:val="20"/>
                <w:szCs w:val="20"/>
                <w:lang w:val="en-CA"/>
              </w:rPr>
              <w:t>320</w:t>
            </w:r>
            <w:r w:rsidR="00E8082E">
              <w:rPr>
                <w:b/>
                <w:sz w:val="20"/>
                <w:szCs w:val="20"/>
                <w:lang w:val="en-CA"/>
              </w:rPr>
              <w:t> </w:t>
            </w:r>
            <w:r w:rsidRPr="001F1E0E">
              <w:rPr>
                <w:b/>
                <w:sz w:val="20"/>
                <w:szCs w:val="20"/>
                <w:lang w:val="en-CA"/>
              </w:rPr>
              <w:t xml:space="preserve">000 </w:t>
            </w:r>
          </w:p>
        </w:tc>
        <w:tc>
          <w:tcPr>
            <w:tcW w:w="607" w:type="pct"/>
          </w:tcPr>
          <w:p w:rsidR="008A4A9C" w:rsidRPr="001F1E0E" w:rsidRDefault="008A4A9C" w:rsidP="00162C8F">
            <w:pPr>
              <w:jc w:val="right"/>
              <w:rPr>
                <w:b/>
                <w:sz w:val="20"/>
                <w:szCs w:val="20"/>
                <w:lang w:val="en-CA"/>
              </w:rPr>
            </w:pPr>
            <w:r w:rsidRPr="001F1E0E">
              <w:rPr>
                <w:b/>
                <w:sz w:val="20"/>
                <w:szCs w:val="20"/>
                <w:lang w:val="en-CA"/>
              </w:rPr>
              <w:t>5</w:t>
            </w:r>
            <w:r w:rsidR="00E8082E">
              <w:rPr>
                <w:b/>
                <w:sz w:val="20"/>
                <w:szCs w:val="20"/>
                <w:lang w:val="en-CA"/>
              </w:rPr>
              <w:t> </w:t>
            </w:r>
            <w:r w:rsidRPr="001F1E0E">
              <w:rPr>
                <w:b/>
                <w:sz w:val="20"/>
                <w:szCs w:val="20"/>
                <w:lang w:val="en-CA"/>
              </w:rPr>
              <w:t>085</w:t>
            </w:r>
            <w:r w:rsidR="00E8082E">
              <w:rPr>
                <w:b/>
                <w:sz w:val="20"/>
                <w:szCs w:val="20"/>
                <w:lang w:val="en-CA"/>
              </w:rPr>
              <w:t> </w:t>
            </w:r>
            <w:r w:rsidRPr="001F1E0E">
              <w:rPr>
                <w:b/>
                <w:sz w:val="20"/>
                <w:szCs w:val="20"/>
                <w:lang w:val="en-CA"/>
              </w:rPr>
              <w:t>410</w:t>
            </w:r>
          </w:p>
        </w:tc>
      </w:tr>
    </w:tbl>
    <w:p w:rsidR="00EE6A4C" w:rsidRPr="00C3019D" w:rsidRDefault="003B6B2E" w:rsidP="003B6B2E">
      <w:pPr>
        <w:rPr>
          <w:sz w:val="16"/>
          <w:szCs w:val="16"/>
          <w:lang w:val="fr-FR"/>
        </w:rPr>
      </w:pPr>
      <w:r w:rsidRPr="003B6B2E">
        <w:rPr>
          <w:sz w:val="16"/>
          <w:szCs w:val="16"/>
          <w:lang w:val="fr-FR"/>
        </w:rPr>
        <w:t>*Après avoir pris en compte les 37 pour cent de capital ne relevant pas de l</w:t>
      </w:r>
      <w:r w:rsidR="00D77991">
        <w:rPr>
          <w:sz w:val="16"/>
          <w:szCs w:val="16"/>
          <w:lang w:val="fr-FR"/>
        </w:rPr>
        <w:t>’</w:t>
      </w:r>
      <w:r w:rsidRPr="003B6B2E">
        <w:rPr>
          <w:sz w:val="16"/>
          <w:szCs w:val="16"/>
          <w:lang w:val="fr-FR"/>
        </w:rPr>
        <w:t>article 5.</w:t>
      </w:r>
    </w:p>
    <w:p w:rsidR="00A917AD" w:rsidRPr="00C3019D" w:rsidRDefault="00A917AD" w:rsidP="00921E32">
      <w:pPr>
        <w:rPr>
          <w:lang w:val="fr-FR"/>
        </w:rPr>
      </w:pPr>
    </w:p>
    <w:p w:rsidR="003B6B2E" w:rsidRPr="00C3019D" w:rsidRDefault="003B6B2E" w:rsidP="003B6B2E">
      <w:pPr>
        <w:pStyle w:val="Heading1"/>
        <w:rPr>
          <w:lang w:val="fr-FR"/>
        </w:rPr>
      </w:pPr>
      <w:r w:rsidRPr="003B6B2E">
        <w:rPr>
          <w:lang w:val="fr-FR"/>
        </w:rPr>
        <w:t>Les</w:t>
      </w:r>
      <w:r w:rsidR="00D77991">
        <w:rPr>
          <w:lang w:val="fr-FR"/>
        </w:rPr>
        <w:t xml:space="preserve"> </w:t>
      </w:r>
      <w:r w:rsidRPr="003B6B2E">
        <w:rPr>
          <w:lang w:val="fr-FR"/>
        </w:rPr>
        <w:t>coûts différentiels d</w:t>
      </w:r>
      <w:r w:rsidR="00D77991">
        <w:rPr>
          <w:lang w:val="fr-FR"/>
        </w:rPr>
        <w:t>’</w:t>
      </w:r>
      <w:r w:rsidRPr="003B6B2E">
        <w:rPr>
          <w:lang w:val="fr-FR"/>
        </w:rPr>
        <w:t>exploitation (</w:t>
      </w:r>
      <w:r w:rsidR="00E8082E">
        <w:rPr>
          <w:lang w:val="fr-FR"/>
        </w:rPr>
        <w:t>CDE</w:t>
      </w:r>
      <w:r w:rsidRPr="003B6B2E">
        <w:rPr>
          <w:lang w:val="fr-FR"/>
        </w:rPr>
        <w:t>) basés sur une année d</w:t>
      </w:r>
      <w:r w:rsidR="00D77991">
        <w:rPr>
          <w:lang w:val="fr-FR"/>
        </w:rPr>
        <w:t>’</w:t>
      </w:r>
      <w:r w:rsidRPr="003B6B2E">
        <w:rPr>
          <w:lang w:val="fr-FR"/>
        </w:rPr>
        <w:t xml:space="preserve">exploitation avec le nouveau frigorigène ont été </w:t>
      </w:r>
      <w:r w:rsidR="00732221" w:rsidRPr="003B6B2E">
        <w:rPr>
          <w:lang w:val="fr-FR"/>
        </w:rPr>
        <w:t>calculés</w:t>
      </w:r>
      <w:r w:rsidRPr="003B6B2E">
        <w:rPr>
          <w:lang w:val="fr-FR"/>
        </w:rPr>
        <w:t xml:space="preserve"> en tenant compte de la consommation éligible de l</w:t>
      </w:r>
      <w:r w:rsidR="00D77991">
        <w:rPr>
          <w:lang w:val="fr-FR"/>
        </w:rPr>
        <w:t>’</w:t>
      </w:r>
      <w:r w:rsidRPr="003B6B2E">
        <w:rPr>
          <w:lang w:val="fr-FR"/>
        </w:rPr>
        <w:t>entreprise, calculé</w:t>
      </w:r>
      <w:r w:rsidR="00ED7EB2">
        <w:rPr>
          <w:lang w:val="fr-FR"/>
        </w:rPr>
        <w:t>e</w:t>
      </w:r>
      <w:r w:rsidRPr="003B6B2E">
        <w:rPr>
          <w:lang w:val="fr-FR"/>
        </w:rPr>
        <w:t xml:space="preserve"> en tant que moyenne pour 2016</w:t>
      </w:r>
      <w:r w:rsidRPr="003B6B2E">
        <w:rPr>
          <w:lang w:val="fr-FR"/>
        </w:rPr>
        <w:noBreakHyphen/>
        <w:t>2018, et le seuil des coûts différentiels d</w:t>
      </w:r>
      <w:r w:rsidR="00D77991">
        <w:rPr>
          <w:lang w:val="fr-FR"/>
        </w:rPr>
        <w:t>’</w:t>
      </w:r>
      <w:r w:rsidRPr="003B6B2E">
        <w:rPr>
          <w:lang w:val="fr-FR"/>
        </w:rPr>
        <w:t>exploitation de 6,30</w:t>
      </w:r>
      <w:r w:rsidR="00ED7EB2">
        <w:rPr>
          <w:lang w:val="fr-FR"/>
        </w:rPr>
        <w:t>$US</w:t>
      </w:r>
      <w:r w:rsidRPr="003B6B2E">
        <w:rPr>
          <w:lang w:val="fr-FR"/>
        </w:rPr>
        <w:t>/kg spécifiés dans la décision 74/50.</w:t>
      </w:r>
      <w:r w:rsidRPr="00C3019D">
        <w:rPr>
          <w:lang w:val="fr-FR"/>
        </w:rPr>
        <w:t xml:space="preserve"> </w:t>
      </w:r>
    </w:p>
    <w:p w:rsidR="00C436C0" w:rsidRPr="00C3019D" w:rsidRDefault="003B6B2E" w:rsidP="00C436C0">
      <w:pPr>
        <w:pStyle w:val="Heading1"/>
        <w:numPr>
          <w:ilvl w:val="0"/>
          <w:numId w:val="0"/>
        </w:numPr>
        <w:spacing w:after="0"/>
        <w:rPr>
          <w:b/>
          <w:lang w:val="fr-FR"/>
        </w:rPr>
      </w:pPr>
      <w:r w:rsidRPr="003B6B2E">
        <w:rPr>
          <w:b/>
          <w:lang w:val="fr-FR"/>
        </w:rPr>
        <w:t>Tableau 5. Total des coûts pour la reconversion chez les cinq fabricants ($US)</w:t>
      </w:r>
    </w:p>
    <w:tbl>
      <w:tblPr>
        <w:tblW w:w="4944" w:type="pct"/>
        <w:tblInd w:w="108" w:type="dxa"/>
        <w:tblLayout w:type="fixed"/>
        <w:tblLook w:val="04A0" w:firstRow="1" w:lastRow="0" w:firstColumn="1" w:lastColumn="0" w:noHBand="0" w:noVBand="1"/>
      </w:tblPr>
      <w:tblGrid>
        <w:gridCol w:w="1225"/>
        <w:gridCol w:w="1375"/>
        <w:gridCol w:w="1375"/>
        <w:gridCol w:w="1373"/>
        <w:gridCol w:w="1373"/>
        <w:gridCol w:w="1373"/>
        <w:gridCol w:w="1375"/>
      </w:tblGrid>
      <w:tr w:rsidR="00B43195" w:rsidRPr="001F1E0E" w:rsidTr="00A67DE3">
        <w:trPr>
          <w:trHeight w:val="143"/>
          <w:tblHeader/>
        </w:trPr>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rsidR="00B43195" w:rsidRPr="003B6B2E" w:rsidRDefault="003B6B2E" w:rsidP="005B6FC5">
            <w:pPr>
              <w:jc w:val="left"/>
              <w:rPr>
                <w:b/>
                <w:bCs/>
                <w:color w:val="000000"/>
                <w:sz w:val="20"/>
                <w:szCs w:val="20"/>
                <w:lang w:val="en-CA"/>
              </w:rPr>
            </w:pPr>
            <w:r w:rsidRPr="003B6B2E">
              <w:rPr>
                <w:b/>
                <w:bCs/>
                <w:color w:val="000000"/>
                <w:sz w:val="20"/>
                <w:szCs w:val="20"/>
                <w:lang w:val="fr-FR"/>
              </w:rPr>
              <w:t>Entreprise</w:t>
            </w:r>
          </w:p>
        </w:tc>
        <w:tc>
          <w:tcPr>
            <w:tcW w:w="726" w:type="pct"/>
            <w:tcBorders>
              <w:top w:val="single" w:sz="4" w:space="0" w:color="auto"/>
              <w:left w:val="nil"/>
              <w:bottom w:val="single" w:sz="4" w:space="0" w:color="auto"/>
              <w:right w:val="single" w:sz="4" w:space="0" w:color="auto"/>
            </w:tcBorders>
            <w:shd w:val="clear" w:color="auto" w:fill="auto"/>
            <w:noWrap/>
            <w:hideMark/>
          </w:tcPr>
          <w:p w:rsidR="00B43195" w:rsidRPr="003B6B2E" w:rsidRDefault="003B6B2E" w:rsidP="005B6FC5">
            <w:pPr>
              <w:jc w:val="center"/>
              <w:rPr>
                <w:b/>
                <w:bCs/>
                <w:color w:val="000000"/>
                <w:sz w:val="20"/>
                <w:szCs w:val="20"/>
                <w:lang w:val="en-CA"/>
              </w:rPr>
            </w:pPr>
            <w:r w:rsidRPr="003B6B2E">
              <w:rPr>
                <w:b/>
                <w:bCs/>
                <w:color w:val="000000"/>
                <w:sz w:val="20"/>
                <w:szCs w:val="20"/>
                <w:lang w:val="fr-FR"/>
              </w:rPr>
              <w:t>tm</w:t>
            </w:r>
          </w:p>
        </w:tc>
        <w:tc>
          <w:tcPr>
            <w:tcW w:w="726" w:type="pct"/>
            <w:tcBorders>
              <w:top w:val="single" w:sz="4" w:space="0" w:color="auto"/>
              <w:left w:val="nil"/>
              <w:bottom w:val="single" w:sz="4" w:space="0" w:color="auto"/>
              <w:right w:val="single" w:sz="4" w:space="0" w:color="auto"/>
            </w:tcBorders>
            <w:shd w:val="clear" w:color="auto" w:fill="auto"/>
            <w:noWrap/>
            <w:hideMark/>
          </w:tcPr>
          <w:p w:rsidR="00B43195" w:rsidRPr="003B6B2E" w:rsidRDefault="003B6B2E" w:rsidP="005B6FC5">
            <w:pPr>
              <w:jc w:val="center"/>
              <w:rPr>
                <w:b/>
                <w:bCs/>
                <w:color w:val="000000"/>
                <w:sz w:val="20"/>
                <w:szCs w:val="20"/>
                <w:lang w:val="en-CA"/>
              </w:rPr>
            </w:pPr>
            <w:r w:rsidRPr="003B6B2E">
              <w:rPr>
                <w:b/>
                <w:bCs/>
                <w:color w:val="000000"/>
                <w:sz w:val="20"/>
                <w:szCs w:val="20"/>
                <w:lang w:val="fr-FR"/>
              </w:rPr>
              <w:t>Tonnes PAO</w:t>
            </w:r>
          </w:p>
        </w:tc>
        <w:tc>
          <w:tcPr>
            <w:tcW w:w="725" w:type="pct"/>
            <w:tcBorders>
              <w:top w:val="single" w:sz="4" w:space="0" w:color="auto"/>
              <w:left w:val="nil"/>
              <w:bottom w:val="single" w:sz="4" w:space="0" w:color="auto"/>
              <w:right w:val="single" w:sz="4" w:space="0" w:color="auto"/>
            </w:tcBorders>
            <w:shd w:val="clear" w:color="auto" w:fill="auto"/>
            <w:hideMark/>
          </w:tcPr>
          <w:p w:rsidR="00B43195" w:rsidRPr="003B6B2E" w:rsidRDefault="00E8082E" w:rsidP="005B6FC5">
            <w:pPr>
              <w:jc w:val="center"/>
              <w:rPr>
                <w:b/>
                <w:bCs/>
                <w:color w:val="000000"/>
                <w:sz w:val="20"/>
                <w:szCs w:val="20"/>
                <w:lang w:val="en-CA"/>
              </w:rPr>
            </w:pPr>
            <w:r>
              <w:rPr>
                <w:b/>
                <w:bCs/>
                <w:color w:val="000000"/>
                <w:sz w:val="20"/>
                <w:szCs w:val="20"/>
                <w:lang w:val="fr-FR" w:eastAsia="pt-BR"/>
              </w:rPr>
              <w:t>CDI</w:t>
            </w:r>
            <w:r w:rsidR="003B6B2E" w:rsidRPr="003B6B2E">
              <w:rPr>
                <w:b/>
                <w:bCs/>
                <w:color w:val="000000"/>
                <w:sz w:val="20"/>
                <w:szCs w:val="20"/>
                <w:lang w:val="fr-FR" w:eastAsia="pt-BR"/>
              </w:rPr>
              <w:t xml:space="preserve"> ($US)</w:t>
            </w:r>
          </w:p>
        </w:tc>
        <w:tc>
          <w:tcPr>
            <w:tcW w:w="725" w:type="pct"/>
            <w:tcBorders>
              <w:top w:val="single" w:sz="4" w:space="0" w:color="auto"/>
              <w:left w:val="nil"/>
              <w:bottom w:val="single" w:sz="4" w:space="0" w:color="auto"/>
              <w:right w:val="single" w:sz="4" w:space="0" w:color="auto"/>
            </w:tcBorders>
            <w:shd w:val="clear" w:color="auto" w:fill="auto"/>
            <w:hideMark/>
          </w:tcPr>
          <w:p w:rsidR="00B43195" w:rsidRPr="003B6B2E" w:rsidRDefault="00E8082E" w:rsidP="005B6FC5">
            <w:pPr>
              <w:jc w:val="center"/>
              <w:rPr>
                <w:b/>
                <w:bCs/>
                <w:color w:val="000000"/>
                <w:sz w:val="20"/>
                <w:szCs w:val="20"/>
                <w:lang w:val="en-CA"/>
              </w:rPr>
            </w:pPr>
            <w:r>
              <w:rPr>
                <w:b/>
                <w:bCs/>
                <w:color w:val="000000"/>
                <w:sz w:val="20"/>
                <w:szCs w:val="20"/>
                <w:lang w:val="fr-FR"/>
              </w:rPr>
              <w:t>CDE</w:t>
            </w:r>
            <w:r w:rsidR="003B6B2E" w:rsidRPr="003B6B2E">
              <w:rPr>
                <w:b/>
                <w:bCs/>
                <w:color w:val="000000"/>
                <w:sz w:val="20"/>
                <w:szCs w:val="20"/>
                <w:lang w:val="fr-FR"/>
              </w:rPr>
              <w:t xml:space="preserve"> ($US)</w:t>
            </w:r>
          </w:p>
        </w:tc>
        <w:tc>
          <w:tcPr>
            <w:tcW w:w="725" w:type="pct"/>
            <w:tcBorders>
              <w:top w:val="single" w:sz="4" w:space="0" w:color="auto"/>
              <w:left w:val="nil"/>
              <w:bottom w:val="single" w:sz="4" w:space="0" w:color="auto"/>
              <w:right w:val="single" w:sz="4" w:space="0" w:color="auto"/>
            </w:tcBorders>
            <w:shd w:val="clear" w:color="auto" w:fill="auto"/>
            <w:hideMark/>
          </w:tcPr>
          <w:p w:rsidR="00B43195" w:rsidRPr="003B6B2E" w:rsidRDefault="003B6B2E" w:rsidP="005B6FC5">
            <w:pPr>
              <w:jc w:val="center"/>
              <w:rPr>
                <w:b/>
                <w:bCs/>
                <w:color w:val="000000"/>
                <w:sz w:val="20"/>
                <w:szCs w:val="20"/>
                <w:lang w:val="en-CA"/>
              </w:rPr>
            </w:pPr>
            <w:r w:rsidRPr="003B6B2E">
              <w:rPr>
                <w:b/>
                <w:bCs/>
                <w:color w:val="000000"/>
                <w:sz w:val="20"/>
                <w:szCs w:val="20"/>
                <w:lang w:val="fr-FR"/>
              </w:rPr>
              <w:t>Total ($US)</w:t>
            </w:r>
          </w:p>
        </w:tc>
        <w:tc>
          <w:tcPr>
            <w:tcW w:w="726" w:type="pct"/>
            <w:tcBorders>
              <w:top w:val="single" w:sz="4" w:space="0" w:color="auto"/>
              <w:left w:val="nil"/>
              <w:bottom w:val="single" w:sz="4" w:space="0" w:color="auto"/>
              <w:right w:val="single" w:sz="4" w:space="0" w:color="auto"/>
            </w:tcBorders>
          </w:tcPr>
          <w:p w:rsidR="00B43195" w:rsidRPr="003B6B2E" w:rsidRDefault="003B6B2E" w:rsidP="005B6FC5">
            <w:pPr>
              <w:jc w:val="center"/>
              <w:rPr>
                <w:b/>
                <w:bCs/>
                <w:color w:val="000000"/>
                <w:sz w:val="20"/>
                <w:szCs w:val="20"/>
                <w:highlight w:val="cyan"/>
                <w:lang w:val="en-CA"/>
              </w:rPr>
            </w:pPr>
            <w:r w:rsidRPr="003B6B2E">
              <w:rPr>
                <w:b/>
                <w:bCs/>
                <w:color w:val="000000"/>
                <w:sz w:val="20"/>
                <w:szCs w:val="20"/>
                <w:lang w:val="fr-FR"/>
              </w:rPr>
              <w:t>C-E ($US/kg)</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tcPr>
          <w:p w:rsidR="00B43195" w:rsidRPr="003B6B2E" w:rsidRDefault="003B6B2E" w:rsidP="005B6FC5">
            <w:pPr>
              <w:rPr>
                <w:sz w:val="20"/>
                <w:szCs w:val="20"/>
                <w:lang w:val="en-CA"/>
              </w:rPr>
            </w:pPr>
            <w:r w:rsidRPr="003B6B2E">
              <w:rPr>
                <w:sz w:val="20"/>
                <w:szCs w:val="20"/>
                <w:lang w:val="fr-FR"/>
              </w:rPr>
              <w:t>El-Araby</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228</w:t>
            </w:r>
            <w:r w:rsidR="00ED7EB2">
              <w:rPr>
                <w:color w:val="000000"/>
                <w:sz w:val="20"/>
                <w:szCs w:val="20"/>
                <w:lang w:val="en-CA"/>
              </w:rPr>
              <w:t>,</w:t>
            </w:r>
            <w:r w:rsidRPr="001F1E0E">
              <w:rPr>
                <w:color w:val="000000"/>
                <w:sz w:val="20"/>
                <w:szCs w:val="20"/>
                <w:lang w:val="en-CA"/>
              </w:rPr>
              <w:t>45</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12</w:t>
            </w:r>
            <w:r w:rsidR="00ED7EB2">
              <w:rPr>
                <w:color w:val="000000"/>
                <w:sz w:val="20"/>
                <w:szCs w:val="20"/>
                <w:lang w:val="en-CA"/>
              </w:rPr>
              <w:t>,</w:t>
            </w:r>
            <w:r w:rsidRPr="001F1E0E">
              <w:rPr>
                <w:color w:val="000000"/>
                <w:sz w:val="20"/>
                <w:szCs w:val="20"/>
                <w:lang w:val="en-CA"/>
              </w:rPr>
              <w:t>56</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1</w:t>
            </w:r>
            <w:r w:rsidR="00ED7EB2">
              <w:rPr>
                <w:sz w:val="20"/>
                <w:szCs w:val="20"/>
                <w:lang w:val="en-CA"/>
              </w:rPr>
              <w:t> </w:t>
            </w:r>
            <w:r w:rsidRPr="001F1E0E">
              <w:rPr>
                <w:sz w:val="20"/>
                <w:szCs w:val="20"/>
                <w:lang w:val="en-CA"/>
              </w:rPr>
              <w:t>283</w:t>
            </w:r>
            <w:r w:rsidR="00ED7EB2">
              <w:rPr>
                <w:sz w:val="20"/>
                <w:szCs w:val="20"/>
                <w:lang w:val="en-CA"/>
              </w:rPr>
              <w:t> </w:t>
            </w:r>
            <w:r w:rsidRPr="001F1E0E">
              <w:rPr>
                <w:sz w:val="20"/>
                <w:szCs w:val="20"/>
                <w:lang w:val="en-CA"/>
              </w:rPr>
              <w:t xml:space="preserve">150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1</w:t>
            </w:r>
            <w:r w:rsidR="00ED7EB2">
              <w:rPr>
                <w:sz w:val="20"/>
                <w:szCs w:val="20"/>
                <w:lang w:val="en-CA"/>
              </w:rPr>
              <w:t> </w:t>
            </w:r>
            <w:r w:rsidRPr="001F1E0E">
              <w:rPr>
                <w:sz w:val="20"/>
                <w:szCs w:val="20"/>
                <w:lang w:val="en-CA"/>
              </w:rPr>
              <w:t>439</w:t>
            </w:r>
            <w:r w:rsidR="00ED7EB2">
              <w:rPr>
                <w:sz w:val="20"/>
                <w:szCs w:val="20"/>
                <w:lang w:val="en-CA"/>
              </w:rPr>
              <w:t> </w:t>
            </w:r>
            <w:r w:rsidRPr="001F1E0E">
              <w:rPr>
                <w:sz w:val="20"/>
                <w:szCs w:val="20"/>
                <w:lang w:val="en-CA"/>
              </w:rPr>
              <w:t xml:space="preserve">222 </w:t>
            </w:r>
          </w:p>
        </w:tc>
        <w:tc>
          <w:tcPr>
            <w:tcW w:w="725"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spacing w:line="259" w:lineRule="auto"/>
              <w:ind w:right="47"/>
              <w:jc w:val="right"/>
              <w:rPr>
                <w:sz w:val="20"/>
                <w:szCs w:val="20"/>
                <w:lang w:val="en-CA"/>
              </w:rPr>
            </w:pPr>
            <w:r w:rsidRPr="001F1E0E">
              <w:rPr>
                <w:sz w:val="20"/>
                <w:szCs w:val="20"/>
                <w:lang w:val="en-CA"/>
              </w:rPr>
              <w:t>2</w:t>
            </w:r>
            <w:r w:rsidR="00ED7EB2">
              <w:rPr>
                <w:sz w:val="20"/>
                <w:szCs w:val="20"/>
                <w:lang w:val="en-CA"/>
              </w:rPr>
              <w:t> </w:t>
            </w:r>
            <w:r w:rsidRPr="001F1E0E">
              <w:rPr>
                <w:sz w:val="20"/>
                <w:szCs w:val="20"/>
                <w:lang w:val="en-CA"/>
              </w:rPr>
              <w:t>722</w:t>
            </w:r>
            <w:r w:rsidR="00ED7EB2">
              <w:rPr>
                <w:sz w:val="20"/>
                <w:szCs w:val="20"/>
                <w:lang w:val="en-CA"/>
              </w:rPr>
              <w:t> </w:t>
            </w:r>
            <w:r w:rsidRPr="001F1E0E">
              <w:rPr>
                <w:sz w:val="20"/>
                <w:szCs w:val="20"/>
                <w:lang w:val="en-CA"/>
              </w:rPr>
              <w:t xml:space="preserve">372 </w:t>
            </w:r>
          </w:p>
        </w:tc>
        <w:tc>
          <w:tcPr>
            <w:tcW w:w="726" w:type="pct"/>
            <w:tcBorders>
              <w:top w:val="nil"/>
              <w:left w:val="nil"/>
              <w:bottom w:val="single" w:sz="4" w:space="0" w:color="auto"/>
              <w:right w:val="single" w:sz="4" w:space="0" w:color="auto"/>
            </w:tcBorders>
            <w:vAlign w:val="bottom"/>
          </w:tcPr>
          <w:p w:rsidR="00B43195" w:rsidRPr="001F1E0E" w:rsidRDefault="00B43195" w:rsidP="00442B8E">
            <w:pPr>
              <w:spacing w:line="259" w:lineRule="auto"/>
              <w:ind w:right="48"/>
              <w:jc w:val="right"/>
              <w:rPr>
                <w:sz w:val="20"/>
                <w:szCs w:val="20"/>
                <w:lang w:val="en-CA"/>
              </w:rPr>
            </w:pPr>
            <w:r w:rsidRPr="001F1E0E">
              <w:rPr>
                <w:sz w:val="20"/>
                <w:szCs w:val="20"/>
                <w:lang w:val="en-CA"/>
              </w:rPr>
              <w:t>11</w:t>
            </w:r>
            <w:r w:rsidR="00ED7EB2">
              <w:rPr>
                <w:sz w:val="20"/>
                <w:szCs w:val="20"/>
                <w:lang w:val="en-CA"/>
              </w:rPr>
              <w:t>,</w:t>
            </w:r>
            <w:r w:rsidRPr="001F1E0E">
              <w:rPr>
                <w:sz w:val="20"/>
                <w:szCs w:val="20"/>
                <w:lang w:val="en-CA"/>
              </w:rPr>
              <w:t xml:space="preserve">92 </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tcPr>
          <w:p w:rsidR="00B43195" w:rsidRPr="003B6B2E" w:rsidRDefault="003B6B2E" w:rsidP="005B6FC5">
            <w:pPr>
              <w:rPr>
                <w:sz w:val="20"/>
                <w:szCs w:val="20"/>
                <w:lang w:val="en-CA"/>
              </w:rPr>
            </w:pPr>
            <w:r w:rsidRPr="003B6B2E">
              <w:rPr>
                <w:sz w:val="20"/>
                <w:szCs w:val="20"/>
                <w:lang w:val="fr-FR"/>
              </w:rPr>
              <w:t>Fresh</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141</w:t>
            </w:r>
            <w:r w:rsidR="00ED7EB2">
              <w:rPr>
                <w:color w:val="000000"/>
                <w:sz w:val="20"/>
                <w:szCs w:val="20"/>
                <w:lang w:val="en-CA"/>
              </w:rPr>
              <w:t>,</w:t>
            </w:r>
            <w:r w:rsidRPr="001F1E0E">
              <w:rPr>
                <w:color w:val="000000"/>
                <w:sz w:val="20"/>
                <w:szCs w:val="20"/>
                <w:lang w:val="en-CA"/>
              </w:rPr>
              <w:t>67</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7</w:t>
            </w:r>
            <w:r w:rsidR="00ED7EB2">
              <w:rPr>
                <w:color w:val="000000"/>
                <w:sz w:val="20"/>
                <w:szCs w:val="20"/>
                <w:lang w:val="en-CA"/>
              </w:rPr>
              <w:t>,</w:t>
            </w:r>
            <w:r w:rsidRPr="001F1E0E">
              <w:rPr>
                <w:color w:val="000000"/>
                <w:sz w:val="20"/>
                <w:szCs w:val="20"/>
                <w:lang w:val="en-CA"/>
              </w:rPr>
              <w:t>79</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928</w:t>
            </w:r>
            <w:r w:rsidR="00ED7EB2">
              <w:rPr>
                <w:sz w:val="20"/>
                <w:szCs w:val="20"/>
                <w:lang w:val="en-CA"/>
              </w:rPr>
              <w:t> </w:t>
            </w:r>
            <w:r w:rsidRPr="001F1E0E">
              <w:rPr>
                <w:sz w:val="20"/>
                <w:szCs w:val="20"/>
                <w:lang w:val="en-CA"/>
              </w:rPr>
              <w:t xml:space="preserve">400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892</w:t>
            </w:r>
            <w:r w:rsidR="00ED7EB2">
              <w:rPr>
                <w:sz w:val="20"/>
                <w:szCs w:val="20"/>
                <w:lang w:val="en-CA"/>
              </w:rPr>
              <w:t> </w:t>
            </w:r>
            <w:r w:rsidRPr="001F1E0E">
              <w:rPr>
                <w:sz w:val="20"/>
                <w:szCs w:val="20"/>
                <w:lang w:val="en-CA"/>
              </w:rPr>
              <w:t xml:space="preserve">502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1</w:t>
            </w:r>
            <w:r w:rsidR="00ED7EB2">
              <w:rPr>
                <w:sz w:val="20"/>
                <w:szCs w:val="20"/>
                <w:lang w:val="en-CA"/>
              </w:rPr>
              <w:t> </w:t>
            </w:r>
            <w:r w:rsidRPr="001F1E0E">
              <w:rPr>
                <w:sz w:val="20"/>
                <w:szCs w:val="20"/>
                <w:lang w:val="en-CA"/>
              </w:rPr>
              <w:t>820</w:t>
            </w:r>
            <w:r w:rsidR="00ED7EB2">
              <w:rPr>
                <w:sz w:val="20"/>
                <w:szCs w:val="20"/>
                <w:lang w:val="en-CA"/>
              </w:rPr>
              <w:t> </w:t>
            </w:r>
            <w:r w:rsidRPr="001F1E0E">
              <w:rPr>
                <w:sz w:val="20"/>
                <w:szCs w:val="20"/>
                <w:lang w:val="en-CA"/>
              </w:rPr>
              <w:t xml:space="preserve">902 </w:t>
            </w:r>
          </w:p>
        </w:tc>
        <w:tc>
          <w:tcPr>
            <w:tcW w:w="726" w:type="pct"/>
            <w:tcBorders>
              <w:top w:val="nil"/>
              <w:left w:val="nil"/>
              <w:bottom w:val="single" w:sz="4" w:space="0" w:color="auto"/>
              <w:right w:val="single" w:sz="4" w:space="0" w:color="auto"/>
            </w:tcBorders>
          </w:tcPr>
          <w:p w:rsidR="00B43195" w:rsidRPr="001F1E0E" w:rsidRDefault="00B43195" w:rsidP="00442B8E">
            <w:pPr>
              <w:spacing w:line="259" w:lineRule="auto"/>
              <w:ind w:right="48"/>
              <w:jc w:val="right"/>
              <w:rPr>
                <w:sz w:val="20"/>
                <w:szCs w:val="20"/>
                <w:lang w:val="en-CA"/>
              </w:rPr>
            </w:pPr>
            <w:r w:rsidRPr="001F1E0E">
              <w:rPr>
                <w:sz w:val="20"/>
                <w:szCs w:val="20"/>
                <w:lang w:val="en-CA"/>
              </w:rPr>
              <w:t>12</w:t>
            </w:r>
            <w:r w:rsidR="00ED7EB2">
              <w:rPr>
                <w:sz w:val="20"/>
                <w:szCs w:val="20"/>
                <w:lang w:val="en-CA"/>
              </w:rPr>
              <w:t>,</w:t>
            </w:r>
            <w:r w:rsidRPr="001F1E0E">
              <w:rPr>
                <w:sz w:val="20"/>
                <w:szCs w:val="20"/>
                <w:lang w:val="en-CA"/>
              </w:rPr>
              <w:t xml:space="preserve">85 </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tcPr>
          <w:p w:rsidR="00B43195" w:rsidRPr="003B6B2E" w:rsidRDefault="003B6B2E" w:rsidP="005B6FC5">
            <w:pPr>
              <w:rPr>
                <w:sz w:val="20"/>
                <w:szCs w:val="20"/>
                <w:lang w:val="en-CA"/>
              </w:rPr>
            </w:pPr>
            <w:r w:rsidRPr="003B6B2E">
              <w:rPr>
                <w:sz w:val="20"/>
                <w:szCs w:val="20"/>
                <w:lang w:val="fr-FR"/>
              </w:rPr>
              <w:t>Miraco*</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373</w:t>
            </w:r>
            <w:r w:rsidR="00ED7EB2">
              <w:rPr>
                <w:color w:val="000000"/>
                <w:sz w:val="20"/>
                <w:szCs w:val="20"/>
                <w:lang w:val="en-CA"/>
              </w:rPr>
              <w:t>,</w:t>
            </w:r>
            <w:r w:rsidRPr="001F1E0E">
              <w:rPr>
                <w:color w:val="000000"/>
                <w:sz w:val="20"/>
                <w:szCs w:val="20"/>
                <w:lang w:val="en-CA"/>
              </w:rPr>
              <w:t>67</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20</w:t>
            </w:r>
            <w:r w:rsidR="00ED7EB2">
              <w:rPr>
                <w:color w:val="000000"/>
                <w:sz w:val="20"/>
                <w:szCs w:val="20"/>
                <w:lang w:val="en-CA"/>
              </w:rPr>
              <w:t>,</w:t>
            </w:r>
            <w:r w:rsidRPr="001F1E0E">
              <w:rPr>
                <w:color w:val="000000"/>
                <w:sz w:val="20"/>
                <w:szCs w:val="20"/>
                <w:lang w:val="en-CA"/>
              </w:rPr>
              <w:t>55</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949</w:t>
            </w:r>
            <w:r w:rsidR="00ED7EB2">
              <w:rPr>
                <w:sz w:val="20"/>
                <w:szCs w:val="20"/>
                <w:lang w:val="en-CA"/>
              </w:rPr>
              <w:t> </w:t>
            </w:r>
            <w:r w:rsidRPr="001F1E0E">
              <w:rPr>
                <w:sz w:val="20"/>
                <w:szCs w:val="20"/>
                <w:lang w:val="en-CA"/>
              </w:rPr>
              <w:t xml:space="preserve">410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1</w:t>
            </w:r>
            <w:r w:rsidR="00ED7EB2">
              <w:rPr>
                <w:sz w:val="20"/>
                <w:szCs w:val="20"/>
                <w:lang w:val="en-CA"/>
              </w:rPr>
              <w:t> </w:t>
            </w:r>
            <w:r w:rsidRPr="001F1E0E">
              <w:rPr>
                <w:sz w:val="20"/>
                <w:szCs w:val="20"/>
                <w:lang w:val="en-CA"/>
              </w:rPr>
              <w:t>483</w:t>
            </w:r>
            <w:r w:rsidR="00ED7EB2">
              <w:rPr>
                <w:sz w:val="20"/>
                <w:szCs w:val="20"/>
                <w:lang w:val="en-CA"/>
              </w:rPr>
              <w:t> </w:t>
            </w:r>
            <w:r w:rsidRPr="001F1E0E">
              <w:rPr>
                <w:sz w:val="20"/>
                <w:szCs w:val="20"/>
                <w:lang w:val="en-CA"/>
              </w:rPr>
              <w:t xml:space="preserve">084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2</w:t>
            </w:r>
            <w:r w:rsidR="00ED7EB2">
              <w:rPr>
                <w:sz w:val="20"/>
                <w:szCs w:val="20"/>
                <w:lang w:val="en-CA"/>
              </w:rPr>
              <w:t> </w:t>
            </w:r>
            <w:r w:rsidRPr="001F1E0E">
              <w:rPr>
                <w:sz w:val="20"/>
                <w:szCs w:val="20"/>
                <w:lang w:val="en-CA"/>
              </w:rPr>
              <w:t>432</w:t>
            </w:r>
            <w:r w:rsidR="00ED7EB2">
              <w:rPr>
                <w:sz w:val="20"/>
                <w:szCs w:val="20"/>
                <w:lang w:val="en-CA"/>
              </w:rPr>
              <w:t> </w:t>
            </w:r>
            <w:r w:rsidRPr="001F1E0E">
              <w:rPr>
                <w:sz w:val="20"/>
                <w:szCs w:val="20"/>
                <w:lang w:val="en-CA"/>
              </w:rPr>
              <w:t xml:space="preserve">494 </w:t>
            </w:r>
          </w:p>
        </w:tc>
        <w:tc>
          <w:tcPr>
            <w:tcW w:w="726" w:type="pct"/>
            <w:tcBorders>
              <w:top w:val="nil"/>
              <w:left w:val="nil"/>
              <w:bottom w:val="single" w:sz="4" w:space="0" w:color="auto"/>
              <w:right w:val="single" w:sz="4" w:space="0" w:color="auto"/>
            </w:tcBorders>
          </w:tcPr>
          <w:p w:rsidR="00B43195" w:rsidRPr="001F1E0E" w:rsidRDefault="00B43195" w:rsidP="00442B8E">
            <w:pPr>
              <w:spacing w:line="259" w:lineRule="auto"/>
              <w:ind w:right="48"/>
              <w:jc w:val="right"/>
              <w:rPr>
                <w:sz w:val="20"/>
                <w:szCs w:val="20"/>
                <w:lang w:val="en-CA"/>
              </w:rPr>
            </w:pPr>
            <w:r w:rsidRPr="001F1E0E">
              <w:rPr>
                <w:sz w:val="20"/>
                <w:szCs w:val="20"/>
                <w:lang w:val="en-CA"/>
              </w:rPr>
              <w:t>6</w:t>
            </w:r>
            <w:r w:rsidR="00ED7EB2">
              <w:rPr>
                <w:sz w:val="20"/>
                <w:szCs w:val="20"/>
                <w:lang w:val="en-CA"/>
              </w:rPr>
              <w:t>,</w:t>
            </w:r>
            <w:r w:rsidRPr="001F1E0E">
              <w:rPr>
                <w:sz w:val="20"/>
                <w:szCs w:val="20"/>
                <w:lang w:val="en-CA"/>
              </w:rPr>
              <w:t xml:space="preserve">51 </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tcPr>
          <w:p w:rsidR="00B43195" w:rsidRPr="003B6B2E" w:rsidRDefault="003B6B2E" w:rsidP="005B6FC5">
            <w:pPr>
              <w:rPr>
                <w:sz w:val="20"/>
                <w:szCs w:val="20"/>
                <w:lang w:val="en-CA"/>
              </w:rPr>
            </w:pPr>
            <w:r w:rsidRPr="003B6B2E">
              <w:rPr>
                <w:sz w:val="20"/>
                <w:szCs w:val="20"/>
                <w:lang w:val="fr-FR"/>
              </w:rPr>
              <w:t>Power</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46</w:t>
            </w:r>
            <w:r w:rsidR="00ED7EB2">
              <w:rPr>
                <w:color w:val="000000"/>
                <w:sz w:val="20"/>
                <w:szCs w:val="20"/>
                <w:lang w:val="en-CA"/>
              </w:rPr>
              <w:t>,</w:t>
            </w:r>
            <w:r w:rsidRPr="001F1E0E">
              <w:rPr>
                <w:color w:val="000000"/>
                <w:sz w:val="20"/>
                <w:szCs w:val="20"/>
                <w:lang w:val="en-CA"/>
              </w:rPr>
              <w:t>00</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2</w:t>
            </w:r>
            <w:r w:rsidR="00ED7EB2">
              <w:rPr>
                <w:color w:val="000000"/>
                <w:sz w:val="20"/>
                <w:szCs w:val="20"/>
                <w:lang w:val="en-CA"/>
              </w:rPr>
              <w:t>,</w:t>
            </w:r>
            <w:r w:rsidRPr="001F1E0E">
              <w:rPr>
                <w:color w:val="000000"/>
                <w:sz w:val="20"/>
                <w:szCs w:val="20"/>
                <w:lang w:val="en-CA"/>
              </w:rPr>
              <w:t>53</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604</w:t>
            </w:r>
            <w:r w:rsidR="00ED7EB2">
              <w:rPr>
                <w:sz w:val="20"/>
                <w:szCs w:val="20"/>
                <w:lang w:val="en-CA"/>
              </w:rPr>
              <w:t> </w:t>
            </w:r>
            <w:r w:rsidRPr="001F1E0E">
              <w:rPr>
                <w:sz w:val="20"/>
                <w:szCs w:val="20"/>
                <w:lang w:val="en-CA"/>
              </w:rPr>
              <w:t xml:space="preserve">450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289</w:t>
            </w:r>
            <w:r w:rsidR="00ED7EB2">
              <w:rPr>
                <w:sz w:val="20"/>
                <w:szCs w:val="20"/>
                <w:lang w:val="en-CA"/>
              </w:rPr>
              <w:t> </w:t>
            </w:r>
            <w:r w:rsidRPr="001F1E0E">
              <w:rPr>
                <w:sz w:val="20"/>
                <w:szCs w:val="20"/>
                <w:lang w:val="en-CA"/>
              </w:rPr>
              <w:t xml:space="preserve">800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894</w:t>
            </w:r>
            <w:r w:rsidR="00ED7EB2">
              <w:rPr>
                <w:sz w:val="20"/>
                <w:szCs w:val="20"/>
                <w:lang w:val="en-CA"/>
              </w:rPr>
              <w:t> </w:t>
            </w:r>
            <w:r w:rsidRPr="001F1E0E">
              <w:rPr>
                <w:sz w:val="20"/>
                <w:szCs w:val="20"/>
                <w:lang w:val="en-CA"/>
              </w:rPr>
              <w:t xml:space="preserve">250 </w:t>
            </w:r>
          </w:p>
        </w:tc>
        <w:tc>
          <w:tcPr>
            <w:tcW w:w="726" w:type="pct"/>
            <w:tcBorders>
              <w:top w:val="nil"/>
              <w:left w:val="nil"/>
              <w:bottom w:val="single" w:sz="4" w:space="0" w:color="auto"/>
              <w:right w:val="single" w:sz="4" w:space="0" w:color="auto"/>
            </w:tcBorders>
          </w:tcPr>
          <w:p w:rsidR="00B43195" w:rsidRPr="001F1E0E" w:rsidRDefault="00B43195" w:rsidP="00442B8E">
            <w:pPr>
              <w:spacing w:line="259" w:lineRule="auto"/>
              <w:ind w:right="48"/>
              <w:jc w:val="right"/>
              <w:rPr>
                <w:sz w:val="20"/>
                <w:szCs w:val="20"/>
                <w:lang w:val="en-CA"/>
              </w:rPr>
            </w:pPr>
            <w:r w:rsidRPr="001F1E0E">
              <w:rPr>
                <w:sz w:val="20"/>
                <w:szCs w:val="20"/>
                <w:lang w:val="en-CA"/>
              </w:rPr>
              <w:t>19</w:t>
            </w:r>
            <w:r w:rsidR="00ED7EB2">
              <w:rPr>
                <w:sz w:val="20"/>
                <w:szCs w:val="20"/>
                <w:lang w:val="en-CA"/>
              </w:rPr>
              <w:t>,</w:t>
            </w:r>
            <w:r w:rsidRPr="001F1E0E">
              <w:rPr>
                <w:sz w:val="20"/>
                <w:szCs w:val="20"/>
                <w:lang w:val="en-CA"/>
              </w:rPr>
              <w:t xml:space="preserve">44 </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tcPr>
          <w:p w:rsidR="00B43195" w:rsidRPr="003B6B2E" w:rsidRDefault="003B6B2E" w:rsidP="005B6FC5">
            <w:pPr>
              <w:rPr>
                <w:sz w:val="20"/>
                <w:szCs w:val="20"/>
                <w:lang w:val="en-CA"/>
              </w:rPr>
            </w:pPr>
            <w:r w:rsidRPr="003B6B2E">
              <w:rPr>
                <w:sz w:val="20"/>
                <w:szCs w:val="20"/>
                <w:lang w:val="fr-FR"/>
              </w:rPr>
              <w:t>Unionaire</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400</w:t>
            </w:r>
            <w:r w:rsidR="00ED7EB2">
              <w:rPr>
                <w:color w:val="000000"/>
                <w:sz w:val="20"/>
                <w:szCs w:val="20"/>
                <w:lang w:val="en-CA"/>
              </w:rPr>
              <w:t>,</w:t>
            </w:r>
            <w:r w:rsidRPr="001F1E0E">
              <w:rPr>
                <w:color w:val="000000"/>
                <w:sz w:val="20"/>
                <w:szCs w:val="20"/>
                <w:lang w:val="en-CA"/>
              </w:rPr>
              <w:t>00</w:t>
            </w:r>
          </w:p>
        </w:tc>
        <w:tc>
          <w:tcPr>
            <w:tcW w:w="726"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color w:val="000000"/>
                <w:sz w:val="20"/>
                <w:szCs w:val="20"/>
                <w:lang w:val="en-CA"/>
              </w:rPr>
            </w:pPr>
            <w:r w:rsidRPr="001F1E0E">
              <w:rPr>
                <w:color w:val="000000"/>
                <w:sz w:val="20"/>
                <w:szCs w:val="20"/>
                <w:lang w:val="en-CA"/>
              </w:rPr>
              <w:t>22</w:t>
            </w:r>
            <w:r w:rsidR="00ED7EB2">
              <w:rPr>
                <w:color w:val="000000"/>
                <w:sz w:val="20"/>
                <w:szCs w:val="20"/>
                <w:lang w:val="en-CA"/>
              </w:rPr>
              <w:t>,</w:t>
            </w:r>
            <w:r w:rsidRPr="001F1E0E">
              <w:rPr>
                <w:color w:val="000000"/>
                <w:sz w:val="20"/>
                <w:szCs w:val="20"/>
                <w:lang w:val="en-CA"/>
              </w:rPr>
              <w:t>00</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1</w:t>
            </w:r>
            <w:r w:rsidR="00ED7EB2">
              <w:rPr>
                <w:sz w:val="20"/>
                <w:szCs w:val="20"/>
                <w:lang w:val="en-CA"/>
              </w:rPr>
              <w:t> </w:t>
            </w:r>
            <w:r w:rsidRPr="001F1E0E">
              <w:rPr>
                <w:sz w:val="20"/>
                <w:szCs w:val="20"/>
                <w:lang w:val="en-CA"/>
              </w:rPr>
              <w:t>320</w:t>
            </w:r>
            <w:r w:rsidR="00ED7EB2">
              <w:rPr>
                <w:sz w:val="20"/>
                <w:szCs w:val="20"/>
                <w:lang w:val="en-CA"/>
              </w:rPr>
              <w:t> </w:t>
            </w:r>
            <w:r w:rsidRPr="001F1E0E">
              <w:rPr>
                <w:sz w:val="20"/>
                <w:szCs w:val="20"/>
                <w:lang w:val="en-CA"/>
              </w:rPr>
              <w:t xml:space="preserve">000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2</w:t>
            </w:r>
            <w:r w:rsidR="00ED7EB2">
              <w:rPr>
                <w:sz w:val="20"/>
                <w:szCs w:val="20"/>
                <w:lang w:val="en-CA"/>
              </w:rPr>
              <w:t> </w:t>
            </w:r>
            <w:r w:rsidRPr="001F1E0E">
              <w:rPr>
                <w:sz w:val="20"/>
                <w:szCs w:val="20"/>
                <w:lang w:val="en-CA"/>
              </w:rPr>
              <w:t>520</w:t>
            </w:r>
            <w:r w:rsidR="00ED7EB2">
              <w:rPr>
                <w:sz w:val="20"/>
                <w:szCs w:val="20"/>
                <w:lang w:val="en-CA"/>
              </w:rPr>
              <w:t> </w:t>
            </w:r>
            <w:r w:rsidRPr="001F1E0E">
              <w:rPr>
                <w:sz w:val="20"/>
                <w:szCs w:val="20"/>
                <w:lang w:val="en-CA"/>
              </w:rPr>
              <w:t xml:space="preserve">000 </w:t>
            </w:r>
          </w:p>
        </w:tc>
        <w:tc>
          <w:tcPr>
            <w:tcW w:w="725" w:type="pct"/>
            <w:tcBorders>
              <w:top w:val="nil"/>
              <w:left w:val="nil"/>
              <w:bottom w:val="single" w:sz="4" w:space="0" w:color="auto"/>
              <w:right w:val="single" w:sz="4" w:space="0" w:color="auto"/>
            </w:tcBorders>
            <w:shd w:val="clear" w:color="auto" w:fill="auto"/>
            <w:noWrap/>
          </w:tcPr>
          <w:p w:rsidR="00B43195" w:rsidRPr="001F1E0E" w:rsidRDefault="00B43195" w:rsidP="00442B8E">
            <w:pPr>
              <w:spacing w:line="259" w:lineRule="auto"/>
              <w:ind w:right="47"/>
              <w:jc w:val="right"/>
              <w:rPr>
                <w:sz w:val="20"/>
                <w:szCs w:val="20"/>
                <w:lang w:val="en-CA"/>
              </w:rPr>
            </w:pPr>
            <w:r w:rsidRPr="001F1E0E">
              <w:rPr>
                <w:sz w:val="20"/>
                <w:szCs w:val="20"/>
                <w:lang w:val="en-CA"/>
              </w:rPr>
              <w:t>3</w:t>
            </w:r>
            <w:r w:rsidR="00ED7EB2">
              <w:rPr>
                <w:sz w:val="20"/>
                <w:szCs w:val="20"/>
                <w:lang w:val="en-CA"/>
              </w:rPr>
              <w:t> </w:t>
            </w:r>
            <w:r w:rsidRPr="001F1E0E">
              <w:rPr>
                <w:sz w:val="20"/>
                <w:szCs w:val="20"/>
                <w:lang w:val="en-CA"/>
              </w:rPr>
              <w:t>840</w:t>
            </w:r>
            <w:r w:rsidR="00ED7EB2">
              <w:rPr>
                <w:sz w:val="20"/>
                <w:szCs w:val="20"/>
                <w:lang w:val="en-CA"/>
              </w:rPr>
              <w:t> </w:t>
            </w:r>
            <w:r w:rsidRPr="001F1E0E">
              <w:rPr>
                <w:sz w:val="20"/>
                <w:szCs w:val="20"/>
                <w:lang w:val="en-CA"/>
              </w:rPr>
              <w:t xml:space="preserve">000 </w:t>
            </w:r>
          </w:p>
        </w:tc>
        <w:tc>
          <w:tcPr>
            <w:tcW w:w="726" w:type="pct"/>
            <w:tcBorders>
              <w:top w:val="nil"/>
              <w:left w:val="nil"/>
              <w:bottom w:val="single" w:sz="4" w:space="0" w:color="auto"/>
              <w:right w:val="single" w:sz="4" w:space="0" w:color="auto"/>
            </w:tcBorders>
          </w:tcPr>
          <w:p w:rsidR="00B43195" w:rsidRPr="001F1E0E" w:rsidRDefault="00B43195" w:rsidP="00442B8E">
            <w:pPr>
              <w:spacing w:line="259" w:lineRule="auto"/>
              <w:ind w:right="48"/>
              <w:jc w:val="right"/>
              <w:rPr>
                <w:sz w:val="20"/>
                <w:szCs w:val="20"/>
                <w:lang w:val="en-CA"/>
              </w:rPr>
            </w:pPr>
            <w:r w:rsidRPr="001F1E0E">
              <w:rPr>
                <w:sz w:val="20"/>
                <w:szCs w:val="20"/>
                <w:lang w:val="en-CA"/>
              </w:rPr>
              <w:t>9</w:t>
            </w:r>
            <w:r w:rsidR="00ED7EB2">
              <w:rPr>
                <w:sz w:val="20"/>
                <w:szCs w:val="20"/>
                <w:lang w:val="en-CA"/>
              </w:rPr>
              <w:t>,</w:t>
            </w:r>
            <w:r w:rsidRPr="001F1E0E">
              <w:rPr>
                <w:sz w:val="20"/>
                <w:szCs w:val="20"/>
                <w:lang w:val="en-CA"/>
              </w:rPr>
              <w:t xml:space="preserve">60 </w:t>
            </w:r>
          </w:p>
        </w:tc>
      </w:tr>
      <w:tr w:rsidR="00B43195" w:rsidRPr="001F1E0E" w:rsidTr="00A67DE3">
        <w:trPr>
          <w:trHeight w:val="255"/>
        </w:trPr>
        <w:tc>
          <w:tcPr>
            <w:tcW w:w="647" w:type="pct"/>
            <w:tcBorders>
              <w:top w:val="nil"/>
              <w:left w:val="single" w:sz="4" w:space="0" w:color="auto"/>
              <w:bottom w:val="single" w:sz="4" w:space="0" w:color="auto"/>
              <w:right w:val="single" w:sz="4" w:space="0" w:color="auto"/>
            </w:tcBorders>
            <w:shd w:val="clear" w:color="auto" w:fill="auto"/>
            <w:noWrap/>
          </w:tcPr>
          <w:p w:rsidR="00B43195" w:rsidRPr="003B6B2E" w:rsidRDefault="003B6B2E" w:rsidP="005B6FC5">
            <w:pPr>
              <w:jc w:val="left"/>
              <w:rPr>
                <w:b/>
                <w:color w:val="000000"/>
                <w:sz w:val="20"/>
                <w:szCs w:val="20"/>
                <w:lang w:val="en-CA"/>
              </w:rPr>
            </w:pPr>
            <w:r w:rsidRPr="003B6B2E">
              <w:rPr>
                <w:b/>
                <w:color w:val="000000"/>
                <w:sz w:val="20"/>
                <w:szCs w:val="20"/>
                <w:lang w:val="fr-FR"/>
              </w:rPr>
              <w:t>Total</w:t>
            </w:r>
          </w:p>
        </w:tc>
        <w:tc>
          <w:tcPr>
            <w:tcW w:w="726" w:type="pct"/>
            <w:tcBorders>
              <w:top w:val="nil"/>
              <w:left w:val="nil"/>
              <w:bottom w:val="single" w:sz="4" w:space="0" w:color="auto"/>
              <w:right w:val="single" w:sz="4" w:space="0" w:color="auto"/>
            </w:tcBorders>
            <w:shd w:val="clear" w:color="auto" w:fill="auto"/>
            <w:noWrap/>
          </w:tcPr>
          <w:p w:rsidR="00B43195" w:rsidRPr="001F1E0E" w:rsidRDefault="00B43195" w:rsidP="00442B8E">
            <w:pPr>
              <w:jc w:val="right"/>
              <w:rPr>
                <w:b/>
                <w:color w:val="000000"/>
                <w:sz w:val="20"/>
                <w:szCs w:val="20"/>
                <w:lang w:val="en-CA"/>
              </w:rPr>
            </w:pPr>
            <w:r w:rsidRPr="001F1E0E">
              <w:rPr>
                <w:b/>
                <w:color w:val="000000"/>
                <w:sz w:val="20"/>
                <w:szCs w:val="20"/>
                <w:lang w:val="en-CA"/>
              </w:rPr>
              <w:t>1</w:t>
            </w:r>
            <w:r w:rsidR="00ED7EB2">
              <w:rPr>
                <w:b/>
                <w:color w:val="000000"/>
                <w:sz w:val="20"/>
                <w:szCs w:val="20"/>
                <w:lang w:val="en-CA"/>
              </w:rPr>
              <w:t> </w:t>
            </w:r>
            <w:r w:rsidRPr="001F1E0E">
              <w:rPr>
                <w:b/>
                <w:color w:val="000000"/>
                <w:sz w:val="20"/>
                <w:szCs w:val="20"/>
                <w:lang w:val="en-CA"/>
              </w:rPr>
              <w:t>189</w:t>
            </w:r>
            <w:r w:rsidR="00ED7EB2">
              <w:rPr>
                <w:b/>
                <w:color w:val="000000"/>
                <w:sz w:val="20"/>
                <w:szCs w:val="20"/>
                <w:lang w:val="en-CA"/>
              </w:rPr>
              <w:t>,</w:t>
            </w:r>
            <w:r w:rsidRPr="001F1E0E">
              <w:rPr>
                <w:b/>
                <w:color w:val="000000"/>
                <w:sz w:val="20"/>
                <w:szCs w:val="20"/>
                <w:lang w:val="en-CA"/>
              </w:rPr>
              <w:t>78</w:t>
            </w:r>
          </w:p>
        </w:tc>
        <w:tc>
          <w:tcPr>
            <w:tcW w:w="726" w:type="pct"/>
            <w:tcBorders>
              <w:top w:val="nil"/>
              <w:left w:val="nil"/>
              <w:bottom w:val="single" w:sz="4" w:space="0" w:color="auto"/>
              <w:right w:val="single" w:sz="4" w:space="0" w:color="auto"/>
            </w:tcBorders>
            <w:shd w:val="clear" w:color="auto" w:fill="auto"/>
            <w:noWrap/>
          </w:tcPr>
          <w:p w:rsidR="00B43195" w:rsidRPr="001F1E0E" w:rsidRDefault="00B43195" w:rsidP="00442B8E">
            <w:pPr>
              <w:jc w:val="right"/>
              <w:rPr>
                <w:b/>
                <w:color w:val="000000"/>
                <w:sz w:val="20"/>
                <w:szCs w:val="20"/>
                <w:lang w:val="en-CA"/>
              </w:rPr>
            </w:pPr>
            <w:r w:rsidRPr="001F1E0E">
              <w:rPr>
                <w:b/>
                <w:color w:val="000000"/>
                <w:sz w:val="20"/>
                <w:szCs w:val="20"/>
                <w:lang w:val="en-CA"/>
              </w:rPr>
              <w:t>65</w:t>
            </w:r>
            <w:r w:rsidR="00ED7EB2">
              <w:rPr>
                <w:b/>
                <w:color w:val="000000"/>
                <w:sz w:val="20"/>
                <w:szCs w:val="20"/>
                <w:lang w:val="en-CA"/>
              </w:rPr>
              <w:t>,</w:t>
            </w:r>
            <w:r w:rsidRPr="001F1E0E">
              <w:rPr>
                <w:b/>
                <w:color w:val="000000"/>
                <w:sz w:val="20"/>
                <w:szCs w:val="20"/>
                <w:lang w:val="en-CA"/>
              </w:rPr>
              <w:t>44</w:t>
            </w:r>
          </w:p>
        </w:tc>
        <w:tc>
          <w:tcPr>
            <w:tcW w:w="725"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b/>
                <w:color w:val="000000"/>
                <w:sz w:val="20"/>
                <w:szCs w:val="20"/>
                <w:lang w:val="en-CA"/>
              </w:rPr>
            </w:pPr>
            <w:r w:rsidRPr="001F1E0E">
              <w:rPr>
                <w:b/>
                <w:color w:val="000000"/>
                <w:sz w:val="20"/>
                <w:szCs w:val="20"/>
                <w:lang w:val="en-CA"/>
              </w:rPr>
              <w:t>5</w:t>
            </w:r>
            <w:r w:rsidR="00ED7EB2">
              <w:rPr>
                <w:b/>
                <w:color w:val="000000"/>
                <w:sz w:val="20"/>
                <w:szCs w:val="20"/>
                <w:lang w:val="en-CA"/>
              </w:rPr>
              <w:t> </w:t>
            </w:r>
            <w:r w:rsidRPr="001F1E0E">
              <w:rPr>
                <w:b/>
                <w:color w:val="000000"/>
                <w:sz w:val="20"/>
                <w:szCs w:val="20"/>
                <w:lang w:val="en-CA"/>
              </w:rPr>
              <w:t>085</w:t>
            </w:r>
            <w:r w:rsidR="00ED7EB2">
              <w:rPr>
                <w:b/>
                <w:color w:val="000000"/>
                <w:sz w:val="20"/>
                <w:szCs w:val="20"/>
                <w:lang w:val="en-CA"/>
              </w:rPr>
              <w:t> </w:t>
            </w:r>
            <w:r w:rsidRPr="001F1E0E">
              <w:rPr>
                <w:b/>
                <w:color w:val="000000"/>
                <w:sz w:val="20"/>
                <w:szCs w:val="20"/>
                <w:lang w:val="en-CA"/>
              </w:rPr>
              <w:t>410</w:t>
            </w:r>
          </w:p>
        </w:tc>
        <w:tc>
          <w:tcPr>
            <w:tcW w:w="725" w:type="pct"/>
            <w:tcBorders>
              <w:top w:val="nil"/>
              <w:left w:val="nil"/>
              <w:bottom w:val="single" w:sz="4" w:space="0" w:color="auto"/>
              <w:right w:val="single" w:sz="4" w:space="0" w:color="auto"/>
            </w:tcBorders>
            <w:shd w:val="clear" w:color="auto" w:fill="auto"/>
            <w:noWrap/>
            <w:vAlign w:val="bottom"/>
          </w:tcPr>
          <w:p w:rsidR="00B43195" w:rsidRPr="001F1E0E" w:rsidRDefault="00B43195" w:rsidP="00442B8E">
            <w:pPr>
              <w:jc w:val="right"/>
              <w:rPr>
                <w:b/>
                <w:color w:val="000000"/>
                <w:sz w:val="20"/>
                <w:szCs w:val="20"/>
                <w:lang w:val="en-CA"/>
              </w:rPr>
            </w:pPr>
            <w:r w:rsidRPr="001F1E0E">
              <w:rPr>
                <w:b/>
                <w:color w:val="000000"/>
                <w:sz w:val="20"/>
                <w:szCs w:val="20"/>
                <w:lang w:val="en-CA"/>
              </w:rPr>
              <w:t>6</w:t>
            </w:r>
            <w:r w:rsidR="00ED7EB2">
              <w:rPr>
                <w:b/>
                <w:color w:val="000000"/>
                <w:sz w:val="20"/>
                <w:szCs w:val="20"/>
                <w:lang w:val="en-CA"/>
              </w:rPr>
              <w:t> </w:t>
            </w:r>
            <w:r w:rsidRPr="001F1E0E">
              <w:rPr>
                <w:b/>
                <w:color w:val="000000"/>
                <w:sz w:val="20"/>
                <w:szCs w:val="20"/>
                <w:lang w:val="en-CA"/>
              </w:rPr>
              <w:t>624</w:t>
            </w:r>
            <w:r w:rsidR="00ED7EB2">
              <w:rPr>
                <w:b/>
                <w:color w:val="000000"/>
                <w:sz w:val="20"/>
                <w:szCs w:val="20"/>
                <w:lang w:val="en-CA"/>
              </w:rPr>
              <w:t> </w:t>
            </w:r>
            <w:r w:rsidRPr="001F1E0E">
              <w:rPr>
                <w:b/>
                <w:color w:val="000000"/>
                <w:sz w:val="20"/>
                <w:szCs w:val="20"/>
                <w:lang w:val="en-CA"/>
              </w:rPr>
              <w:t>608</w:t>
            </w:r>
          </w:p>
        </w:tc>
        <w:tc>
          <w:tcPr>
            <w:tcW w:w="725" w:type="pct"/>
            <w:tcBorders>
              <w:top w:val="nil"/>
              <w:left w:val="nil"/>
              <w:bottom w:val="single" w:sz="4" w:space="0" w:color="auto"/>
              <w:right w:val="single" w:sz="4" w:space="0" w:color="auto"/>
            </w:tcBorders>
            <w:shd w:val="clear" w:color="auto" w:fill="auto"/>
            <w:noWrap/>
            <w:vAlign w:val="center"/>
          </w:tcPr>
          <w:p w:rsidR="00B43195" w:rsidRPr="001F1E0E" w:rsidRDefault="00B43195" w:rsidP="00442B8E">
            <w:pPr>
              <w:jc w:val="right"/>
              <w:rPr>
                <w:b/>
                <w:color w:val="000000"/>
                <w:sz w:val="20"/>
                <w:szCs w:val="20"/>
                <w:lang w:val="en-CA"/>
              </w:rPr>
            </w:pPr>
            <w:r w:rsidRPr="001F1E0E">
              <w:rPr>
                <w:b/>
                <w:color w:val="000000"/>
                <w:sz w:val="20"/>
                <w:szCs w:val="20"/>
                <w:lang w:val="en-CA"/>
              </w:rPr>
              <w:t>11</w:t>
            </w:r>
            <w:r w:rsidR="00ED7EB2">
              <w:rPr>
                <w:b/>
                <w:color w:val="000000"/>
                <w:sz w:val="20"/>
                <w:szCs w:val="20"/>
                <w:lang w:val="en-CA"/>
              </w:rPr>
              <w:t> </w:t>
            </w:r>
            <w:r w:rsidRPr="001F1E0E">
              <w:rPr>
                <w:b/>
                <w:color w:val="000000"/>
                <w:sz w:val="20"/>
                <w:szCs w:val="20"/>
                <w:lang w:val="en-CA"/>
              </w:rPr>
              <w:t>710</w:t>
            </w:r>
            <w:r w:rsidR="00ED7EB2">
              <w:rPr>
                <w:b/>
                <w:color w:val="000000"/>
                <w:sz w:val="20"/>
                <w:szCs w:val="20"/>
                <w:lang w:val="en-CA"/>
              </w:rPr>
              <w:t> </w:t>
            </w:r>
            <w:r w:rsidRPr="001F1E0E">
              <w:rPr>
                <w:b/>
                <w:color w:val="000000"/>
                <w:sz w:val="20"/>
                <w:szCs w:val="20"/>
                <w:lang w:val="en-CA"/>
              </w:rPr>
              <w:t>018</w:t>
            </w:r>
          </w:p>
        </w:tc>
        <w:tc>
          <w:tcPr>
            <w:tcW w:w="726" w:type="pct"/>
            <w:tcBorders>
              <w:top w:val="nil"/>
              <w:left w:val="nil"/>
              <w:bottom w:val="single" w:sz="4" w:space="0" w:color="auto"/>
              <w:right w:val="single" w:sz="4" w:space="0" w:color="auto"/>
            </w:tcBorders>
          </w:tcPr>
          <w:p w:rsidR="00B43195" w:rsidRPr="001F1E0E" w:rsidRDefault="00B43195" w:rsidP="00442B8E">
            <w:pPr>
              <w:jc w:val="right"/>
              <w:rPr>
                <w:b/>
                <w:color w:val="000000"/>
                <w:sz w:val="20"/>
                <w:szCs w:val="20"/>
                <w:lang w:val="en-CA"/>
              </w:rPr>
            </w:pPr>
            <w:r w:rsidRPr="001F1E0E">
              <w:rPr>
                <w:b/>
                <w:color w:val="000000"/>
                <w:sz w:val="20"/>
                <w:szCs w:val="20"/>
                <w:lang w:val="en-CA"/>
              </w:rPr>
              <w:t>9</w:t>
            </w:r>
            <w:r w:rsidR="00ED7EB2">
              <w:rPr>
                <w:b/>
                <w:color w:val="000000"/>
                <w:sz w:val="20"/>
                <w:szCs w:val="20"/>
                <w:lang w:val="en-CA"/>
              </w:rPr>
              <w:t>,</w:t>
            </w:r>
            <w:r w:rsidRPr="001F1E0E">
              <w:rPr>
                <w:b/>
                <w:color w:val="000000"/>
                <w:sz w:val="20"/>
                <w:szCs w:val="20"/>
                <w:lang w:val="en-CA"/>
              </w:rPr>
              <w:t>84</w:t>
            </w:r>
            <w:r w:rsidR="00D77991">
              <w:rPr>
                <w:b/>
                <w:color w:val="000000"/>
                <w:sz w:val="20"/>
                <w:szCs w:val="20"/>
                <w:lang w:val="en-CA"/>
              </w:rPr>
              <w:t xml:space="preserve">   </w:t>
            </w:r>
          </w:p>
        </w:tc>
      </w:tr>
    </w:tbl>
    <w:p w:rsidR="00921E32" w:rsidRPr="00C3019D" w:rsidRDefault="003B6B2E" w:rsidP="003B6B2E">
      <w:pPr>
        <w:rPr>
          <w:sz w:val="16"/>
          <w:szCs w:val="16"/>
          <w:lang w:val="fr-FR"/>
        </w:rPr>
      </w:pPr>
      <w:r w:rsidRPr="003B6B2E">
        <w:rPr>
          <w:sz w:val="16"/>
          <w:szCs w:val="16"/>
          <w:lang w:val="fr-FR"/>
        </w:rPr>
        <w:t>*Après avoir pris en compte les 37 pour cent de capital ne relevant pas de l</w:t>
      </w:r>
      <w:r w:rsidR="00D77991">
        <w:rPr>
          <w:sz w:val="16"/>
          <w:szCs w:val="16"/>
          <w:lang w:val="fr-FR"/>
        </w:rPr>
        <w:t>’</w:t>
      </w:r>
      <w:r w:rsidRPr="003B6B2E">
        <w:rPr>
          <w:sz w:val="16"/>
          <w:szCs w:val="16"/>
          <w:lang w:val="fr-FR"/>
        </w:rPr>
        <w:t>article 5.</w:t>
      </w:r>
    </w:p>
    <w:p w:rsidR="00B43195" w:rsidRPr="00C3019D" w:rsidRDefault="00B43195" w:rsidP="00921E32">
      <w:pPr>
        <w:rPr>
          <w:lang w:val="fr-FR"/>
        </w:rPr>
      </w:pPr>
    </w:p>
    <w:p w:rsidR="00EB0CD6" w:rsidRDefault="003B6B2E" w:rsidP="00255CDE">
      <w:pPr>
        <w:pStyle w:val="Heading1"/>
        <w:rPr>
          <w:lang w:val="fr-FR"/>
        </w:rPr>
      </w:pPr>
      <w:r w:rsidRPr="003B6B2E">
        <w:rPr>
          <w:lang w:val="fr-FR"/>
        </w:rPr>
        <w:t>Le projet nécessitera la révision de l</w:t>
      </w:r>
      <w:r w:rsidR="00D77991">
        <w:rPr>
          <w:lang w:val="fr-FR"/>
        </w:rPr>
        <w:t>’</w:t>
      </w:r>
      <w:r w:rsidRPr="003B6B2E">
        <w:rPr>
          <w:lang w:val="fr-FR"/>
        </w:rPr>
        <w:t>accord pour la phase II du PGEH, qui a été approuvé lors de la 79</w:t>
      </w:r>
      <w:r w:rsidRPr="003B6B2E">
        <w:rPr>
          <w:vertAlign w:val="superscript"/>
          <w:lang w:val="fr-FR"/>
        </w:rPr>
        <w:t>e</w:t>
      </w:r>
      <w:r w:rsidRPr="003B6B2E">
        <w:rPr>
          <w:lang w:val="fr-FR"/>
        </w:rPr>
        <w:t xml:space="preserve"> réunion.</w:t>
      </w:r>
    </w:p>
    <w:p w:rsidR="00FB02DD" w:rsidRPr="00FB02DD" w:rsidRDefault="00FB02DD" w:rsidP="00FB02DD">
      <w:pPr>
        <w:rPr>
          <w:lang w:val="fr-FR"/>
        </w:rPr>
      </w:pPr>
    </w:p>
    <w:p w:rsidR="00C17C20" w:rsidRDefault="00C17C20">
      <w:pPr>
        <w:jc w:val="left"/>
        <w:rPr>
          <w:b/>
          <w:lang w:val="fr-FR"/>
        </w:rPr>
      </w:pPr>
      <w:r>
        <w:rPr>
          <w:b/>
          <w:lang w:val="fr-FR"/>
        </w:rPr>
        <w:br w:type="page"/>
      </w:r>
    </w:p>
    <w:p w:rsidR="00255CDE" w:rsidRPr="00C3019D" w:rsidRDefault="003B6B2E" w:rsidP="00255CDE">
      <w:pPr>
        <w:jc w:val="center"/>
        <w:rPr>
          <w:b/>
          <w:lang w:val="fr-FR"/>
        </w:rPr>
      </w:pPr>
      <w:r w:rsidRPr="003B6B2E">
        <w:rPr>
          <w:b/>
          <w:lang w:val="fr-FR"/>
        </w:rPr>
        <w:lastRenderedPageBreak/>
        <w:t>OBSERVATIONS ET RECOMMANDATION DU SECRÉTARIAT</w:t>
      </w:r>
    </w:p>
    <w:p w:rsidR="00255CDE" w:rsidRPr="00C3019D" w:rsidRDefault="00255CDE" w:rsidP="00255CDE">
      <w:pPr>
        <w:rPr>
          <w:lang w:val="fr-FR"/>
        </w:rPr>
      </w:pPr>
    </w:p>
    <w:p w:rsidR="00255CDE" w:rsidRPr="00C3019D" w:rsidRDefault="00D46292" w:rsidP="00D46292">
      <w:pPr>
        <w:rPr>
          <w:b/>
          <w:lang w:val="fr-FR"/>
        </w:rPr>
      </w:pPr>
      <w:r w:rsidRPr="00D46292">
        <w:rPr>
          <w:b/>
          <w:lang w:val="fr-FR"/>
        </w:rPr>
        <w:t>OBSERVATIONS</w:t>
      </w:r>
    </w:p>
    <w:p w:rsidR="00255CDE" w:rsidRPr="00C3019D" w:rsidRDefault="00255CDE" w:rsidP="00255CDE">
      <w:pPr>
        <w:rPr>
          <w:lang w:val="fr-FR"/>
        </w:rPr>
      </w:pPr>
    </w:p>
    <w:p w:rsidR="00255CDE" w:rsidRPr="00C3019D" w:rsidRDefault="00D46292" w:rsidP="00D46292">
      <w:pPr>
        <w:rPr>
          <w:u w:val="single"/>
          <w:lang w:val="fr-FR"/>
        </w:rPr>
      </w:pPr>
      <w:r w:rsidRPr="00D46292">
        <w:rPr>
          <w:u w:val="single"/>
          <w:lang w:val="fr-FR"/>
        </w:rPr>
        <w:t>Rapport périodique sur la mise en œuvre de la première tranche du PGEH</w:t>
      </w:r>
    </w:p>
    <w:p w:rsidR="00255CDE" w:rsidRPr="00C3019D" w:rsidRDefault="00255CDE" w:rsidP="00255CDE">
      <w:pPr>
        <w:rPr>
          <w:lang w:val="fr-FR"/>
        </w:rPr>
      </w:pPr>
    </w:p>
    <w:p w:rsidR="009B2191" w:rsidRPr="00C3019D" w:rsidRDefault="00D46292" w:rsidP="00D46292">
      <w:pPr>
        <w:pStyle w:val="Heading1"/>
        <w:numPr>
          <w:ilvl w:val="0"/>
          <w:numId w:val="0"/>
        </w:numPr>
        <w:rPr>
          <w:i/>
          <w:lang w:val="fr-FR"/>
        </w:rPr>
      </w:pPr>
      <w:r w:rsidRPr="00D46292">
        <w:rPr>
          <w:i/>
          <w:lang w:val="fr-FR"/>
        </w:rPr>
        <w:t>Secteur de fabrication des mousses PU</w:t>
      </w:r>
    </w:p>
    <w:p w:rsidR="00D46292" w:rsidRPr="00FB02DD" w:rsidRDefault="00D46292" w:rsidP="00FB02DD">
      <w:pPr>
        <w:pStyle w:val="Heading1"/>
        <w:rPr>
          <w:lang w:val="fr-FR"/>
        </w:rPr>
      </w:pPr>
      <w:r w:rsidRPr="00D46292">
        <w:rPr>
          <w:lang w:val="fr-FR"/>
        </w:rPr>
        <w:t>Tou</w:t>
      </w:r>
      <w:r w:rsidR="00ED7EB2">
        <w:rPr>
          <w:lang w:val="fr-FR"/>
        </w:rPr>
        <w:t>t</w:t>
      </w:r>
      <w:r w:rsidRPr="00D46292">
        <w:rPr>
          <w:lang w:val="fr-FR"/>
        </w:rPr>
        <w:t xml:space="preserve"> en notant les progrès considérables réalisés dans la mise en œuvre</w:t>
      </w:r>
      <w:r w:rsidR="00D77991">
        <w:rPr>
          <w:lang w:val="fr-FR"/>
        </w:rPr>
        <w:t xml:space="preserve"> </w:t>
      </w:r>
      <w:r w:rsidRPr="00D46292">
        <w:rPr>
          <w:lang w:val="fr-FR"/>
        </w:rPr>
        <w:t>des reconversions dans le secteur de la fabrication des mousses de polyuréthane, notamment le fait que tous les équipements requis par les entreprises bénéficiant d</w:t>
      </w:r>
      <w:r w:rsidR="00D77991">
        <w:rPr>
          <w:lang w:val="fr-FR"/>
        </w:rPr>
        <w:t>’</w:t>
      </w:r>
      <w:r w:rsidRPr="00D46292">
        <w:rPr>
          <w:lang w:val="fr-FR"/>
        </w:rPr>
        <w:t>une aide ont été acheté</w:t>
      </w:r>
      <w:r w:rsidR="00ED7EB2">
        <w:rPr>
          <w:lang w:val="fr-FR"/>
        </w:rPr>
        <w:t>s</w:t>
      </w:r>
      <w:r w:rsidRPr="00D46292">
        <w:rPr>
          <w:lang w:val="fr-FR"/>
        </w:rPr>
        <w:t>, le Secrétariat a pris note que tous les équipements n</w:t>
      </w:r>
      <w:r w:rsidR="00D77991">
        <w:rPr>
          <w:lang w:val="fr-FR"/>
        </w:rPr>
        <w:t>’</w:t>
      </w:r>
      <w:r w:rsidRPr="00D46292">
        <w:rPr>
          <w:lang w:val="fr-FR"/>
        </w:rPr>
        <w:t>avaient pas été livrés et que le gouvernement avait interdit l</w:t>
      </w:r>
      <w:r w:rsidR="00D77991">
        <w:rPr>
          <w:lang w:val="fr-FR"/>
        </w:rPr>
        <w:t>’</w:t>
      </w:r>
      <w:r w:rsidRPr="00D46292">
        <w:rPr>
          <w:lang w:val="fr-FR"/>
        </w:rPr>
        <w:t>importation, l</w:t>
      </w:r>
      <w:r w:rsidR="00D77991">
        <w:rPr>
          <w:lang w:val="fr-FR"/>
        </w:rPr>
        <w:t>’</w:t>
      </w:r>
      <w:r w:rsidRPr="00D46292">
        <w:rPr>
          <w:lang w:val="fr-FR"/>
        </w:rPr>
        <w:t>utilisation et l</w:t>
      </w:r>
      <w:r w:rsidR="00D77991">
        <w:rPr>
          <w:lang w:val="fr-FR"/>
        </w:rPr>
        <w:t>’</w:t>
      </w:r>
      <w:r w:rsidRPr="00D46292">
        <w:rPr>
          <w:lang w:val="fr-FR"/>
        </w:rPr>
        <w:t>exportation de HCFC-141b en vrac et</w:t>
      </w:r>
      <w:r w:rsidR="00D77991">
        <w:rPr>
          <w:lang w:val="fr-FR"/>
        </w:rPr>
        <w:t xml:space="preserve"> </w:t>
      </w:r>
      <w:r w:rsidRPr="00D46292">
        <w:rPr>
          <w:lang w:val="fr-FR"/>
        </w:rPr>
        <w:t>l</w:t>
      </w:r>
      <w:r w:rsidR="00D77991">
        <w:rPr>
          <w:lang w:val="fr-FR"/>
        </w:rPr>
        <w:t>’</w:t>
      </w:r>
      <w:r w:rsidRPr="00D46292">
        <w:rPr>
          <w:lang w:val="fr-FR"/>
        </w:rPr>
        <w:t>exportation du HCFC-141b contenu dans les polyols prémélangés à compter du 1</w:t>
      </w:r>
      <w:r w:rsidRPr="00D46292">
        <w:rPr>
          <w:vertAlign w:val="superscript"/>
          <w:lang w:val="fr-FR"/>
        </w:rPr>
        <w:t>er</w:t>
      </w:r>
      <w:r w:rsidRPr="00D46292">
        <w:rPr>
          <w:lang w:val="fr-FR"/>
        </w:rPr>
        <w:t xml:space="preserve"> janvier 2020. Le PNUD a confirmé que tou</w:t>
      </w:r>
      <w:r w:rsidR="00ED7EB2">
        <w:rPr>
          <w:lang w:val="fr-FR"/>
        </w:rPr>
        <w:t>s les</w:t>
      </w:r>
      <w:r w:rsidRPr="00D46292">
        <w:rPr>
          <w:lang w:val="fr-FR"/>
        </w:rPr>
        <w:t xml:space="preserve"> équipement</w:t>
      </w:r>
      <w:r w:rsidR="00ED7EB2">
        <w:rPr>
          <w:lang w:val="fr-FR"/>
        </w:rPr>
        <w:t>s</w:t>
      </w:r>
      <w:r w:rsidRPr="00D46292">
        <w:rPr>
          <w:lang w:val="fr-FR"/>
        </w:rPr>
        <w:t xml:space="preserve"> pas encore livré</w:t>
      </w:r>
      <w:r w:rsidR="00ED7EB2">
        <w:rPr>
          <w:lang w:val="fr-FR"/>
        </w:rPr>
        <w:t>s</w:t>
      </w:r>
      <w:r w:rsidRPr="00D46292">
        <w:rPr>
          <w:lang w:val="fr-FR"/>
        </w:rPr>
        <w:t xml:space="preserve"> devrai</w:t>
      </w:r>
      <w:r w:rsidR="00ED7EB2">
        <w:rPr>
          <w:lang w:val="fr-FR"/>
        </w:rPr>
        <w:t>en</w:t>
      </w:r>
      <w:r w:rsidRPr="00D46292">
        <w:rPr>
          <w:lang w:val="fr-FR"/>
        </w:rPr>
        <w:t>t l</w:t>
      </w:r>
      <w:r w:rsidR="00D77991">
        <w:rPr>
          <w:lang w:val="fr-FR"/>
        </w:rPr>
        <w:t>’</w:t>
      </w:r>
      <w:r w:rsidRPr="00D46292">
        <w:rPr>
          <w:lang w:val="fr-FR"/>
        </w:rPr>
        <w:t>être d</w:t>
      </w:r>
      <w:r w:rsidR="00D77991">
        <w:rPr>
          <w:lang w:val="fr-FR"/>
        </w:rPr>
        <w:t>’</w:t>
      </w:r>
      <w:r w:rsidRPr="00D46292">
        <w:rPr>
          <w:lang w:val="fr-FR"/>
        </w:rPr>
        <w:t>ici le 31 décembre 2019. L</w:t>
      </w:r>
      <w:r w:rsidR="00D77991">
        <w:rPr>
          <w:lang w:val="fr-FR"/>
        </w:rPr>
        <w:t>’</w:t>
      </w:r>
      <w:r w:rsidRPr="00D46292">
        <w:rPr>
          <w:lang w:val="fr-FR"/>
        </w:rPr>
        <w:t xml:space="preserve">installation des équipements nécessitera </w:t>
      </w:r>
      <w:r w:rsidR="00ED7EB2">
        <w:rPr>
          <w:lang w:val="fr-FR"/>
        </w:rPr>
        <w:t xml:space="preserve">l’arrêt de </w:t>
      </w:r>
      <w:r w:rsidRPr="00D46292">
        <w:rPr>
          <w:lang w:val="fr-FR"/>
        </w:rPr>
        <w:t>la fabrication des mousses pendant l</w:t>
      </w:r>
      <w:r w:rsidR="00D77991">
        <w:rPr>
          <w:lang w:val="fr-FR"/>
        </w:rPr>
        <w:t>’</w:t>
      </w:r>
      <w:r w:rsidRPr="00D46292">
        <w:rPr>
          <w:lang w:val="fr-FR"/>
        </w:rPr>
        <w:t>installation, la mise en service et l</w:t>
      </w:r>
      <w:r w:rsidR="00D77991">
        <w:rPr>
          <w:lang w:val="fr-FR"/>
        </w:rPr>
        <w:t>’</w:t>
      </w:r>
      <w:r w:rsidRPr="00D46292">
        <w:rPr>
          <w:lang w:val="fr-FR"/>
        </w:rPr>
        <w:t>optimisation du nouvel équipement ; par conséquent, les entreprises seront en mesure de respecter l</w:t>
      </w:r>
      <w:r w:rsidR="00D77991">
        <w:rPr>
          <w:lang w:val="fr-FR"/>
        </w:rPr>
        <w:t>’</w:t>
      </w:r>
      <w:r w:rsidRPr="00D46292">
        <w:rPr>
          <w:lang w:val="fr-FR"/>
        </w:rPr>
        <w:t>interdiction.</w:t>
      </w:r>
      <w:r w:rsidRPr="00C3019D">
        <w:rPr>
          <w:lang w:val="fr-FR"/>
        </w:rPr>
        <w:t xml:space="preserve"> </w:t>
      </w:r>
      <w:r w:rsidR="00515A47" w:rsidRPr="00515A47">
        <w:rPr>
          <w:lang w:val="fr-FR"/>
        </w:rPr>
        <w:t>Le PNUD a confirmé également que les équipements contenant des HCFC seront démantelés et rendus inutilisables.</w:t>
      </w:r>
    </w:p>
    <w:p w:rsidR="00EB0CD6" w:rsidRPr="00C3019D" w:rsidRDefault="00515A47" w:rsidP="00EB0CD6">
      <w:pPr>
        <w:rPr>
          <w:u w:val="single"/>
          <w:lang w:val="fr-FR"/>
        </w:rPr>
      </w:pPr>
      <w:r w:rsidRPr="00515A47">
        <w:rPr>
          <w:u w:val="single"/>
          <w:lang w:val="fr-FR"/>
        </w:rPr>
        <w:t>Reconversion du HCFC-22 dans la fabrication de climatiseurs résidentiels</w:t>
      </w:r>
    </w:p>
    <w:p w:rsidR="00EB0CD6" w:rsidRPr="00C3019D" w:rsidRDefault="00EB0CD6" w:rsidP="00EB0CD6">
      <w:pPr>
        <w:rPr>
          <w:lang w:val="fr-FR"/>
        </w:rPr>
      </w:pPr>
    </w:p>
    <w:p w:rsidR="00AF5CBF" w:rsidRPr="00515A47" w:rsidRDefault="00515A47" w:rsidP="00EB0CD6">
      <w:pPr>
        <w:rPr>
          <w:i/>
          <w:lang w:val="en-CA"/>
        </w:rPr>
      </w:pPr>
      <w:r w:rsidRPr="00515A47">
        <w:rPr>
          <w:i/>
          <w:lang w:val="fr-FR"/>
        </w:rPr>
        <w:t>Sélection</w:t>
      </w:r>
      <w:r w:rsidR="00D77991">
        <w:rPr>
          <w:i/>
          <w:lang w:val="fr-FR"/>
        </w:rPr>
        <w:t xml:space="preserve"> </w:t>
      </w:r>
      <w:r w:rsidRPr="00515A47">
        <w:rPr>
          <w:i/>
          <w:lang w:val="fr-FR"/>
        </w:rPr>
        <w:t>de la technologie</w:t>
      </w:r>
    </w:p>
    <w:p w:rsidR="00AF5CBF" w:rsidRPr="001F1E0E" w:rsidRDefault="00AF5CBF" w:rsidP="00EB0CD6">
      <w:pPr>
        <w:rPr>
          <w:i/>
          <w:lang w:val="en-CA"/>
        </w:rPr>
      </w:pPr>
    </w:p>
    <w:p w:rsidR="00515A47" w:rsidRPr="00C3019D" w:rsidRDefault="00515A47" w:rsidP="00515A47">
      <w:pPr>
        <w:pStyle w:val="Heading1"/>
        <w:rPr>
          <w:lang w:val="fr-FR"/>
        </w:rPr>
      </w:pPr>
      <w:r w:rsidRPr="00515A47">
        <w:rPr>
          <w:lang w:val="fr-FR"/>
        </w:rPr>
        <w:t>Lors de la 79</w:t>
      </w:r>
      <w:r w:rsidRPr="00515A47">
        <w:rPr>
          <w:vertAlign w:val="superscript"/>
          <w:lang w:val="fr-FR"/>
        </w:rPr>
        <w:t>e</w:t>
      </w:r>
      <w:r w:rsidRPr="00515A47">
        <w:rPr>
          <w:lang w:val="fr-FR"/>
        </w:rPr>
        <w:t xml:space="preserve"> réunion, le Secrétariat n</w:t>
      </w:r>
      <w:r w:rsidR="00D77991">
        <w:rPr>
          <w:lang w:val="fr-FR"/>
        </w:rPr>
        <w:t>’</w:t>
      </w:r>
      <w:r w:rsidRPr="00515A47">
        <w:rPr>
          <w:lang w:val="fr-FR"/>
        </w:rPr>
        <w:t>a pas été en mesure d</w:t>
      </w:r>
      <w:r w:rsidR="00D77991">
        <w:rPr>
          <w:lang w:val="fr-FR"/>
        </w:rPr>
        <w:t>’</w:t>
      </w:r>
      <w:r w:rsidRPr="00515A47">
        <w:rPr>
          <w:lang w:val="fr-FR"/>
        </w:rPr>
        <w:t>évaluer les coûts différentiels de la reconversion proposée du fait, qu</w:t>
      </w:r>
      <w:r w:rsidR="00D77991">
        <w:rPr>
          <w:lang w:val="fr-FR"/>
        </w:rPr>
        <w:t>’</w:t>
      </w:r>
      <w:r w:rsidRPr="00515A47">
        <w:rPr>
          <w:lang w:val="fr-FR"/>
        </w:rPr>
        <w:t>à cette époque, les entreprises avaient décidé d</w:t>
      </w:r>
      <w:r w:rsidR="00D77991">
        <w:rPr>
          <w:lang w:val="fr-FR"/>
        </w:rPr>
        <w:t>’</w:t>
      </w:r>
      <w:r w:rsidRPr="00515A47">
        <w:rPr>
          <w:lang w:val="fr-FR"/>
        </w:rPr>
        <w:t>évaluer les résultats des projets de démonstration d</w:t>
      </w:r>
      <w:r w:rsidR="00D77991">
        <w:rPr>
          <w:lang w:val="fr-FR"/>
        </w:rPr>
        <w:t>’</w:t>
      </w:r>
      <w:r w:rsidRPr="00515A47">
        <w:rPr>
          <w:lang w:val="fr-FR"/>
        </w:rPr>
        <w:t>EGYPRA et PRAHA-II avant de sélectionner une technologie.</w:t>
      </w:r>
    </w:p>
    <w:p w:rsidR="006E5A88" w:rsidRPr="00FB02DD" w:rsidRDefault="00515A47" w:rsidP="00FB02DD">
      <w:pPr>
        <w:pStyle w:val="Heading1"/>
        <w:rPr>
          <w:lang w:val="fr-FR"/>
        </w:rPr>
      </w:pPr>
      <w:r w:rsidRPr="00515A47">
        <w:rPr>
          <w:lang w:val="fr-FR"/>
        </w:rPr>
        <w:t>Le Secrétariat a remarqué que</w:t>
      </w:r>
      <w:r w:rsidR="00ED7EB2">
        <w:rPr>
          <w:lang w:val="fr-FR"/>
        </w:rPr>
        <w:t xml:space="preserve"> </w:t>
      </w:r>
      <w:r w:rsidR="00ED7EB2" w:rsidRPr="00515A47">
        <w:rPr>
          <w:lang w:val="fr-FR"/>
        </w:rPr>
        <w:t xml:space="preserve">pour </w:t>
      </w:r>
      <w:r w:rsidR="00ED7EB2">
        <w:rPr>
          <w:lang w:val="fr-FR"/>
        </w:rPr>
        <w:t xml:space="preserve">la </w:t>
      </w:r>
      <w:r w:rsidR="00ED7EB2" w:rsidRPr="00515A47">
        <w:rPr>
          <w:lang w:val="fr-FR"/>
        </w:rPr>
        <w:t>sélection</w:t>
      </w:r>
      <w:r w:rsidR="00ED7EB2">
        <w:rPr>
          <w:lang w:val="fr-FR"/>
        </w:rPr>
        <w:t xml:space="preserve"> des</w:t>
      </w:r>
      <w:r w:rsidR="00ED7EB2" w:rsidRPr="00515A47">
        <w:rPr>
          <w:lang w:val="fr-FR"/>
        </w:rPr>
        <w:t xml:space="preserve"> technologies auxquelles les entreprises se reconve</w:t>
      </w:r>
      <w:r w:rsidR="00ED7EB2">
        <w:rPr>
          <w:lang w:val="fr-FR"/>
        </w:rPr>
        <w:t>rtiront,</w:t>
      </w:r>
      <w:r w:rsidRPr="00515A47">
        <w:rPr>
          <w:lang w:val="fr-FR"/>
        </w:rPr>
        <w:t xml:space="preserve"> la proposition s</w:t>
      </w:r>
      <w:r w:rsidR="00D77991">
        <w:rPr>
          <w:lang w:val="fr-FR"/>
        </w:rPr>
        <w:t>’</w:t>
      </w:r>
      <w:r w:rsidRPr="00515A47">
        <w:rPr>
          <w:lang w:val="fr-FR"/>
        </w:rPr>
        <w:t>appuyait sur les enseignements tirés d</w:t>
      </w:r>
      <w:r w:rsidR="00D77991">
        <w:rPr>
          <w:lang w:val="fr-FR"/>
        </w:rPr>
        <w:t>’</w:t>
      </w:r>
      <w:r w:rsidRPr="00515A47">
        <w:rPr>
          <w:lang w:val="fr-FR"/>
        </w:rPr>
        <w:t xml:space="preserve">EGYPRA ainsi que </w:t>
      </w:r>
      <w:r w:rsidR="00ED7EB2">
        <w:rPr>
          <w:lang w:val="fr-FR"/>
        </w:rPr>
        <w:t>sur</w:t>
      </w:r>
      <w:r w:rsidRPr="00515A47">
        <w:rPr>
          <w:lang w:val="fr-FR"/>
        </w:rPr>
        <w:t xml:space="preserve"> les informations provenant du rapport 2018 du Comité des choix techniques pour les appareils de réfrigération, les climatiseurs et les pompes à chaleur (RTOC)</w:t>
      </w:r>
      <w:r w:rsidRPr="00515A47">
        <w:rPr>
          <w:rStyle w:val="FootnoteReference"/>
          <w:lang w:val="fr-FR"/>
        </w:rPr>
        <w:footnoteReference w:id="15"/>
      </w:r>
      <w:r w:rsidRPr="00515A47">
        <w:rPr>
          <w:lang w:val="fr-FR"/>
        </w:rPr>
        <w:t>, et d</w:t>
      </w:r>
      <w:r w:rsidR="00D77991">
        <w:rPr>
          <w:lang w:val="fr-FR"/>
        </w:rPr>
        <w:t>’</w:t>
      </w:r>
      <w:r w:rsidRPr="00515A47">
        <w:rPr>
          <w:lang w:val="fr-FR"/>
        </w:rPr>
        <w:t>autres évaluations techniques.</w:t>
      </w:r>
      <w:r w:rsidRPr="00C3019D">
        <w:rPr>
          <w:lang w:val="fr-FR"/>
        </w:rPr>
        <w:t xml:space="preserve"> </w:t>
      </w:r>
      <w:r w:rsidRPr="00515A47">
        <w:rPr>
          <w:lang w:val="fr-FR"/>
        </w:rPr>
        <w:t>S</w:t>
      </w:r>
      <w:r w:rsidR="00D77991">
        <w:rPr>
          <w:lang w:val="fr-FR"/>
        </w:rPr>
        <w:t>’</w:t>
      </w:r>
      <w:r w:rsidRPr="00515A47">
        <w:rPr>
          <w:lang w:val="fr-FR"/>
        </w:rPr>
        <w:t>il est mis en œuvre avec succès, ce projet renforcera la conformité de l</w:t>
      </w:r>
      <w:r w:rsidR="00D77991">
        <w:rPr>
          <w:lang w:val="fr-FR"/>
        </w:rPr>
        <w:t>’</w:t>
      </w:r>
      <w:r w:rsidRPr="00515A47">
        <w:rPr>
          <w:lang w:val="fr-FR"/>
        </w:rPr>
        <w:t>Égypte avec les obligations réglementaires du</w:t>
      </w:r>
      <w:r w:rsidR="00D77991">
        <w:rPr>
          <w:lang w:val="fr-FR"/>
        </w:rPr>
        <w:t xml:space="preserve"> </w:t>
      </w:r>
      <w:r w:rsidRPr="00515A47">
        <w:rPr>
          <w:lang w:val="fr-FR"/>
        </w:rPr>
        <w:t>Protocole De Montréal et l</w:t>
      </w:r>
      <w:r w:rsidR="00D77991">
        <w:rPr>
          <w:lang w:val="fr-FR"/>
        </w:rPr>
        <w:t>’</w:t>
      </w:r>
      <w:r w:rsidRPr="00515A47">
        <w:rPr>
          <w:lang w:val="fr-FR"/>
        </w:rPr>
        <w:t>aidera à éviter l</w:t>
      </w:r>
      <w:r w:rsidR="00D77991">
        <w:rPr>
          <w:lang w:val="fr-FR"/>
        </w:rPr>
        <w:t>’</w:t>
      </w:r>
      <w:r w:rsidRPr="00515A47">
        <w:rPr>
          <w:lang w:val="fr-FR"/>
        </w:rPr>
        <w:t>introduction</w:t>
      </w:r>
      <w:r w:rsidR="00D77991">
        <w:rPr>
          <w:lang w:val="fr-FR"/>
        </w:rPr>
        <w:t xml:space="preserve"> </w:t>
      </w:r>
      <w:r w:rsidRPr="00515A47">
        <w:rPr>
          <w:lang w:val="fr-FR"/>
        </w:rPr>
        <w:t>de produits de remplacement à PRP élevé</w:t>
      </w:r>
      <w:r w:rsidR="00D77991">
        <w:rPr>
          <w:lang w:val="fr-FR"/>
        </w:rPr>
        <w:t xml:space="preserve"> </w:t>
      </w:r>
      <w:r w:rsidRPr="00515A47">
        <w:rPr>
          <w:lang w:val="fr-FR"/>
        </w:rPr>
        <w:t>(par ex. le R-410A) dans le marché des climatiseurs résidentiels.</w:t>
      </w:r>
    </w:p>
    <w:p w:rsidR="00515A47" w:rsidRPr="00FB02DD" w:rsidRDefault="00ED330F" w:rsidP="00FB02DD">
      <w:pPr>
        <w:pStyle w:val="Heading1"/>
        <w:rPr>
          <w:lang w:val="fr-FR"/>
        </w:rPr>
      </w:pPr>
      <w:r w:rsidRPr="00ED330F">
        <w:rPr>
          <w:lang w:val="fr-FR"/>
        </w:rPr>
        <w:t>Conformément à la décision 74/20(a)(iii), le Secrétariat a demandé des informations détaillées de la part des fournisseurs sur la façon et le moment où un approvisionnement adéquat de la technologie à base de</w:t>
      </w:r>
      <w:r w:rsidR="00D77991">
        <w:rPr>
          <w:lang w:val="fr-FR"/>
        </w:rPr>
        <w:t xml:space="preserve"> </w:t>
      </w:r>
      <w:r w:rsidRPr="00ED330F">
        <w:rPr>
          <w:lang w:val="fr-FR"/>
        </w:rPr>
        <w:t>HFC-32 (</w:t>
      </w:r>
      <w:r w:rsidR="00ED7EB2">
        <w:rPr>
          <w:lang w:val="fr-FR"/>
        </w:rPr>
        <w:t>PRP</w:t>
      </w:r>
      <w:r w:rsidRPr="00ED330F">
        <w:rPr>
          <w:lang w:val="fr-FR"/>
        </w:rPr>
        <w:t xml:space="preserve"> = 675) et R-454B (</w:t>
      </w:r>
      <w:r w:rsidR="00ED7EB2">
        <w:rPr>
          <w:lang w:val="fr-FR"/>
        </w:rPr>
        <w:t>PRP</w:t>
      </w:r>
      <w:r w:rsidRPr="00ED330F">
        <w:rPr>
          <w:lang w:val="fr-FR"/>
        </w:rPr>
        <w:t xml:space="preserve"> = 490) serait disponible dans le pays, ainsi que les composants indispensables (tout</w:t>
      </w:r>
      <w:r w:rsidR="00D77991">
        <w:rPr>
          <w:lang w:val="fr-FR"/>
        </w:rPr>
        <w:t xml:space="preserve"> </w:t>
      </w:r>
      <w:r w:rsidRPr="00ED330F">
        <w:rPr>
          <w:lang w:val="fr-FR"/>
        </w:rPr>
        <w:t>particulièrement les</w:t>
      </w:r>
      <w:r w:rsidR="00D77991">
        <w:rPr>
          <w:lang w:val="fr-FR"/>
        </w:rPr>
        <w:t xml:space="preserve"> </w:t>
      </w:r>
      <w:r w:rsidRPr="00ED330F">
        <w:rPr>
          <w:lang w:val="fr-FR"/>
        </w:rPr>
        <w:t>compresseurs).</w:t>
      </w:r>
      <w:r w:rsidRPr="00C3019D">
        <w:rPr>
          <w:lang w:val="fr-FR"/>
        </w:rPr>
        <w:t xml:space="preserve"> </w:t>
      </w:r>
      <w:r w:rsidRPr="00ED330F">
        <w:rPr>
          <w:lang w:val="fr-FR"/>
        </w:rPr>
        <w:t>L</w:t>
      </w:r>
      <w:r w:rsidR="00D77991">
        <w:rPr>
          <w:lang w:val="fr-FR"/>
        </w:rPr>
        <w:t>’</w:t>
      </w:r>
      <w:r w:rsidRPr="00ED330F">
        <w:rPr>
          <w:lang w:val="fr-FR"/>
        </w:rPr>
        <w:t>ONUDI a indiqué que le HFC-32 et les compresseurs pour HFC-32 sont déjà disponibles, y compris des compresseurs convenant à une utilisation dans des températures ambiantes élevées ; les fournisseurs locaux ont indiqué qu</w:t>
      </w:r>
      <w:r w:rsidR="00D77991">
        <w:rPr>
          <w:lang w:val="fr-FR"/>
        </w:rPr>
        <w:t>’</w:t>
      </w:r>
      <w:r w:rsidRPr="00ED330F">
        <w:rPr>
          <w:lang w:val="fr-FR"/>
        </w:rPr>
        <w:t>ils seront en mesure de livrer les compresseurs pour</w:t>
      </w:r>
      <w:r w:rsidR="00D77991">
        <w:rPr>
          <w:lang w:val="fr-FR"/>
        </w:rPr>
        <w:t xml:space="preserve"> </w:t>
      </w:r>
      <w:r w:rsidRPr="00ED330F">
        <w:rPr>
          <w:lang w:val="fr-FR"/>
        </w:rPr>
        <w:t>HFC-32 d</w:t>
      </w:r>
      <w:r w:rsidR="00D77991">
        <w:rPr>
          <w:lang w:val="fr-FR"/>
        </w:rPr>
        <w:t>’</w:t>
      </w:r>
      <w:r w:rsidRPr="00ED330F">
        <w:rPr>
          <w:lang w:val="fr-FR"/>
        </w:rPr>
        <w:t xml:space="preserve">ici la fin de 2020. En revanche, la chaîne </w:t>
      </w:r>
      <w:r w:rsidR="00ED7EB2">
        <w:rPr>
          <w:lang w:val="fr-FR"/>
        </w:rPr>
        <w:t>d</w:t>
      </w:r>
      <w:r w:rsidR="00D77991">
        <w:rPr>
          <w:lang w:val="fr-FR"/>
        </w:rPr>
        <w:t>’</w:t>
      </w:r>
      <w:r w:rsidRPr="00ED330F">
        <w:rPr>
          <w:lang w:val="fr-FR"/>
        </w:rPr>
        <w:t>approvisionnement pour les frigorigènes</w:t>
      </w:r>
      <w:r w:rsidR="00D77991">
        <w:rPr>
          <w:lang w:val="fr-FR"/>
        </w:rPr>
        <w:t xml:space="preserve"> </w:t>
      </w:r>
      <w:r w:rsidRPr="00ED330F">
        <w:rPr>
          <w:lang w:val="fr-FR"/>
        </w:rPr>
        <w:t>R-454B et les composants n</w:t>
      </w:r>
      <w:r w:rsidR="00D77991">
        <w:rPr>
          <w:lang w:val="fr-FR"/>
        </w:rPr>
        <w:t>’</w:t>
      </w:r>
      <w:r w:rsidRPr="00ED330F">
        <w:rPr>
          <w:lang w:val="fr-FR"/>
        </w:rPr>
        <w:t>est encore complètement mise en place ; l</w:t>
      </w:r>
      <w:r w:rsidR="00D77991">
        <w:rPr>
          <w:lang w:val="fr-FR"/>
        </w:rPr>
        <w:t>’</w:t>
      </w:r>
      <w:r w:rsidRPr="00ED330F">
        <w:rPr>
          <w:lang w:val="fr-FR"/>
        </w:rPr>
        <w:t>approvisionnement en</w:t>
      </w:r>
      <w:r w:rsidR="00D77991">
        <w:rPr>
          <w:lang w:val="fr-FR"/>
        </w:rPr>
        <w:t xml:space="preserve"> </w:t>
      </w:r>
      <w:r w:rsidRPr="00ED330F">
        <w:rPr>
          <w:lang w:val="fr-FR"/>
        </w:rPr>
        <w:t>frigorigènes R-454B est limité et il n</w:t>
      </w:r>
      <w:r w:rsidR="00D77991">
        <w:rPr>
          <w:lang w:val="fr-FR"/>
        </w:rPr>
        <w:t>’</w:t>
      </w:r>
      <w:r w:rsidRPr="00ED330F">
        <w:rPr>
          <w:lang w:val="fr-FR"/>
        </w:rPr>
        <w:t>y a pas encore de compresseurs pour R-454B sur le marché.</w:t>
      </w:r>
      <w:r w:rsidRPr="00C3019D">
        <w:rPr>
          <w:lang w:val="fr-FR"/>
        </w:rPr>
        <w:t xml:space="preserve"> </w:t>
      </w:r>
      <w:r w:rsidRPr="00ED330F">
        <w:rPr>
          <w:lang w:val="fr-FR"/>
        </w:rPr>
        <w:t>La disponibilité du gaz frigorigène et des compresseurs était prévue pour 2023 dans les pays non visés à l</w:t>
      </w:r>
      <w:r w:rsidR="00D77991">
        <w:rPr>
          <w:lang w:val="fr-FR"/>
        </w:rPr>
        <w:t>’</w:t>
      </w:r>
      <w:r w:rsidRPr="00ED330F">
        <w:rPr>
          <w:lang w:val="fr-FR"/>
        </w:rPr>
        <w:t>article 5, et deux ou trois ans plus tard en Égypte.</w:t>
      </w:r>
      <w:r w:rsidRPr="00C3019D">
        <w:rPr>
          <w:lang w:val="fr-FR"/>
        </w:rPr>
        <w:t xml:space="preserve"> </w:t>
      </w:r>
      <w:r w:rsidRPr="00ED330F">
        <w:rPr>
          <w:lang w:val="fr-FR"/>
        </w:rPr>
        <w:t>Du fait que le</w:t>
      </w:r>
      <w:r w:rsidR="00D77991">
        <w:rPr>
          <w:lang w:val="fr-FR"/>
        </w:rPr>
        <w:t xml:space="preserve"> </w:t>
      </w:r>
      <w:r w:rsidRPr="00ED330F">
        <w:rPr>
          <w:lang w:val="fr-FR"/>
        </w:rPr>
        <w:t>R-454B n</w:t>
      </w:r>
      <w:r w:rsidR="00D77991">
        <w:rPr>
          <w:lang w:val="fr-FR"/>
        </w:rPr>
        <w:t>’</w:t>
      </w:r>
      <w:r w:rsidRPr="00ED330F">
        <w:rPr>
          <w:lang w:val="fr-FR"/>
        </w:rPr>
        <w:t>est pas disponible sur le marché local et que cette situation est appelée à persister au-delà de l</w:t>
      </w:r>
      <w:r w:rsidR="00D77991">
        <w:rPr>
          <w:lang w:val="fr-FR"/>
        </w:rPr>
        <w:t>’</w:t>
      </w:r>
      <w:r w:rsidRPr="00ED330F">
        <w:rPr>
          <w:lang w:val="fr-FR"/>
        </w:rPr>
        <w:t>achèvement de la phase II du PGEH, le Secrétariat n</w:t>
      </w:r>
      <w:r w:rsidR="00D77991">
        <w:rPr>
          <w:lang w:val="fr-FR"/>
        </w:rPr>
        <w:t>’</w:t>
      </w:r>
      <w:r w:rsidRPr="00ED330F">
        <w:rPr>
          <w:lang w:val="fr-FR"/>
        </w:rPr>
        <w:t>était pas en mesure d</w:t>
      </w:r>
      <w:r w:rsidR="00D77991">
        <w:rPr>
          <w:lang w:val="fr-FR"/>
        </w:rPr>
        <w:t>’</w:t>
      </w:r>
      <w:r w:rsidRPr="00ED330F">
        <w:rPr>
          <w:lang w:val="fr-FR"/>
        </w:rPr>
        <w:t>examiner les coûts de reconversion au R-454B.</w:t>
      </w:r>
      <w:r w:rsidRPr="00C3019D">
        <w:rPr>
          <w:lang w:val="fr-FR"/>
        </w:rPr>
        <w:t xml:space="preserve"> </w:t>
      </w:r>
      <w:r w:rsidRPr="00ED330F">
        <w:rPr>
          <w:lang w:val="fr-FR"/>
        </w:rPr>
        <w:t>C</w:t>
      </w:r>
      <w:r w:rsidR="00D77991">
        <w:rPr>
          <w:lang w:val="fr-FR"/>
        </w:rPr>
        <w:t>’</w:t>
      </w:r>
      <w:r w:rsidRPr="00ED330F">
        <w:rPr>
          <w:lang w:val="fr-FR"/>
        </w:rPr>
        <w:t>est pourquoi il a été convenu que les coûts différentiels seront déterminés sur la base du passage au HFC-32 ; toutefois, les entreprises auront la flexibilité d</w:t>
      </w:r>
      <w:r w:rsidR="00D77991">
        <w:rPr>
          <w:lang w:val="fr-FR"/>
        </w:rPr>
        <w:t>’</w:t>
      </w:r>
      <w:r w:rsidRPr="00ED330F">
        <w:rPr>
          <w:lang w:val="fr-FR"/>
        </w:rPr>
        <w:t>opter pour la fabrication d</w:t>
      </w:r>
      <w:r w:rsidR="00D77991">
        <w:rPr>
          <w:lang w:val="fr-FR"/>
        </w:rPr>
        <w:t>’</w:t>
      </w:r>
      <w:r w:rsidRPr="00ED330F">
        <w:rPr>
          <w:lang w:val="fr-FR"/>
        </w:rPr>
        <w:t>équipements à base de R-454B une fois que cette technologie sera disponible.</w:t>
      </w:r>
    </w:p>
    <w:p w:rsidR="009B5815" w:rsidRPr="00ED330F" w:rsidRDefault="00ED330F" w:rsidP="009B5815">
      <w:pPr>
        <w:rPr>
          <w:i/>
          <w:lang w:val="en-CA"/>
        </w:rPr>
      </w:pPr>
      <w:r w:rsidRPr="00ED330F">
        <w:rPr>
          <w:i/>
          <w:lang w:val="fr-FR"/>
        </w:rPr>
        <w:lastRenderedPageBreak/>
        <w:t>Coûts</w:t>
      </w:r>
      <w:r w:rsidR="00D77991">
        <w:rPr>
          <w:i/>
          <w:lang w:val="fr-FR"/>
        </w:rPr>
        <w:t xml:space="preserve"> </w:t>
      </w:r>
      <w:r w:rsidRPr="00ED330F">
        <w:rPr>
          <w:i/>
          <w:lang w:val="fr-FR"/>
        </w:rPr>
        <w:t>différentiels</w:t>
      </w:r>
    </w:p>
    <w:p w:rsidR="009B5815" w:rsidRPr="001F1E0E" w:rsidRDefault="009B5815" w:rsidP="009B5815">
      <w:pPr>
        <w:rPr>
          <w:i/>
          <w:lang w:val="en-CA"/>
        </w:rPr>
      </w:pPr>
    </w:p>
    <w:p w:rsidR="003C6C80" w:rsidRPr="00FB02DD" w:rsidRDefault="003C6C80" w:rsidP="00FB02DD">
      <w:pPr>
        <w:pStyle w:val="Heading1"/>
        <w:rPr>
          <w:lang w:val="fr-FR"/>
        </w:rPr>
      </w:pPr>
      <w:r w:rsidRPr="003C6C80">
        <w:rPr>
          <w:lang w:val="fr-FR"/>
        </w:rPr>
        <w:t>Les discussions au sujet des coûts différentiels d</w:t>
      </w:r>
      <w:r w:rsidR="00D77991">
        <w:rPr>
          <w:lang w:val="fr-FR"/>
        </w:rPr>
        <w:t>’</w:t>
      </w:r>
      <w:r w:rsidRPr="003C6C80">
        <w:rPr>
          <w:lang w:val="fr-FR"/>
        </w:rPr>
        <w:t>investissement se rapporta</w:t>
      </w:r>
      <w:r w:rsidR="00612C08">
        <w:rPr>
          <w:lang w:val="fr-FR"/>
        </w:rPr>
        <w:t>ient</w:t>
      </w:r>
      <w:r w:rsidRPr="003C6C80">
        <w:rPr>
          <w:lang w:val="fr-FR"/>
        </w:rPr>
        <w:t xml:space="preserve"> au coût de</w:t>
      </w:r>
      <w:r w:rsidR="00612C08">
        <w:rPr>
          <w:lang w:val="fr-FR"/>
        </w:rPr>
        <w:t>s</w:t>
      </w:r>
      <w:r w:rsidRPr="003C6C80">
        <w:rPr>
          <w:lang w:val="fr-FR"/>
        </w:rPr>
        <w:t xml:space="preserve"> machines</w:t>
      </w:r>
      <w:r w:rsidR="00612C08">
        <w:rPr>
          <w:lang w:val="fr-FR"/>
        </w:rPr>
        <w:t xml:space="preserve"> de charge</w:t>
      </w:r>
      <w:r w:rsidR="00612C08">
        <w:rPr>
          <w:lang w:val="nl-NL"/>
        </w:rPr>
        <w:t>ment</w:t>
      </w:r>
      <w:r w:rsidRPr="003C6C80">
        <w:rPr>
          <w:lang w:val="fr-FR"/>
        </w:rPr>
        <w:t xml:space="preserve"> ; </w:t>
      </w:r>
      <w:r w:rsidR="00612C08">
        <w:rPr>
          <w:lang w:val="fr-FR"/>
        </w:rPr>
        <w:t>au</w:t>
      </w:r>
      <w:r w:rsidRPr="003C6C80">
        <w:rPr>
          <w:lang w:val="fr-FR"/>
        </w:rPr>
        <w:t xml:space="preserve"> nombre de machine</w:t>
      </w:r>
      <w:r w:rsidR="00612C08">
        <w:rPr>
          <w:lang w:val="fr-FR"/>
        </w:rPr>
        <w:t>s</w:t>
      </w:r>
      <w:r w:rsidRPr="003C6C80">
        <w:rPr>
          <w:lang w:val="fr-FR"/>
        </w:rPr>
        <w:t xml:space="preserve"> à souder par ultrasons nécessaires ;</w:t>
      </w:r>
      <w:r w:rsidR="00612C08">
        <w:rPr>
          <w:lang w:val="fr-FR"/>
        </w:rPr>
        <w:t xml:space="preserve"> à</w:t>
      </w:r>
      <w:r w:rsidRPr="003C6C80">
        <w:rPr>
          <w:lang w:val="fr-FR"/>
        </w:rPr>
        <w:t xml:space="preserve"> l</w:t>
      </w:r>
      <w:r w:rsidR="00D77991">
        <w:rPr>
          <w:lang w:val="fr-FR"/>
        </w:rPr>
        <w:t>’</w:t>
      </w:r>
      <w:r w:rsidRPr="003C6C80">
        <w:rPr>
          <w:lang w:val="fr-FR"/>
        </w:rPr>
        <w:t xml:space="preserve">égibilité de la demande de coupleurs de processus qui sont demandés indépendamment du frigorigène utilisé ; </w:t>
      </w:r>
      <w:r w:rsidR="00612C08">
        <w:rPr>
          <w:lang w:val="fr-FR"/>
        </w:rPr>
        <w:t>aux</w:t>
      </w:r>
      <w:r w:rsidRPr="003C6C80">
        <w:rPr>
          <w:lang w:val="fr-FR"/>
        </w:rPr>
        <w:t xml:space="preserve"> coûts se rapportant aux laboratoires, y compris le suivi des gaz, la ventilation et le fait de savoir si un appareil de récupération était nécessaire ; </w:t>
      </w:r>
      <w:r w:rsidR="00612C08">
        <w:rPr>
          <w:lang w:val="fr-FR"/>
        </w:rPr>
        <w:t>au</w:t>
      </w:r>
      <w:r w:rsidRPr="003C6C80">
        <w:rPr>
          <w:lang w:val="fr-FR"/>
        </w:rPr>
        <w:t xml:space="preserve"> coût du système de détection des fuites à l</w:t>
      </w:r>
      <w:r w:rsidR="00D77991">
        <w:rPr>
          <w:lang w:val="fr-FR"/>
        </w:rPr>
        <w:t>’</w:t>
      </w:r>
      <w:r w:rsidRPr="003C6C80">
        <w:rPr>
          <w:lang w:val="fr-FR"/>
        </w:rPr>
        <w:t xml:space="preserve">hélium, du fait de </w:t>
      </w:r>
      <w:r w:rsidR="00612C08">
        <w:rPr>
          <w:lang w:val="fr-FR"/>
        </w:rPr>
        <w:t xml:space="preserve">la </w:t>
      </w:r>
      <w:r w:rsidRPr="003C6C80">
        <w:rPr>
          <w:lang w:val="fr-FR"/>
        </w:rPr>
        <w:t>pratique dans deux entreprises de tester les fuites des unités intérieures avec du</w:t>
      </w:r>
      <w:r w:rsidR="00D77991">
        <w:rPr>
          <w:lang w:val="fr-FR"/>
        </w:rPr>
        <w:t xml:space="preserve"> </w:t>
      </w:r>
      <w:r w:rsidRPr="003C6C80">
        <w:rPr>
          <w:lang w:val="fr-FR"/>
        </w:rPr>
        <w:t xml:space="preserve">HCFC-22 ; et </w:t>
      </w:r>
      <w:r w:rsidR="00612C08">
        <w:rPr>
          <w:lang w:val="fr-FR"/>
        </w:rPr>
        <w:t>au</w:t>
      </w:r>
      <w:r w:rsidRPr="003C6C80">
        <w:rPr>
          <w:lang w:val="fr-FR"/>
        </w:rPr>
        <w:t xml:space="preserve"> prix des pièces détachées, du projet d</w:t>
      </w:r>
      <w:r w:rsidR="00D77991">
        <w:rPr>
          <w:lang w:val="fr-FR"/>
        </w:rPr>
        <w:t>’</w:t>
      </w:r>
      <w:r w:rsidRPr="003C6C80">
        <w:rPr>
          <w:lang w:val="fr-FR"/>
        </w:rPr>
        <w:t xml:space="preserve">ingénierie, </w:t>
      </w:r>
      <w:r w:rsidR="00612C08">
        <w:rPr>
          <w:lang w:val="fr-FR"/>
        </w:rPr>
        <w:t xml:space="preserve">de </w:t>
      </w:r>
      <w:r w:rsidRPr="003C6C80">
        <w:rPr>
          <w:lang w:val="fr-FR"/>
        </w:rPr>
        <w:t>l</w:t>
      </w:r>
      <w:r w:rsidR="00D77991">
        <w:rPr>
          <w:lang w:val="fr-FR"/>
        </w:rPr>
        <w:t>’</w:t>
      </w:r>
      <w:r w:rsidRPr="003C6C80">
        <w:rPr>
          <w:lang w:val="fr-FR"/>
        </w:rPr>
        <w:t xml:space="preserve">installation et </w:t>
      </w:r>
      <w:r w:rsidR="00612C08">
        <w:rPr>
          <w:lang w:val="fr-FR"/>
        </w:rPr>
        <w:t xml:space="preserve">de </w:t>
      </w:r>
      <w:r w:rsidRPr="003C6C80">
        <w:rPr>
          <w:lang w:val="fr-FR"/>
        </w:rPr>
        <w:t xml:space="preserve">la formation et </w:t>
      </w:r>
      <w:r w:rsidR="00612C08">
        <w:rPr>
          <w:lang w:val="fr-FR"/>
        </w:rPr>
        <w:t>de</w:t>
      </w:r>
      <w:r w:rsidRPr="003C6C80">
        <w:rPr>
          <w:lang w:val="fr-FR"/>
        </w:rPr>
        <w:t>s audits de sécurité.</w:t>
      </w:r>
      <w:r w:rsidRPr="00C3019D">
        <w:rPr>
          <w:lang w:val="fr-FR"/>
        </w:rPr>
        <w:t xml:space="preserve"> </w:t>
      </w:r>
      <w:r w:rsidR="00612C08">
        <w:rPr>
          <w:lang w:val="fr-FR"/>
        </w:rPr>
        <w:t>En outre,</w:t>
      </w:r>
      <w:r w:rsidRPr="003C6C80">
        <w:rPr>
          <w:lang w:val="fr-FR"/>
        </w:rPr>
        <w:t xml:space="preserve"> l</w:t>
      </w:r>
      <w:r w:rsidR="00D77991">
        <w:rPr>
          <w:lang w:val="fr-FR"/>
        </w:rPr>
        <w:t>’</w:t>
      </w:r>
      <w:r w:rsidRPr="003C6C80">
        <w:rPr>
          <w:lang w:val="fr-FR"/>
        </w:rPr>
        <w:t xml:space="preserve">assistance technique demandée </w:t>
      </w:r>
      <w:r w:rsidR="00AC0604">
        <w:rPr>
          <w:lang w:val="fr-FR"/>
        </w:rPr>
        <w:t xml:space="preserve">pour </w:t>
      </w:r>
      <w:r w:rsidRPr="003C6C80">
        <w:rPr>
          <w:lang w:val="fr-FR"/>
        </w:rPr>
        <w:t xml:space="preserve">chaque entreprise afin de maintenir ou </w:t>
      </w:r>
      <w:r w:rsidR="00612C08">
        <w:rPr>
          <w:lang w:val="fr-FR"/>
        </w:rPr>
        <w:t>d’</w:t>
      </w:r>
      <w:r w:rsidRPr="003C6C80">
        <w:rPr>
          <w:lang w:val="fr-FR"/>
        </w:rPr>
        <w:t>améliorer l</w:t>
      </w:r>
      <w:r w:rsidR="00D77991">
        <w:rPr>
          <w:lang w:val="fr-FR"/>
        </w:rPr>
        <w:t>’</w:t>
      </w:r>
      <w:r w:rsidRPr="003C6C80">
        <w:rPr>
          <w:lang w:val="fr-FR"/>
        </w:rPr>
        <w:t>efficacité énergétique n</w:t>
      </w:r>
      <w:r w:rsidR="00D77991">
        <w:rPr>
          <w:lang w:val="fr-FR"/>
        </w:rPr>
        <w:t>’</w:t>
      </w:r>
      <w:r w:rsidRPr="003C6C80">
        <w:rPr>
          <w:lang w:val="fr-FR"/>
        </w:rPr>
        <w:t>était pas éligible, et l</w:t>
      </w:r>
      <w:r w:rsidR="00D77991">
        <w:rPr>
          <w:lang w:val="fr-FR"/>
        </w:rPr>
        <w:t>’</w:t>
      </w:r>
      <w:r w:rsidRPr="003C6C80">
        <w:rPr>
          <w:lang w:val="fr-FR"/>
        </w:rPr>
        <w:t>assistance technique requise en vue d</w:t>
      </w:r>
      <w:r w:rsidR="00D77991">
        <w:rPr>
          <w:lang w:val="fr-FR"/>
        </w:rPr>
        <w:t>’</w:t>
      </w:r>
      <w:r w:rsidRPr="003C6C80">
        <w:rPr>
          <w:lang w:val="fr-FR"/>
        </w:rPr>
        <w:t>assurer la conformité aux obligations de sécurité était déjà incluse dans les coûts acceptés pour l</w:t>
      </w:r>
      <w:r w:rsidR="00D77991">
        <w:rPr>
          <w:lang w:val="fr-FR"/>
        </w:rPr>
        <w:t>’</w:t>
      </w:r>
      <w:r w:rsidRPr="003C6C80">
        <w:rPr>
          <w:lang w:val="fr-FR"/>
        </w:rPr>
        <w:t>installation et la formation.</w:t>
      </w:r>
      <w:r w:rsidRPr="00C3019D">
        <w:rPr>
          <w:lang w:val="fr-FR"/>
        </w:rPr>
        <w:t xml:space="preserve"> </w:t>
      </w:r>
      <w:r w:rsidRPr="003C6C80">
        <w:rPr>
          <w:lang w:val="fr-FR"/>
        </w:rPr>
        <w:t xml:space="preserve">Toutefois, en accord avec la suggestion faite par un examen technique indépendant du projet et </w:t>
      </w:r>
      <w:r w:rsidR="00612C08">
        <w:rPr>
          <w:lang w:val="fr-FR"/>
        </w:rPr>
        <w:t>les résultats</w:t>
      </w:r>
      <w:r w:rsidRPr="003C6C80">
        <w:rPr>
          <w:lang w:val="fr-FR"/>
        </w:rPr>
        <w:t xml:space="preserve"> d</w:t>
      </w:r>
      <w:r w:rsidR="00D77991">
        <w:rPr>
          <w:lang w:val="fr-FR"/>
        </w:rPr>
        <w:t>’</w:t>
      </w:r>
      <w:r w:rsidRPr="003C6C80">
        <w:rPr>
          <w:lang w:val="fr-FR"/>
        </w:rPr>
        <w:t>EGYPRA, le Secrétariat a estimé qu</w:t>
      </w:r>
      <w:r w:rsidR="00D77991">
        <w:rPr>
          <w:lang w:val="fr-FR"/>
        </w:rPr>
        <w:t>’</w:t>
      </w:r>
      <w:r w:rsidRPr="003C6C80">
        <w:rPr>
          <w:lang w:val="fr-FR"/>
        </w:rPr>
        <w:t>une assistance supplémentaire serait nécessaire pour optimiser les performances des équipements fabriqués afin d</w:t>
      </w:r>
      <w:r w:rsidR="00D77991">
        <w:rPr>
          <w:lang w:val="fr-FR"/>
        </w:rPr>
        <w:t>’</w:t>
      </w:r>
      <w:r w:rsidRPr="003C6C80">
        <w:rPr>
          <w:lang w:val="fr-FR"/>
        </w:rPr>
        <w:t>assurer qu</w:t>
      </w:r>
      <w:r w:rsidR="00D77991">
        <w:rPr>
          <w:lang w:val="fr-FR"/>
        </w:rPr>
        <w:t>’</w:t>
      </w:r>
      <w:r w:rsidRPr="003C6C80">
        <w:rPr>
          <w:lang w:val="fr-FR"/>
        </w:rPr>
        <w:t>ils peuvent rivaliser sur le marché</w:t>
      </w:r>
      <w:r w:rsidR="00D77991">
        <w:rPr>
          <w:lang w:val="fr-FR"/>
        </w:rPr>
        <w:t xml:space="preserve"> </w:t>
      </w:r>
      <w:r w:rsidRPr="003C6C80">
        <w:rPr>
          <w:lang w:val="fr-FR"/>
        </w:rPr>
        <w:t>avec les équipements contenant du R-410A.</w:t>
      </w:r>
    </w:p>
    <w:p w:rsidR="003C6C80" w:rsidRPr="00C3019D" w:rsidRDefault="00930439" w:rsidP="00930439">
      <w:pPr>
        <w:pStyle w:val="Heading1"/>
        <w:rPr>
          <w:lang w:val="fr-FR"/>
        </w:rPr>
      </w:pPr>
      <w:r w:rsidRPr="00930439">
        <w:rPr>
          <w:lang w:val="fr-FR"/>
        </w:rPr>
        <w:t>Après avoir pris en compte l</w:t>
      </w:r>
      <w:r w:rsidR="00D77991">
        <w:rPr>
          <w:lang w:val="fr-FR"/>
        </w:rPr>
        <w:t>’</w:t>
      </w:r>
      <w:r w:rsidRPr="00930439">
        <w:rPr>
          <w:lang w:val="fr-FR"/>
        </w:rPr>
        <w:t>inéligibilité des équipements achetés après le 21 septembre 2007, les coûts différentiels d</w:t>
      </w:r>
      <w:r w:rsidR="00D77991">
        <w:rPr>
          <w:lang w:val="fr-FR"/>
        </w:rPr>
        <w:t>’</w:t>
      </w:r>
      <w:r w:rsidRPr="00930439">
        <w:rPr>
          <w:lang w:val="fr-FR"/>
        </w:rPr>
        <w:t xml:space="preserve">investissement acceptés pour les cinq entreprises ont été adaptés, passant </w:t>
      </w:r>
      <w:r w:rsidR="00612C08">
        <w:rPr>
          <w:lang w:val="fr-FR"/>
        </w:rPr>
        <w:t xml:space="preserve">de </w:t>
      </w:r>
      <w:r w:rsidRPr="00930439">
        <w:rPr>
          <w:lang w:val="fr-FR"/>
        </w:rPr>
        <w:t>5 085 410 $US à 4 253 197 $US, comme l</w:t>
      </w:r>
      <w:r w:rsidR="00D77991">
        <w:rPr>
          <w:lang w:val="fr-FR"/>
        </w:rPr>
        <w:t>’</w:t>
      </w:r>
      <w:r w:rsidRPr="00930439">
        <w:rPr>
          <w:lang w:val="fr-FR"/>
        </w:rPr>
        <w:t>indique le tableau 6.</w:t>
      </w:r>
      <w:r w:rsidRPr="00C3019D">
        <w:rPr>
          <w:lang w:val="fr-FR"/>
        </w:rPr>
        <w:t xml:space="preserve"> </w:t>
      </w:r>
    </w:p>
    <w:p w:rsidR="00983281" w:rsidRPr="00C3019D" w:rsidRDefault="00930439" w:rsidP="00983281">
      <w:pPr>
        <w:rPr>
          <w:b/>
          <w:lang w:val="fr-FR"/>
        </w:rPr>
      </w:pPr>
      <w:r w:rsidRPr="00930439">
        <w:rPr>
          <w:b/>
          <w:lang w:val="fr-FR"/>
        </w:rPr>
        <w:t>Tableau 6.</w:t>
      </w:r>
      <w:r w:rsidR="00D77991">
        <w:rPr>
          <w:b/>
          <w:lang w:val="fr-FR"/>
        </w:rPr>
        <w:t xml:space="preserve"> </w:t>
      </w:r>
      <w:r w:rsidRPr="00930439">
        <w:rPr>
          <w:b/>
          <w:lang w:val="fr-FR"/>
        </w:rPr>
        <w:t>Coûts différentiels d</w:t>
      </w:r>
      <w:r w:rsidR="00D77991">
        <w:rPr>
          <w:b/>
          <w:lang w:val="fr-FR"/>
        </w:rPr>
        <w:t>’</w:t>
      </w:r>
      <w:r w:rsidRPr="00930439">
        <w:rPr>
          <w:b/>
          <w:lang w:val="fr-FR"/>
        </w:rPr>
        <w:t>investissement (</w:t>
      </w:r>
      <w:r w:rsidR="00E8082E">
        <w:rPr>
          <w:b/>
          <w:lang w:val="fr-FR"/>
        </w:rPr>
        <w:t>CDI</w:t>
      </w:r>
      <w:r w:rsidRPr="00930439">
        <w:rPr>
          <w:b/>
          <w:lang w:val="fr-FR"/>
        </w:rPr>
        <w:t>) pour les cinq entreprises ($US)</w:t>
      </w:r>
    </w:p>
    <w:tbl>
      <w:tblPr>
        <w:tblStyle w:val="TableGrid"/>
        <w:tblW w:w="4944" w:type="pct"/>
        <w:tblInd w:w="108" w:type="dxa"/>
        <w:tblLook w:val="04A0" w:firstRow="1" w:lastRow="0" w:firstColumn="1" w:lastColumn="0" w:noHBand="0" w:noVBand="1"/>
      </w:tblPr>
      <w:tblGrid>
        <w:gridCol w:w="3080"/>
        <w:gridCol w:w="1053"/>
        <w:gridCol w:w="1025"/>
        <w:gridCol w:w="1025"/>
        <w:gridCol w:w="1025"/>
        <w:gridCol w:w="1119"/>
        <w:gridCol w:w="1142"/>
      </w:tblGrid>
      <w:tr w:rsidR="00983281" w:rsidRPr="001F1E0E" w:rsidTr="00FB02DD">
        <w:tc>
          <w:tcPr>
            <w:tcW w:w="1627" w:type="pct"/>
            <w:vMerge w:val="restart"/>
          </w:tcPr>
          <w:p w:rsidR="00983281" w:rsidRPr="00C3019D" w:rsidRDefault="00983281" w:rsidP="00E51975">
            <w:pPr>
              <w:jc w:val="center"/>
              <w:rPr>
                <w:b/>
                <w:sz w:val="20"/>
                <w:szCs w:val="20"/>
                <w:lang w:val="fr-FR"/>
              </w:rPr>
            </w:pPr>
          </w:p>
          <w:p w:rsidR="00983281" w:rsidRPr="00C3019D" w:rsidRDefault="00930439" w:rsidP="005B6FC5">
            <w:pPr>
              <w:jc w:val="center"/>
              <w:rPr>
                <w:b/>
                <w:sz w:val="20"/>
                <w:szCs w:val="20"/>
                <w:lang w:val="fr-FR"/>
              </w:rPr>
            </w:pPr>
            <w:r w:rsidRPr="00930439">
              <w:rPr>
                <w:b/>
                <w:sz w:val="20"/>
                <w:szCs w:val="20"/>
                <w:lang w:val="fr-FR"/>
              </w:rPr>
              <w:t>Zones et équipements des processus</w:t>
            </w:r>
          </w:p>
        </w:tc>
        <w:tc>
          <w:tcPr>
            <w:tcW w:w="2770" w:type="pct"/>
            <w:gridSpan w:val="5"/>
          </w:tcPr>
          <w:p w:rsidR="00983281" w:rsidRPr="00930439" w:rsidRDefault="00930439" w:rsidP="005B6FC5">
            <w:pPr>
              <w:jc w:val="center"/>
              <w:rPr>
                <w:b/>
                <w:sz w:val="20"/>
                <w:szCs w:val="20"/>
                <w:lang w:val="en-CA"/>
              </w:rPr>
            </w:pPr>
            <w:r w:rsidRPr="00930439">
              <w:rPr>
                <w:b/>
                <w:sz w:val="20"/>
                <w:szCs w:val="20"/>
                <w:lang w:val="fr-FR"/>
              </w:rPr>
              <w:t>Fabricant</w:t>
            </w:r>
          </w:p>
        </w:tc>
        <w:tc>
          <w:tcPr>
            <w:tcW w:w="604" w:type="pct"/>
            <w:vMerge w:val="restart"/>
          </w:tcPr>
          <w:p w:rsidR="00983281" w:rsidRPr="001F1E0E" w:rsidRDefault="00983281" w:rsidP="00E51975">
            <w:pPr>
              <w:jc w:val="center"/>
              <w:rPr>
                <w:b/>
                <w:sz w:val="20"/>
                <w:szCs w:val="20"/>
                <w:lang w:val="en-CA"/>
              </w:rPr>
            </w:pPr>
          </w:p>
          <w:p w:rsidR="00983281" w:rsidRPr="00930439" w:rsidRDefault="00930439" w:rsidP="005B6FC5">
            <w:pPr>
              <w:jc w:val="center"/>
              <w:rPr>
                <w:b/>
                <w:sz w:val="20"/>
                <w:szCs w:val="20"/>
                <w:lang w:val="en-CA"/>
              </w:rPr>
            </w:pPr>
            <w:r w:rsidRPr="00930439">
              <w:rPr>
                <w:b/>
                <w:sz w:val="20"/>
                <w:szCs w:val="20"/>
                <w:lang w:val="fr-FR"/>
              </w:rPr>
              <w:t>Total</w:t>
            </w:r>
          </w:p>
        </w:tc>
      </w:tr>
      <w:tr w:rsidR="00983281" w:rsidRPr="001F1E0E" w:rsidTr="00FB02DD">
        <w:tc>
          <w:tcPr>
            <w:tcW w:w="1627" w:type="pct"/>
            <w:vMerge/>
          </w:tcPr>
          <w:p w:rsidR="00983281" w:rsidRPr="001F1E0E" w:rsidRDefault="00983281" w:rsidP="00E51975">
            <w:pPr>
              <w:jc w:val="left"/>
              <w:rPr>
                <w:sz w:val="20"/>
                <w:szCs w:val="20"/>
                <w:lang w:val="en-CA"/>
              </w:rPr>
            </w:pPr>
          </w:p>
        </w:tc>
        <w:tc>
          <w:tcPr>
            <w:tcW w:w="556" w:type="pct"/>
          </w:tcPr>
          <w:p w:rsidR="00983281" w:rsidRPr="00930439" w:rsidRDefault="00930439" w:rsidP="005B6FC5">
            <w:pPr>
              <w:spacing w:line="259" w:lineRule="auto"/>
              <w:ind w:left="5"/>
              <w:jc w:val="center"/>
              <w:rPr>
                <w:sz w:val="20"/>
                <w:szCs w:val="20"/>
                <w:lang w:val="en-CA"/>
              </w:rPr>
            </w:pPr>
            <w:r w:rsidRPr="00930439">
              <w:rPr>
                <w:b/>
                <w:sz w:val="20"/>
                <w:szCs w:val="20"/>
                <w:lang w:val="fr-FR"/>
              </w:rPr>
              <w:t>El-Araby</w:t>
            </w:r>
          </w:p>
        </w:tc>
        <w:tc>
          <w:tcPr>
            <w:tcW w:w="541" w:type="pct"/>
          </w:tcPr>
          <w:p w:rsidR="00983281" w:rsidRPr="00930439" w:rsidRDefault="00930439" w:rsidP="005B6FC5">
            <w:pPr>
              <w:spacing w:line="259" w:lineRule="auto"/>
              <w:ind w:left="5"/>
              <w:jc w:val="center"/>
              <w:rPr>
                <w:sz w:val="20"/>
                <w:szCs w:val="20"/>
                <w:lang w:val="en-CA"/>
              </w:rPr>
            </w:pPr>
            <w:r w:rsidRPr="00930439">
              <w:rPr>
                <w:b/>
                <w:sz w:val="20"/>
                <w:szCs w:val="20"/>
                <w:lang w:val="fr-FR"/>
              </w:rPr>
              <w:t>Fresh</w:t>
            </w:r>
          </w:p>
        </w:tc>
        <w:tc>
          <w:tcPr>
            <w:tcW w:w="541" w:type="pct"/>
          </w:tcPr>
          <w:p w:rsidR="00983281" w:rsidRPr="00930439" w:rsidRDefault="00930439" w:rsidP="005B6FC5">
            <w:pPr>
              <w:spacing w:line="259" w:lineRule="auto"/>
              <w:ind w:left="5"/>
              <w:jc w:val="center"/>
              <w:rPr>
                <w:sz w:val="20"/>
                <w:szCs w:val="20"/>
                <w:lang w:val="en-CA"/>
              </w:rPr>
            </w:pPr>
            <w:r w:rsidRPr="00930439">
              <w:rPr>
                <w:b/>
                <w:sz w:val="20"/>
                <w:szCs w:val="20"/>
                <w:lang w:val="fr-FR"/>
              </w:rPr>
              <w:t>Miraco</w:t>
            </w:r>
          </w:p>
        </w:tc>
        <w:tc>
          <w:tcPr>
            <w:tcW w:w="541" w:type="pct"/>
          </w:tcPr>
          <w:p w:rsidR="00983281" w:rsidRPr="00930439" w:rsidRDefault="00930439" w:rsidP="005B6FC5">
            <w:pPr>
              <w:spacing w:line="259" w:lineRule="auto"/>
              <w:ind w:left="5"/>
              <w:jc w:val="center"/>
              <w:rPr>
                <w:sz w:val="20"/>
                <w:szCs w:val="20"/>
                <w:lang w:val="en-CA"/>
              </w:rPr>
            </w:pPr>
            <w:r w:rsidRPr="00930439">
              <w:rPr>
                <w:b/>
                <w:sz w:val="20"/>
                <w:szCs w:val="20"/>
                <w:lang w:val="fr-FR"/>
              </w:rPr>
              <w:t>Power</w:t>
            </w:r>
          </w:p>
        </w:tc>
        <w:tc>
          <w:tcPr>
            <w:tcW w:w="590" w:type="pct"/>
          </w:tcPr>
          <w:p w:rsidR="00983281" w:rsidRPr="00930439" w:rsidRDefault="00930439" w:rsidP="005B6FC5">
            <w:pPr>
              <w:spacing w:line="259" w:lineRule="auto"/>
              <w:ind w:left="5"/>
              <w:jc w:val="center"/>
              <w:rPr>
                <w:sz w:val="20"/>
                <w:szCs w:val="20"/>
                <w:lang w:val="en-CA"/>
              </w:rPr>
            </w:pPr>
            <w:r w:rsidRPr="00930439">
              <w:rPr>
                <w:b/>
                <w:sz w:val="20"/>
                <w:szCs w:val="20"/>
                <w:lang w:val="fr-FR"/>
              </w:rPr>
              <w:t>Unionaire</w:t>
            </w:r>
          </w:p>
        </w:tc>
        <w:tc>
          <w:tcPr>
            <w:tcW w:w="604" w:type="pct"/>
            <w:vMerge/>
          </w:tcPr>
          <w:p w:rsidR="00983281" w:rsidRPr="001F1E0E" w:rsidRDefault="00983281" w:rsidP="00E51975">
            <w:pPr>
              <w:jc w:val="right"/>
              <w:rPr>
                <w:sz w:val="20"/>
                <w:szCs w:val="20"/>
                <w:lang w:val="en-CA"/>
              </w:rPr>
            </w:pPr>
          </w:p>
        </w:tc>
      </w:tr>
      <w:tr w:rsidR="00B72C75" w:rsidRPr="001F1E0E" w:rsidTr="00FB02DD">
        <w:tc>
          <w:tcPr>
            <w:tcW w:w="1627" w:type="pct"/>
          </w:tcPr>
          <w:p w:rsidR="00B72C75" w:rsidRPr="00930439" w:rsidRDefault="00930439" w:rsidP="005B6FC5">
            <w:pPr>
              <w:jc w:val="left"/>
              <w:rPr>
                <w:sz w:val="20"/>
                <w:szCs w:val="20"/>
                <w:lang w:val="en-CA"/>
              </w:rPr>
            </w:pPr>
            <w:r w:rsidRPr="00930439">
              <w:rPr>
                <w:sz w:val="20"/>
                <w:szCs w:val="20"/>
                <w:lang w:val="fr-FR"/>
              </w:rPr>
              <w:t>Système d</w:t>
            </w:r>
            <w:r w:rsidR="00D77991">
              <w:rPr>
                <w:sz w:val="20"/>
                <w:szCs w:val="20"/>
                <w:lang w:val="fr-FR"/>
              </w:rPr>
              <w:t>’</w:t>
            </w:r>
            <w:r w:rsidRPr="00930439">
              <w:rPr>
                <w:sz w:val="20"/>
                <w:szCs w:val="20"/>
                <w:lang w:val="fr-FR"/>
              </w:rPr>
              <w:t>approvisionnement en frigorigène</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81</w:t>
            </w:r>
            <w:r w:rsidR="00532014">
              <w:rPr>
                <w:sz w:val="20"/>
                <w:szCs w:val="20"/>
                <w:lang w:val="en-CA"/>
              </w:rPr>
              <w:t> </w:t>
            </w:r>
            <w:r w:rsidRPr="001F1E0E">
              <w:rPr>
                <w:sz w:val="20"/>
                <w:szCs w:val="20"/>
                <w:lang w:val="en-CA"/>
              </w:rPr>
              <w:t xml:space="preserve">000 </w:t>
            </w:r>
          </w:p>
        </w:tc>
        <w:tc>
          <w:tcPr>
            <w:tcW w:w="541" w:type="pct"/>
            <w:tcBorders>
              <w:top w:val="single" w:sz="4" w:space="0" w:color="auto"/>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118</w:t>
            </w:r>
            <w:r w:rsidR="00532014">
              <w:rPr>
                <w:sz w:val="20"/>
                <w:szCs w:val="20"/>
                <w:lang w:val="en-CA"/>
              </w:rPr>
              <w:t> </w:t>
            </w:r>
            <w:r w:rsidRPr="001F1E0E">
              <w:rPr>
                <w:sz w:val="20"/>
                <w:szCs w:val="20"/>
                <w:lang w:val="en-CA"/>
              </w:rPr>
              <w:t xml:space="preserve">000 </w:t>
            </w:r>
          </w:p>
        </w:tc>
        <w:tc>
          <w:tcPr>
            <w:tcW w:w="541" w:type="pct"/>
            <w:tcBorders>
              <w:top w:val="single" w:sz="4" w:space="0" w:color="auto"/>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74</w:t>
            </w:r>
            <w:r w:rsidR="00532014">
              <w:rPr>
                <w:sz w:val="20"/>
                <w:szCs w:val="20"/>
                <w:lang w:val="en-CA"/>
              </w:rPr>
              <w:t> </w:t>
            </w:r>
            <w:r w:rsidRPr="001F1E0E">
              <w:rPr>
                <w:sz w:val="20"/>
                <w:szCs w:val="20"/>
                <w:lang w:val="en-CA"/>
              </w:rPr>
              <w:t xml:space="preserve">340 </w:t>
            </w:r>
          </w:p>
        </w:tc>
        <w:tc>
          <w:tcPr>
            <w:tcW w:w="541" w:type="pct"/>
            <w:tcBorders>
              <w:top w:val="single" w:sz="4" w:space="0" w:color="auto"/>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40</w:t>
            </w:r>
            <w:r w:rsidR="00532014">
              <w:rPr>
                <w:sz w:val="20"/>
                <w:szCs w:val="20"/>
                <w:lang w:val="en-CA"/>
              </w:rPr>
              <w:t> </w:t>
            </w:r>
            <w:r w:rsidRPr="001F1E0E">
              <w:rPr>
                <w:sz w:val="20"/>
                <w:szCs w:val="20"/>
                <w:lang w:val="en-CA"/>
              </w:rPr>
              <w:t xml:space="preserve">000 </w:t>
            </w:r>
          </w:p>
        </w:tc>
        <w:tc>
          <w:tcPr>
            <w:tcW w:w="590" w:type="pct"/>
            <w:tcBorders>
              <w:top w:val="single" w:sz="4" w:space="0" w:color="auto"/>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118</w:t>
            </w:r>
            <w:r w:rsidR="00532014">
              <w:rPr>
                <w:sz w:val="20"/>
                <w:szCs w:val="20"/>
                <w:lang w:val="en-CA"/>
              </w:rPr>
              <w:t> </w:t>
            </w:r>
            <w:r w:rsidRPr="001F1E0E">
              <w:rPr>
                <w:sz w:val="20"/>
                <w:szCs w:val="20"/>
                <w:lang w:val="en-CA"/>
              </w:rPr>
              <w:t xml:space="preserve">000 </w:t>
            </w:r>
          </w:p>
        </w:tc>
        <w:tc>
          <w:tcPr>
            <w:tcW w:w="604" w:type="pct"/>
            <w:tcBorders>
              <w:top w:val="single" w:sz="4" w:space="0" w:color="auto"/>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431</w:t>
            </w:r>
            <w:r w:rsidR="00532014">
              <w:rPr>
                <w:sz w:val="20"/>
                <w:szCs w:val="20"/>
                <w:lang w:val="en-CA"/>
              </w:rPr>
              <w:t> </w:t>
            </w:r>
            <w:r w:rsidRPr="001F1E0E">
              <w:rPr>
                <w:sz w:val="20"/>
                <w:szCs w:val="20"/>
                <w:lang w:val="en-CA"/>
              </w:rPr>
              <w:t xml:space="preserve">340 </w:t>
            </w:r>
          </w:p>
        </w:tc>
      </w:tr>
      <w:tr w:rsidR="00B72C75" w:rsidRPr="001F1E0E" w:rsidTr="00FB02DD">
        <w:tc>
          <w:tcPr>
            <w:tcW w:w="1627" w:type="pct"/>
          </w:tcPr>
          <w:p w:rsidR="00B72C75" w:rsidRPr="00930439" w:rsidRDefault="00930439" w:rsidP="00612C08">
            <w:pPr>
              <w:jc w:val="left"/>
              <w:rPr>
                <w:sz w:val="20"/>
                <w:szCs w:val="20"/>
                <w:lang w:val="en-CA"/>
              </w:rPr>
            </w:pPr>
            <w:r w:rsidRPr="00930439">
              <w:rPr>
                <w:sz w:val="20"/>
                <w:szCs w:val="20"/>
                <w:lang w:val="fr-FR"/>
              </w:rPr>
              <w:t xml:space="preserve">Chaîne de fabrication </w:t>
            </w:r>
            <w:r w:rsidR="00612C08" w:rsidRPr="00930439">
              <w:rPr>
                <w:sz w:val="20"/>
                <w:szCs w:val="20"/>
                <w:lang w:val="fr-FR"/>
              </w:rPr>
              <w:t>intérieure</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65</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3F4162">
            <w:pPr>
              <w:jc w:val="right"/>
              <w:rPr>
                <w:color w:val="000000"/>
                <w:sz w:val="20"/>
                <w:szCs w:val="20"/>
                <w:lang w:val="en-CA"/>
              </w:rPr>
            </w:pPr>
            <w:r w:rsidRPr="001F1E0E">
              <w:rPr>
                <w:sz w:val="20"/>
                <w:szCs w:val="20"/>
                <w:lang w:val="en-CA"/>
              </w:rPr>
              <w:t xml:space="preserve"> </w:t>
            </w:r>
            <w:r w:rsidR="003F4162" w:rsidRPr="001F1E0E">
              <w:rPr>
                <w:sz w:val="20"/>
                <w:szCs w:val="20"/>
                <w:lang w:val="en-CA"/>
              </w:rPr>
              <w:t>0</w:t>
            </w:r>
            <w:r w:rsidR="00D77991">
              <w:rPr>
                <w:sz w:val="20"/>
                <w:szCs w:val="20"/>
                <w:lang w:val="en-CA"/>
              </w:rPr>
              <w:t xml:space="preserve"> </w:t>
            </w:r>
            <w:r w:rsidRPr="001F1E0E">
              <w:rPr>
                <w:sz w:val="20"/>
                <w:szCs w:val="20"/>
                <w:lang w:val="en-CA"/>
              </w:rPr>
              <w:t xml:space="preserve">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3F4162">
            <w:pPr>
              <w:jc w:val="right"/>
              <w:rPr>
                <w:color w:val="000000"/>
                <w:sz w:val="20"/>
                <w:szCs w:val="20"/>
                <w:lang w:val="en-CA"/>
              </w:rPr>
            </w:pPr>
            <w:r w:rsidRPr="001F1E0E">
              <w:rPr>
                <w:sz w:val="20"/>
                <w:szCs w:val="20"/>
                <w:lang w:val="en-CA"/>
              </w:rPr>
              <w:t xml:space="preserve"> </w:t>
            </w:r>
            <w:r w:rsidR="003F4162" w:rsidRPr="001F1E0E">
              <w:rPr>
                <w:sz w:val="20"/>
                <w:szCs w:val="20"/>
                <w:lang w:val="en-CA"/>
              </w:rPr>
              <w:t>0</w:t>
            </w:r>
            <w:r w:rsidR="00D77991">
              <w:rPr>
                <w:sz w:val="20"/>
                <w:szCs w:val="20"/>
                <w:lang w:val="en-CA"/>
              </w:rPr>
              <w:t xml:space="preserve"> </w:t>
            </w:r>
            <w:r w:rsidRPr="001F1E0E">
              <w:rPr>
                <w:sz w:val="20"/>
                <w:szCs w:val="20"/>
                <w:lang w:val="en-CA"/>
              </w:rPr>
              <w:t xml:space="preserve">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3F4162">
            <w:pPr>
              <w:jc w:val="right"/>
              <w:rPr>
                <w:color w:val="000000"/>
                <w:sz w:val="20"/>
                <w:szCs w:val="20"/>
                <w:lang w:val="en-CA"/>
              </w:rPr>
            </w:pPr>
            <w:r w:rsidRPr="001F1E0E">
              <w:rPr>
                <w:sz w:val="20"/>
                <w:szCs w:val="20"/>
                <w:lang w:val="en-CA"/>
              </w:rPr>
              <w:t xml:space="preserve"> </w:t>
            </w:r>
            <w:r w:rsidR="003F4162" w:rsidRPr="001F1E0E">
              <w:rPr>
                <w:sz w:val="20"/>
                <w:szCs w:val="20"/>
                <w:lang w:val="en-CA"/>
              </w:rPr>
              <w:t>0</w:t>
            </w:r>
            <w:r w:rsidR="00D77991">
              <w:rPr>
                <w:sz w:val="20"/>
                <w:szCs w:val="20"/>
                <w:lang w:val="en-CA"/>
              </w:rPr>
              <w:t xml:space="preserve"> </w:t>
            </w:r>
            <w:r w:rsidRPr="001F1E0E">
              <w:rPr>
                <w:sz w:val="20"/>
                <w:szCs w:val="20"/>
                <w:lang w:val="en-CA"/>
              </w:rPr>
              <w:t xml:space="preserve">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130</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195</w:t>
            </w:r>
            <w:r w:rsidR="00532014">
              <w:rPr>
                <w:sz w:val="20"/>
                <w:szCs w:val="20"/>
                <w:lang w:val="en-CA"/>
              </w:rPr>
              <w:t> </w:t>
            </w:r>
            <w:r w:rsidRPr="001F1E0E">
              <w:rPr>
                <w:sz w:val="20"/>
                <w:szCs w:val="20"/>
                <w:lang w:val="en-CA"/>
              </w:rPr>
              <w:t xml:space="preserve">000 </w:t>
            </w:r>
          </w:p>
        </w:tc>
      </w:tr>
      <w:tr w:rsidR="00B72C75" w:rsidRPr="001F1E0E" w:rsidTr="00FB02DD">
        <w:tc>
          <w:tcPr>
            <w:tcW w:w="1627" w:type="pct"/>
          </w:tcPr>
          <w:p w:rsidR="00B72C75" w:rsidRPr="00930439" w:rsidRDefault="00930439" w:rsidP="00612C08">
            <w:pPr>
              <w:jc w:val="left"/>
              <w:rPr>
                <w:sz w:val="20"/>
                <w:szCs w:val="20"/>
                <w:lang w:val="en-CA"/>
              </w:rPr>
            </w:pPr>
            <w:r w:rsidRPr="00930439">
              <w:rPr>
                <w:sz w:val="20"/>
                <w:szCs w:val="20"/>
                <w:lang w:val="fr-FR"/>
              </w:rPr>
              <w:t>Chaîne de fabrication</w:t>
            </w:r>
            <w:r w:rsidR="00612C08">
              <w:rPr>
                <w:sz w:val="20"/>
                <w:szCs w:val="20"/>
                <w:lang w:val="fr-FR"/>
              </w:rPr>
              <w:t xml:space="preserve"> </w:t>
            </w:r>
            <w:r w:rsidR="00612C08" w:rsidRPr="00930439">
              <w:rPr>
                <w:sz w:val="20"/>
                <w:szCs w:val="20"/>
                <w:lang w:val="fr-FR"/>
              </w:rPr>
              <w:t>extérieure</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328</w:t>
            </w:r>
            <w:r w:rsidR="00532014">
              <w:rPr>
                <w:sz w:val="20"/>
                <w:szCs w:val="20"/>
                <w:lang w:val="en-CA"/>
              </w:rPr>
              <w:t> </w:t>
            </w:r>
            <w:r w:rsidRPr="001F1E0E">
              <w:rPr>
                <w:sz w:val="20"/>
                <w:szCs w:val="20"/>
                <w:lang w:val="en-CA"/>
              </w:rPr>
              <w:t xml:space="preserve">500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304</w:t>
            </w:r>
            <w:r w:rsidR="00532014">
              <w:rPr>
                <w:sz w:val="20"/>
                <w:szCs w:val="20"/>
                <w:lang w:val="en-CA"/>
              </w:rPr>
              <w:t> </w:t>
            </w:r>
            <w:r w:rsidRPr="001F1E0E">
              <w:rPr>
                <w:sz w:val="20"/>
                <w:szCs w:val="20"/>
                <w:lang w:val="en-CA"/>
              </w:rPr>
              <w:t xml:space="preserve">500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406</w:t>
            </w:r>
            <w:r w:rsidR="00532014">
              <w:rPr>
                <w:sz w:val="20"/>
                <w:szCs w:val="20"/>
                <w:lang w:val="en-CA"/>
              </w:rPr>
              <w:t> </w:t>
            </w:r>
            <w:r w:rsidRPr="001F1E0E">
              <w:rPr>
                <w:sz w:val="20"/>
                <w:szCs w:val="20"/>
                <w:lang w:val="en-CA"/>
              </w:rPr>
              <w:t xml:space="preserve">035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216</w:t>
            </w:r>
            <w:r w:rsidR="00532014">
              <w:rPr>
                <w:sz w:val="20"/>
                <w:szCs w:val="20"/>
                <w:lang w:val="en-CA"/>
              </w:rPr>
              <w:t> </w:t>
            </w:r>
            <w:r w:rsidRPr="001F1E0E">
              <w:rPr>
                <w:sz w:val="20"/>
                <w:szCs w:val="20"/>
                <w:lang w:val="en-CA"/>
              </w:rPr>
              <w:t xml:space="preserve">500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448</w:t>
            </w:r>
            <w:r w:rsidR="00532014">
              <w:rPr>
                <w:sz w:val="20"/>
                <w:szCs w:val="20"/>
                <w:lang w:val="en-CA"/>
              </w:rPr>
              <w:t> </w:t>
            </w:r>
            <w:r w:rsidRPr="001F1E0E">
              <w:rPr>
                <w:sz w:val="20"/>
                <w:szCs w:val="20"/>
                <w:lang w:val="en-CA"/>
              </w:rPr>
              <w:t xml:space="preserve">500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704</w:t>
            </w:r>
            <w:r w:rsidR="00532014">
              <w:rPr>
                <w:sz w:val="20"/>
                <w:szCs w:val="20"/>
                <w:lang w:val="en-CA"/>
              </w:rPr>
              <w:t> </w:t>
            </w:r>
            <w:r w:rsidRPr="001F1E0E">
              <w:rPr>
                <w:sz w:val="20"/>
                <w:szCs w:val="20"/>
                <w:lang w:val="en-CA"/>
              </w:rPr>
              <w:t xml:space="preserve">035 </w:t>
            </w:r>
          </w:p>
        </w:tc>
      </w:tr>
      <w:tr w:rsidR="00B72C75" w:rsidRPr="001F1E0E" w:rsidTr="00FB02DD">
        <w:tc>
          <w:tcPr>
            <w:tcW w:w="1627" w:type="pct"/>
          </w:tcPr>
          <w:p w:rsidR="00B72C75" w:rsidRPr="001F1E0E" w:rsidRDefault="00930439" w:rsidP="00612C08">
            <w:pPr>
              <w:jc w:val="left"/>
              <w:rPr>
                <w:sz w:val="20"/>
                <w:szCs w:val="20"/>
                <w:lang w:val="en-CA"/>
              </w:rPr>
            </w:pPr>
            <w:r w:rsidRPr="00930439">
              <w:rPr>
                <w:sz w:val="20"/>
                <w:szCs w:val="20"/>
                <w:lang w:val="fr-FR"/>
              </w:rPr>
              <w:t xml:space="preserve">Zone de tests </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122</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82</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77</w:t>
            </w:r>
            <w:r w:rsidR="00532014">
              <w:rPr>
                <w:sz w:val="20"/>
                <w:szCs w:val="20"/>
                <w:lang w:val="en-CA"/>
              </w:rPr>
              <w:t> </w:t>
            </w:r>
            <w:r w:rsidRPr="001F1E0E">
              <w:rPr>
                <w:sz w:val="20"/>
                <w:szCs w:val="20"/>
                <w:lang w:val="en-CA"/>
              </w:rPr>
              <w:t xml:space="preserve">490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30</w:t>
            </w:r>
            <w:r w:rsidR="00532014">
              <w:rPr>
                <w:sz w:val="20"/>
                <w:szCs w:val="20"/>
                <w:lang w:val="en-CA"/>
              </w:rPr>
              <w:t> </w:t>
            </w:r>
            <w:r w:rsidRPr="001F1E0E">
              <w:rPr>
                <w:sz w:val="20"/>
                <w:szCs w:val="20"/>
                <w:lang w:val="en-CA"/>
              </w:rPr>
              <w:t xml:space="preserve">000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100</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411</w:t>
            </w:r>
            <w:r w:rsidR="00532014">
              <w:rPr>
                <w:sz w:val="20"/>
                <w:szCs w:val="20"/>
                <w:lang w:val="en-CA"/>
              </w:rPr>
              <w:t> </w:t>
            </w:r>
            <w:r w:rsidRPr="001F1E0E">
              <w:rPr>
                <w:sz w:val="20"/>
                <w:szCs w:val="20"/>
                <w:lang w:val="en-CA"/>
              </w:rPr>
              <w:t xml:space="preserve">490 </w:t>
            </w:r>
          </w:p>
        </w:tc>
      </w:tr>
      <w:tr w:rsidR="00B72C75" w:rsidRPr="001F1E0E" w:rsidTr="00FB02DD">
        <w:tc>
          <w:tcPr>
            <w:tcW w:w="1627" w:type="pct"/>
          </w:tcPr>
          <w:p w:rsidR="00B72C75" w:rsidRPr="001F1E0E" w:rsidRDefault="00930439" w:rsidP="005B6FC5">
            <w:pPr>
              <w:jc w:val="left"/>
              <w:rPr>
                <w:sz w:val="20"/>
                <w:szCs w:val="20"/>
                <w:lang w:val="en-CA"/>
              </w:rPr>
            </w:pPr>
            <w:r w:rsidRPr="00930439">
              <w:rPr>
                <w:sz w:val="20"/>
                <w:szCs w:val="20"/>
                <w:lang w:val="fr-FR"/>
              </w:rPr>
              <w:t>Chambres de laboratoire</w:t>
            </w:r>
            <w:r w:rsidR="00B72C75" w:rsidRPr="00930439">
              <w:rPr>
                <w:sz w:val="20"/>
                <w:szCs w:val="20"/>
                <w:lang w:val="en-CA"/>
              </w:rPr>
              <w:t xml:space="preserve"> </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71</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31</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32</w:t>
            </w:r>
            <w:r w:rsidR="00532014">
              <w:rPr>
                <w:sz w:val="20"/>
                <w:szCs w:val="20"/>
                <w:lang w:val="en-CA"/>
              </w:rPr>
              <w:t> </w:t>
            </w:r>
            <w:r w:rsidRPr="001F1E0E">
              <w:rPr>
                <w:sz w:val="20"/>
                <w:szCs w:val="20"/>
                <w:lang w:val="en-CA"/>
              </w:rPr>
              <w:t xml:space="preserve">130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31</w:t>
            </w:r>
            <w:r w:rsidR="00532014">
              <w:rPr>
                <w:sz w:val="20"/>
                <w:szCs w:val="20"/>
                <w:lang w:val="en-CA"/>
              </w:rPr>
              <w:t> </w:t>
            </w:r>
            <w:r w:rsidRPr="001F1E0E">
              <w:rPr>
                <w:sz w:val="20"/>
                <w:szCs w:val="20"/>
                <w:lang w:val="en-CA"/>
              </w:rPr>
              <w:t xml:space="preserve">000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31</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196</w:t>
            </w:r>
            <w:r w:rsidR="00532014">
              <w:rPr>
                <w:sz w:val="20"/>
                <w:szCs w:val="20"/>
                <w:lang w:val="en-CA"/>
              </w:rPr>
              <w:t> </w:t>
            </w:r>
            <w:r w:rsidRPr="001F1E0E">
              <w:rPr>
                <w:sz w:val="20"/>
                <w:szCs w:val="20"/>
                <w:lang w:val="en-CA"/>
              </w:rPr>
              <w:t xml:space="preserve">130 </w:t>
            </w:r>
          </w:p>
        </w:tc>
      </w:tr>
      <w:tr w:rsidR="00B72C75" w:rsidRPr="001F1E0E" w:rsidTr="00FB02DD">
        <w:tc>
          <w:tcPr>
            <w:tcW w:w="1627" w:type="pct"/>
          </w:tcPr>
          <w:p w:rsidR="00B72C75" w:rsidRPr="00930439" w:rsidRDefault="00930439" w:rsidP="005B6FC5">
            <w:pPr>
              <w:jc w:val="left"/>
              <w:rPr>
                <w:sz w:val="20"/>
                <w:szCs w:val="20"/>
                <w:lang w:val="en-CA"/>
              </w:rPr>
            </w:pPr>
            <w:r w:rsidRPr="00930439">
              <w:rPr>
                <w:sz w:val="20"/>
                <w:szCs w:val="20"/>
                <w:lang w:val="fr-FR"/>
              </w:rPr>
              <w:t>Pièces</w:t>
            </w:r>
            <w:r w:rsidR="00D77991">
              <w:rPr>
                <w:sz w:val="20"/>
                <w:szCs w:val="20"/>
                <w:lang w:val="fr-FR"/>
              </w:rPr>
              <w:t xml:space="preserve"> </w:t>
            </w:r>
            <w:r w:rsidRPr="00930439">
              <w:rPr>
                <w:sz w:val="20"/>
                <w:szCs w:val="20"/>
                <w:lang w:val="fr-FR"/>
              </w:rPr>
              <w:t>détachées</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15</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15</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14</w:t>
            </w:r>
            <w:r w:rsidR="00532014">
              <w:rPr>
                <w:sz w:val="20"/>
                <w:szCs w:val="20"/>
                <w:lang w:val="en-CA"/>
              </w:rPr>
              <w:t> </w:t>
            </w:r>
            <w:r w:rsidRPr="001F1E0E">
              <w:rPr>
                <w:sz w:val="20"/>
                <w:szCs w:val="20"/>
                <w:lang w:val="en-CA"/>
              </w:rPr>
              <w:t xml:space="preserve">175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w:t>
            </w:r>
            <w:r w:rsidR="00532014">
              <w:rPr>
                <w:sz w:val="20"/>
                <w:szCs w:val="20"/>
                <w:lang w:val="en-CA"/>
              </w:rPr>
              <w:t> </w:t>
            </w:r>
            <w:r w:rsidRPr="001F1E0E">
              <w:rPr>
                <w:sz w:val="20"/>
                <w:szCs w:val="20"/>
                <w:lang w:val="en-CA"/>
              </w:rPr>
              <w:t xml:space="preserve">500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15</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66</w:t>
            </w:r>
            <w:r w:rsidR="00532014">
              <w:rPr>
                <w:sz w:val="20"/>
                <w:szCs w:val="20"/>
                <w:lang w:val="en-CA"/>
              </w:rPr>
              <w:t> </w:t>
            </w:r>
            <w:r w:rsidRPr="001F1E0E">
              <w:rPr>
                <w:sz w:val="20"/>
                <w:szCs w:val="20"/>
                <w:lang w:val="en-CA"/>
              </w:rPr>
              <w:t xml:space="preserve">675 </w:t>
            </w:r>
          </w:p>
        </w:tc>
      </w:tr>
      <w:tr w:rsidR="00B72C75" w:rsidRPr="001F1E0E" w:rsidTr="00FB02DD">
        <w:tc>
          <w:tcPr>
            <w:tcW w:w="1627" w:type="pct"/>
          </w:tcPr>
          <w:p w:rsidR="00B72C75" w:rsidRPr="00C3019D" w:rsidRDefault="00930439" w:rsidP="005B6FC5">
            <w:pPr>
              <w:jc w:val="left"/>
              <w:rPr>
                <w:sz w:val="20"/>
                <w:szCs w:val="20"/>
                <w:lang w:val="fr-FR"/>
              </w:rPr>
            </w:pPr>
            <w:r w:rsidRPr="00930439">
              <w:rPr>
                <w:sz w:val="20"/>
                <w:szCs w:val="20"/>
                <w:lang w:val="fr-FR"/>
              </w:rPr>
              <w:t>Ingénierie</w:t>
            </w:r>
            <w:r w:rsidR="00532014">
              <w:rPr>
                <w:sz w:val="20"/>
                <w:szCs w:val="20"/>
                <w:lang w:val="fr-FR"/>
              </w:rPr>
              <w:t>, </w:t>
            </w:r>
            <w:r w:rsidRPr="00930439">
              <w:rPr>
                <w:sz w:val="20"/>
                <w:szCs w:val="20"/>
                <w:lang w:val="fr-FR"/>
              </w:rPr>
              <w:t xml:space="preserve"> installation, certification et formation</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C3019D">
              <w:rPr>
                <w:sz w:val="20"/>
                <w:szCs w:val="20"/>
                <w:lang w:val="fr-FR"/>
              </w:rPr>
              <w:t xml:space="preserve"> </w:t>
            </w:r>
            <w:r w:rsidRPr="001F1E0E">
              <w:rPr>
                <w:sz w:val="20"/>
                <w:szCs w:val="20"/>
                <w:lang w:val="en-CA"/>
              </w:rPr>
              <w:t>112</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72</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70</w:t>
            </w:r>
            <w:r w:rsidR="00532014">
              <w:rPr>
                <w:sz w:val="20"/>
                <w:szCs w:val="20"/>
                <w:lang w:val="en-CA"/>
              </w:rPr>
              <w:t> </w:t>
            </w:r>
            <w:r w:rsidRPr="001F1E0E">
              <w:rPr>
                <w:sz w:val="20"/>
                <w:szCs w:val="20"/>
                <w:lang w:val="en-CA"/>
              </w:rPr>
              <w:t xml:space="preserve">560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62</w:t>
            </w:r>
            <w:r w:rsidR="00532014">
              <w:rPr>
                <w:sz w:val="20"/>
                <w:szCs w:val="20"/>
                <w:lang w:val="en-CA"/>
              </w:rPr>
              <w:t> </w:t>
            </w:r>
            <w:r w:rsidRPr="001F1E0E">
              <w:rPr>
                <w:sz w:val="20"/>
                <w:szCs w:val="20"/>
                <w:lang w:val="en-CA"/>
              </w:rPr>
              <w:t xml:space="preserve">000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112</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428</w:t>
            </w:r>
            <w:r w:rsidR="00532014">
              <w:rPr>
                <w:sz w:val="20"/>
                <w:szCs w:val="20"/>
                <w:lang w:val="en-CA"/>
              </w:rPr>
              <w:t> </w:t>
            </w:r>
            <w:r w:rsidRPr="001F1E0E">
              <w:rPr>
                <w:sz w:val="20"/>
                <w:szCs w:val="20"/>
                <w:lang w:val="en-CA"/>
              </w:rPr>
              <w:t xml:space="preserve">560 </w:t>
            </w:r>
          </w:p>
        </w:tc>
      </w:tr>
      <w:tr w:rsidR="00B72C75" w:rsidRPr="001F1E0E" w:rsidTr="00FB02DD">
        <w:tc>
          <w:tcPr>
            <w:tcW w:w="1627" w:type="pct"/>
          </w:tcPr>
          <w:p w:rsidR="00B72C75" w:rsidRPr="00C3019D" w:rsidRDefault="00930439" w:rsidP="005B6FC5">
            <w:pPr>
              <w:jc w:val="left"/>
              <w:rPr>
                <w:sz w:val="20"/>
                <w:szCs w:val="20"/>
                <w:lang w:val="fr-FR"/>
              </w:rPr>
            </w:pPr>
            <w:r w:rsidRPr="00930439">
              <w:rPr>
                <w:sz w:val="20"/>
                <w:szCs w:val="20"/>
                <w:lang w:val="fr-FR"/>
              </w:rPr>
              <w:t>Conception de produit et optimisation</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C3019D">
              <w:rPr>
                <w:sz w:val="20"/>
                <w:szCs w:val="20"/>
                <w:lang w:val="fr-FR"/>
              </w:rPr>
              <w:t xml:space="preserve"> </w:t>
            </w:r>
            <w:r w:rsidRPr="001F1E0E">
              <w:rPr>
                <w:sz w:val="20"/>
                <w:szCs w:val="20"/>
                <w:lang w:val="en-CA"/>
              </w:rPr>
              <w:t>150</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75</w:t>
            </w:r>
            <w:r w:rsidR="00532014">
              <w:rPr>
                <w:sz w:val="20"/>
                <w:szCs w:val="20"/>
                <w:lang w:val="en-CA"/>
              </w:rPr>
              <w:t> </w:t>
            </w:r>
            <w:r w:rsidRPr="001F1E0E">
              <w:rPr>
                <w:sz w:val="20"/>
                <w:szCs w:val="20"/>
                <w:lang w:val="en-CA"/>
              </w:rPr>
              <w:t xml:space="preserve">000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94</w:t>
            </w:r>
            <w:r w:rsidR="00532014">
              <w:rPr>
                <w:sz w:val="20"/>
                <w:szCs w:val="20"/>
                <w:lang w:val="en-CA"/>
              </w:rPr>
              <w:t> </w:t>
            </w:r>
            <w:r w:rsidRPr="001F1E0E">
              <w:rPr>
                <w:sz w:val="20"/>
                <w:szCs w:val="20"/>
                <w:lang w:val="en-CA"/>
              </w:rPr>
              <w:t xml:space="preserve">500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50</w:t>
            </w:r>
            <w:r w:rsidR="00532014">
              <w:rPr>
                <w:sz w:val="20"/>
                <w:szCs w:val="20"/>
                <w:lang w:val="en-CA"/>
              </w:rPr>
              <w:t> </w:t>
            </w:r>
            <w:r w:rsidRPr="001F1E0E">
              <w:rPr>
                <w:sz w:val="20"/>
                <w:szCs w:val="20"/>
                <w:lang w:val="en-CA"/>
              </w:rPr>
              <w:t xml:space="preserve">000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150</w:t>
            </w:r>
            <w:r w:rsidR="00532014">
              <w:rPr>
                <w:sz w:val="20"/>
                <w:szCs w:val="20"/>
                <w:lang w:val="en-CA"/>
              </w:rPr>
              <w:t> </w:t>
            </w:r>
            <w:r w:rsidRPr="001F1E0E">
              <w:rPr>
                <w:sz w:val="20"/>
                <w:szCs w:val="20"/>
                <w:lang w:val="en-CA"/>
              </w:rPr>
              <w:t xml:space="preserve">000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519</w:t>
            </w:r>
            <w:r w:rsidR="00532014">
              <w:rPr>
                <w:sz w:val="20"/>
                <w:szCs w:val="20"/>
                <w:lang w:val="en-CA"/>
              </w:rPr>
              <w:t> </w:t>
            </w:r>
            <w:r w:rsidRPr="001F1E0E">
              <w:rPr>
                <w:sz w:val="20"/>
                <w:szCs w:val="20"/>
                <w:lang w:val="en-CA"/>
              </w:rPr>
              <w:t xml:space="preserve">500 </w:t>
            </w:r>
          </w:p>
        </w:tc>
      </w:tr>
      <w:tr w:rsidR="00B72C75" w:rsidRPr="001F1E0E" w:rsidTr="00FB02DD">
        <w:tc>
          <w:tcPr>
            <w:tcW w:w="1627" w:type="pct"/>
          </w:tcPr>
          <w:p w:rsidR="00B72C75" w:rsidRPr="001F1E0E" w:rsidRDefault="00930439" w:rsidP="005B6FC5">
            <w:pPr>
              <w:spacing w:line="259" w:lineRule="auto"/>
              <w:jc w:val="left"/>
              <w:rPr>
                <w:sz w:val="20"/>
                <w:szCs w:val="20"/>
                <w:lang w:val="en-CA"/>
              </w:rPr>
            </w:pPr>
            <w:r w:rsidRPr="00930439">
              <w:rPr>
                <w:sz w:val="20"/>
                <w:szCs w:val="20"/>
                <w:lang w:val="fr-FR"/>
              </w:rPr>
              <w:t>Imprévus</w:t>
            </w:r>
            <w:r w:rsidR="00B72C75" w:rsidRPr="00930439">
              <w:rPr>
                <w:sz w:val="20"/>
                <w:szCs w:val="20"/>
                <w:lang w:val="en-CA"/>
              </w:rPr>
              <w:t xml:space="preserve"> </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68</w:t>
            </w:r>
            <w:r w:rsidR="00532014">
              <w:rPr>
                <w:sz w:val="20"/>
                <w:szCs w:val="20"/>
                <w:lang w:val="en-CA"/>
              </w:rPr>
              <w:t> </w:t>
            </w:r>
            <w:r w:rsidRPr="001F1E0E">
              <w:rPr>
                <w:sz w:val="20"/>
                <w:szCs w:val="20"/>
                <w:lang w:val="en-CA"/>
              </w:rPr>
              <w:t xml:space="preserve">250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55</w:t>
            </w:r>
            <w:r w:rsidR="00532014">
              <w:rPr>
                <w:sz w:val="20"/>
                <w:szCs w:val="20"/>
                <w:lang w:val="en-CA"/>
              </w:rPr>
              <w:t> </w:t>
            </w:r>
            <w:r w:rsidRPr="001F1E0E">
              <w:rPr>
                <w:sz w:val="20"/>
                <w:szCs w:val="20"/>
                <w:lang w:val="en-CA"/>
              </w:rPr>
              <w:t xml:space="preserve">050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60</w:t>
            </w:r>
            <w:r w:rsidR="00532014">
              <w:rPr>
                <w:sz w:val="20"/>
                <w:szCs w:val="20"/>
                <w:lang w:val="en-CA"/>
              </w:rPr>
              <w:t> </w:t>
            </w:r>
            <w:r w:rsidRPr="001F1E0E">
              <w:rPr>
                <w:sz w:val="20"/>
                <w:szCs w:val="20"/>
                <w:lang w:val="en-CA"/>
              </w:rPr>
              <w:t xml:space="preserve">417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32</w:t>
            </w:r>
            <w:r w:rsidR="00532014">
              <w:rPr>
                <w:sz w:val="20"/>
                <w:szCs w:val="20"/>
                <w:lang w:val="en-CA"/>
              </w:rPr>
              <w:t> </w:t>
            </w:r>
            <w:r w:rsidRPr="001F1E0E">
              <w:rPr>
                <w:sz w:val="20"/>
                <w:szCs w:val="20"/>
                <w:lang w:val="en-CA"/>
              </w:rPr>
              <w:t xml:space="preserve">500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84</w:t>
            </w:r>
            <w:r w:rsidR="00532014">
              <w:rPr>
                <w:sz w:val="20"/>
                <w:szCs w:val="20"/>
                <w:lang w:val="en-CA"/>
              </w:rPr>
              <w:t> </w:t>
            </w:r>
            <w:r w:rsidRPr="001F1E0E">
              <w:rPr>
                <w:sz w:val="20"/>
                <w:szCs w:val="20"/>
                <w:lang w:val="en-CA"/>
              </w:rPr>
              <w:t xml:space="preserve">250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color w:val="000000"/>
                <w:sz w:val="20"/>
                <w:szCs w:val="20"/>
                <w:lang w:val="en-CA"/>
              </w:rPr>
            </w:pPr>
            <w:r w:rsidRPr="001F1E0E">
              <w:rPr>
                <w:sz w:val="20"/>
                <w:szCs w:val="20"/>
                <w:lang w:val="en-CA"/>
              </w:rPr>
              <w:t xml:space="preserve"> 300</w:t>
            </w:r>
            <w:r w:rsidR="00532014">
              <w:rPr>
                <w:sz w:val="20"/>
                <w:szCs w:val="20"/>
                <w:lang w:val="en-CA"/>
              </w:rPr>
              <w:t> </w:t>
            </w:r>
            <w:r w:rsidRPr="001F1E0E">
              <w:rPr>
                <w:sz w:val="20"/>
                <w:szCs w:val="20"/>
                <w:lang w:val="en-CA"/>
              </w:rPr>
              <w:t xml:space="preserve">467 </w:t>
            </w:r>
          </w:p>
        </w:tc>
      </w:tr>
      <w:tr w:rsidR="00B72C75" w:rsidRPr="001F1E0E" w:rsidTr="00FB02DD">
        <w:tc>
          <w:tcPr>
            <w:tcW w:w="1627" w:type="pct"/>
          </w:tcPr>
          <w:p w:rsidR="00B72C75" w:rsidRPr="00C3019D" w:rsidRDefault="00930439" w:rsidP="005B6FC5">
            <w:pPr>
              <w:jc w:val="left"/>
              <w:rPr>
                <w:b/>
                <w:sz w:val="20"/>
                <w:szCs w:val="20"/>
                <w:lang w:val="fr-FR"/>
              </w:rPr>
            </w:pPr>
            <w:r w:rsidRPr="00930439">
              <w:rPr>
                <w:b/>
                <w:sz w:val="20"/>
                <w:szCs w:val="20"/>
                <w:lang w:val="fr-FR"/>
              </w:rPr>
              <w:t>Total des coûts différentiels d</w:t>
            </w:r>
            <w:r w:rsidR="00D77991">
              <w:rPr>
                <w:b/>
                <w:sz w:val="20"/>
                <w:szCs w:val="20"/>
                <w:lang w:val="fr-FR"/>
              </w:rPr>
              <w:t>’</w:t>
            </w:r>
            <w:r w:rsidRPr="00930439">
              <w:rPr>
                <w:b/>
                <w:sz w:val="20"/>
                <w:szCs w:val="20"/>
                <w:lang w:val="fr-FR"/>
              </w:rPr>
              <w:t>investissement</w:t>
            </w:r>
          </w:p>
        </w:tc>
        <w:tc>
          <w:tcPr>
            <w:tcW w:w="556" w:type="pct"/>
            <w:tcBorders>
              <w:top w:val="nil"/>
              <w:left w:val="single" w:sz="4" w:space="0" w:color="auto"/>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1</w:t>
            </w:r>
            <w:r w:rsidR="00532014">
              <w:rPr>
                <w:b/>
                <w:sz w:val="20"/>
                <w:szCs w:val="20"/>
                <w:lang w:val="en-CA"/>
              </w:rPr>
              <w:t> </w:t>
            </w:r>
            <w:r w:rsidRPr="001F1E0E">
              <w:rPr>
                <w:b/>
                <w:sz w:val="20"/>
                <w:szCs w:val="20"/>
                <w:lang w:val="en-CA"/>
              </w:rPr>
              <w:t>012</w:t>
            </w:r>
            <w:r w:rsidR="00532014">
              <w:rPr>
                <w:b/>
                <w:sz w:val="20"/>
                <w:szCs w:val="20"/>
                <w:lang w:val="en-CA"/>
              </w:rPr>
              <w:t> </w:t>
            </w:r>
            <w:r w:rsidRPr="001F1E0E">
              <w:rPr>
                <w:b/>
                <w:sz w:val="20"/>
                <w:szCs w:val="20"/>
                <w:lang w:val="en-CA"/>
              </w:rPr>
              <w:t xml:space="preserve">750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 xml:space="preserve"> 752</w:t>
            </w:r>
            <w:r w:rsidR="00532014">
              <w:rPr>
                <w:b/>
                <w:sz w:val="20"/>
                <w:szCs w:val="20"/>
                <w:lang w:val="en-CA"/>
              </w:rPr>
              <w:t> </w:t>
            </w:r>
            <w:r w:rsidRPr="001F1E0E">
              <w:rPr>
                <w:b/>
                <w:sz w:val="20"/>
                <w:szCs w:val="20"/>
                <w:lang w:val="en-CA"/>
              </w:rPr>
              <w:t xml:space="preserve">550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 xml:space="preserve"> 829</w:t>
            </w:r>
            <w:r w:rsidR="00532014">
              <w:rPr>
                <w:b/>
                <w:sz w:val="20"/>
                <w:szCs w:val="20"/>
                <w:lang w:val="en-CA"/>
              </w:rPr>
              <w:t> </w:t>
            </w:r>
            <w:r w:rsidRPr="001F1E0E">
              <w:rPr>
                <w:b/>
                <w:sz w:val="20"/>
                <w:szCs w:val="20"/>
                <w:lang w:val="en-CA"/>
              </w:rPr>
              <w:t xml:space="preserve">647 </w:t>
            </w:r>
          </w:p>
        </w:tc>
        <w:tc>
          <w:tcPr>
            <w:tcW w:w="541"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 xml:space="preserve"> 469</w:t>
            </w:r>
            <w:r w:rsidR="00532014">
              <w:rPr>
                <w:b/>
                <w:sz w:val="20"/>
                <w:szCs w:val="20"/>
                <w:lang w:val="en-CA"/>
              </w:rPr>
              <w:t> </w:t>
            </w:r>
            <w:r w:rsidRPr="001F1E0E">
              <w:rPr>
                <w:b/>
                <w:sz w:val="20"/>
                <w:szCs w:val="20"/>
                <w:lang w:val="en-CA"/>
              </w:rPr>
              <w:t xml:space="preserve">500 </w:t>
            </w:r>
          </w:p>
        </w:tc>
        <w:tc>
          <w:tcPr>
            <w:tcW w:w="590"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 xml:space="preserve"> 1</w:t>
            </w:r>
            <w:r w:rsidR="00532014">
              <w:rPr>
                <w:b/>
                <w:sz w:val="20"/>
                <w:szCs w:val="20"/>
                <w:lang w:val="en-CA"/>
              </w:rPr>
              <w:t> </w:t>
            </w:r>
            <w:r w:rsidRPr="001F1E0E">
              <w:rPr>
                <w:b/>
                <w:sz w:val="20"/>
                <w:szCs w:val="20"/>
                <w:lang w:val="en-CA"/>
              </w:rPr>
              <w:t>188</w:t>
            </w:r>
            <w:r w:rsidR="00532014">
              <w:rPr>
                <w:b/>
                <w:sz w:val="20"/>
                <w:szCs w:val="20"/>
                <w:lang w:val="en-CA"/>
              </w:rPr>
              <w:t> </w:t>
            </w:r>
            <w:r w:rsidRPr="001F1E0E">
              <w:rPr>
                <w:b/>
                <w:sz w:val="20"/>
                <w:szCs w:val="20"/>
                <w:lang w:val="en-CA"/>
              </w:rPr>
              <w:t xml:space="preserve">750 </w:t>
            </w:r>
          </w:p>
        </w:tc>
        <w:tc>
          <w:tcPr>
            <w:tcW w:w="604" w:type="pct"/>
            <w:tcBorders>
              <w:top w:val="nil"/>
              <w:left w:val="nil"/>
              <w:bottom w:val="single" w:sz="4" w:space="0" w:color="auto"/>
              <w:right w:val="single" w:sz="4" w:space="0" w:color="auto"/>
            </w:tcBorders>
            <w:shd w:val="clear" w:color="auto" w:fill="auto"/>
            <w:vAlign w:val="center"/>
          </w:tcPr>
          <w:p w:rsidR="00B72C75" w:rsidRPr="001F1E0E" w:rsidRDefault="00B72C75" w:rsidP="00B72C75">
            <w:pPr>
              <w:jc w:val="right"/>
              <w:rPr>
                <w:b/>
                <w:color w:val="000000"/>
                <w:sz w:val="20"/>
                <w:szCs w:val="20"/>
                <w:lang w:val="en-CA"/>
              </w:rPr>
            </w:pPr>
            <w:r w:rsidRPr="001F1E0E">
              <w:rPr>
                <w:b/>
                <w:sz w:val="20"/>
                <w:szCs w:val="20"/>
                <w:lang w:val="en-CA"/>
              </w:rPr>
              <w:t xml:space="preserve"> 4</w:t>
            </w:r>
            <w:r w:rsidR="00532014">
              <w:rPr>
                <w:b/>
                <w:sz w:val="20"/>
                <w:szCs w:val="20"/>
                <w:lang w:val="en-CA"/>
              </w:rPr>
              <w:t> </w:t>
            </w:r>
            <w:r w:rsidRPr="001F1E0E">
              <w:rPr>
                <w:b/>
                <w:sz w:val="20"/>
                <w:szCs w:val="20"/>
                <w:lang w:val="en-CA"/>
              </w:rPr>
              <w:t>253</w:t>
            </w:r>
            <w:r w:rsidR="00532014">
              <w:rPr>
                <w:b/>
                <w:sz w:val="20"/>
                <w:szCs w:val="20"/>
                <w:lang w:val="en-CA"/>
              </w:rPr>
              <w:t> </w:t>
            </w:r>
            <w:r w:rsidRPr="001F1E0E">
              <w:rPr>
                <w:b/>
                <w:sz w:val="20"/>
                <w:szCs w:val="20"/>
                <w:lang w:val="en-CA"/>
              </w:rPr>
              <w:t xml:space="preserve">197 </w:t>
            </w:r>
          </w:p>
        </w:tc>
      </w:tr>
    </w:tbl>
    <w:p w:rsidR="00983281" w:rsidRPr="001F1E0E" w:rsidRDefault="00983281" w:rsidP="00303525">
      <w:pPr>
        <w:rPr>
          <w:lang w:val="en-CA"/>
        </w:rPr>
      </w:pPr>
    </w:p>
    <w:p w:rsidR="00930439" w:rsidRPr="00C3019D" w:rsidRDefault="00930439" w:rsidP="00930439">
      <w:pPr>
        <w:pStyle w:val="Heading1"/>
        <w:rPr>
          <w:vanish/>
          <w:lang w:val="fr-FR"/>
        </w:rPr>
      </w:pPr>
      <w:r w:rsidRPr="00930439">
        <w:rPr>
          <w:lang w:val="fr-FR"/>
        </w:rPr>
        <w:t>Les coûts différentiels d</w:t>
      </w:r>
      <w:r w:rsidR="00D77991">
        <w:rPr>
          <w:lang w:val="fr-FR"/>
        </w:rPr>
        <w:t>’</w:t>
      </w:r>
      <w:r w:rsidRPr="00930439">
        <w:rPr>
          <w:lang w:val="fr-FR"/>
        </w:rPr>
        <w:t>exploitation (</w:t>
      </w:r>
      <w:r w:rsidR="00E8082E">
        <w:rPr>
          <w:lang w:val="fr-FR"/>
        </w:rPr>
        <w:t>CDE</w:t>
      </w:r>
      <w:r w:rsidRPr="00930439">
        <w:rPr>
          <w:lang w:val="fr-FR"/>
        </w:rPr>
        <w:t>) ont été acceptés sur la base d</w:t>
      </w:r>
      <w:r w:rsidR="00D77991">
        <w:rPr>
          <w:lang w:val="fr-FR"/>
        </w:rPr>
        <w:t>’</w:t>
      </w:r>
      <w:r w:rsidRPr="00930439">
        <w:rPr>
          <w:lang w:val="fr-FR"/>
        </w:rPr>
        <w:t>une charge moyenne par unité (1,30 kg/unité), une réduction de 30 pour cent de charge lors du passage du HCFC-22 au HFC-32, la différence de prix entre le HCFC-22 (2,95$US/kg) et le HFC-32 (7,94$US/kg) et les coûts supplémentaires se rapportant à la sécurité et aux petites différences de prix éventuelles pour des compresseurs convenant au HFC-32 pour une utilisation dans des températures ambiantes élevées (3,65$US/unité), entraînant un coût différentiel d</w:t>
      </w:r>
      <w:r w:rsidR="00D77991">
        <w:rPr>
          <w:lang w:val="fr-FR"/>
        </w:rPr>
        <w:t>’</w:t>
      </w:r>
      <w:r w:rsidRPr="00930439">
        <w:rPr>
          <w:lang w:val="fr-FR"/>
        </w:rPr>
        <w:t>exploitation 6,18$US/kg.</w:t>
      </w:r>
      <w:r w:rsidRPr="00C3019D">
        <w:rPr>
          <w:lang w:val="fr-FR"/>
        </w:rPr>
        <w:t xml:space="preserve"> </w:t>
      </w:r>
    </w:p>
    <w:p w:rsidR="001A5EE3" w:rsidRPr="00C3019D" w:rsidRDefault="001A5EE3" w:rsidP="001A5EE3">
      <w:pPr>
        <w:pStyle w:val="Heading1"/>
        <w:rPr>
          <w:lang w:val="fr-FR"/>
        </w:rPr>
      </w:pPr>
      <w:r w:rsidRPr="001A5EE3">
        <w:rPr>
          <w:lang w:val="fr-FR"/>
        </w:rPr>
        <w:t>En outre, lors de la 79</w:t>
      </w:r>
      <w:r w:rsidRPr="001A5EE3">
        <w:rPr>
          <w:vertAlign w:val="superscript"/>
          <w:lang w:val="fr-FR"/>
        </w:rPr>
        <w:t>e</w:t>
      </w:r>
      <w:r w:rsidR="00D77991">
        <w:rPr>
          <w:lang w:val="fr-FR"/>
        </w:rPr>
        <w:t xml:space="preserve"> </w:t>
      </w:r>
      <w:r w:rsidRPr="001A5EE3">
        <w:rPr>
          <w:lang w:val="fr-FR"/>
        </w:rPr>
        <w:t>réunion, il a été convenu que les coûts</w:t>
      </w:r>
      <w:r w:rsidR="00D77991">
        <w:rPr>
          <w:lang w:val="fr-FR"/>
        </w:rPr>
        <w:t xml:space="preserve"> </w:t>
      </w:r>
      <w:r w:rsidR="00532014">
        <w:rPr>
          <w:lang w:val="fr-FR"/>
        </w:rPr>
        <w:t xml:space="preserve">de </w:t>
      </w:r>
      <w:r w:rsidRPr="001A5EE3">
        <w:rPr>
          <w:lang w:val="fr-FR"/>
        </w:rPr>
        <w:t>l</w:t>
      </w:r>
      <w:r w:rsidR="00D77991">
        <w:rPr>
          <w:lang w:val="fr-FR"/>
        </w:rPr>
        <w:t>’</w:t>
      </w:r>
      <w:r w:rsidRPr="001A5EE3">
        <w:rPr>
          <w:lang w:val="fr-FR"/>
        </w:rPr>
        <w:t>unité de gestion de projet pourraient être augmentés si la proposition du secteur de la fabrication de climatiseurs résidentiels était approuvée dans le cadre de la phase II</w:t>
      </w:r>
      <w:r w:rsidRPr="001A5EE3">
        <w:rPr>
          <w:rStyle w:val="FootnoteReference"/>
          <w:lang w:val="fr-FR"/>
        </w:rPr>
        <w:footnoteReference w:id="16"/>
      </w:r>
      <w:r w:rsidRPr="001A5EE3">
        <w:rPr>
          <w:lang w:val="fr-FR"/>
        </w:rPr>
        <w:t>, ce que l</w:t>
      </w:r>
      <w:r w:rsidR="00D77991">
        <w:rPr>
          <w:lang w:val="fr-FR"/>
        </w:rPr>
        <w:t>’</w:t>
      </w:r>
      <w:r w:rsidRPr="001A5EE3">
        <w:rPr>
          <w:lang w:val="fr-FR"/>
        </w:rPr>
        <w:t>ONUDI avait oublié par inadvertance dans sa proposition de projet ; le financement supplémentaire d</w:t>
      </w:r>
      <w:r w:rsidR="00D77991">
        <w:rPr>
          <w:lang w:val="fr-FR"/>
        </w:rPr>
        <w:t>’</w:t>
      </w:r>
      <w:r w:rsidRPr="001A5EE3">
        <w:rPr>
          <w:lang w:val="fr-FR"/>
        </w:rPr>
        <w:t xml:space="preserve">un montant de 175 000 $US pour </w:t>
      </w:r>
      <w:r w:rsidR="00532014">
        <w:rPr>
          <w:lang w:val="fr-FR"/>
        </w:rPr>
        <w:t>l’</w:t>
      </w:r>
      <w:r w:rsidRPr="001A5EE3">
        <w:rPr>
          <w:lang w:val="fr-FR"/>
        </w:rPr>
        <w:t>unité de gestion de projet a été accepté.</w:t>
      </w:r>
      <w:r w:rsidR="00D77991" w:rsidRPr="00C3019D">
        <w:rPr>
          <w:lang w:val="fr-FR"/>
        </w:rPr>
        <w:t xml:space="preserve"> </w:t>
      </w:r>
    </w:p>
    <w:p w:rsidR="001A5EE3" w:rsidRPr="00C3019D" w:rsidRDefault="001A5EE3" w:rsidP="001A5EE3">
      <w:pPr>
        <w:pStyle w:val="Heading1"/>
        <w:rPr>
          <w:lang w:val="fr-FR"/>
        </w:rPr>
      </w:pPr>
      <w:r w:rsidRPr="001A5EE3">
        <w:rPr>
          <w:lang w:val="fr-FR"/>
        </w:rPr>
        <w:lastRenderedPageBreak/>
        <w:t>Sur cette base, les coûts du projet d</w:t>
      </w:r>
      <w:r w:rsidR="00D77991">
        <w:rPr>
          <w:lang w:val="fr-FR"/>
        </w:rPr>
        <w:t>’</w:t>
      </w:r>
      <w:r w:rsidRPr="001A5EE3">
        <w:rPr>
          <w:lang w:val="fr-FR"/>
        </w:rPr>
        <w:t>un montant total de 10 926 623 $US ont été acceptés, comme l</w:t>
      </w:r>
      <w:r w:rsidR="00D77991">
        <w:rPr>
          <w:lang w:val="fr-FR"/>
        </w:rPr>
        <w:t>’</w:t>
      </w:r>
      <w:r w:rsidRPr="001A5EE3">
        <w:rPr>
          <w:lang w:val="fr-FR"/>
        </w:rPr>
        <w:t>indique le tableau 7.</w:t>
      </w:r>
    </w:p>
    <w:p w:rsidR="00B72C75" w:rsidRPr="00C3019D" w:rsidRDefault="001A5EE3" w:rsidP="00B72C75">
      <w:pPr>
        <w:pStyle w:val="Heading1"/>
        <w:numPr>
          <w:ilvl w:val="0"/>
          <w:numId w:val="0"/>
        </w:numPr>
        <w:spacing w:after="0"/>
        <w:rPr>
          <w:b/>
          <w:lang w:val="fr-FR"/>
        </w:rPr>
      </w:pPr>
      <w:r w:rsidRPr="001A5EE3">
        <w:rPr>
          <w:b/>
          <w:lang w:val="fr-FR"/>
        </w:rPr>
        <w:t>Tableau 7. Total des coûts pour la reconversion chez les cinq fabricants ($US)</w:t>
      </w:r>
    </w:p>
    <w:tbl>
      <w:tblPr>
        <w:tblW w:w="4944" w:type="pct"/>
        <w:tblInd w:w="108" w:type="dxa"/>
        <w:tblLayout w:type="fixed"/>
        <w:tblLook w:val="04A0" w:firstRow="1" w:lastRow="0" w:firstColumn="1" w:lastColumn="0" w:noHBand="0" w:noVBand="1"/>
      </w:tblPr>
      <w:tblGrid>
        <w:gridCol w:w="1225"/>
        <w:gridCol w:w="1373"/>
        <w:gridCol w:w="1373"/>
        <w:gridCol w:w="1373"/>
        <w:gridCol w:w="1377"/>
        <w:gridCol w:w="1373"/>
        <w:gridCol w:w="1375"/>
      </w:tblGrid>
      <w:tr w:rsidR="00B72C75" w:rsidRPr="001F1E0E" w:rsidTr="00084302">
        <w:trPr>
          <w:trHeight w:val="224"/>
          <w:tblHeader/>
        </w:trPr>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rsidR="00B72C75" w:rsidRPr="001A5EE3" w:rsidRDefault="001A5EE3" w:rsidP="005B6FC5">
            <w:pPr>
              <w:jc w:val="left"/>
              <w:rPr>
                <w:b/>
                <w:bCs/>
                <w:color w:val="000000"/>
                <w:sz w:val="20"/>
                <w:szCs w:val="20"/>
                <w:lang w:val="en-CA"/>
              </w:rPr>
            </w:pPr>
            <w:bookmarkStart w:id="1" w:name="tblHere"/>
            <w:r w:rsidRPr="001A5EE3">
              <w:rPr>
                <w:b/>
                <w:bCs/>
                <w:color w:val="000000"/>
                <w:sz w:val="20"/>
                <w:szCs w:val="20"/>
                <w:lang w:val="fr-FR"/>
              </w:rPr>
              <w:t>Entreprise</w:t>
            </w:r>
          </w:p>
        </w:tc>
        <w:tc>
          <w:tcPr>
            <w:tcW w:w="725" w:type="pct"/>
            <w:tcBorders>
              <w:top w:val="single" w:sz="4" w:space="0" w:color="auto"/>
              <w:left w:val="nil"/>
              <w:bottom w:val="single" w:sz="4" w:space="0" w:color="auto"/>
              <w:right w:val="single" w:sz="4" w:space="0" w:color="auto"/>
            </w:tcBorders>
            <w:shd w:val="clear" w:color="auto" w:fill="auto"/>
            <w:noWrap/>
            <w:hideMark/>
          </w:tcPr>
          <w:p w:rsidR="00B72C75" w:rsidRPr="001A5EE3" w:rsidRDefault="001A5EE3" w:rsidP="005B6FC5">
            <w:pPr>
              <w:jc w:val="center"/>
              <w:rPr>
                <w:b/>
                <w:bCs/>
                <w:color w:val="000000"/>
                <w:sz w:val="20"/>
                <w:szCs w:val="20"/>
                <w:lang w:val="en-CA"/>
              </w:rPr>
            </w:pPr>
            <w:r w:rsidRPr="001A5EE3">
              <w:rPr>
                <w:b/>
                <w:bCs/>
                <w:color w:val="000000"/>
                <w:sz w:val="20"/>
                <w:szCs w:val="20"/>
                <w:lang w:val="fr-FR"/>
              </w:rPr>
              <w:t>tm</w:t>
            </w:r>
          </w:p>
        </w:tc>
        <w:tc>
          <w:tcPr>
            <w:tcW w:w="725" w:type="pct"/>
            <w:tcBorders>
              <w:top w:val="single" w:sz="4" w:space="0" w:color="auto"/>
              <w:left w:val="nil"/>
              <w:bottom w:val="single" w:sz="4" w:space="0" w:color="auto"/>
              <w:right w:val="single" w:sz="4" w:space="0" w:color="auto"/>
            </w:tcBorders>
            <w:shd w:val="clear" w:color="auto" w:fill="auto"/>
            <w:noWrap/>
            <w:hideMark/>
          </w:tcPr>
          <w:p w:rsidR="00B72C75" w:rsidRPr="001A5EE3" w:rsidRDefault="001A5EE3" w:rsidP="005B6FC5">
            <w:pPr>
              <w:jc w:val="center"/>
              <w:rPr>
                <w:b/>
                <w:bCs/>
                <w:color w:val="000000"/>
                <w:sz w:val="20"/>
                <w:szCs w:val="20"/>
                <w:lang w:val="en-CA"/>
              </w:rPr>
            </w:pPr>
            <w:r w:rsidRPr="001A5EE3">
              <w:rPr>
                <w:b/>
                <w:bCs/>
                <w:color w:val="000000"/>
                <w:sz w:val="20"/>
                <w:szCs w:val="20"/>
                <w:lang w:val="fr-FR"/>
              </w:rPr>
              <w:t>Tonnes PAO</w:t>
            </w:r>
          </w:p>
        </w:tc>
        <w:tc>
          <w:tcPr>
            <w:tcW w:w="725" w:type="pct"/>
            <w:tcBorders>
              <w:top w:val="single" w:sz="4" w:space="0" w:color="auto"/>
              <w:left w:val="nil"/>
              <w:bottom w:val="single" w:sz="4" w:space="0" w:color="auto"/>
              <w:right w:val="single" w:sz="4" w:space="0" w:color="auto"/>
            </w:tcBorders>
            <w:shd w:val="clear" w:color="auto" w:fill="auto"/>
            <w:hideMark/>
          </w:tcPr>
          <w:p w:rsidR="00B72C75" w:rsidRPr="001A5EE3" w:rsidRDefault="00E8082E" w:rsidP="005B6FC5">
            <w:pPr>
              <w:jc w:val="center"/>
              <w:rPr>
                <w:b/>
                <w:bCs/>
                <w:color w:val="000000"/>
                <w:sz w:val="20"/>
                <w:szCs w:val="20"/>
                <w:lang w:val="en-CA"/>
              </w:rPr>
            </w:pPr>
            <w:r>
              <w:rPr>
                <w:b/>
                <w:bCs/>
                <w:color w:val="000000"/>
                <w:sz w:val="20"/>
                <w:szCs w:val="20"/>
                <w:lang w:val="fr-FR" w:eastAsia="pt-BR"/>
              </w:rPr>
              <w:t>CDI</w:t>
            </w:r>
            <w:r w:rsidR="001A5EE3" w:rsidRPr="001A5EE3">
              <w:rPr>
                <w:b/>
                <w:bCs/>
                <w:color w:val="000000"/>
                <w:sz w:val="20"/>
                <w:szCs w:val="20"/>
                <w:lang w:val="fr-FR" w:eastAsia="pt-BR"/>
              </w:rPr>
              <w:t xml:space="preserve"> ($US)</w:t>
            </w:r>
          </w:p>
        </w:tc>
        <w:tc>
          <w:tcPr>
            <w:tcW w:w="726" w:type="pct"/>
            <w:tcBorders>
              <w:top w:val="single" w:sz="4" w:space="0" w:color="auto"/>
              <w:left w:val="nil"/>
              <w:bottom w:val="single" w:sz="4" w:space="0" w:color="auto"/>
              <w:right w:val="single" w:sz="4" w:space="0" w:color="auto"/>
            </w:tcBorders>
            <w:shd w:val="clear" w:color="auto" w:fill="auto"/>
            <w:hideMark/>
          </w:tcPr>
          <w:p w:rsidR="00B72C75" w:rsidRPr="001A5EE3" w:rsidRDefault="00E8082E" w:rsidP="005B6FC5">
            <w:pPr>
              <w:jc w:val="center"/>
              <w:rPr>
                <w:b/>
                <w:bCs/>
                <w:color w:val="000000"/>
                <w:sz w:val="20"/>
                <w:szCs w:val="20"/>
                <w:lang w:val="en-CA"/>
              </w:rPr>
            </w:pPr>
            <w:r>
              <w:rPr>
                <w:b/>
                <w:bCs/>
                <w:color w:val="000000"/>
                <w:sz w:val="20"/>
                <w:szCs w:val="20"/>
                <w:lang w:val="fr-FR"/>
              </w:rPr>
              <w:t>CDE</w:t>
            </w:r>
            <w:r w:rsidR="001A5EE3" w:rsidRPr="001A5EE3">
              <w:rPr>
                <w:b/>
                <w:bCs/>
                <w:color w:val="000000"/>
                <w:sz w:val="20"/>
                <w:szCs w:val="20"/>
                <w:lang w:val="fr-FR"/>
              </w:rPr>
              <w:t xml:space="preserve"> ($US)</w:t>
            </w:r>
          </w:p>
        </w:tc>
        <w:tc>
          <w:tcPr>
            <w:tcW w:w="725" w:type="pct"/>
            <w:tcBorders>
              <w:top w:val="single" w:sz="4" w:space="0" w:color="auto"/>
              <w:left w:val="nil"/>
              <w:bottom w:val="single" w:sz="4" w:space="0" w:color="auto"/>
              <w:right w:val="single" w:sz="4" w:space="0" w:color="auto"/>
            </w:tcBorders>
            <w:shd w:val="clear" w:color="auto" w:fill="auto"/>
            <w:hideMark/>
          </w:tcPr>
          <w:p w:rsidR="00B72C75" w:rsidRPr="001A5EE3" w:rsidRDefault="001A5EE3" w:rsidP="005B6FC5">
            <w:pPr>
              <w:jc w:val="center"/>
              <w:rPr>
                <w:b/>
                <w:bCs/>
                <w:color w:val="000000"/>
                <w:sz w:val="20"/>
                <w:szCs w:val="20"/>
                <w:lang w:val="en-CA"/>
              </w:rPr>
            </w:pPr>
            <w:r w:rsidRPr="001A5EE3">
              <w:rPr>
                <w:b/>
                <w:bCs/>
                <w:color w:val="000000"/>
                <w:sz w:val="20"/>
                <w:szCs w:val="20"/>
                <w:lang w:val="fr-FR"/>
              </w:rPr>
              <w:t>Total ($US)</w:t>
            </w:r>
          </w:p>
        </w:tc>
        <w:tc>
          <w:tcPr>
            <w:tcW w:w="726" w:type="pct"/>
            <w:tcBorders>
              <w:top w:val="single" w:sz="4" w:space="0" w:color="auto"/>
              <w:left w:val="nil"/>
              <w:bottom w:val="single" w:sz="4" w:space="0" w:color="auto"/>
              <w:right w:val="single" w:sz="4" w:space="0" w:color="auto"/>
            </w:tcBorders>
          </w:tcPr>
          <w:p w:rsidR="00B72C75" w:rsidRPr="001A5EE3" w:rsidRDefault="001A5EE3" w:rsidP="005B6FC5">
            <w:pPr>
              <w:jc w:val="center"/>
              <w:rPr>
                <w:b/>
                <w:bCs/>
                <w:color w:val="000000"/>
                <w:sz w:val="20"/>
                <w:szCs w:val="20"/>
                <w:highlight w:val="cyan"/>
                <w:lang w:val="en-CA"/>
              </w:rPr>
            </w:pPr>
            <w:r w:rsidRPr="001A5EE3">
              <w:rPr>
                <w:b/>
                <w:bCs/>
                <w:color w:val="000000"/>
                <w:sz w:val="20"/>
                <w:szCs w:val="20"/>
                <w:lang w:val="fr-FR"/>
              </w:rPr>
              <w:t>C-E ($US/Kg)</w:t>
            </w: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tcPr>
          <w:p w:rsidR="00B72C75" w:rsidRPr="001A5EE3" w:rsidRDefault="001A5EE3" w:rsidP="005B6FC5">
            <w:pPr>
              <w:rPr>
                <w:sz w:val="20"/>
                <w:szCs w:val="20"/>
                <w:lang w:val="en-CA"/>
              </w:rPr>
            </w:pPr>
            <w:r w:rsidRPr="001A5EE3">
              <w:rPr>
                <w:sz w:val="20"/>
                <w:szCs w:val="20"/>
                <w:lang w:val="fr-FR"/>
              </w:rPr>
              <w:t>El-Araby</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228</w:t>
            </w:r>
            <w:r w:rsidR="00532014">
              <w:rPr>
                <w:color w:val="000000"/>
                <w:sz w:val="20"/>
                <w:szCs w:val="20"/>
                <w:lang w:val="en-CA"/>
              </w:rPr>
              <w:t>,</w:t>
            </w:r>
            <w:r w:rsidRPr="001F1E0E">
              <w:rPr>
                <w:color w:val="000000"/>
                <w:sz w:val="20"/>
                <w:szCs w:val="20"/>
                <w:lang w:val="en-CA"/>
              </w:rPr>
              <w:t>45</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12</w:t>
            </w:r>
            <w:r w:rsidR="00532014">
              <w:rPr>
                <w:color w:val="000000"/>
                <w:sz w:val="20"/>
                <w:szCs w:val="20"/>
                <w:lang w:val="en-CA"/>
              </w:rPr>
              <w:t>,</w:t>
            </w:r>
            <w:r w:rsidRPr="001F1E0E">
              <w:rPr>
                <w:color w:val="000000"/>
                <w:sz w:val="20"/>
                <w:szCs w:val="20"/>
                <w:lang w:val="en-CA"/>
              </w:rPr>
              <w:t>56</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012</w:t>
            </w:r>
            <w:r w:rsidR="00532014">
              <w:rPr>
                <w:sz w:val="20"/>
                <w:szCs w:val="20"/>
                <w:lang w:val="en-CA"/>
              </w:rPr>
              <w:t> </w:t>
            </w:r>
            <w:r w:rsidRPr="001F1E0E">
              <w:rPr>
                <w:sz w:val="20"/>
                <w:szCs w:val="20"/>
                <w:lang w:val="en-CA"/>
              </w:rPr>
              <w:t xml:space="preserve">750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411</w:t>
            </w:r>
            <w:r w:rsidR="00532014">
              <w:rPr>
                <w:sz w:val="20"/>
                <w:szCs w:val="20"/>
                <w:lang w:val="en-CA"/>
              </w:rPr>
              <w:t> </w:t>
            </w:r>
            <w:r w:rsidRPr="001F1E0E">
              <w:rPr>
                <w:sz w:val="20"/>
                <w:szCs w:val="20"/>
                <w:lang w:val="en-CA"/>
              </w:rPr>
              <w:t xml:space="preserve">809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2</w:t>
            </w:r>
            <w:r w:rsidR="00532014">
              <w:rPr>
                <w:sz w:val="20"/>
                <w:szCs w:val="20"/>
                <w:lang w:val="en-CA"/>
              </w:rPr>
              <w:t> </w:t>
            </w:r>
            <w:r w:rsidRPr="001F1E0E">
              <w:rPr>
                <w:sz w:val="20"/>
                <w:szCs w:val="20"/>
                <w:lang w:val="en-CA"/>
              </w:rPr>
              <w:t>424</w:t>
            </w:r>
            <w:r w:rsidR="00532014">
              <w:rPr>
                <w:sz w:val="20"/>
                <w:szCs w:val="20"/>
                <w:lang w:val="en-CA"/>
              </w:rPr>
              <w:t> </w:t>
            </w:r>
            <w:r w:rsidRPr="001F1E0E">
              <w:rPr>
                <w:sz w:val="20"/>
                <w:szCs w:val="20"/>
                <w:lang w:val="en-CA"/>
              </w:rPr>
              <w:t xml:space="preserve">559 </w:t>
            </w:r>
          </w:p>
        </w:tc>
        <w:tc>
          <w:tcPr>
            <w:tcW w:w="726" w:type="pct"/>
            <w:tcBorders>
              <w:top w:val="nil"/>
              <w:left w:val="nil"/>
              <w:bottom w:val="single" w:sz="4" w:space="0" w:color="auto"/>
              <w:right w:val="single" w:sz="4" w:space="0" w:color="auto"/>
            </w:tcBorders>
          </w:tcPr>
          <w:p w:rsidR="00B72C75" w:rsidRPr="001F1E0E" w:rsidRDefault="00B72C75" w:rsidP="00B72C75">
            <w:pPr>
              <w:spacing w:line="259" w:lineRule="auto"/>
              <w:ind w:right="48"/>
              <w:jc w:val="right"/>
              <w:rPr>
                <w:sz w:val="20"/>
                <w:szCs w:val="20"/>
                <w:lang w:val="en-CA"/>
              </w:rPr>
            </w:pPr>
            <w:r w:rsidRPr="001F1E0E">
              <w:rPr>
                <w:sz w:val="20"/>
                <w:szCs w:val="20"/>
                <w:lang w:val="en-CA"/>
              </w:rPr>
              <w:t xml:space="preserve"> 10</w:t>
            </w:r>
            <w:r w:rsidR="00532014">
              <w:rPr>
                <w:sz w:val="20"/>
                <w:szCs w:val="20"/>
                <w:lang w:val="en-CA"/>
              </w:rPr>
              <w:t>,</w:t>
            </w:r>
            <w:r w:rsidRPr="001F1E0E">
              <w:rPr>
                <w:sz w:val="20"/>
                <w:szCs w:val="20"/>
                <w:lang w:val="en-CA"/>
              </w:rPr>
              <w:t xml:space="preserve">61 </w:t>
            </w: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tcPr>
          <w:p w:rsidR="00B72C75" w:rsidRPr="001A5EE3" w:rsidRDefault="001A5EE3" w:rsidP="005B6FC5">
            <w:pPr>
              <w:rPr>
                <w:sz w:val="20"/>
                <w:szCs w:val="20"/>
                <w:lang w:val="en-CA"/>
              </w:rPr>
            </w:pPr>
            <w:r w:rsidRPr="001A5EE3">
              <w:rPr>
                <w:sz w:val="20"/>
                <w:szCs w:val="20"/>
                <w:lang w:val="fr-FR"/>
              </w:rPr>
              <w:t>Fresh</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141</w:t>
            </w:r>
            <w:r w:rsidR="00532014">
              <w:rPr>
                <w:color w:val="000000"/>
                <w:sz w:val="20"/>
                <w:szCs w:val="20"/>
                <w:lang w:val="en-CA"/>
              </w:rPr>
              <w:t>,</w:t>
            </w:r>
            <w:r w:rsidRPr="001F1E0E">
              <w:rPr>
                <w:color w:val="000000"/>
                <w:sz w:val="20"/>
                <w:szCs w:val="20"/>
                <w:lang w:val="en-CA"/>
              </w:rPr>
              <w:t>67</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7</w:t>
            </w:r>
            <w:r w:rsidR="00532014">
              <w:rPr>
                <w:color w:val="000000"/>
                <w:sz w:val="20"/>
                <w:szCs w:val="20"/>
                <w:lang w:val="en-CA"/>
              </w:rPr>
              <w:t>,</w:t>
            </w:r>
            <w:r w:rsidRPr="001F1E0E">
              <w:rPr>
                <w:color w:val="000000"/>
                <w:sz w:val="20"/>
                <w:szCs w:val="20"/>
                <w:lang w:val="en-CA"/>
              </w:rPr>
              <w:t>79</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752</w:t>
            </w:r>
            <w:r w:rsidR="00532014">
              <w:rPr>
                <w:sz w:val="20"/>
                <w:szCs w:val="20"/>
                <w:lang w:val="en-CA"/>
              </w:rPr>
              <w:t> </w:t>
            </w:r>
            <w:r w:rsidRPr="001F1E0E">
              <w:rPr>
                <w:sz w:val="20"/>
                <w:szCs w:val="20"/>
                <w:lang w:val="en-CA"/>
              </w:rPr>
              <w:t xml:space="preserve">550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875</w:t>
            </w:r>
            <w:r w:rsidR="00532014">
              <w:rPr>
                <w:sz w:val="20"/>
                <w:szCs w:val="20"/>
                <w:lang w:val="en-CA"/>
              </w:rPr>
              <w:t> </w:t>
            </w:r>
            <w:r w:rsidRPr="001F1E0E">
              <w:rPr>
                <w:sz w:val="20"/>
                <w:szCs w:val="20"/>
                <w:lang w:val="en-CA"/>
              </w:rPr>
              <w:t xml:space="preserve">502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628</w:t>
            </w:r>
            <w:r w:rsidR="00532014">
              <w:rPr>
                <w:sz w:val="20"/>
                <w:szCs w:val="20"/>
                <w:lang w:val="en-CA"/>
              </w:rPr>
              <w:t> </w:t>
            </w:r>
            <w:r w:rsidRPr="001F1E0E">
              <w:rPr>
                <w:sz w:val="20"/>
                <w:szCs w:val="20"/>
                <w:lang w:val="en-CA"/>
              </w:rPr>
              <w:t xml:space="preserve">052 </w:t>
            </w:r>
          </w:p>
        </w:tc>
        <w:tc>
          <w:tcPr>
            <w:tcW w:w="726" w:type="pct"/>
            <w:tcBorders>
              <w:top w:val="nil"/>
              <w:left w:val="nil"/>
              <w:bottom w:val="single" w:sz="4" w:space="0" w:color="auto"/>
              <w:right w:val="single" w:sz="4" w:space="0" w:color="auto"/>
            </w:tcBorders>
          </w:tcPr>
          <w:p w:rsidR="00B72C75" w:rsidRPr="001F1E0E" w:rsidRDefault="00B72C75" w:rsidP="00B72C75">
            <w:pPr>
              <w:spacing w:line="259" w:lineRule="auto"/>
              <w:ind w:right="48"/>
              <w:jc w:val="right"/>
              <w:rPr>
                <w:sz w:val="20"/>
                <w:szCs w:val="20"/>
                <w:lang w:val="en-CA"/>
              </w:rPr>
            </w:pPr>
            <w:r w:rsidRPr="001F1E0E">
              <w:rPr>
                <w:sz w:val="20"/>
                <w:szCs w:val="20"/>
                <w:lang w:val="en-CA"/>
              </w:rPr>
              <w:t xml:space="preserve"> 11</w:t>
            </w:r>
            <w:r w:rsidR="00532014">
              <w:rPr>
                <w:sz w:val="20"/>
                <w:szCs w:val="20"/>
                <w:lang w:val="en-CA"/>
              </w:rPr>
              <w:t>,</w:t>
            </w:r>
            <w:r w:rsidRPr="001F1E0E">
              <w:rPr>
                <w:sz w:val="20"/>
                <w:szCs w:val="20"/>
                <w:lang w:val="en-CA"/>
              </w:rPr>
              <w:t xml:space="preserve">49 </w:t>
            </w: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tcPr>
          <w:p w:rsidR="00B72C75" w:rsidRPr="001A5EE3" w:rsidRDefault="001A5EE3" w:rsidP="005B6FC5">
            <w:pPr>
              <w:rPr>
                <w:sz w:val="20"/>
                <w:szCs w:val="20"/>
                <w:lang w:val="en-CA"/>
              </w:rPr>
            </w:pPr>
            <w:r w:rsidRPr="001A5EE3">
              <w:rPr>
                <w:sz w:val="20"/>
                <w:szCs w:val="20"/>
                <w:lang w:val="fr-FR"/>
              </w:rPr>
              <w:t>Miraco*</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373</w:t>
            </w:r>
            <w:r w:rsidR="00532014">
              <w:rPr>
                <w:color w:val="000000"/>
                <w:sz w:val="20"/>
                <w:szCs w:val="20"/>
                <w:lang w:val="en-CA"/>
              </w:rPr>
              <w:t>,</w:t>
            </w:r>
            <w:r w:rsidRPr="001F1E0E">
              <w:rPr>
                <w:color w:val="000000"/>
                <w:sz w:val="20"/>
                <w:szCs w:val="20"/>
                <w:lang w:val="en-CA"/>
              </w:rPr>
              <w:t>67</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20</w:t>
            </w:r>
            <w:r w:rsidR="00532014">
              <w:rPr>
                <w:color w:val="000000"/>
                <w:sz w:val="20"/>
                <w:szCs w:val="20"/>
                <w:lang w:val="en-CA"/>
              </w:rPr>
              <w:t>,</w:t>
            </w:r>
            <w:r w:rsidRPr="001F1E0E">
              <w:rPr>
                <w:color w:val="000000"/>
                <w:sz w:val="20"/>
                <w:szCs w:val="20"/>
                <w:lang w:val="en-CA"/>
              </w:rPr>
              <w:t>55</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829</w:t>
            </w:r>
            <w:r w:rsidR="00532014">
              <w:rPr>
                <w:sz w:val="20"/>
                <w:szCs w:val="20"/>
                <w:lang w:val="en-CA"/>
              </w:rPr>
              <w:t> </w:t>
            </w:r>
            <w:r w:rsidRPr="001F1E0E">
              <w:rPr>
                <w:sz w:val="20"/>
                <w:szCs w:val="20"/>
                <w:lang w:val="en-CA"/>
              </w:rPr>
              <w:t xml:space="preserve">647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454</w:t>
            </w:r>
            <w:r w:rsidR="00532014">
              <w:rPr>
                <w:sz w:val="20"/>
                <w:szCs w:val="20"/>
                <w:lang w:val="en-CA"/>
              </w:rPr>
              <w:t> </w:t>
            </w:r>
            <w:r w:rsidRPr="001F1E0E">
              <w:rPr>
                <w:sz w:val="20"/>
                <w:szCs w:val="20"/>
                <w:lang w:val="en-CA"/>
              </w:rPr>
              <w:t xml:space="preserve">835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2</w:t>
            </w:r>
            <w:r w:rsidR="00532014">
              <w:rPr>
                <w:sz w:val="20"/>
                <w:szCs w:val="20"/>
                <w:lang w:val="en-CA"/>
              </w:rPr>
              <w:t> </w:t>
            </w:r>
            <w:r w:rsidRPr="001F1E0E">
              <w:rPr>
                <w:sz w:val="20"/>
                <w:szCs w:val="20"/>
                <w:lang w:val="en-CA"/>
              </w:rPr>
              <w:t>284</w:t>
            </w:r>
            <w:r w:rsidR="00532014">
              <w:rPr>
                <w:sz w:val="20"/>
                <w:szCs w:val="20"/>
                <w:lang w:val="en-CA"/>
              </w:rPr>
              <w:t> </w:t>
            </w:r>
            <w:r w:rsidRPr="001F1E0E">
              <w:rPr>
                <w:sz w:val="20"/>
                <w:szCs w:val="20"/>
                <w:lang w:val="en-CA"/>
              </w:rPr>
              <w:t xml:space="preserve">482 </w:t>
            </w:r>
          </w:p>
        </w:tc>
        <w:tc>
          <w:tcPr>
            <w:tcW w:w="726" w:type="pct"/>
            <w:tcBorders>
              <w:top w:val="nil"/>
              <w:left w:val="nil"/>
              <w:bottom w:val="single" w:sz="4" w:space="0" w:color="auto"/>
              <w:right w:val="single" w:sz="4" w:space="0" w:color="auto"/>
            </w:tcBorders>
          </w:tcPr>
          <w:p w:rsidR="00B72C75" w:rsidRPr="001F1E0E" w:rsidRDefault="00B72C75" w:rsidP="00B72C75">
            <w:pPr>
              <w:spacing w:line="259" w:lineRule="auto"/>
              <w:ind w:right="48"/>
              <w:jc w:val="right"/>
              <w:rPr>
                <w:sz w:val="20"/>
                <w:szCs w:val="20"/>
                <w:lang w:val="en-CA"/>
              </w:rPr>
            </w:pPr>
            <w:r w:rsidRPr="001F1E0E">
              <w:rPr>
                <w:sz w:val="20"/>
                <w:szCs w:val="20"/>
                <w:lang w:val="en-CA"/>
              </w:rPr>
              <w:t xml:space="preserve"> 6</w:t>
            </w:r>
            <w:r w:rsidR="00532014">
              <w:rPr>
                <w:sz w:val="20"/>
                <w:szCs w:val="20"/>
                <w:lang w:val="en-CA"/>
              </w:rPr>
              <w:t>,</w:t>
            </w:r>
            <w:r w:rsidRPr="001F1E0E">
              <w:rPr>
                <w:sz w:val="20"/>
                <w:szCs w:val="20"/>
                <w:lang w:val="en-CA"/>
              </w:rPr>
              <w:t xml:space="preserve">11 </w:t>
            </w: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tcPr>
          <w:p w:rsidR="00B72C75" w:rsidRPr="001A5EE3" w:rsidRDefault="001A5EE3" w:rsidP="005B6FC5">
            <w:pPr>
              <w:rPr>
                <w:sz w:val="20"/>
                <w:szCs w:val="20"/>
                <w:lang w:val="en-CA"/>
              </w:rPr>
            </w:pPr>
            <w:r w:rsidRPr="001A5EE3">
              <w:rPr>
                <w:sz w:val="20"/>
                <w:szCs w:val="20"/>
                <w:lang w:val="fr-FR"/>
              </w:rPr>
              <w:t>Power</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46</w:t>
            </w:r>
            <w:r w:rsidR="00532014">
              <w:rPr>
                <w:color w:val="000000"/>
                <w:sz w:val="20"/>
                <w:szCs w:val="20"/>
                <w:lang w:val="en-CA"/>
              </w:rPr>
              <w:t>,</w:t>
            </w:r>
            <w:r w:rsidRPr="001F1E0E">
              <w:rPr>
                <w:color w:val="000000"/>
                <w:sz w:val="20"/>
                <w:szCs w:val="20"/>
                <w:lang w:val="en-CA"/>
              </w:rPr>
              <w:t>00</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2</w:t>
            </w:r>
            <w:r w:rsidR="00532014">
              <w:rPr>
                <w:color w:val="000000"/>
                <w:sz w:val="20"/>
                <w:szCs w:val="20"/>
                <w:lang w:val="en-CA"/>
              </w:rPr>
              <w:t>,</w:t>
            </w:r>
            <w:r w:rsidRPr="001F1E0E">
              <w:rPr>
                <w:color w:val="000000"/>
                <w:sz w:val="20"/>
                <w:szCs w:val="20"/>
                <w:lang w:val="en-CA"/>
              </w:rPr>
              <w:t>53</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469</w:t>
            </w:r>
            <w:r w:rsidR="00532014">
              <w:rPr>
                <w:sz w:val="20"/>
                <w:szCs w:val="20"/>
                <w:lang w:val="en-CA"/>
              </w:rPr>
              <w:t> </w:t>
            </w:r>
            <w:r w:rsidRPr="001F1E0E">
              <w:rPr>
                <w:sz w:val="20"/>
                <w:szCs w:val="20"/>
                <w:lang w:val="en-CA"/>
              </w:rPr>
              <w:t xml:space="preserve">500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284</w:t>
            </w:r>
            <w:r w:rsidR="00532014">
              <w:rPr>
                <w:sz w:val="20"/>
                <w:szCs w:val="20"/>
                <w:lang w:val="en-CA"/>
              </w:rPr>
              <w:t> </w:t>
            </w:r>
            <w:r w:rsidRPr="001F1E0E">
              <w:rPr>
                <w:sz w:val="20"/>
                <w:szCs w:val="20"/>
                <w:lang w:val="en-CA"/>
              </w:rPr>
              <w:t xml:space="preserve">280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753</w:t>
            </w:r>
            <w:r w:rsidR="00532014">
              <w:rPr>
                <w:sz w:val="20"/>
                <w:szCs w:val="20"/>
                <w:lang w:val="en-CA"/>
              </w:rPr>
              <w:t> </w:t>
            </w:r>
            <w:r w:rsidRPr="001F1E0E">
              <w:rPr>
                <w:sz w:val="20"/>
                <w:szCs w:val="20"/>
                <w:lang w:val="en-CA"/>
              </w:rPr>
              <w:t xml:space="preserve">780 </w:t>
            </w:r>
          </w:p>
        </w:tc>
        <w:tc>
          <w:tcPr>
            <w:tcW w:w="726" w:type="pct"/>
            <w:tcBorders>
              <w:top w:val="nil"/>
              <w:left w:val="nil"/>
              <w:bottom w:val="single" w:sz="4" w:space="0" w:color="auto"/>
              <w:right w:val="single" w:sz="4" w:space="0" w:color="auto"/>
            </w:tcBorders>
          </w:tcPr>
          <w:p w:rsidR="00B72C75" w:rsidRPr="001F1E0E" w:rsidRDefault="00B72C75" w:rsidP="00B72C75">
            <w:pPr>
              <w:spacing w:line="259" w:lineRule="auto"/>
              <w:ind w:right="48"/>
              <w:jc w:val="right"/>
              <w:rPr>
                <w:sz w:val="20"/>
                <w:szCs w:val="20"/>
                <w:lang w:val="en-CA"/>
              </w:rPr>
            </w:pPr>
            <w:r w:rsidRPr="001F1E0E">
              <w:rPr>
                <w:sz w:val="20"/>
                <w:szCs w:val="20"/>
                <w:lang w:val="en-CA"/>
              </w:rPr>
              <w:t xml:space="preserve"> 16</w:t>
            </w:r>
            <w:r w:rsidR="00532014">
              <w:rPr>
                <w:sz w:val="20"/>
                <w:szCs w:val="20"/>
                <w:lang w:val="en-CA"/>
              </w:rPr>
              <w:t>,</w:t>
            </w:r>
            <w:r w:rsidRPr="001F1E0E">
              <w:rPr>
                <w:sz w:val="20"/>
                <w:szCs w:val="20"/>
                <w:lang w:val="en-CA"/>
              </w:rPr>
              <w:t xml:space="preserve">39 </w:t>
            </w: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tcPr>
          <w:p w:rsidR="00B72C75" w:rsidRPr="001A5EE3" w:rsidRDefault="001A5EE3" w:rsidP="005B6FC5">
            <w:pPr>
              <w:rPr>
                <w:sz w:val="20"/>
                <w:szCs w:val="20"/>
                <w:lang w:val="en-CA"/>
              </w:rPr>
            </w:pPr>
            <w:r w:rsidRPr="001A5EE3">
              <w:rPr>
                <w:sz w:val="20"/>
                <w:szCs w:val="20"/>
                <w:lang w:val="fr-FR"/>
              </w:rPr>
              <w:t>Unionaire</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400</w:t>
            </w:r>
            <w:r w:rsidR="00532014">
              <w:rPr>
                <w:color w:val="000000"/>
                <w:sz w:val="20"/>
                <w:szCs w:val="20"/>
                <w:lang w:val="en-CA"/>
              </w:rPr>
              <w:t>,</w:t>
            </w:r>
            <w:r w:rsidRPr="001F1E0E">
              <w:rPr>
                <w:color w:val="000000"/>
                <w:sz w:val="20"/>
                <w:szCs w:val="20"/>
                <w:lang w:val="en-CA"/>
              </w:rPr>
              <w:t>00</w:t>
            </w:r>
          </w:p>
        </w:tc>
        <w:tc>
          <w:tcPr>
            <w:tcW w:w="725" w:type="pct"/>
            <w:tcBorders>
              <w:top w:val="nil"/>
              <w:left w:val="nil"/>
              <w:bottom w:val="single" w:sz="4" w:space="0" w:color="auto"/>
              <w:right w:val="single" w:sz="4" w:space="0" w:color="auto"/>
            </w:tcBorders>
            <w:shd w:val="clear" w:color="auto" w:fill="auto"/>
            <w:noWrap/>
            <w:vAlign w:val="bottom"/>
          </w:tcPr>
          <w:p w:rsidR="00B72C75" w:rsidRPr="001F1E0E" w:rsidRDefault="00B72C75" w:rsidP="00B72C75">
            <w:pPr>
              <w:jc w:val="right"/>
              <w:rPr>
                <w:color w:val="000000"/>
                <w:sz w:val="20"/>
                <w:szCs w:val="20"/>
                <w:lang w:val="en-CA"/>
              </w:rPr>
            </w:pPr>
            <w:r w:rsidRPr="001F1E0E">
              <w:rPr>
                <w:color w:val="000000"/>
                <w:sz w:val="20"/>
                <w:szCs w:val="20"/>
                <w:lang w:val="en-CA"/>
              </w:rPr>
              <w:t>22</w:t>
            </w:r>
            <w:r w:rsidR="00532014">
              <w:rPr>
                <w:color w:val="000000"/>
                <w:sz w:val="20"/>
                <w:szCs w:val="20"/>
                <w:lang w:val="en-CA"/>
              </w:rPr>
              <w:t>,</w:t>
            </w:r>
            <w:r w:rsidRPr="001F1E0E">
              <w:rPr>
                <w:color w:val="000000"/>
                <w:sz w:val="20"/>
                <w:szCs w:val="20"/>
                <w:lang w:val="en-CA"/>
              </w:rPr>
              <w:t>00</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1</w:t>
            </w:r>
            <w:r w:rsidR="00532014">
              <w:rPr>
                <w:sz w:val="20"/>
                <w:szCs w:val="20"/>
                <w:lang w:val="en-CA"/>
              </w:rPr>
              <w:t> </w:t>
            </w:r>
            <w:r w:rsidRPr="001F1E0E">
              <w:rPr>
                <w:sz w:val="20"/>
                <w:szCs w:val="20"/>
                <w:lang w:val="en-CA"/>
              </w:rPr>
              <w:t>188</w:t>
            </w:r>
            <w:r w:rsidR="00532014">
              <w:rPr>
                <w:sz w:val="20"/>
                <w:szCs w:val="20"/>
                <w:lang w:val="en-CA"/>
              </w:rPr>
              <w:t> </w:t>
            </w:r>
            <w:r w:rsidRPr="001F1E0E">
              <w:rPr>
                <w:sz w:val="20"/>
                <w:szCs w:val="20"/>
                <w:lang w:val="en-CA"/>
              </w:rPr>
              <w:t xml:space="preserve">750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2</w:t>
            </w:r>
            <w:r w:rsidR="00532014">
              <w:rPr>
                <w:sz w:val="20"/>
                <w:szCs w:val="20"/>
                <w:lang w:val="en-CA"/>
              </w:rPr>
              <w:t> </w:t>
            </w:r>
            <w:r w:rsidRPr="001F1E0E">
              <w:rPr>
                <w:sz w:val="20"/>
                <w:szCs w:val="20"/>
                <w:lang w:val="en-CA"/>
              </w:rPr>
              <w:t>472</w:t>
            </w:r>
            <w:r w:rsidR="00532014">
              <w:rPr>
                <w:sz w:val="20"/>
                <w:szCs w:val="20"/>
                <w:lang w:val="en-CA"/>
              </w:rPr>
              <w:t> </w:t>
            </w:r>
            <w:r w:rsidRPr="001F1E0E">
              <w:rPr>
                <w:sz w:val="20"/>
                <w:szCs w:val="20"/>
                <w:lang w:val="en-CA"/>
              </w:rPr>
              <w:t xml:space="preserve">000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spacing w:line="259" w:lineRule="auto"/>
              <w:ind w:right="47"/>
              <w:jc w:val="right"/>
              <w:rPr>
                <w:sz w:val="20"/>
                <w:szCs w:val="20"/>
                <w:lang w:val="en-CA"/>
              </w:rPr>
            </w:pPr>
            <w:r w:rsidRPr="001F1E0E">
              <w:rPr>
                <w:sz w:val="20"/>
                <w:szCs w:val="20"/>
                <w:lang w:val="en-CA"/>
              </w:rPr>
              <w:t xml:space="preserve"> 3</w:t>
            </w:r>
            <w:r w:rsidR="00532014">
              <w:rPr>
                <w:sz w:val="20"/>
                <w:szCs w:val="20"/>
                <w:lang w:val="en-CA"/>
              </w:rPr>
              <w:t> </w:t>
            </w:r>
            <w:r w:rsidRPr="001F1E0E">
              <w:rPr>
                <w:sz w:val="20"/>
                <w:szCs w:val="20"/>
                <w:lang w:val="en-CA"/>
              </w:rPr>
              <w:t>660</w:t>
            </w:r>
            <w:r w:rsidR="00532014">
              <w:rPr>
                <w:sz w:val="20"/>
                <w:szCs w:val="20"/>
                <w:lang w:val="en-CA"/>
              </w:rPr>
              <w:t> </w:t>
            </w:r>
            <w:r w:rsidRPr="001F1E0E">
              <w:rPr>
                <w:sz w:val="20"/>
                <w:szCs w:val="20"/>
                <w:lang w:val="en-CA"/>
              </w:rPr>
              <w:t xml:space="preserve">750 </w:t>
            </w:r>
          </w:p>
        </w:tc>
        <w:tc>
          <w:tcPr>
            <w:tcW w:w="726" w:type="pct"/>
            <w:tcBorders>
              <w:top w:val="nil"/>
              <w:left w:val="nil"/>
              <w:bottom w:val="single" w:sz="4" w:space="0" w:color="auto"/>
              <w:right w:val="single" w:sz="4" w:space="0" w:color="auto"/>
            </w:tcBorders>
          </w:tcPr>
          <w:p w:rsidR="00B72C75" w:rsidRPr="001F1E0E" w:rsidRDefault="00B72C75" w:rsidP="00B72C75">
            <w:pPr>
              <w:spacing w:line="259" w:lineRule="auto"/>
              <w:ind w:right="48"/>
              <w:jc w:val="right"/>
              <w:rPr>
                <w:sz w:val="20"/>
                <w:szCs w:val="20"/>
                <w:lang w:val="en-CA"/>
              </w:rPr>
            </w:pPr>
            <w:r w:rsidRPr="001F1E0E">
              <w:rPr>
                <w:sz w:val="20"/>
                <w:szCs w:val="20"/>
                <w:lang w:val="en-CA"/>
              </w:rPr>
              <w:t xml:space="preserve"> 9</w:t>
            </w:r>
            <w:r w:rsidR="00532014">
              <w:rPr>
                <w:sz w:val="20"/>
                <w:szCs w:val="20"/>
                <w:lang w:val="en-CA"/>
              </w:rPr>
              <w:t>,</w:t>
            </w:r>
            <w:r w:rsidRPr="001F1E0E">
              <w:rPr>
                <w:sz w:val="20"/>
                <w:szCs w:val="20"/>
                <w:lang w:val="en-CA"/>
              </w:rPr>
              <w:t xml:space="preserve">15 </w:t>
            </w:r>
          </w:p>
        </w:tc>
      </w:tr>
      <w:tr w:rsidR="002573AF" w:rsidRPr="001F1E0E" w:rsidTr="00084302">
        <w:trPr>
          <w:trHeight w:val="255"/>
        </w:trPr>
        <w:tc>
          <w:tcPr>
            <w:tcW w:w="3549" w:type="pct"/>
            <w:gridSpan w:val="5"/>
            <w:tcBorders>
              <w:top w:val="nil"/>
              <w:left w:val="single" w:sz="4" w:space="0" w:color="auto"/>
              <w:bottom w:val="single" w:sz="4" w:space="0" w:color="auto"/>
              <w:right w:val="single" w:sz="4" w:space="0" w:color="auto"/>
            </w:tcBorders>
            <w:shd w:val="clear" w:color="auto" w:fill="auto"/>
          </w:tcPr>
          <w:p w:rsidR="002573AF" w:rsidRPr="00C3019D" w:rsidRDefault="001A5EE3" w:rsidP="005B6FC5">
            <w:pPr>
              <w:spacing w:line="259" w:lineRule="auto"/>
              <w:ind w:right="47"/>
              <w:jc w:val="left"/>
              <w:rPr>
                <w:sz w:val="20"/>
                <w:szCs w:val="20"/>
                <w:lang w:val="fr-FR"/>
              </w:rPr>
            </w:pPr>
            <w:r>
              <w:rPr>
                <w:sz w:val="20"/>
                <w:szCs w:val="20"/>
                <w:lang w:val="fr-FR"/>
              </w:rPr>
              <w:t>Unité de gestion de projet</w:t>
            </w:r>
          </w:p>
        </w:tc>
        <w:tc>
          <w:tcPr>
            <w:tcW w:w="725" w:type="pct"/>
            <w:tcBorders>
              <w:top w:val="nil"/>
              <w:left w:val="nil"/>
              <w:bottom w:val="single" w:sz="4" w:space="0" w:color="auto"/>
              <w:right w:val="single" w:sz="4" w:space="0" w:color="auto"/>
            </w:tcBorders>
            <w:shd w:val="clear" w:color="auto" w:fill="auto"/>
            <w:noWrap/>
          </w:tcPr>
          <w:p w:rsidR="002573AF" w:rsidRPr="001F1E0E" w:rsidRDefault="002573AF" w:rsidP="00B72C75">
            <w:pPr>
              <w:spacing w:line="259" w:lineRule="auto"/>
              <w:ind w:right="47"/>
              <w:jc w:val="right"/>
              <w:rPr>
                <w:sz w:val="20"/>
                <w:szCs w:val="20"/>
                <w:lang w:val="en-CA"/>
              </w:rPr>
            </w:pPr>
            <w:r w:rsidRPr="001F1E0E">
              <w:rPr>
                <w:sz w:val="20"/>
                <w:szCs w:val="20"/>
                <w:lang w:val="en-CA"/>
              </w:rPr>
              <w:t>175</w:t>
            </w:r>
            <w:r w:rsidR="00532014">
              <w:rPr>
                <w:sz w:val="20"/>
                <w:szCs w:val="20"/>
                <w:lang w:val="en-CA"/>
              </w:rPr>
              <w:t> </w:t>
            </w:r>
            <w:r w:rsidRPr="001F1E0E">
              <w:rPr>
                <w:sz w:val="20"/>
                <w:szCs w:val="20"/>
                <w:lang w:val="en-CA"/>
              </w:rPr>
              <w:t>000</w:t>
            </w:r>
          </w:p>
        </w:tc>
        <w:tc>
          <w:tcPr>
            <w:tcW w:w="726" w:type="pct"/>
            <w:tcBorders>
              <w:top w:val="nil"/>
              <w:left w:val="nil"/>
              <w:bottom w:val="single" w:sz="4" w:space="0" w:color="auto"/>
              <w:right w:val="single" w:sz="4" w:space="0" w:color="auto"/>
            </w:tcBorders>
          </w:tcPr>
          <w:p w:rsidR="002573AF" w:rsidRPr="001F1E0E" w:rsidRDefault="002573AF" w:rsidP="00B72C75">
            <w:pPr>
              <w:spacing w:line="259" w:lineRule="auto"/>
              <w:ind w:right="48"/>
              <w:jc w:val="right"/>
              <w:rPr>
                <w:sz w:val="20"/>
                <w:szCs w:val="20"/>
                <w:lang w:val="en-CA"/>
              </w:rPr>
            </w:pPr>
          </w:p>
        </w:tc>
      </w:tr>
      <w:tr w:rsidR="00B72C75" w:rsidRPr="001F1E0E" w:rsidTr="00084302">
        <w:trPr>
          <w:trHeight w:val="255"/>
        </w:trPr>
        <w:tc>
          <w:tcPr>
            <w:tcW w:w="647" w:type="pct"/>
            <w:tcBorders>
              <w:top w:val="nil"/>
              <w:left w:val="single" w:sz="4" w:space="0" w:color="auto"/>
              <w:bottom w:val="single" w:sz="4" w:space="0" w:color="auto"/>
              <w:right w:val="single" w:sz="4" w:space="0" w:color="auto"/>
            </w:tcBorders>
            <w:shd w:val="clear" w:color="auto" w:fill="auto"/>
            <w:noWrap/>
          </w:tcPr>
          <w:p w:rsidR="00B72C75" w:rsidRPr="001A5EE3" w:rsidRDefault="001A5EE3" w:rsidP="005B6FC5">
            <w:pPr>
              <w:jc w:val="left"/>
              <w:rPr>
                <w:b/>
                <w:color w:val="000000"/>
                <w:sz w:val="20"/>
                <w:szCs w:val="20"/>
                <w:lang w:val="en-CA"/>
              </w:rPr>
            </w:pPr>
            <w:r w:rsidRPr="001A5EE3">
              <w:rPr>
                <w:b/>
                <w:color w:val="000000"/>
                <w:sz w:val="20"/>
                <w:szCs w:val="20"/>
                <w:lang w:val="fr-FR"/>
              </w:rPr>
              <w:t>Total</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jc w:val="right"/>
              <w:rPr>
                <w:b/>
                <w:color w:val="000000"/>
                <w:sz w:val="20"/>
                <w:szCs w:val="20"/>
                <w:lang w:val="en-CA"/>
              </w:rPr>
            </w:pPr>
            <w:r w:rsidRPr="001F1E0E">
              <w:rPr>
                <w:b/>
                <w:color w:val="000000"/>
                <w:sz w:val="20"/>
                <w:szCs w:val="20"/>
                <w:lang w:val="en-CA"/>
              </w:rPr>
              <w:t>1</w:t>
            </w:r>
            <w:r w:rsidR="00532014">
              <w:rPr>
                <w:b/>
                <w:color w:val="000000"/>
                <w:sz w:val="20"/>
                <w:szCs w:val="20"/>
                <w:lang w:val="en-CA"/>
              </w:rPr>
              <w:t> </w:t>
            </w:r>
            <w:r w:rsidRPr="001F1E0E">
              <w:rPr>
                <w:b/>
                <w:color w:val="000000"/>
                <w:sz w:val="20"/>
                <w:szCs w:val="20"/>
                <w:lang w:val="en-CA"/>
              </w:rPr>
              <w:t>189</w:t>
            </w:r>
            <w:r w:rsidR="00532014">
              <w:rPr>
                <w:b/>
                <w:color w:val="000000"/>
                <w:sz w:val="20"/>
                <w:szCs w:val="20"/>
                <w:lang w:val="en-CA"/>
              </w:rPr>
              <w:t>,</w:t>
            </w:r>
            <w:r w:rsidRPr="001F1E0E">
              <w:rPr>
                <w:b/>
                <w:color w:val="000000"/>
                <w:sz w:val="20"/>
                <w:szCs w:val="20"/>
                <w:lang w:val="en-CA"/>
              </w:rPr>
              <w:t>78</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jc w:val="right"/>
              <w:rPr>
                <w:b/>
                <w:color w:val="000000"/>
                <w:sz w:val="20"/>
                <w:szCs w:val="20"/>
                <w:lang w:val="en-CA"/>
              </w:rPr>
            </w:pPr>
            <w:r w:rsidRPr="001F1E0E">
              <w:rPr>
                <w:b/>
                <w:color w:val="000000"/>
                <w:sz w:val="20"/>
                <w:szCs w:val="20"/>
                <w:lang w:val="en-CA"/>
              </w:rPr>
              <w:t>65</w:t>
            </w:r>
            <w:r w:rsidR="00532014">
              <w:rPr>
                <w:b/>
                <w:color w:val="000000"/>
                <w:sz w:val="20"/>
                <w:szCs w:val="20"/>
                <w:lang w:val="en-CA"/>
              </w:rPr>
              <w:t>,</w:t>
            </w:r>
            <w:r w:rsidRPr="001F1E0E">
              <w:rPr>
                <w:b/>
                <w:color w:val="000000"/>
                <w:sz w:val="20"/>
                <w:szCs w:val="20"/>
                <w:lang w:val="en-CA"/>
              </w:rPr>
              <w:t>44</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B72C75">
            <w:pPr>
              <w:jc w:val="right"/>
              <w:rPr>
                <w:b/>
                <w:color w:val="000000"/>
                <w:sz w:val="20"/>
                <w:szCs w:val="20"/>
                <w:lang w:val="en-CA"/>
              </w:rPr>
            </w:pPr>
            <w:r w:rsidRPr="001F1E0E">
              <w:rPr>
                <w:sz w:val="20"/>
                <w:szCs w:val="20"/>
                <w:lang w:val="en-CA"/>
              </w:rPr>
              <w:t xml:space="preserve"> </w:t>
            </w:r>
            <w:r w:rsidRPr="001F1E0E">
              <w:rPr>
                <w:b/>
                <w:sz w:val="20"/>
                <w:szCs w:val="20"/>
                <w:lang w:val="en-CA"/>
              </w:rPr>
              <w:t>4</w:t>
            </w:r>
            <w:r w:rsidR="00532014">
              <w:rPr>
                <w:b/>
                <w:sz w:val="20"/>
                <w:szCs w:val="20"/>
                <w:lang w:val="en-CA"/>
              </w:rPr>
              <w:t> </w:t>
            </w:r>
            <w:r w:rsidRPr="001F1E0E">
              <w:rPr>
                <w:b/>
                <w:sz w:val="20"/>
                <w:szCs w:val="20"/>
                <w:lang w:val="en-CA"/>
              </w:rPr>
              <w:t>253</w:t>
            </w:r>
            <w:r w:rsidR="00532014">
              <w:rPr>
                <w:b/>
                <w:sz w:val="20"/>
                <w:szCs w:val="20"/>
                <w:lang w:val="en-CA"/>
              </w:rPr>
              <w:t> </w:t>
            </w:r>
            <w:r w:rsidRPr="001F1E0E">
              <w:rPr>
                <w:b/>
                <w:sz w:val="20"/>
                <w:szCs w:val="20"/>
                <w:lang w:val="en-CA"/>
              </w:rPr>
              <w:t xml:space="preserve">197 </w:t>
            </w:r>
          </w:p>
        </w:tc>
        <w:tc>
          <w:tcPr>
            <w:tcW w:w="726" w:type="pct"/>
            <w:tcBorders>
              <w:top w:val="nil"/>
              <w:left w:val="nil"/>
              <w:bottom w:val="single" w:sz="4" w:space="0" w:color="auto"/>
              <w:right w:val="single" w:sz="4" w:space="0" w:color="auto"/>
            </w:tcBorders>
            <w:shd w:val="clear" w:color="auto" w:fill="auto"/>
            <w:noWrap/>
          </w:tcPr>
          <w:p w:rsidR="00B72C75" w:rsidRPr="001F1E0E" w:rsidRDefault="00B72C75" w:rsidP="00B72C75">
            <w:pPr>
              <w:jc w:val="right"/>
              <w:rPr>
                <w:b/>
                <w:color w:val="000000"/>
                <w:sz w:val="20"/>
                <w:szCs w:val="20"/>
                <w:lang w:val="en-CA"/>
              </w:rPr>
            </w:pPr>
            <w:r w:rsidRPr="001F1E0E">
              <w:rPr>
                <w:b/>
                <w:sz w:val="20"/>
                <w:szCs w:val="20"/>
                <w:lang w:val="en-CA"/>
              </w:rPr>
              <w:t xml:space="preserve"> 6</w:t>
            </w:r>
            <w:r w:rsidR="00532014">
              <w:rPr>
                <w:b/>
                <w:sz w:val="20"/>
                <w:szCs w:val="20"/>
                <w:lang w:val="en-CA"/>
              </w:rPr>
              <w:t> </w:t>
            </w:r>
            <w:r w:rsidRPr="001F1E0E">
              <w:rPr>
                <w:b/>
                <w:sz w:val="20"/>
                <w:szCs w:val="20"/>
                <w:lang w:val="en-CA"/>
              </w:rPr>
              <w:t>498</w:t>
            </w:r>
            <w:r w:rsidR="00532014">
              <w:rPr>
                <w:b/>
                <w:sz w:val="20"/>
                <w:szCs w:val="20"/>
                <w:lang w:val="en-CA"/>
              </w:rPr>
              <w:t> </w:t>
            </w:r>
            <w:r w:rsidRPr="001F1E0E">
              <w:rPr>
                <w:b/>
                <w:sz w:val="20"/>
                <w:szCs w:val="20"/>
                <w:lang w:val="en-CA"/>
              </w:rPr>
              <w:t xml:space="preserve">426 </w:t>
            </w:r>
          </w:p>
        </w:tc>
        <w:tc>
          <w:tcPr>
            <w:tcW w:w="725" w:type="pct"/>
            <w:tcBorders>
              <w:top w:val="nil"/>
              <w:left w:val="nil"/>
              <w:bottom w:val="single" w:sz="4" w:space="0" w:color="auto"/>
              <w:right w:val="single" w:sz="4" w:space="0" w:color="auto"/>
            </w:tcBorders>
            <w:shd w:val="clear" w:color="auto" w:fill="auto"/>
            <w:noWrap/>
          </w:tcPr>
          <w:p w:rsidR="00B72C75" w:rsidRPr="001F1E0E" w:rsidRDefault="00B72C75" w:rsidP="002573AF">
            <w:pPr>
              <w:jc w:val="right"/>
              <w:rPr>
                <w:b/>
                <w:color w:val="000000"/>
                <w:sz w:val="20"/>
                <w:szCs w:val="20"/>
                <w:lang w:val="en-CA"/>
              </w:rPr>
            </w:pPr>
            <w:r w:rsidRPr="001F1E0E">
              <w:rPr>
                <w:b/>
                <w:sz w:val="20"/>
                <w:szCs w:val="20"/>
                <w:lang w:val="en-CA"/>
              </w:rPr>
              <w:t xml:space="preserve"> 10</w:t>
            </w:r>
            <w:r w:rsidR="00532014">
              <w:rPr>
                <w:b/>
                <w:sz w:val="20"/>
                <w:szCs w:val="20"/>
                <w:lang w:val="en-CA"/>
              </w:rPr>
              <w:t> </w:t>
            </w:r>
            <w:r w:rsidR="002573AF" w:rsidRPr="001F1E0E">
              <w:rPr>
                <w:b/>
                <w:sz w:val="20"/>
                <w:szCs w:val="20"/>
                <w:lang w:val="en-CA"/>
              </w:rPr>
              <w:t>926</w:t>
            </w:r>
            <w:r w:rsidR="00532014">
              <w:rPr>
                <w:b/>
                <w:sz w:val="20"/>
                <w:szCs w:val="20"/>
                <w:lang w:val="en-CA"/>
              </w:rPr>
              <w:t> </w:t>
            </w:r>
            <w:r w:rsidRPr="001F1E0E">
              <w:rPr>
                <w:b/>
                <w:sz w:val="20"/>
                <w:szCs w:val="20"/>
                <w:lang w:val="en-CA"/>
              </w:rPr>
              <w:t xml:space="preserve">623 </w:t>
            </w:r>
          </w:p>
        </w:tc>
        <w:tc>
          <w:tcPr>
            <w:tcW w:w="726" w:type="pct"/>
            <w:tcBorders>
              <w:top w:val="nil"/>
              <w:left w:val="nil"/>
              <w:bottom w:val="single" w:sz="4" w:space="0" w:color="auto"/>
              <w:right w:val="single" w:sz="4" w:space="0" w:color="auto"/>
            </w:tcBorders>
          </w:tcPr>
          <w:p w:rsidR="00B72C75" w:rsidRPr="001F1E0E" w:rsidRDefault="00B72C75" w:rsidP="002573AF">
            <w:pPr>
              <w:jc w:val="right"/>
              <w:rPr>
                <w:b/>
                <w:color w:val="000000"/>
                <w:sz w:val="20"/>
                <w:szCs w:val="20"/>
                <w:lang w:val="en-CA"/>
              </w:rPr>
            </w:pPr>
            <w:r w:rsidRPr="001F1E0E">
              <w:rPr>
                <w:b/>
                <w:sz w:val="20"/>
                <w:szCs w:val="20"/>
                <w:lang w:val="en-CA"/>
              </w:rPr>
              <w:t xml:space="preserve"> 9</w:t>
            </w:r>
            <w:r w:rsidR="00532014">
              <w:rPr>
                <w:b/>
                <w:sz w:val="20"/>
                <w:szCs w:val="20"/>
                <w:lang w:val="en-CA"/>
              </w:rPr>
              <w:t>,</w:t>
            </w:r>
            <w:r w:rsidR="002573AF" w:rsidRPr="001F1E0E">
              <w:rPr>
                <w:b/>
                <w:sz w:val="20"/>
                <w:szCs w:val="20"/>
                <w:lang w:val="en-CA"/>
              </w:rPr>
              <w:t>18</w:t>
            </w:r>
            <w:r w:rsidRPr="001F1E0E">
              <w:rPr>
                <w:b/>
                <w:sz w:val="20"/>
                <w:szCs w:val="20"/>
                <w:lang w:val="en-CA"/>
              </w:rPr>
              <w:t xml:space="preserve"> </w:t>
            </w:r>
          </w:p>
        </w:tc>
      </w:tr>
    </w:tbl>
    <w:bookmarkEnd w:id="1"/>
    <w:p w:rsidR="00B72C75" w:rsidRPr="00C3019D" w:rsidRDefault="001A5EE3" w:rsidP="00B72C75">
      <w:pPr>
        <w:rPr>
          <w:sz w:val="18"/>
          <w:szCs w:val="18"/>
          <w:lang w:val="fr-FR"/>
        </w:rPr>
      </w:pPr>
      <w:r w:rsidRPr="001A5EE3">
        <w:rPr>
          <w:sz w:val="18"/>
          <w:szCs w:val="18"/>
          <w:lang w:val="fr-FR"/>
        </w:rPr>
        <w:t>*Après avoir pris en compte les 37 pour cent de capital ne relevant pas de l</w:t>
      </w:r>
      <w:r w:rsidR="00D77991">
        <w:rPr>
          <w:sz w:val="18"/>
          <w:szCs w:val="18"/>
          <w:lang w:val="fr-FR"/>
        </w:rPr>
        <w:t>’</w:t>
      </w:r>
      <w:r w:rsidRPr="001A5EE3">
        <w:rPr>
          <w:sz w:val="18"/>
          <w:szCs w:val="18"/>
          <w:lang w:val="fr-FR"/>
        </w:rPr>
        <w:t>article 5.</w:t>
      </w:r>
    </w:p>
    <w:p w:rsidR="00B43195" w:rsidRPr="00C3019D" w:rsidRDefault="00B43195" w:rsidP="00EB0CD6">
      <w:pPr>
        <w:rPr>
          <w:lang w:val="fr-FR"/>
        </w:rPr>
      </w:pPr>
    </w:p>
    <w:p w:rsidR="006A531F" w:rsidRPr="001A5EE3" w:rsidRDefault="001A5EE3" w:rsidP="006A531F">
      <w:pPr>
        <w:rPr>
          <w:i/>
          <w:lang w:val="en-CA"/>
        </w:rPr>
      </w:pPr>
      <w:r w:rsidRPr="001A5EE3">
        <w:rPr>
          <w:i/>
          <w:lang w:val="fr-FR"/>
        </w:rPr>
        <w:t>Pérennité de la reconversion</w:t>
      </w:r>
    </w:p>
    <w:p w:rsidR="006A531F" w:rsidRPr="001F1E0E" w:rsidRDefault="006A531F" w:rsidP="006A531F">
      <w:pPr>
        <w:rPr>
          <w:lang w:val="en-CA"/>
        </w:rPr>
      </w:pPr>
    </w:p>
    <w:p w:rsidR="001A5EE3" w:rsidRPr="00C3019D" w:rsidRDefault="001A5EE3" w:rsidP="001A5EE3">
      <w:pPr>
        <w:pStyle w:val="Heading1"/>
        <w:rPr>
          <w:vanish/>
          <w:lang w:val="fr-FR"/>
        </w:rPr>
      </w:pPr>
      <w:r w:rsidRPr="001A5EE3">
        <w:rPr>
          <w:lang w:val="fr-FR"/>
        </w:rPr>
        <w:t>À l</w:t>
      </w:r>
      <w:r w:rsidR="00D77991">
        <w:rPr>
          <w:lang w:val="fr-FR"/>
        </w:rPr>
        <w:t>’</w:t>
      </w:r>
      <w:r w:rsidRPr="001A5EE3">
        <w:rPr>
          <w:lang w:val="fr-FR"/>
        </w:rPr>
        <w:t>exception de Power, toutes les entreprises fabriquent sur leurs chaînes de fabrication des éléments à base de HCFC-22 et de</w:t>
      </w:r>
      <w:r w:rsidR="00D77991">
        <w:rPr>
          <w:lang w:val="fr-FR"/>
        </w:rPr>
        <w:t xml:space="preserve"> </w:t>
      </w:r>
      <w:r w:rsidRPr="001A5EE3">
        <w:rPr>
          <w:lang w:val="fr-FR"/>
        </w:rPr>
        <w:t>R-410A ; en particulier, chaque chaîne (excepté chez Power) peut être utilisée pour fabriquer des équipements soit à base de HCFC-22 soit à base de R-410A.</w:t>
      </w:r>
      <w:r w:rsidRPr="00C3019D">
        <w:rPr>
          <w:lang w:val="fr-FR"/>
        </w:rPr>
        <w:t xml:space="preserve"> </w:t>
      </w:r>
      <w:r w:rsidRPr="001A5EE3">
        <w:rPr>
          <w:lang w:val="fr-FR"/>
        </w:rPr>
        <w:t>Etant donné que les entreprises fabriquent des équipements à base de R-410A, et que ces équipements sont déjà disponibles sur le marché international, qu</w:t>
      </w:r>
      <w:r w:rsidR="00D77991">
        <w:rPr>
          <w:lang w:val="fr-FR"/>
        </w:rPr>
        <w:t>’</w:t>
      </w:r>
      <w:r w:rsidRPr="001A5EE3">
        <w:rPr>
          <w:lang w:val="fr-FR"/>
        </w:rPr>
        <w:t>ils sont relativement bon marché et qu</w:t>
      </w:r>
      <w:r w:rsidR="00D77991">
        <w:rPr>
          <w:lang w:val="fr-FR"/>
        </w:rPr>
        <w:t>’</w:t>
      </w:r>
      <w:r w:rsidRPr="001A5EE3">
        <w:rPr>
          <w:lang w:val="fr-FR"/>
        </w:rPr>
        <w:t>ils sont également importés dans le pays, le Secrétariat a estimé qu</w:t>
      </w:r>
      <w:r w:rsidR="00D77991">
        <w:rPr>
          <w:lang w:val="fr-FR"/>
        </w:rPr>
        <w:t>’</w:t>
      </w:r>
      <w:r w:rsidRPr="001A5EE3">
        <w:rPr>
          <w:lang w:val="fr-FR"/>
        </w:rPr>
        <w:t>un cadre de facilitation pour assurer la durabilité de l</w:t>
      </w:r>
      <w:r w:rsidR="00D77991">
        <w:rPr>
          <w:lang w:val="fr-FR"/>
        </w:rPr>
        <w:t>’</w:t>
      </w:r>
      <w:r w:rsidRPr="001A5EE3">
        <w:rPr>
          <w:lang w:val="fr-FR"/>
        </w:rPr>
        <w:t>élimination serait nécessaire.</w:t>
      </w:r>
      <w:r w:rsidRPr="00C3019D">
        <w:rPr>
          <w:lang w:val="fr-FR"/>
        </w:rPr>
        <w:t xml:space="preserve"> </w:t>
      </w:r>
    </w:p>
    <w:p w:rsidR="001A5EE3" w:rsidRPr="003110EE" w:rsidRDefault="001A5EE3" w:rsidP="003110EE">
      <w:pPr>
        <w:pStyle w:val="Heading1"/>
        <w:rPr>
          <w:lang w:val="fr-FR"/>
        </w:rPr>
      </w:pPr>
      <w:r w:rsidRPr="001A5EE3">
        <w:rPr>
          <w:lang w:val="fr-FR"/>
        </w:rPr>
        <w:t>Le Secrétariat et l</w:t>
      </w:r>
      <w:r w:rsidR="00D77991">
        <w:rPr>
          <w:lang w:val="fr-FR"/>
        </w:rPr>
        <w:t>’</w:t>
      </w:r>
      <w:r w:rsidRPr="001A5EE3">
        <w:rPr>
          <w:lang w:val="fr-FR"/>
        </w:rPr>
        <w:t>ONUDI ont examiné en détails les options possibles pour ce cadre de facilitation.</w:t>
      </w:r>
      <w:r w:rsidRPr="00C3019D">
        <w:rPr>
          <w:lang w:val="fr-FR"/>
        </w:rPr>
        <w:t xml:space="preserve"> </w:t>
      </w:r>
      <w:r w:rsidR="000872AF" w:rsidRPr="000872AF">
        <w:rPr>
          <w:lang w:val="fr-FR"/>
        </w:rPr>
        <w:t>En particulier, le Secrétariat a suggéré qu</w:t>
      </w:r>
      <w:r w:rsidR="00D77991">
        <w:rPr>
          <w:lang w:val="fr-FR"/>
        </w:rPr>
        <w:t>’</w:t>
      </w:r>
      <w:r w:rsidR="000872AF" w:rsidRPr="000872AF">
        <w:rPr>
          <w:lang w:val="fr-FR"/>
        </w:rPr>
        <w:t xml:space="preserve">un tel cadre </w:t>
      </w:r>
      <w:r w:rsidR="00532014">
        <w:rPr>
          <w:lang w:val="fr-FR"/>
        </w:rPr>
        <w:t>pourrait</w:t>
      </w:r>
      <w:r w:rsidR="000872AF" w:rsidRPr="000872AF">
        <w:rPr>
          <w:lang w:val="fr-FR"/>
        </w:rPr>
        <w:t xml:space="preserve"> inclure la mise en vigueur d</w:t>
      </w:r>
      <w:r w:rsidR="00D77991">
        <w:rPr>
          <w:lang w:val="fr-FR"/>
        </w:rPr>
        <w:t>’</w:t>
      </w:r>
      <w:r w:rsidR="000872AF" w:rsidRPr="000872AF">
        <w:rPr>
          <w:lang w:val="fr-FR"/>
        </w:rPr>
        <w:t>un tarif plus élevé sur les importations d</w:t>
      </w:r>
      <w:r w:rsidR="00D77991">
        <w:rPr>
          <w:lang w:val="fr-FR"/>
        </w:rPr>
        <w:t>’</w:t>
      </w:r>
      <w:r w:rsidR="000872AF" w:rsidRPr="000872AF">
        <w:rPr>
          <w:lang w:val="fr-FR"/>
        </w:rPr>
        <w:t>équipements de climatisation résidentiels contenant du</w:t>
      </w:r>
      <w:r w:rsidR="00D77991">
        <w:rPr>
          <w:lang w:val="fr-FR"/>
        </w:rPr>
        <w:t xml:space="preserve"> </w:t>
      </w:r>
      <w:r w:rsidR="000872AF" w:rsidRPr="000872AF">
        <w:rPr>
          <w:lang w:val="fr-FR"/>
        </w:rPr>
        <w:t>R-407C et du R-410A, une taxe sur ces équipements fabriqués localement</w:t>
      </w:r>
      <w:r w:rsidR="00D77991">
        <w:rPr>
          <w:lang w:val="fr-FR"/>
        </w:rPr>
        <w:t xml:space="preserve"> </w:t>
      </w:r>
      <w:r w:rsidR="000872AF" w:rsidRPr="000872AF">
        <w:rPr>
          <w:lang w:val="fr-FR"/>
        </w:rPr>
        <w:t>correspondant</w:t>
      </w:r>
      <w:r w:rsidR="00532014">
        <w:rPr>
          <w:lang w:val="fr-FR"/>
        </w:rPr>
        <w:t xml:space="preserve"> à ce</w:t>
      </w:r>
      <w:r w:rsidR="000872AF" w:rsidRPr="000872AF">
        <w:rPr>
          <w:lang w:val="fr-FR"/>
        </w:rPr>
        <w:t xml:space="preserve"> tarif, et une subvention pour les équipements à faible PRP.</w:t>
      </w:r>
      <w:r w:rsidR="000872AF" w:rsidRPr="00C3019D">
        <w:rPr>
          <w:lang w:val="fr-FR"/>
        </w:rPr>
        <w:t xml:space="preserve"> </w:t>
      </w:r>
      <w:r w:rsidR="000872AF" w:rsidRPr="000872AF">
        <w:rPr>
          <w:lang w:val="fr-FR"/>
        </w:rPr>
        <w:t>L</w:t>
      </w:r>
      <w:r w:rsidR="00D77991">
        <w:rPr>
          <w:lang w:val="fr-FR"/>
        </w:rPr>
        <w:t>’</w:t>
      </w:r>
      <w:r w:rsidR="000872AF" w:rsidRPr="000872AF">
        <w:rPr>
          <w:lang w:val="fr-FR"/>
        </w:rPr>
        <w:t xml:space="preserve">ONUDI a fait savoir que bien que le gouvernement </w:t>
      </w:r>
      <w:r w:rsidR="00532014">
        <w:rPr>
          <w:lang w:val="fr-FR"/>
        </w:rPr>
        <w:t>envisageait</w:t>
      </w:r>
      <w:r w:rsidR="000872AF" w:rsidRPr="000872AF">
        <w:rPr>
          <w:lang w:val="fr-FR"/>
        </w:rPr>
        <w:t xml:space="preserve"> une série de mesures politiques, ces mesures ne relèveraient probablement pas du domaine de compétence de l</w:t>
      </w:r>
      <w:r w:rsidR="00D77991">
        <w:rPr>
          <w:lang w:val="fr-FR"/>
        </w:rPr>
        <w:t>’</w:t>
      </w:r>
      <w:r w:rsidR="000872AF" w:rsidRPr="000872AF">
        <w:rPr>
          <w:lang w:val="fr-FR"/>
        </w:rPr>
        <w:t>EEAA et de l</w:t>
      </w:r>
      <w:r w:rsidR="00D77991">
        <w:rPr>
          <w:lang w:val="fr-FR"/>
        </w:rPr>
        <w:t>’</w:t>
      </w:r>
      <w:r w:rsidR="000872AF" w:rsidRPr="000872AF">
        <w:rPr>
          <w:lang w:val="fr-FR"/>
        </w:rPr>
        <w:t>UNO, et étant donné que la mise en œuvre</w:t>
      </w:r>
      <w:r w:rsidR="00D77991">
        <w:rPr>
          <w:lang w:val="fr-FR"/>
        </w:rPr>
        <w:t xml:space="preserve"> </w:t>
      </w:r>
      <w:r w:rsidR="000872AF" w:rsidRPr="000872AF">
        <w:rPr>
          <w:lang w:val="fr-FR"/>
        </w:rPr>
        <w:t>de ces mesures impliquer</w:t>
      </w:r>
      <w:r w:rsidR="00532014">
        <w:rPr>
          <w:lang w:val="fr-FR"/>
        </w:rPr>
        <w:t>a</w:t>
      </w:r>
      <w:r w:rsidR="000872AF" w:rsidRPr="000872AF">
        <w:rPr>
          <w:lang w:val="fr-FR"/>
        </w:rPr>
        <w:t xml:space="preserve"> des consultations au plan national, le gouvernement aura besoin de plus de temps pour sélectionner ces mesures.</w:t>
      </w:r>
      <w:r w:rsidR="000872AF" w:rsidRPr="00C3019D">
        <w:rPr>
          <w:lang w:val="fr-FR"/>
        </w:rPr>
        <w:t xml:space="preserve"> </w:t>
      </w:r>
      <w:r w:rsidR="000A72DE" w:rsidRPr="000A72DE">
        <w:rPr>
          <w:lang w:val="fr-FR"/>
        </w:rPr>
        <w:t>En conséquence, il a été convenu que le gouvernement de l</w:t>
      </w:r>
      <w:r w:rsidR="00D77991">
        <w:rPr>
          <w:lang w:val="fr-FR"/>
        </w:rPr>
        <w:t>’</w:t>
      </w:r>
      <w:r w:rsidR="000A72DE" w:rsidRPr="000A72DE">
        <w:rPr>
          <w:lang w:val="fr-FR"/>
        </w:rPr>
        <w:t>Égypte s</w:t>
      </w:r>
      <w:r w:rsidR="00D77991">
        <w:rPr>
          <w:lang w:val="fr-FR"/>
        </w:rPr>
        <w:t>’</w:t>
      </w:r>
      <w:r w:rsidR="000A72DE" w:rsidRPr="000A72DE">
        <w:rPr>
          <w:lang w:val="fr-FR"/>
        </w:rPr>
        <w:t>engage à adopter et à faire appliquer des mesures réglementaires adéquates en liaison avec l</w:t>
      </w:r>
      <w:r w:rsidR="00D77991">
        <w:rPr>
          <w:lang w:val="fr-FR"/>
        </w:rPr>
        <w:t>’</w:t>
      </w:r>
      <w:r w:rsidR="000A72DE" w:rsidRPr="000A72DE">
        <w:rPr>
          <w:lang w:val="fr-FR"/>
        </w:rPr>
        <w:t>avancement du projet de reconversion afin de : garantir le contrôle total des équipements de climatisation résidentiels à base de R-410A/R-407C importés ou mis sur le marché ; et assurer</w:t>
      </w:r>
      <w:r w:rsidR="00D77991">
        <w:rPr>
          <w:lang w:val="fr-FR"/>
        </w:rPr>
        <w:t xml:space="preserve"> </w:t>
      </w:r>
      <w:r w:rsidR="000A72DE" w:rsidRPr="000A72DE">
        <w:rPr>
          <w:lang w:val="fr-FR"/>
        </w:rPr>
        <w:t>l</w:t>
      </w:r>
      <w:r w:rsidR="00D77991">
        <w:rPr>
          <w:lang w:val="fr-FR"/>
        </w:rPr>
        <w:t>’</w:t>
      </w:r>
      <w:r w:rsidR="000A72DE" w:rsidRPr="000A72DE">
        <w:rPr>
          <w:lang w:val="fr-FR"/>
        </w:rPr>
        <w:t>adoption par le marché local de la technologie de remplacement sélectionnée.</w:t>
      </w:r>
    </w:p>
    <w:p w:rsidR="000A72DE" w:rsidRPr="00C3019D" w:rsidRDefault="000A72DE" w:rsidP="000A72DE">
      <w:pPr>
        <w:pStyle w:val="Heading1"/>
        <w:rPr>
          <w:vanish/>
          <w:lang w:val="fr-FR"/>
        </w:rPr>
      </w:pPr>
      <w:r w:rsidRPr="000A72DE">
        <w:rPr>
          <w:lang w:val="fr-FR"/>
        </w:rPr>
        <w:t>Une actualisation de l</w:t>
      </w:r>
      <w:r w:rsidR="00D77991">
        <w:rPr>
          <w:lang w:val="fr-FR"/>
        </w:rPr>
        <w:t>’</w:t>
      </w:r>
      <w:r w:rsidRPr="000A72DE">
        <w:rPr>
          <w:lang w:val="fr-FR"/>
        </w:rPr>
        <w:t>état d</w:t>
      </w:r>
      <w:r w:rsidR="00D77991">
        <w:rPr>
          <w:lang w:val="fr-FR"/>
        </w:rPr>
        <w:t>’</w:t>
      </w:r>
      <w:r w:rsidRPr="000A72DE">
        <w:rPr>
          <w:lang w:val="fr-FR"/>
        </w:rPr>
        <w:t>avancement de la mise en œuvre de ces mesures sera présentée au moment de la soumission de la troisième tranche de la phase II du PGEH.</w:t>
      </w:r>
      <w:r w:rsidRPr="00C3019D">
        <w:rPr>
          <w:lang w:val="fr-FR"/>
        </w:rPr>
        <w:t xml:space="preserve"> </w:t>
      </w:r>
      <w:r w:rsidRPr="000A72DE">
        <w:rPr>
          <w:lang w:val="fr-FR"/>
        </w:rPr>
        <w:t>L</w:t>
      </w:r>
      <w:r w:rsidR="00D77991">
        <w:rPr>
          <w:lang w:val="fr-FR"/>
        </w:rPr>
        <w:t>’</w:t>
      </w:r>
      <w:r w:rsidRPr="000A72DE">
        <w:rPr>
          <w:lang w:val="fr-FR"/>
        </w:rPr>
        <w:t>examen par le Secrétariat de la demande de tranche tiendra compte des progrès réalisés dans la mise en œuvre du cadre de facilitation.</w:t>
      </w:r>
      <w:r w:rsidRPr="00C3019D">
        <w:rPr>
          <w:lang w:val="fr-FR"/>
        </w:rPr>
        <w:t xml:space="preserve"> </w:t>
      </w:r>
    </w:p>
    <w:p w:rsidR="000A72DE" w:rsidRPr="00C3019D" w:rsidRDefault="000A72DE" w:rsidP="000A72DE">
      <w:pPr>
        <w:pStyle w:val="Heading1"/>
        <w:rPr>
          <w:lang w:val="fr-FR"/>
        </w:rPr>
      </w:pPr>
      <w:r w:rsidRPr="000A72DE">
        <w:rPr>
          <w:lang w:val="fr-FR"/>
        </w:rPr>
        <w:t>En outre, il a été convenu que les cinq entreprises s</w:t>
      </w:r>
      <w:r w:rsidR="00D77991">
        <w:rPr>
          <w:lang w:val="fr-FR"/>
        </w:rPr>
        <w:t>’</w:t>
      </w:r>
      <w:r w:rsidRPr="000A72DE">
        <w:rPr>
          <w:lang w:val="fr-FR"/>
        </w:rPr>
        <w:t>engageraient à participer activement aux efforts de promotion de l</w:t>
      </w:r>
      <w:r w:rsidR="00D77991">
        <w:rPr>
          <w:lang w:val="fr-FR"/>
        </w:rPr>
        <w:t>’</w:t>
      </w:r>
      <w:r w:rsidRPr="000A72DE">
        <w:rPr>
          <w:lang w:val="fr-FR"/>
        </w:rPr>
        <w:t>acception sur le marché des équipements de climatisation résidentiels basés sur la technologie convenue</w:t>
      </w:r>
      <w:r w:rsidR="00582A19">
        <w:rPr>
          <w:lang w:val="fr-FR"/>
        </w:rPr>
        <w:t>. Qu’elles</w:t>
      </w:r>
      <w:r w:rsidRPr="000A72DE">
        <w:rPr>
          <w:lang w:val="fr-FR"/>
        </w:rPr>
        <w:t xml:space="preserve"> s</w:t>
      </w:r>
      <w:r w:rsidR="00D77991">
        <w:rPr>
          <w:lang w:val="fr-FR"/>
        </w:rPr>
        <w:t>’</w:t>
      </w:r>
      <w:r w:rsidRPr="000A72DE">
        <w:rPr>
          <w:lang w:val="fr-FR"/>
        </w:rPr>
        <w:t xml:space="preserve">engageraient également à </w:t>
      </w:r>
      <w:r w:rsidR="00582A19">
        <w:rPr>
          <w:lang w:val="fr-FR"/>
        </w:rPr>
        <w:t>veiller à ce</w:t>
      </w:r>
      <w:r w:rsidRPr="000A72DE">
        <w:rPr>
          <w:lang w:val="fr-FR"/>
        </w:rPr>
        <w:t xml:space="preserve"> que la fabrication de leurs équipements à base de</w:t>
      </w:r>
      <w:r w:rsidR="00D77991">
        <w:rPr>
          <w:lang w:val="fr-FR"/>
        </w:rPr>
        <w:t xml:space="preserve"> </w:t>
      </w:r>
      <w:r w:rsidRPr="000A72DE">
        <w:rPr>
          <w:lang w:val="fr-FR"/>
        </w:rPr>
        <w:t xml:space="preserve">R-410A destinés au marché local </w:t>
      </w:r>
      <w:r w:rsidR="00582A19">
        <w:rPr>
          <w:lang w:val="fr-FR"/>
        </w:rPr>
        <w:t xml:space="preserve">décroisse progressivement </w:t>
      </w:r>
      <w:r w:rsidRPr="000A72DE">
        <w:rPr>
          <w:lang w:val="fr-FR"/>
        </w:rPr>
        <w:t>jusqu</w:t>
      </w:r>
      <w:r w:rsidR="00D77991">
        <w:rPr>
          <w:lang w:val="fr-FR"/>
        </w:rPr>
        <w:t>’</w:t>
      </w:r>
      <w:r w:rsidRPr="000A72DE">
        <w:rPr>
          <w:lang w:val="fr-FR"/>
        </w:rPr>
        <w:t>à ce que les entreprises fabriquent uniquement des équipements pour le marché local sur la base de la technologie convenue ou d</w:t>
      </w:r>
      <w:r w:rsidR="00D77991">
        <w:rPr>
          <w:lang w:val="fr-FR"/>
        </w:rPr>
        <w:t>’</w:t>
      </w:r>
      <w:r w:rsidRPr="000A72DE">
        <w:rPr>
          <w:lang w:val="fr-FR"/>
        </w:rPr>
        <w:t>une technologie à faible PRP.</w:t>
      </w:r>
    </w:p>
    <w:p w:rsidR="000A72DE" w:rsidRPr="003110EE" w:rsidRDefault="009A3A64" w:rsidP="003110EE">
      <w:pPr>
        <w:pStyle w:val="Heading1"/>
        <w:rPr>
          <w:lang w:val="fr-FR"/>
        </w:rPr>
      </w:pPr>
      <w:r w:rsidRPr="009A3A64">
        <w:rPr>
          <w:lang w:val="fr-FR"/>
        </w:rPr>
        <w:t>En ce qui concerne la possibilité de la fabrication future d</w:t>
      </w:r>
      <w:r w:rsidR="00D77991">
        <w:rPr>
          <w:lang w:val="fr-FR"/>
        </w:rPr>
        <w:t>’</w:t>
      </w:r>
      <w:r w:rsidRPr="009A3A64">
        <w:rPr>
          <w:lang w:val="fr-FR"/>
        </w:rPr>
        <w:t>équipements à base de</w:t>
      </w:r>
      <w:r w:rsidR="00D77991">
        <w:rPr>
          <w:lang w:val="fr-FR"/>
        </w:rPr>
        <w:t xml:space="preserve"> </w:t>
      </w:r>
      <w:r w:rsidRPr="009A3A64">
        <w:rPr>
          <w:lang w:val="fr-FR"/>
        </w:rPr>
        <w:t>HFC-32 et de</w:t>
      </w:r>
      <w:r w:rsidR="00D77991">
        <w:rPr>
          <w:lang w:val="fr-FR"/>
        </w:rPr>
        <w:t xml:space="preserve"> </w:t>
      </w:r>
      <w:r w:rsidRPr="009A3A64">
        <w:rPr>
          <w:lang w:val="fr-FR"/>
        </w:rPr>
        <w:t>R-454B, le Secrétariat a noté qu</w:t>
      </w:r>
      <w:r w:rsidR="00D77991">
        <w:rPr>
          <w:lang w:val="fr-FR"/>
        </w:rPr>
        <w:t>’</w:t>
      </w:r>
      <w:r w:rsidRPr="009A3A64">
        <w:rPr>
          <w:lang w:val="fr-FR"/>
        </w:rPr>
        <w:t>une fois que le R-454B deviendra disponible, il coûtera peut-être plus cher que le HFC-32. Par conséquent, il existe le risque que les équipements à base de</w:t>
      </w:r>
      <w:r w:rsidR="00D77991">
        <w:rPr>
          <w:lang w:val="fr-FR"/>
        </w:rPr>
        <w:t xml:space="preserve"> </w:t>
      </w:r>
      <w:r w:rsidRPr="009A3A64">
        <w:rPr>
          <w:lang w:val="fr-FR"/>
        </w:rPr>
        <w:t>R-454B nécessitant un entretien soient alimentés avec du HFC</w:t>
      </w:r>
      <w:r w:rsidRPr="009A3A64">
        <w:rPr>
          <w:lang w:val="fr-FR"/>
        </w:rPr>
        <w:noBreakHyphen/>
        <w:t>32, le composant principal du R-454B, plutôt qu</w:t>
      </w:r>
      <w:r w:rsidR="00D77991">
        <w:rPr>
          <w:lang w:val="fr-FR"/>
        </w:rPr>
        <w:t>’</w:t>
      </w:r>
      <w:r w:rsidRPr="009A3A64">
        <w:rPr>
          <w:lang w:val="fr-FR"/>
        </w:rPr>
        <w:t>avec le mélange lui-même.</w:t>
      </w:r>
      <w:r w:rsidRPr="00C3019D">
        <w:rPr>
          <w:lang w:val="fr-FR"/>
        </w:rPr>
        <w:t xml:space="preserve"> </w:t>
      </w:r>
      <w:r w:rsidR="00174745" w:rsidRPr="00174745">
        <w:rPr>
          <w:lang w:val="fr-FR"/>
        </w:rPr>
        <w:t>L</w:t>
      </w:r>
      <w:r w:rsidR="00D77991">
        <w:rPr>
          <w:lang w:val="fr-FR"/>
        </w:rPr>
        <w:t>’</w:t>
      </w:r>
      <w:r w:rsidR="00174745" w:rsidRPr="00174745">
        <w:rPr>
          <w:lang w:val="fr-FR"/>
        </w:rPr>
        <w:t xml:space="preserve">ONUDI a </w:t>
      </w:r>
      <w:r w:rsidR="00174745" w:rsidRPr="00AC0604">
        <w:rPr>
          <w:lang w:val="fr-FR"/>
        </w:rPr>
        <w:t>expliqué que les conséquences pour</w:t>
      </w:r>
      <w:r w:rsidR="00AC0604" w:rsidRPr="00AC0604">
        <w:rPr>
          <w:lang w:val="fr-FR"/>
        </w:rPr>
        <w:t xml:space="preserve"> la machine même</w:t>
      </w:r>
      <w:r w:rsidR="00174745" w:rsidRPr="00AC0604">
        <w:rPr>
          <w:lang w:val="fr-FR"/>
        </w:rPr>
        <w:t xml:space="preserve"> seront peut</w:t>
      </w:r>
      <w:r w:rsidR="00174745" w:rsidRPr="00174745">
        <w:rPr>
          <w:lang w:val="fr-FR"/>
        </w:rPr>
        <w:t xml:space="preserve">-être limitées, </w:t>
      </w:r>
      <w:r w:rsidR="00AC0604">
        <w:rPr>
          <w:lang w:val="fr-FR"/>
        </w:rPr>
        <w:t xml:space="preserve">mais </w:t>
      </w:r>
      <w:r w:rsidR="00174745" w:rsidRPr="00174745">
        <w:rPr>
          <w:lang w:val="fr-FR"/>
        </w:rPr>
        <w:t>ce genre de pratiques risque d</w:t>
      </w:r>
      <w:r w:rsidR="00D77991">
        <w:rPr>
          <w:lang w:val="fr-FR"/>
        </w:rPr>
        <w:t>’</w:t>
      </w:r>
      <w:r w:rsidR="00174745" w:rsidRPr="00174745">
        <w:rPr>
          <w:lang w:val="fr-FR"/>
        </w:rPr>
        <w:t xml:space="preserve">avoir un impact sur la </w:t>
      </w:r>
      <w:r w:rsidR="00AC0604">
        <w:rPr>
          <w:lang w:val="fr-FR"/>
        </w:rPr>
        <w:t xml:space="preserve">sécurité de fonctionnement </w:t>
      </w:r>
      <w:r w:rsidR="00174745" w:rsidRPr="00174745">
        <w:rPr>
          <w:lang w:val="fr-FR"/>
        </w:rPr>
        <w:t xml:space="preserve">de </w:t>
      </w:r>
      <w:r w:rsidR="00174745" w:rsidRPr="00174745">
        <w:rPr>
          <w:lang w:val="fr-FR"/>
        </w:rPr>
        <w:lastRenderedPageBreak/>
        <w:t>l</w:t>
      </w:r>
      <w:r w:rsidR="00D77991">
        <w:rPr>
          <w:lang w:val="fr-FR"/>
        </w:rPr>
        <w:t>’</w:t>
      </w:r>
      <w:r w:rsidR="00174745" w:rsidRPr="00174745">
        <w:rPr>
          <w:lang w:val="fr-FR"/>
        </w:rPr>
        <w:t>équipement, en partie du fait de la température de décharge plus élevée du</w:t>
      </w:r>
      <w:r w:rsidR="00D77991">
        <w:rPr>
          <w:lang w:val="fr-FR"/>
        </w:rPr>
        <w:t xml:space="preserve"> </w:t>
      </w:r>
      <w:r w:rsidR="00174745" w:rsidRPr="00174745">
        <w:rPr>
          <w:lang w:val="fr-FR"/>
        </w:rPr>
        <w:t>HFC-32. L</w:t>
      </w:r>
      <w:r w:rsidR="00D77991">
        <w:rPr>
          <w:lang w:val="fr-FR"/>
        </w:rPr>
        <w:t>’</w:t>
      </w:r>
      <w:r w:rsidR="00174745" w:rsidRPr="00174745">
        <w:rPr>
          <w:lang w:val="fr-FR"/>
        </w:rPr>
        <w:t>annulation de la garantie du fabricant pourrait être envisagée pour décourager ce genre de pratiques potentielles, ainsi que le développement d</w:t>
      </w:r>
      <w:r w:rsidR="00D77991">
        <w:rPr>
          <w:lang w:val="fr-FR"/>
        </w:rPr>
        <w:t>’</w:t>
      </w:r>
      <w:r w:rsidR="00174745" w:rsidRPr="00174745">
        <w:rPr>
          <w:lang w:val="fr-FR"/>
        </w:rPr>
        <w:t>un dispositif de chargement spécial pour le</w:t>
      </w:r>
      <w:r w:rsidR="00D77991">
        <w:rPr>
          <w:lang w:val="fr-FR"/>
        </w:rPr>
        <w:t xml:space="preserve"> </w:t>
      </w:r>
      <w:r w:rsidR="00174745" w:rsidRPr="00174745">
        <w:rPr>
          <w:lang w:val="fr-FR"/>
        </w:rPr>
        <w:t>R-454B</w:t>
      </w:r>
      <w:r w:rsidR="00582A19">
        <w:rPr>
          <w:lang w:val="fr-FR"/>
        </w:rPr>
        <w:t xml:space="preserve">, </w:t>
      </w:r>
      <w:r w:rsidR="00582A19" w:rsidRPr="00174745">
        <w:rPr>
          <w:lang w:val="fr-FR"/>
        </w:rPr>
        <w:t>si possible</w:t>
      </w:r>
      <w:r w:rsidR="00174745" w:rsidRPr="00174745">
        <w:rPr>
          <w:lang w:val="fr-FR"/>
        </w:rPr>
        <w:t>.</w:t>
      </w:r>
    </w:p>
    <w:p w:rsidR="00174745" w:rsidRPr="00C3019D" w:rsidRDefault="00174745" w:rsidP="00174745">
      <w:pPr>
        <w:pStyle w:val="Heading1"/>
        <w:rPr>
          <w:vanish/>
          <w:lang w:val="fr-FR"/>
        </w:rPr>
      </w:pPr>
      <w:r w:rsidRPr="00174745">
        <w:rPr>
          <w:lang w:val="fr-FR"/>
        </w:rPr>
        <w:t>Prenant note que la reconversion des cinq entreprises aboutira à la reconversion de l</w:t>
      </w:r>
      <w:r w:rsidR="00D77991">
        <w:rPr>
          <w:lang w:val="fr-FR"/>
        </w:rPr>
        <w:t>’</w:t>
      </w:r>
      <w:r w:rsidRPr="00174745">
        <w:rPr>
          <w:lang w:val="fr-FR"/>
        </w:rPr>
        <w:t xml:space="preserve">intégralité du secteur de la </w:t>
      </w:r>
      <w:r w:rsidRPr="00582A19">
        <w:rPr>
          <w:lang w:val="fr-FR"/>
        </w:rPr>
        <w:t>fabrication des climatiseurs résidentiels,</w:t>
      </w:r>
      <w:r w:rsidRPr="00174745">
        <w:rPr>
          <w:lang w:val="fr-FR"/>
        </w:rPr>
        <w:t xml:space="preserve"> il a été convenu que le gouvernement de l</w:t>
      </w:r>
      <w:r w:rsidR="00D77991">
        <w:rPr>
          <w:lang w:val="fr-FR"/>
        </w:rPr>
        <w:t>’</w:t>
      </w:r>
      <w:r w:rsidRPr="00174745">
        <w:rPr>
          <w:lang w:val="fr-FR"/>
        </w:rPr>
        <w:t>Égypte interdirait l</w:t>
      </w:r>
      <w:r w:rsidR="00D77991">
        <w:rPr>
          <w:lang w:val="fr-FR"/>
        </w:rPr>
        <w:t>’</w:t>
      </w:r>
      <w:r w:rsidRPr="00174745">
        <w:rPr>
          <w:lang w:val="fr-FR"/>
        </w:rPr>
        <w:t>importation et la fabrication d</w:t>
      </w:r>
      <w:r w:rsidR="00D77991">
        <w:rPr>
          <w:lang w:val="fr-FR"/>
        </w:rPr>
        <w:t>’</w:t>
      </w:r>
      <w:r w:rsidRPr="00174745">
        <w:rPr>
          <w:lang w:val="fr-FR"/>
        </w:rPr>
        <w:t>équipements de climatisation résidentiels d</w:t>
      </w:r>
      <w:r w:rsidR="00D77991">
        <w:rPr>
          <w:lang w:val="fr-FR"/>
        </w:rPr>
        <w:t>’</w:t>
      </w:r>
      <w:r w:rsidRPr="00174745">
        <w:rPr>
          <w:lang w:val="fr-FR"/>
        </w:rPr>
        <w:t>ici le 1</w:t>
      </w:r>
      <w:r w:rsidRPr="00174745">
        <w:rPr>
          <w:vertAlign w:val="superscript"/>
          <w:lang w:val="fr-FR"/>
        </w:rPr>
        <w:t>er</w:t>
      </w:r>
      <w:r w:rsidR="003110EE">
        <w:rPr>
          <w:lang w:val="fr-FR"/>
        </w:rPr>
        <w:t> janvier </w:t>
      </w:r>
      <w:r w:rsidRPr="00174745">
        <w:rPr>
          <w:lang w:val="fr-FR"/>
        </w:rPr>
        <w:t>2023, conformément à la décision 79/25.</w:t>
      </w:r>
      <w:r w:rsidRPr="00C3019D">
        <w:rPr>
          <w:lang w:val="fr-FR"/>
        </w:rPr>
        <w:t xml:space="preserve"> </w:t>
      </w:r>
    </w:p>
    <w:p w:rsidR="006A531F" w:rsidRPr="00651F5B" w:rsidRDefault="00174745" w:rsidP="00651F5B">
      <w:pPr>
        <w:pStyle w:val="Heading1"/>
        <w:rPr>
          <w:lang w:val="fr-FR"/>
        </w:rPr>
      </w:pPr>
      <w:r w:rsidRPr="00174745">
        <w:rPr>
          <w:lang w:val="fr-FR"/>
        </w:rPr>
        <w:t>En ce qui concerne l</w:t>
      </w:r>
      <w:r w:rsidR="00D77991">
        <w:rPr>
          <w:lang w:val="fr-FR"/>
        </w:rPr>
        <w:t>’</w:t>
      </w:r>
      <w:r w:rsidRPr="00174745">
        <w:rPr>
          <w:lang w:val="fr-FR"/>
        </w:rPr>
        <w:t>égibilité future des entreprises, il existe une condition commune que les cinq entreprises ne seront pas éligibles à un</w:t>
      </w:r>
      <w:r w:rsidR="00D77991">
        <w:rPr>
          <w:lang w:val="fr-FR"/>
        </w:rPr>
        <w:t xml:space="preserve"> </w:t>
      </w:r>
      <w:r w:rsidRPr="00174745">
        <w:rPr>
          <w:lang w:val="fr-FR"/>
        </w:rPr>
        <w:t>soutien financier supplémentaire du Fonds Multilatéral pour éliminer les HCFC ou le R</w:t>
      </w:r>
      <w:r w:rsidRPr="00174745">
        <w:rPr>
          <w:lang w:val="fr-FR"/>
        </w:rPr>
        <w:noBreakHyphen/>
        <w:t>410A.</w:t>
      </w:r>
      <w:r w:rsidRPr="00C3019D">
        <w:rPr>
          <w:lang w:val="fr-FR"/>
        </w:rPr>
        <w:t xml:space="preserve"> </w:t>
      </w:r>
      <w:r w:rsidRPr="00174745">
        <w:rPr>
          <w:lang w:val="fr-FR"/>
        </w:rPr>
        <w:t>De plus, le Secrétariat pense que, confortement aux paragraphes 17 et 18 de la décision XXVIII/2, les entreprises ne seront pas non plus éligibles pour la réduction progressive de leur consommation de HFC-32, et ce point de vue était partagé par le gouvernement de l</w:t>
      </w:r>
      <w:r w:rsidR="00D77991">
        <w:rPr>
          <w:lang w:val="fr-FR"/>
        </w:rPr>
        <w:t>’</w:t>
      </w:r>
      <w:r w:rsidRPr="00174745">
        <w:rPr>
          <w:lang w:val="fr-FR"/>
        </w:rPr>
        <w:t>Égypte et les</w:t>
      </w:r>
      <w:r w:rsidR="00D77991">
        <w:rPr>
          <w:lang w:val="fr-FR"/>
        </w:rPr>
        <w:t xml:space="preserve"> </w:t>
      </w:r>
      <w:r w:rsidRPr="00174745">
        <w:rPr>
          <w:lang w:val="fr-FR"/>
        </w:rPr>
        <w:t>entreprises.</w:t>
      </w:r>
    </w:p>
    <w:p w:rsidR="00B020DC" w:rsidRPr="00174745" w:rsidRDefault="00174745" w:rsidP="00B020DC">
      <w:pPr>
        <w:rPr>
          <w:i/>
          <w:lang w:val="en-CA"/>
        </w:rPr>
      </w:pPr>
      <w:r w:rsidRPr="00174745">
        <w:rPr>
          <w:i/>
          <w:lang w:val="fr-FR"/>
        </w:rPr>
        <w:t>Incidence sur le climat</w:t>
      </w:r>
    </w:p>
    <w:p w:rsidR="00B020DC" w:rsidRPr="001F1E0E" w:rsidRDefault="00B020DC" w:rsidP="00B020DC">
      <w:pPr>
        <w:rPr>
          <w:i/>
          <w:lang w:val="en-CA"/>
        </w:rPr>
      </w:pPr>
    </w:p>
    <w:p w:rsidR="00174745" w:rsidRPr="00651F5B" w:rsidRDefault="00E70B5B" w:rsidP="0012198E">
      <w:pPr>
        <w:pStyle w:val="Heading1"/>
        <w:rPr>
          <w:lang w:val="fr-FR"/>
        </w:rPr>
      </w:pPr>
      <w:r w:rsidRPr="00E70B5B">
        <w:rPr>
          <w:lang w:val="fr-FR"/>
        </w:rPr>
        <w:t>Le remplacement du HCFC-22 par le HFC-32 dans le secteur de la climatisation permettra d</w:t>
      </w:r>
      <w:r w:rsidR="00D77991">
        <w:rPr>
          <w:lang w:val="fr-FR"/>
        </w:rPr>
        <w:t>’</w:t>
      </w:r>
      <w:r w:rsidRPr="00E70B5B">
        <w:rPr>
          <w:lang w:val="fr-FR"/>
        </w:rPr>
        <w:t>éviter des émissions de</w:t>
      </w:r>
      <w:r w:rsidR="00D77991">
        <w:rPr>
          <w:lang w:val="fr-FR"/>
        </w:rPr>
        <w:t xml:space="preserve"> </w:t>
      </w:r>
      <w:r w:rsidRPr="00E70B5B">
        <w:rPr>
          <w:lang w:val="fr-FR"/>
        </w:rPr>
        <w:t>2 223 435 tm éq. CO</w:t>
      </w:r>
      <w:r w:rsidRPr="00E70B5B">
        <w:rPr>
          <w:vertAlign w:val="subscript"/>
          <w:lang w:val="fr-FR"/>
        </w:rPr>
        <w:t>2</w:t>
      </w:r>
      <w:r w:rsidRPr="00C3019D">
        <w:rPr>
          <w:lang w:val="fr-FR"/>
        </w:rPr>
        <w:t xml:space="preserve"> </w:t>
      </w:r>
      <w:r w:rsidRPr="00E70B5B">
        <w:rPr>
          <w:lang w:val="fr-FR"/>
        </w:rPr>
        <w:t>(à partir de la valeur de référence d</w:t>
      </w:r>
      <w:r w:rsidR="00D77991">
        <w:rPr>
          <w:lang w:val="fr-FR"/>
        </w:rPr>
        <w:t>’</w:t>
      </w:r>
      <w:r w:rsidRPr="00E70B5B">
        <w:rPr>
          <w:lang w:val="fr-FR"/>
        </w:rPr>
        <w:t>émissions de 5 797 387 tm éq. CO</w:t>
      </w:r>
      <w:r w:rsidRPr="00E70B5B">
        <w:rPr>
          <w:vertAlign w:val="subscript"/>
          <w:lang w:val="fr-FR"/>
        </w:rPr>
        <w:t>2</w:t>
      </w:r>
      <w:r w:rsidRPr="00E70B5B">
        <w:rPr>
          <w:lang w:val="fr-FR"/>
        </w:rPr>
        <w:t xml:space="preserve"> passant à 3 573 952 tm éq. CO</w:t>
      </w:r>
      <w:r w:rsidRPr="00E70B5B">
        <w:rPr>
          <w:vertAlign w:val="subscript"/>
          <w:lang w:val="fr-FR"/>
        </w:rPr>
        <w:t>2</w:t>
      </w:r>
      <w:r w:rsidRPr="00E70B5B">
        <w:rPr>
          <w:lang w:val="fr-FR"/>
        </w:rPr>
        <w:t>), sur la base de l</w:t>
      </w:r>
      <w:r w:rsidR="00D77991">
        <w:rPr>
          <w:lang w:val="fr-FR"/>
        </w:rPr>
        <w:t>’</w:t>
      </w:r>
      <w:r w:rsidRPr="00E70B5B">
        <w:rPr>
          <w:lang w:val="fr-FR"/>
        </w:rPr>
        <w:t>indicateur révisé des incidences sur le climat (MCII) du Fonds multilatéral.</w:t>
      </w:r>
      <w:r w:rsidRPr="00C3019D">
        <w:rPr>
          <w:lang w:val="fr-FR"/>
        </w:rPr>
        <w:t xml:space="preserve"> </w:t>
      </w:r>
    </w:p>
    <w:p w:rsidR="0012198E" w:rsidRPr="00E70B5B" w:rsidRDefault="00E70B5B" w:rsidP="0012198E">
      <w:pPr>
        <w:rPr>
          <w:i/>
          <w:lang w:val="en-CA"/>
        </w:rPr>
      </w:pPr>
      <w:r w:rsidRPr="00E70B5B">
        <w:rPr>
          <w:i/>
          <w:lang w:val="fr-FR"/>
        </w:rPr>
        <w:t>Cofinancement</w:t>
      </w:r>
    </w:p>
    <w:p w:rsidR="0012198E" w:rsidRPr="001F1E0E" w:rsidRDefault="0012198E" w:rsidP="0012198E">
      <w:pPr>
        <w:rPr>
          <w:lang w:val="en-CA"/>
        </w:rPr>
      </w:pPr>
    </w:p>
    <w:p w:rsidR="00AC0604" w:rsidRDefault="00FC4CBC" w:rsidP="003F126C">
      <w:pPr>
        <w:pStyle w:val="Heading1"/>
        <w:rPr>
          <w:lang w:val="fr-FR"/>
        </w:rPr>
      </w:pPr>
      <w:r w:rsidRPr="00AC0604">
        <w:rPr>
          <w:lang w:val="fr-FR"/>
        </w:rPr>
        <w:t>Le total des coûts acceptés pour la reconversion du</w:t>
      </w:r>
      <w:r w:rsidR="00D77991" w:rsidRPr="00AC0604">
        <w:rPr>
          <w:lang w:val="fr-FR"/>
        </w:rPr>
        <w:t xml:space="preserve"> </w:t>
      </w:r>
      <w:r w:rsidRPr="00AC0604">
        <w:rPr>
          <w:lang w:val="fr-FR"/>
        </w:rPr>
        <w:t xml:space="preserve">secteur de la climatisation résidentielle </w:t>
      </w:r>
      <w:r w:rsidR="00732221" w:rsidRPr="00AC0604">
        <w:rPr>
          <w:lang w:val="fr-FR"/>
        </w:rPr>
        <w:t>s</w:t>
      </w:r>
      <w:r w:rsidR="00D77991" w:rsidRPr="00AC0604">
        <w:rPr>
          <w:lang w:val="fr-FR"/>
        </w:rPr>
        <w:t>’</w:t>
      </w:r>
      <w:r w:rsidR="00732221" w:rsidRPr="00AC0604">
        <w:rPr>
          <w:lang w:val="fr-FR"/>
        </w:rPr>
        <w:t>élève</w:t>
      </w:r>
      <w:r w:rsidRPr="00AC0604">
        <w:rPr>
          <w:lang w:val="fr-FR"/>
        </w:rPr>
        <w:t xml:space="preserve"> à 10 926 623 $US ; d</w:t>
      </w:r>
      <w:r w:rsidR="00D77991" w:rsidRPr="00AC0604">
        <w:rPr>
          <w:lang w:val="fr-FR"/>
        </w:rPr>
        <w:t>’</w:t>
      </w:r>
      <w:r w:rsidRPr="00AC0604">
        <w:rPr>
          <w:lang w:val="fr-FR"/>
        </w:rPr>
        <w:t>autres coûts supplémentaires, tels que des investissements pour la reconversion de dispositifs d</w:t>
      </w:r>
      <w:r w:rsidR="00D77991" w:rsidRPr="00AC0604">
        <w:rPr>
          <w:lang w:val="fr-FR"/>
        </w:rPr>
        <w:t>’</w:t>
      </w:r>
      <w:r w:rsidRPr="00AC0604">
        <w:rPr>
          <w:lang w:val="fr-FR"/>
        </w:rPr>
        <w:t>échangeurs de chaleur (si nécessaire) seraient à la charge des entreprises.</w:t>
      </w:r>
      <w:r w:rsidRPr="00C3019D">
        <w:rPr>
          <w:lang w:val="fr-FR"/>
        </w:rPr>
        <w:t xml:space="preserve"> </w:t>
      </w:r>
      <w:r w:rsidRPr="00AC0604">
        <w:rPr>
          <w:lang w:val="fr-FR"/>
        </w:rPr>
        <w:t>Le gouvernement de l</w:t>
      </w:r>
      <w:r w:rsidR="00D77991" w:rsidRPr="00AC0604">
        <w:rPr>
          <w:lang w:val="fr-FR"/>
        </w:rPr>
        <w:t>’</w:t>
      </w:r>
      <w:r w:rsidRPr="00AC0604">
        <w:rPr>
          <w:lang w:val="fr-FR"/>
        </w:rPr>
        <w:t>Égypte fournira un cofinancement sous forme d</w:t>
      </w:r>
      <w:r w:rsidR="00D77991" w:rsidRPr="00AC0604">
        <w:rPr>
          <w:lang w:val="fr-FR"/>
        </w:rPr>
        <w:t>’</w:t>
      </w:r>
      <w:r w:rsidRPr="00AC0604">
        <w:rPr>
          <w:lang w:val="fr-FR"/>
        </w:rPr>
        <w:t>un soutien en nature pour mettre en œuvre les mesures règlementaires et les mesures politiques nécessaires pour assurer la pérennité de la reconversion du secteur de la climatisation résidentielle à des solutions de remplacement à faible PR</w:t>
      </w:r>
      <w:r w:rsidR="00582A19" w:rsidRPr="00AC0604">
        <w:rPr>
          <w:lang w:val="fr-FR"/>
        </w:rPr>
        <w:t>P</w:t>
      </w:r>
      <w:r w:rsidRPr="00AC0604">
        <w:rPr>
          <w:lang w:val="fr-FR"/>
        </w:rPr>
        <w:t>.</w:t>
      </w:r>
    </w:p>
    <w:p w:rsidR="003F126C" w:rsidRPr="001F1E0E" w:rsidRDefault="00FC4CBC" w:rsidP="00651F5B">
      <w:pPr>
        <w:pStyle w:val="Heading1"/>
        <w:numPr>
          <w:ilvl w:val="0"/>
          <w:numId w:val="0"/>
        </w:numPr>
        <w:rPr>
          <w:lang w:val="en-CA"/>
        </w:rPr>
      </w:pPr>
      <w:r w:rsidRPr="00AC0604">
        <w:rPr>
          <w:u w:val="single"/>
          <w:lang w:val="fr-FR"/>
        </w:rPr>
        <w:t>Révision de l</w:t>
      </w:r>
      <w:r w:rsidR="00D77991" w:rsidRPr="00AC0604">
        <w:rPr>
          <w:u w:val="single"/>
          <w:lang w:val="fr-FR"/>
        </w:rPr>
        <w:t>’</w:t>
      </w:r>
      <w:r w:rsidRPr="00AC0604">
        <w:rPr>
          <w:u w:val="single"/>
          <w:lang w:val="fr-FR"/>
        </w:rPr>
        <w:t>Accord du PGEH</w:t>
      </w:r>
      <w:r w:rsidR="003F126C" w:rsidRPr="00AC0604">
        <w:rPr>
          <w:lang w:val="en-CA"/>
        </w:rPr>
        <w:t xml:space="preserve"> </w:t>
      </w:r>
    </w:p>
    <w:p w:rsidR="003F126C" w:rsidRPr="00651F5B" w:rsidRDefault="00FC4CBC" w:rsidP="00651F5B">
      <w:pPr>
        <w:pStyle w:val="Heading1"/>
        <w:rPr>
          <w:lang w:val="fr-FR"/>
        </w:rPr>
      </w:pPr>
      <w:r w:rsidRPr="00FC4CBC">
        <w:rPr>
          <w:lang w:val="fr-FR"/>
        </w:rPr>
        <w:t>Conformément à la décision 79/34(d), le gouvernement a</w:t>
      </w:r>
      <w:r w:rsidR="00D77991">
        <w:rPr>
          <w:lang w:val="fr-FR"/>
        </w:rPr>
        <w:t xml:space="preserve"> </w:t>
      </w:r>
      <w:r w:rsidRPr="00FC4CBC">
        <w:rPr>
          <w:lang w:val="fr-FR"/>
        </w:rPr>
        <w:t>proposé de réviser l</w:t>
      </w:r>
      <w:r w:rsidR="00D77991">
        <w:rPr>
          <w:lang w:val="fr-FR"/>
        </w:rPr>
        <w:t>’</w:t>
      </w:r>
      <w:r w:rsidRPr="00FC4CBC">
        <w:rPr>
          <w:lang w:val="fr-FR"/>
        </w:rPr>
        <w:t>accord concernant la phase II du PGEH.</w:t>
      </w:r>
      <w:r w:rsidRPr="00C3019D">
        <w:rPr>
          <w:lang w:val="fr-FR"/>
        </w:rPr>
        <w:t xml:space="preserve"> </w:t>
      </w:r>
      <w:r w:rsidR="00CE25B4" w:rsidRPr="00CE25B4">
        <w:rPr>
          <w:lang w:val="fr-FR"/>
        </w:rPr>
        <w:t>Sur la base de la durée du projet, il a été convenu de diviser le financement associé au projet de reconversion de cinq entreprises de fabrication d</w:t>
      </w:r>
      <w:r w:rsidR="00D77991">
        <w:rPr>
          <w:lang w:val="fr-FR"/>
        </w:rPr>
        <w:t>’</w:t>
      </w:r>
      <w:r w:rsidR="00CE25B4" w:rsidRPr="00CE25B4">
        <w:rPr>
          <w:lang w:val="fr-FR"/>
        </w:rPr>
        <w:t>équipements de climatisation résidentiels entre les tranches de 2019, 2021 et 2023 ; de modifier les objectifs de 2023, 2024 et 2025 spécifiés dans la rangée 1.2 conformément à la note de bas de page de l</w:t>
      </w:r>
      <w:r w:rsidR="00D77991">
        <w:rPr>
          <w:lang w:val="fr-FR"/>
        </w:rPr>
        <w:t>’</w:t>
      </w:r>
      <w:r w:rsidR="00CE25B4" w:rsidRPr="00CE25B4">
        <w:rPr>
          <w:lang w:val="fr-FR"/>
        </w:rPr>
        <w:t>Appendice 2-A convenu lors de la 79</w:t>
      </w:r>
      <w:r w:rsidR="00CE25B4" w:rsidRPr="00CE25B4">
        <w:rPr>
          <w:vertAlign w:val="superscript"/>
          <w:lang w:val="fr-FR"/>
        </w:rPr>
        <w:t>e</w:t>
      </w:r>
      <w:r w:rsidR="00CE25B4" w:rsidRPr="00CE25B4">
        <w:rPr>
          <w:lang w:val="fr-FR"/>
        </w:rPr>
        <w:t xml:space="preserve"> réunion</w:t>
      </w:r>
      <w:r w:rsidR="00CE25B4" w:rsidRPr="00CE25B4">
        <w:rPr>
          <w:rStyle w:val="FootnoteReference"/>
          <w:lang w:val="fr-FR"/>
        </w:rPr>
        <w:footnoteReference w:id="17"/>
      </w:r>
      <w:r w:rsidR="00CE25B4" w:rsidRPr="00CE25B4">
        <w:rPr>
          <w:lang w:val="fr-FR"/>
        </w:rPr>
        <w:t> ;</w:t>
      </w:r>
      <w:r w:rsidR="00D77991">
        <w:rPr>
          <w:lang w:val="fr-FR"/>
        </w:rPr>
        <w:t xml:space="preserve"> </w:t>
      </w:r>
      <w:r w:rsidR="00CE25B4" w:rsidRPr="00CE25B4">
        <w:rPr>
          <w:lang w:val="fr-FR"/>
        </w:rPr>
        <w:t>de déduire 65,44 tonnes PAO de HCFC-22 de la consommation restante éligible au financement, d</w:t>
      </w:r>
      <w:r w:rsidR="00D77991">
        <w:rPr>
          <w:lang w:val="fr-FR"/>
        </w:rPr>
        <w:t>’</w:t>
      </w:r>
      <w:r w:rsidR="00CE25B4" w:rsidRPr="00CE25B4">
        <w:rPr>
          <w:lang w:val="fr-FR"/>
        </w:rPr>
        <w:t>actualiser l</w:t>
      </w:r>
      <w:r w:rsidR="00D77991">
        <w:rPr>
          <w:lang w:val="fr-FR"/>
        </w:rPr>
        <w:t>’</w:t>
      </w:r>
      <w:r w:rsidR="00CE25B4" w:rsidRPr="00CE25B4">
        <w:rPr>
          <w:lang w:val="fr-FR"/>
        </w:rPr>
        <w:t>objectif de l</w:t>
      </w:r>
      <w:r w:rsidR="00D77991">
        <w:rPr>
          <w:lang w:val="fr-FR"/>
        </w:rPr>
        <w:t>’</w:t>
      </w:r>
      <w:r w:rsidR="00CE25B4" w:rsidRPr="00CE25B4">
        <w:rPr>
          <w:lang w:val="fr-FR"/>
        </w:rPr>
        <w:t>usage r</w:t>
      </w:r>
      <w:r w:rsidR="00151D97">
        <w:rPr>
          <w:lang w:val="fr-FR"/>
        </w:rPr>
        <w:t>é</w:t>
      </w:r>
      <w:r w:rsidR="00CE25B4" w:rsidRPr="00CE25B4">
        <w:rPr>
          <w:lang w:val="fr-FR"/>
        </w:rPr>
        <w:t>glement</w:t>
      </w:r>
      <w:r w:rsidR="00151D97">
        <w:rPr>
          <w:lang w:val="fr-FR"/>
        </w:rPr>
        <w:t>é</w:t>
      </w:r>
      <w:r w:rsidR="00CE25B4" w:rsidRPr="00CE25B4">
        <w:rPr>
          <w:lang w:val="fr-FR"/>
        </w:rPr>
        <w:t xml:space="preserve"> indiqué au paragraphe 1 à 115,54 tonnes PAO, et d</w:t>
      </w:r>
      <w:r w:rsidR="00D77991">
        <w:rPr>
          <w:lang w:val="fr-FR"/>
        </w:rPr>
        <w:t>’</w:t>
      </w:r>
      <w:r w:rsidR="00CE25B4" w:rsidRPr="00CE25B4">
        <w:rPr>
          <w:lang w:val="fr-FR"/>
        </w:rPr>
        <w:t>ajouter un nouveau paragraphe, le paragraphe 17,</w:t>
      </w:r>
      <w:r w:rsidR="00D77991">
        <w:rPr>
          <w:lang w:val="fr-FR"/>
        </w:rPr>
        <w:t xml:space="preserve"> </w:t>
      </w:r>
      <w:r w:rsidR="00CE25B4" w:rsidRPr="00CE25B4">
        <w:rPr>
          <w:lang w:val="fr-FR"/>
        </w:rPr>
        <w:t xml:space="preserve">indiquant </w:t>
      </w:r>
      <w:r w:rsidR="00582A19">
        <w:rPr>
          <w:lang w:val="fr-FR"/>
        </w:rPr>
        <w:t>que</w:t>
      </w:r>
      <w:r w:rsidR="00CE25B4" w:rsidRPr="00CE25B4">
        <w:rPr>
          <w:lang w:val="fr-FR"/>
        </w:rPr>
        <w:t xml:space="preserve"> l</w:t>
      </w:r>
      <w:r w:rsidR="00D77991">
        <w:rPr>
          <w:lang w:val="fr-FR"/>
        </w:rPr>
        <w:t>’</w:t>
      </w:r>
      <w:r w:rsidR="00CE25B4" w:rsidRPr="00CE25B4">
        <w:rPr>
          <w:lang w:val="fr-FR"/>
        </w:rPr>
        <w:t xml:space="preserve">accord a été mis à jour, comme </w:t>
      </w:r>
      <w:r w:rsidR="00582A19">
        <w:rPr>
          <w:lang w:val="fr-FR"/>
        </w:rPr>
        <w:t xml:space="preserve">figurant à </w:t>
      </w:r>
      <w:r w:rsidR="00CE25B4" w:rsidRPr="00CE25B4">
        <w:rPr>
          <w:lang w:val="fr-FR"/>
        </w:rPr>
        <w:t>l</w:t>
      </w:r>
      <w:r w:rsidR="00D77991">
        <w:rPr>
          <w:lang w:val="fr-FR"/>
        </w:rPr>
        <w:t>’</w:t>
      </w:r>
      <w:r w:rsidR="00CE25B4" w:rsidRPr="00CE25B4">
        <w:rPr>
          <w:lang w:val="fr-FR"/>
        </w:rPr>
        <w:t>annexe II du présent document.</w:t>
      </w:r>
      <w:r w:rsidR="00CE25B4" w:rsidRPr="00C3019D">
        <w:rPr>
          <w:lang w:val="fr-FR"/>
        </w:rPr>
        <w:t xml:space="preserve"> </w:t>
      </w:r>
      <w:r w:rsidR="00CE25B4" w:rsidRPr="00CE25B4">
        <w:rPr>
          <w:lang w:val="fr-FR"/>
        </w:rPr>
        <w:t>L</w:t>
      </w:r>
      <w:r w:rsidR="00D77991">
        <w:rPr>
          <w:lang w:val="fr-FR"/>
        </w:rPr>
        <w:t>’</w:t>
      </w:r>
      <w:r w:rsidR="00CE25B4" w:rsidRPr="00CE25B4">
        <w:rPr>
          <w:lang w:val="fr-FR"/>
        </w:rPr>
        <w:t>Accord intégral révisé sera joint au rapport final de la 84</w:t>
      </w:r>
      <w:r w:rsidR="00CE25B4" w:rsidRPr="00CE25B4">
        <w:rPr>
          <w:vertAlign w:val="superscript"/>
          <w:lang w:val="fr-FR"/>
        </w:rPr>
        <w:t>e</w:t>
      </w:r>
      <w:r w:rsidR="00D77991">
        <w:rPr>
          <w:lang w:val="fr-FR"/>
        </w:rPr>
        <w:t xml:space="preserve"> </w:t>
      </w:r>
      <w:r w:rsidR="00CE25B4" w:rsidRPr="00CE25B4">
        <w:rPr>
          <w:lang w:val="fr-FR"/>
        </w:rPr>
        <w:t>réunion.</w:t>
      </w:r>
    </w:p>
    <w:p w:rsidR="00255CDE" w:rsidRPr="001F1E0E" w:rsidRDefault="00CE25B4" w:rsidP="00255CDE">
      <w:pPr>
        <w:keepNext/>
        <w:keepLines/>
        <w:rPr>
          <w:u w:val="single"/>
          <w:lang w:val="en-CA"/>
        </w:rPr>
      </w:pPr>
      <w:r w:rsidRPr="00CE25B4">
        <w:rPr>
          <w:u w:val="single"/>
          <w:lang w:val="fr-FR"/>
        </w:rPr>
        <w:t>Pérennité de l</w:t>
      </w:r>
      <w:r w:rsidR="00D77991">
        <w:rPr>
          <w:u w:val="single"/>
          <w:lang w:val="fr-FR"/>
        </w:rPr>
        <w:t>’</w:t>
      </w:r>
      <w:r w:rsidRPr="00CE25B4">
        <w:rPr>
          <w:u w:val="single"/>
          <w:lang w:val="fr-FR"/>
        </w:rPr>
        <w:t>élimination des HCFC</w:t>
      </w:r>
      <w:r w:rsidR="00255CDE" w:rsidRPr="00CE25B4">
        <w:rPr>
          <w:u w:val="single"/>
          <w:lang w:val="en-CA"/>
        </w:rPr>
        <w:t xml:space="preserve"> </w:t>
      </w:r>
    </w:p>
    <w:p w:rsidR="00255CDE" w:rsidRPr="001F1E0E" w:rsidRDefault="00255CDE" w:rsidP="00255CDE">
      <w:pPr>
        <w:rPr>
          <w:u w:val="single"/>
          <w:lang w:val="en-CA"/>
        </w:rPr>
      </w:pPr>
    </w:p>
    <w:p w:rsidR="00AC0604" w:rsidRDefault="00732221" w:rsidP="00255CDE">
      <w:pPr>
        <w:pStyle w:val="Heading1"/>
        <w:rPr>
          <w:lang w:val="fr-FR"/>
        </w:rPr>
      </w:pPr>
      <w:r w:rsidRPr="00AC0604">
        <w:rPr>
          <w:lang w:val="fr-FR"/>
        </w:rPr>
        <w:t xml:space="preserve">Le </w:t>
      </w:r>
      <w:r w:rsidR="00134CD5" w:rsidRPr="00AC0604">
        <w:rPr>
          <w:lang w:val="fr-FR"/>
        </w:rPr>
        <w:t>gouvernement de l</w:t>
      </w:r>
      <w:r w:rsidR="00D77991" w:rsidRPr="00AC0604">
        <w:rPr>
          <w:lang w:val="fr-FR"/>
        </w:rPr>
        <w:t>’</w:t>
      </w:r>
      <w:r w:rsidR="00134CD5" w:rsidRPr="00AC0604">
        <w:rPr>
          <w:lang w:val="fr-FR"/>
        </w:rPr>
        <w:t>Égypte a promulgué des réglementations qui soutiennent les reconversions dans le secteur de la fabrication des mousses de polyuréthane, notamment une interdiction des importations du HCFC-141b contenu dans les polyols prémélangés</w:t>
      </w:r>
      <w:r w:rsidR="00D77991" w:rsidRPr="00AC0604">
        <w:rPr>
          <w:lang w:val="fr-FR"/>
        </w:rPr>
        <w:t xml:space="preserve"> </w:t>
      </w:r>
      <w:r w:rsidR="00134CD5" w:rsidRPr="00AC0604">
        <w:rPr>
          <w:lang w:val="fr-FR"/>
        </w:rPr>
        <w:t>à compter du 1</w:t>
      </w:r>
      <w:r w:rsidR="00134CD5" w:rsidRPr="00AC0604">
        <w:rPr>
          <w:vertAlign w:val="superscript"/>
          <w:lang w:val="fr-FR"/>
        </w:rPr>
        <w:t>er</w:t>
      </w:r>
      <w:r w:rsidR="00134CD5" w:rsidRPr="00AC0604">
        <w:rPr>
          <w:lang w:val="fr-FR"/>
        </w:rPr>
        <w:t xml:space="preserve"> janvier</w:t>
      </w:r>
      <w:r w:rsidR="00D77991" w:rsidRPr="00AC0604">
        <w:rPr>
          <w:lang w:val="fr-FR"/>
        </w:rPr>
        <w:t xml:space="preserve"> </w:t>
      </w:r>
      <w:r w:rsidR="00134CD5" w:rsidRPr="00AC0604">
        <w:rPr>
          <w:lang w:val="fr-FR"/>
        </w:rPr>
        <w:t>2018, et une interdiction de l</w:t>
      </w:r>
      <w:r w:rsidR="00D77991" w:rsidRPr="00AC0604">
        <w:rPr>
          <w:lang w:val="fr-FR"/>
        </w:rPr>
        <w:t>’</w:t>
      </w:r>
      <w:r w:rsidR="00134CD5" w:rsidRPr="00AC0604">
        <w:rPr>
          <w:lang w:val="fr-FR"/>
        </w:rPr>
        <w:t>importation, l</w:t>
      </w:r>
      <w:r w:rsidR="00D77991" w:rsidRPr="00AC0604">
        <w:rPr>
          <w:lang w:val="fr-FR"/>
        </w:rPr>
        <w:t>’</w:t>
      </w:r>
      <w:r w:rsidR="00134CD5" w:rsidRPr="00AC0604">
        <w:rPr>
          <w:lang w:val="fr-FR"/>
        </w:rPr>
        <w:t>utilisation et l</w:t>
      </w:r>
      <w:r w:rsidR="00D77991" w:rsidRPr="00AC0604">
        <w:rPr>
          <w:lang w:val="fr-FR"/>
        </w:rPr>
        <w:t>’</w:t>
      </w:r>
      <w:r w:rsidR="00134CD5" w:rsidRPr="00AC0604">
        <w:rPr>
          <w:lang w:val="fr-FR"/>
        </w:rPr>
        <w:t>exportation de HCFC-141b en vrac</w:t>
      </w:r>
      <w:r w:rsidR="006E3BA6" w:rsidRPr="00AC0604">
        <w:rPr>
          <w:lang w:val="fr-FR"/>
        </w:rPr>
        <w:t>,</w:t>
      </w:r>
      <w:r w:rsidR="00134CD5" w:rsidRPr="00AC0604">
        <w:rPr>
          <w:lang w:val="fr-FR"/>
        </w:rPr>
        <w:t xml:space="preserve"> </w:t>
      </w:r>
      <w:r w:rsidR="006E3BA6" w:rsidRPr="00AC0604">
        <w:rPr>
          <w:lang w:val="fr-FR"/>
        </w:rPr>
        <w:t xml:space="preserve">et de l’exportation du HCFC-141b contenu dans les polyols prémélangés </w:t>
      </w:r>
      <w:r w:rsidR="00134CD5" w:rsidRPr="00AC0604">
        <w:rPr>
          <w:lang w:val="fr-FR"/>
        </w:rPr>
        <w:t>qui entrera en vigueur au 1</w:t>
      </w:r>
      <w:r w:rsidR="00134CD5" w:rsidRPr="00AC0604">
        <w:rPr>
          <w:vertAlign w:val="superscript"/>
          <w:lang w:val="fr-FR"/>
        </w:rPr>
        <w:t>er</w:t>
      </w:r>
      <w:r w:rsidR="00134CD5" w:rsidRPr="00AC0604">
        <w:rPr>
          <w:lang w:val="fr-FR"/>
        </w:rPr>
        <w:t xml:space="preserve"> janvier 2020. Le </w:t>
      </w:r>
      <w:r w:rsidR="00134CD5" w:rsidRPr="00AC0604">
        <w:rPr>
          <w:lang w:val="fr-FR"/>
        </w:rPr>
        <w:lastRenderedPageBreak/>
        <w:t>gouvernement s</w:t>
      </w:r>
      <w:r w:rsidR="00D77991" w:rsidRPr="00AC0604">
        <w:rPr>
          <w:lang w:val="fr-FR"/>
        </w:rPr>
        <w:t>’</w:t>
      </w:r>
      <w:r w:rsidR="00134CD5" w:rsidRPr="00AC0604">
        <w:rPr>
          <w:lang w:val="fr-FR"/>
        </w:rPr>
        <w:t>est également engagé à interdire l</w:t>
      </w:r>
      <w:r w:rsidR="00D77991" w:rsidRPr="00AC0604">
        <w:rPr>
          <w:lang w:val="fr-FR"/>
        </w:rPr>
        <w:t>’</w:t>
      </w:r>
      <w:r w:rsidR="00134CD5" w:rsidRPr="00AC0604">
        <w:rPr>
          <w:lang w:val="fr-FR"/>
        </w:rPr>
        <w:t>utilisation des HCFC et des mélanges de HCFC dans la fabrication des mousses de polystyrène extrudé d</w:t>
      </w:r>
      <w:r w:rsidR="00D77991" w:rsidRPr="00AC0604">
        <w:rPr>
          <w:lang w:val="fr-FR"/>
        </w:rPr>
        <w:t>’</w:t>
      </w:r>
      <w:r w:rsidR="00134CD5" w:rsidRPr="00AC0604">
        <w:rPr>
          <w:lang w:val="fr-FR"/>
        </w:rPr>
        <w:t>ici au 1</w:t>
      </w:r>
      <w:r w:rsidR="00134CD5" w:rsidRPr="00AC0604">
        <w:rPr>
          <w:vertAlign w:val="superscript"/>
          <w:lang w:val="fr-FR"/>
        </w:rPr>
        <w:t>er</w:t>
      </w:r>
      <w:r w:rsidR="00134CD5" w:rsidRPr="00AC0604">
        <w:rPr>
          <w:lang w:val="fr-FR"/>
        </w:rPr>
        <w:t xml:space="preserve"> janvier 2023</w:t>
      </w:r>
      <w:r w:rsidR="00AC0604" w:rsidRPr="00AC0604">
        <w:rPr>
          <w:lang w:val="fr-FR"/>
        </w:rPr>
        <w:t> </w:t>
      </w:r>
      <w:r w:rsidR="00134CD5" w:rsidRPr="00AC0604">
        <w:rPr>
          <w:lang w:val="fr-FR"/>
        </w:rPr>
        <w:t>; à interdire l</w:t>
      </w:r>
      <w:r w:rsidR="00D77991" w:rsidRPr="00AC0604">
        <w:rPr>
          <w:lang w:val="fr-FR"/>
        </w:rPr>
        <w:t>’</w:t>
      </w:r>
      <w:r w:rsidR="00134CD5" w:rsidRPr="00AC0604">
        <w:rPr>
          <w:lang w:val="fr-FR"/>
        </w:rPr>
        <w:t>importation</w:t>
      </w:r>
      <w:r w:rsidR="00D77991" w:rsidRPr="00AC0604">
        <w:rPr>
          <w:lang w:val="fr-FR"/>
        </w:rPr>
        <w:t xml:space="preserve"> </w:t>
      </w:r>
      <w:r w:rsidR="00582A19" w:rsidRPr="00AC0604">
        <w:rPr>
          <w:lang w:val="fr-FR"/>
        </w:rPr>
        <w:t>de</w:t>
      </w:r>
      <w:r w:rsidR="00134CD5" w:rsidRPr="00AC0604">
        <w:rPr>
          <w:lang w:val="fr-FR"/>
        </w:rPr>
        <w:t xml:space="preserve"> HCFC-142b et de mélanges de HCFC-142b d</w:t>
      </w:r>
      <w:r w:rsidR="00D77991" w:rsidRPr="00AC0604">
        <w:rPr>
          <w:lang w:val="fr-FR"/>
        </w:rPr>
        <w:t>’</w:t>
      </w:r>
      <w:r w:rsidR="00134CD5" w:rsidRPr="00AC0604">
        <w:rPr>
          <w:lang w:val="fr-FR"/>
        </w:rPr>
        <w:t>ici au 1</w:t>
      </w:r>
      <w:r w:rsidR="00134CD5" w:rsidRPr="00AC0604">
        <w:rPr>
          <w:vertAlign w:val="superscript"/>
          <w:lang w:val="fr-FR"/>
        </w:rPr>
        <w:t>er</w:t>
      </w:r>
      <w:r w:rsidR="00134CD5" w:rsidRPr="00AC0604">
        <w:rPr>
          <w:lang w:val="fr-FR"/>
        </w:rPr>
        <w:t xml:space="preserve"> janvier 2023 ; et avec l</w:t>
      </w:r>
      <w:r w:rsidR="00D77991" w:rsidRPr="00AC0604">
        <w:rPr>
          <w:lang w:val="fr-FR"/>
        </w:rPr>
        <w:t>’</w:t>
      </w:r>
      <w:r w:rsidR="00134CD5" w:rsidRPr="00AC0604">
        <w:rPr>
          <w:lang w:val="fr-FR"/>
        </w:rPr>
        <w:t>approbation du projet de reconver</w:t>
      </w:r>
      <w:r w:rsidR="00582A19" w:rsidRPr="00AC0604">
        <w:rPr>
          <w:lang w:val="fr-FR"/>
        </w:rPr>
        <w:t>sion de</w:t>
      </w:r>
      <w:r w:rsidR="00134CD5" w:rsidRPr="00AC0604">
        <w:rPr>
          <w:lang w:val="fr-FR"/>
        </w:rPr>
        <w:t xml:space="preserve"> cinq entreprise</w:t>
      </w:r>
      <w:r w:rsidR="00582A19" w:rsidRPr="00AC0604">
        <w:rPr>
          <w:lang w:val="fr-FR"/>
        </w:rPr>
        <w:t>s</w:t>
      </w:r>
      <w:r w:rsidR="00134CD5" w:rsidRPr="00AC0604">
        <w:rPr>
          <w:lang w:val="fr-FR"/>
        </w:rPr>
        <w:t xml:space="preserve"> du secteur de la fabrication d</w:t>
      </w:r>
      <w:r w:rsidR="00D77991" w:rsidRPr="00AC0604">
        <w:rPr>
          <w:lang w:val="fr-FR"/>
        </w:rPr>
        <w:t>’</w:t>
      </w:r>
      <w:r w:rsidR="00134CD5" w:rsidRPr="00AC0604">
        <w:rPr>
          <w:lang w:val="fr-FR"/>
        </w:rPr>
        <w:t>équipements de climatisation résidentiels, d</w:t>
      </w:r>
      <w:r w:rsidR="00D77991" w:rsidRPr="00AC0604">
        <w:rPr>
          <w:lang w:val="fr-FR"/>
        </w:rPr>
        <w:t>’</w:t>
      </w:r>
      <w:r w:rsidR="00134CD5" w:rsidRPr="00AC0604">
        <w:rPr>
          <w:lang w:val="fr-FR"/>
        </w:rPr>
        <w:t>interdire l</w:t>
      </w:r>
      <w:r w:rsidR="00D77991" w:rsidRPr="00AC0604">
        <w:rPr>
          <w:lang w:val="fr-FR"/>
        </w:rPr>
        <w:t>’</w:t>
      </w:r>
      <w:r w:rsidR="00134CD5" w:rsidRPr="00AC0604">
        <w:rPr>
          <w:lang w:val="fr-FR"/>
        </w:rPr>
        <w:t>importation et la fabrication des équipements de climatisation résidentiels contenant du HCFC-22 d</w:t>
      </w:r>
      <w:r w:rsidR="00D77991" w:rsidRPr="00AC0604">
        <w:rPr>
          <w:lang w:val="fr-FR"/>
        </w:rPr>
        <w:t>’</w:t>
      </w:r>
      <w:r w:rsidR="00134CD5" w:rsidRPr="00AC0604">
        <w:rPr>
          <w:lang w:val="fr-FR"/>
        </w:rPr>
        <w:t>ici au 1</w:t>
      </w:r>
      <w:r w:rsidR="00134CD5" w:rsidRPr="00AC0604">
        <w:rPr>
          <w:vertAlign w:val="superscript"/>
          <w:lang w:val="fr-FR"/>
        </w:rPr>
        <w:t>er</w:t>
      </w:r>
      <w:r w:rsidR="006E3BA6" w:rsidRPr="00AC0604">
        <w:rPr>
          <w:lang w:val="fr-FR"/>
        </w:rPr>
        <w:t xml:space="preserve"> </w:t>
      </w:r>
      <w:r w:rsidR="00134CD5" w:rsidRPr="00AC0604">
        <w:rPr>
          <w:lang w:val="fr-FR"/>
        </w:rPr>
        <w:t>janvier 2023 ; et de s</w:t>
      </w:r>
      <w:r w:rsidR="00D77991" w:rsidRPr="00AC0604">
        <w:rPr>
          <w:lang w:val="fr-FR"/>
        </w:rPr>
        <w:t>’</w:t>
      </w:r>
      <w:r w:rsidR="00134CD5" w:rsidRPr="00AC0604">
        <w:rPr>
          <w:lang w:val="fr-FR"/>
        </w:rPr>
        <w:t>engager à assurer le contrôle total des équipements de climatisation résidentiels contenant du R</w:t>
      </w:r>
      <w:r w:rsidR="00134CD5" w:rsidRPr="00AC0604">
        <w:rPr>
          <w:lang w:val="fr-FR"/>
        </w:rPr>
        <w:noBreakHyphen/>
        <w:t>410A ou du R-407C, importés ou mis sur le marché local ; et de s</w:t>
      </w:r>
      <w:r w:rsidR="00D77991" w:rsidRPr="00AC0604">
        <w:rPr>
          <w:lang w:val="fr-FR"/>
        </w:rPr>
        <w:t>’</w:t>
      </w:r>
      <w:r w:rsidR="00134CD5" w:rsidRPr="00AC0604">
        <w:rPr>
          <w:lang w:val="fr-FR"/>
        </w:rPr>
        <w:t>engager à garantir l</w:t>
      </w:r>
      <w:r w:rsidR="00D77991" w:rsidRPr="00AC0604">
        <w:rPr>
          <w:lang w:val="fr-FR"/>
        </w:rPr>
        <w:t>’</w:t>
      </w:r>
      <w:r w:rsidR="00134CD5" w:rsidRPr="00AC0604">
        <w:rPr>
          <w:lang w:val="fr-FR"/>
        </w:rPr>
        <w:t>adoption du HFC-32, et l</w:t>
      </w:r>
      <w:r w:rsidR="00D77991" w:rsidRPr="00AC0604">
        <w:rPr>
          <w:lang w:val="fr-FR"/>
        </w:rPr>
        <w:t>’</w:t>
      </w:r>
      <w:r w:rsidR="00134CD5" w:rsidRPr="00AC0604">
        <w:rPr>
          <w:lang w:val="fr-FR"/>
        </w:rPr>
        <w:t>adoption de la technologie à base de R</w:t>
      </w:r>
      <w:r w:rsidR="00134CD5" w:rsidRPr="00AC0604">
        <w:rPr>
          <w:lang w:val="fr-FR"/>
        </w:rPr>
        <w:noBreakHyphen/>
        <w:t>454B par le marché local si les entreprises optaient pour cette dernière une fois la technologie devenue disponible.</w:t>
      </w:r>
    </w:p>
    <w:p w:rsidR="00255CDE" w:rsidRPr="00651F5B" w:rsidRDefault="00134CD5" w:rsidP="00651F5B">
      <w:pPr>
        <w:pStyle w:val="Heading1"/>
        <w:numPr>
          <w:ilvl w:val="0"/>
          <w:numId w:val="0"/>
        </w:numPr>
        <w:rPr>
          <w:u w:val="single"/>
          <w:lang w:val="en-CA"/>
        </w:rPr>
      </w:pPr>
      <w:r w:rsidRPr="00AC0604">
        <w:rPr>
          <w:u w:val="single"/>
          <w:lang w:val="fr-FR"/>
        </w:rPr>
        <w:t>Conclusion</w:t>
      </w:r>
      <w:r w:rsidR="00255CDE" w:rsidRPr="00AC0604">
        <w:rPr>
          <w:u w:val="single"/>
          <w:lang w:val="en-CA"/>
        </w:rPr>
        <w:t xml:space="preserve"> </w:t>
      </w:r>
    </w:p>
    <w:p w:rsidR="0011040A" w:rsidRPr="00651F5B" w:rsidRDefault="0011040A" w:rsidP="00255CDE">
      <w:pPr>
        <w:pStyle w:val="Heading1"/>
        <w:rPr>
          <w:lang w:val="fr-FR"/>
        </w:rPr>
      </w:pPr>
      <w:r w:rsidRPr="0011040A">
        <w:rPr>
          <w:lang w:val="fr-FR"/>
        </w:rPr>
        <w:t>La mise en œuvre du PGEH avance, le système d</w:t>
      </w:r>
      <w:r w:rsidR="00D77991">
        <w:rPr>
          <w:lang w:val="fr-FR"/>
        </w:rPr>
        <w:t>’</w:t>
      </w:r>
      <w:r w:rsidRPr="0011040A">
        <w:rPr>
          <w:lang w:val="fr-FR"/>
        </w:rPr>
        <w:t>autorisation et de quotas des importations du pays est opérationnel</w:t>
      </w:r>
      <w:r w:rsidR="006E3BA6">
        <w:rPr>
          <w:lang w:val="fr-FR"/>
        </w:rPr>
        <w:t>,</w:t>
      </w:r>
      <w:r w:rsidRPr="0011040A">
        <w:rPr>
          <w:lang w:val="fr-FR"/>
        </w:rPr>
        <w:t xml:space="preserve"> et la consommation vérifiée se situe </w:t>
      </w:r>
      <w:r w:rsidR="006E3BA6">
        <w:rPr>
          <w:lang w:val="fr-FR"/>
        </w:rPr>
        <w:t>au</w:t>
      </w:r>
      <w:r w:rsidRPr="0011040A">
        <w:rPr>
          <w:lang w:val="fr-FR"/>
        </w:rPr>
        <w:t>-dessous des objectifs de 2018.</w:t>
      </w:r>
      <w:r w:rsidRPr="00C3019D">
        <w:rPr>
          <w:lang w:val="fr-FR"/>
        </w:rPr>
        <w:t xml:space="preserve"> </w:t>
      </w:r>
      <w:r w:rsidRPr="0011040A">
        <w:rPr>
          <w:lang w:val="fr-FR"/>
        </w:rPr>
        <w:t>Les reconversions dans le secteur des mousses de polyuréthane progressent et toutes les entreprises seront en mesure d</w:t>
      </w:r>
      <w:r w:rsidR="00D77991">
        <w:rPr>
          <w:lang w:val="fr-FR"/>
        </w:rPr>
        <w:t>’</w:t>
      </w:r>
      <w:r w:rsidRPr="0011040A">
        <w:rPr>
          <w:lang w:val="fr-FR"/>
        </w:rPr>
        <w:t>être en conformité avec l</w:t>
      </w:r>
      <w:r w:rsidR="00D77991">
        <w:rPr>
          <w:lang w:val="fr-FR"/>
        </w:rPr>
        <w:t>’</w:t>
      </w:r>
      <w:r w:rsidRPr="0011040A">
        <w:rPr>
          <w:lang w:val="fr-FR"/>
        </w:rPr>
        <w:t>interdiction</w:t>
      </w:r>
      <w:r w:rsidR="006E3BA6">
        <w:rPr>
          <w:lang w:val="fr-FR"/>
        </w:rPr>
        <w:t>,</w:t>
      </w:r>
      <w:r w:rsidRPr="0011040A">
        <w:rPr>
          <w:lang w:val="fr-FR"/>
        </w:rPr>
        <w:t xml:space="preserve"> à compter du 1</w:t>
      </w:r>
      <w:r w:rsidRPr="0011040A">
        <w:rPr>
          <w:vertAlign w:val="superscript"/>
          <w:lang w:val="fr-FR"/>
        </w:rPr>
        <w:t>er</w:t>
      </w:r>
      <w:r w:rsidRPr="0011040A">
        <w:rPr>
          <w:lang w:val="fr-FR"/>
        </w:rPr>
        <w:t xml:space="preserve"> janvier 2020</w:t>
      </w:r>
      <w:r w:rsidR="006E3BA6">
        <w:rPr>
          <w:lang w:val="fr-FR"/>
        </w:rPr>
        <w:t>,</w:t>
      </w:r>
      <w:r w:rsidRPr="0011040A">
        <w:rPr>
          <w:lang w:val="fr-FR"/>
        </w:rPr>
        <w:t xml:space="preserve"> de l</w:t>
      </w:r>
      <w:r w:rsidR="00D77991">
        <w:rPr>
          <w:lang w:val="fr-FR"/>
        </w:rPr>
        <w:t>’</w:t>
      </w:r>
      <w:r w:rsidRPr="0011040A">
        <w:rPr>
          <w:lang w:val="fr-FR"/>
        </w:rPr>
        <w:t>importation, l</w:t>
      </w:r>
      <w:r w:rsidR="00D77991">
        <w:rPr>
          <w:lang w:val="fr-FR"/>
        </w:rPr>
        <w:t>’</w:t>
      </w:r>
      <w:r w:rsidRPr="0011040A">
        <w:rPr>
          <w:lang w:val="fr-FR"/>
        </w:rPr>
        <w:t>utilisation et l</w:t>
      </w:r>
      <w:r w:rsidR="00D77991">
        <w:rPr>
          <w:lang w:val="fr-FR"/>
        </w:rPr>
        <w:t>’</w:t>
      </w:r>
      <w:r w:rsidRPr="0011040A">
        <w:rPr>
          <w:lang w:val="fr-FR"/>
        </w:rPr>
        <w:t>exportation de HCFC-141b en vrac</w:t>
      </w:r>
      <w:r w:rsidR="006E3BA6">
        <w:rPr>
          <w:lang w:val="fr-FR"/>
        </w:rPr>
        <w:t>,</w:t>
      </w:r>
      <w:r w:rsidRPr="0011040A">
        <w:rPr>
          <w:lang w:val="fr-FR"/>
        </w:rPr>
        <w:t xml:space="preserve"> et l</w:t>
      </w:r>
      <w:r w:rsidR="00D77991">
        <w:rPr>
          <w:lang w:val="fr-FR"/>
        </w:rPr>
        <w:t>’</w:t>
      </w:r>
      <w:r w:rsidRPr="0011040A">
        <w:rPr>
          <w:lang w:val="fr-FR"/>
        </w:rPr>
        <w:t>exportation du HCFC-141b contenu dans les polyols prémélangés.</w:t>
      </w:r>
      <w:r w:rsidRPr="00C3019D">
        <w:rPr>
          <w:lang w:val="fr-FR"/>
        </w:rPr>
        <w:t xml:space="preserve"> </w:t>
      </w:r>
      <w:r w:rsidRPr="0011040A">
        <w:rPr>
          <w:lang w:val="fr-FR"/>
        </w:rPr>
        <w:t>Le niveau de décaissement est également supérieur à</w:t>
      </w:r>
      <w:r w:rsidR="00D77991">
        <w:rPr>
          <w:lang w:val="fr-FR"/>
        </w:rPr>
        <w:t xml:space="preserve"> </w:t>
      </w:r>
      <w:r w:rsidRPr="0011040A">
        <w:rPr>
          <w:lang w:val="fr-FR"/>
        </w:rPr>
        <w:t>33 pour cent.</w:t>
      </w:r>
      <w:r w:rsidRPr="00C3019D">
        <w:rPr>
          <w:lang w:val="fr-FR"/>
        </w:rPr>
        <w:t xml:space="preserve"> </w:t>
      </w:r>
      <w:r w:rsidRPr="0011040A">
        <w:rPr>
          <w:lang w:val="fr-FR"/>
        </w:rPr>
        <w:t>Les activités planifiées dans le cadre de la deuxième tranche permettront la reconversion du secteur de la fabrication des mousses de polystyrène extrudé, qui sera achevée avec le financement de la troisième tranche, et qui renforcera plus avant la capacité des agents des douanes et de ceux chargés du respect des lois, et renforce</w:t>
      </w:r>
      <w:r w:rsidR="006E3BA6">
        <w:rPr>
          <w:lang w:val="fr-FR"/>
        </w:rPr>
        <w:t>ra aussi</w:t>
      </w:r>
      <w:r w:rsidRPr="0011040A">
        <w:rPr>
          <w:lang w:val="fr-FR"/>
        </w:rPr>
        <w:t xml:space="preserve"> le secteur de l</w:t>
      </w:r>
      <w:r w:rsidR="00D77991">
        <w:rPr>
          <w:lang w:val="fr-FR"/>
        </w:rPr>
        <w:t>’</w:t>
      </w:r>
      <w:r w:rsidRPr="0011040A">
        <w:rPr>
          <w:lang w:val="fr-FR"/>
        </w:rPr>
        <w:t>entretien, activités qui contribueront à assurer que le pays continue à respecter ses obligations stipulées au titre du Protocole.</w:t>
      </w:r>
      <w:r w:rsidRPr="00C3019D">
        <w:rPr>
          <w:lang w:val="fr-FR"/>
        </w:rPr>
        <w:t xml:space="preserve"> </w:t>
      </w:r>
      <w:r w:rsidRPr="0011040A">
        <w:rPr>
          <w:lang w:val="fr-FR"/>
        </w:rPr>
        <w:t>En l</w:t>
      </w:r>
      <w:r w:rsidR="00D77991">
        <w:rPr>
          <w:lang w:val="fr-FR"/>
        </w:rPr>
        <w:t>’</w:t>
      </w:r>
      <w:r w:rsidRPr="0011040A">
        <w:rPr>
          <w:lang w:val="fr-FR"/>
        </w:rPr>
        <w:t>absence d</w:t>
      </w:r>
      <w:r w:rsidR="00D77991">
        <w:rPr>
          <w:lang w:val="fr-FR"/>
        </w:rPr>
        <w:t>’</w:t>
      </w:r>
      <w:r w:rsidRPr="0011040A">
        <w:rPr>
          <w:lang w:val="fr-FR"/>
        </w:rPr>
        <w:t xml:space="preserve">un projet pour la reconversion du secteur de la fabrication des climatiseurs résidentiels à </w:t>
      </w:r>
      <w:r w:rsidR="006E3BA6">
        <w:rPr>
          <w:lang w:val="fr-FR"/>
        </w:rPr>
        <w:t xml:space="preserve">des </w:t>
      </w:r>
      <w:r w:rsidRPr="0011040A">
        <w:rPr>
          <w:lang w:val="fr-FR"/>
        </w:rPr>
        <w:t>solutions de remplacement à faible PRP, quatre des cinq entreprises commenceront probablement par fabriquer exclusivement des équipements à base de</w:t>
      </w:r>
      <w:r w:rsidR="00D77991">
        <w:rPr>
          <w:lang w:val="fr-FR"/>
        </w:rPr>
        <w:t xml:space="preserve"> </w:t>
      </w:r>
      <w:r w:rsidRPr="0011040A">
        <w:rPr>
          <w:lang w:val="fr-FR"/>
        </w:rPr>
        <w:t>R-410A sur leurs chaînes de production existantes ; le projet</w:t>
      </w:r>
      <w:r w:rsidR="006E3BA6">
        <w:rPr>
          <w:lang w:val="fr-FR"/>
        </w:rPr>
        <w:t>, notamment le</w:t>
      </w:r>
      <w:r w:rsidRPr="0011040A">
        <w:rPr>
          <w:lang w:val="fr-FR"/>
        </w:rPr>
        <w:t xml:space="preserve"> cadre de facilitation et les mesures politiques qui l</w:t>
      </w:r>
      <w:r w:rsidR="00D77991">
        <w:rPr>
          <w:lang w:val="fr-FR"/>
        </w:rPr>
        <w:t>’</w:t>
      </w:r>
      <w:r w:rsidRPr="0011040A">
        <w:rPr>
          <w:lang w:val="fr-FR"/>
        </w:rPr>
        <w:t>accompagnent</w:t>
      </w:r>
      <w:r w:rsidR="006E3BA6">
        <w:rPr>
          <w:lang w:val="fr-FR"/>
        </w:rPr>
        <w:t>,</w:t>
      </w:r>
      <w:r w:rsidRPr="0011040A">
        <w:rPr>
          <w:lang w:val="fr-FR"/>
        </w:rPr>
        <w:t xml:space="preserve"> ser</w:t>
      </w:r>
      <w:r w:rsidR="006E3BA6">
        <w:rPr>
          <w:lang w:val="fr-FR"/>
        </w:rPr>
        <w:t xml:space="preserve">a </w:t>
      </w:r>
      <w:r w:rsidRPr="0011040A">
        <w:rPr>
          <w:lang w:val="fr-FR"/>
        </w:rPr>
        <w:t>essentiel pour éviter ce résultat et envoyer un signa</w:t>
      </w:r>
      <w:r w:rsidR="006E3BA6">
        <w:rPr>
          <w:lang w:val="fr-FR"/>
        </w:rPr>
        <w:t>l</w:t>
      </w:r>
      <w:r w:rsidRPr="0011040A">
        <w:rPr>
          <w:lang w:val="fr-FR"/>
        </w:rPr>
        <w:t xml:space="preserve"> au marché de se reconvertir à des technologies à faible PRP, qui pourront orienter le trajet de la transformation du marché dans ce secteur en faveur des solutions de remplacement à faible PRP.</w:t>
      </w:r>
    </w:p>
    <w:p w:rsidR="00255CDE" w:rsidRPr="00E82E67" w:rsidRDefault="00E82E67" w:rsidP="00E82E67">
      <w:pPr>
        <w:rPr>
          <w:lang w:val="en-CA"/>
        </w:rPr>
      </w:pPr>
      <w:r w:rsidRPr="00E82E67">
        <w:rPr>
          <w:b/>
          <w:lang w:val="fr-FR"/>
        </w:rPr>
        <w:t>RECOMMANDATION</w:t>
      </w:r>
    </w:p>
    <w:p w:rsidR="00255CDE" w:rsidRPr="001F1E0E" w:rsidRDefault="00255CDE" w:rsidP="00255CDE">
      <w:pPr>
        <w:rPr>
          <w:lang w:val="en-CA"/>
        </w:rPr>
      </w:pPr>
    </w:p>
    <w:p w:rsidR="00E82E67" w:rsidRPr="00C3019D" w:rsidRDefault="00E82E67" w:rsidP="00E82E67">
      <w:pPr>
        <w:pStyle w:val="Heading1"/>
        <w:rPr>
          <w:lang w:val="fr-FR"/>
        </w:rPr>
      </w:pPr>
      <w:r w:rsidRPr="00E82E67">
        <w:rPr>
          <w:lang w:val="fr-FR"/>
        </w:rPr>
        <w:t>Le Comité exécutif pourrait envisager de :</w:t>
      </w:r>
    </w:p>
    <w:p w:rsidR="00E82E67" w:rsidRPr="00C3019D" w:rsidRDefault="00E82E67" w:rsidP="00E82E67">
      <w:pPr>
        <w:pStyle w:val="Heading2"/>
        <w:rPr>
          <w:lang w:val="fr-FR"/>
        </w:rPr>
      </w:pPr>
      <w:r w:rsidRPr="00E82E67">
        <w:rPr>
          <w:lang w:val="fr-FR"/>
        </w:rPr>
        <w:t>Prendre note du rapport</w:t>
      </w:r>
      <w:r w:rsidR="00D77991">
        <w:rPr>
          <w:lang w:val="fr-FR"/>
        </w:rPr>
        <w:t xml:space="preserve"> </w:t>
      </w:r>
      <w:r w:rsidRPr="00E82E67">
        <w:rPr>
          <w:lang w:val="fr-FR"/>
        </w:rPr>
        <w:t>périodique de la mise en œuvre de la première tranche de la phase II du plan de gestion de l</w:t>
      </w:r>
      <w:r w:rsidR="00D77991">
        <w:rPr>
          <w:lang w:val="fr-FR"/>
        </w:rPr>
        <w:t>’</w:t>
      </w:r>
      <w:r w:rsidRPr="00E82E67">
        <w:rPr>
          <w:lang w:val="fr-FR"/>
        </w:rPr>
        <w:t>élimination des HCFC (PGEH) pour l</w:t>
      </w:r>
      <w:r w:rsidR="00D77991">
        <w:rPr>
          <w:lang w:val="fr-FR"/>
        </w:rPr>
        <w:t>’</w:t>
      </w:r>
      <w:r w:rsidRPr="00E82E67">
        <w:rPr>
          <w:lang w:val="fr-FR"/>
        </w:rPr>
        <w:t>Égypte ;</w:t>
      </w:r>
      <w:r w:rsidRPr="00C3019D">
        <w:rPr>
          <w:lang w:val="fr-FR"/>
        </w:rPr>
        <w:t xml:space="preserve"> </w:t>
      </w:r>
    </w:p>
    <w:p w:rsidR="00E82E67" w:rsidRPr="00C3019D" w:rsidRDefault="00E82E67" w:rsidP="00E82E67">
      <w:pPr>
        <w:pStyle w:val="Heading2"/>
        <w:rPr>
          <w:lang w:val="fr-FR"/>
        </w:rPr>
      </w:pPr>
      <w:r w:rsidRPr="00E82E67">
        <w:rPr>
          <w:lang w:val="fr-FR"/>
        </w:rPr>
        <w:t>Approuver le projet de reconversion d</w:t>
      </w:r>
      <w:r w:rsidR="00D77991">
        <w:rPr>
          <w:lang w:val="fr-FR"/>
        </w:rPr>
        <w:t>’</w:t>
      </w:r>
      <w:r w:rsidRPr="00E82E67">
        <w:rPr>
          <w:lang w:val="fr-FR"/>
        </w:rPr>
        <w:t>El-Araby, Fresh, Miraco, Power et Unionaire pour passer du HCFC-22 au HFC-32, et</w:t>
      </w:r>
      <w:r w:rsidR="0021584D">
        <w:rPr>
          <w:lang w:val="fr-FR"/>
        </w:rPr>
        <w:t xml:space="preserve">, </w:t>
      </w:r>
      <w:r w:rsidRPr="00E82E67">
        <w:rPr>
          <w:lang w:val="fr-FR"/>
        </w:rPr>
        <w:t>si les entreprises en décidaient ainsi une fois que cette technologie sera disponible,</w:t>
      </w:r>
      <w:r w:rsidR="0021584D" w:rsidRPr="00E82E67">
        <w:rPr>
          <w:lang w:val="fr-FR"/>
        </w:rPr>
        <w:t xml:space="preserve"> au R-454B, </w:t>
      </w:r>
      <w:r w:rsidRPr="00E82E67">
        <w:rPr>
          <w:lang w:val="fr-FR"/>
        </w:rPr>
        <w:t>utilisés dans la fabrication des équipements de climatisation</w:t>
      </w:r>
      <w:r w:rsidR="00D77991">
        <w:rPr>
          <w:lang w:val="fr-FR"/>
        </w:rPr>
        <w:t xml:space="preserve"> </w:t>
      </w:r>
      <w:r w:rsidRPr="00E82E67">
        <w:rPr>
          <w:lang w:val="fr-FR"/>
        </w:rPr>
        <w:t>résidentiels</w:t>
      </w:r>
      <w:r w:rsidR="0021584D">
        <w:rPr>
          <w:lang w:val="fr-FR"/>
        </w:rPr>
        <w:t>,</w:t>
      </w:r>
      <w:r w:rsidRPr="00E82E67">
        <w:rPr>
          <w:lang w:val="fr-FR"/>
        </w:rPr>
        <w:t xml:space="preserve"> pour un montant de 10 926 623 $US plus coûts d</w:t>
      </w:r>
      <w:r w:rsidR="00D77991">
        <w:rPr>
          <w:lang w:val="fr-FR"/>
        </w:rPr>
        <w:t>’</w:t>
      </w:r>
      <w:r w:rsidRPr="00E82E67">
        <w:rPr>
          <w:lang w:val="fr-FR"/>
        </w:rPr>
        <w:t>appui de 764 864 $US pour l</w:t>
      </w:r>
      <w:r w:rsidR="00D77991">
        <w:rPr>
          <w:lang w:val="fr-FR"/>
        </w:rPr>
        <w:t>’</w:t>
      </w:r>
      <w:r w:rsidRPr="00E82E67">
        <w:rPr>
          <w:lang w:val="fr-FR"/>
        </w:rPr>
        <w:t>ONUDI ;</w:t>
      </w:r>
    </w:p>
    <w:p w:rsidR="00E82E67" w:rsidRPr="00C3019D" w:rsidRDefault="00E82E67" w:rsidP="00E82E67">
      <w:pPr>
        <w:pStyle w:val="Heading2"/>
        <w:rPr>
          <w:lang w:val="fr-FR"/>
        </w:rPr>
      </w:pPr>
      <w:r w:rsidRPr="00E82E67">
        <w:rPr>
          <w:lang w:val="fr-FR"/>
        </w:rPr>
        <w:t>Déduire</w:t>
      </w:r>
      <w:r w:rsidR="00D77991">
        <w:rPr>
          <w:lang w:val="fr-FR"/>
        </w:rPr>
        <w:t xml:space="preserve"> </w:t>
      </w:r>
      <w:r w:rsidRPr="00E82E67">
        <w:rPr>
          <w:lang w:val="fr-FR"/>
        </w:rPr>
        <w:t>65,44 tonnes PAO de HCFC-22 de la consommation restante de HCFC éligible au financement ;</w:t>
      </w:r>
    </w:p>
    <w:p w:rsidR="00E82E67" w:rsidRPr="00C3019D" w:rsidRDefault="00E82E67" w:rsidP="00E82E67">
      <w:pPr>
        <w:pStyle w:val="Heading2"/>
        <w:rPr>
          <w:lang w:val="fr-FR"/>
        </w:rPr>
      </w:pPr>
      <w:r w:rsidRPr="00E82E67">
        <w:rPr>
          <w:lang w:val="fr-FR"/>
        </w:rPr>
        <w:t>Prendre note de l</w:t>
      </w:r>
      <w:r w:rsidR="00D77991">
        <w:rPr>
          <w:lang w:val="fr-FR"/>
        </w:rPr>
        <w:t>’</w:t>
      </w:r>
      <w:r w:rsidRPr="00E82E67">
        <w:rPr>
          <w:lang w:val="fr-FR"/>
        </w:rPr>
        <w:t>engagement du gouvernement de l</w:t>
      </w:r>
      <w:r w:rsidR="00D77991">
        <w:rPr>
          <w:lang w:val="fr-FR"/>
        </w:rPr>
        <w:t>’</w:t>
      </w:r>
      <w:r w:rsidRPr="00E82E67">
        <w:rPr>
          <w:lang w:val="fr-FR"/>
        </w:rPr>
        <w:t>Égypte de parvenir à un niveau durable de 115,54 tonnes PAO d</w:t>
      </w:r>
      <w:r w:rsidR="00D77991">
        <w:rPr>
          <w:lang w:val="fr-FR"/>
        </w:rPr>
        <w:t>’</w:t>
      </w:r>
      <w:r w:rsidRPr="00E82E67">
        <w:rPr>
          <w:lang w:val="fr-FR"/>
        </w:rPr>
        <w:t>ici au 1</w:t>
      </w:r>
      <w:r w:rsidRPr="00E82E67">
        <w:rPr>
          <w:vertAlign w:val="superscript"/>
          <w:lang w:val="fr-FR"/>
        </w:rPr>
        <w:t>er</w:t>
      </w:r>
      <w:r w:rsidRPr="00E82E67">
        <w:rPr>
          <w:lang w:val="fr-FR"/>
        </w:rPr>
        <w:t xml:space="preserve"> janvier 2025 en conformité avec le calendrier du Protocole de Montréal ;</w:t>
      </w:r>
    </w:p>
    <w:p w:rsidR="00E82E67" w:rsidRPr="00E82E67" w:rsidRDefault="00E82E67" w:rsidP="00C17C20">
      <w:pPr>
        <w:pStyle w:val="Heading2"/>
        <w:keepNext/>
        <w:keepLines/>
        <w:rPr>
          <w:lang w:val="en-CA"/>
        </w:rPr>
      </w:pPr>
      <w:r w:rsidRPr="00E82E67">
        <w:rPr>
          <w:lang w:val="fr-FR"/>
        </w:rPr>
        <w:lastRenderedPageBreak/>
        <w:t>Prendre note : </w:t>
      </w:r>
    </w:p>
    <w:p w:rsidR="00E82E67" w:rsidRPr="00C3019D" w:rsidRDefault="00E82E67" w:rsidP="00C17C20">
      <w:pPr>
        <w:pStyle w:val="Heading3"/>
        <w:keepNext/>
        <w:keepLines/>
        <w:rPr>
          <w:lang w:val="fr-FR"/>
        </w:rPr>
      </w:pPr>
      <w:r w:rsidRPr="00E82E67">
        <w:rPr>
          <w:lang w:val="fr-FR"/>
        </w:rPr>
        <w:t>De l</w:t>
      </w:r>
      <w:r w:rsidR="00D77991">
        <w:rPr>
          <w:lang w:val="fr-FR"/>
        </w:rPr>
        <w:t>’</w:t>
      </w:r>
      <w:r w:rsidRPr="00E82E67">
        <w:rPr>
          <w:lang w:val="fr-FR"/>
        </w:rPr>
        <w:t>engagement du gouvernement de l</w:t>
      </w:r>
      <w:r w:rsidR="00D77991">
        <w:rPr>
          <w:lang w:val="fr-FR"/>
        </w:rPr>
        <w:t>’</w:t>
      </w:r>
      <w:r w:rsidRPr="00E82E67">
        <w:rPr>
          <w:lang w:val="fr-FR"/>
        </w:rPr>
        <w:t>Égypte de :</w:t>
      </w:r>
    </w:p>
    <w:p w:rsidR="00E82E67" w:rsidRPr="00C3019D" w:rsidRDefault="00E82E67" w:rsidP="00C17C20">
      <w:pPr>
        <w:pStyle w:val="Header4"/>
        <w:keepNext/>
        <w:keepLines/>
        <w:rPr>
          <w:lang w:val="fr-FR"/>
        </w:rPr>
      </w:pPr>
      <w:r w:rsidRPr="00E82E67">
        <w:rPr>
          <w:lang w:val="fr-FR"/>
        </w:rPr>
        <w:t>Interdire l</w:t>
      </w:r>
      <w:r w:rsidR="00D77991">
        <w:rPr>
          <w:lang w:val="fr-FR"/>
        </w:rPr>
        <w:t>’</w:t>
      </w:r>
      <w:r w:rsidRPr="00E82E67">
        <w:rPr>
          <w:lang w:val="fr-FR"/>
        </w:rPr>
        <w:t>importation et la fabrication d</w:t>
      </w:r>
      <w:r w:rsidR="00D77991">
        <w:rPr>
          <w:lang w:val="fr-FR"/>
        </w:rPr>
        <w:t>’</w:t>
      </w:r>
      <w:r w:rsidRPr="00E82E67">
        <w:rPr>
          <w:lang w:val="fr-FR"/>
        </w:rPr>
        <w:t>équipements de climatisation résidentiels contenant du</w:t>
      </w:r>
      <w:r w:rsidR="00D77991">
        <w:rPr>
          <w:lang w:val="fr-FR"/>
        </w:rPr>
        <w:t xml:space="preserve"> </w:t>
      </w:r>
      <w:r w:rsidRPr="00E82E67">
        <w:rPr>
          <w:lang w:val="fr-FR"/>
        </w:rPr>
        <w:t>HCFC-22 d</w:t>
      </w:r>
      <w:r w:rsidR="00D77991">
        <w:rPr>
          <w:lang w:val="fr-FR"/>
        </w:rPr>
        <w:t>’</w:t>
      </w:r>
      <w:r w:rsidRPr="00E82E67">
        <w:rPr>
          <w:lang w:val="fr-FR"/>
        </w:rPr>
        <w:t>ici au 1</w:t>
      </w:r>
      <w:r w:rsidRPr="00E82E67">
        <w:rPr>
          <w:vertAlign w:val="superscript"/>
          <w:lang w:val="fr-FR"/>
        </w:rPr>
        <w:t>er</w:t>
      </w:r>
      <w:r w:rsidR="00D77991">
        <w:rPr>
          <w:lang w:val="fr-FR"/>
        </w:rPr>
        <w:t xml:space="preserve"> </w:t>
      </w:r>
      <w:r w:rsidRPr="00E82E67">
        <w:rPr>
          <w:lang w:val="fr-FR"/>
        </w:rPr>
        <w:t>janvier 2023 ;</w:t>
      </w:r>
    </w:p>
    <w:p w:rsidR="00E82E67" w:rsidRPr="00C3019D" w:rsidRDefault="00E82E67" w:rsidP="00E82E67">
      <w:pPr>
        <w:pStyle w:val="Header4"/>
        <w:rPr>
          <w:lang w:val="fr-FR"/>
        </w:rPr>
      </w:pPr>
      <w:r w:rsidRPr="00E82E67">
        <w:rPr>
          <w:lang w:val="fr-FR"/>
        </w:rPr>
        <w:t>Assurer le contrôle intégral des équipements de climatisation résidentiels contenant du</w:t>
      </w:r>
      <w:r w:rsidR="00D77991">
        <w:rPr>
          <w:lang w:val="fr-FR"/>
        </w:rPr>
        <w:t xml:space="preserve"> </w:t>
      </w:r>
      <w:r w:rsidRPr="00E82E67">
        <w:rPr>
          <w:lang w:val="fr-FR"/>
        </w:rPr>
        <w:t xml:space="preserve">R-410A et du R-407C, importés ou mis sur le marché </w:t>
      </w:r>
      <w:r w:rsidRPr="00AC0604">
        <w:rPr>
          <w:lang w:val="fr-FR"/>
        </w:rPr>
        <w:t>local ; et</w:t>
      </w:r>
    </w:p>
    <w:p w:rsidR="00E82E67" w:rsidRPr="00C3019D" w:rsidRDefault="00E82E67" w:rsidP="00E82E67">
      <w:pPr>
        <w:pStyle w:val="Header4"/>
        <w:keepNext/>
        <w:keepLines/>
        <w:rPr>
          <w:lang w:val="fr-FR"/>
        </w:rPr>
      </w:pPr>
      <w:r w:rsidRPr="00AC0604">
        <w:rPr>
          <w:lang w:val="fr-FR"/>
        </w:rPr>
        <w:t>Garantir l</w:t>
      </w:r>
      <w:r w:rsidR="00D77991" w:rsidRPr="00AC0604">
        <w:rPr>
          <w:lang w:val="fr-FR"/>
        </w:rPr>
        <w:t>’</w:t>
      </w:r>
      <w:r w:rsidRPr="00AC0604">
        <w:rPr>
          <w:lang w:val="fr-FR"/>
        </w:rPr>
        <w:t>adoption du HFC-32</w:t>
      </w:r>
      <w:r w:rsidR="0021584D" w:rsidRPr="00AC0604">
        <w:rPr>
          <w:lang w:val="fr-FR"/>
        </w:rPr>
        <w:t xml:space="preserve"> et </w:t>
      </w:r>
      <w:r w:rsidRPr="00AC0604">
        <w:rPr>
          <w:lang w:val="fr-FR"/>
        </w:rPr>
        <w:t xml:space="preserve">si les entreprises </w:t>
      </w:r>
      <w:r w:rsidR="0021584D" w:rsidRPr="00AC0604">
        <w:rPr>
          <w:lang w:val="fr-FR"/>
        </w:rPr>
        <w:t xml:space="preserve">optaient pour cette substance </w:t>
      </w:r>
      <w:r w:rsidRPr="00AC0604">
        <w:rPr>
          <w:lang w:val="fr-FR"/>
        </w:rPr>
        <w:t xml:space="preserve">une fois </w:t>
      </w:r>
      <w:r w:rsidR="0021584D" w:rsidRPr="00AC0604">
        <w:rPr>
          <w:lang w:val="fr-FR"/>
        </w:rPr>
        <w:t>la</w:t>
      </w:r>
      <w:r w:rsidRPr="00AC0604">
        <w:rPr>
          <w:lang w:val="fr-FR"/>
        </w:rPr>
        <w:t xml:space="preserve"> technologie </w:t>
      </w:r>
      <w:r w:rsidR="0021584D" w:rsidRPr="00AC0604">
        <w:rPr>
          <w:lang w:val="fr-FR"/>
        </w:rPr>
        <w:t xml:space="preserve">devenue </w:t>
      </w:r>
      <w:r w:rsidRPr="00AC0604">
        <w:rPr>
          <w:lang w:val="fr-FR"/>
        </w:rPr>
        <w:t>disponible</w:t>
      </w:r>
      <w:r w:rsidR="0021584D" w:rsidRPr="00AC0604">
        <w:rPr>
          <w:lang w:val="fr-FR"/>
        </w:rPr>
        <w:t>, celle  du R-454B par le marché local </w:t>
      </w:r>
      <w:r w:rsidRPr="00AC0604">
        <w:rPr>
          <w:lang w:val="fr-FR"/>
        </w:rPr>
        <w:t>;</w:t>
      </w:r>
      <w:r w:rsidRPr="00C3019D">
        <w:rPr>
          <w:lang w:val="fr-FR"/>
        </w:rPr>
        <w:t xml:space="preserve"> </w:t>
      </w:r>
    </w:p>
    <w:p w:rsidR="00E82E67" w:rsidRPr="00C3019D" w:rsidRDefault="00E82E67" w:rsidP="00E82E67">
      <w:pPr>
        <w:pStyle w:val="Heading3"/>
        <w:rPr>
          <w:lang w:val="fr-FR"/>
        </w:rPr>
      </w:pPr>
      <w:r w:rsidRPr="00E82E67">
        <w:rPr>
          <w:lang w:val="fr-FR"/>
        </w:rPr>
        <w:t>L</w:t>
      </w:r>
      <w:r w:rsidR="00D77991">
        <w:rPr>
          <w:lang w:val="fr-FR"/>
        </w:rPr>
        <w:t>’</w:t>
      </w:r>
      <w:r w:rsidRPr="00E82E67">
        <w:rPr>
          <w:lang w:val="fr-FR"/>
        </w:rPr>
        <w:t>engagement d</w:t>
      </w:r>
      <w:r w:rsidR="00D77991">
        <w:rPr>
          <w:lang w:val="fr-FR"/>
        </w:rPr>
        <w:t>’</w:t>
      </w:r>
      <w:r w:rsidRPr="00E82E67">
        <w:rPr>
          <w:lang w:val="fr-FR"/>
        </w:rPr>
        <w:t>El-Araby, Fresh, Miraco, Power et Unionaire de participer activement aux efforts de promotion de l</w:t>
      </w:r>
      <w:r w:rsidR="00D77991">
        <w:rPr>
          <w:lang w:val="fr-FR"/>
        </w:rPr>
        <w:t>’</w:t>
      </w:r>
      <w:r w:rsidRPr="00E82E67">
        <w:rPr>
          <w:lang w:val="fr-FR"/>
        </w:rPr>
        <w:t>acception sur le marché des équipements de climatisation résidentiels basés sur la technologie convenue et de veiller à ce que</w:t>
      </w:r>
      <w:r w:rsidR="00D77991">
        <w:rPr>
          <w:lang w:val="fr-FR"/>
        </w:rPr>
        <w:t xml:space="preserve"> </w:t>
      </w:r>
      <w:r w:rsidRPr="00E82E67">
        <w:rPr>
          <w:lang w:val="fr-FR"/>
        </w:rPr>
        <w:t>la fabrication de leurs équipements à base de</w:t>
      </w:r>
      <w:r w:rsidR="00D77991">
        <w:rPr>
          <w:lang w:val="fr-FR"/>
        </w:rPr>
        <w:t xml:space="preserve"> </w:t>
      </w:r>
      <w:r w:rsidRPr="00E82E67">
        <w:rPr>
          <w:lang w:val="fr-FR"/>
        </w:rPr>
        <w:t>R-410A destinés au marché local décroisse progressivement jusqu</w:t>
      </w:r>
      <w:r w:rsidR="00D77991">
        <w:rPr>
          <w:lang w:val="fr-FR"/>
        </w:rPr>
        <w:t>’</w:t>
      </w:r>
      <w:r w:rsidRPr="00E82E67">
        <w:rPr>
          <w:lang w:val="fr-FR"/>
        </w:rPr>
        <w:t>à ce que les entreprises fabriquent uniquement des équipements pour le marché local sur la base de la technologie convenue ou d</w:t>
      </w:r>
      <w:r w:rsidR="00D77991">
        <w:rPr>
          <w:lang w:val="fr-FR"/>
        </w:rPr>
        <w:t>’</w:t>
      </w:r>
      <w:r w:rsidRPr="00E82E67">
        <w:rPr>
          <w:lang w:val="fr-FR"/>
        </w:rPr>
        <w:t>une technologie à faible PRP.</w:t>
      </w:r>
    </w:p>
    <w:p w:rsidR="00E82E67" w:rsidRPr="00C3019D" w:rsidRDefault="00151D97" w:rsidP="00151D97">
      <w:pPr>
        <w:pStyle w:val="Heading2"/>
        <w:rPr>
          <w:lang w:val="fr-FR"/>
        </w:rPr>
      </w:pPr>
      <w:r w:rsidRPr="00151D97">
        <w:rPr>
          <w:lang w:val="fr-FR"/>
        </w:rPr>
        <w:t>Que le Secrétariat a mis à jour l</w:t>
      </w:r>
      <w:r w:rsidR="00D77991">
        <w:rPr>
          <w:lang w:val="fr-FR"/>
        </w:rPr>
        <w:t>’</w:t>
      </w:r>
      <w:r w:rsidRPr="00151D97">
        <w:rPr>
          <w:lang w:val="fr-FR"/>
        </w:rPr>
        <w:t>Appendice 2-A de l</w:t>
      </w:r>
      <w:r w:rsidR="00D77991">
        <w:rPr>
          <w:lang w:val="fr-FR"/>
        </w:rPr>
        <w:t>’</w:t>
      </w:r>
      <w:r w:rsidRPr="00151D97">
        <w:rPr>
          <w:lang w:val="fr-FR"/>
        </w:rPr>
        <w:t>accord conclu entre le gouvernement de l</w:t>
      </w:r>
      <w:r w:rsidR="00D77991">
        <w:rPr>
          <w:lang w:val="fr-FR"/>
        </w:rPr>
        <w:t>’</w:t>
      </w:r>
      <w:r w:rsidRPr="00151D97">
        <w:rPr>
          <w:lang w:val="fr-FR"/>
        </w:rPr>
        <w:t>Égypte et le Comité exécutif sur la base de l</w:t>
      </w:r>
      <w:r w:rsidR="00D77991">
        <w:rPr>
          <w:lang w:val="fr-FR"/>
        </w:rPr>
        <w:t>’</w:t>
      </w:r>
      <w:r w:rsidRPr="00151D97">
        <w:rPr>
          <w:lang w:val="fr-FR"/>
        </w:rPr>
        <w:t>approbation de la proposition de projet mentionnée à l</w:t>
      </w:r>
      <w:r w:rsidR="00D77991">
        <w:rPr>
          <w:lang w:val="fr-FR"/>
        </w:rPr>
        <w:t>’</w:t>
      </w:r>
      <w:r w:rsidRPr="00151D97">
        <w:rPr>
          <w:lang w:val="fr-FR"/>
        </w:rPr>
        <w:t>alinéa (b) ci-dessus, ainsi que la déduction du tonnage de HCFC indiqué à l</w:t>
      </w:r>
      <w:r w:rsidR="00D77991">
        <w:rPr>
          <w:lang w:val="fr-FR"/>
        </w:rPr>
        <w:t>’</w:t>
      </w:r>
      <w:r w:rsidRPr="00151D97">
        <w:rPr>
          <w:lang w:val="fr-FR"/>
        </w:rPr>
        <w:t>alinéa (c) ci-dessus, a mis à jour l</w:t>
      </w:r>
      <w:r w:rsidR="00D77991">
        <w:rPr>
          <w:lang w:val="fr-FR"/>
        </w:rPr>
        <w:t>’</w:t>
      </w:r>
      <w:r w:rsidRPr="00151D97">
        <w:rPr>
          <w:lang w:val="fr-FR"/>
        </w:rPr>
        <w:t>objectif de l</w:t>
      </w:r>
      <w:r w:rsidR="00D77991">
        <w:rPr>
          <w:lang w:val="fr-FR"/>
        </w:rPr>
        <w:t>’</w:t>
      </w:r>
      <w:r w:rsidRPr="00151D97">
        <w:rPr>
          <w:lang w:val="fr-FR"/>
        </w:rPr>
        <w:t>usage réglementé indiqué au paragraphe 1 qui passe à 115,54 tonnes PAO, et qu</w:t>
      </w:r>
      <w:r w:rsidR="00D77991">
        <w:rPr>
          <w:lang w:val="fr-FR"/>
        </w:rPr>
        <w:t>’</w:t>
      </w:r>
      <w:r w:rsidRPr="00151D97">
        <w:rPr>
          <w:lang w:val="fr-FR"/>
        </w:rPr>
        <w:t>un nouveau paragraphe, le paragraphe 17,</w:t>
      </w:r>
      <w:r w:rsidR="00D77991">
        <w:rPr>
          <w:lang w:val="fr-FR"/>
        </w:rPr>
        <w:t xml:space="preserve"> </w:t>
      </w:r>
      <w:r w:rsidRPr="00151D97">
        <w:rPr>
          <w:lang w:val="fr-FR"/>
        </w:rPr>
        <w:t>a été ajouté pour indiquer que le présent accord révisé remplace celui conclu</w:t>
      </w:r>
      <w:r w:rsidR="00D77991">
        <w:rPr>
          <w:lang w:val="fr-FR"/>
        </w:rPr>
        <w:t xml:space="preserve"> </w:t>
      </w:r>
      <w:r w:rsidRPr="00151D97">
        <w:rPr>
          <w:lang w:val="fr-FR"/>
        </w:rPr>
        <w:t>à la 79</w:t>
      </w:r>
      <w:r w:rsidRPr="0021584D">
        <w:rPr>
          <w:vertAlign w:val="superscript"/>
          <w:lang w:val="fr-FR"/>
        </w:rPr>
        <w:t>e</w:t>
      </w:r>
      <w:r w:rsidR="00651F5B">
        <w:rPr>
          <w:lang w:val="fr-FR"/>
        </w:rPr>
        <w:t> </w:t>
      </w:r>
      <w:r w:rsidRPr="00151D97">
        <w:rPr>
          <w:lang w:val="fr-FR"/>
        </w:rPr>
        <w:t>réunion du Comité exécutif, et qu</w:t>
      </w:r>
      <w:r w:rsidR="00D77991">
        <w:rPr>
          <w:lang w:val="fr-FR"/>
        </w:rPr>
        <w:t>’</w:t>
      </w:r>
      <w:r w:rsidRPr="00151D97">
        <w:rPr>
          <w:lang w:val="fr-FR"/>
        </w:rPr>
        <w:t>il figure à l</w:t>
      </w:r>
      <w:r w:rsidR="00D77991">
        <w:rPr>
          <w:lang w:val="fr-FR"/>
        </w:rPr>
        <w:t>’</w:t>
      </w:r>
      <w:r w:rsidRPr="00151D97">
        <w:rPr>
          <w:lang w:val="fr-FR"/>
        </w:rPr>
        <w:t>annexe II au présent document ; et</w:t>
      </w:r>
    </w:p>
    <w:p w:rsidR="00151D97" w:rsidRPr="00C3019D" w:rsidRDefault="00151D97" w:rsidP="00151D97">
      <w:pPr>
        <w:pStyle w:val="Heading2"/>
        <w:rPr>
          <w:lang w:val="fr-FR"/>
        </w:rPr>
      </w:pPr>
      <w:r w:rsidRPr="00151D97">
        <w:rPr>
          <w:lang w:val="fr-FR"/>
        </w:rPr>
        <w:t>Approuver la deuxième tranche de la phase I du PGEH pour l</w:t>
      </w:r>
      <w:r w:rsidR="00D77991">
        <w:rPr>
          <w:lang w:val="fr-FR"/>
        </w:rPr>
        <w:t>’</w:t>
      </w:r>
      <w:r w:rsidRPr="00151D97">
        <w:rPr>
          <w:lang w:val="fr-FR"/>
        </w:rPr>
        <w:t>Égypte et le plan de mise en œuvre</w:t>
      </w:r>
      <w:r w:rsidR="00D77991">
        <w:rPr>
          <w:lang w:val="fr-FR"/>
        </w:rPr>
        <w:t xml:space="preserve"> </w:t>
      </w:r>
      <w:r w:rsidRPr="00151D97">
        <w:rPr>
          <w:lang w:val="fr-FR"/>
        </w:rPr>
        <w:t>de la tranche 2019-2022 correspondant, pour un montant de 6 991 764 $US, soit 4 668 214</w:t>
      </w:r>
      <w:r w:rsidR="00D77991">
        <w:rPr>
          <w:lang w:val="fr-FR"/>
        </w:rPr>
        <w:t xml:space="preserve"> </w:t>
      </w:r>
      <w:r w:rsidRPr="00151D97">
        <w:rPr>
          <w:lang w:val="fr-FR"/>
        </w:rPr>
        <w:t>$US plus coûts d</w:t>
      </w:r>
      <w:r w:rsidR="00D77991">
        <w:rPr>
          <w:lang w:val="fr-FR"/>
        </w:rPr>
        <w:t>’</w:t>
      </w:r>
      <w:r w:rsidRPr="00151D97">
        <w:rPr>
          <w:lang w:val="fr-FR"/>
        </w:rPr>
        <w:t>appui d</w:t>
      </w:r>
      <w:r w:rsidR="00D77991">
        <w:rPr>
          <w:lang w:val="fr-FR"/>
        </w:rPr>
        <w:t>’</w:t>
      </w:r>
      <w:r w:rsidRPr="00151D97">
        <w:rPr>
          <w:lang w:val="fr-FR"/>
        </w:rPr>
        <w:t>agence de 326 775 $US pour l</w:t>
      </w:r>
      <w:r w:rsidR="00D77991">
        <w:rPr>
          <w:lang w:val="fr-FR"/>
        </w:rPr>
        <w:t>’</w:t>
      </w:r>
      <w:r w:rsidRPr="00151D97">
        <w:rPr>
          <w:lang w:val="fr-FR"/>
        </w:rPr>
        <w:t>ONUDI, 1 836 750 $US plus coûts d</w:t>
      </w:r>
      <w:r w:rsidR="00D77991">
        <w:rPr>
          <w:lang w:val="fr-FR"/>
        </w:rPr>
        <w:t>’</w:t>
      </w:r>
      <w:r w:rsidRPr="00151D97">
        <w:rPr>
          <w:lang w:val="fr-FR"/>
        </w:rPr>
        <w:t>appui d</w:t>
      </w:r>
      <w:r w:rsidR="00D77991">
        <w:rPr>
          <w:lang w:val="fr-FR"/>
        </w:rPr>
        <w:t>’</w:t>
      </w:r>
      <w:r w:rsidRPr="00151D97">
        <w:rPr>
          <w:lang w:val="fr-FR"/>
        </w:rPr>
        <w:t>agence de 128 573 $US pour le PNUD, 279 500 $US plus coûts d</w:t>
      </w:r>
      <w:r w:rsidR="00D77991">
        <w:rPr>
          <w:lang w:val="fr-FR"/>
        </w:rPr>
        <w:t>’</w:t>
      </w:r>
      <w:r w:rsidRPr="00151D97">
        <w:rPr>
          <w:lang w:val="fr-FR"/>
        </w:rPr>
        <w:t>appui d</w:t>
      </w:r>
      <w:r w:rsidR="00D77991">
        <w:rPr>
          <w:lang w:val="fr-FR"/>
        </w:rPr>
        <w:t>’</w:t>
      </w:r>
      <w:r w:rsidRPr="00151D97">
        <w:rPr>
          <w:lang w:val="fr-FR"/>
        </w:rPr>
        <w:t>agence de 33 394 $US pour le PNUE et</w:t>
      </w:r>
      <w:r w:rsidR="00D77991">
        <w:rPr>
          <w:lang w:val="fr-FR"/>
        </w:rPr>
        <w:t xml:space="preserve"> </w:t>
      </w:r>
      <w:r w:rsidRPr="00151D97">
        <w:rPr>
          <w:lang w:val="fr-FR"/>
        </w:rPr>
        <w:t>207 300 $US plus coûts d</w:t>
      </w:r>
      <w:r w:rsidR="00D77991">
        <w:rPr>
          <w:lang w:val="fr-FR"/>
        </w:rPr>
        <w:t>’</w:t>
      </w:r>
      <w:r w:rsidRPr="00151D97">
        <w:rPr>
          <w:lang w:val="fr-FR"/>
        </w:rPr>
        <w:t>appui d</w:t>
      </w:r>
      <w:r w:rsidR="00D77991">
        <w:rPr>
          <w:lang w:val="fr-FR"/>
        </w:rPr>
        <w:t>’</w:t>
      </w:r>
      <w:r w:rsidRPr="00151D97">
        <w:rPr>
          <w:lang w:val="fr-FR"/>
        </w:rPr>
        <w:t>agence de 26 949 $US</w:t>
      </w:r>
      <w:r w:rsidR="00D77991">
        <w:rPr>
          <w:lang w:val="fr-FR"/>
        </w:rPr>
        <w:t xml:space="preserve"> </w:t>
      </w:r>
      <w:r w:rsidRPr="00151D97">
        <w:rPr>
          <w:lang w:val="fr-FR"/>
        </w:rPr>
        <w:t>pour le gouvernement de l</w:t>
      </w:r>
      <w:r w:rsidR="00D77991">
        <w:rPr>
          <w:lang w:val="fr-FR"/>
        </w:rPr>
        <w:t>’</w:t>
      </w:r>
      <w:r w:rsidRPr="00151D97">
        <w:rPr>
          <w:lang w:val="fr-FR"/>
        </w:rPr>
        <w:t>Allemagne.</w:t>
      </w:r>
      <w:r w:rsidRPr="00C3019D">
        <w:rPr>
          <w:lang w:val="fr-FR"/>
        </w:rPr>
        <w:t xml:space="preserve"> </w:t>
      </w:r>
    </w:p>
    <w:p w:rsidR="00A0166D" w:rsidRPr="00C3019D" w:rsidRDefault="00A0166D" w:rsidP="00A0166D">
      <w:pPr>
        <w:rPr>
          <w:lang w:val="fr-FR"/>
        </w:rPr>
      </w:pPr>
    </w:p>
    <w:p w:rsidR="00A0166D" w:rsidRPr="00C3019D" w:rsidRDefault="00A0166D" w:rsidP="00A0166D">
      <w:pPr>
        <w:rPr>
          <w:lang w:val="fr-FR"/>
        </w:rPr>
      </w:pPr>
    </w:p>
    <w:p w:rsidR="00A0166D" w:rsidRPr="00C3019D" w:rsidRDefault="00A0166D" w:rsidP="00A0166D">
      <w:pPr>
        <w:rPr>
          <w:lang w:val="fr-FR"/>
        </w:rPr>
        <w:sectPr w:rsidR="00A0166D" w:rsidRPr="00C3019D"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A0166D" w:rsidRPr="00151D97" w:rsidRDefault="00151D97" w:rsidP="00A0166D">
      <w:pPr>
        <w:jc w:val="center"/>
        <w:rPr>
          <w:b/>
          <w:lang w:val="en-CA"/>
        </w:rPr>
      </w:pPr>
      <w:r w:rsidRPr="00151D97">
        <w:rPr>
          <w:b/>
          <w:lang w:val="fr-FR"/>
        </w:rPr>
        <w:lastRenderedPageBreak/>
        <w:t>Annexe I</w:t>
      </w:r>
    </w:p>
    <w:p w:rsidR="00A0166D" w:rsidRPr="001F1E0E" w:rsidRDefault="00A0166D" w:rsidP="00A0166D">
      <w:pPr>
        <w:rPr>
          <w:lang w:val="en-CA"/>
        </w:rPr>
      </w:pPr>
    </w:p>
    <w:p w:rsidR="00A0166D" w:rsidRPr="00151D97" w:rsidRDefault="00151D97" w:rsidP="00A0166D">
      <w:pPr>
        <w:jc w:val="center"/>
        <w:rPr>
          <w:b/>
          <w:lang w:val="en-CA"/>
        </w:rPr>
      </w:pPr>
      <w:r w:rsidRPr="00151D97">
        <w:rPr>
          <w:b/>
          <w:lang w:val="fr-FR"/>
        </w:rPr>
        <w:t>EGYPRA</w:t>
      </w:r>
    </w:p>
    <w:p w:rsidR="00A0166D" w:rsidRPr="001F1E0E" w:rsidRDefault="00A0166D" w:rsidP="00A0166D">
      <w:pPr>
        <w:rPr>
          <w:lang w:val="en-CA"/>
        </w:rPr>
      </w:pPr>
    </w:p>
    <w:p w:rsidR="00A0166D" w:rsidRPr="00705A24" w:rsidRDefault="00151D97" w:rsidP="00705A24">
      <w:pPr>
        <w:pStyle w:val="Heading1"/>
        <w:numPr>
          <w:ilvl w:val="0"/>
          <w:numId w:val="26"/>
        </w:numPr>
        <w:rPr>
          <w:lang w:val="en-CA"/>
        </w:rPr>
      </w:pPr>
      <w:r w:rsidRPr="00151D97">
        <w:rPr>
          <w:lang w:val="fr-FR"/>
        </w:rPr>
        <w:t>Dix-neuf prototypes de climatiseurs bibloc</w:t>
      </w:r>
      <w:r w:rsidR="00E1556A">
        <w:rPr>
          <w:lang w:val="fr-FR"/>
        </w:rPr>
        <w:t>s</w:t>
      </w:r>
      <w:r w:rsidRPr="00151D97">
        <w:rPr>
          <w:lang w:val="fr-FR"/>
        </w:rPr>
        <w:t xml:space="preserve"> fabriqué</w:t>
      </w:r>
      <w:r w:rsidR="00E1556A">
        <w:rPr>
          <w:lang w:val="fr-FR"/>
        </w:rPr>
        <w:t>s</w:t>
      </w:r>
      <w:r w:rsidRPr="00151D97">
        <w:rPr>
          <w:lang w:val="fr-FR"/>
        </w:rPr>
        <w:t xml:space="preserve"> sur mesure avec des compresseurs dédiés fournis par plusieurs entreprises ont été testés dans des laboratoires locaux disponibles </w:t>
      </w:r>
      <w:r w:rsidR="00A07469" w:rsidRPr="00151D97">
        <w:rPr>
          <w:lang w:val="fr-FR"/>
        </w:rPr>
        <w:t>accrédités</w:t>
      </w:r>
      <w:r w:rsidR="00A07469">
        <w:rPr>
          <w:lang w:val="fr-FR"/>
        </w:rPr>
        <w:t xml:space="preserve"> </w:t>
      </w:r>
      <w:r w:rsidRPr="00151D97">
        <w:rPr>
          <w:lang w:val="fr-FR"/>
        </w:rPr>
        <w:t>avec des frigorigènes livrés par</w:t>
      </w:r>
      <w:r w:rsidR="00D77991">
        <w:rPr>
          <w:lang w:val="fr-FR"/>
        </w:rPr>
        <w:t xml:space="preserve"> </w:t>
      </w:r>
      <w:r w:rsidRPr="00151D97">
        <w:rPr>
          <w:lang w:val="fr-FR"/>
        </w:rPr>
        <w:t>Arkema, Chemours, Daikin et Honeywell.</w:t>
      </w:r>
      <w:r w:rsidRPr="00C3019D">
        <w:rPr>
          <w:lang w:val="fr-FR"/>
        </w:rPr>
        <w:t xml:space="preserve"> </w:t>
      </w:r>
      <w:r w:rsidRPr="00151D97">
        <w:rPr>
          <w:lang w:val="fr-FR"/>
        </w:rPr>
        <w:t>Les tests ont été répétés aux fins d</w:t>
      </w:r>
      <w:r w:rsidR="00D77991">
        <w:rPr>
          <w:lang w:val="fr-FR"/>
        </w:rPr>
        <w:t>’</w:t>
      </w:r>
      <w:r w:rsidRPr="00151D97">
        <w:rPr>
          <w:lang w:val="fr-FR"/>
        </w:rPr>
        <w:t>optimisation.</w:t>
      </w:r>
    </w:p>
    <w:p w:rsidR="00A0166D" w:rsidRPr="00705A24" w:rsidRDefault="00D76723" w:rsidP="00705A24">
      <w:pPr>
        <w:pStyle w:val="Heading1"/>
        <w:rPr>
          <w:lang w:val="fr-FR"/>
        </w:rPr>
      </w:pPr>
      <w:r w:rsidRPr="00D76723">
        <w:rPr>
          <w:lang w:val="fr-FR"/>
        </w:rPr>
        <w:t>Les résultats montrent qu</w:t>
      </w:r>
      <w:r w:rsidR="00D77991">
        <w:rPr>
          <w:lang w:val="fr-FR"/>
        </w:rPr>
        <w:t>’</w:t>
      </w:r>
      <w:r w:rsidRPr="00D76723">
        <w:rPr>
          <w:lang w:val="fr-FR"/>
        </w:rPr>
        <w:t>il existe un potentiel d</w:t>
      </w:r>
      <w:r w:rsidR="00D77991">
        <w:rPr>
          <w:lang w:val="fr-FR"/>
        </w:rPr>
        <w:t>’</w:t>
      </w:r>
      <w:r w:rsidRPr="00D76723">
        <w:rPr>
          <w:lang w:val="fr-FR"/>
        </w:rPr>
        <w:t>amélioration de la capacité et de l</w:t>
      </w:r>
      <w:r w:rsidR="00D77991">
        <w:rPr>
          <w:lang w:val="fr-FR"/>
        </w:rPr>
        <w:t>’</w:t>
      </w:r>
      <w:r w:rsidRPr="00D76723">
        <w:rPr>
          <w:lang w:val="fr-FR"/>
        </w:rPr>
        <w:t>efficacité énergétique des prototypes fonctionnant avec des produits de remplacement du HCFC-22 et du R-410A (avec de meilleures améliorations pour</w:t>
      </w:r>
      <w:r w:rsidR="00D77991">
        <w:rPr>
          <w:lang w:val="fr-FR"/>
        </w:rPr>
        <w:t xml:space="preserve"> </w:t>
      </w:r>
      <w:r w:rsidRPr="00D76723">
        <w:rPr>
          <w:lang w:val="fr-FR"/>
        </w:rPr>
        <w:t>les solutions de remplacement du R-410A).</w:t>
      </w:r>
      <w:r w:rsidRPr="00C3019D">
        <w:rPr>
          <w:lang w:val="fr-FR"/>
        </w:rPr>
        <w:t xml:space="preserve"> </w:t>
      </w:r>
      <w:r w:rsidRPr="00D76723">
        <w:rPr>
          <w:lang w:val="fr-FR"/>
        </w:rPr>
        <w:t>Ces améliorations dépendent de la disponibilité et de la sélection des composants appropriés pour les unités qui peuvent fournir les résultats exigés.</w:t>
      </w:r>
    </w:p>
    <w:p w:rsidR="00A0166D" w:rsidRPr="00705A24" w:rsidRDefault="00D76723" w:rsidP="00705A24">
      <w:pPr>
        <w:pStyle w:val="Heading1"/>
        <w:rPr>
          <w:lang w:val="fr-FR"/>
        </w:rPr>
      </w:pPr>
      <w:r w:rsidRPr="00D76723">
        <w:rPr>
          <w:lang w:val="fr-FR"/>
        </w:rPr>
        <w:t>Il existe un besoin de renforcement des capacités pour permettre aux fabricants de concevoir, optimiser et essayer les dispositifs avec des frigorigènes inflammables afin d</w:t>
      </w:r>
      <w:r w:rsidR="00D77991">
        <w:rPr>
          <w:lang w:val="fr-FR"/>
        </w:rPr>
        <w:t>’</w:t>
      </w:r>
      <w:r w:rsidRPr="00D76723">
        <w:rPr>
          <w:lang w:val="fr-FR"/>
        </w:rPr>
        <w:t>améliorer les performances et répondre aux normes d</w:t>
      </w:r>
      <w:r w:rsidR="00D77991">
        <w:rPr>
          <w:lang w:val="fr-FR"/>
        </w:rPr>
        <w:t>’</w:t>
      </w:r>
      <w:r w:rsidRPr="00D76723">
        <w:rPr>
          <w:lang w:val="fr-FR"/>
        </w:rPr>
        <w:t>efficacité énergétique, et d</w:t>
      </w:r>
      <w:r w:rsidR="00D77991">
        <w:rPr>
          <w:lang w:val="fr-FR"/>
        </w:rPr>
        <w:t>’</w:t>
      </w:r>
      <w:r w:rsidRPr="00D76723">
        <w:rPr>
          <w:lang w:val="fr-FR"/>
        </w:rPr>
        <w:t>améliorer leurs installations d</w:t>
      </w:r>
      <w:r w:rsidR="00D77991">
        <w:rPr>
          <w:lang w:val="fr-FR"/>
        </w:rPr>
        <w:t>’</w:t>
      </w:r>
      <w:r w:rsidRPr="00D76723">
        <w:rPr>
          <w:lang w:val="fr-FR"/>
        </w:rPr>
        <w:t xml:space="preserve">essais </w:t>
      </w:r>
      <w:r w:rsidR="00A07469">
        <w:rPr>
          <w:lang w:val="fr-FR"/>
        </w:rPr>
        <w:t xml:space="preserve">non seulement </w:t>
      </w:r>
      <w:r w:rsidRPr="00D76723">
        <w:rPr>
          <w:lang w:val="fr-FR"/>
        </w:rPr>
        <w:t>en termes d</w:t>
      </w:r>
      <w:r w:rsidR="00D77991">
        <w:rPr>
          <w:lang w:val="fr-FR"/>
        </w:rPr>
        <w:t>’</w:t>
      </w:r>
      <w:r w:rsidRPr="00D76723">
        <w:rPr>
          <w:lang w:val="fr-FR"/>
        </w:rPr>
        <w:t xml:space="preserve">instrumentation </w:t>
      </w:r>
      <w:r w:rsidR="00A07469">
        <w:rPr>
          <w:lang w:val="fr-FR"/>
        </w:rPr>
        <w:t xml:space="preserve">mais aussi </w:t>
      </w:r>
      <w:r w:rsidR="00AC0604">
        <w:rPr>
          <w:lang w:val="fr-FR"/>
        </w:rPr>
        <w:t>au niveau de</w:t>
      </w:r>
      <w:r w:rsidRPr="00D76723">
        <w:rPr>
          <w:lang w:val="fr-FR"/>
        </w:rPr>
        <w:t xml:space="preserve"> la manipulation des frigorigènes inflammables.</w:t>
      </w:r>
      <w:r w:rsidRPr="00C3019D">
        <w:rPr>
          <w:lang w:val="fr-FR"/>
        </w:rPr>
        <w:t xml:space="preserve"> </w:t>
      </w:r>
      <w:r w:rsidR="00DB1EA4" w:rsidRPr="00DB1EA4">
        <w:rPr>
          <w:lang w:val="fr-FR"/>
        </w:rPr>
        <w:t>Les résultats de</w:t>
      </w:r>
      <w:r w:rsidR="00A07469">
        <w:rPr>
          <w:lang w:val="fr-FR"/>
        </w:rPr>
        <w:t>s</w:t>
      </w:r>
      <w:r w:rsidR="00DB1EA4" w:rsidRPr="00DB1EA4">
        <w:rPr>
          <w:lang w:val="fr-FR"/>
        </w:rPr>
        <w:t xml:space="preserve"> tests montrent que tous les frigorigènes utilisés dans le projet sont des produits de remplacement viables d</w:t>
      </w:r>
      <w:r w:rsidR="00D77991">
        <w:rPr>
          <w:lang w:val="fr-FR"/>
        </w:rPr>
        <w:t>’</w:t>
      </w:r>
      <w:r w:rsidR="00DB1EA4" w:rsidRPr="00DB1EA4">
        <w:rPr>
          <w:lang w:val="fr-FR"/>
        </w:rPr>
        <w:t>un point de vue thermodynamique ; toutefois, en comparaison avec les Normes de rendement énergétique minimum pour l</w:t>
      </w:r>
      <w:r w:rsidR="00D77991">
        <w:rPr>
          <w:lang w:val="fr-FR"/>
        </w:rPr>
        <w:t>’</w:t>
      </w:r>
      <w:r w:rsidR="00DB1EA4" w:rsidRPr="00DB1EA4">
        <w:rPr>
          <w:lang w:val="fr-FR"/>
        </w:rPr>
        <w:t>Égypte, les résultats montrent que cela ne sera pas facile pour l</w:t>
      </w:r>
      <w:r w:rsidR="00D77991">
        <w:rPr>
          <w:lang w:val="fr-FR"/>
        </w:rPr>
        <w:t>’</w:t>
      </w:r>
      <w:r w:rsidR="00DB1EA4" w:rsidRPr="00DB1EA4">
        <w:rPr>
          <w:lang w:val="fr-FR"/>
        </w:rPr>
        <w:t>industrie de fournir au cours des prochaines années des dispositifs de climatisation à haut rendement répondant à des exigences rigoureuses.</w:t>
      </w:r>
      <w:r w:rsidR="00DB1EA4" w:rsidRPr="00C3019D">
        <w:rPr>
          <w:lang w:val="fr-FR"/>
        </w:rPr>
        <w:t xml:space="preserve"> </w:t>
      </w:r>
      <w:r w:rsidR="00DB1EA4" w:rsidRPr="00DB1EA4">
        <w:rPr>
          <w:lang w:val="fr-FR"/>
        </w:rPr>
        <w:t>En outre, la viabilité en termes d</w:t>
      </w:r>
      <w:r w:rsidR="00D77991">
        <w:rPr>
          <w:lang w:val="fr-FR"/>
        </w:rPr>
        <w:t>’</w:t>
      </w:r>
      <w:r w:rsidR="00DB1EA4" w:rsidRPr="00DB1EA4">
        <w:rPr>
          <w:lang w:val="fr-FR"/>
        </w:rPr>
        <w:t>autres critères comme la</w:t>
      </w:r>
      <w:r w:rsidR="00D77991">
        <w:rPr>
          <w:lang w:val="fr-FR"/>
        </w:rPr>
        <w:t xml:space="preserve"> </w:t>
      </w:r>
      <w:r w:rsidR="00DB1EA4" w:rsidRPr="00DB1EA4">
        <w:rPr>
          <w:lang w:val="fr-FR"/>
        </w:rPr>
        <w:t>compatibilité, la disponibilité commerciale, la sécurité et les coûts</w:t>
      </w:r>
      <w:r w:rsidR="00D77991">
        <w:rPr>
          <w:lang w:val="fr-FR"/>
        </w:rPr>
        <w:t xml:space="preserve"> </w:t>
      </w:r>
      <w:r w:rsidR="00DB1EA4" w:rsidRPr="00DB1EA4">
        <w:rPr>
          <w:lang w:val="fr-FR"/>
        </w:rPr>
        <w:t>doit faire l</w:t>
      </w:r>
      <w:r w:rsidR="00D77991">
        <w:rPr>
          <w:lang w:val="fr-FR"/>
        </w:rPr>
        <w:t>’</w:t>
      </w:r>
      <w:r w:rsidR="00DB1EA4" w:rsidRPr="00DB1EA4">
        <w:rPr>
          <w:lang w:val="fr-FR"/>
        </w:rPr>
        <w:t>objet de recherches plus poussées.</w:t>
      </w:r>
    </w:p>
    <w:p w:rsidR="00DB1EA4" w:rsidRPr="00C3019D" w:rsidRDefault="00DB1EA4" w:rsidP="00DB1EA4">
      <w:pPr>
        <w:pStyle w:val="Heading1"/>
        <w:rPr>
          <w:lang w:val="fr-FR"/>
        </w:rPr>
      </w:pPr>
      <w:r w:rsidRPr="00DB1EA4">
        <w:rPr>
          <w:lang w:val="fr-FR"/>
        </w:rPr>
        <w:t xml:space="preserve">Le Secrétariat a </w:t>
      </w:r>
      <w:r w:rsidR="00A07469">
        <w:rPr>
          <w:lang w:val="fr-FR"/>
        </w:rPr>
        <w:t>voulu</w:t>
      </w:r>
      <w:r w:rsidRPr="00DB1EA4">
        <w:rPr>
          <w:lang w:val="fr-FR"/>
        </w:rPr>
        <w:t xml:space="preserve"> savoir si les constatations et les conclusions de l</w:t>
      </w:r>
      <w:r w:rsidR="00D77991">
        <w:rPr>
          <w:lang w:val="fr-FR"/>
        </w:rPr>
        <w:t>’</w:t>
      </w:r>
      <w:r w:rsidRPr="00DB1EA4">
        <w:rPr>
          <w:lang w:val="fr-FR"/>
        </w:rPr>
        <w:t>EGYPRA étaient les</w:t>
      </w:r>
      <w:r w:rsidR="00D77991">
        <w:rPr>
          <w:lang w:val="fr-FR"/>
        </w:rPr>
        <w:t xml:space="preserve"> </w:t>
      </w:r>
      <w:r w:rsidRPr="00DB1EA4">
        <w:rPr>
          <w:lang w:val="fr-FR"/>
        </w:rPr>
        <w:t>mêmes que celles d</w:t>
      </w:r>
      <w:r w:rsidR="00D77991">
        <w:rPr>
          <w:lang w:val="fr-FR"/>
        </w:rPr>
        <w:t>’</w:t>
      </w:r>
      <w:r w:rsidRPr="00DB1EA4">
        <w:rPr>
          <w:lang w:val="fr-FR"/>
        </w:rPr>
        <w:t>autres programmes d</w:t>
      </w:r>
      <w:r w:rsidR="00D77991">
        <w:rPr>
          <w:lang w:val="fr-FR"/>
        </w:rPr>
        <w:t>’</w:t>
      </w:r>
      <w:r w:rsidRPr="00DB1EA4">
        <w:rPr>
          <w:lang w:val="fr-FR"/>
        </w:rPr>
        <w:t>essais qui avaient également testé des solutions de remplacement à faible PRP dans le secteur de la fabrication d</w:t>
      </w:r>
      <w:r w:rsidR="00D77991">
        <w:rPr>
          <w:lang w:val="fr-FR"/>
        </w:rPr>
        <w:t>’</w:t>
      </w:r>
      <w:r w:rsidRPr="00DB1EA4">
        <w:rPr>
          <w:lang w:val="fr-FR"/>
        </w:rPr>
        <w:t>équipements de climatisation, notamment des projets de démonstration financés par le Fonds Multilatéral.</w:t>
      </w:r>
      <w:r w:rsidRPr="00C3019D">
        <w:rPr>
          <w:lang w:val="fr-FR"/>
        </w:rPr>
        <w:t xml:space="preserve"> </w:t>
      </w:r>
      <w:r w:rsidRPr="00DB1EA4">
        <w:rPr>
          <w:lang w:val="fr-FR"/>
        </w:rPr>
        <w:t>Le tableau 1 compare les critères de conception, les</w:t>
      </w:r>
      <w:r w:rsidR="00D77991">
        <w:rPr>
          <w:lang w:val="fr-FR"/>
        </w:rPr>
        <w:t xml:space="preserve"> </w:t>
      </w:r>
      <w:r w:rsidRPr="00DB1EA4">
        <w:rPr>
          <w:lang w:val="fr-FR"/>
        </w:rPr>
        <w:t>protocoles d</w:t>
      </w:r>
      <w:r w:rsidR="00D77991">
        <w:rPr>
          <w:lang w:val="fr-FR"/>
        </w:rPr>
        <w:t>’</w:t>
      </w:r>
      <w:r w:rsidRPr="00DB1EA4">
        <w:rPr>
          <w:lang w:val="fr-FR"/>
        </w:rPr>
        <w:t>essais, les frigorigènes testés et les contraintes pour quatre programmes de test :</w:t>
      </w:r>
      <w:r w:rsidRPr="00C3019D">
        <w:rPr>
          <w:lang w:val="fr-FR"/>
        </w:rPr>
        <w:t xml:space="preserve"> </w:t>
      </w:r>
      <w:r w:rsidRPr="00DB1EA4">
        <w:rPr>
          <w:lang w:val="fr-FR"/>
        </w:rPr>
        <w:t>AREP</w:t>
      </w:r>
      <w:r w:rsidRPr="00DB1EA4">
        <w:rPr>
          <w:lang w:val="fr-FR"/>
        </w:rPr>
        <w:noBreakHyphen/>
        <w:t>II</w:t>
      </w:r>
      <w:r w:rsidRPr="00DB1EA4">
        <w:rPr>
          <w:rStyle w:val="FootnoteReference"/>
          <w:lang w:val="fr-FR"/>
        </w:rPr>
        <w:footnoteReference w:id="18"/>
      </w:r>
      <w:r w:rsidRPr="00DB1EA4">
        <w:rPr>
          <w:lang w:val="fr-FR"/>
        </w:rPr>
        <w:t>, EGYPRA, ORNL</w:t>
      </w:r>
      <w:r w:rsidRPr="00DB1EA4">
        <w:rPr>
          <w:rStyle w:val="FootnoteReference"/>
          <w:lang w:val="fr-FR"/>
        </w:rPr>
        <w:footnoteReference w:id="19"/>
      </w:r>
      <w:r w:rsidRPr="00DB1EA4">
        <w:rPr>
          <w:lang w:val="fr-FR"/>
        </w:rPr>
        <w:t xml:space="preserve"> et PRAHA</w:t>
      </w:r>
      <w:r w:rsidRPr="00DB1EA4">
        <w:rPr>
          <w:rStyle w:val="FootnoteReference"/>
          <w:lang w:val="fr-FR"/>
        </w:rPr>
        <w:footnoteReference w:id="20"/>
      </w:r>
      <w:r w:rsidRPr="00DB1EA4">
        <w:rPr>
          <w:lang w:val="fr-FR"/>
        </w:rPr>
        <w:t> :</w:t>
      </w:r>
    </w:p>
    <w:p w:rsidR="00A0166D" w:rsidRPr="00C3019D" w:rsidRDefault="00DB1EA4" w:rsidP="00A0166D">
      <w:pPr>
        <w:keepNext/>
        <w:keepLines/>
        <w:rPr>
          <w:b/>
          <w:lang w:val="fr-FR"/>
        </w:rPr>
      </w:pPr>
      <w:r w:rsidRPr="00DB1EA4">
        <w:rPr>
          <w:b/>
          <w:lang w:val="fr-FR"/>
        </w:rPr>
        <w:lastRenderedPageBreak/>
        <w:t>Tableau 1.</w:t>
      </w:r>
      <w:r w:rsidR="00D77991">
        <w:rPr>
          <w:b/>
          <w:lang w:val="fr-FR"/>
        </w:rPr>
        <w:t xml:space="preserve"> </w:t>
      </w:r>
      <w:r w:rsidRPr="00DB1EA4">
        <w:rPr>
          <w:b/>
          <w:lang w:val="fr-FR"/>
        </w:rPr>
        <w:t>Comparaison entre les programmes de tests PRAHA, EGYPRA, ORNL et AREP-II</w:t>
      </w:r>
    </w:p>
    <w:tbl>
      <w:tblPr>
        <w:tblW w:w="11585" w:type="dxa"/>
        <w:jc w:val="center"/>
        <w:tblCellMar>
          <w:left w:w="29" w:type="dxa"/>
          <w:right w:w="0" w:type="dxa"/>
        </w:tblCellMar>
        <w:tblLook w:val="0600" w:firstRow="0" w:lastRow="0" w:firstColumn="0" w:lastColumn="0" w:noHBand="1" w:noVBand="1"/>
      </w:tblPr>
      <w:tblGrid>
        <w:gridCol w:w="202"/>
        <w:gridCol w:w="1004"/>
        <w:gridCol w:w="650"/>
        <w:gridCol w:w="595"/>
        <w:gridCol w:w="644"/>
        <w:gridCol w:w="774"/>
        <w:gridCol w:w="695"/>
        <w:gridCol w:w="695"/>
        <w:gridCol w:w="695"/>
        <w:gridCol w:w="706"/>
        <w:gridCol w:w="872"/>
        <w:gridCol w:w="1378"/>
        <w:gridCol w:w="2675"/>
      </w:tblGrid>
      <w:tr w:rsidR="00B36687" w:rsidRPr="001F1E0E" w:rsidTr="00A07469">
        <w:trPr>
          <w:trHeight w:val="291"/>
          <w:tblHeader/>
          <w:jc w:val="center"/>
        </w:trPr>
        <w:tc>
          <w:tcPr>
            <w:tcW w:w="1206"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ind w:hanging="280"/>
              <w:jc w:val="center"/>
              <w:textAlignment w:val="center"/>
              <w:rPr>
                <w:sz w:val="18"/>
                <w:szCs w:val="18"/>
                <w:lang w:val="en-CA"/>
              </w:rPr>
            </w:pPr>
            <w:r w:rsidRPr="00E92A0F">
              <w:rPr>
                <w:b/>
                <w:bCs/>
                <w:kern w:val="24"/>
                <w:sz w:val="18"/>
                <w:szCs w:val="18"/>
                <w:lang w:val="fr-FR"/>
              </w:rPr>
              <w:t>Programme</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center"/>
              <w:textAlignment w:val="center"/>
              <w:rPr>
                <w:sz w:val="18"/>
                <w:szCs w:val="18"/>
                <w:lang w:val="en-CA"/>
              </w:rPr>
            </w:pPr>
            <w:r w:rsidRPr="00E92A0F">
              <w:rPr>
                <w:b/>
                <w:bCs/>
                <w:kern w:val="24"/>
                <w:sz w:val="18"/>
                <w:szCs w:val="18"/>
                <w:lang w:val="fr-FR"/>
              </w:rPr>
              <w:t>PRAHA</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center"/>
              <w:textAlignment w:val="center"/>
              <w:rPr>
                <w:sz w:val="18"/>
                <w:szCs w:val="18"/>
                <w:lang w:val="en-CA"/>
              </w:rPr>
            </w:pPr>
            <w:r w:rsidRPr="00E92A0F">
              <w:rPr>
                <w:b/>
                <w:bCs/>
                <w:kern w:val="24"/>
                <w:sz w:val="18"/>
                <w:szCs w:val="18"/>
                <w:lang w:val="fr-FR"/>
              </w:rPr>
              <w:t>EGYPRA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center"/>
              <w:textAlignment w:val="center"/>
              <w:rPr>
                <w:sz w:val="18"/>
                <w:szCs w:val="18"/>
                <w:lang w:val="en-CA"/>
              </w:rPr>
            </w:pPr>
            <w:r w:rsidRPr="00E92A0F">
              <w:rPr>
                <w:b/>
                <w:bCs/>
                <w:kern w:val="24"/>
                <w:sz w:val="18"/>
                <w:szCs w:val="18"/>
                <w:lang w:val="fr-FR"/>
              </w:rPr>
              <w:t>ORNL – Phase I (Mini climatiseurs biblocs)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center"/>
              <w:textAlignment w:val="center"/>
              <w:rPr>
                <w:sz w:val="18"/>
                <w:szCs w:val="18"/>
                <w:lang w:val="en-CA"/>
              </w:rPr>
            </w:pPr>
            <w:r w:rsidRPr="00E92A0F">
              <w:rPr>
                <w:b/>
                <w:bCs/>
                <w:kern w:val="24"/>
                <w:sz w:val="18"/>
                <w:szCs w:val="18"/>
                <w:lang w:val="fr-FR"/>
              </w:rPr>
              <w:t>AREP-II</w:t>
            </w:r>
          </w:p>
        </w:tc>
      </w:tr>
      <w:tr w:rsidR="00B36687" w:rsidRPr="00C17C20" w:rsidTr="00A07469">
        <w:trPr>
          <w:trHeight w:val="588"/>
          <w:jc w:val="center"/>
        </w:trPr>
        <w:tc>
          <w:tcPr>
            <w:tcW w:w="20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keepNext/>
              <w:keepLines/>
              <w:jc w:val="center"/>
              <w:textAlignment w:val="center"/>
              <w:rPr>
                <w:sz w:val="18"/>
                <w:szCs w:val="18"/>
                <w:lang w:val="en-CA"/>
              </w:rPr>
            </w:pPr>
            <w:r w:rsidRPr="001F1E0E">
              <w:rPr>
                <w:b/>
                <w:bCs/>
                <w:kern w:val="24"/>
                <w:sz w:val="18"/>
                <w:szCs w:val="18"/>
                <w:lang w:val="en-CA"/>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left"/>
              <w:textAlignment w:val="center"/>
              <w:rPr>
                <w:sz w:val="18"/>
                <w:szCs w:val="18"/>
                <w:lang w:val="en-CA"/>
              </w:rPr>
            </w:pPr>
            <w:r w:rsidRPr="00E92A0F">
              <w:rPr>
                <w:b/>
                <w:bCs/>
                <w:kern w:val="24"/>
                <w:sz w:val="18"/>
                <w:szCs w:val="18"/>
                <w:lang w:val="fr-FR"/>
              </w:rPr>
              <w:t>Type de test</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E92A0F" w:rsidP="005B6FC5">
            <w:pPr>
              <w:keepNext/>
              <w:keepLines/>
              <w:jc w:val="left"/>
              <w:textAlignment w:val="center"/>
              <w:rPr>
                <w:sz w:val="18"/>
                <w:szCs w:val="18"/>
                <w:lang w:val="fr-FR"/>
              </w:rPr>
            </w:pPr>
            <w:r w:rsidRPr="00E92A0F">
              <w:rPr>
                <w:kern w:val="24"/>
                <w:sz w:val="18"/>
                <w:szCs w:val="18"/>
                <w:lang w:val="fr-FR"/>
              </w:rPr>
              <w:t>Prototypes de test fabriqués sur mesure, comparaison avec les dispositifs de base :</w:t>
            </w:r>
            <w:r w:rsidR="00A0166D" w:rsidRPr="00C3019D">
              <w:rPr>
                <w:kern w:val="24"/>
                <w:sz w:val="18"/>
                <w:szCs w:val="18"/>
                <w:lang w:val="fr-FR"/>
              </w:rPr>
              <w:t xml:space="preserve"> </w:t>
            </w:r>
            <w:r w:rsidRPr="00E92A0F">
              <w:rPr>
                <w:kern w:val="24"/>
                <w:sz w:val="18"/>
                <w:szCs w:val="18"/>
                <w:lang w:val="fr-FR"/>
              </w:rPr>
              <w:t>HCFC</w:t>
            </w:r>
            <w:r w:rsidRPr="00E92A0F">
              <w:rPr>
                <w:kern w:val="24"/>
                <w:sz w:val="18"/>
                <w:szCs w:val="18"/>
                <w:lang w:val="fr-FR"/>
              </w:rPr>
              <w:noBreakHyphen/>
              <w:t>22 et R-410A</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E92A0F" w:rsidP="005B6FC5">
            <w:pPr>
              <w:keepNext/>
              <w:keepLines/>
              <w:jc w:val="left"/>
              <w:textAlignment w:val="center"/>
              <w:rPr>
                <w:sz w:val="18"/>
                <w:szCs w:val="18"/>
                <w:lang w:val="fr-FR"/>
              </w:rPr>
            </w:pPr>
            <w:r w:rsidRPr="00E92A0F">
              <w:rPr>
                <w:kern w:val="24"/>
                <w:sz w:val="18"/>
                <w:szCs w:val="18"/>
                <w:lang w:val="fr-FR"/>
              </w:rPr>
              <w:t>Prototypes de test fabriqués sur mesure, comparaison avec les dispositifs de base :</w:t>
            </w:r>
            <w:r w:rsidR="00A0166D" w:rsidRPr="00C3019D">
              <w:rPr>
                <w:kern w:val="24"/>
                <w:sz w:val="18"/>
                <w:szCs w:val="18"/>
                <w:lang w:val="fr-FR"/>
              </w:rPr>
              <w:t xml:space="preserve"> </w:t>
            </w:r>
            <w:r w:rsidRPr="00E92A0F">
              <w:rPr>
                <w:kern w:val="24"/>
                <w:sz w:val="18"/>
                <w:szCs w:val="18"/>
                <w:lang w:val="fr-FR"/>
              </w:rPr>
              <w:t>HCFC-22 et R-410A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E92A0F" w:rsidP="00FD437A">
            <w:pPr>
              <w:keepNext/>
              <w:keepLines/>
              <w:jc w:val="left"/>
              <w:textAlignment w:val="center"/>
              <w:rPr>
                <w:sz w:val="18"/>
                <w:szCs w:val="18"/>
                <w:lang w:val="fr-FR"/>
              </w:rPr>
            </w:pPr>
            <w:r w:rsidRPr="00E92A0F">
              <w:rPr>
                <w:kern w:val="24"/>
                <w:sz w:val="18"/>
                <w:szCs w:val="18"/>
                <w:lang w:val="fr-FR"/>
              </w:rPr>
              <w:t xml:space="preserve">Tests avec optimisation </w:t>
            </w:r>
            <w:r w:rsidR="00FD437A">
              <w:rPr>
                <w:kern w:val="24"/>
                <w:sz w:val="18"/>
                <w:szCs w:val="18"/>
                <w:lang w:val="fr-FR"/>
              </w:rPr>
              <w:t>douce</w:t>
            </w:r>
            <w:r w:rsidRPr="00E92A0F">
              <w:rPr>
                <w:kern w:val="24"/>
                <w:sz w:val="18"/>
                <w:szCs w:val="18"/>
                <w:lang w:val="fr-FR"/>
              </w:rPr>
              <w:t>, comparaison avec les dispositifs de base :</w:t>
            </w:r>
            <w:r w:rsidR="00A0166D" w:rsidRPr="00C3019D">
              <w:rPr>
                <w:kern w:val="24"/>
                <w:sz w:val="18"/>
                <w:szCs w:val="18"/>
                <w:lang w:val="fr-FR"/>
              </w:rPr>
              <w:t xml:space="preserve"> </w:t>
            </w:r>
            <w:r w:rsidRPr="00E92A0F">
              <w:rPr>
                <w:kern w:val="24"/>
                <w:sz w:val="18"/>
                <w:szCs w:val="18"/>
                <w:lang w:val="fr-FR"/>
              </w:rPr>
              <w:t>HCFC-22 et R-410A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E92A0F" w:rsidP="00FD437A">
            <w:pPr>
              <w:keepNext/>
              <w:keepLines/>
              <w:jc w:val="left"/>
              <w:textAlignment w:val="bottom"/>
              <w:rPr>
                <w:sz w:val="18"/>
                <w:szCs w:val="18"/>
                <w:lang w:val="fr-FR"/>
              </w:rPr>
            </w:pPr>
            <w:r w:rsidRPr="00E92A0F">
              <w:rPr>
                <w:kern w:val="24"/>
                <w:sz w:val="18"/>
                <w:szCs w:val="18"/>
                <w:lang w:val="fr-FR"/>
              </w:rPr>
              <w:t xml:space="preserve">Optimisation </w:t>
            </w:r>
            <w:r w:rsidR="00FD437A">
              <w:rPr>
                <w:kern w:val="24"/>
                <w:sz w:val="18"/>
                <w:szCs w:val="18"/>
                <w:lang w:val="fr-FR"/>
              </w:rPr>
              <w:t>douce</w:t>
            </w:r>
            <w:r w:rsidRPr="00E92A0F">
              <w:rPr>
                <w:kern w:val="24"/>
                <w:sz w:val="18"/>
                <w:szCs w:val="18"/>
                <w:lang w:val="fr-FR"/>
              </w:rPr>
              <w:t xml:space="preserve"> ou</w:t>
            </w:r>
            <w:r w:rsidR="00D77991">
              <w:rPr>
                <w:kern w:val="24"/>
                <w:sz w:val="18"/>
                <w:szCs w:val="18"/>
                <w:lang w:val="fr-FR"/>
              </w:rPr>
              <w:t xml:space="preserve"> </w:t>
            </w:r>
            <w:r w:rsidRPr="00E92A0F">
              <w:rPr>
                <w:kern w:val="24"/>
                <w:sz w:val="18"/>
                <w:szCs w:val="18"/>
                <w:lang w:val="fr-FR"/>
              </w:rPr>
              <w:t>substitution directe d</w:t>
            </w:r>
            <w:r w:rsidR="00D77991">
              <w:rPr>
                <w:kern w:val="24"/>
                <w:sz w:val="18"/>
                <w:szCs w:val="18"/>
                <w:lang w:val="fr-FR"/>
              </w:rPr>
              <w:t>’</w:t>
            </w:r>
            <w:r w:rsidRPr="00E92A0F">
              <w:rPr>
                <w:kern w:val="24"/>
                <w:sz w:val="18"/>
                <w:szCs w:val="18"/>
                <w:lang w:val="fr-FR"/>
              </w:rPr>
              <w:t>unités individuelles par rapport à une unité de base avec</w:t>
            </w:r>
            <w:r w:rsidR="00D77991">
              <w:rPr>
                <w:kern w:val="24"/>
                <w:sz w:val="18"/>
                <w:szCs w:val="18"/>
                <w:lang w:val="fr-FR"/>
              </w:rPr>
              <w:t xml:space="preserve"> </w:t>
            </w:r>
            <w:r w:rsidRPr="00E92A0F">
              <w:rPr>
                <w:kern w:val="24"/>
                <w:sz w:val="18"/>
                <w:szCs w:val="18"/>
                <w:lang w:val="fr-FR"/>
              </w:rPr>
              <w:t>R-410A</w:t>
            </w:r>
          </w:p>
        </w:tc>
      </w:tr>
      <w:tr w:rsidR="00B36687" w:rsidRPr="00C17C20" w:rsidTr="00A07469">
        <w:trPr>
          <w:trHeight w:val="1209"/>
          <w:jc w:val="center"/>
        </w:trPr>
        <w:tc>
          <w:tcPr>
            <w:tcW w:w="20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keepNext/>
              <w:keepLines/>
              <w:jc w:val="center"/>
              <w:textAlignment w:val="center"/>
              <w:rPr>
                <w:sz w:val="18"/>
                <w:szCs w:val="18"/>
                <w:lang w:val="en-CA"/>
              </w:rPr>
            </w:pPr>
            <w:r w:rsidRPr="001F1E0E">
              <w:rPr>
                <w:b/>
                <w:bCs/>
                <w:kern w:val="24"/>
                <w:sz w:val="18"/>
                <w:szCs w:val="18"/>
                <w:lang w:val="en-CA"/>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E92A0F" w:rsidRDefault="00E92A0F" w:rsidP="005B6FC5">
            <w:pPr>
              <w:keepNext/>
              <w:keepLines/>
              <w:jc w:val="left"/>
              <w:textAlignment w:val="center"/>
              <w:rPr>
                <w:sz w:val="18"/>
                <w:szCs w:val="18"/>
                <w:lang w:val="en-CA"/>
              </w:rPr>
            </w:pPr>
            <w:r w:rsidRPr="00E92A0F">
              <w:rPr>
                <w:b/>
                <w:bCs/>
                <w:kern w:val="24"/>
                <w:sz w:val="18"/>
                <w:szCs w:val="18"/>
                <w:lang w:val="fr-FR"/>
              </w:rPr>
              <w:t>Nbre de prototypes</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E92A0F" w:rsidP="00AC0604">
            <w:pPr>
              <w:keepNext/>
              <w:keepLines/>
              <w:jc w:val="left"/>
              <w:textAlignment w:val="center"/>
              <w:rPr>
                <w:sz w:val="18"/>
                <w:szCs w:val="18"/>
                <w:lang w:val="fr-FR"/>
              </w:rPr>
            </w:pPr>
            <w:r w:rsidRPr="00AC0604">
              <w:rPr>
                <w:kern w:val="24"/>
                <w:sz w:val="18"/>
                <w:szCs w:val="18"/>
                <w:lang w:val="fr-FR"/>
              </w:rPr>
              <w:t>13 prototypes,</w:t>
            </w:r>
            <w:r w:rsidR="00AC0604" w:rsidRPr="00AC0604">
              <w:rPr>
                <w:kern w:val="24"/>
                <w:sz w:val="18"/>
                <w:szCs w:val="18"/>
                <w:lang w:val="fr-FR"/>
              </w:rPr>
              <w:t xml:space="preserve"> ayant chacun une</w:t>
            </w:r>
            <w:r w:rsidRPr="00AC0604">
              <w:rPr>
                <w:kern w:val="24"/>
                <w:sz w:val="18"/>
                <w:szCs w:val="18"/>
                <w:lang w:val="fr-FR"/>
              </w:rPr>
              <w:t xml:space="preserve"> capacité et </w:t>
            </w:r>
            <w:r w:rsidR="00AC0604" w:rsidRPr="00AC0604">
              <w:rPr>
                <w:kern w:val="24"/>
                <w:sz w:val="18"/>
                <w:szCs w:val="18"/>
                <w:lang w:val="fr-FR"/>
              </w:rPr>
              <w:t xml:space="preserve">un </w:t>
            </w:r>
            <w:r w:rsidRPr="00AC0604">
              <w:rPr>
                <w:kern w:val="24"/>
                <w:sz w:val="18"/>
                <w:szCs w:val="18"/>
                <w:lang w:val="fr-FR"/>
              </w:rPr>
              <w:t xml:space="preserve">frigorigène </w:t>
            </w:r>
            <w:r w:rsidR="00AC0604" w:rsidRPr="00AC0604">
              <w:rPr>
                <w:kern w:val="24"/>
                <w:sz w:val="18"/>
                <w:szCs w:val="18"/>
                <w:lang w:val="fr-FR"/>
              </w:rPr>
              <w:t xml:space="preserve"> spécifiques,  </w:t>
            </w:r>
            <w:r w:rsidRPr="00AC0604">
              <w:rPr>
                <w:kern w:val="24"/>
                <w:sz w:val="18"/>
                <w:szCs w:val="18"/>
                <w:lang w:val="fr-FR"/>
              </w:rPr>
              <w:t>fabriqué</w:t>
            </w:r>
            <w:r w:rsidR="00AC0604" w:rsidRPr="00AC0604">
              <w:rPr>
                <w:kern w:val="24"/>
                <w:sz w:val="18"/>
                <w:szCs w:val="18"/>
                <w:lang w:val="fr-FR"/>
              </w:rPr>
              <w:t>s</w:t>
            </w:r>
            <w:r w:rsidRPr="00AC0604">
              <w:rPr>
                <w:kern w:val="24"/>
                <w:sz w:val="18"/>
                <w:szCs w:val="18"/>
                <w:lang w:val="fr-FR"/>
              </w:rPr>
              <w:t xml:space="preserve"> par </w:t>
            </w:r>
            <w:r w:rsidR="00AC0604" w:rsidRPr="00AC0604">
              <w:rPr>
                <w:kern w:val="24"/>
                <w:sz w:val="18"/>
                <w:szCs w:val="18"/>
                <w:lang w:val="fr-FR"/>
              </w:rPr>
              <w:t>des</w:t>
            </w:r>
            <w:r w:rsidRPr="00AC0604">
              <w:rPr>
                <w:kern w:val="24"/>
                <w:sz w:val="18"/>
                <w:szCs w:val="18"/>
                <w:lang w:val="fr-FR"/>
              </w:rPr>
              <w:t xml:space="preserve"> fabricants d</w:t>
            </w:r>
            <w:r w:rsidR="00D77991" w:rsidRPr="00AC0604">
              <w:rPr>
                <w:kern w:val="24"/>
                <w:sz w:val="18"/>
                <w:szCs w:val="18"/>
                <w:lang w:val="fr-FR"/>
              </w:rPr>
              <w:t>’</w:t>
            </w:r>
            <w:r w:rsidRPr="00AC0604">
              <w:rPr>
                <w:kern w:val="24"/>
                <w:sz w:val="18"/>
                <w:szCs w:val="18"/>
                <w:lang w:val="fr-FR"/>
              </w:rPr>
              <w:t>équipements d</w:t>
            </w:r>
            <w:r w:rsidR="00D77991" w:rsidRPr="00AC0604">
              <w:rPr>
                <w:kern w:val="24"/>
                <w:sz w:val="18"/>
                <w:szCs w:val="18"/>
                <w:lang w:val="fr-FR"/>
              </w:rPr>
              <w:t>’</w:t>
            </w:r>
            <w:r w:rsidRPr="00AC0604">
              <w:rPr>
                <w:kern w:val="24"/>
                <w:sz w:val="18"/>
                <w:szCs w:val="18"/>
                <w:lang w:val="fr-FR"/>
              </w:rPr>
              <w:t>origine (FEO), comparés avec des frigorigènes de base :</w:t>
            </w:r>
            <w:r w:rsidR="00A0166D" w:rsidRPr="00C3019D">
              <w:rPr>
                <w:kern w:val="24"/>
                <w:sz w:val="18"/>
                <w:szCs w:val="18"/>
                <w:lang w:val="fr-FR"/>
              </w:rPr>
              <w:t xml:space="preserve"> </w:t>
            </w:r>
            <w:r w:rsidRPr="00AC0604">
              <w:rPr>
                <w:kern w:val="24"/>
                <w:sz w:val="18"/>
                <w:szCs w:val="18"/>
                <w:lang w:val="fr-FR"/>
              </w:rPr>
              <w:t>HCFC-22 et R-410A</w:t>
            </w:r>
            <w:r w:rsidR="00A0166D" w:rsidRPr="00C3019D">
              <w:rPr>
                <w:kern w:val="24"/>
                <w:sz w:val="18"/>
                <w:szCs w:val="18"/>
                <w:lang w:val="fr-FR"/>
              </w:rPr>
              <w:t xml:space="preserve"> </w:t>
            </w:r>
            <w:r w:rsidRPr="00AC0604">
              <w:rPr>
                <w:kern w:val="24"/>
                <w:sz w:val="18"/>
                <w:szCs w:val="18"/>
                <w:lang w:val="fr-FR"/>
              </w:rPr>
              <w:t>Total prototypes et unités de base = 22</w:t>
            </w:r>
            <w:r w:rsidR="00A0166D" w:rsidRPr="00C3019D">
              <w:rPr>
                <w:kern w:val="24"/>
                <w:sz w:val="18"/>
                <w:szCs w:val="18"/>
                <w:lang w:val="fr-FR"/>
              </w:rPr>
              <w:t xml:space="preserve"> </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352EC" w:rsidP="00AC0604">
            <w:pPr>
              <w:keepNext/>
              <w:keepLines/>
              <w:jc w:val="left"/>
              <w:textAlignment w:val="center"/>
              <w:rPr>
                <w:sz w:val="18"/>
                <w:szCs w:val="18"/>
                <w:lang w:val="fr-FR"/>
              </w:rPr>
            </w:pPr>
            <w:r w:rsidRPr="00AC0604">
              <w:rPr>
                <w:kern w:val="24"/>
                <w:sz w:val="18"/>
                <w:szCs w:val="18"/>
                <w:lang w:val="fr-FR"/>
              </w:rPr>
              <w:t xml:space="preserve">28 prototypes, </w:t>
            </w:r>
            <w:r w:rsidR="00AC0604" w:rsidRPr="00AC0604">
              <w:rPr>
                <w:kern w:val="24"/>
                <w:sz w:val="18"/>
                <w:szCs w:val="18"/>
                <w:lang w:val="fr-FR"/>
              </w:rPr>
              <w:t xml:space="preserve">ayant chacun une capacité et un frigorigène  spécifiques,  fabriqués </w:t>
            </w:r>
            <w:r w:rsidRPr="00AC0604">
              <w:rPr>
                <w:kern w:val="24"/>
                <w:sz w:val="18"/>
                <w:szCs w:val="18"/>
                <w:lang w:val="fr-FR"/>
              </w:rPr>
              <w:t xml:space="preserve"> par un FEO, comparés avec des frigorigènes de base :</w:t>
            </w:r>
            <w:r w:rsidR="00A0166D" w:rsidRPr="00C3019D">
              <w:rPr>
                <w:kern w:val="24"/>
                <w:sz w:val="18"/>
                <w:szCs w:val="18"/>
                <w:lang w:val="fr-FR"/>
              </w:rPr>
              <w:t xml:space="preserve"> </w:t>
            </w:r>
            <w:r w:rsidRPr="00AC0604">
              <w:rPr>
                <w:kern w:val="24"/>
                <w:sz w:val="18"/>
                <w:szCs w:val="18"/>
                <w:lang w:val="fr-FR"/>
              </w:rPr>
              <w:t>HCFC-22 et R-410A</w:t>
            </w:r>
            <w:r w:rsidR="00D77991" w:rsidRPr="00C3019D">
              <w:rPr>
                <w:kern w:val="24"/>
                <w:sz w:val="18"/>
                <w:szCs w:val="18"/>
                <w:lang w:val="fr-FR"/>
              </w:rPr>
              <w:t xml:space="preserve"> </w:t>
            </w:r>
            <w:r w:rsidRPr="00AC0604">
              <w:rPr>
                <w:kern w:val="24"/>
                <w:sz w:val="18"/>
                <w:szCs w:val="18"/>
                <w:lang w:val="fr-FR"/>
              </w:rPr>
              <w:t>Total prototypes et unités de base = 37</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352EC" w:rsidP="00FD437A">
            <w:pPr>
              <w:keepNext/>
              <w:keepLines/>
              <w:jc w:val="left"/>
              <w:textAlignment w:val="center"/>
              <w:rPr>
                <w:sz w:val="18"/>
                <w:szCs w:val="18"/>
                <w:lang w:val="fr-FR"/>
              </w:rPr>
            </w:pPr>
            <w:r w:rsidRPr="00AC0604">
              <w:rPr>
                <w:kern w:val="24"/>
                <w:sz w:val="18"/>
                <w:szCs w:val="18"/>
                <w:lang w:val="fr-FR"/>
              </w:rPr>
              <w:t>2 unités commercialement disponibles, légèrement modifié</w:t>
            </w:r>
            <w:r w:rsidR="00FD437A" w:rsidRPr="00AC0604">
              <w:rPr>
                <w:kern w:val="24"/>
                <w:sz w:val="18"/>
                <w:szCs w:val="18"/>
                <w:lang w:val="fr-FR"/>
              </w:rPr>
              <w:t>e</w:t>
            </w:r>
            <w:r w:rsidRPr="00AC0604">
              <w:rPr>
                <w:kern w:val="24"/>
                <w:sz w:val="18"/>
                <w:szCs w:val="18"/>
                <w:lang w:val="fr-FR"/>
              </w:rPr>
              <w:t>s en vue de la comparaison avec les frigorigènes de base :</w:t>
            </w:r>
            <w:r w:rsidR="00A0166D" w:rsidRPr="00C3019D">
              <w:rPr>
                <w:kern w:val="24"/>
                <w:sz w:val="18"/>
                <w:szCs w:val="18"/>
                <w:lang w:val="fr-FR"/>
              </w:rPr>
              <w:t xml:space="preserve"> </w:t>
            </w:r>
            <w:r w:rsidRPr="00AC0604">
              <w:rPr>
                <w:kern w:val="24"/>
                <w:sz w:val="18"/>
                <w:szCs w:val="18"/>
                <w:lang w:val="fr-FR"/>
              </w:rPr>
              <w:t>HCFC-22 et R-410a</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352EC" w:rsidP="005B6FC5">
            <w:pPr>
              <w:keepNext/>
              <w:keepLines/>
              <w:jc w:val="left"/>
              <w:textAlignment w:val="center"/>
              <w:rPr>
                <w:sz w:val="18"/>
                <w:szCs w:val="18"/>
                <w:lang w:val="fr-FR"/>
              </w:rPr>
            </w:pPr>
            <w:r w:rsidRPr="006352EC">
              <w:rPr>
                <w:kern w:val="24"/>
                <w:sz w:val="18"/>
                <w:szCs w:val="18"/>
                <w:lang w:val="fr-FR"/>
              </w:rPr>
              <w:t xml:space="preserve">22 unités provenant de différents FEO allant des biblocs </w:t>
            </w:r>
            <w:r w:rsidR="00732221" w:rsidRPr="006352EC">
              <w:rPr>
                <w:kern w:val="24"/>
                <w:sz w:val="18"/>
                <w:szCs w:val="18"/>
                <w:lang w:val="fr-FR"/>
              </w:rPr>
              <w:t>aux refroidisseurs</w:t>
            </w:r>
            <w:r w:rsidRPr="006352EC">
              <w:rPr>
                <w:kern w:val="24"/>
                <w:sz w:val="18"/>
                <w:szCs w:val="18"/>
                <w:lang w:val="fr-FR"/>
              </w:rPr>
              <w:t xml:space="preserve"> d</w:t>
            </w:r>
            <w:r w:rsidR="00D77991">
              <w:rPr>
                <w:kern w:val="24"/>
                <w:sz w:val="18"/>
                <w:szCs w:val="18"/>
                <w:lang w:val="fr-FR"/>
              </w:rPr>
              <w:t>’</w:t>
            </w:r>
            <w:r w:rsidRPr="006352EC">
              <w:rPr>
                <w:kern w:val="24"/>
                <w:sz w:val="18"/>
                <w:szCs w:val="18"/>
                <w:lang w:val="fr-FR"/>
              </w:rPr>
              <w:t>eau</w:t>
            </w:r>
          </w:p>
        </w:tc>
      </w:tr>
      <w:tr w:rsidR="00B36687" w:rsidRPr="001F1E0E" w:rsidTr="00A07469">
        <w:trPr>
          <w:trHeight w:val="260"/>
          <w:jc w:val="center"/>
        </w:trPr>
        <w:tc>
          <w:tcPr>
            <w:tcW w:w="202"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jc w:val="center"/>
              <w:textAlignment w:val="center"/>
              <w:rPr>
                <w:sz w:val="18"/>
                <w:szCs w:val="18"/>
                <w:lang w:val="en-CA"/>
              </w:rPr>
            </w:pPr>
            <w:r w:rsidRPr="001F1E0E">
              <w:rPr>
                <w:b/>
                <w:bCs/>
                <w:kern w:val="24"/>
                <w:sz w:val="18"/>
                <w:szCs w:val="18"/>
                <w:lang w:val="en-CA"/>
              </w:rPr>
              <w:t>3</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352EC" w:rsidRDefault="006352EC" w:rsidP="005B6FC5">
            <w:pPr>
              <w:jc w:val="left"/>
              <w:textAlignment w:val="center"/>
              <w:rPr>
                <w:sz w:val="18"/>
                <w:szCs w:val="18"/>
                <w:lang w:val="en-CA"/>
              </w:rPr>
            </w:pPr>
            <w:r w:rsidRPr="006352EC">
              <w:rPr>
                <w:b/>
                <w:bCs/>
                <w:kern w:val="24"/>
                <w:sz w:val="18"/>
                <w:szCs w:val="18"/>
                <w:lang w:val="fr-FR"/>
              </w:rPr>
              <w:t>Nbre de catégories</w:t>
            </w:r>
          </w:p>
        </w:tc>
        <w:tc>
          <w:tcPr>
            <w:tcW w:w="1245" w:type="dxa"/>
            <w:gridSpan w:val="2"/>
            <w:tcBorders>
              <w:top w:val="single" w:sz="4" w:space="0" w:color="000000"/>
              <w:left w:val="single" w:sz="4" w:space="0" w:color="000000"/>
              <w:bottom w:val="single" w:sz="4" w:space="0" w:color="auto"/>
              <w:right w:val="single" w:sz="4" w:space="0" w:color="000000"/>
            </w:tcBorders>
            <w:shd w:val="clear" w:color="auto" w:fill="auto"/>
            <w:tcMar>
              <w:top w:w="5" w:type="dxa"/>
              <w:left w:w="29" w:type="dxa"/>
              <w:bottom w:w="0" w:type="dxa"/>
              <w:right w:w="5" w:type="dxa"/>
            </w:tcMar>
            <w:hideMark/>
          </w:tcPr>
          <w:p w:rsidR="00A0166D" w:rsidRPr="006352EC" w:rsidRDefault="006352EC" w:rsidP="005B6FC5">
            <w:pPr>
              <w:jc w:val="left"/>
              <w:textAlignment w:val="center"/>
              <w:rPr>
                <w:sz w:val="18"/>
                <w:szCs w:val="18"/>
                <w:lang w:val="en-CA"/>
              </w:rPr>
            </w:pPr>
            <w:r w:rsidRPr="006352EC">
              <w:rPr>
                <w:kern w:val="24"/>
                <w:sz w:val="18"/>
                <w:szCs w:val="18"/>
                <w:lang w:val="fr-FR"/>
              </w:rPr>
              <w:t>60 Hz</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352EC" w:rsidRDefault="006352EC" w:rsidP="005B6FC5">
            <w:pPr>
              <w:jc w:val="left"/>
              <w:textAlignment w:val="center"/>
              <w:rPr>
                <w:sz w:val="18"/>
                <w:szCs w:val="18"/>
                <w:lang w:val="en-CA"/>
              </w:rPr>
            </w:pPr>
            <w:r w:rsidRPr="006352EC">
              <w:rPr>
                <w:kern w:val="24"/>
                <w:sz w:val="18"/>
                <w:szCs w:val="18"/>
                <w:lang w:val="fr-FR"/>
              </w:rPr>
              <w:t>50 Hz</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352EC" w:rsidRDefault="006352EC" w:rsidP="005B6FC5">
            <w:pPr>
              <w:jc w:val="left"/>
              <w:textAlignment w:val="center"/>
              <w:rPr>
                <w:sz w:val="18"/>
                <w:szCs w:val="18"/>
                <w:lang w:val="en-CA"/>
              </w:rPr>
            </w:pPr>
            <w:r w:rsidRPr="006352EC">
              <w:rPr>
                <w:kern w:val="24"/>
                <w:sz w:val="18"/>
                <w:szCs w:val="18"/>
                <w:lang w:val="fr-FR"/>
              </w:rPr>
              <w:t>50 Hz</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352EC" w:rsidRDefault="006352EC" w:rsidP="005B6FC5">
            <w:pPr>
              <w:jc w:val="left"/>
              <w:textAlignment w:val="center"/>
              <w:rPr>
                <w:sz w:val="18"/>
                <w:szCs w:val="18"/>
                <w:lang w:val="en-CA"/>
              </w:rPr>
            </w:pPr>
            <w:r w:rsidRPr="006352EC">
              <w:rPr>
                <w:kern w:val="24"/>
                <w:sz w:val="18"/>
                <w:szCs w:val="18"/>
                <w:lang w:val="fr-FR"/>
              </w:rPr>
              <w:t>60 Hz</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352EC" w:rsidRDefault="006352EC" w:rsidP="005B6FC5">
            <w:pPr>
              <w:jc w:val="left"/>
              <w:textAlignment w:val="bottom"/>
              <w:rPr>
                <w:sz w:val="18"/>
                <w:szCs w:val="18"/>
                <w:lang w:val="en-CA"/>
              </w:rPr>
            </w:pPr>
            <w:r w:rsidRPr="006352EC">
              <w:rPr>
                <w:kern w:val="24"/>
                <w:sz w:val="18"/>
                <w:szCs w:val="18"/>
                <w:lang w:val="fr-FR"/>
              </w:rPr>
              <w:t xml:space="preserve">60Hz </w:t>
            </w:r>
          </w:p>
        </w:tc>
      </w:tr>
      <w:tr w:rsidR="00B36687" w:rsidRPr="001F1E0E" w:rsidTr="00A07469">
        <w:trPr>
          <w:trHeight w:val="633"/>
          <w:jc w:val="center"/>
        </w:trPr>
        <w:tc>
          <w:tcPr>
            <w:tcW w:w="202"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1004" w:type="dxa"/>
            <w:vMerge/>
            <w:tcBorders>
              <w:top w:val="single" w:sz="4" w:space="0" w:color="000000"/>
              <w:left w:val="single" w:sz="4" w:space="0" w:color="000000"/>
              <w:bottom w:val="single" w:sz="4" w:space="0" w:color="000000"/>
              <w:right w:val="single" w:sz="4" w:space="0" w:color="auto"/>
            </w:tcBorders>
            <w:shd w:val="clear" w:color="auto" w:fill="auto"/>
            <w:tcMar>
              <w:left w:w="29" w:type="dxa"/>
            </w:tcMar>
            <w:vAlign w:val="center"/>
            <w:hideMark/>
          </w:tcPr>
          <w:p w:rsidR="00A0166D" w:rsidRPr="001F1E0E" w:rsidRDefault="00A0166D" w:rsidP="00A0166D">
            <w:pPr>
              <w:jc w:val="left"/>
              <w:rPr>
                <w:sz w:val="18"/>
                <w:szCs w:val="18"/>
                <w:lang w:val="en-CA"/>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rsidR="00A0166D" w:rsidRPr="006352EC" w:rsidRDefault="006352EC" w:rsidP="005B6FC5">
            <w:pPr>
              <w:jc w:val="left"/>
              <w:textAlignment w:val="center"/>
              <w:rPr>
                <w:sz w:val="18"/>
                <w:szCs w:val="18"/>
                <w:lang w:val="en-CA"/>
              </w:rPr>
            </w:pPr>
            <w:r w:rsidRPr="006352EC">
              <w:rPr>
                <w:kern w:val="24"/>
                <w:sz w:val="18"/>
                <w:szCs w:val="18"/>
                <w:lang w:val="fr-FR"/>
              </w:rPr>
              <w:t>Fenêtre</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rsidR="00A0166D" w:rsidRPr="006352EC" w:rsidRDefault="006352EC" w:rsidP="005B6FC5">
            <w:pPr>
              <w:jc w:val="left"/>
              <w:textAlignment w:val="center"/>
              <w:rPr>
                <w:sz w:val="18"/>
                <w:szCs w:val="18"/>
                <w:lang w:val="en-CA"/>
              </w:rPr>
            </w:pPr>
            <w:r w:rsidRPr="006352EC">
              <w:rPr>
                <w:kern w:val="24"/>
                <w:sz w:val="18"/>
                <w:szCs w:val="18"/>
                <w:lang w:val="fr-FR"/>
              </w:rPr>
              <w:t>Mini bibloc</w:t>
            </w:r>
          </w:p>
        </w:tc>
        <w:tc>
          <w:tcPr>
            <w:tcW w:w="644" w:type="dxa"/>
            <w:tcBorders>
              <w:top w:val="single" w:sz="4" w:space="0" w:color="000000"/>
              <w:left w:val="single" w:sz="4" w:space="0" w:color="auto"/>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Avec conduits</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Monobloc</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Mini bibloc</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Mini bibloc</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Mini bibloc</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Central</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Bibloc</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kern w:val="24"/>
                <w:sz w:val="18"/>
                <w:szCs w:val="18"/>
                <w:lang w:val="fr-FR"/>
              </w:rPr>
              <w:t>Bibloc</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C3019D">
              <w:rPr>
                <w:kern w:val="24"/>
                <w:sz w:val="18"/>
                <w:szCs w:val="18"/>
                <w:lang w:val="en-CA"/>
              </w:rPr>
              <w:t>34 MBH refroidisseurs, 2x 36 MBH</w:t>
            </w:r>
            <w:r w:rsidR="00D77991" w:rsidRPr="00C3019D">
              <w:rPr>
                <w:kern w:val="24"/>
                <w:sz w:val="18"/>
                <w:szCs w:val="18"/>
                <w:lang w:val="en-CA"/>
              </w:rPr>
              <w:t xml:space="preserve"> </w:t>
            </w:r>
            <w:r w:rsidRPr="00C3019D">
              <w:rPr>
                <w:kern w:val="24"/>
                <w:sz w:val="18"/>
                <w:szCs w:val="18"/>
                <w:lang w:val="en-CA"/>
              </w:rPr>
              <w:t>biblocs, 48 MBH monoblocs, 60 MBH monoblocs, 72 MBH monoblocs</w:t>
            </w:r>
          </w:p>
        </w:tc>
      </w:tr>
      <w:tr w:rsidR="00B36687" w:rsidRPr="001F1E0E" w:rsidTr="00A07469">
        <w:trPr>
          <w:trHeight w:val="415"/>
          <w:jc w:val="center"/>
        </w:trPr>
        <w:tc>
          <w:tcPr>
            <w:tcW w:w="202"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jc w:val="left"/>
              <w:rPr>
                <w:sz w:val="18"/>
                <w:szCs w:val="18"/>
                <w:lang w:val="en-CA"/>
              </w:rPr>
            </w:pPr>
          </w:p>
        </w:tc>
        <w:tc>
          <w:tcPr>
            <w:tcW w:w="650"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18 MBH</w:t>
            </w:r>
          </w:p>
        </w:tc>
        <w:tc>
          <w:tcPr>
            <w:tcW w:w="595"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24 MBH</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36 MBH</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90 MBH</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12 MBH</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18 MBH</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24 MBH</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120 MBH</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18 MBH éq. R</w:t>
            </w:r>
            <w:r w:rsidRPr="00621396">
              <w:rPr>
                <w:kern w:val="24"/>
                <w:sz w:val="16"/>
                <w:szCs w:val="16"/>
                <w:lang w:val="fr-FR"/>
              </w:rPr>
              <w:noBreakHyphen/>
              <w:t xml:space="preserve">22 </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6"/>
                <w:szCs w:val="16"/>
                <w:lang w:val="en-CA"/>
              </w:rPr>
            </w:pPr>
            <w:r w:rsidRPr="00621396">
              <w:rPr>
                <w:kern w:val="24"/>
                <w:sz w:val="16"/>
                <w:szCs w:val="16"/>
                <w:lang w:val="fr-FR"/>
              </w:rPr>
              <w:t>18 MBH éq. R</w:t>
            </w:r>
            <w:r w:rsidRPr="00621396">
              <w:rPr>
                <w:kern w:val="24"/>
                <w:sz w:val="16"/>
                <w:szCs w:val="16"/>
                <w:lang w:val="fr-FR"/>
              </w:rPr>
              <w:noBreakHyphen/>
              <w:t xml:space="preserve">410a </w:t>
            </w: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jc w:val="left"/>
              <w:rPr>
                <w:sz w:val="18"/>
                <w:szCs w:val="18"/>
                <w:lang w:val="en-CA"/>
              </w:rPr>
            </w:pPr>
          </w:p>
        </w:tc>
      </w:tr>
      <w:tr w:rsidR="00B36687" w:rsidRPr="00C17C20" w:rsidTr="00A07469">
        <w:trPr>
          <w:trHeight w:val="817"/>
          <w:jc w:val="center"/>
        </w:trPr>
        <w:tc>
          <w:tcPr>
            <w:tcW w:w="20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jc w:val="center"/>
              <w:textAlignment w:val="center"/>
              <w:rPr>
                <w:sz w:val="18"/>
                <w:szCs w:val="18"/>
                <w:lang w:val="en-CA"/>
              </w:rPr>
            </w:pPr>
            <w:r w:rsidRPr="001F1E0E">
              <w:rPr>
                <w:b/>
                <w:bCs/>
                <w:kern w:val="24"/>
                <w:sz w:val="18"/>
                <w:szCs w:val="18"/>
                <w:lang w:val="en-CA"/>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b/>
                <w:bCs/>
                <w:kern w:val="24"/>
                <w:sz w:val="18"/>
                <w:szCs w:val="18"/>
                <w:lang w:val="fr-FR"/>
              </w:rPr>
              <w:t>Conditions d</w:t>
            </w:r>
            <w:r w:rsidR="00D77991">
              <w:rPr>
                <w:b/>
                <w:bCs/>
                <w:kern w:val="24"/>
                <w:sz w:val="18"/>
                <w:szCs w:val="18"/>
                <w:lang w:val="fr-FR"/>
              </w:rPr>
              <w:t>’</w:t>
            </w:r>
            <w:r w:rsidRPr="00621396">
              <w:rPr>
                <w:b/>
                <w:bCs/>
                <w:kern w:val="24"/>
                <w:sz w:val="18"/>
                <w:szCs w:val="18"/>
                <w:lang w:val="fr-FR"/>
              </w:rPr>
              <w:t>essais</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 xml:space="preserve">Norme ANSI/AHRI 210/240 et ISO 5151 </w:t>
            </w:r>
            <w:r>
              <w:rPr>
                <w:kern w:val="24"/>
                <w:sz w:val="18"/>
                <w:szCs w:val="18"/>
                <w:lang w:val="fr-FR"/>
              </w:rPr>
              <w:t>aux conditions</w:t>
            </w:r>
            <w:r w:rsidRPr="00621396">
              <w:rPr>
                <w:kern w:val="24"/>
                <w:sz w:val="18"/>
                <w:szCs w:val="18"/>
                <w:lang w:val="fr-FR"/>
              </w:rPr>
              <w:t xml:space="preserve"> T1, T3 et T3+ (50°C) et un test de continuité pendant 2 heures à</w:t>
            </w:r>
            <w:r w:rsidR="00D77991">
              <w:rPr>
                <w:kern w:val="24"/>
                <w:sz w:val="18"/>
                <w:szCs w:val="18"/>
                <w:lang w:val="fr-FR"/>
              </w:rPr>
              <w:t xml:space="preserve"> </w:t>
            </w:r>
            <w:r w:rsidRPr="00621396">
              <w:rPr>
                <w:kern w:val="24"/>
                <w:sz w:val="18"/>
                <w:szCs w:val="18"/>
                <w:lang w:val="fr-FR"/>
              </w:rPr>
              <w:t>52°C</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EOS 4814 et 3795 (ISO 5151) aux conditions</w:t>
            </w:r>
            <w:r w:rsidR="00D77991">
              <w:rPr>
                <w:kern w:val="24"/>
                <w:sz w:val="18"/>
                <w:szCs w:val="18"/>
                <w:lang w:val="fr-FR"/>
              </w:rPr>
              <w:t xml:space="preserve"> </w:t>
            </w:r>
            <w:r w:rsidRPr="00621396">
              <w:rPr>
                <w:kern w:val="24"/>
                <w:sz w:val="18"/>
                <w:szCs w:val="18"/>
                <w:lang w:val="fr-FR"/>
              </w:rPr>
              <w:t>T1, T2 et</w:t>
            </w:r>
            <w:r w:rsidR="00D77991">
              <w:rPr>
                <w:kern w:val="24"/>
                <w:sz w:val="18"/>
                <w:szCs w:val="18"/>
                <w:lang w:val="fr-FR"/>
              </w:rPr>
              <w:t xml:space="preserve"> </w:t>
            </w:r>
            <w:r w:rsidRPr="00621396">
              <w:rPr>
                <w:kern w:val="24"/>
                <w:sz w:val="18"/>
                <w:szCs w:val="18"/>
                <w:lang w:val="fr-FR"/>
              </w:rPr>
              <w:t xml:space="preserve">T3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Norme ANSI/AHRI</w:t>
            </w:r>
            <w:r w:rsidR="00D77991">
              <w:rPr>
                <w:kern w:val="24"/>
                <w:sz w:val="18"/>
                <w:szCs w:val="18"/>
                <w:lang w:val="fr-FR"/>
              </w:rPr>
              <w:t xml:space="preserve"> </w:t>
            </w:r>
            <w:r w:rsidRPr="00621396">
              <w:rPr>
                <w:kern w:val="24"/>
                <w:sz w:val="18"/>
                <w:szCs w:val="18"/>
                <w:lang w:val="fr-FR"/>
              </w:rPr>
              <w:t>210/240 et</w:t>
            </w:r>
            <w:r w:rsidR="00D77991">
              <w:rPr>
                <w:kern w:val="24"/>
                <w:sz w:val="18"/>
                <w:szCs w:val="18"/>
                <w:lang w:val="fr-FR"/>
              </w:rPr>
              <w:t xml:space="preserve"> </w:t>
            </w:r>
            <w:r w:rsidRPr="00621396">
              <w:rPr>
                <w:kern w:val="24"/>
                <w:sz w:val="18"/>
                <w:szCs w:val="18"/>
                <w:lang w:val="fr-FR"/>
              </w:rPr>
              <w:t>ISO 5153 – condition T3</w:t>
            </w:r>
            <w:r w:rsidR="00D77991">
              <w:rPr>
                <w:kern w:val="24"/>
                <w:sz w:val="18"/>
                <w:szCs w:val="18"/>
                <w:lang w:val="fr-FR"/>
              </w:rPr>
              <w:t xml:space="preserve"> </w:t>
            </w:r>
            <w:r w:rsidRPr="00621396">
              <w:rPr>
                <w:kern w:val="24"/>
                <w:sz w:val="18"/>
                <w:szCs w:val="18"/>
                <w:lang w:val="fr-FR"/>
              </w:rPr>
              <w:t xml:space="preserve">(2010)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bottom"/>
              <w:rPr>
                <w:sz w:val="18"/>
                <w:szCs w:val="18"/>
                <w:lang w:val="fr-FR"/>
              </w:rPr>
            </w:pPr>
            <w:r w:rsidRPr="00621396">
              <w:rPr>
                <w:kern w:val="24"/>
                <w:sz w:val="18"/>
                <w:szCs w:val="18"/>
                <w:lang w:val="fr-FR"/>
              </w:rPr>
              <w:t xml:space="preserve">ANSI/AHRI 210/240 </w:t>
            </w:r>
            <w:r w:rsidR="00732221" w:rsidRPr="00621396">
              <w:rPr>
                <w:kern w:val="24"/>
                <w:sz w:val="18"/>
                <w:szCs w:val="18"/>
                <w:lang w:val="fr-FR"/>
              </w:rPr>
              <w:t>aux conditions</w:t>
            </w:r>
            <w:r w:rsidR="00D77991">
              <w:rPr>
                <w:kern w:val="24"/>
                <w:sz w:val="18"/>
                <w:szCs w:val="18"/>
                <w:lang w:val="fr-FR"/>
              </w:rPr>
              <w:t xml:space="preserve"> </w:t>
            </w:r>
            <w:r w:rsidRPr="00621396">
              <w:rPr>
                <w:kern w:val="24"/>
                <w:sz w:val="18"/>
                <w:szCs w:val="18"/>
                <w:lang w:val="fr-FR"/>
              </w:rPr>
              <w:t>T1, T3 et à 125 °F</w:t>
            </w:r>
          </w:p>
        </w:tc>
      </w:tr>
      <w:tr w:rsidR="00B36687" w:rsidRPr="00C17C20" w:rsidTr="00A07469">
        <w:trPr>
          <w:trHeight w:val="887"/>
          <w:jc w:val="center"/>
        </w:trPr>
        <w:tc>
          <w:tcPr>
            <w:tcW w:w="20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jc w:val="center"/>
              <w:textAlignment w:val="center"/>
              <w:rPr>
                <w:sz w:val="18"/>
                <w:szCs w:val="18"/>
                <w:lang w:val="en-CA"/>
              </w:rPr>
            </w:pPr>
            <w:r w:rsidRPr="001F1E0E">
              <w:rPr>
                <w:b/>
                <w:bCs/>
                <w:kern w:val="24"/>
                <w:sz w:val="18"/>
                <w:szCs w:val="18"/>
                <w:lang w:val="en-CA"/>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C3019D" w:rsidRDefault="00621396" w:rsidP="005B6FC5">
            <w:pPr>
              <w:jc w:val="left"/>
              <w:textAlignment w:val="center"/>
              <w:rPr>
                <w:sz w:val="18"/>
                <w:szCs w:val="18"/>
                <w:lang w:val="fr-FR"/>
              </w:rPr>
            </w:pPr>
            <w:r w:rsidRPr="00621396">
              <w:rPr>
                <w:b/>
                <w:bCs/>
                <w:kern w:val="24"/>
                <w:sz w:val="18"/>
                <w:szCs w:val="18"/>
                <w:lang w:val="fr-FR"/>
              </w:rPr>
              <w:t>Prototypes fournis et tests réalisés</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Prototypes fabriqués chez</w:t>
            </w:r>
            <w:r w:rsidR="00D77991">
              <w:rPr>
                <w:kern w:val="24"/>
                <w:sz w:val="18"/>
                <w:szCs w:val="18"/>
                <w:lang w:val="fr-FR"/>
              </w:rPr>
              <w:t xml:space="preserve"> </w:t>
            </w:r>
            <w:r w:rsidRPr="00621396">
              <w:rPr>
                <w:kern w:val="24"/>
                <w:sz w:val="18"/>
                <w:szCs w:val="18"/>
                <w:lang w:val="fr-FR"/>
              </w:rPr>
              <w:t>six FEO, test chez Intertek</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Prototypes fabriqués chez 8 FEO, test témoin</w:t>
            </w:r>
            <w:r>
              <w:rPr>
                <w:kern w:val="24"/>
                <w:sz w:val="18"/>
                <w:szCs w:val="18"/>
                <w:lang w:val="fr-FR"/>
              </w:rPr>
              <w:t xml:space="preserve"> dans les laboratoires du FEO</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FD437A">
            <w:pPr>
              <w:jc w:val="left"/>
              <w:textAlignment w:val="center"/>
              <w:rPr>
                <w:sz w:val="18"/>
                <w:szCs w:val="18"/>
                <w:lang w:val="fr-FR"/>
              </w:rPr>
            </w:pPr>
            <w:r w:rsidRPr="00621396">
              <w:rPr>
                <w:kern w:val="24"/>
                <w:sz w:val="18"/>
                <w:szCs w:val="18"/>
                <w:lang w:val="fr-FR"/>
              </w:rPr>
              <w:t xml:space="preserve">ORNL, un fournisseur – optimisation </w:t>
            </w:r>
            <w:r w:rsidR="00FD437A">
              <w:rPr>
                <w:kern w:val="24"/>
                <w:sz w:val="18"/>
                <w:szCs w:val="18"/>
                <w:lang w:val="fr-FR"/>
              </w:rPr>
              <w:t>douce</w:t>
            </w:r>
            <w:r w:rsidRPr="00621396">
              <w:rPr>
                <w:kern w:val="24"/>
                <w:sz w:val="18"/>
                <w:szCs w:val="18"/>
                <w:lang w:val="fr-FR"/>
              </w:rPr>
              <w:t xml:space="preserve"> sur place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621396" w:rsidP="005B6FC5">
            <w:pPr>
              <w:jc w:val="left"/>
              <w:textAlignment w:val="center"/>
              <w:rPr>
                <w:sz w:val="18"/>
                <w:szCs w:val="18"/>
                <w:lang w:val="fr-FR"/>
              </w:rPr>
            </w:pPr>
            <w:r w:rsidRPr="00621396">
              <w:rPr>
                <w:kern w:val="24"/>
                <w:sz w:val="18"/>
                <w:szCs w:val="18"/>
                <w:lang w:val="fr-FR"/>
              </w:rPr>
              <w:t>Fournisseurs individuels, essais dans leurs propres locaux</w:t>
            </w:r>
          </w:p>
        </w:tc>
      </w:tr>
      <w:tr w:rsidR="00B36687" w:rsidRPr="001F1E0E" w:rsidTr="00A07469">
        <w:trPr>
          <w:trHeight w:val="550"/>
          <w:jc w:val="center"/>
        </w:trPr>
        <w:tc>
          <w:tcPr>
            <w:tcW w:w="202"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jc w:val="center"/>
              <w:textAlignment w:val="center"/>
              <w:rPr>
                <w:sz w:val="18"/>
                <w:szCs w:val="18"/>
                <w:lang w:val="en-CA"/>
              </w:rPr>
            </w:pPr>
            <w:r w:rsidRPr="001F1E0E">
              <w:rPr>
                <w:b/>
                <w:bCs/>
                <w:kern w:val="24"/>
                <w:sz w:val="18"/>
                <w:szCs w:val="18"/>
                <w:lang w:val="en-CA"/>
              </w:rPr>
              <w:t>6</w:t>
            </w:r>
          </w:p>
        </w:tc>
        <w:tc>
          <w:tcPr>
            <w:tcW w:w="1004"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621396">
              <w:rPr>
                <w:b/>
                <w:bCs/>
                <w:kern w:val="24"/>
                <w:sz w:val="18"/>
                <w:szCs w:val="18"/>
                <w:lang w:val="fr-FR"/>
              </w:rPr>
              <w:t>Frigorigènes testés</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HCFC-22 : HC-290, R-444B (L-20), DR-3</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HCFC-22 : HC-290, R-444B (L</w:t>
            </w:r>
            <w:r w:rsidRPr="00C3019D">
              <w:rPr>
                <w:kern w:val="24"/>
                <w:sz w:val="18"/>
                <w:szCs w:val="18"/>
                <w:lang w:val="en-CA"/>
              </w:rPr>
              <w:noBreakHyphen/>
              <w:t>20), DR-3, R-457A (ARM-32d)</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HCFC-22 :N-20B, DR-3, ARM-20B, R-444B (L-20A), HC-290</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621396" w:rsidRDefault="00621396" w:rsidP="005B6FC5">
            <w:pPr>
              <w:jc w:val="left"/>
              <w:textAlignment w:val="center"/>
              <w:rPr>
                <w:sz w:val="18"/>
                <w:szCs w:val="18"/>
                <w:lang w:val="en-CA"/>
              </w:rPr>
            </w:pPr>
            <w:r w:rsidRPr="00C3019D">
              <w:rPr>
                <w:kern w:val="24"/>
                <w:sz w:val="18"/>
                <w:szCs w:val="18"/>
                <w:lang w:val="en-CA"/>
              </w:rPr>
              <w:t>Eq. R-410A :</w:t>
            </w:r>
            <w:r w:rsidR="00A0166D" w:rsidRPr="00621396">
              <w:rPr>
                <w:kern w:val="24"/>
                <w:sz w:val="18"/>
                <w:szCs w:val="18"/>
                <w:lang w:val="en-CA"/>
              </w:rPr>
              <w:t xml:space="preserve"> </w:t>
            </w:r>
            <w:r w:rsidRPr="00C3019D">
              <w:rPr>
                <w:kern w:val="24"/>
                <w:sz w:val="18"/>
                <w:szCs w:val="18"/>
                <w:lang w:val="en-CA"/>
              </w:rPr>
              <w:t>HFC-32, DR-5A, DR-55, L-41-1, L</w:t>
            </w:r>
            <w:r w:rsidRPr="00C3019D">
              <w:rPr>
                <w:kern w:val="24"/>
                <w:sz w:val="18"/>
                <w:szCs w:val="18"/>
                <w:lang w:val="en-CA"/>
              </w:rPr>
              <w:noBreakHyphen/>
              <w:t>41-2, ARM-71a, HPR2A</w:t>
            </w:r>
          </w:p>
        </w:tc>
      </w:tr>
      <w:tr w:rsidR="00B36687" w:rsidRPr="001F1E0E" w:rsidTr="00A07469">
        <w:trPr>
          <w:trHeight w:val="508"/>
          <w:jc w:val="center"/>
        </w:trPr>
        <w:tc>
          <w:tcPr>
            <w:tcW w:w="202"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R-410A :</w:t>
            </w:r>
            <w:r w:rsidR="00A0166D" w:rsidRPr="00621396">
              <w:rPr>
                <w:kern w:val="24"/>
                <w:sz w:val="18"/>
                <w:szCs w:val="18"/>
                <w:lang w:val="en-CA"/>
              </w:rPr>
              <w:t xml:space="preserve"> </w:t>
            </w:r>
            <w:r w:rsidRPr="00C3019D">
              <w:rPr>
                <w:kern w:val="24"/>
                <w:sz w:val="18"/>
                <w:szCs w:val="18"/>
                <w:lang w:val="en-CA"/>
              </w:rPr>
              <w:t>HFC-32, R-447A (L-41-1), R-454B (DR-5A)</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R-410A :</w:t>
            </w:r>
            <w:r w:rsidR="00A0166D" w:rsidRPr="00621396">
              <w:rPr>
                <w:kern w:val="24"/>
                <w:sz w:val="18"/>
                <w:szCs w:val="18"/>
                <w:lang w:val="en-CA"/>
              </w:rPr>
              <w:t xml:space="preserve"> </w:t>
            </w:r>
            <w:r w:rsidRPr="00C3019D">
              <w:rPr>
                <w:kern w:val="24"/>
                <w:sz w:val="18"/>
                <w:szCs w:val="18"/>
                <w:lang w:val="en-CA"/>
              </w:rPr>
              <w:t>HFC-32, R-447A (L</w:t>
            </w:r>
            <w:r w:rsidRPr="00C3019D">
              <w:rPr>
                <w:kern w:val="24"/>
                <w:sz w:val="18"/>
                <w:szCs w:val="18"/>
                <w:lang w:val="en-CA"/>
              </w:rPr>
              <w:noBreakHyphen/>
              <w:t>41-1), R-454B (DR-5A), ARM-71d</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621396" w:rsidRDefault="00621396" w:rsidP="005B6FC5">
            <w:pPr>
              <w:jc w:val="left"/>
              <w:textAlignment w:val="center"/>
              <w:rPr>
                <w:sz w:val="18"/>
                <w:szCs w:val="18"/>
                <w:lang w:val="en-CA"/>
              </w:rPr>
            </w:pPr>
            <w:r w:rsidRPr="00C3019D">
              <w:rPr>
                <w:kern w:val="24"/>
                <w:sz w:val="18"/>
                <w:szCs w:val="18"/>
                <w:lang w:val="en-CA"/>
              </w:rPr>
              <w:t>Eq. R-410A :</w:t>
            </w:r>
            <w:r w:rsidR="00A0166D" w:rsidRPr="00621396">
              <w:rPr>
                <w:kern w:val="24"/>
                <w:sz w:val="18"/>
                <w:szCs w:val="18"/>
                <w:lang w:val="en-CA"/>
              </w:rPr>
              <w:t xml:space="preserve"> </w:t>
            </w:r>
            <w:r w:rsidRPr="00C3019D">
              <w:rPr>
                <w:kern w:val="24"/>
                <w:sz w:val="18"/>
                <w:szCs w:val="18"/>
                <w:lang w:val="en-CA"/>
              </w:rPr>
              <w:t>HFC-32, R</w:t>
            </w:r>
            <w:r w:rsidRPr="00C3019D">
              <w:rPr>
                <w:kern w:val="24"/>
                <w:sz w:val="18"/>
                <w:szCs w:val="18"/>
                <w:lang w:val="en-CA"/>
              </w:rPr>
              <w:noBreakHyphen/>
              <w:t>447A (L-41-1), DR-55, ARM-71d, HPR-2A</w:t>
            </w: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r>
      <w:tr w:rsidR="00B36687" w:rsidRPr="001F1E0E" w:rsidTr="00A07469">
        <w:trPr>
          <w:trHeight w:val="260"/>
          <w:jc w:val="center"/>
        </w:trPr>
        <w:tc>
          <w:tcPr>
            <w:tcW w:w="202"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1004"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B36687" w:rsidRDefault="00B36687" w:rsidP="005B6FC5">
            <w:pPr>
              <w:jc w:val="left"/>
              <w:textAlignment w:val="center"/>
              <w:rPr>
                <w:sz w:val="18"/>
                <w:szCs w:val="18"/>
                <w:lang w:val="en-CA"/>
              </w:rPr>
            </w:pPr>
            <w:r w:rsidRPr="00B36687">
              <w:rPr>
                <w:kern w:val="24"/>
                <w:sz w:val="18"/>
                <w:szCs w:val="18"/>
                <w:lang w:val="fr-FR"/>
              </w:rPr>
              <w:t>Rapport</w:t>
            </w:r>
            <w:r w:rsidR="00D77991">
              <w:rPr>
                <w:kern w:val="24"/>
                <w:sz w:val="18"/>
                <w:szCs w:val="18"/>
                <w:lang w:val="fr-FR"/>
              </w:rPr>
              <w:t xml:space="preserve"> </w:t>
            </w:r>
            <w:r w:rsidRPr="00B36687">
              <w:rPr>
                <w:kern w:val="24"/>
                <w:sz w:val="18"/>
                <w:szCs w:val="18"/>
                <w:lang w:val="fr-FR"/>
              </w:rPr>
              <w:t>final fin mars 2016</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rsidR="00A0166D" w:rsidRPr="001F1E0E" w:rsidRDefault="00A0166D" w:rsidP="00A0166D">
            <w:pPr>
              <w:jc w:val="left"/>
              <w:rPr>
                <w:sz w:val="18"/>
                <w:szCs w:val="18"/>
                <w:lang w:val="en-CA"/>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rsidR="00A0166D" w:rsidRPr="001F1E0E" w:rsidRDefault="00A0166D" w:rsidP="00A0166D">
            <w:pPr>
              <w:jc w:val="left"/>
              <w:rPr>
                <w:sz w:val="18"/>
                <w:szCs w:val="18"/>
                <w:lang w:val="en-CA"/>
              </w:rPr>
            </w:pP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rsidR="00A0166D" w:rsidRPr="001F1E0E" w:rsidRDefault="00A0166D" w:rsidP="00A0166D">
            <w:pPr>
              <w:rPr>
                <w:sz w:val="18"/>
                <w:szCs w:val="18"/>
                <w:lang w:val="en-CA"/>
              </w:rPr>
            </w:pPr>
          </w:p>
        </w:tc>
      </w:tr>
      <w:tr w:rsidR="00B36687" w:rsidRPr="00C17C20" w:rsidTr="00A07469">
        <w:trPr>
          <w:trHeight w:val="1768"/>
          <w:jc w:val="center"/>
        </w:trPr>
        <w:tc>
          <w:tcPr>
            <w:tcW w:w="202"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1F1E0E" w:rsidRDefault="00A0166D" w:rsidP="00A0166D">
            <w:pPr>
              <w:jc w:val="center"/>
              <w:textAlignment w:val="center"/>
              <w:rPr>
                <w:sz w:val="18"/>
                <w:szCs w:val="18"/>
                <w:lang w:val="en-CA"/>
              </w:rPr>
            </w:pPr>
            <w:r w:rsidRPr="001F1E0E">
              <w:rPr>
                <w:b/>
                <w:bCs/>
                <w:kern w:val="24"/>
                <w:sz w:val="18"/>
                <w:szCs w:val="18"/>
                <w:lang w:val="en-CA"/>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rsidR="00A0166D" w:rsidRPr="00B36687" w:rsidRDefault="00B36687" w:rsidP="005B6FC5">
            <w:pPr>
              <w:textAlignment w:val="center"/>
              <w:rPr>
                <w:sz w:val="18"/>
                <w:szCs w:val="18"/>
                <w:lang w:val="en-CA"/>
              </w:rPr>
            </w:pPr>
            <w:r w:rsidRPr="00B36687">
              <w:rPr>
                <w:b/>
                <w:bCs/>
                <w:kern w:val="24"/>
                <w:sz w:val="18"/>
                <w:szCs w:val="18"/>
                <w:lang w:val="fr-FR"/>
              </w:rPr>
              <w:t>Contraintes</w:t>
            </w:r>
          </w:p>
        </w:tc>
        <w:tc>
          <w:tcPr>
            <w:tcW w:w="2663"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B36687" w:rsidP="00AC0604">
            <w:pPr>
              <w:jc w:val="left"/>
              <w:textAlignment w:val="center"/>
              <w:rPr>
                <w:sz w:val="18"/>
                <w:szCs w:val="18"/>
                <w:lang w:val="fr-FR"/>
              </w:rPr>
            </w:pPr>
            <w:r w:rsidRPr="00B36687">
              <w:rPr>
                <w:kern w:val="24"/>
                <w:sz w:val="18"/>
                <w:szCs w:val="18"/>
                <w:lang w:val="fr-FR"/>
              </w:rPr>
              <w:t>Fabriquer de nouveaux prototypes avec des compresseurs dédiés pour les frigorigènes sélectionnés s</w:t>
            </w:r>
            <w:r w:rsidR="00D77991">
              <w:rPr>
                <w:kern w:val="24"/>
                <w:sz w:val="18"/>
                <w:szCs w:val="18"/>
                <w:lang w:val="fr-FR"/>
              </w:rPr>
              <w:t>’</w:t>
            </w:r>
            <w:r w:rsidRPr="00B36687">
              <w:rPr>
                <w:kern w:val="24"/>
                <w:sz w:val="18"/>
                <w:szCs w:val="18"/>
                <w:lang w:val="fr-FR"/>
              </w:rPr>
              <w:t xml:space="preserve">adaptant </w:t>
            </w:r>
            <w:r w:rsidR="00AC0604">
              <w:rPr>
                <w:kern w:val="24"/>
                <w:sz w:val="18"/>
                <w:szCs w:val="18"/>
                <w:lang w:val="fr-FR"/>
              </w:rPr>
              <w:t>aux</w:t>
            </w:r>
            <w:r w:rsidRPr="00B36687">
              <w:rPr>
                <w:kern w:val="24"/>
                <w:sz w:val="18"/>
                <w:szCs w:val="18"/>
                <w:lang w:val="fr-FR"/>
              </w:rPr>
              <w:t xml:space="preserve"> mêmes dimensions </w:t>
            </w:r>
            <w:r w:rsidR="00AC0604">
              <w:rPr>
                <w:kern w:val="24"/>
                <w:sz w:val="18"/>
                <w:szCs w:val="18"/>
                <w:lang w:val="fr-FR"/>
              </w:rPr>
              <w:t xml:space="preserve">de boîtier </w:t>
            </w:r>
            <w:r w:rsidRPr="00B36687">
              <w:rPr>
                <w:kern w:val="24"/>
                <w:sz w:val="18"/>
                <w:szCs w:val="18"/>
                <w:lang w:val="fr-FR"/>
              </w:rPr>
              <w:t>que le modèle initial et comparaison des performance</w:t>
            </w:r>
            <w:r>
              <w:rPr>
                <w:kern w:val="24"/>
                <w:sz w:val="18"/>
                <w:szCs w:val="18"/>
                <w:lang w:val="fr-FR"/>
              </w:rPr>
              <w:t>s</w:t>
            </w:r>
            <w:r w:rsidRPr="00B36687">
              <w:rPr>
                <w:kern w:val="24"/>
                <w:sz w:val="18"/>
                <w:szCs w:val="18"/>
                <w:lang w:val="fr-FR"/>
              </w:rPr>
              <w:t xml:space="preserve"> et de l</w:t>
            </w:r>
            <w:r w:rsidR="00D77991">
              <w:rPr>
                <w:kern w:val="24"/>
                <w:sz w:val="18"/>
                <w:szCs w:val="18"/>
                <w:lang w:val="fr-FR"/>
              </w:rPr>
              <w:t>’</w:t>
            </w:r>
            <w:r w:rsidRPr="00B36687">
              <w:rPr>
                <w:kern w:val="24"/>
                <w:sz w:val="18"/>
                <w:szCs w:val="18"/>
                <w:lang w:val="fr-FR"/>
              </w:rPr>
              <w:t>efficacité avec des modèles de base contenant du HCFC-22 et</w:t>
            </w:r>
            <w:r w:rsidR="00D77991">
              <w:rPr>
                <w:kern w:val="24"/>
                <w:sz w:val="18"/>
                <w:szCs w:val="18"/>
                <w:lang w:val="fr-FR"/>
              </w:rPr>
              <w:t xml:space="preserve"> </w:t>
            </w:r>
            <w:r w:rsidRPr="00B36687">
              <w:rPr>
                <w:kern w:val="24"/>
                <w:sz w:val="18"/>
                <w:szCs w:val="18"/>
                <w:lang w:val="fr-FR"/>
              </w:rPr>
              <w:t>R-410A</w:t>
            </w:r>
          </w:p>
        </w:tc>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B36687" w:rsidP="005B6FC5">
            <w:pPr>
              <w:jc w:val="left"/>
              <w:textAlignment w:val="center"/>
              <w:rPr>
                <w:sz w:val="18"/>
                <w:szCs w:val="18"/>
                <w:lang w:val="fr-FR"/>
              </w:rPr>
            </w:pPr>
            <w:r w:rsidRPr="00B36687">
              <w:rPr>
                <w:kern w:val="24"/>
                <w:sz w:val="18"/>
                <w:szCs w:val="18"/>
                <w:lang w:val="fr-FR"/>
              </w:rPr>
              <w:t>Fabriquer de nouveaux prototypes avec des compresseurs dédiés pour les frigorigènes sélectionnés avec les mêmes conditions pour répondre aux mêmes capacités de conception des modèles sélectionnés en comparaison avec des dispositifs contenant du</w:t>
            </w:r>
            <w:r w:rsidR="00D77991">
              <w:rPr>
                <w:kern w:val="24"/>
                <w:sz w:val="18"/>
                <w:szCs w:val="18"/>
                <w:lang w:val="fr-FR"/>
              </w:rPr>
              <w:t xml:space="preserve"> </w:t>
            </w:r>
            <w:r w:rsidRPr="00B36687">
              <w:rPr>
                <w:kern w:val="24"/>
                <w:sz w:val="18"/>
                <w:szCs w:val="18"/>
                <w:lang w:val="fr-FR"/>
              </w:rPr>
              <w:t>HCFC-22 et</w:t>
            </w:r>
            <w:r w:rsidR="00D77991">
              <w:rPr>
                <w:kern w:val="24"/>
                <w:sz w:val="18"/>
                <w:szCs w:val="18"/>
                <w:lang w:val="fr-FR"/>
              </w:rPr>
              <w:t xml:space="preserve"> </w:t>
            </w:r>
            <w:r w:rsidRPr="00B36687">
              <w:rPr>
                <w:kern w:val="24"/>
                <w:sz w:val="18"/>
                <w:szCs w:val="18"/>
                <w:lang w:val="fr-FR"/>
              </w:rPr>
              <w:t>R-410A</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B36687" w:rsidP="00FD437A">
            <w:pPr>
              <w:jc w:val="left"/>
              <w:textAlignment w:val="center"/>
              <w:rPr>
                <w:sz w:val="18"/>
                <w:szCs w:val="18"/>
                <w:lang w:val="fr-FR"/>
              </w:rPr>
            </w:pPr>
            <w:r w:rsidRPr="00B36687">
              <w:rPr>
                <w:kern w:val="24"/>
                <w:sz w:val="18"/>
                <w:szCs w:val="18"/>
                <w:lang w:val="fr-FR"/>
              </w:rPr>
              <w:t>Changer certains composants des deux prototypes pour s</w:t>
            </w:r>
            <w:r w:rsidR="00D77991">
              <w:rPr>
                <w:kern w:val="24"/>
                <w:sz w:val="18"/>
                <w:szCs w:val="18"/>
                <w:lang w:val="fr-FR"/>
              </w:rPr>
              <w:t>’</w:t>
            </w:r>
            <w:r w:rsidRPr="00B36687">
              <w:rPr>
                <w:kern w:val="24"/>
                <w:sz w:val="18"/>
                <w:szCs w:val="18"/>
                <w:lang w:val="fr-FR"/>
              </w:rPr>
              <w:t>adapter aux différents frigorigènes dans un processus d</w:t>
            </w:r>
            <w:r w:rsidR="00D77991">
              <w:rPr>
                <w:kern w:val="24"/>
                <w:sz w:val="18"/>
                <w:szCs w:val="18"/>
                <w:lang w:val="fr-FR"/>
              </w:rPr>
              <w:t>’</w:t>
            </w:r>
            <w:r w:rsidRPr="00B36687">
              <w:rPr>
                <w:kern w:val="24"/>
                <w:sz w:val="18"/>
                <w:szCs w:val="18"/>
                <w:lang w:val="fr-FR"/>
              </w:rPr>
              <w:t>optimisation</w:t>
            </w:r>
            <w:r w:rsidR="00FD437A">
              <w:rPr>
                <w:kern w:val="24"/>
                <w:sz w:val="18"/>
                <w:szCs w:val="18"/>
                <w:lang w:val="fr-FR"/>
              </w:rPr>
              <w:t xml:space="preserve"> douce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rsidR="00A0166D" w:rsidRPr="00C3019D" w:rsidRDefault="00A0166D" w:rsidP="00AC0604">
            <w:pPr>
              <w:jc w:val="left"/>
              <w:textAlignment w:val="bottom"/>
              <w:rPr>
                <w:sz w:val="18"/>
                <w:szCs w:val="18"/>
                <w:lang w:val="fr-FR"/>
              </w:rPr>
            </w:pPr>
            <w:r w:rsidRPr="00C3019D">
              <w:rPr>
                <w:kern w:val="24"/>
                <w:sz w:val="18"/>
                <w:szCs w:val="18"/>
                <w:lang w:val="fr-FR"/>
              </w:rPr>
              <w:t>-</w:t>
            </w:r>
            <w:r w:rsidR="00B36687" w:rsidRPr="00B36687">
              <w:rPr>
                <w:kern w:val="24"/>
                <w:sz w:val="18"/>
                <w:szCs w:val="18"/>
                <w:lang w:val="fr-FR"/>
              </w:rPr>
              <w:t>Produit</w:t>
            </w:r>
            <w:r w:rsidR="00D77991">
              <w:rPr>
                <w:kern w:val="24"/>
                <w:sz w:val="18"/>
                <w:szCs w:val="18"/>
                <w:lang w:val="fr-FR"/>
              </w:rPr>
              <w:t xml:space="preserve"> </w:t>
            </w:r>
            <w:r w:rsidR="00B36687" w:rsidRPr="00B36687">
              <w:rPr>
                <w:kern w:val="24"/>
                <w:sz w:val="18"/>
                <w:szCs w:val="18"/>
                <w:lang w:val="fr-FR"/>
              </w:rPr>
              <w:t>de substitution ;</w:t>
            </w:r>
            <w:r w:rsidR="00B36687" w:rsidRPr="00B36687">
              <w:rPr>
                <w:kern w:val="24"/>
                <w:sz w:val="18"/>
                <w:szCs w:val="18"/>
                <w:lang w:val="fr-FR"/>
              </w:rPr>
              <w:br/>
              <w:t>-</w:t>
            </w:r>
            <w:r w:rsidR="00FD437A">
              <w:rPr>
                <w:kern w:val="24"/>
                <w:sz w:val="18"/>
                <w:szCs w:val="18"/>
                <w:lang w:val="fr-FR"/>
              </w:rPr>
              <w:t>O</w:t>
            </w:r>
            <w:r w:rsidR="00B36687" w:rsidRPr="00B36687">
              <w:rPr>
                <w:kern w:val="24"/>
                <w:sz w:val="18"/>
                <w:szCs w:val="18"/>
                <w:lang w:val="fr-FR"/>
              </w:rPr>
              <w:t xml:space="preserve">ptimisation </w:t>
            </w:r>
            <w:r w:rsidR="00FD437A">
              <w:rPr>
                <w:kern w:val="24"/>
                <w:sz w:val="18"/>
                <w:szCs w:val="18"/>
                <w:lang w:val="fr-FR"/>
              </w:rPr>
              <w:t>douce</w:t>
            </w:r>
            <w:r w:rsidR="00B36687" w:rsidRPr="00B36687">
              <w:rPr>
                <w:kern w:val="24"/>
                <w:sz w:val="18"/>
                <w:szCs w:val="18"/>
                <w:lang w:val="fr-FR"/>
              </w:rPr>
              <w:t xml:space="preserve"> en ajustant le dispositif d</w:t>
            </w:r>
            <w:r w:rsidR="00D77991">
              <w:rPr>
                <w:kern w:val="24"/>
                <w:sz w:val="18"/>
                <w:szCs w:val="18"/>
                <w:lang w:val="fr-FR"/>
              </w:rPr>
              <w:t>’</w:t>
            </w:r>
            <w:r w:rsidR="00B36687" w:rsidRPr="00B36687">
              <w:rPr>
                <w:kern w:val="24"/>
                <w:sz w:val="18"/>
                <w:szCs w:val="18"/>
                <w:lang w:val="fr-FR"/>
              </w:rPr>
              <w:t>expansion, la quantité de la charge et en changeant le type d</w:t>
            </w:r>
            <w:r w:rsidR="00D77991">
              <w:rPr>
                <w:kern w:val="24"/>
                <w:sz w:val="18"/>
                <w:szCs w:val="18"/>
                <w:lang w:val="fr-FR"/>
              </w:rPr>
              <w:t>’</w:t>
            </w:r>
            <w:r w:rsidR="00B36687" w:rsidRPr="00B36687">
              <w:rPr>
                <w:kern w:val="24"/>
                <w:sz w:val="18"/>
                <w:szCs w:val="18"/>
                <w:lang w:val="fr-FR"/>
              </w:rPr>
              <w:t>huile</w:t>
            </w:r>
            <w:r w:rsidR="00FD437A">
              <w:rPr>
                <w:kern w:val="24"/>
                <w:sz w:val="18"/>
                <w:szCs w:val="18"/>
                <w:lang w:val="fr-FR"/>
              </w:rPr>
              <w:t> </w:t>
            </w:r>
            <w:r w:rsidR="00B36687" w:rsidRPr="00B36687">
              <w:rPr>
                <w:kern w:val="24"/>
                <w:sz w:val="18"/>
                <w:szCs w:val="18"/>
                <w:lang w:val="fr-FR"/>
              </w:rPr>
              <w:t>;</w:t>
            </w:r>
            <w:r w:rsidR="00B36687" w:rsidRPr="00B36687">
              <w:rPr>
                <w:kern w:val="24"/>
                <w:sz w:val="18"/>
                <w:szCs w:val="18"/>
                <w:lang w:val="fr-FR"/>
              </w:rPr>
              <w:br/>
              <w:t>-Un cas d</w:t>
            </w:r>
            <w:r w:rsidR="00D77991">
              <w:rPr>
                <w:kern w:val="24"/>
                <w:sz w:val="18"/>
                <w:szCs w:val="18"/>
                <w:lang w:val="fr-FR"/>
              </w:rPr>
              <w:t>’</w:t>
            </w:r>
            <w:r w:rsidR="00B36687" w:rsidRPr="00B36687">
              <w:rPr>
                <w:kern w:val="24"/>
                <w:sz w:val="18"/>
                <w:szCs w:val="18"/>
                <w:lang w:val="fr-FR"/>
              </w:rPr>
              <w:t xml:space="preserve">ajustement de la vitesse du compresseur </w:t>
            </w:r>
            <w:r w:rsidR="00AC0604">
              <w:rPr>
                <w:kern w:val="24"/>
                <w:sz w:val="18"/>
                <w:szCs w:val="18"/>
                <w:lang w:val="fr-FR"/>
              </w:rPr>
              <w:t xml:space="preserve"> en</w:t>
            </w:r>
            <w:r w:rsidR="00B36687" w:rsidRPr="00B36687">
              <w:rPr>
                <w:kern w:val="24"/>
                <w:sz w:val="18"/>
                <w:szCs w:val="18"/>
                <w:lang w:val="fr-FR"/>
              </w:rPr>
              <w:t xml:space="preserve"> utilisant des entraînements à vitesse variable</w:t>
            </w:r>
          </w:p>
        </w:tc>
      </w:tr>
    </w:tbl>
    <w:p w:rsidR="00A0166D" w:rsidRPr="00705A24" w:rsidRDefault="00B36687" w:rsidP="00B36687">
      <w:pPr>
        <w:rPr>
          <w:sz w:val="16"/>
          <w:szCs w:val="16"/>
          <w:lang w:val="fr-FR"/>
        </w:rPr>
      </w:pPr>
      <w:r w:rsidRPr="00B36687">
        <w:rPr>
          <w:sz w:val="16"/>
          <w:szCs w:val="16"/>
          <w:lang w:val="fr-FR"/>
        </w:rPr>
        <w:t>*MBH = Mille unités thermales britanniques</w:t>
      </w:r>
    </w:p>
    <w:p w:rsidR="00A0166D" w:rsidRPr="00705A24" w:rsidRDefault="00A0166D" w:rsidP="00A0166D">
      <w:pPr>
        <w:rPr>
          <w:lang w:val="fr-FR"/>
        </w:rPr>
      </w:pPr>
    </w:p>
    <w:p w:rsidR="00835057" w:rsidRPr="00C3019D" w:rsidRDefault="00835057" w:rsidP="00835057">
      <w:pPr>
        <w:pStyle w:val="Heading1"/>
        <w:rPr>
          <w:lang w:val="fr-FR"/>
        </w:rPr>
      </w:pPr>
      <w:r w:rsidRPr="00835057">
        <w:rPr>
          <w:lang w:val="fr-FR"/>
        </w:rPr>
        <w:t>EGYPRA, tout en étant d</w:t>
      </w:r>
      <w:r w:rsidR="00D77991">
        <w:rPr>
          <w:lang w:val="fr-FR"/>
        </w:rPr>
        <w:t>’</w:t>
      </w:r>
      <w:r w:rsidRPr="00835057">
        <w:rPr>
          <w:lang w:val="fr-FR"/>
        </w:rPr>
        <w:t>une conception identique aux autres projets, présente les caractéristiques distinctes suivantes :</w:t>
      </w:r>
    </w:p>
    <w:p w:rsidR="00A0166D" w:rsidRPr="00705A24" w:rsidRDefault="00835057" w:rsidP="00705A24">
      <w:pPr>
        <w:pStyle w:val="Heading2"/>
        <w:rPr>
          <w:lang w:val="fr-FR"/>
        </w:rPr>
      </w:pPr>
      <w:r w:rsidRPr="00835057">
        <w:rPr>
          <w:lang w:val="fr-FR"/>
        </w:rPr>
        <w:t xml:space="preserve">EGYPRA est un programme du PGEH conçu pour faire participer les fabricants locaux aux prises de décision au sujet des meilleures solutions de remplacement </w:t>
      </w:r>
      <w:r w:rsidR="00732221" w:rsidRPr="00835057">
        <w:rPr>
          <w:lang w:val="fr-FR"/>
        </w:rPr>
        <w:t>des frigorigènes</w:t>
      </w:r>
      <w:r w:rsidRPr="00835057">
        <w:rPr>
          <w:lang w:val="fr-FR"/>
        </w:rPr>
        <w:t xml:space="preserve"> pour leur industrie.</w:t>
      </w:r>
      <w:r w:rsidR="00D77991" w:rsidRPr="00C3019D">
        <w:rPr>
          <w:lang w:val="fr-FR"/>
        </w:rPr>
        <w:t xml:space="preserve"> </w:t>
      </w:r>
      <w:r w:rsidRPr="00835057">
        <w:rPr>
          <w:lang w:val="fr-FR"/>
        </w:rPr>
        <w:t>La seconde phase du programme offrira aux fabricants des informations sur le processus d</w:t>
      </w:r>
      <w:r w:rsidR="00D77991">
        <w:rPr>
          <w:lang w:val="fr-FR"/>
        </w:rPr>
        <w:t>’</w:t>
      </w:r>
      <w:r w:rsidRPr="00835057">
        <w:rPr>
          <w:lang w:val="fr-FR"/>
        </w:rPr>
        <w:t>optimisation ;</w:t>
      </w:r>
    </w:p>
    <w:p w:rsidR="00A0166D" w:rsidRPr="00705A24" w:rsidRDefault="00835057" w:rsidP="00705A24">
      <w:pPr>
        <w:pStyle w:val="Heading2"/>
        <w:rPr>
          <w:lang w:val="fr-FR"/>
        </w:rPr>
      </w:pPr>
      <w:r w:rsidRPr="00835057">
        <w:rPr>
          <w:lang w:val="fr-FR"/>
        </w:rPr>
        <w:t>Le programme mobilise davantage de fabricants, à l</w:t>
      </w:r>
      <w:r w:rsidR="00D77991">
        <w:rPr>
          <w:lang w:val="fr-FR"/>
        </w:rPr>
        <w:t>’</w:t>
      </w:r>
      <w:r w:rsidRPr="00835057">
        <w:rPr>
          <w:lang w:val="fr-FR"/>
        </w:rPr>
        <w:t>exception d</w:t>
      </w:r>
      <w:r w:rsidR="00D77991">
        <w:rPr>
          <w:lang w:val="fr-FR"/>
        </w:rPr>
        <w:t>’</w:t>
      </w:r>
      <w:r w:rsidRPr="00835057">
        <w:rPr>
          <w:lang w:val="fr-FR"/>
        </w:rPr>
        <w:t>AREP, et teste davantage de prototypes que les trois autres.</w:t>
      </w:r>
      <w:r w:rsidRPr="00C3019D">
        <w:rPr>
          <w:lang w:val="fr-FR"/>
        </w:rPr>
        <w:t xml:space="preserve"> </w:t>
      </w:r>
      <w:r w:rsidRPr="00835057">
        <w:rPr>
          <w:lang w:val="fr-FR"/>
        </w:rPr>
        <w:t>Les huit frigorigènes de remplacement couvrent les frigorigènes disponibles au moment de la construction des prototypes ;</w:t>
      </w:r>
    </w:p>
    <w:p w:rsidR="00835057" w:rsidRPr="00C3019D" w:rsidRDefault="00835057" w:rsidP="00835057">
      <w:pPr>
        <w:pStyle w:val="Heading2"/>
        <w:rPr>
          <w:lang w:val="fr-FR"/>
        </w:rPr>
      </w:pPr>
      <w:r w:rsidRPr="00835057">
        <w:rPr>
          <w:lang w:val="fr-FR"/>
        </w:rPr>
        <w:lastRenderedPageBreak/>
        <w:t>EGYPRA ne se concentr</w:t>
      </w:r>
      <w:r w:rsidR="00FD437A">
        <w:rPr>
          <w:lang w:val="fr-FR"/>
        </w:rPr>
        <w:t>e</w:t>
      </w:r>
      <w:r w:rsidRPr="00835057">
        <w:rPr>
          <w:lang w:val="fr-FR"/>
        </w:rPr>
        <w:t xml:space="preserve"> pas seulement sur les températures ambiantes élevées mais sur toute la gamme de </w:t>
      </w:r>
      <w:r w:rsidRPr="00AC0604">
        <w:rPr>
          <w:lang w:val="fr-FR"/>
        </w:rPr>
        <w:t>températures pouvant être observées en Égypte ; et</w:t>
      </w:r>
    </w:p>
    <w:p w:rsidR="00835057" w:rsidRPr="00C3019D" w:rsidRDefault="00835057" w:rsidP="00835057">
      <w:pPr>
        <w:pStyle w:val="Heading2"/>
        <w:rPr>
          <w:lang w:val="fr-FR"/>
        </w:rPr>
      </w:pPr>
      <w:r w:rsidRPr="00AC0604">
        <w:rPr>
          <w:lang w:val="fr-FR"/>
        </w:rPr>
        <w:t>Les résultats des tests présentés expliquent plus facilement les relations entre le</w:t>
      </w:r>
      <w:r w:rsidRPr="00835057">
        <w:rPr>
          <w:lang w:val="fr-FR"/>
        </w:rPr>
        <w:t xml:space="preserve"> frigorigène, la température ambiante, l</w:t>
      </w:r>
      <w:r w:rsidR="00D77991">
        <w:rPr>
          <w:lang w:val="fr-FR"/>
        </w:rPr>
        <w:t>’</w:t>
      </w:r>
      <w:r w:rsidRPr="00835057">
        <w:rPr>
          <w:lang w:val="fr-FR"/>
        </w:rPr>
        <w:t>application des équipements et les performances.</w:t>
      </w:r>
    </w:p>
    <w:p w:rsidR="00835057" w:rsidRPr="00C3019D" w:rsidRDefault="00835057" w:rsidP="00835057">
      <w:pPr>
        <w:pStyle w:val="Heading1"/>
        <w:rPr>
          <w:lang w:val="fr-FR"/>
        </w:rPr>
      </w:pPr>
      <w:r w:rsidRPr="00835057">
        <w:rPr>
          <w:lang w:val="fr-FR"/>
        </w:rPr>
        <w:t>EGYPRA n</w:t>
      </w:r>
      <w:r w:rsidR="00D77991">
        <w:rPr>
          <w:lang w:val="fr-FR"/>
        </w:rPr>
        <w:t>’</w:t>
      </w:r>
      <w:r w:rsidRPr="00835057">
        <w:rPr>
          <w:lang w:val="fr-FR"/>
        </w:rPr>
        <w:t>a pas été comparé avec le rapport final sur le projet de démonstration chez des fabricants d</w:t>
      </w:r>
      <w:r w:rsidR="00FD437A">
        <w:rPr>
          <w:lang w:val="fr-FR"/>
        </w:rPr>
        <w:t>’équipements de climatisation pour</w:t>
      </w:r>
      <w:r w:rsidRPr="00835057">
        <w:rPr>
          <w:lang w:val="fr-FR"/>
        </w:rPr>
        <w:t xml:space="preserve"> développer des climatiseurs de fenêtre et des climatiseurs monoblocs utilisant des frigorigènes à faible PRP en Arabie Saoudite</w:t>
      </w:r>
      <w:r w:rsidR="00FD437A">
        <w:rPr>
          <w:lang w:val="fr-FR"/>
        </w:rPr>
        <w:t>,</w:t>
      </w:r>
      <w:r w:rsidR="00D77991">
        <w:rPr>
          <w:lang w:val="fr-FR"/>
        </w:rPr>
        <w:t xml:space="preserve"> </w:t>
      </w:r>
      <w:r w:rsidRPr="00835057">
        <w:rPr>
          <w:lang w:val="fr-FR"/>
        </w:rPr>
        <w:t>ni avec le rapport final sur le projet de démonstration de l</w:t>
      </w:r>
      <w:r w:rsidR="00D77991">
        <w:rPr>
          <w:lang w:val="fr-FR"/>
        </w:rPr>
        <w:t>’</w:t>
      </w:r>
      <w:r w:rsidRPr="00835057">
        <w:rPr>
          <w:lang w:val="fr-FR"/>
        </w:rPr>
        <w:t>élimination du</w:t>
      </w:r>
      <w:r w:rsidR="00D77991">
        <w:rPr>
          <w:lang w:val="fr-FR"/>
        </w:rPr>
        <w:t xml:space="preserve"> </w:t>
      </w:r>
      <w:r w:rsidRPr="00835057">
        <w:rPr>
          <w:lang w:val="fr-FR"/>
        </w:rPr>
        <w:t>HCFC-22 dans la fabrication d</w:t>
      </w:r>
      <w:r w:rsidR="00D77991">
        <w:rPr>
          <w:lang w:val="fr-FR"/>
        </w:rPr>
        <w:t>’</w:t>
      </w:r>
      <w:r w:rsidRPr="00835057">
        <w:rPr>
          <w:lang w:val="fr-FR"/>
        </w:rPr>
        <w:t>équipements de climatisation à usage commercial chez Industrias Thermotar Ltda en Colombie.</w:t>
      </w:r>
      <w:r w:rsidRPr="00C3019D">
        <w:rPr>
          <w:lang w:val="fr-FR"/>
        </w:rPr>
        <w:t xml:space="preserve"> </w:t>
      </w:r>
    </w:p>
    <w:p w:rsidR="00A0166D" w:rsidRPr="00C3019D" w:rsidRDefault="00A0166D" w:rsidP="00A0166D">
      <w:pPr>
        <w:rPr>
          <w:lang w:val="fr-FR"/>
        </w:rPr>
      </w:pPr>
    </w:p>
    <w:p w:rsidR="00A0166D" w:rsidRPr="00C3019D" w:rsidRDefault="00A0166D" w:rsidP="00A0166D">
      <w:pPr>
        <w:rPr>
          <w:lang w:val="fr-FR"/>
        </w:rPr>
      </w:pPr>
    </w:p>
    <w:p w:rsidR="0063502E" w:rsidRPr="00C3019D" w:rsidRDefault="0063502E" w:rsidP="00255CDE">
      <w:pPr>
        <w:rPr>
          <w:lang w:val="fr-FR"/>
        </w:rPr>
      </w:pPr>
    </w:p>
    <w:p w:rsidR="0063502E" w:rsidRPr="00C3019D" w:rsidRDefault="0063502E" w:rsidP="00255CDE">
      <w:pPr>
        <w:rPr>
          <w:lang w:val="fr-FR"/>
        </w:rPr>
        <w:sectPr w:rsidR="0063502E" w:rsidRPr="00C3019D" w:rsidSect="00A0166D">
          <w:headerReference w:type="even" r:id="rId15"/>
          <w:headerReference w:type="default" r:id="rId16"/>
          <w:headerReference w:type="first" r:id="rId17"/>
          <w:footnotePr>
            <w:numRestart w:val="eachSect"/>
          </w:footnotePr>
          <w:pgSz w:w="12240" w:h="15840" w:code="1"/>
          <w:pgMar w:top="720" w:right="1440" w:bottom="864" w:left="1440" w:header="720" w:footer="475" w:gutter="0"/>
          <w:pgNumType w:start="1"/>
          <w:cols w:space="720"/>
          <w:docGrid w:linePitch="299"/>
        </w:sectPr>
      </w:pPr>
    </w:p>
    <w:p w:rsidR="0063502E" w:rsidRPr="00C3019D" w:rsidRDefault="00835057" w:rsidP="0063502E">
      <w:pPr>
        <w:jc w:val="center"/>
        <w:rPr>
          <w:b/>
          <w:lang w:val="fr-FR"/>
        </w:rPr>
      </w:pPr>
      <w:r w:rsidRPr="00835057">
        <w:rPr>
          <w:b/>
          <w:lang w:val="fr-FR"/>
        </w:rPr>
        <w:lastRenderedPageBreak/>
        <w:t>Annexe II</w:t>
      </w:r>
    </w:p>
    <w:p w:rsidR="0063502E" w:rsidRPr="00C3019D" w:rsidRDefault="0063502E" w:rsidP="00255CDE">
      <w:pPr>
        <w:rPr>
          <w:b/>
          <w:lang w:val="fr-FR"/>
        </w:rPr>
      </w:pPr>
    </w:p>
    <w:p w:rsidR="0063502E" w:rsidRPr="004669F3" w:rsidRDefault="0063502E" w:rsidP="0063502E">
      <w:pPr>
        <w:jc w:val="center"/>
        <w:rPr>
          <w:lang w:val="fr-FR"/>
        </w:rPr>
      </w:pPr>
      <w:r w:rsidRPr="004669F3">
        <w:rPr>
          <w:b/>
          <w:lang w:val="fr-FR"/>
        </w:rPr>
        <w:t>TEXT</w:t>
      </w:r>
      <w:r w:rsidR="004669F3" w:rsidRPr="004669F3">
        <w:rPr>
          <w:b/>
          <w:lang w:val="fr-FR"/>
        </w:rPr>
        <w:t>E À INCLURE DANS</w:t>
      </w:r>
      <w:r w:rsidR="00D77991">
        <w:rPr>
          <w:b/>
          <w:lang w:val="fr-FR"/>
        </w:rPr>
        <w:t xml:space="preserve"> </w:t>
      </w:r>
      <w:r w:rsidR="00AC0604">
        <w:rPr>
          <w:b/>
          <w:lang w:val="fr-FR"/>
        </w:rPr>
        <w:t xml:space="preserve">LE PROJET D’ACCORD RÉVISÉ </w:t>
      </w:r>
      <w:r w:rsidR="004669F3" w:rsidRPr="004669F3">
        <w:rPr>
          <w:b/>
          <w:lang w:val="fr-FR"/>
        </w:rPr>
        <w:t>ENTRE LE GOUVERNEMENT DE L</w:t>
      </w:r>
      <w:r w:rsidR="00D77991">
        <w:rPr>
          <w:b/>
          <w:lang w:val="fr-FR"/>
        </w:rPr>
        <w:t>’</w:t>
      </w:r>
      <w:r w:rsidR="004669F3" w:rsidRPr="004669F3">
        <w:rPr>
          <w:b/>
          <w:lang w:val="fr-FR"/>
        </w:rPr>
        <w:t xml:space="preserve">ÉGYPTE </w:t>
      </w:r>
      <w:r w:rsidR="000C703C">
        <w:rPr>
          <w:b/>
          <w:lang w:val="fr-FR"/>
        </w:rPr>
        <w:t>E</w:t>
      </w:r>
      <w:r w:rsidR="004669F3" w:rsidRPr="004669F3">
        <w:rPr>
          <w:b/>
          <w:lang w:val="fr-FR"/>
        </w:rPr>
        <w:t>T LE COMITÉ EXÉCUTIF DU FONDS MULTILATÉRAL POUR LA RÉDUCTION DE LA CONSOMMATION DES HYDROFLUOROCARBURES CONFORMÉMENT À LA DEUXIÈME PHASE DU PLAN DE GESTION DE L</w:t>
      </w:r>
      <w:r w:rsidR="00D77991">
        <w:rPr>
          <w:b/>
          <w:lang w:val="fr-FR"/>
        </w:rPr>
        <w:t>’</w:t>
      </w:r>
      <w:r w:rsidR="004669F3" w:rsidRPr="004669F3">
        <w:rPr>
          <w:b/>
          <w:lang w:val="fr-FR"/>
        </w:rPr>
        <w:t xml:space="preserve">ÉLIMINATION DES HCFC </w:t>
      </w:r>
    </w:p>
    <w:p w:rsidR="008F78B6" w:rsidRPr="004669F3" w:rsidRDefault="008F78B6" w:rsidP="008F78B6">
      <w:pPr>
        <w:tabs>
          <w:tab w:val="left" w:pos="927"/>
        </w:tabs>
        <w:jc w:val="center"/>
        <w:rPr>
          <w:lang w:val="fr-FR"/>
        </w:rPr>
      </w:pPr>
      <w:r w:rsidRPr="004669F3">
        <w:rPr>
          <w:lang w:val="fr-FR"/>
        </w:rPr>
        <w:t>(</w:t>
      </w:r>
      <w:r w:rsidR="004669F3" w:rsidRPr="004669F3">
        <w:rPr>
          <w:lang w:val="fr-FR"/>
        </w:rPr>
        <w:t>Les changements</w:t>
      </w:r>
      <w:r w:rsidR="004669F3">
        <w:rPr>
          <w:lang w:val="fr-FR"/>
        </w:rPr>
        <w:t xml:space="preserve"> pertinents</w:t>
      </w:r>
      <w:r w:rsidR="004669F3" w:rsidRPr="004669F3">
        <w:rPr>
          <w:lang w:val="fr-FR"/>
        </w:rPr>
        <w:t xml:space="preserve"> sont indiqués en gras p</w:t>
      </w:r>
      <w:r w:rsidR="004669F3">
        <w:rPr>
          <w:lang w:val="fr-FR"/>
        </w:rPr>
        <w:t>ar souci de clarté</w:t>
      </w:r>
      <w:r w:rsidRPr="004669F3">
        <w:rPr>
          <w:lang w:val="fr-FR"/>
        </w:rPr>
        <w:t>)</w:t>
      </w:r>
    </w:p>
    <w:p w:rsidR="008F78B6" w:rsidRPr="004669F3" w:rsidRDefault="008F78B6" w:rsidP="008F78B6">
      <w:pPr>
        <w:tabs>
          <w:tab w:val="left" w:pos="927"/>
        </w:tabs>
        <w:jc w:val="center"/>
        <w:rPr>
          <w:lang w:val="fr-FR"/>
        </w:rPr>
      </w:pPr>
    </w:p>
    <w:p w:rsidR="0063502E" w:rsidRPr="00C3019D" w:rsidRDefault="0063502E" w:rsidP="00255CDE">
      <w:pPr>
        <w:rPr>
          <w:lang w:val="fr-FR"/>
        </w:rPr>
      </w:pPr>
    </w:p>
    <w:p w:rsidR="00921CE5" w:rsidRPr="00921CE5" w:rsidRDefault="004669F3" w:rsidP="00255CDE">
      <w:pPr>
        <w:pStyle w:val="ListParagraph"/>
        <w:numPr>
          <w:ilvl w:val="0"/>
          <w:numId w:val="29"/>
        </w:numPr>
        <w:ind w:left="0" w:firstLine="0"/>
        <w:rPr>
          <w:lang w:val="fr-FR"/>
        </w:rPr>
      </w:pPr>
      <w:r w:rsidRPr="00921CE5">
        <w:rPr>
          <w:lang w:val="fr-FR"/>
        </w:rPr>
        <w:t>Le présent Accord représente l</w:t>
      </w:r>
      <w:r w:rsidR="00D77991" w:rsidRPr="00921CE5">
        <w:rPr>
          <w:lang w:val="fr-FR"/>
        </w:rPr>
        <w:t>’</w:t>
      </w:r>
      <w:r w:rsidRPr="00921CE5">
        <w:rPr>
          <w:lang w:val="fr-FR"/>
        </w:rPr>
        <w:t>entente conclue entre le gouvernement de l</w:t>
      </w:r>
      <w:r w:rsidR="00D77991" w:rsidRPr="00921CE5">
        <w:rPr>
          <w:lang w:val="fr-FR"/>
        </w:rPr>
        <w:t>’</w:t>
      </w:r>
      <w:r w:rsidRPr="00921CE5">
        <w:rPr>
          <w:lang w:val="fr-FR"/>
        </w:rPr>
        <w:t>Égypte et le Comité exécutif concernant la réduction de l</w:t>
      </w:r>
      <w:r w:rsidR="00D77991" w:rsidRPr="00921CE5">
        <w:rPr>
          <w:lang w:val="fr-FR"/>
        </w:rPr>
        <w:t>’</w:t>
      </w:r>
      <w:r w:rsidRPr="00921CE5">
        <w:rPr>
          <w:lang w:val="fr-FR"/>
        </w:rPr>
        <w:t>usage réglementé des substances appauvrissant la couche d</w:t>
      </w:r>
      <w:r w:rsidR="00D77991" w:rsidRPr="00921CE5">
        <w:rPr>
          <w:lang w:val="fr-FR"/>
        </w:rPr>
        <w:t>’</w:t>
      </w:r>
      <w:r w:rsidRPr="00921CE5">
        <w:rPr>
          <w:lang w:val="fr-FR"/>
        </w:rPr>
        <w:t>ozone (SAO) indiquées à l</w:t>
      </w:r>
      <w:r w:rsidR="00D77991" w:rsidRPr="00921CE5">
        <w:rPr>
          <w:lang w:val="fr-FR"/>
        </w:rPr>
        <w:t>’</w:t>
      </w:r>
      <w:r w:rsidRPr="00921CE5">
        <w:rPr>
          <w:lang w:val="fr-FR"/>
        </w:rPr>
        <w:t>appendice 1-A (les « Substances ») à un niveau durable de 115,54 tonnes PAO d</w:t>
      </w:r>
      <w:r w:rsidR="00D77991" w:rsidRPr="00921CE5">
        <w:rPr>
          <w:lang w:val="fr-FR"/>
        </w:rPr>
        <w:t>’</w:t>
      </w:r>
      <w:r w:rsidRPr="00921CE5">
        <w:rPr>
          <w:lang w:val="fr-FR"/>
        </w:rPr>
        <w:t>ici le 1</w:t>
      </w:r>
      <w:r w:rsidRPr="00921CE5">
        <w:rPr>
          <w:vertAlign w:val="superscript"/>
          <w:lang w:val="fr-FR"/>
        </w:rPr>
        <w:t>er</w:t>
      </w:r>
      <w:r w:rsidRPr="00921CE5">
        <w:rPr>
          <w:lang w:val="fr-FR"/>
        </w:rPr>
        <w:t> janvier 2025, conformément au calendrier de réduction du Protocole de Montréal</w:t>
      </w:r>
      <w:r w:rsidR="00D435D7" w:rsidRPr="00921CE5">
        <w:rPr>
          <w:lang w:val="fr-FR"/>
        </w:rPr>
        <w:t>.</w:t>
      </w:r>
    </w:p>
    <w:p w:rsidR="00921CE5" w:rsidRDefault="00921CE5" w:rsidP="00921CE5">
      <w:pPr>
        <w:pStyle w:val="ListParagraph"/>
        <w:ind w:left="0"/>
        <w:rPr>
          <w:lang w:val="fr-FR"/>
        </w:rPr>
      </w:pPr>
    </w:p>
    <w:p w:rsidR="0063502E" w:rsidRPr="00921CE5" w:rsidRDefault="004669F3" w:rsidP="00CC683B">
      <w:pPr>
        <w:pStyle w:val="ListParagraph"/>
        <w:numPr>
          <w:ilvl w:val="0"/>
          <w:numId w:val="29"/>
        </w:numPr>
        <w:ind w:left="0" w:firstLine="0"/>
        <w:rPr>
          <w:b/>
          <w:lang w:val="fr-FR"/>
        </w:rPr>
      </w:pPr>
      <w:r w:rsidRPr="00921CE5">
        <w:rPr>
          <w:b/>
          <w:lang w:val="fr-FR"/>
        </w:rPr>
        <w:t>Le présent Accord révisé remplace l</w:t>
      </w:r>
      <w:r w:rsidR="00D77991" w:rsidRPr="00921CE5">
        <w:rPr>
          <w:b/>
          <w:lang w:val="fr-FR"/>
        </w:rPr>
        <w:t>’</w:t>
      </w:r>
      <w:r w:rsidRPr="00921CE5">
        <w:rPr>
          <w:b/>
          <w:lang w:val="fr-FR"/>
        </w:rPr>
        <w:t>Accord conclu entre le gouvernement de l</w:t>
      </w:r>
      <w:r w:rsidR="00D77991" w:rsidRPr="00921CE5">
        <w:rPr>
          <w:b/>
          <w:lang w:val="fr-FR"/>
        </w:rPr>
        <w:t>’</w:t>
      </w:r>
      <w:r w:rsidRPr="00921CE5">
        <w:rPr>
          <w:b/>
          <w:lang w:val="fr-FR"/>
        </w:rPr>
        <w:t>Égypte et</w:t>
      </w:r>
      <w:r w:rsidR="00D77991" w:rsidRPr="00921CE5">
        <w:rPr>
          <w:b/>
          <w:lang w:val="fr-FR"/>
        </w:rPr>
        <w:t xml:space="preserve"> </w:t>
      </w:r>
      <w:r w:rsidRPr="00921CE5">
        <w:rPr>
          <w:b/>
          <w:lang w:val="fr-FR"/>
        </w:rPr>
        <w:t>le Comité exécutif à la 79</w:t>
      </w:r>
      <w:r w:rsidRPr="00921CE5">
        <w:rPr>
          <w:b/>
          <w:vertAlign w:val="superscript"/>
          <w:lang w:val="fr-FR"/>
        </w:rPr>
        <w:t>e</w:t>
      </w:r>
      <w:r w:rsidR="00D77991" w:rsidRPr="00921CE5">
        <w:rPr>
          <w:b/>
          <w:lang w:val="fr-FR"/>
        </w:rPr>
        <w:t xml:space="preserve"> </w:t>
      </w:r>
      <w:r w:rsidRPr="00921CE5">
        <w:rPr>
          <w:b/>
          <w:lang w:val="fr-FR"/>
        </w:rPr>
        <w:t>réunion du Comité exécutif</w:t>
      </w:r>
      <w:r w:rsidR="0063502E" w:rsidRPr="00921CE5">
        <w:rPr>
          <w:b/>
          <w:lang w:val="fr-FR"/>
        </w:rPr>
        <w:t>.</w:t>
      </w:r>
    </w:p>
    <w:p w:rsidR="0063502E" w:rsidRPr="00C3019D" w:rsidRDefault="0063502E" w:rsidP="00255CDE">
      <w:pPr>
        <w:rPr>
          <w:lang w:val="fr-FR"/>
        </w:rPr>
      </w:pPr>
    </w:p>
    <w:p w:rsidR="0063502E" w:rsidRPr="00C3019D" w:rsidRDefault="0063502E" w:rsidP="00255CDE">
      <w:pPr>
        <w:rPr>
          <w:lang w:val="fr-FR"/>
        </w:rPr>
      </w:pPr>
    </w:p>
    <w:p w:rsidR="004669F3" w:rsidRDefault="004669F3" w:rsidP="004669F3">
      <w:pPr>
        <w:keepNext/>
        <w:jc w:val="left"/>
        <w:rPr>
          <w:b/>
          <w:lang w:val="fr-CA"/>
        </w:rPr>
      </w:pPr>
      <w:r>
        <w:rPr>
          <w:b/>
          <w:lang w:val="fr-CA"/>
        </w:rPr>
        <w:t>APPENDICE 2-A: LES OBJECTIFS ET LE FINANCEMENT</w:t>
      </w:r>
    </w:p>
    <w:p w:rsidR="004669F3" w:rsidRDefault="004669F3" w:rsidP="004669F3">
      <w:pPr>
        <w:keepNext/>
        <w:jc w:val="left"/>
        <w:rPr>
          <w:b/>
          <w:lang w:val="fr-CA"/>
        </w:rPr>
      </w:pPr>
    </w:p>
    <w:tbl>
      <w:tblPr>
        <w:tblW w:w="5312" w:type="pct"/>
        <w:jc w:val="center"/>
        <w:tblLook w:val="00A0" w:firstRow="1" w:lastRow="0" w:firstColumn="1" w:lastColumn="0" w:noHBand="0" w:noVBand="0"/>
      </w:tblPr>
      <w:tblGrid>
        <w:gridCol w:w="608"/>
        <w:gridCol w:w="1270"/>
        <w:gridCol w:w="856"/>
        <w:gridCol w:w="656"/>
        <w:gridCol w:w="856"/>
        <w:gridCol w:w="656"/>
        <w:gridCol w:w="856"/>
        <w:gridCol w:w="656"/>
        <w:gridCol w:w="856"/>
        <w:gridCol w:w="656"/>
        <w:gridCol w:w="1129"/>
        <w:gridCol w:w="1119"/>
      </w:tblGrid>
      <w:tr w:rsidR="004669F3" w:rsidTr="0067700C">
        <w:trPr>
          <w:cantSplit/>
          <w:trHeight w:val="98"/>
          <w:tblHeader/>
          <w:jc w:val="center"/>
        </w:trPr>
        <w:tc>
          <w:tcPr>
            <w:tcW w:w="299"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Ligne</w:t>
            </w:r>
          </w:p>
        </w:tc>
        <w:tc>
          <w:tcPr>
            <w:tcW w:w="624"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Rubrique</w:t>
            </w:r>
          </w:p>
        </w:tc>
        <w:tc>
          <w:tcPr>
            <w:tcW w:w="421"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2017</w:t>
            </w:r>
          </w:p>
        </w:tc>
        <w:tc>
          <w:tcPr>
            <w:tcW w:w="322"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2018</w:t>
            </w:r>
          </w:p>
        </w:tc>
        <w:tc>
          <w:tcPr>
            <w:tcW w:w="421"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2019</w:t>
            </w:r>
          </w:p>
        </w:tc>
        <w:tc>
          <w:tcPr>
            <w:tcW w:w="322"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2020</w:t>
            </w:r>
          </w:p>
        </w:tc>
        <w:tc>
          <w:tcPr>
            <w:tcW w:w="421"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2021</w:t>
            </w:r>
          </w:p>
        </w:tc>
        <w:tc>
          <w:tcPr>
            <w:tcW w:w="322" w:type="pct"/>
            <w:tcBorders>
              <w:top w:val="single" w:sz="4" w:space="0" w:color="auto"/>
              <w:left w:val="nil"/>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2022</w:t>
            </w:r>
          </w:p>
        </w:tc>
        <w:tc>
          <w:tcPr>
            <w:tcW w:w="421"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2023</w:t>
            </w:r>
          </w:p>
        </w:tc>
        <w:tc>
          <w:tcPr>
            <w:tcW w:w="322"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2024</w:t>
            </w:r>
          </w:p>
        </w:tc>
        <w:tc>
          <w:tcPr>
            <w:tcW w:w="555" w:type="pct"/>
            <w:tcBorders>
              <w:top w:val="single" w:sz="4" w:space="0" w:color="auto"/>
              <w:left w:val="single" w:sz="4" w:space="0" w:color="auto"/>
              <w:bottom w:val="single" w:sz="4" w:space="0" w:color="auto"/>
              <w:right w:val="single" w:sz="4" w:space="0" w:color="auto"/>
            </w:tcBorders>
          </w:tcPr>
          <w:p w:rsidR="004669F3" w:rsidRPr="004669F3" w:rsidRDefault="004669F3" w:rsidP="00304C75">
            <w:pPr>
              <w:keepNext/>
              <w:keepLines/>
              <w:jc w:val="center"/>
              <w:rPr>
                <w:b/>
                <w:bCs/>
                <w:color w:val="000000"/>
                <w:sz w:val="16"/>
                <w:szCs w:val="16"/>
                <w:lang w:val="fr-CA" w:eastAsia="en-CA"/>
              </w:rPr>
            </w:pPr>
            <w:r w:rsidRPr="004669F3">
              <w:rPr>
                <w:b/>
                <w:bCs/>
                <w:color w:val="000000"/>
                <w:sz w:val="16"/>
                <w:szCs w:val="16"/>
                <w:lang w:val="fr-CA" w:eastAsia="en-CA"/>
              </w:rPr>
              <w:t>20</w:t>
            </w:r>
            <w:r w:rsidR="00304C75">
              <w:rPr>
                <w:b/>
                <w:bCs/>
                <w:color w:val="000000"/>
                <w:sz w:val="16"/>
                <w:szCs w:val="16"/>
                <w:lang w:val="fr-CA" w:eastAsia="en-CA"/>
              </w:rPr>
              <w:t>2</w:t>
            </w:r>
            <w:r w:rsidRPr="004669F3">
              <w:rPr>
                <w:b/>
                <w:bCs/>
                <w:color w:val="000000"/>
                <w:sz w:val="16"/>
                <w:szCs w:val="16"/>
                <w:lang w:val="fr-CA" w:eastAsia="en-CA"/>
              </w:rPr>
              <w:t>5</w:t>
            </w:r>
          </w:p>
        </w:tc>
        <w:tc>
          <w:tcPr>
            <w:tcW w:w="550"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keepNext/>
              <w:keepLines/>
              <w:jc w:val="center"/>
              <w:rPr>
                <w:b/>
                <w:bCs/>
                <w:color w:val="000000"/>
                <w:sz w:val="16"/>
                <w:szCs w:val="16"/>
                <w:lang w:val="fr-CA" w:eastAsia="en-CA"/>
              </w:rPr>
            </w:pPr>
            <w:r w:rsidRPr="004669F3">
              <w:rPr>
                <w:b/>
                <w:bCs/>
                <w:color w:val="000000"/>
                <w:sz w:val="16"/>
                <w:szCs w:val="16"/>
                <w:lang w:val="fr-CA" w:eastAsia="en-CA"/>
              </w:rPr>
              <w:t>Total</w:t>
            </w:r>
          </w:p>
        </w:tc>
      </w:tr>
      <w:tr w:rsidR="004669F3" w:rsidRPr="00407A97" w:rsidTr="0067700C">
        <w:trPr>
          <w:trHeight w:val="408"/>
          <w:jc w:val="center"/>
        </w:trPr>
        <w:tc>
          <w:tcPr>
            <w:tcW w:w="299" w:type="pct"/>
            <w:tcBorders>
              <w:top w:val="nil"/>
              <w:left w:val="single" w:sz="4" w:space="0" w:color="auto"/>
              <w:bottom w:val="single" w:sz="4" w:space="0" w:color="auto"/>
              <w:right w:val="single" w:sz="4" w:space="0" w:color="auto"/>
            </w:tcBorders>
          </w:tcPr>
          <w:p w:rsidR="004669F3" w:rsidRPr="004669F3" w:rsidRDefault="004669F3" w:rsidP="004669F3">
            <w:pPr>
              <w:keepNext/>
              <w:keepLines/>
              <w:jc w:val="left"/>
              <w:rPr>
                <w:color w:val="000000"/>
                <w:sz w:val="16"/>
                <w:szCs w:val="16"/>
                <w:lang w:val="fr-CA" w:eastAsia="en-CA"/>
              </w:rPr>
            </w:pPr>
            <w:r w:rsidRPr="004669F3">
              <w:rPr>
                <w:color w:val="000000"/>
                <w:sz w:val="16"/>
                <w:szCs w:val="16"/>
                <w:lang w:val="fr-CA" w:eastAsia="en-CA"/>
              </w:rPr>
              <w:t>1.1</w:t>
            </w:r>
          </w:p>
        </w:tc>
        <w:tc>
          <w:tcPr>
            <w:tcW w:w="624" w:type="pct"/>
            <w:tcBorders>
              <w:top w:val="nil"/>
              <w:left w:val="nil"/>
              <w:bottom w:val="single" w:sz="4" w:space="0" w:color="auto"/>
              <w:right w:val="single" w:sz="4" w:space="0" w:color="auto"/>
            </w:tcBorders>
          </w:tcPr>
          <w:p w:rsidR="004669F3" w:rsidRPr="004669F3" w:rsidRDefault="004669F3" w:rsidP="004669F3">
            <w:pPr>
              <w:keepNext/>
              <w:jc w:val="left"/>
              <w:rPr>
                <w:sz w:val="16"/>
                <w:szCs w:val="16"/>
                <w:lang w:val="fr-CA" w:eastAsia="en-CA"/>
              </w:rPr>
            </w:pPr>
            <w:r w:rsidRPr="004669F3">
              <w:rPr>
                <w:sz w:val="16"/>
                <w:szCs w:val="16"/>
                <w:lang w:val="fr-CA" w:eastAsia="en-CA"/>
              </w:rPr>
              <w:t>Calendrier de réduction des substances du groupe I de l</w:t>
            </w:r>
            <w:r w:rsidR="00D77991">
              <w:rPr>
                <w:sz w:val="16"/>
                <w:szCs w:val="16"/>
                <w:lang w:val="fr-CA" w:eastAsia="en-CA"/>
              </w:rPr>
              <w:t>’</w:t>
            </w:r>
            <w:r w:rsidRPr="004669F3">
              <w:rPr>
                <w:sz w:val="16"/>
                <w:szCs w:val="16"/>
                <w:lang w:val="fr-CA" w:eastAsia="en-CA"/>
              </w:rPr>
              <w:t>annexe C du Protocole de Montréal (tonnes PAO)</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347,64</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347,64</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347,64</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251,08</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421"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322"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555"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125,54</w:t>
            </w:r>
          </w:p>
        </w:tc>
        <w:tc>
          <w:tcPr>
            <w:tcW w:w="550"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s.o.</w:t>
            </w:r>
          </w:p>
        </w:tc>
      </w:tr>
      <w:tr w:rsidR="004669F3" w:rsidRPr="00407A97" w:rsidTr="0067700C">
        <w:trPr>
          <w:trHeight w:val="408"/>
          <w:jc w:val="center"/>
        </w:trPr>
        <w:tc>
          <w:tcPr>
            <w:tcW w:w="299" w:type="pct"/>
            <w:tcBorders>
              <w:top w:val="nil"/>
              <w:left w:val="single" w:sz="4" w:space="0" w:color="auto"/>
              <w:bottom w:val="single" w:sz="4" w:space="0" w:color="auto"/>
              <w:right w:val="single" w:sz="4" w:space="0" w:color="auto"/>
            </w:tcBorders>
          </w:tcPr>
          <w:p w:rsidR="004669F3" w:rsidRPr="004669F3" w:rsidRDefault="004669F3" w:rsidP="004669F3">
            <w:pPr>
              <w:jc w:val="left"/>
              <w:rPr>
                <w:color w:val="000000"/>
                <w:sz w:val="16"/>
                <w:szCs w:val="16"/>
                <w:lang w:val="fr-CA" w:eastAsia="en-CA"/>
              </w:rPr>
            </w:pPr>
            <w:r w:rsidRPr="004669F3">
              <w:rPr>
                <w:color w:val="000000"/>
                <w:sz w:val="16"/>
                <w:szCs w:val="16"/>
                <w:lang w:val="fr-CA" w:eastAsia="en-CA"/>
              </w:rPr>
              <w:t>1.2</w:t>
            </w:r>
          </w:p>
        </w:tc>
        <w:tc>
          <w:tcPr>
            <w:tcW w:w="624" w:type="pct"/>
            <w:tcBorders>
              <w:top w:val="nil"/>
              <w:left w:val="nil"/>
              <w:bottom w:val="single" w:sz="4" w:space="0" w:color="auto"/>
              <w:right w:val="single" w:sz="4" w:space="0" w:color="auto"/>
            </w:tcBorders>
          </w:tcPr>
          <w:p w:rsidR="004669F3" w:rsidRPr="004669F3" w:rsidRDefault="004669F3" w:rsidP="004669F3">
            <w:pPr>
              <w:jc w:val="left"/>
              <w:rPr>
                <w:sz w:val="16"/>
                <w:szCs w:val="16"/>
                <w:lang w:val="fr-CA" w:eastAsia="en-CA"/>
              </w:rPr>
            </w:pPr>
            <w:r w:rsidRPr="004669F3">
              <w:rPr>
                <w:sz w:val="16"/>
                <w:szCs w:val="16"/>
                <w:lang w:val="fr-CA" w:eastAsia="en-CA"/>
              </w:rPr>
              <w:t>Consommation totale maximum autorisée des substances du groupe I de l</w:t>
            </w:r>
            <w:r w:rsidR="00D77991">
              <w:rPr>
                <w:sz w:val="16"/>
                <w:szCs w:val="16"/>
                <w:lang w:val="fr-CA" w:eastAsia="en-CA"/>
              </w:rPr>
              <w:t>’</w:t>
            </w:r>
            <w:r w:rsidRPr="004669F3">
              <w:rPr>
                <w:sz w:val="16"/>
                <w:szCs w:val="16"/>
                <w:lang w:val="fr-CA" w:eastAsia="en-CA"/>
              </w:rPr>
              <w:t>annexe C (tonnes PAO)</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347,64</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289,70</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289,70</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421" w:type="pct"/>
            <w:tcBorders>
              <w:top w:val="nil"/>
              <w:left w:val="nil"/>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322" w:type="pct"/>
            <w:tcBorders>
              <w:top w:val="nil"/>
              <w:left w:val="nil"/>
              <w:bottom w:val="single" w:sz="4" w:space="0" w:color="auto"/>
              <w:right w:val="single" w:sz="4" w:space="0" w:color="auto"/>
            </w:tcBorders>
          </w:tcPr>
          <w:p w:rsidR="004669F3" w:rsidRPr="004669F3" w:rsidRDefault="004669F3" w:rsidP="004669F3">
            <w:pPr>
              <w:jc w:val="right"/>
              <w:rPr>
                <w:sz w:val="16"/>
                <w:szCs w:val="16"/>
              </w:rPr>
            </w:pPr>
            <w:r w:rsidRPr="004669F3">
              <w:rPr>
                <w:color w:val="000000"/>
                <w:sz w:val="16"/>
                <w:szCs w:val="16"/>
              </w:rPr>
              <w:t>251,08</w:t>
            </w:r>
          </w:p>
        </w:tc>
        <w:tc>
          <w:tcPr>
            <w:tcW w:w="421" w:type="pct"/>
            <w:tcBorders>
              <w:top w:val="single" w:sz="4" w:space="0" w:color="auto"/>
              <w:left w:val="single" w:sz="4" w:space="0" w:color="auto"/>
              <w:bottom w:val="single" w:sz="4" w:space="0" w:color="auto"/>
              <w:right w:val="single" w:sz="4" w:space="0" w:color="auto"/>
            </w:tcBorders>
          </w:tcPr>
          <w:p w:rsidR="004669F3" w:rsidRPr="00304C75" w:rsidRDefault="00304C75" w:rsidP="004669F3">
            <w:pPr>
              <w:jc w:val="right"/>
              <w:rPr>
                <w:b/>
                <w:sz w:val="16"/>
                <w:szCs w:val="16"/>
              </w:rPr>
            </w:pPr>
            <w:r w:rsidRPr="00304C75">
              <w:rPr>
                <w:b/>
                <w:color w:val="000000"/>
                <w:sz w:val="16"/>
                <w:szCs w:val="16"/>
              </w:rPr>
              <w:t>241,08</w:t>
            </w:r>
          </w:p>
        </w:tc>
        <w:tc>
          <w:tcPr>
            <w:tcW w:w="322" w:type="pct"/>
            <w:tcBorders>
              <w:top w:val="single" w:sz="4" w:space="0" w:color="auto"/>
              <w:left w:val="single" w:sz="4" w:space="0" w:color="auto"/>
              <w:bottom w:val="single" w:sz="4" w:space="0" w:color="auto"/>
              <w:right w:val="single" w:sz="4" w:space="0" w:color="auto"/>
            </w:tcBorders>
          </w:tcPr>
          <w:p w:rsidR="004669F3" w:rsidRPr="00304C75" w:rsidRDefault="00304C75" w:rsidP="004669F3">
            <w:pPr>
              <w:jc w:val="right"/>
              <w:rPr>
                <w:b/>
                <w:sz w:val="16"/>
                <w:szCs w:val="16"/>
              </w:rPr>
            </w:pPr>
            <w:r w:rsidRPr="00304C75">
              <w:rPr>
                <w:b/>
                <w:color w:val="000000"/>
                <w:sz w:val="16"/>
                <w:szCs w:val="16"/>
              </w:rPr>
              <w:t>241,08</w:t>
            </w:r>
          </w:p>
        </w:tc>
        <w:tc>
          <w:tcPr>
            <w:tcW w:w="555" w:type="pct"/>
            <w:tcBorders>
              <w:top w:val="single" w:sz="4" w:space="0" w:color="auto"/>
              <w:left w:val="single" w:sz="4" w:space="0" w:color="auto"/>
              <w:bottom w:val="single" w:sz="4" w:space="0" w:color="auto"/>
              <w:right w:val="single" w:sz="4" w:space="0" w:color="auto"/>
            </w:tcBorders>
          </w:tcPr>
          <w:p w:rsidR="004669F3" w:rsidRPr="00304C75" w:rsidRDefault="00304C75" w:rsidP="004669F3">
            <w:pPr>
              <w:jc w:val="right"/>
              <w:rPr>
                <w:b/>
                <w:color w:val="000000"/>
                <w:sz w:val="16"/>
                <w:szCs w:val="16"/>
              </w:rPr>
            </w:pPr>
            <w:r w:rsidRPr="00304C75">
              <w:rPr>
                <w:b/>
                <w:color w:val="000000"/>
                <w:sz w:val="16"/>
                <w:szCs w:val="16"/>
              </w:rPr>
              <w:t>115,54</w:t>
            </w:r>
          </w:p>
        </w:tc>
        <w:tc>
          <w:tcPr>
            <w:tcW w:w="550" w:type="pct"/>
            <w:tcBorders>
              <w:top w:val="single" w:sz="4" w:space="0" w:color="auto"/>
              <w:left w:val="single" w:sz="4" w:space="0" w:color="auto"/>
              <w:bottom w:val="single" w:sz="4" w:space="0" w:color="auto"/>
              <w:right w:val="single" w:sz="4" w:space="0" w:color="auto"/>
            </w:tcBorders>
          </w:tcPr>
          <w:p w:rsidR="004669F3" w:rsidRPr="004669F3" w:rsidRDefault="004669F3" w:rsidP="004669F3">
            <w:pPr>
              <w:jc w:val="right"/>
              <w:rPr>
                <w:color w:val="000000"/>
                <w:sz w:val="16"/>
                <w:szCs w:val="16"/>
              </w:rPr>
            </w:pPr>
            <w:r w:rsidRPr="004669F3">
              <w:rPr>
                <w:color w:val="000000"/>
                <w:sz w:val="16"/>
                <w:szCs w:val="16"/>
              </w:rPr>
              <w:t>s.o.</w:t>
            </w:r>
          </w:p>
        </w:tc>
      </w:tr>
      <w:tr w:rsidR="00304C75" w:rsidRPr="00407A97" w:rsidTr="0067700C">
        <w:trPr>
          <w:trHeight w:val="116"/>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2.1</w:t>
            </w:r>
          </w:p>
        </w:tc>
        <w:tc>
          <w:tcPr>
            <w:tcW w:w="624" w:type="pct"/>
            <w:tcBorders>
              <w:top w:val="nil"/>
              <w:left w:val="nil"/>
              <w:bottom w:val="single" w:sz="4" w:space="0" w:color="auto"/>
              <w:right w:val="single" w:sz="4" w:space="0" w:color="auto"/>
            </w:tcBorders>
          </w:tcPr>
          <w:p w:rsidR="00304C75" w:rsidRPr="004669F3" w:rsidRDefault="00304C75" w:rsidP="004669F3">
            <w:pPr>
              <w:jc w:val="left"/>
              <w:rPr>
                <w:sz w:val="16"/>
                <w:szCs w:val="16"/>
                <w:lang w:val="fr-CA" w:eastAsia="en-CA"/>
              </w:rPr>
            </w:pPr>
            <w:r w:rsidRPr="004669F3">
              <w:rPr>
                <w:sz w:val="16"/>
                <w:szCs w:val="16"/>
                <w:lang w:val="fr-CA" w:eastAsia="en-CA"/>
              </w:rPr>
              <w:t>Financement convenu pour l</w:t>
            </w:r>
            <w:r w:rsidR="00D77991">
              <w:rPr>
                <w:sz w:val="16"/>
                <w:szCs w:val="16"/>
                <w:lang w:val="fr-CA" w:eastAsia="en-CA"/>
              </w:rPr>
              <w:t>’</w:t>
            </w:r>
            <w:r w:rsidRPr="004669F3">
              <w:rPr>
                <w:sz w:val="16"/>
                <w:szCs w:val="16"/>
                <w:lang w:val="fr-CA" w:eastAsia="en-CA"/>
              </w:rPr>
              <w:t>Agence principale (ONUDI)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3</w:t>
            </w:r>
            <w:r w:rsidR="0067700C">
              <w:rPr>
                <w:sz w:val="16"/>
                <w:szCs w:val="16"/>
              </w:rPr>
              <w:t> </w:t>
            </w:r>
            <w:r w:rsidRPr="004669F3">
              <w:rPr>
                <w:sz w:val="16"/>
                <w:szCs w:val="16"/>
              </w:rPr>
              <w:t>356</w:t>
            </w:r>
            <w:r w:rsidR="0067700C">
              <w:rPr>
                <w:sz w:val="16"/>
                <w:szCs w:val="16"/>
              </w:rPr>
              <w:t> </w:t>
            </w:r>
            <w:r w:rsidRPr="004669F3">
              <w:rPr>
                <w:sz w:val="16"/>
                <w:szCs w:val="16"/>
              </w:rPr>
              <w:t>641</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1F1E0E">
              <w:rPr>
                <w:b/>
                <w:sz w:val="16"/>
                <w:szCs w:val="16"/>
                <w:lang w:val="en-CA"/>
              </w:rPr>
              <w:t>4</w:t>
            </w:r>
            <w:r w:rsidR="0067700C">
              <w:rPr>
                <w:b/>
                <w:sz w:val="16"/>
                <w:szCs w:val="16"/>
                <w:lang w:val="en-CA"/>
              </w:rPr>
              <w:t> </w:t>
            </w:r>
            <w:r w:rsidRPr="001F1E0E">
              <w:rPr>
                <w:b/>
                <w:sz w:val="16"/>
                <w:szCs w:val="16"/>
                <w:lang w:val="en-CA"/>
              </w:rPr>
              <w:t>668</w:t>
            </w:r>
            <w:r w:rsidR="0067700C">
              <w:rPr>
                <w:b/>
                <w:sz w:val="16"/>
                <w:szCs w:val="16"/>
                <w:lang w:val="en-CA"/>
              </w:rPr>
              <w:t> </w:t>
            </w:r>
            <w:r w:rsidRPr="001F1E0E">
              <w:rPr>
                <w:b/>
                <w:sz w:val="16"/>
                <w:szCs w:val="16"/>
                <w:lang w:val="en-CA"/>
              </w:rPr>
              <w:t>214</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1F1E0E" w:rsidRDefault="00304C75" w:rsidP="0067700C">
            <w:pPr>
              <w:jc w:val="right"/>
              <w:rPr>
                <w:b/>
                <w:sz w:val="16"/>
                <w:szCs w:val="16"/>
                <w:lang w:val="en-CA"/>
              </w:rPr>
            </w:pPr>
            <w:r w:rsidRPr="001F1E0E">
              <w:rPr>
                <w:b/>
                <w:sz w:val="16"/>
                <w:szCs w:val="16"/>
                <w:lang w:val="en-CA"/>
              </w:rPr>
              <w:t>4</w:t>
            </w:r>
            <w:r w:rsidR="0067700C">
              <w:rPr>
                <w:b/>
                <w:sz w:val="16"/>
                <w:szCs w:val="16"/>
                <w:lang w:val="en-CA"/>
              </w:rPr>
              <w:t> </w:t>
            </w:r>
            <w:r w:rsidRPr="001F1E0E">
              <w:rPr>
                <w:b/>
                <w:sz w:val="16"/>
                <w:szCs w:val="16"/>
                <w:lang w:val="en-CA"/>
              </w:rPr>
              <w:t>664</w:t>
            </w:r>
            <w:r w:rsidR="0067700C">
              <w:rPr>
                <w:b/>
                <w:sz w:val="16"/>
                <w:szCs w:val="16"/>
                <w:lang w:val="en-CA"/>
              </w:rPr>
              <w:t> </w:t>
            </w:r>
            <w:r w:rsidRPr="001F1E0E">
              <w:rPr>
                <w:b/>
                <w:sz w:val="16"/>
                <w:szCs w:val="16"/>
                <w:lang w:val="en-CA"/>
              </w:rPr>
              <w:t>196</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1F1E0E">
              <w:rPr>
                <w:b/>
                <w:sz w:val="16"/>
                <w:szCs w:val="16"/>
                <w:lang w:val="en-CA"/>
              </w:rPr>
              <w:t>4</w:t>
            </w:r>
            <w:r w:rsidR="0067700C">
              <w:rPr>
                <w:b/>
                <w:sz w:val="16"/>
                <w:szCs w:val="16"/>
                <w:lang w:val="en-CA"/>
              </w:rPr>
              <w:t> </w:t>
            </w:r>
            <w:r w:rsidRPr="001F1E0E">
              <w:rPr>
                <w:b/>
                <w:sz w:val="16"/>
                <w:szCs w:val="16"/>
                <w:lang w:val="en-CA"/>
              </w:rPr>
              <w:t>039</w:t>
            </w:r>
            <w:r w:rsidR="0067700C">
              <w:rPr>
                <w:b/>
                <w:sz w:val="16"/>
                <w:szCs w:val="16"/>
                <w:lang w:val="en-CA"/>
              </w:rPr>
              <w:t> </w:t>
            </w:r>
            <w:r w:rsidRPr="001F1E0E">
              <w:rPr>
                <w:b/>
                <w:sz w:val="16"/>
                <w:szCs w:val="16"/>
                <w:lang w:val="en-CA"/>
              </w:rPr>
              <w:t>413</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195</w:t>
            </w:r>
            <w:r w:rsidR="0067700C">
              <w:rPr>
                <w:sz w:val="16"/>
                <w:szCs w:val="16"/>
              </w:rPr>
              <w:t> </w:t>
            </w:r>
            <w:r w:rsidRPr="004669F3">
              <w:rPr>
                <w:sz w:val="16"/>
                <w:szCs w:val="16"/>
              </w:rPr>
              <w:t>000</w:t>
            </w:r>
          </w:p>
        </w:tc>
        <w:tc>
          <w:tcPr>
            <w:tcW w:w="550" w:type="pct"/>
            <w:tcBorders>
              <w:top w:val="single" w:sz="4" w:space="0" w:color="auto"/>
              <w:left w:val="single" w:sz="4" w:space="0" w:color="auto"/>
              <w:bottom w:val="single" w:sz="4" w:space="0" w:color="auto"/>
              <w:right w:val="single" w:sz="4" w:space="0" w:color="auto"/>
            </w:tcBorders>
          </w:tcPr>
          <w:p w:rsidR="00304C75" w:rsidRPr="00304C75" w:rsidRDefault="00304C75" w:rsidP="004669F3">
            <w:pPr>
              <w:jc w:val="right"/>
              <w:rPr>
                <w:b/>
                <w:sz w:val="16"/>
                <w:szCs w:val="16"/>
              </w:rPr>
            </w:pPr>
            <w:r w:rsidRPr="001F1E0E">
              <w:rPr>
                <w:b/>
                <w:sz w:val="16"/>
                <w:szCs w:val="16"/>
                <w:lang w:val="en-CA"/>
              </w:rPr>
              <w:t>16</w:t>
            </w:r>
            <w:r w:rsidR="0067700C">
              <w:rPr>
                <w:b/>
                <w:sz w:val="16"/>
                <w:szCs w:val="16"/>
                <w:lang w:val="en-CA"/>
              </w:rPr>
              <w:t> </w:t>
            </w:r>
            <w:r w:rsidRPr="001F1E0E">
              <w:rPr>
                <w:b/>
                <w:sz w:val="16"/>
                <w:szCs w:val="16"/>
                <w:lang w:val="en-CA"/>
              </w:rPr>
              <w:t>923</w:t>
            </w:r>
            <w:r w:rsidR="0067700C">
              <w:rPr>
                <w:b/>
                <w:sz w:val="16"/>
                <w:szCs w:val="16"/>
                <w:lang w:val="en-CA"/>
              </w:rPr>
              <w:t> </w:t>
            </w:r>
            <w:r w:rsidRPr="001F1E0E">
              <w:rPr>
                <w:b/>
                <w:sz w:val="16"/>
                <w:szCs w:val="16"/>
                <w:lang w:val="en-CA"/>
              </w:rPr>
              <w:t>464</w:t>
            </w:r>
          </w:p>
        </w:tc>
      </w:tr>
      <w:tr w:rsidR="00304C75" w:rsidRPr="00407A97" w:rsidTr="0067700C">
        <w:trPr>
          <w:trHeight w:val="56"/>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keepNext/>
              <w:keepLines/>
              <w:jc w:val="left"/>
              <w:rPr>
                <w:color w:val="000000"/>
                <w:sz w:val="16"/>
                <w:szCs w:val="16"/>
                <w:lang w:val="fr-CA" w:eastAsia="en-CA"/>
              </w:rPr>
            </w:pPr>
            <w:r w:rsidRPr="004669F3">
              <w:rPr>
                <w:color w:val="000000"/>
                <w:sz w:val="16"/>
                <w:szCs w:val="16"/>
                <w:lang w:val="fr-CA" w:eastAsia="en-CA"/>
              </w:rPr>
              <w:t>2.2</w:t>
            </w:r>
          </w:p>
        </w:tc>
        <w:tc>
          <w:tcPr>
            <w:tcW w:w="624" w:type="pct"/>
            <w:tcBorders>
              <w:top w:val="nil"/>
              <w:left w:val="nil"/>
              <w:bottom w:val="single" w:sz="4" w:space="0" w:color="auto"/>
              <w:right w:val="single" w:sz="4" w:space="0" w:color="auto"/>
            </w:tcBorders>
          </w:tcPr>
          <w:p w:rsidR="00304C75" w:rsidRPr="004669F3" w:rsidRDefault="00304C75" w:rsidP="004669F3">
            <w:pPr>
              <w:keepNext/>
              <w:keepLines/>
              <w:jc w:val="left"/>
              <w:rPr>
                <w:sz w:val="16"/>
                <w:szCs w:val="16"/>
                <w:lang w:val="fr-CA" w:eastAsia="en-CA"/>
              </w:rPr>
            </w:pPr>
            <w:r w:rsidRPr="004669F3">
              <w:rPr>
                <w:sz w:val="16"/>
                <w:szCs w:val="16"/>
                <w:lang w:val="fr-CA" w:eastAsia="en-CA"/>
              </w:rPr>
              <w:t>Coûts d</w:t>
            </w:r>
            <w:r w:rsidR="00D77991">
              <w:rPr>
                <w:sz w:val="16"/>
                <w:szCs w:val="16"/>
                <w:lang w:val="fr-CA" w:eastAsia="en-CA"/>
              </w:rPr>
              <w:t>’</w:t>
            </w:r>
            <w:r w:rsidRPr="004669F3">
              <w:rPr>
                <w:sz w:val="16"/>
                <w:szCs w:val="16"/>
                <w:lang w:val="fr-CA" w:eastAsia="en-CA"/>
              </w:rPr>
              <w:t>appui pour l</w:t>
            </w:r>
            <w:r w:rsidR="00D77991">
              <w:rPr>
                <w:sz w:val="16"/>
                <w:szCs w:val="16"/>
                <w:lang w:val="fr-CA" w:eastAsia="en-CA"/>
              </w:rPr>
              <w:t>’</w:t>
            </w:r>
            <w:r w:rsidRPr="004669F3">
              <w:rPr>
                <w:sz w:val="16"/>
                <w:szCs w:val="16"/>
                <w:lang w:val="fr-CA" w:eastAsia="en-CA"/>
              </w:rPr>
              <w:t>Agence principale (ONUDI)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234</w:t>
            </w:r>
            <w:r w:rsidR="0067700C">
              <w:rPr>
                <w:sz w:val="16"/>
                <w:szCs w:val="16"/>
              </w:rPr>
              <w:t> </w:t>
            </w:r>
            <w:r w:rsidRPr="004669F3">
              <w:rPr>
                <w:sz w:val="16"/>
                <w:szCs w:val="16"/>
              </w:rPr>
              <w:t>965</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1F1E0E">
              <w:rPr>
                <w:b/>
                <w:sz w:val="16"/>
                <w:szCs w:val="16"/>
                <w:lang w:val="en-CA"/>
              </w:rPr>
              <w:t>326</w:t>
            </w:r>
            <w:r w:rsidR="0067700C">
              <w:rPr>
                <w:b/>
                <w:sz w:val="16"/>
                <w:szCs w:val="16"/>
                <w:lang w:val="en-CA"/>
              </w:rPr>
              <w:t> </w:t>
            </w:r>
            <w:r w:rsidRPr="001F1E0E">
              <w:rPr>
                <w:b/>
                <w:sz w:val="16"/>
                <w:szCs w:val="16"/>
                <w:lang w:val="en-CA"/>
              </w:rPr>
              <w:t>775</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67700C">
            <w:pPr>
              <w:jc w:val="right"/>
              <w:rPr>
                <w:sz w:val="16"/>
                <w:szCs w:val="16"/>
              </w:rPr>
            </w:pPr>
            <w:r w:rsidRPr="001F1E0E">
              <w:rPr>
                <w:b/>
                <w:sz w:val="16"/>
                <w:szCs w:val="16"/>
                <w:lang w:val="en-CA"/>
              </w:rPr>
              <w:t>326</w:t>
            </w:r>
            <w:r w:rsidR="0067700C">
              <w:rPr>
                <w:b/>
                <w:sz w:val="16"/>
                <w:szCs w:val="16"/>
                <w:lang w:val="en-CA"/>
              </w:rPr>
              <w:t> 494</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1F1E0E">
              <w:rPr>
                <w:b/>
                <w:sz w:val="16"/>
                <w:szCs w:val="16"/>
                <w:lang w:val="en-CA"/>
              </w:rPr>
              <w:t>282</w:t>
            </w:r>
            <w:r w:rsidR="0067700C">
              <w:rPr>
                <w:b/>
                <w:sz w:val="16"/>
                <w:szCs w:val="16"/>
                <w:lang w:val="en-CA"/>
              </w:rPr>
              <w:t> </w:t>
            </w:r>
            <w:r w:rsidRPr="001F1E0E">
              <w:rPr>
                <w:b/>
                <w:sz w:val="16"/>
                <w:szCs w:val="16"/>
                <w:lang w:val="en-CA"/>
              </w:rPr>
              <w:t>759</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13</w:t>
            </w:r>
            <w:r w:rsidR="0067700C">
              <w:rPr>
                <w:sz w:val="16"/>
                <w:szCs w:val="16"/>
              </w:rPr>
              <w:t> </w:t>
            </w:r>
            <w:r w:rsidRPr="004669F3">
              <w:rPr>
                <w:sz w:val="16"/>
                <w:szCs w:val="16"/>
              </w:rPr>
              <w:t>650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1F1E0E">
              <w:rPr>
                <w:b/>
                <w:sz w:val="16"/>
                <w:szCs w:val="16"/>
                <w:lang w:val="en-CA"/>
              </w:rPr>
              <w:t>1</w:t>
            </w:r>
            <w:r w:rsidR="0067700C">
              <w:rPr>
                <w:b/>
                <w:sz w:val="16"/>
                <w:szCs w:val="16"/>
                <w:lang w:val="en-CA"/>
              </w:rPr>
              <w:t> </w:t>
            </w:r>
            <w:r w:rsidRPr="001F1E0E">
              <w:rPr>
                <w:b/>
                <w:sz w:val="16"/>
                <w:szCs w:val="16"/>
                <w:lang w:val="en-CA"/>
              </w:rPr>
              <w:t>184</w:t>
            </w:r>
            <w:r w:rsidR="0067700C">
              <w:rPr>
                <w:b/>
                <w:sz w:val="16"/>
                <w:szCs w:val="16"/>
                <w:lang w:val="en-CA"/>
              </w:rPr>
              <w:t> </w:t>
            </w:r>
            <w:r w:rsidRPr="001F1E0E">
              <w:rPr>
                <w:b/>
                <w:sz w:val="16"/>
                <w:szCs w:val="16"/>
                <w:lang w:val="en-CA"/>
              </w:rPr>
              <w:t>642</w:t>
            </w:r>
          </w:p>
        </w:tc>
      </w:tr>
      <w:tr w:rsidR="00304C75" w:rsidRPr="00407A97" w:rsidTr="0067700C">
        <w:trPr>
          <w:trHeight w:val="161"/>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2.3</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Financement convenu pour l</w:t>
            </w:r>
            <w:r w:rsidR="00D77991">
              <w:rPr>
                <w:sz w:val="16"/>
                <w:szCs w:val="16"/>
                <w:lang w:val="fr-CA" w:eastAsia="en-CA"/>
              </w:rPr>
              <w:t>’</w:t>
            </w:r>
            <w:r w:rsidRPr="004669F3">
              <w:rPr>
                <w:sz w:val="16"/>
                <w:szCs w:val="16"/>
                <w:lang w:val="fr-CA" w:eastAsia="en-CA"/>
              </w:rPr>
              <w:t>Agence de coopération (PNUD)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w:t>
            </w:r>
            <w:r w:rsidR="0067700C">
              <w:rPr>
                <w:sz w:val="16"/>
                <w:szCs w:val="16"/>
              </w:rPr>
              <w:t> </w:t>
            </w:r>
            <w:r w:rsidRPr="004669F3">
              <w:rPr>
                <w:sz w:val="16"/>
                <w:szCs w:val="16"/>
              </w:rPr>
              <w:t>042</w:t>
            </w:r>
            <w:r w:rsidR="0067700C">
              <w:rPr>
                <w:sz w:val="16"/>
                <w:szCs w:val="16"/>
              </w:rPr>
              <w:t> </w:t>
            </w:r>
            <w:r w:rsidRPr="004669F3">
              <w:rPr>
                <w:sz w:val="16"/>
                <w:szCs w:val="16"/>
              </w:rPr>
              <w:t>352</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w:t>
            </w:r>
            <w:r w:rsidR="0067700C">
              <w:rPr>
                <w:sz w:val="16"/>
                <w:szCs w:val="16"/>
              </w:rPr>
              <w:t> </w:t>
            </w:r>
            <w:r w:rsidRPr="004669F3">
              <w:rPr>
                <w:sz w:val="16"/>
                <w:szCs w:val="16"/>
              </w:rPr>
              <w:t>836</w:t>
            </w:r>
            <w:r w:rsidR="0067700C">
              <w:rPr>
                <w:sz w:val="16"/>
                <w:szCs w:val="16"/>
              </w:rPr>
              <w:t> </w:t>
            </w:r>
            <w:r w:rsidRPr="004669F3">
              <w:rPr>
                <w:sz w:val="16"/>
                <w:szCs w:val="16"/>
              </w:rPr>
              <w:t>750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816</w:t>
            </w:r>
            <w:r w:rsidR="0067700C">
              <w:rPr>
                <w:sz w:val="16"/>
                <w:szCs w:val="16"/>
              </w:rPr>
              <w:t> </w:t>
            </w:r>
            <w:r w:rsidRPr="004669F3">
              <w:rPr>
                <w:sz w:val="16"/>
                <w:szCs w:val="16"/>
              </w:rPr>
              <w:t>620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3</w:t>
            </w:r>
            <w:r w:rsidR="0067700C">
              <w:rPr>
                <w:sz w:val="16"/>
                <w:szCs w:val="16"/>
              </w:rPr>
              <w:t> </w:t>
            </w:r>
            <w:r w:rsidRPr="004669F3">
              <w:rPr>
                <w:sz w:val="16"/>
                <w:szCs w:val="16"/>
              </w:rPr>
              <w:t>695</w:t>
            </w:r>
            <w:r w:rsidR="0067700C">
              <w:rPr>
                <w:sz w:val="16"/>
                <w:szCs w:val="16"/>
              </w:rPr>
              <w:t> </w:t>
            </w:r>
            <w:r w:rsidRPr="004669F3">
              <w:rPr>
                <w:sz w:val="16"/>
                <w:szCs w:val="16"/>
              </w:rPr>
              <w:t>722</w:t>
            </w:r>
          </w:p>
        </w:tc>
      </w:tr>
      <w:tr w:rsidR="00304C75" w:rsidRPr="00407A97" w:rsidTr="0067700C">
        <w:trPr>
          <w:trHeight w:val="60"/>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2.4</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Coûts d</w:t>
            </w:r>
            <w:r w:rsidR="00D77991">
              <w:rPr>
                <w:sz w:val="16"/>
                <w:szCs w:val="16"/>
                <w:lang w:val="fr-CA" w:eastAsia="en-CA"/>
              </w:rPr>
              <w:t>’</w:t>
            </w:r>
            <w:r w:rsidRPr="004669F3">
              <w:rPr>
                <w:sz w:val="16"/>
                <w:szCs w:val="16"/>
                <w:lang w:val="fr-CA" w:eastAsia="en-CA"/>
              </w:rPr>
              <w:t>appui pour l</w:t>
            </w:r>
            <w:r w:rsidR="00D77991">
              <w:rPr>
                <w:sz w:val="16"/>
                <w:szCs w:val="16"/>
                <w:lang w:val="fr-CA" w:eastAsia="en-CA"/>
              </w:rPr>
              <w:t>’</w:t>
            </w:r>
            <w:r w:rsidRPr="004669F3">
              <w:rPr>
                <w:sz w:val="16"/>
                <w:szCs w:val="16"/>
                <w:lang w:val="fr-CA" w:eastAsia="en-CA"/>
              </w:rPr>
              <w:t>Agence de coopération (PNUD)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72</w:t>
            </w:r>
            <w:r w:rsidR="0067700C">
              <w:rPr>
                <w:sz w:val="16"/>
                <w:szCs w:val="16"/>
              </w:rPr>
              <w:t> </w:t>
            </w:r>
            <w:r w:rsidRPr="004669F3">
              <w:rPr>
                <w:sz w:val="16"/>
                <w:szCs w:val="16"/>
              </w:rPr>
              <w:t>965</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128</w:t>
            </w:r>
            <w:r w:rsidR="0067700C">
              <w:rPr>
                <w:sz w:val="16"/>
                <w:szCs w:val="16"/>
              </w:rPr>
              <w:t> </w:t>
            </w:r>
            <w:r w:rsidRPr="004669F3">
              <w:rPr>
                <w:sz w:val="16"/>
                <w:szCs w:val="16"/>
              </w:rPr>
              <w:t>573</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57</w:t>
            </w:r>
            <w:r w:rsidR="0067700C">
              <w:rPr>
                <w:sz w:val="16"/>
                <w:szCs w:val="16"/>
              </w:rPr>
              <w:t> </w:t>
            </w:r>
            <w:r w:rsidRPr="004669F3">
              <w:rPr>
                <w:sz w:val="16"/>
                <w:szCs w:val="16"/>
              </w:rPr>
              <w:t>163</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258</w:t>
            </w:r>
            <w:r w:rsidR="0067700C">
              <w:rPr>
                <w:sz w:val="16"/>
                <w:szCs w:val="16"/>
              </w:rPr>
              <w:t> </w:t>
            </w:r>
            <w:r w:rsidRPr="004669F3">
              <w:rPr>
                <w:sz w:val="16"/>
                <w:szCs w:val="16"/>
              </w:rPr>
              <w:t>701</w:t>
            </w:r>
          </w:p>
        </w:tc>
      </w:tr>
      <w:tr w:rsidR="00304C75" w:rsidRPr="00407A97" w:rsidTr="0067700C">
        <w:trPr>
          <w:trHeight w:val="60"/>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keepNext/>
              <w:keepLines/>
              <w:jc w:val="left"/>
              <w:rPr>
                <w:color w:val="000000"/>
                <w:sz w:val="16"/>
                <w:szCs w:val="16"/>
                <w:lang w:val="fr-CA" w:eastAsia="en-CA"/>
              </w:rPr>
            </w:pPr>
            <w:r w:rsidRPr="004669F3">
              <w:rPr>
                <w:color w:val="000000"/>
                <w:sz w:val="16"/>
                <w:szCs w:val="16"/>
                <w:lang w:val="fr-CA" w:eastAsia="en-CA"/>
              </w:rPr>
              <w:t>2.5</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keepNext/>
              <w:keepLines/>
              <w:jc w:val="left"/>
              <w:rPr>
                <w:sz w:val="16"/>
                <w:szCs w:val="16"/>
                <w:lang w:val="fr-CA" w:eastAsia="en-CA"/>
              </w:rPr>
            </w:pPr>
            <w:r w:rsidRPr="004669F3">
              <w:rPr>
                <w:sz w:val="16"/>
                <w:szCs w:val="16"/>
                <w:lang w:val="fr-CA" w:eastAsia="en-CA"/>
              </w:rPr>
              <w:t>Financement convenu pour l</w:t>
            </w:r>
            <w:r w:rsidR="00D77991">
              <w:rPr>
                <w:sz w:val="16"/>
                <w:szCs w:val="16"/>
                <w:lang w:val="fr-CA" w:eastAsia="en-CA"/>
              </w:rPr>
              <w:t>’</w:t>
            </w:r>
            <w:r w:rsidRPr="004669F3">
              <w:rPr>
                <w:sz w:val="16"/>
                <w:szCs w:val="16"/>
                <w:lang w:val="fr-CA" w:eastAsia="en-CA"/>
              </w:rPr>
              <w:t>Agence de coopération (PNUE)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230</w:t>
            </w:r>
            <w:r w:rsidR="0067700C">
              <w:rPr>
                <w:sz w:val="16"/>
                <w:szCs w:val="16"/>
              </w:rPr>
              <w:t> </w:t>
            </w:r>
            <w:r w:rsidRPr="004669F3">
              <w:rPr>
                <w:sz w:val="16"/>
                <w:szCs w:val="16"/>
              </w:rPr>
              <w:t>000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279</w:t>
            </w:r>
            <w:r w:rsidR="0067700C">
              <w:rPr>
                <w:sz w:val="16"/>
                <w:szCs w:val="16"/>
              </w:rPr>
              <w:t> </w:t>
            </w:r>
            <w:r w:rsidRPr="004669F3">
              <w:rPr>
                <w:sz w:val="16"/>
                <w:szCs w:val="16"/>
              </w:rPr>
              <w:t>500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260</w:t>
            </w:r>
            <w:r w:rsidR="0067700C">
              <w:rPr>
                <w:sz w:val="16"/>
                <w:szCs w:val="16"/>
              </w:rPr>
              <w:t> </w:t>
            </w:r>
            <w:r w:rsidRPr="004669F3">
              <w:rPr>
                <w:sz w:val="16"/>
                <w:szCs w:val="16"/>
              </w:rPr>
              <w:t>000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180</w:t>
            </w:r>
            <w:r w:rsidR="0067700C">
              <w:rPr>
                <w:sz w:val="16"/>
                <w:szCs w:val="16"/>
              </w:rPr>
              <w:t> </w:t>
            </w:r>
            <w:r w:rsidRPr="004669F3">
              <w:rPr>
                <w:sz w:val="16"/>
                <w:szCs w:val="16"/>
              </w:rPr>
              <w:t>000</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105</w:t>
            </w:r>
            <w:r w:rsidR="0067700C">
              <w:rPr>
                <w:sz w:val="16"/>
                <w:szCs w:val="16"/>
              </w:rPr>
              <w:t> </w:t>
            </w:r>
            <w:r w:rsidRPr="004669F3">
              <w:rPr>
                <w:sz w:val="16"/>
                <w:szCs w:val="16"/>
              </w:rPr>
              <w:t>500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w:t>
            </w:r>
            <w:r w:rsidR="0067700C">
              <w:rPr>
                <w:sz w:val="16"/>
                <w:szCs w:val="16"/>
              </w:rPr>
              <w:t> </w:t>
            </w:r>
            <w:r w:rsidRPr="004669F3">
              <w:rPr>
                <w:sz w:val="16"/>
                <w:szCs w:val="16"/>
              </w:rPr>
              <w:t>055</w:t>
            </w:r>
            <w:r w:rsidR="0067700C">
              <w:rPr>
                <w:sz w:val="16"/>
                <w:szCs w:val="16"/>
              </w:rPr>
              <w:t> </w:t>
            </w:r>
            <w:r w:rsidRPr="004669F3">
              <w:rPr>
                <w:sz w:val="16"/>
                <w:szCs w:val="16"/>
              </w:rPr>
              <w:t>000</w:t>
            </w:r>
          </w:p>
        </w:tc>
      </w:tr>
      <w:tr w:rsidR="00304C75" w:rsidRPr="00407A97" w:rsidTr="0067700C">
        <w:trPr>
          <w:trHeight w:val="60"/>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2.6</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Coûts d</w:t>
            </w:r>
            <w:r w:rsidR="00D77991">
              <w:rPr>
                <w:sz w:val="16"/>
                <w:szCs w:val="16"/>
                <w:lang w:val="fr-CA" w:eastAsia="en-CA"/>
              </w:rPr>
              <w:t>’</w:t>
            </w:r>
            <w:r w:rsidRPr="004669F3">
              <w:rPr>
                <w:sz w:val="16"/>
                <w:szCs w:val="16"/>
                <w:lang w:val="fr-CA" w:eastAsia="en-CA"/>
              </w:rPr>
              <w:t>appui pour l</w:t>
            </w:r>
            <w:r w:rsidR="00D77991">
              <w:rPr>
                <w:sz w:val="16"/>
                <w:szCs w:val="16"/>
                <w:lang w:val="fr-CA" w:eastAsia="en-CA"/>
              </w:rPr>
              <w:t>’</w:t>
            </w:r>
            <w:r w:rsidRPr="004669F3">
              <w:rPr>
                <w:sz w:val="16"/>
                <w:szCs w:val="16"/>
                <w:lang w:val="fr-CA" w:eastAsia="en-CA"/>
              </w:rPr>
              <w:t xml:space="preserve">Agence de coopération </w:t>
            </w:r>
            <w:r w:rsidRPr="004669F3">
              <w:rPr>
                <w:sz w:val="16"/>
                <w:szCs w:val="16"/>
                <w:lang w:val="fr-CA" w:eastAsia="en-CA"/>
              </w:rPr>
              <w:lastRenderedPageBreak/>
              <w:t>(PNUE)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lastRenderedPageBreak/>
              <w:t>27</w:t>
            </w:r>
            <w:r w:rsidR="0067700C">
              <w:rPr>
                <w:sz w:val="16"/>
                <w:szCs w:val="16"/>
              </w:rPr>
              <w:t> </w:t>
            </w:r>
            <w:r w:rsidRPr="004669F3">
              <w:rPr>
                <w:sz w:val="16"/>
                <w:szCs w:val="16"/>
              </w:rPr>
              <w:t>480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33</w:t>
            </w:r>
            <w:r w:rsidR="0067700C">
              <w:rPr>
                <w:sz w:val="16"/>
                <w:szCs w:val="16"/>
              </w:rPr>
              <w:t> </w:t>
            </w:r>
            <w:r w:rsidRPr="004669F3">
              <w:rPr>
                <w:sz w:val="16"/>
                <w:szCs w:val="16"/>
              </w:rPr>
              <w:t>394</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31</w:t>
            </w:r>
            <w:r w:rsidR="0067700C">
              <w:rPr>
                <w:sz w:val="16"/>
                <w:szCs w:val="16"/>
              </w:rPr>
              <w:t> </w:t>
            </w:r>
            <w:r w:rsidRPr="004669F3">
              <w:rPr>
                <w:sz w:val="16"/>
                <w:szCs w:val="16"/>
              </w:rPr>
              <w:t>064</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21</w:t>
            </w:r>
            <w:r w:rsidR="0067700C">
              <w:rPr>
                <w:sz w:val="16"/>
                <w:szCs w:val="16"/>
              </w:rPr>
              <w:t> </w:t>
            </w:r>
            <w:r w:rsidRPr="004669F3">
              <w:rPr>
                <w:sz w:val="16"/>
                <w:szCs w:val="16"/>
              </w:rPr>
              <w:t>506</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12</w:t>
            </w:r>
            <w:r w:rsidR="0067700C">
              <w:rPr>
                <w:sz w:val="16"/>
                <w:szCs w:val="16"/>
              </w:rPr>
              <w:t> </w:t>
            </w:r>
            <w:r w:rsidRPr="004669F3">
              <w:rPr>
                <w:sz w:val="16"/>
                <w:szCs w:val="16"/>
              </w:rPr>
              <w:t>605</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126</w:t>
            </w:r>
            <w:r w:rsidR="0067700C">
              <w:rPr>
                <w:sz w:val="16"/>
                <w:szCs w:val="16"/>
              </w:rPr>
              <w:t> </w:t>
            </w:r>
            <w:r w:rsidRPr="004669F3">
              <w:rPr>
                <w:sz w:val="16"/>
                <w:szCs w:val="16"/>
              </w:rPr>
              <w:t>050</w:t>
            </w:r>
          </w:p>
        </w:tc>
      </w:tr>
      <w:tr w:rsidR="00304C75" w:rsidRPr="00407A97" w:rsidTr="0067700C">
        <w:trPr>
          <w:trHeight w:val="60"/>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lastRenderedPageBreak/>
              <w:t>2.7</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Financement convenu pour l</w:t>
            </w:r>
            <w:r w:rsidR="00D77991">
              <w:rPr>
                <w:sz w:val="16"/>
                <w:szCs w:val="16"/>
                <w:lang w:val="fr-CA" w:eastAsia="en-CA"/>
              </w:rPr>
              <w:t>’</w:t>
            </w:r>
            <w:r w:rsidRPr="004669F3">
              <w:rPr>
                <w:sz w:val="16"/>
                <w:szCs w:val="16"/>
                <w:lang w:val="fr-CA" w:eastAsia="en-CA"/>
              </w:rPr>
              <w:t>Agence de coopération (Allemagne)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207</w:t>
            </w:r>
            <w:r w:rsidR="0067700C">
              <w:rPr>
                <w:sz w:val="16"/>
                <w:szCs w:val="16"/>
              </w:rPr>
              <w:t> </w:t>
            </w:r>
            <w:r w:rsidRPr="004669F3">
              <w:rPr>
                <w:sz w:val="16"/>
                <w:szCs w:val="16"/>
              </w:rPr>
              <w:t>300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207</w:t>
            </w:r>
            <w:r w:rsidR="0067700C">
              <w:rPr>
                <w:sz w:val="16"/>
                <w:szCs w:val="16"/>
              </w:rPr>
              <w:t> </w:t>
            </w:r>
            <w:r w:rsidRPr="004669F3">
              <w:rPr>
                <w:sz w:val="16"/>
                <w:szCs w:val="16"/>
              </w:rPr>
              <w:t>300</w:t>
            </w:r>
          </w:p>
        </w:tc>
      </w:tr>
      <w:tr w:rsidR="00304C75" w:rsidRPr="00407A97" w:rsidTr="0067700C">
        <w:trPr>
          <w:trHeight w:val="60"/>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2.8</w:t>
            </w:r>
          </w:p>
        </w:tc>
        <w:tc>
          <w:tcPr>
            <w:tcW w:w="624" w:type="pct"/>
            <w:tcBorders>
              <w:top w:val="nil"/>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Coûts d</w:t>
            </w:r>
            <w:r w:rsidR="00D77991">
              <w:rPr>
                <w:sz w:val="16"/>
                <w:szCs w:val="16"/>
                <w:lang w:val="fr-CA" w:eastAsia="en-CA"/>
              </w:rPr>
              <w:t>’</w:t>
            </w:r>
            <w:r w:rsidRPr="004669F3">
              <w:rPr>
                <w:sz w:val="16"/>
                <w:szCs w:val="16"/>
                <w:lang w:val="fr-CA" w:eastAsia="en-CA"/>
              </w:rPr>
              <w:t>appui pour l</w:t>
            </w:r>
            <w:r w:rsidR="00D77991">
              <w:rPr>
                <w:sz w:val="16"/>
                <w:szCs w:val="16"/>
                <w:lang w:val="fr-CA" w:eastAsia="en-CA"/>
              </w:rPr>
              <w:t>’</w:t>
            </w:r>
            <w:r w:rsidRPr="004669F3">
              <w:rPr>
                <w:sz w:val="16"/>
                <w:szCs w:val="16"/>
                <w:lang w:val="fr-CA" w:eastAsia="en-CA"/>
              </w:rPr>
              <w:t>Agence de coopération (Allemagne)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26</w:t>
            </w:r>
            <w:r w:rsidR="0067700C">
              <w:rPr>
                <w:sz w:val="16"/>
                <w:szCs w:val="16"/>
              </w:rPr>
              <w:t> </w:t>
            </w:r>
            <w:r w:rsidRPr="004669F3">
              <w:rPr>
                <w:sz w:val="16"/>
                <w:szCs w:val="16"/>
              </w:rPr>
              <w:t>949</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26</w:t>
            </w:r>
            <w:r w:rsidR="0067700C">
              <w:rPr>
                <w:sz w:val="16"/>
                <w:szCs w:val="16"/>
              </w:rPr>
              <w:t> </w:t>
            </w:r>
            <w:r w:rsidRPr="004669F3">
              <w:rPr>
                <w:sz w:val="16"/>
                <w:szCs w:val="16"/>
              </w:rPr>
              <w:t>949</w:t>
            </w:r>
          </w:p>
        </w:tc>
      </w:tr>
      <w:tr w:rsidR="00304C75" w:rsidRPr="00407A97" w:rsidTr="0067700C">
        <w:trPr>
          <w:trHeight w:val="62"/>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67700C">
              <w:rPr>
                <w:color w:val="000000"/>
                <w:sz w:val="16"/>
                <w:szCs w:val="16"/>
                <w:lang w:val="fr-CA" w:eastAsia="en-CA"/>
              </w:rPr>
              <w:t>3.1</w:t>
            </w:r>
          </w:p>
        </w:tc>
        <w:tc>
          <w:tcPr>
            <w:tcW w:w="624" w:type="pct"/>
            <w:tcBorders>
              <w:top w:val="single" w:sz="4" w:space="0" w:color="auto"/>
              <w:bottom w:val="single" w:sz="4" w:space="0" w:color="auto"/>
              <w:right w:val="single" w:sz="4" w:space="0" w:color="auto"/>
            </w:tcBorders>
          </w:tcPr>
          <w:p w:rsidR="00304C75" w:rsidRPr="004669F3" w:rsidRDefault="00304C75" w:rsidP="004669F3">
            <w:pPr>
              <w:jc w:val="left"/>
              <w:rPr>
                <w:sz w:val="16"/>
                <w:szCs w:val="16"/>
                <w:lang w:val="fr-CA" w:eastAsia="en-CA"/>
              </w:rPr>
            </w:pPr>
            <w:r w:rsidRPr="004669F3">
              <w:rPr>
                <w:sz w:val="16"/>
                <w:szCs w:val="16"/>
                <w:lang w:val="fr-CA" w:eastAsia="en-CA"/>
              </w:rPr>
              <w:t>Total du financement convenu ($US)</w:t>
            </w:r>
          </w:p>
        </w:tc>
        <w:tc>
          <w:tcPr>
            <w:tcW w:w="421"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4</w:t>
            </w:r>
            <w:r w:rsidR="0067700C">
              <w:rPr>
                <w:sz w:val="16"/>
                <w:szCs w:val="16"/>
              </w:rPr>
              <w:t> </w:t>
            </w:r>
            <w:r w:rsidRPr="004669F3">
              <w:rPr>
                <w:sz w:val="16"/>
                <w:szCs w:val="16"/>
              </w:rPr>
              <w:t>628</w:t>
            </w:r>
            <w:r w:rsidR="0067700C">
              <w:rPr>
                <w:sz w:val="16"/>
                <w:szCs w:val="16"/>
              </w:rPr>
              <w:t> </w:t>
            </w:r>
            <w:r w:rsidRPr="004669F3">
              <w:rPr>
                <w:sz w:val="16"/>
                <w:szCs w:val="16"/>
              </w:rPr>
              <w:t>993</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67700C" w:rsidP="004669F3">
            <w:pPr>
              <w:jc w:val="right"/>
              <w:rPr>
                <w:sz w:val="16"/>
                <w:szCs w:val="16"/>
              </w:rPr>
            </w:pPr>
            <w:r>
              <w:rPr>
                <w:b/>
                <w:sz w:val="16"/>
                <w:szCs w:val="16"/>
                <w:lang w:val="en-CA"/>
              </w:rPr>
              <w:t>6 991 764</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nil"/>
              <w:left w:val="nil"/>
              <w:bottom w:val="single" w:sz="4" w:space="0" w:color="auto"/>
              <w:right w:val="single" w:sz="4" w:space="0" w:color="auto"/>
            </w:tcBorders>
          </w:tcPr>
          <w:p w:rsidR="00304C75" w:rsidRPr="004669F3" w:rsidRDefault="0067700C" w:rsidP="004669F3">
            <w:pPr>
              <w:jc w:val="right"/>
              <w:rPr>
                <w:sz w:val="16"/>
                <w:szCs w:val="16"/>
              </w:rPr>
            </w:pPr>
            <w:r>
              <w:rPr>
                <w:b/>
                <w:sz w:val="16"/>
                <w:szCs w:val="16"/>
                <w:lang w:val="en-CA"/>
              </w:rPr>
              <w:t>5 740 816</w:t>
            </w:r>
          </w:p>
        </w:tc>
        <w:tc>
          <w:tcPr>
            <w:tcW w:w="322" w:type="pct"/>
            <w:tcBorders>
              <w:top w:val="nil"/>
              <w:left w:val="nil"/>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421" w:type="pct"/>
            <w:tcBorders>
              <w:top w:val="single" w:sz="4" w:space="0" w:color="auto"/>
              <w:left w:val="single" w:sz="4" w:space="0" w:color="auto"/>
              <w:bottom w:val="single" w:sz="4" w:space="0" w:color="auto"/>
              <w:right w:val="single" w:sz="4" w:space="0" w:color="auto"/>
            </w:tcBorders>
          </w:tcPr>
          <w:p w:rsidR="00304C75" w:rsidRPr="004669F3" w:rsidRDefault="0067700C" w:rsidP="004669F3">
            <w:pPr>
              <w:jc w:val="right"/>
              <w:rPr>
                <w:sz w:val="16"/>
                <w:szCs w:val="16"/>
              </w:rPr>
            </w:pPr>
            <w:r>
              <w:rPr>
                <w:b/>
                <w:sz w:val="16"/>
                <w:szCs w:val="16"/>
                <w:lang w:val="en-CA"/>
              </w:rPr>
              <w:t>4 219 413</w:t>
            </w:r>
          </w:p>
        </w:tc>
        <w:tc>
          <w:tcPr>
            <w:tcW w:w="322"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0</w:t>
            </w:r>
          </w:p>
        </w:tc>
        <w:tc>
          <w:tcPr>
            <w:tcW w:w="555"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sz w:val="16"/>
                <w:szCs w:val="16"/>
              </w:rPr>
            </w:pPr>
            <w:r w:rsidRPr="004669F3">
              <w:rPr>
                <w:sz w:val="16"/>
                <w:szCs w:val="16"/>
              </w:rPr>
              <w:t>300</w:t>
            </w:r>
            <w:r w:rsidR="0067700C">
              <w:rPr>
                <w:sz w:val="16"/>
                <w:szCs w:val="16"/>
              </w:rPr>
              <w:t> </w:t>
            </w:r>
            <w:r w:rsidRPr="004669F3">
              <w:rPr>
                <w:sz w:val="16"/>
                <w:szCs w:val="16"/>
              </w:rPr>
              <w:t>500</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67700C" w:rsidP="004669F3">
            <w:pPr>
              <w:jc w:val="right"/>
              <w:rPr>
                <w:sz w:val="16"/>
                <w:szCs w:val="16"/>
              </w:rPr>
            </w:pPr>
            <w:r>
              <w:rPr>
                <w:b/>
                <w:sz w:val="16"/>
                <w:szCs w:val="16"/>
                <w:lang w:val="en-CA"/>
              </w:rPr>
              <w:t>21 881 486</w:t>
            </w:r>
          </w:p>
        </w:tc>
      </w:tr>
      <w:tr w:rsidR="0067700C" w:rsidRPr="00407A97" w:rsidTr="0067700C">
        <w:trPr>
          <w:trHeight w:val="62"/>
          <w:jc w:val="center"/>
        </w:trPr>
        <w:tc>
          <w:tcPr>
            <w:tcW w:w="299" w:type="pct"/>
            <w:tcBorders>
              <w:top w:val="nil"/>
              <w:left w:val="single" w:sz="4" w:space="0" w:color="auto"/>
              <w:bottom w:val="single" w:sz="4" w:space="0" w:color="auto"/>
              <w:right w:val="single" w:sz="4" w:space="0" w:color="auto"/>
            </w:tcBorders>
          </w:tcPr>
          <w:p w:rsidR="0067700C" w:rsidRPr="004669F3" w:rsidRDefault="0067700C" w:rsidP="004669F3">
            <w:pPr>
              <w:jc w:val="left"/>
              <w:rPr>
                <w:color w:val="000000"/>
                <w:sz w:val="16"/>
                <w:szCs w:val="16"/>
                <w:lang w:val="fr-CA" w:eastAsia="en-CA"/>
              </w:rPr>
            </w:pPr>
            <w:r w:rsidRPr="004669F3">
              <w:rPr>
                <w:color w:val="000000"/>
                <w:sz w:val="16"/>
                <w:szCs w:val="16"/>
                <w:lang w:val="fr-CA" w:eastAsia="en-CA"/>
              </w:rPr>
              <w:t>3.2</w:t>
            </w:r>
          </w:p>
        </w:tc>
        <w:tc>
          <w:tcPr>
            <w:tcW w:w="624" w:type="pct"/>
            <w:tcBorders>
              <w:top w:val="single" w:sz="4" w:space="0" w:color="auto"/>
              <w:bottom w:val="single" w:sz="4" w:space="0" w:color="auto"/>
              <w:right w:val="single" w:sz="4" w:space="0" w:color="auto"/>
            </w:tcBorders>
          </w:tcPr>
          <w:p w:rsidR="0067700C" w:rsidRPr="004669F3" w:rsidRDefault="0067700C" w:rsidP="004669F3">
            <w:pPr>
              <w:jc w:val="left"/>
              <w:rPr>
                <w:sz w:val="16"/>
                <w:szCs w:val="16"/>
                <w:lang w:val="fr-CA" w:eastAsia="en-CA"/>
              </w:rPr>
            </w:pPr>
            <w:r w:rsidRPr="004669F3">
              <w:rPr>
                <w:sz w:val="16"/>
                <w:szCs w:val="16"/>
                <w:lang w:val="fr-CA" w:eastAsia="en-CA"/>
              </w:rPr>
              <w:t>Total des coûts d</w:t>
            </w:r>
            <w:r w:rsidR="00D77991">
              <w:rPr>
                <w:sz w:val="16"/>
                <w:szCs w:val="16"/>
                <w:lang w:val="fr-CA" w:eastAsia="en-CA"/>
              </w:rPr>
              <w:t>’</w:t>
            </w:r>
            <w:r w:rsidRPr="004669F3">
              <w:rPr>
                <w:sz w:val="16"/>
                <w:szCs w:val="16"/>
                <w:lang w:val="fr-CA" w:eastAsia="en-CA"/>
              </w:rPr>
              <w:t>appui ($US)</w:t>
            </w:r>
          </w:p>
        </w:tc>
        <w:tc>
          <w:tcPr>
            <w:tcW w:w="421" w:type="pct"/>
            <w:tcBorders>
              <w:top w:val="nil"/>
              <w:left w:val="nil"/>
              <w:bottom w:val="single" w:sz="4" w:space="0" w:color="auto"/>
              <w:right w:val="single" w:sz="4" w:space="0" w:color="auto"/>
            </w:tcBorders>
          </w:tcPr>
          <w:p w:rsidR="0067700C" w:rsidRDefault="0067700C">
            <w:pPr>
              <w:jc w:val="right"/>
              <w:rPr>
                <w:color w:val="000000"/>
                <w:sz w:val="16"/>
                <w:szCs w:val="16"/>
                <w:lang w:val="en-CA"/>
              </w:rPr>
            </w:pPr>
            <w:r>
              <w:rPr>
                <w:color w:val="000000"/>
                <w:sz w:val="16"/>
                <w:szCs w:val="16"/>
                <w:lang w:val="en-CA"/>
              </w:rPr>
              <w:t>335 410</w:t>
            </w:r>
          </w:p>
        </w:tc>
        <w:tc>
          <w:tcPr>
            <w:tcW w:w="322" w:type="pct"/>
            <w:tcBorders>
              <w:top w:val="nil"/>
              <w:left w:val="nil"/>
              <w:bottom w:val="single" w:sz="4" w:space="0" w:color="auto"/>
              <w:right w:val="single" w:sz="4" w:space="0" w:color="auto"/>
            </w:tcBorders>
          </w:tcPr>
          <w:p w:rsidR="0067700C" w:rsidRDefault="0067700C">
            <w:pPr>
              <w:jc w:val="right"/>
              <w:rPr>
                <w:color w:val="000000"/>
                <w:sz w:val="16"/>
                <w:szCs w:val="16"/>
                <w:lang w:val="en-CA"/>
              </w:rPr>
            </w:pPr>
            <w:r>
              <w:rPr>
                <w:color w:val="000000"/>
                <w:sz w:val="16"/>
                <w:szCs w:val="16"/>
                <w:lang w:val="en-CA"/>
              </w:rPr>
              <w:t>0</w:t>
            </w:r>
          </w:p>
        </w:tc>
        <w:tc>
          <w:tcPr>
            <w:tcW w:w="421" w:type="pct"/>
            <w:tcBorders>
              <w:top w:val="nil"/>
              <w:left w:val="nil"/>
              <w:bottom w:val="single" w:sz="4" w:space="0" w:color="auto"/>
              <w:right w:val="single" w:sz="4" w:space="0" w:color="auto"/>
            </w:tcBorders>
          </w:tcPr>
          <w:p w:rsidR="0067700C" w:rsidRDefault="0067700C">
            <w:pPr>
              <w:jc w:val="right"/>
              <w:rPr>
                <w:b/>
                <w:sz w:val="16"/>
                <w:szCs w:val="16"/>
                <w:lang w:val="en-CA"/>
              </w:rPr>
            </w:pPr>
            <w:r>
              <w:rPr>
                <w:b/>
                <w:sz w:val="16"/>
                <w:szCs w:val="16"/>
                <w:lang w:val="en-CA"/>
              </w:rPr>
              <w:t>515 690</w:t>
            </w:r>
          </w:p>
        </w:tc>
        <w:tc>
          <w:tcPr>
            <w:tcW w:w="322" w:type="pct"/>
            <w:tcBorders>
              <w:top w:val="nil"/>
              <w:left w:val="nil"/>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421" w:type="pct"/>
            <w:tcBorders>
              <w:top w:val="nil"/>
              <w:left w:val="nil"/>
              <w:bottom w:val="single" w:sz="4" w:space="0" w:color="auto"/>
              <w:right w:val="single" w:sz="4" w:space="0" w:color="auto"/>
            </w:tcBorders>
          </w:tcPr>
          <w:p w:rsidR="0067700C" w:rsidRDefault="0067700C">
            <w:pPr>
              <w:jc w:val="right"/>
              <w:rPr>
                <w:b/>
                <w:sz w:val="16"/>
                <w:szCs w:val="16"/>
                <w:lang w:val="en-CA"/>
              </w:rPr>
            </w:pPr>
            <w:r>
              <w:rPr>
                <w:b/>
                <w:sz w:val="16"/>
                <w:szCs w:val="16"/>
                <w:lang w:val="en-CA"/>
              </w:rPr>
              <w:t>414 721</w:t>
            </w:r>
          </w:p>
        </w:tc>
        <w:tc>
          <w:tcPr>
            <w:tcW w:w="322" w:type="pct"/>
            <w:tcBorders>
              <w:top w:val="nil"/>
              <w:left w:val="nil"/>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421" w:type="pct"/>
            <w:tcBorders>
              <w:top w:val="single" w:sz="4" w:space="0" w:color="auto"/>
              <w:left w:val="single" w:sz="4" w:space="0" w:color="auto"/>
              <w:bottom w:val="single" w:sz="4" w:space="0" w:color="auto"/>
              <w:right w:val="single" w:sz="4" w:space="0" w:color="auto"/>
            </w:tcBorders>
          </w:tcPr>
          <w:p w:rsidR="0067700C" w:rsidRDefault="0067700C">
            <w:pPr>
              <w:jc w:val="right"/>
              <w:rPr>
                <w:b/>
                <w:sz w:val="16"/>
                <w:szCs w:val="16"/>
                <w:lang w:val="en-CA"/>
              </w:rPr>
            </w:pPr>
            <w:r>
              <w:rPr>
                <w:b/>
                <w:sz w:val="16"/>
                <w:szCs w:val="16"/>
                <w:lang w:val="en-CA"/>
              </w:rPr>
              <w:t>304 265</w:t>
            </w:r>
          </w:p>
        </w:tc>
        <w:tc>
          <w:tcPr>
            <w:tcW w:w="322" w:type="pct"/>
            <w:tcBorders>
              <w:top w:val="single" w:sz="4" w:space="0" w:color="auto"/>
              <w:left w:val="single" w:sz="4" w:space="0" w:color="auto"/>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555" w:type="pct"/>
            <w:tcBorders>
              <w:top w:val="single" w:sz="4" w:space="0" w:color="auto"/>
              <w:left w:val="single" w:sz="4" w:space="0" w:color="auto"/>
              <w:bottom w:val="single" w:sz="4" w:space="0" w:color="auto"/>
              <w:right w:val="single" w:sz="4" w:space="0" w:color="auto"/>
            </w:tcBorders>
          </w:tcPr>
          <w:p w:rsidR="0067700C" w:rsidRDefault="0067700C">
            <w:pPr>
              <w:jc w:val="right"/>
              <w:rPr>
                <w:sz w:val="16"/>
                <w:szCs w:val="16"/>
                <w:lang w:val="en-CA"/>
              </w:rPr>
            </w:pPr>
            <w:r>
              <w:rPr>
                <w:sz w:val="16"/>
                <w:szCs w:val="16"/>
                <w:lang w:val="en-CA"/>
              </w:rPr>
              <w:t>26 255</w:t>
            </w:r>
          </w:p>
        </w:tc>
        <w:tc>
          <w:tcPr>
            <w:tcW w:w="550" w:type="pct"/>
            <w:tcBorders>
              <w:top w:val="single" w:sz="4" w:space="0" w:color="auto"/>
              <w:left w:val="single" w:sz="4" w:space="0" w:color="auto"/>
              <w:bottom w:val="single" w:sz="4" w:space="0" w:color="auto"/>
              <w:right w:val="single" w:sz="4" w:space="0" w:color="auto"/>
            </w:tcBorders>
          </w:tcPr>
          <w:p w:rsidR="0067700C" w:rsidRDefault="0067700C">
            <w:pPr>
              <w:jc w:val="right"/>
              <w:rPr>
                <w:b/>
                <w:sz w:val="16"/>
                <w:szCs w:val="16"/>
                <w:lang w:val="en-CA"/>
              </w:rPr>
            </w:pPr>
            <w:r>
              <w:rPr>
                <w:b/>
                <w:sz w:val="16"/>
                <w:szCs w:val="16"/>
                <w:lang w:val="en-CA"/>
              </w:rPr>
              <w:t>1 596 342</w:t>
            </w:r>
          </w:p>
        </w:tc>
      </w:tr>
      <w:tr w:rsidR="0067700C" w:rsidRPr="00407A97" w:rsidTr="0067700C">
        <w:trPr>
          <w:trHeight w:val="53"/>
          <w:jc w:val="center"/>
        </w:trPr>
        <w:tc>
          <w:tcPr>
            <w:tcW w:w="299" w:type="pct"/>
            <w:tcBorders>
              <w:top w:val="nil"/>
              <w:left w:val="single" w:sz="4" w:space="0" w:color="auto"/>
              <w:bottom w:val="single" w:sz="4" w:space="0" w:color="auto"/>
              <w:right w:val="single" w:sz="4" w:space="0" w:color="auto"/>
            </w:tcBorders>
          </w:tcPr>
          <w:p w:rsidR="0067700C" w:rsidRPr="004669F3" w:rsidRDefault="0067700C" w:rsidP="004669F3">
            <w:pPr>
              <w:jc w:val="left"/>
              <w:rPr>
                <w:color w:val="000000"/>
                <w:sz w:val="16"/>
                <w:szCs w:val="16"/>
                <w:lang w:val="fr-CA" w:eastAsia="en-CA"/>
              </w:rPr>
            </w:pPr>
            <w:r w:rsidRPr="004669F3">
              <w:rPr>
                <w:color w:val="000000"/>
                <w:sz w:val="16"/>
                <w:szCs w:val="16"/>
                <w:lang w:val="fr-CA" w:eastAsia="en-CA"/>
              </w:rPr>
              <w:t>3.3</w:t>
            </w:r>
          </w:p>
        </w:tc>
        <w:tc>
          <w:tcPr>
            <w:tcW w:w="624" w:type="pct"/>
            <w:tcBorders>
              <w:top w:val="single" w:sz="4" w:space="0" w:color="auto"/>
              <w:bottom w:val="single" w:sz="4" w:space="0" w:color="auto"/>
              <w:right w:val="single" w:sz="4" w:space="0" w:color="auto"/>
            </w:tcBorders>
          </w:tcPr>
          <w:p w:rsidR="0067700C" w:rsidRPr="004669F3" w:rsidRDefault="0067700C" w:rsidP="004669F3">
            <w:pPr>
              <w:jc w:val="left"/>
              <w:rPr>
                <w:sz w:val="16"/>
                <w:szCs w:val="16"/>
                <w:lang w:val="fr-CA" w:eastAsia="en-CA"/>
              </w:rPr>
            </w:pPr>
            <w:r w:rsidRPr="004669F3">
              <w:rPr>
                <w:sz w:val="16"/>
                <w:szCs w:val="16"/>
                <w:lang w:val="fr-CA" w:eastAsia="en-CA"/>
              </w:rPr>
              <w:t>Total des coûts convenus ($US)</w:t>
            </w:r>
          </w:p>
        </w:tc>
        <w:tc>
          <w:tcPr>
            <w:tcW w:w="421" w:type="pct"/>
            <w:tcBorders>
              <w:top w:val="nil"/>
              <w:left w:val="nil"/>
              <w:bottom w:val="single" w:sz="4" w:space="0" w:color="auto"/>
              <w:right w:val="single" w:sz="4" w:space="0" w:color="auto"/>
            </w:tcBorders>
          </w:tcPr>
          <w:p w:rsidR="0067700C" w:rsidRDefault="0067700C">
            <w:pPr>
              <w:jc w:val="right"/>
              <w:rPr>
                <w:color w:val="000000"/>
                <w:sz w:val="16"/>
                <w:szCs w:val="16"/>
                <w:lang w:val="en-CA"/>
              </w:rPr>
            </w:pPr>
            <w:r>
              <w:rPr>
                <w:color w:val="000000"/>
                <w:sz w:val="16"/>
                <w:szCs w:val="16"/>
                <w:lang w:val="en-CA"/>
              </w:rPr>
              <w:t>4 964 403</w:t>
            </w:r>
          </w:p>
        </w:tc>
        <w:tc>
          <w:tcPr>
            <w:tcW w:w="322" w:type="pct"/>
            <w:tcBorders>
              <w:top w:val="nil"/>
              <w:left w:val="nil"/>
              <w:bottom w:val="single" w:sz="4" w:space="0" w:color="auto"/>
              <w:right w:val="single" w:sz="4" w:space="0" w:color="auto"/>
            </w:tcBorders>
          </w:tcPr>
          <w:p w:rsidR="0067700C" w:rsidRDefault="0067700C">
            <w:pPr>
              <w:jc w:val="right"/>
              <w:rPr>
                <w:color w:val="000000"/>
                <w:sz w:val="16"/>
                <w:szCs w:val="16"/>
                <w:lang w:val="en-CA"/>
              </w:rPr>
            </w:pPr>
            <w:r>
              <w:rPr>
                <w:color w:val="000000"/>
                <w:sz w:val="16"/>
                <w:szCs w:val="16"/>
                <w:lang w:val="en-CA"/>
              </w:rPr>
              <w:t>0</w:t>
            </w:r>
          </w:p>
        </w:tc>
        <w:tc>
          <w:tcPr>
            <w:tcW w:w="421" w:type="pct"/>
            <w:tcBorders>
              <w:top w:val="nil"/>
              <w:left w:val="nil"/>
              <w:bottom w:val="single" w:sz="4" w:space="0" w:color="auto"/>
              <w:right w:val="single" w:sz="4" w:space="0" w:color="auto"/>
            </w:tcBorders>
          </w:tcPr>
          <w:p w:rsidR="0067700C" w:rsidRDefault="0067700C">
            <w:pPr>
              <w:jc w:val="right"/>
              <w:rPr>
                <w:b/>
                <w:sz w:val="16"/>
                <w:szCs w:val="16"/>
                <w:lang w:val="en-CA"/>
              </w:rPr>
            </w:pPr>
            <w:r>
              <w:rPr>
                <w:b/>
                <w:sz w:val="16"/>
                <w:szCs w:val="16"/>
                <w:lang w:val="en-CA"/>
              </w:rPr>
              <w:t>7 507 454</w:t>
            </w:r>
          </w:p>
        </w:tc>
        <w:tc>
          <w:tcPr>
            <w:tcW w:w="322" w:type="pct"/>
            <w:tcBorders>
              <w:top w:val="nil"/>
              <w:left w:val="nil"/>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421" w:type="pct"/>
            <w:tcBorders>
              <w:top w:val="nil"/>
              <w:left w:val="nil"/>
              <w:bottom w:val="single" w:sz="4" w:space="0" w:color="auto"/>
              <w:right w:val="single" w:sz="4" w:space="0" w:color="auto"/>
            </w:tcBorders>
          </w:tcPr>
          <w:p w:rsidR="0067700C" w:rsidRDefault="0067700C">
            <w:pPr>
              <w:jc w:val="right"/>
              <w:rPr>
                <w:b/>
                <w:sz w:val="16"/>
                <w:szCs w:val="16"/>
                <w:lang w:val="en-CA"/>
              </w:rPr>
            </w:pPr>
            <w:r>
              <w:rPr>
                <w:b/>
                <w:sz w:val="16"/>
                <w:szCs w:val="16"/>
                <w:lang w:val="en-CA"/>
              </w:rPr>
              <w:t>6 155 537</w:t>
            </w:r>
          </w:p>
        </w:tc>
        <w:tc>
          <w:tcPr>
            <w:tcW w:w="322" w:type="pct"/>
            <w:tcBorders>
              <w:top w:val="nil"/>
              <w:left w:val="nil"/>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421" w:type="pct"/>
            <w:tcBorders>
              <w:top w:val="single" w:sz="4" w:space="0" w:color="auto"/>
              <w:left w:val="single" w:sz="4" w:space="0" w:color="auto"/>
              <w:bottom w:val="single" w:sz="4" w:space="0" w:color="auto"/>
              <w:right w:val="single" w:sz="4" w:space="0" w:color="auto"/>
            </w:tcBorders>
          </w:tcPr>
          <w:p w:rsidR="0067700C" w:rsidRDefault="0067700C">
            <w:pPr>
              <w:jc w:val="right"/>
              <w:rPr>
                <w:b/>
                <w:sz w:val="16"/>
                <w:szCs w:val="16"/>
                <w:lang w:val="en-CA"/>
              </w:rPr>
            </w:pPr>
            <w:r>
              <w:rPr>
                <w:b/>
                <w:sz w:val="16"/>
                <w:szCs w:val="16"/>
                <w:lang w:val="en-CA"/>
              </w:rPr>
              <w:t>4 523 678</w:t>
            </w:r>
          </w:p>
        </w:tc>
        <w:tc>
          <w:tcPr>
            <w:tcW w:w="322" w:type="pct"/>
            <w:tcBorders>
              <w:top w:val="single" w:sz="4" w:space="0" w:color="auto"/>
              <w:left w:val="single" w:sz="4" w:space="0" w:color="auto"/>
              <w:bottom w:val="single" w:sz="4" w:space="0" w:color="auto"/>
              <w:right w:val="single" w:sz="4" w:space="0" w:color="auto"/>
            </w:tcBorders>
          </w:tcPr>
          <w:p w:rsidR="0067700C" w:rsidRDefault="0067700C">
            <w:pPr>
              <w:jc w:val="right"/>
              <w:rPr>
                <w:sz w:val="16"/>
                <w:szCs w:val="16"/>
                <w:lang w:val="en-CA"/>
              </w:rPr>
            </w:pPr>
            <w:r>
              <w:rPr>
                <w:sz w:val="16"/>
                <w:szCs w:val="16"/>
                <w:lang w:val="en-CA"/>
              </w:rPr>
              <w:t>0</w:t>
            </w:r>
          </w:p>
        </w:tc>
        <w:tc>
          <w:tcPr>
            <w:tcW w:w="555" w:type="pct"/>
            <w:tcBorders>
              <w:top w:val="single" w:sz="4" w:space="0" w:color="auto"/>
              <w:left w:val="single" w:sz="4" w:space="0" w:color="auto"/>
              <w:bottom w:val="single" w:sz="4" w:space="0" w:color="auto"/>
              <w:right w:val="single" w:sz="4" w:space="0" w:color="auto"/>
            </w:tcBorders>
          </w:tcPr>
          <w:p w:rsidR="0067700C" w:rsidRDefault="0067700C">
            <w:pPr>
              <w:jc w:val="right"/>
              <w:rPr>
                <w:sz w:val="16"/>
                <w:szCs w:val="16"/>
                <w:lang w:val="en-CA"/>
              </w:rPr>
            </w:pPr>
            <w:r>
              <w:rPr>
                <w:sz w:val="16"/>
                <w:szCs w:val="16"/>
                <w:lang w:val="en-CA"/>
              </w:rPr>
              <w:t>326 755</w:t>
            </w:r>
          </w:p>
        </w:tc>
        <w:tc>
          <w:tcPr>
            <w:tcW w:w="550" w:type="pct"/>
            <w:tcBorders>
              <w:top w:val="single" w:sz="4" w:space="0" w:color="auto"/>
              <w:left w:val="single" w:sz="4" w:space="0" w:color="auto"/>
              <w:bottom w:val="single" w:sz="4" w:space="0" w:color="auto"/>
              <w:right w:val="single" w:sz="4" w:space="0" w:color="auto"/>
            </w:tcBorders>
          </w:tcPr>
          <w:p w:rsidR="0067700C" w:rsidRDefault="0067700C">
            <w:pPr>
              <w:jc w:val="right"/>
              <w:rPr>
                <w:b/>
                <w:sz w:val="16"/>
                <w:szCs w:val="16"/>
                <w:lang w:val="en-CA"/>
              </w:rPr>
            </w:pPr>
            <w:r>
              <w:rPr>
                <w:b/>
                <w:sz w:val="16"/>
                <w:szCs w:val="16"/>
                <w:lang w:val="en-CA"/>
              </w:rPr>
              <w:t>23 477 828</w:t>
            </w:r>
          </w:p>
        </w:tc>
      </w:tr>
      <w:tr w:rsidR="00304C75" w:rsidRPr="00407A97" w:rsidTr="0067700C">
        <w:trPr>
          <w:trHeight w:val="53"/>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4.1.1</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color w:val="000000"/>
                <w:sz w:val="16"/>
                <w:szCs w:val="16"/>
                <w:lang w:val="fr-CA" w:eastAsia="en-CA"/>
              </w:rPr>
            </w:pPr>
            <w:r w:rsidRPr="004669F3">
              <w:rPr>
                <w:sz w:val="16"/>
                <w:szCs w:val="16"/>
                <w:lang w:val="fr-CA" w:eastAsia="en-CA"/>
              </w:rPr>
              <w:t>Élimination totale du HCFC-22 convenue aux termes du présent Accord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D77991" w:rsidP="0067700C">
            <w:pPr>
              <w:keepNext/>
              <w:keepLines/>
              <w:jc w:val="right"/>
              <w:rPr>
                <w:color w:val="000000"/>
                <w:sz w:val="16"/>
                <w:szCs w:val="16"/>
              </w:rPr>
            </w:pPr>
            <w:r>
              <w:rPr>
                <w:color w:val="000000"/>
                <w:sz w:val="16"/>
                <w:szCs w:val="16"/>
                <w:lang w:val="fr-CA"/>
              </w:rPr>
              <w:t xml:space="preserve">    </w:t>
            </w:r>
            <w:r w:rsidR="0067700C">
              <w:rPr>
                <w:b/>
                <w:color w:val="000000"/>
                <w:sz w:val="18"/>
                <w:szCs w:val="18"/>
                <w:lang w:val="en-CA"/>
              </w:rPr>
              <w:t xml:space="preserve">135,7 </w:t>
            </w:r>
          </w:p>
        </w:tc>
      </w:tr>
      <w:tr w:rsidR="00304C75" w:rsidRPr="00407A97" w:rsidTr="0067700C">
        <w:trPr>
          <w:trHeight w:val="116"/>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4.1.2</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du HCFC-22 réalisée lors de la phase précédente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6,13</w:t>
            </w:r>
          </w:p>
        </w:tc>
      </w:tr>
      <w:tr w:rsidR="00304C75" w:rsidRPr="00407A97" w:rsidTr="0067700C">
        <w:trPr>
          <w:trHeight w:val="98"/>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4.1.3</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Consommation restante admissible de HCFC-22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D77991" w:rsidP="0067700C">
            <w:pPr>
              <w:jc w:val="right"/>
              <w:rPr>
                <w:color w:val="000000"/>
                <w:sz w:val="16"/>
                <w:szCs w:val="16"/>
              </w:rPr>
            </w:pPr>
            <w:r>
              <w:rPr>
                <w:color w:val="000000"/>
                <w:sz w:val="16"/>
                <w:szCs w:val="16"/>
                <w:lang w:val="fr-CA"/>
              </w:rPr>
              <w:t xml:space="preserve">   </w:t>
            </w:r>
            <w:r w:rsidRPr="00C3019D">
              <w:rPr>
                <w:color w:val="000000"/>
                <w:sz w:val="18"/>
                <w:szCs w:val="18"/>
                <w:lang w:val="fr-FR"/>
              </w:rPr>
              <w:t xml:space="preserve">   </w:t>
            </w:r>
            <w:r w:rsidR="0067700C">
              <w:rPr>
                <w:b/>
                <w:color w:val="000000"/>
                <w:sz w:val="18"/>
                <w:szCs w:val="18"/>
                <w:lang w:val="en-CA"/>
              </w:rPr>
              <w:t xml:space="preserve">98,09 </w:t>
            </w:r>
          </w:p>
        </w:tc>
      </w:tr>
      <w:tr w:rsidR="00304C75" w:rsidRPr="00407A97" w:rsidTr="0067700C">
        <w:trPr>
          <w:trHeight w:val="89"/>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4.2.1</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totale du HCFC-123 convenue aux termes du présent Accord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w:t>
            </w:r>
          </w:p>
        </w:tc>
      </w:tr>
      <w:tr w:rsidR="00304C75" w:rsidRPr="00407A97" w:rsidTr="0067700C">
        <w:trPr>
          <w:trHeight w:val="71"/>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4.2.2</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du HCFC-123 réalisée lors de la phase précédente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w:t>
            </w:r>
          </w:p>
        </w:tc>
      </w:tr>
      <w:tr w:rsidR="00304C75" w:rsidRPr="00407A97" w:rsidTr="0067700C">
        <w:trPr>
          <w:trHeight w:val="134"/>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4.2.3</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Consommation restante admissible de HCFC-123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0,11</w:t>
            </w:r>
          </w:p>
        </w:tc>
      </w:tr>
      <w:tr w:rsidR="00304C75" w:rsidRPr="00407A97" w:rsidTr="0067700C">
        <w:trPr>
          <w:trHeight w:val="53"/>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4.3.1</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totale du HCFC-141b convenue aux termes du présent Accord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33,92**</w:t>
            </w:r>
          </w:p>
        </w:tc>
      </w:tr>
      <w:tr w:rsidR="00304C75" w:rsidRPr="00407A97" w:rsidTr="0067700C">
        <w:trPr>
          <w:trHeight w:val="107"/>
          <w:jc w:val="center"/>
        </w:trPr>
        <w:tc>
          <w:tcPr>
            <w:tcW w:w="299" w:type="pct"/>
            <w:tcBorders>
              <w:top w:val="nil"/>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4.3.2</w:t>
            </w:r>
          </w:p>
        </w:tc>
        <w:tc>
          <w:tcPr>
            <w:tcW w:w="4151" w:type="pct"/>
            <w:gridSpan w:val="10"/>
            <w:tcBorders>
              <w:top w:val="single" w:sz="4" w:space="0" w:color="auto"/>
              <w:left w:val="nil"/>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du HCFC-141b réalisée lors de la phase précédente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95,69</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lang w:val="fr-CA" w:eastAsia="en-CA"/>
              </w:rPr>
            </w:pPr>
            <w:r w:rsidRPr="004669F3">
              <w:rPr>
                <w:color w:val="000000"/>
                <w:sz w:val="16"/>
                <w:szCs w:val="16"/>
                <w:lang w:val="fr-CA" w:eastAsia="en-CA"/>
              </w:rPr>
              <w:t>4.3.3</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Consommation restante admissible de HCFC-141b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rPr>
            </w:pPr>
            <w:r w:rsidRPr="004669F3">
              <w:rPr>
                <w:color w:val="000000"/>
                <w:sz w:val="16"/>
                <w:szCs w:val="16"/>
              </w:rPr>
              <w:t>4.4.1</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totale du HCFC-142b convenue aux termes du présent Accord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16,36</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rPr>
            </w:pPr>
            <w:r w:rsidRPr="004669F3">
              <w:rPr>
                <w:color w:val="000000"/>
                <w:sz w:val="16"/>
                <w:szCs w:val="16"/>
              </w:rPr>
              <w:t>4.4.2</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Élimination du HCFC-142b réalisée lors de la phase précédente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left"/>
              <w:rPr>
                <w:color w:val="000000"/>
                <w:sz w:val="16"/>
                <w:szCs w:val="16"/>
              </w:rPr>
            </w:pPr>
            <w:r w:rsidRPr="004669F3">
              <w:rPr>
                <w:color w:val="000000"/>
                <w:sz w:val="16"/>
                <w:szCs w:val="16"/>
              </w:rPr>
              <w:t>4.4.3</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jc w:val="left"/>
              <w:rPr>
                <w:sz w:val="16"/>
                <w:szCs w:val="16"/>
                <w:lang w:val="fr-CA" w:eastAsia="en-CA"/>
              </w:rPr>
            </w:pPr>
            <w:r w:rsidRPr="004669F3">
              <w:rPr>
                <w:sz w:val="16"/>
                <w:szCs w:val="16"/>
                <w:lang w:val="fr-CA" w:eastAsia="en-CA"/>
              </w:rPr>
              <w:t>Consommation restante admissible de HCFC-142b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jc w:val="right"/>
              <w:rPr>
                <w:color w:val="000000"/>
                <w:sz w:val="16"/>
                <w:szCs w:val="16"/>
              </w:rPr>
            </w:pPr>
            <w:r w:rsidRPr="004669F3">
              <w:rPr>
                <w:color w:val="000000"/>
                <w:sz w:val="16"/>
                <w:szCs w:val="16"/>
              </w:rPr>
              <w:t>0</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left"/>
              <w:rPr>
                <w:color w:val="000000"/>
                <w:sz w:val="16"/>
                <w:szCs w:val="16"/>
              </w:rPr>
            </w:pPr>
            <w:r w:rsidRPr="004669F3">
              <w:rPr>
                <w:color w:val="000000"/>
                <w:sz w:val="16"/>
                <w:szCs w:val="16"/>
              </w:rPr>
              <w:t>4.5.1</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keepNext/>
              <w:keepLines/>
              <w:jc w:val="left"/>
              <w:rPr>
                <w:sz w:val="16"/>
                <w:szCs w:val="16"/>
                <w:lang w:val="fr-CA" w:eastAsia="en-CA"/>
              </w:rPr>
            </w:pPr>
            <w:r w:rsidRPr="004669F3">
              <w:rPr>
                <w:sz w:val="16"/>
                <w:szCs w:val="16"/>
                <w:lang w:val="fr-CA" w:eastAsia="en-CA"/>
              </w:rPr>
              <w:t>Élimination totale du HCFC-141b dans les polyols prémélangés importés convenue aux termes du présent Accord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right"/>
              <w:rPr>
                <w:color w:val="000000"/>
                <w:sz w:val="16"/>
                <w:szCs w:val="16"/>
              </w:rPr>
            </w:pPr>
            <w:r w:rsidRPr="004669F3">
              <w:rPr>
                <w:color w:val="000000"/>
                <w:sz w:val="16"/>
                <w:szCs w:val="16"/>
              </w:rPr>
              <w:t>26,16</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left"/>
              <w:rPr>
                <w:color w:val="000000"/>
                <w:sz w:val="16"/>
                <w:szCs w:val="16"/>
              </w:rPr>
            </w:pPr>
            <w:r w:rsidRPr="004669F3">
              <w:rPr>
                <w:color w:val="000000"/>
                <w:sz w:val="16"/>
                <w:szCs w:val="16"/>
              </w:rPr>
              <w:t>4.5.2</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keepNext/>
              <w:keepLines/>
              <w:jc w:val="left"/>
              <w:rPr>
                <w:sz w:val="16"/>
                <w:szCs w:val="16"/>
                <w:lang w:val="fr-CA" w:eastAsia="en-CA"/>
              </w:rPr>
            </w:pPr>
            <w:r w:rsidRPr="004669F3">
              <w:rPr>
                <w:sz w:val="16"/>
                <w:szCs w:val="16"/>
                <w:lang w:val="fr-CA" w:eastAsia="en-CA"/>
              </w:rPr>
              <w:t>Élimination du HCFC-141b dans les polyols prémélangés importés réalisée lors de la phase précédente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right"/>
              <w:rPr>
                <w:color w:val="000000"/>
                <w:sz w:val="16"/>
                <w:szCs w:val="16"/>
              </w:rPr>
            </w:pPr>
            <w:r w:rsidRPr="004669F3">
              <w:rPr>
                <w:color w:val="000000"/>
                <w:sz w:val="16"/>
                <w:szCs w:val="16"/>
              </w:rPr>
              <w:t>72,18</w:t>
            </w:r>
          </w:p>
        </w:tc>
      </w:tr>
      <w:tr w:rsidR="00304C75" w:rsidRPr="00407A97" w:rsidTr="0067700C">
        <w:trPr>
          <w:trHeight w:val="98"/>
          <w:jc w:val="center"/>
        </w:trPr>
        <w:tc>
          <w:tcPr>
            <w:tcW w:w="299"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left"/>
              <w:rPr>
                <w:color w:val="000000"/>
                <w:sz w:val="16"/>
                <w:szCs w:val="16"/>
              </w:rPr>
            </w:pPr>
            <w:r w:rsidRPr="004669F3">
              <w:rPr>
                <w:color w:val="000000"/>
                <w:sz w:val="16"/>
                <w:szCs w:val="16"/>
              </w:rPr>
              <w:t>4.5.3</w:t>
            </w:r>
          </w:p>
        </w:tc>
        <w:tc>
          <w:tcPr>
            <w:tcW w:w="4151" w:type="pct"/>
            <w:gridSpan w:val="10"/>
            <w:tcBorders>
              <w:top w:val="single" w:sz="4" w:space="0" w:color="auto"/>
              <w:left w:val="single" w:sz="4" w:space="0" w:color="auto"/>
              <w:bottom w:val="single" w:sz="4" w:space="0" w:color="auto"/>
              <w:right w:val="single" w:sz="4" w:space="0" w:color="auto"/>
            </w:tcBorders>
            <w:vAlign w:val="center"/>
          </w:tcPr>
          <w:p w:rsidR="00304C75" w:rsidRPr="004669F3" w:rsidRDefault="00304C75" w:rsidP="004669F3">
            <w:pPr>
              <w:keepNext/>
              <w:keepLines/>
              <w:jc w:val="left"/>
              <w:rPr>
                <w:sz w:val="16"/>
                <w:szCs w:val="16"/>
                <w:lang w:val="fr-CA" w:eastAsia="en-CA"/>
              </w:rPr>
            </w:pPr>
            <w:r w:rsidRPr="004669F3">
              <w:rPr>
                <w:sz w:val="16"/>
                <w:szCs w:val="16"/>
                <w:lang w:val="fr-CA" w:eastAsia="en-CA"/>
              </w:rPr>
              <w:t>Consommation restante admissible de HCFC-141b dans les polyols prémélangés importés (tonnes PAO)</w:t>
            </w:r>
          </w:p>
        </w:tc>
        <w:tc>
          <w:tcPr>
            <w:tcW w:w="550" w:type="pct"/>
            <w:tcBorders>
              <w:top w:val="single" w:sz="4" w:space="0" w:color="auto"/>
              <w:left w:val="single" w:sz="4" w:space="0" w:color="auto"/>
              <w:bottom w:val="single" w:sz="4" w:space="0" w:color="auto"/>
              <w:right w:val="single" w:sz="4" w:space="0" w:color="auto"/>
            </w:tcBorders>
          </w:tcPr>
          <w:p w:rsidR="00304C75" w:rsidRPr="004669F3" w:rsidRDefault="00304C75" w:rsidP="004669F3">
            <w:pPr>
              <w:keepNext/>
              <w:keepLines/>
              <w:jc w:val="right"/>
              <w:rPr>
                <w:color w:val="000000"/>
                <w:sz w:val="16"/>
                <w:szCs w:val="16"/>
              </w:rPr>
            </w:pPr>
            <w:r w:rsidRPr="004669F3">
              <w:rPr>
                <w:color w:val="000000"/>
                <w:sz w:val="16"/>
                <w:szCs w:val="16"/>
              </w:rPr>
              <w:t>0</w:t>
            </w:r>
          </w:p>
        </w:tc>
      </w:tr>
    </w:tbl>
    <w:p w:rsidR="0067700C" w:rsidRPr="0096482F" w:rsidRDefault="004669F3" w:rsidP="0067700C">
      <w:pPr>
        <w:rPr>
          <w:sz w:val="16"/>
          <w:szCs w:val="16"/>
          <w:lang w:val="fr-CA"/>
        </w:rPr>
      </w:pPr>
      <w:r w:rsidRPr="00BF47C5">
        <w:rPr>
          <w:sz w:val="16"/>
          <w:szCs w:val="16"/>
          <w:lang w:val="fr-CA"/>
        </w:rPr>
        <w:t>*</w:t>
      </w:r>
      <w:r w:rsidR="0067700C">
        <w:rPr>
          <w:sz w:val="16"/>
          <w:szCs w:val="16"/>
          <w:lang w:val="fr-CA"/>
        </w:rPr>
        <w:tab/>
      </w:r>
      <w:r w:rsidR="0067700C" w:rsidRPr="00BB1115">
        <w:rPr>
          <w:sz w:val="16"/>
          <w:szCs w:val="16"/>
          <w:lang w:val="fr-CA"/>
        </w:rPr>
        <w:t>Comprenant l</w:t>
      </w:r>
      <w:r w:rsidR="00D77991">
        <w:rPr>
          <w:sz w:val="16"/>
          <w:szCs w:val="16"/>
          <w:lang w:val="fr-CA"/>
        </w:rPr>
        <w:t>’</w:t>
      </w:r>
      <w:r w:rsidR="0067700C" w:rsidRPr="00BB1115">
        <w:rPr>
          <w:sz w:val="16"/>
          <w:szCs w:val="16"/>
          <w:lang w:val="fr-CA"/>
        </w:rPr>
        <w:t>élimination de 4,4</w:t>
      </w:r>
      <w:r w:rsidR="0067700C">
        <w:rPr>
          <w:sz w:val="16"/>
          <w:szCs w:val="16"/>
          <w:lang w:val="fr-CA"/>
        </w:rPr>
        <w:t> </w:t>
      </w:r>
      <w:r w:rsidR="0067700C" w:rsidRPr="00BB1115">
        <w:rPr>
          <w:sz w:val="16"/>
          <w:szCs w:val="16"/>
          <w:lang w:val="fr-CA"/>
        </w:rPr>
        <w:t>tonnes PAO approuvé</w:t>
      </w:r>
      <w:r w:rsidR="0067700C">
        <w:rPr>
          <w:sz w:val="16"/>
          <w:szCs w:val="16"/>
          <w:lang w:val="fr-CA"/>
        </w:rPr>
        <w:t>e</w:t>
      </w:r>
      <w:r w:rsidR="0067700C" w:rsidRPr="00BB1115">
        <w:rPr>
          <w:sz w:val="16"/>
          <w:szCs w:val="16"/>
          <w:lang w:val="fr-CA"/>
        </w:rPr>
        <w:t xml:space="preserve"> lors de la 76</w:t>
      </w:r>
      <w:r w:rsidR="0067700C" w:rsidRPr="00BF47C5">
        <w:rPr>
          <w:sz w:val="16"/>
          <w:szCs w:val="16"/>
          <w:vertAlign w:val="superscript"/>
          <w:lang w:val="fr-CA"/>
        </w:rPr>
        <w:t>e</w:t>
      </w:r>
      <w:r w:rsidR="0067700C">
        <w:rPr>
          <w:sz w:val="16"/>
          <w:szCs w:val="16"/>
          <w:lang w:val="fr-CA"/>
        </w:rPr>
        <w:t> </w:t>
      </w:r>
      <w:r w:rsidR="0067700C" w:rsidRPr="00BB1115">
        <w:rPr>
          <w:sz w:val="16"/>
          <w:szCs w:val="16"/>
          <w:lang w:val="fr-CA"/>
        </w:rPr>
        <w:t>réunion et incorporé</w:t>
      </w:r>
      <w:r w:rsidR="0067700C">
        <w:rPr>
          <w:sz w:val="16"/>
          <w:szCs w:val="16"/>
          <w:lang w:val="fr-CA"/>
        </w:rPr>
        <w:t>e</w:t>
      </w:r>
      <w:r w:rsidR="0067700C" w:rsidRPr="00BB1115">
        <w:rPr>
          <w:sz w:val="16"/>
          <w:szCs w:val="16"/>
          <w:lang w:val="fr-CA"/>
        </w:rPr>
        <w:t xml:space="preserve"> au présent Accord.</w:t>
      </w:r>
    </w:p>
    <w:p w:rsidR="004669F3" w:rsidRPr="00BB1115" w:rsidRDefault="004669F3" w:rsidP="004669F3">
      <w:pPr>
        <w:jc w:val="left"/>
        <w:rPr>
          <w:sz w:val="18"/>
          <w:lang w:val="fr-CA"/>
        </w:rPr>
      </w:pPr>
      <w:r w:rsidRPr="00BB1115">
        <w:rPr>
          <w:color w:val="000000"/>
          <w:sz w:val="16"/>
          <w:szCs w:val="16"/>
          <w:lang w:val="fr-CA"/>
        </w:rPr>
        <w:t>Note</w:t>
      </w:r>
      <w:r w:rsidR="00D77991">
        <w:rPr>
          <w:color w:val="000000"/>
          <w:sz w:val="16"/>
          <w:szCs w:val="16"/>
          <w:lang w:val="fr-CA"/>
        </w:rPr>
        <w:t xml:space="preserve"> </w:t>
      </w:r>
      <w:r w:rsidRPr="00BB1115">
        <w:rPr>
          <w:color w:val="000000"/>
          <w:sz w:val="16"/>
          <w:szCs w:val="16"/>
          <w:lang w:val="fr-CA"/>
        </w:rPr>
        <w:t>:</w:t>
      </w:r>
      <w:r w:rsidR="00D77991">
        <w:rPr>
          <w:color w:val="000000"/>
          <w:sz w:val="16"/>
          <w:szCs w:val="16"/>
          <w:lang w:val="fr-CA"/>
        </w:rPr>
        <w:t xml:space="preserve">    </w:t>
      </w:r>
      <w:r w:rsidRPr="00BB1115">
        <w:rPr>
          <w:color w:val="000000"/>
          <w:sz w:val="16"/>
          <w:szCs w:val="16"/>
          <w:lang w:val="fr-CA"/>
        </w:rPr>
        <w:t>Date d</w:t>
      </w:r>
      <w:r w:rsidR="00D77991">
        <w:rPr>
          <w:color w:val="000000"/>
          <w:sz w:val="16"/>
          <w:szCs w:val="16"/>
          <w:lang w:val="fr-CA"/>
        </w:rPr>
        <w:t>’</w:t>
      </w:r>
      <w:r w:rsidRPr="00BB1115">
        <w:rPr>
          <w:color w:val="000000"/>
          <w:sz w:val="16"/>
          <w:szCs w:val="16"/>
          <w:lang w:val="fr-CA"/>
        </w:rPr>
        <w:t>achèvement de la phase</w:t>
      </w:r>
      <w:r>
        <w:rPr>
          <w:color w:val="000000"/>
          <w:sz w:val="16"/>
          <w:szCs w:val="16"/>
          <w:lang w:val="fr-CA"/>
        </w:rPr>
        <w:t> I</w:t>
      </w:r>
      <w:r w:rsidRPr="00BB1115">
        <w:rPr>
          <w:color w:val="000000"/>
          <w:sz w:val="16"/>
          <w:szCs w:val="16"/>
          <w:lang w:val="fr-CA"/>
        </w:rPr>
        <w:t xml:space="preserve"> </w:t>
      </w:r>
      <w:r>
        <w:rPr>
          <w:color w:val="000000"/>
          <w:sz w:val="16"/>
          <w:szCs w:val="16"/>
          <w:lang w:val="fr-CA"/>
        </w:rPr>
        <w:t>s</w:t>
      </w:r>
      <w:r w:rsidRPr="00BB1115">
        <w:rPr>
          <w:color w:val="000000"/>
          <w:sz w:val="16"/>
          <w:szCs w:val="16"/>
          <w:lang w:val="fr-CA"/>
        </w:rPr>
        <w:t>elon l</w:t>
      </w:r>
      <w:r w:rsidR="00D77991">
        <w:rPr>
          <w:color w:val="000000"/>
          <w:sz w:val="16"/>
          <w:szCs w:val="16"/>
          <w:lang w:val="fr-CA"/>
        </w:rPr>
        <w:t>’</w:t>
      </w:r>
      <w:r w:rsidRPr="00BB1115">
        <w:rPr>
          <w:color w:val="000000"/>
          <w:sz w:val="16"/>
          <w:szCs w:val="16"/>
          <w:lang w:val="fr-CA"/>
        </w:rPr>
        <w:t>Accord de la phase</w:t>
      </w:r>
      <w:r>
        <w:rPr>
          <w:color w:val="000000"/>
          <w:sz w:val="16"/>
          <w:szCs w:val="16"/>
          <w:lang w:val="fr-CA"/>
        </w:rPr>
        <w:t> </w:t>
      </w:r>
      <w:r w:rsidRPr="00BB1115">
        <w:rPr>
          <w:color w:val="000000"/>
          <w:sz w:val="16"/>
          <w:szCs w:val="16"/>
          <w:lang w:val="fr-CA"/>
        </w:rPr>
        <w:t>I</w:t>
      </w:r>
      <w:r>
        <w:rPr>
          <w:color w:val="000000"/>
          <w:sz w:val="16"/>
          <w:szCs w:val="16"/>
          <w:lang w:val="fr-CA"/>
        </w:rPr>
        <w:t> </w:t>
      </w:r>
      <w:r w:rsidRPr="00BB1115">
        <w:rPr>
          <w:color w:val="000000"/>
          <w:sz w:val="16"/>
          <w:szCs w:val="16"/>
          <w:lang w:val="fr-CA"/>
        </w:rPr>
        <w:t>: 31</w:t>
      </w:r>
      <w:r>
        <w:rPr>
          <w:color w:val="000000"/>
          <w:sz w:val="16"/>
          <w:szCs w:val="16"/>
          <w:lang w:val="fr-CA"/>
        </w:rPr>
        <w:t> </w:t>
      </w:r>
      <w:r w:rsidRPr="00BB1115">
        <w:rPr>
          <w:color w:val="000000"/>
          <w:sz w:val="16"/>
          <w:szCs w:val="16"/>
          <w:lang w:val="fr-CA"/>
        </w:rPr>
        <w:t>décembre</w:t>
      </w:r>
      <w:r>
        <w:rPr>
          <w:color w:val="000000"/>
          <w:sz w:val="16"/>
          <w:szCs w:val="16"/>
          <w:lang w:val="fr-CA"/>
        </w:rPr>
        <w:t> </w:t>
      </w:r>
      <w:r w:rsidRPr="00BB1115">
        <w:rPr>
          <w:color w:val="000000"/>
          <w:sz w:val="16"/>
          <w:szCs w:val="16"/>
          <w:lang w:val="fr-CA"/>
        </w:rPr>
        <w:t xml:space="preserve">2019. </w:t>
      </w:r>
    </w:p>
    <w:p w:rsidR="004669F3" w:rsidRDefault="004669F3" w:rsidP="004669F3">
      <w:pPr>
        <w:jc w:val="left"/>
        <w:rPr>
          <w:b/>
          <w:lang w:val="fr-CA"/>
        </w:rPr>
      </w:pPr>
    </w:p>
    <w:p w:rsidR="00255CDE" w:rsidRPr="00C3019D" w:rsidRDefault="00255CDE" w:rsidP="004669F3">
      <w:pPr>
        <w:rPr>
          <w:lang w:val="fr-FR"/>
        </w:rPr>
      </w:pPr>
    </w:p>
    <w:sectPr w:rsidR="00255CDE" w:rsidRPr="00C3019D" w:rsidSect="001303F8">
      <w:headerReference w:type="even" r:id="rId18"/>
      <w:headerReference w:type="default" r:id="rId19"/>
      <w:headerReference w:type="first" r:id="rId20"/>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B1" w:rsidRDefault="00C75DB1" w:rsidP="004A504B">
      <w:r>
        <w:separator/>
      </w:r>
    </w:p>
  </w:endnote>
  <w:endnote w:type="continuationSeparator" w:id="0">
    <w:p w:rsidR="00C75DB1" w:rsidRDefault="00C75DB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75DB1">
    <w:pPr>
      <w:jc w:val="center"/>
    </w:pPr>
    <w:r>
      <w:fldChar w:fldCharType="begin"/>
    </w:r>
    <w:r>
      <w:instrText xml:space="preserve"> PAGE </w:instrText>
    </w:r>
    <w:r>
      <w:fldChar w:fldCharType="separate"/>
    </w:r>
    <w:r w:rsidR="002E1672">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75DB1">
    <w:pPr>
      <w:jc w:val="center"/>
    </w:pPr>
    <w:r>
      <w:fldChar w:fldCharType="begin"/>
    </w:r>
    <w:r>
      <w:instrText xml:space="preserve"> PAGE </w:instrText>
    </w:r>
    <w:r>
      <w:fldChar w:fldCharType="separate"/>
    </w:r>
    <w:r w:rsidR="002E1672">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Default="00C75DB1" w:rsidP="00732221">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C75DB1" w:rsidRPr="00C3019D" w:rsidRDefault="00C75DB1" w:rsidP="00732221">
    <w:pPr>
      <w:pBdr>
        <w:top w:val="single" w:sz="4" w:space="1" w:color="auto"/>
        <w:left w:val="single" w:sz="4" w:space="4" w:color="auto"/>
        <w:bottom w:val="single" w:sz="4" w:space="1" w:color="auto"/>
        <w:right w:val="single" w:sz="4" w:space="4" w:color="auto"/>
      </w:pBdr>
      <w:jc w:val="center"/>
      <w:rPr>
        <w:sz w:val="18"/>
        <w:szCs w:val="18"/>
        <w:lang w:val="fr-FR"/>
      </w:rPr>
    </w:pPr>
    <w:r>
      <w:rPr>
        <w:rFonts w:cs="MS Serif"/>
        <w:sz w:val="20"/>
        <w:lang w:val="fr-FR"/>
      </w:rPr>
      <w:t>Montréal sont présentés sous réserve des décisions pouvant être prises par le Comité exécutif après leur publication</w:t>
    </w:r>
    <w:r w:rsidRPr="00C3019D">
      <w:rPr>
        <w:sz w:val="18"/>
        <w:szCs w:val="18"/>
        <w:lang w:val="fr-FR"/>
      </w:rPr>
      <w:t>.</w:t>
    </w:r>
  </w:p>
  <w:p w:rsidR="00C75DB1" w:rsidRPr="00C3019D" w:rsidRDefault="00C75DB1"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B1" w:rsidRDefault="00C75DB1" w:rsidP="004A504B">
      <w:r>
        <w:separator/>
      </w:r>
    </w:p>
  </w:footnote>
  <w:footnote w:type="continuationSeparator" w:id="0">
    <w:p w:rsidR="00C75DB1" w:rsidRDefault="00C75DB1" w:rsidP="004A504B">
      <w:r>
        <w:continuationSeparator/>
      </w:r>
    </w:p>
  </w:footnote>
  <w:footnote w:id="1">
    <w:p w:rsidR="00C75DB1" w:rsidRPr="00C3019D" w:rsidRDefault="00C75DB1" w:rsidP="00037B50">
      <w:pPr>
        <w:pStyle w:val="FootnoteText"/>
        <w:pBdr>
          <w:top w:val="single" w:sz="4" w:space="1" w:color="E9FFFF"/>
          <w:left w:val="single" w:sz="4" w:space="4" w:color="E9FFFF"/>
          <w:bottom w:val="single" w:sz="4" w:space="1" w:color="E9FFFF"/>
          <w:right w:val="single" w:sz="4" w:space="4" w:color="E9FFFF"/>
        </w:pBdr>
        <w:rPr>
          <w:lang w:val="fr-FR"/>
        </w:rPr>
      </w:pPr>
      <w:r>
        <w:rPr>
          <w:rStyle w:val="FootnoteReference"/>
        </w:rPr>
        <w:footnoteRef/>
      </w:r>
      <w:r w:rsidRPr="00C3019D">
        <w:rPr>
          <w:lang w:val="fr-FR"/>
        </w:rPr>
        <w:t xml:space="preserve"> </w:t>
      </w:r>
      <w:r w:rsidRPr="009039B9">
        <w:rPr>
          <w:lang w:val="fr-FR"/>
        </w:rPr>
        <w:t>Y compris six entreprises (dont le financement a été approuvé à la 62</w:t>
      </w:r>
      <w:r w:rsidRPr="00D77991">
        <w:rPr>
          <w:vertAlign w:val="superscript"/>
          <w:lang w:val="fr-FR"/>
        </w:rPr>
        <w:t>e</w:t>
      </w:r>
      <w:r>
        <w:rPr>
          <w:lang w:val="fr-FR"/>
        </w:rPr>
        <w:t xml:space="preserve"> </w:t>
      </w:r>
      <w:r w:rsidRPr="009039B9">
        <w:rPr>
          <w:lang w:val="fr-FR"/>
        </w:rPr>
        <w:t xml:space="preserve">réunion) incluses </w:t>
      </w:r>
      <w:r>
        <w:rPr>
          <w:lang w:val="fr-FR"/>
        </w:rPr>
        <w:t>dans</w:t>
      </w:r>
      <w:r w:rsidRPr="009039B9">
        <w:rPr>
          <w:lang w:val="fr-FR"/>
        </w:rPr>
        <w:t xml:space="preserve"> la phase I de la 65</w:t>
      </w:r>
      <w:r w:rsidRPr="00D77991">
        <w:rPr>
          <w:vertAlign w:val="superscript"/>
          <w:lang w:val="fr-FR"/>
        </w:rPr>
        <w:t>e</w:t>
      </w:r>
      <w:r>
        <w:rPr>
          <w:vertAlign w:val="superscript"/>
          <w:lang w:val="fr-FR"/>
        </w:rPr>
        <w:t xml:space="preserve"> </w:t>
      </w:r>
      <w:r>
        <w:rPr>
          <w:lang w:val="fr-FR"/>
        </w:rPr>
        <w:t xml:space="preserve"> </w:t>
      </w:r>
      <w:r w:rsidRPr="009039B9">
        <w:rPr>
          <w:lang w:val="fr-FR"/>
        </w:rPr>
        <w:t>réunion.</w:t>
      </w:r>
      <w:r w:rsidRPr="00C3019D">
        <w:rPr>
          <w:lang w:val="fr-FR"/>
        </w:rPr>
        <w:t xml:space="preserve"> </w:t>
      </w:r>
      <w:r w:rsidRPr="009039B9">
        <w:rPr>
          <w:lang w:val="fr-FR"/>
        </w:rPr>
        <w:t>Le projet d’élimination du HCFC-141b chez Delta Electric Appliances, pour un montant total de 422 740 $US plus des coûts d’appui d’agence, a été approuvé à la 62</w:t>
      </w:r>
      <w:r w:rsidRPr="009039B9">
        <w:rPr>
          <w:vertAlign w:val="superscript"/>
          <w:lang w:val="fr-FR"/>
        </w:rPr>
        <w:t>e</w:t>
      </w:r>
      <w:r w:rsidRPr="009039B9">
        <w:rPr>
          <w:lang w:val="fr-FR"/>
        </w:rPr>
        <w:t xml:space="preserve"> réunion. Après l’achat d’une entreprise par une entité ne relevant pas de l’article 5, le projet a été annulé et le financement approuvé a été retourné au Fonds à la 70</w:t>
      </w:r>
      <w:r w:rsidRPr="009039B9">
        <w:rPr>
          <w:vertAlign w:val="superscript"/>
          <w:lang w:val="fr-FR"/>
        </w:rPr>
        <w:t>e</w:t>
      </w:r>
      <w:r w:rsidRPr="009039B9">
        <w:rPr>
          <w:lang w:val="fr-FR"/>
        </w:rPr>
        <w:t xml:space="preserve"> réunion.</w:t>
      </w:r>
    </w:p>
  </w:footnote>
  <w:footnote w:id="2">
    <w:p w:rsidR="00C75DB1" w:rsidRPr="00C3019D" w:rsidRDefault="00C75DB1" w:rsidP="00E51975">
      <w:pPr>
        <w:pStyle w:val="FootnoteText"/>
        <w:rPr>
          <w:lang w:val="fr-FR"/>
        </w:rPr>
      </w:pPr>
      <w:r>
        <w:rPr>
          <w:rStyle w:val="FootnoteReference"/>
        </w:rPr>
        <w:footnoteRef/>
      </w:r>
      <w:r w:rsidRPr="00C3019D">
        <w:rPr>
          <w:lang w:val="fr-FR"/>
        </w:rPr>
        <w:t xml:space="preserve"> </w:t>
      </w:r>
      <w:r w:rsidRPr="009039B9">
        <w:rPr>
          <w:lang w:val="fr-FR"/>
        </w:rPr>
        <w:t>Disposition de</w:t>
      </w:r>
      <w:r>
        <w:rPr>
          <w:lang w:val="fr-FR"/>
        </w:rPr>
        <w:t xml:space="preserve"> </w:t>
      </w:r>
      <w:r w:rsidRPr="009039B9">
        <w:rPr>
          <w:lang w:val="fr-FR"/>
        </w:rPr>
        <w:t>mise en œuvre du projet</w:t>
      </w:r>
      <w:r>
        <w:rPr>
          <w:lang w:val="fr-FR"/>
        </w:rPr>
        <w:t xml:space="preserve"> </w:t>
      </w:r>
      <w:r w:rsidRPr="009039B9">
        <w:rPr>
          <w:lang w:val="fr-FR"/>
        </w:rPr>
        <w:t>du PNUD.</w:t>
      </w:r>
    </w:p>
  </w:footnote>
  <w:footnote w:id="3">
    <w:p w:rsidR="00C75DB1" w:rsidRPr="00C3019D" w:rsidRDefault="00C75DB1" w:rsidP="00037B50">
      <w:pPr>
        <w:pStyle w:val="FootnoteText"/>
        <w:rPr>
          <w:lang w:val="fr-FR"/>
        </w:rPr>
      </w:pPr>
      <w:r>
        <w:rPr>
          <w:rStyle w:val="FootnoteReference"/>
        </w:rPr>
        <w:footnoteRef/>
      </w:r>
      <w:r w:rsidRPr="00C3019D">
        <w:rPr>
          <w:lang w:val="fr-FR"/>
        </w:rPr>
        <w:t xml:space="preserve"> </w:t>
      </w:r>
      <w:r w:rsidRPr="00037B50">
        <w:rPr>
          <w:lang w:val="fr-FR"/>
        </w:rPr>
        <w:t>BTU = British Thermal Unit/ Unité thermique britannique.</w:t>
      </w:r>
      <w:r w:rsidRPr="00C3019D">
        <w:rPr>
          <w:lang w:val="fr-FR"/>
        </w:rPr>
        <w:t xml:space="preserve"> </w:t>
      </w:r>
      <w:r w:rsidRPr="00037B50">
        <w:rPr>
          <w:lang w:val="fr-FR"/>
        </w:rPr>
        <w:t>En tonnes de réfrigération (TR), 12 000 – 24 000 BTU/h équiva</w:t>
      </w:r>
      <w:r w:rsidR="000C703C">
        <w:rPr>
          <w:lang w:val="fr-FR"/>
        </w:rPr>
        <w:t>lent</w:t>
      </w:r>
      <w:r w:rsidRPr="00037B50">
        <w:rPr>
          <w:lang w:val="fr-FR"/>
        </w:rPr>
        <w:t xml:space="preserve"> à</w:t>
      </w:r>
      <w:r>
        <w:rPr>
          <w:lang w:val="fr-FR"/>
        </w:rPr>
        <w:t xml:space="preserve"> </w:t>
      </w:r>
      <w:r w:rsidRPr="00037B50">
        <w:rPr>
          <w:lang w:val="fr-FR"/>
        </w:rPr>
        <w:t>1-2 TR.</w:t>
      </w:r>
    </w:p>
  </w:footnote>
  <w:footnote w:id="4">
    <w:p w:rsidR="00C75DB1" w:rsidRPr="00C3019D" w:rsidRDefault="00C75DB1" w:rsidP="00037B50">
      <w:pPr>
        <w:pStyle w:val="FootnoteText"/>
        <w:rPr>
          <w:lang w:val="fr-FR"/>
        </w:rPr>
      </w:pPr>
      <w:r>
        <w:rPr>
          <w:rStyle w:val="FootnoteReference"/>
        </w:rPr>
        <w:footnoteRef/>
      </w:r>
      <w:r w:rsidRPr="00C3019D">
        <w:rPr>
          <w:lang w:val="fr-FR"/>
        </w:rPr>
        <w:t xml:space="preserve"> </w:t>
      </w:r>
      <w:r w:rsidRPr="00037B50">
        <w:rPr>
          <w:lang w:val="fr-FR"/>
        </w:rPr>
        <w:t>120 000 BTU/h = 10 TR.</w:t>
      </w:r>
    </w:p>
  </w:footnote>
  <w:footnote w:id="5">
    <w:p w:rsidR="00C75DB1" w:rsidRPr="00C3019D" w:rsidRDefault="00C75DB1" w:rsidP="00E51975">
      <w:pPr>
        <w:pStyle w:val="FootnoteText"/>
        <w:rPr>
          <w:lang w:val="fr-FR"/>
        </w:rPr>
      </w:pPr>
      <w:r>
        <w:rPr>
          <w:rStyle w:val="FootnoteReference"/>
        </w:rPr>
        <w:footnoteRef/>
      </w:r>
      <w:r w:rsidRPr="00C3019D">
        <w:rPr>
          <w:lang w:val="fr-FR"/>
        </w:rPr>
        <w:t xml:space="preserve"> </w:t>
      </w:r>
      <w:r w:rsidRPr="00037B50">
        <w:rPr>
          <w:lang w:val="fr-FR"/>
        </w:rPr>
        <w:t>De plus, une somme de 2 371 840 $US, plus coûts d’appui d’agence, a été approuvée à la 62</w:t>
      </w:r>
      <w:r w:rsidRPr="00037B50">
        <w:rPr>
          <w:vertAlign w:val="superscript"/>
          <w:lang w:val="fr-FR"/>
        </w:rPr>
        <w:t>e</w:t>
      </w:r>
      <w:r>
        <w:rPr>
          <w:lang w:val="fr-FR"/>
        </w:rPr>
        <w:t xml:space="preserve"> </w:t>
      </w:r>
      <w:r w:rsidRPr="00037B50">
        <w:rPr>
          <w:lang w:val="fr-FR"/>
        </w:rPr>
        <w:t>réunion pour six projets d’investissement et incluse dans la phase I (excluant le financement de Delta Electric Appliances qui a été par la suite retiré de la phase I).</w:t>
      </w:r>
    </w:p>
  </w:footnote>
  <w:footnote w:id="6">
    <w:p w:rsidR="00C75DB1" w:rsidRPr="00C3019D" w:rsidRDefault="00C75DB1" w:rsidP="00037B50">
      <w:pPr>
        <w:pStyle w:val="FootnoteText"/>
        <w:rPr>
          <w:lang w:val="fr-FR"/>
        </w:rPr>
      </w:pPr>
      <w:r>
        <w:rPr>
          <w:rStyle w:val="FootnoteReference"/>
        </w:rPr>
        <w:footnoteRef/>
      </w:r>
      <w:r w:rsidRPr="00C3019D">
        <w:rPr>
          <w:lang w:val="fr-FR"/>
        </w:rPr>
        <w:t xml:space="preserve"> </w:t>
      </w:r>
      <w:r w:rsidRPr="00037B50">
        <w:rPr>
          <w:lang w:val="fr-FR"/>
        </w:rPr>
        <w:t xml:space="preserve">Fiches d’information et rapports finals se rapportant aux projets de démonstration sur les solutions de remplacement à faible PRP des technologies à base de HCFC, </w:t>
      </w:r>
      <w:hyperlink r:id="rId1" w:history="1">
        <w:r w:rsidRPr="00037B50">
          <w:rPr>
            <w:rStyle w:val="Hyperlink"/>
            <w:lang w:val="fr-FR"/>
          </w:rPr>
          <w:t>http://multilateralfund.org/Our%20Work/DemonProject/default.aspx</w:t>
        </w:r>
      </w:hyperlink>
    </w:p>
  </w:footnote>
  <w:footnote w:id="7">
    <w:p w:rsidR="00C75DB1" w:rsidRPr="00C3019D" w:rsidRDefault="00C75DB1">
      <w:pPr>
        <w:pStyle w:val="FootnoteText"/>
        <w:rPr>
          <w:lang w:val="fr-FR"/>
        </w:rPr>
      </w:pPr>
      <w:r>
        <w:rPr>
          <w:rStyle w:val="FootnoteReference"/>
        </w:rPr>
        <w:footnoteRef/>
      </w:r>
      <w:r w:rsidRPr="00C3019D">
        <w:rPr>
          <w:lang w:val="fr-FR"/>
        </w:rPr>
        <w:t xml:space="preserve"> </w:t>
      </w:r>
      <w:r w:rsidRPr="00037B50">
        <w:rPr>
          <w:lang w:val="fr-FR"/>
        </w:rPr>
        <w:t>Programme d’évaluation des frigorigènes de remplacement AHRI,</w:t>
      </w:r>
      <w:r>
        <w:rPr>
          <w:lang w:val="fr-FR"/>
        </w:rPr>
        <w:t xml:space="preserve"> </w:t>
      </w:r>
      <w:r w:rsidRPr="00037B50">
        <w:rPr>
          <w:lang w:val="fr-FR"/>
        </w:rPr>
        <w:t>http://www.ahrinet.org/arep</w:t>
      </w:r>
    </w:p>
  </w:footnote>
  <w:footnote w:id="8">
    <w:p w:rsidR="00C75DB1" w:rsidRPr="00C3019D" w:rsidRDefault="00C75DB1" w:rsidP="005B0315">
      <w:pPr>
        <w:pStyle w:val="FootnoteText"/>
        <w:rPr>
          <w:lang w:val="fr-FR"/>
        </w:rPr>
      </w:pPr>
      <w:r>
        <w:rPr>
          <w:rStyle w:val="FootnoteReference"/>
        </w:rPr>
        <w:footnoteRef/>
      </w:r>
      <w:r w:rsidRPr="00C3019D">
        <w:rPr>
          <w:lang w:val="fr-FR"/>
        </w:rPr>
        <w:t xml:space="preserve"> </w:t>
      </w:r>
      <w:r w:rsidRPr="00037B50">
        <w:rPr>
          <w:lang w:val="fr-FR"/>
        </w:rPr>
        <w:t xml:space="preserve">Abdelaziz 2015 Abdelaziz O, Shrestha S, Munk J, Linkous R, Goetzler W, Guernsey M et Kassuga T, 2015. </w:t>
      </w:r>
      <w:r w:rsidRPr="00C3019D">
        <w:rPr>
          <w:lang w:val="en-CA"/>
        </w:rPr>
        <w:t>“Alternative Refrigerant Evaluation for High-Ambient-Temperature Environments:</w:t>
      </w:r>
      <w:r w:rsidRPr="00037B50">
        <w:t xml:space="preserve"> </w:t>
      </w:r>
      <w:r w:rsidRPr="00C3019D">
        <w:rPr>
          <w:lang w:val="en-CA"/>
        </w:rPr>
        <w:t xml:space="preserve">R-22 and R-410A Alternatives for Mini-Split Air Conditioners”, ORNL/TM-2015/536. </w:t>
      </w:r>
      <w:r w:rsidRPr="00037B50">
        <w:rPr>
          <w:lang w:val="fr-FR"/>
        </w:rPr>
        <w:t xml:space="preserve">Consultable à l’adresse suivante : </w:t>
      </w:r>
      <w:hyperlink r:id="rId2" w:history="1">
        <w:r w:rsidRPr="00290E53">
          <w:rPr>
            <w:rStyle w:val="Hyperlink"/>
            <w:lang w:val="fr-FR"/>
          </w:rPr>
          <w:t>https://www.energy.gov/sites/prod/files/2015/10/f27/bto_pub59157_101515.pdf</w:t>
        </w:r>
      </w:hyperlink>
      <w:r w:rsidRPr="00037B50">
        <w:rPr>
          <w:lang w:val="fr-FR"/>
        </w:rPr>
        <w:t>.</w:t>
      </w:r>
      <w:r>
        <w:rPr>
          <w:lang w:val="fr-FR"/>
        </w:rPr>
        <w:t xml:space="preserve"> </w:t>
      </w:r>
    </w:p>
  </w:footnote>
  <w:footnote w:id="9">
    <w:p w:rsidR="00C75DB1" w:rsidRPr="00C3019D" w:rsidRDefault="00C75DB1" w:rsidP="005B0315">
      <w:pPr>
        <w:pStyle w:val="FootnoteText"/>
        <w:rPr>
          <w:lang w:val="fr-FR"/>
        </w:rPr>
      </w:pPr>
      <w:r>
        <w:rPr>
          <w:rStyle w:val="FootnoteReference"/>
        </w:rPr>
        <w:footnoteRef/>
      </w:r>
      <w:r w:rsidRPr="00C3019D">
        <w:rPr>
          <w:lang w:val="fr-FR"/>
        </w:rPr>
        <w:t xml:space="preserve"> </w:t>
      </w:r>
      <w:r w:rsidRPr="00037B50">
        <w:rPr>
          <w:lang w:val="fr-FR"/>
        </w:rPr>
        <w:t>Rapport du projet PRAHA : https://www.unenvironment.org/resources/report/promoting-lowgwp-</w:t>
      </w:r>
    </w:p>
    <w:p w:rsidR="00C75DB1" w:rsidRPr="00C3019D" w:rsidRDefault="00C75DB1" w:rsidP="005B0315">
      <w:pPr>
        <w:pStyle w:val="FootnoteText"/>
        <w:rPr>
          <w:lang w:val="en-CA"/>
        </w:rPr>
      </w:pPr>
      <w:r w:rsidRPr="00C3019D">
        <w:rPr>
          <w:lang w:val="en-CA"/>
        </w:rPr>
        <w:t>refrigerants-air-conditioning-sectors-high-ambient-temperature</w:t>
      </w:r>
    </w:p>
    <w:p w:rsidR="00C75DB1" w:rsidRPr="00037B50" w:rsidRDefault="00C75DB1" w:rsidP="005B0315">
      <w:pPr>
        <w:pStyle w:val="FootnoteText"/>
      </w:pPr>
      <w:r w:rsidRPr="00C3019D">
        <w:rPr>
          <w:lang w:val="en-CA"/>
        </w:rPr>
        <w:t xml:space="preserve"> </w:t>
      </w:r>
    </w:p>
  </w:footnote>
  <w:footnote w:id="10">
    <w:p w:rsidR="00C75DB1" w:rsidRPr="00C3019D" w:rsidRDefault="00C75DB1" w:rsidP="00255CDE">
      <w:pPr>
        <w:pStyle w:val="FootnoteText"/>
        <w:rPr>
          <w:lang w:val="fr-FR"/>
        </w:rPr>
      </w:pPr>
      <w:r w:rsidRPr="00FE3307">
        <w:rPr>
          <w:rStyle w:val="FootnoteReference"/>
        </w:rPr>
        <w:footnoteRef/>
      </w:r>
      <w:r w:rsidRPr="00C3019D">
        <w:rPr>
          <w:lang w:val="fr-FR"/>
        </w:rPr>
        <w:t xml:space="preserve"> </w:t>
      </w:r>
      <w:r w:rsidRPr="00037B50">
        <w:rPr>
          <w:lang w:val="fr-FR"/>
        </w:rPr>
        <w:t>Selon la lettre du</w:t>
      </w:r>
      <w:r>
        <w:rPr>
          <w:lang w:val="fr-FR"/>
        </w:rPr>
        <w:t xml:space="preserve"> </w:t>
      </w:r>
      <w:r w:rsidRPr="00037B50">
        <w:rPr>
          <w:lang w:val="fr-FR"/>
        </w:rPr>
        <w:t>18 septembre 2019 du ministère de l’Environnement de l’Égypte adressée à l’ONUDI.</w:t>
      </w:r>
    </w:p>
  </w:footnote>
  <w:footnote w:id="11">
    <w:p w:rsidR="00C75DB1" w:rsidRPr="00C3019D" w:rsidRDefault="00C75DB1">
      <w:pPr>
        <w:pStyle w:val="FootnoteText"/>
        <w:rPr>
          <w:lang w:val="fr-FR"/>
        </w:rPr>
      </w:pPr>
      <w:r w:rsidRPr="00270A25">
        <w:rPr>
          <w:rStyle w:val="FootnoteReference"/>
        </w:rPr>
        <w:footnoteRef/>
      </w:r>
      <w:r w:rsidRPr="00C3019D">
        <w:rPr>
          <w:lang w:val="fr-FR"/>
        </w:rPr>
        <w:t xml:space="preserve"> </w:t>
      </w:r>
      <w:r w:rsidRPr="00037B50">
        <w:rPr>
          <w:lang w:val="fr-FR"/>
        </w:rPr>
        <w:t>Selon la lettre du</w:t>
      </w:r>
      <w:r>
        <w:rPr>
          <w:lang w:val="fr-FR"/>
        </w:rPr>
        <w:t xml:space="preserve"> </w:t>
      </w:r>
      <w:r w:rsidRPr="00037B50">
        <w:rPr>
          <w:lang w:val="fr-FR"/>
        </w:rPr>
        <w:t>18 septembre 2019 du ministère de l’Environnement de l’Égypte adressée à l’ONUDI.</w:t>
      </w:r>
    </w:p>
  </w:footnote>
  <w:footnote w:id="12">
    <w:p w:rsidR="00C75DB1" w:rsidRPr="00C3019D" w:rsidRDefault="00C75DB1">
      <w:pPr>
        <w:pStyle w:val="FootnoteText"/>
        <w:rPr>
          <w:lang w:val="fr-FR"/>
        </w:rPr>
      </w:pPr>
      <w:r>
        <w:rPr>
          <w:rStyle w:val="FootnoteReference"/>
        </w:rPr>
        <w:footnoteRef/>
      </w:r>
      <w:r w:rsidRPr="00C3019D">
        <w:rPr>
          <w:lang w:val="fr-FR"/>
        </w:rPr>
        <w:t xml:space="preserve"> </w:t>
      </w:r>
      <w:r w:rsidRPr="00037B50">
        <w:rPr>
          <w:lang w:val="fr-FR"/>
        </w:rPr>
        <w:t>Disposition de mise en œuvre du projet</w:t>
      </w:r>
      <w:r>
        <w:rPr>
          <w:lang w:val="fr-FR"/>
        </w:rPr>
        <w:t xml:space="preserve"> </w:t>
      </w:r>
      <w:r w:rsidRPr="00037B50">
        <w:rPr>
          <w:lang w:val="fr-FR"/>
        </w:rPr>
        <w:t>de l’ONUDI.</w:t>
      </w:r>
    </w:p>
  </w:footnote>
  <w:footnote w:id="13">
    <w:p w:rsidR="00C75DB1" w:rsidRPr="00C3019D" w:rsidRDefault="00C75DB1">
      <w:pPr>
        <w:pStyle w:val="FootnoteText"/>
        <w:rPr>
          <w:lang w:val="fr-FR"/>
        </w:rPr>
      </w:pPr>
      <w:r>
        <w:rPr>
          <w:rStyle w:val="FootnoteReference"/>
        </w:rPr>
        <w:footnoteRef/>
      </w:r>
      <w:r w:rsidRPr="00C3019D">
        <w:rPr>
          <w:lang w:val="fr-FR"/>
        </w:rPr>
        <w:t xml:space="preserve"> </w:t>
      </w:r>
      <w:r w:rsidRPr="00037B50">
        <w:rPr>
          <w:lang w:val="fr-FR"/>
        </w:rPr>
        <w:t>Disposition de</w:t>
      </w:r>
      <w:r>
        <w:rPr>
          <w:lang w:val="fr-FR"/>
        </w:rPr>
        <w:t xml:space="preserve"> </w:t>
      </w:r>
      <w:r w:rsidRPr="00037B50">
        <w:rPr>
          <w:lang w:val="fr-FR"/>
        </w:rPr>
        <w:t>mise en œuvre du projet</w:t>
      </w:r>
      <w:r>
        <w:rPr>
          <w:lang w:val="fr-FR"/>
        </w:rPr>
        <w:t xml:space="preserve"> </w:t>
      </w:r>
      <w:r w:rsidRPr="00037B50">
        <w:rPr>
          <w:lang w:val="fr-FR"/>
        </w:rPr>
        <w:t>du PNUD.</w:t>
      </w:r>
    </w:p>
  </w:footnote>
  <w:footnote w:id="14">
    <w:p w:rsidR="00C75DB1" w:rsidRPr="00C3019D" w:rsidRDefault="00C75DB1" w:rsidP="00037B50">
      <w:pPr>
        <w:pStyle w:val="FootnoteText"/>
        <w:rPr>
          <w:lang w:val="fr-FR"/>
        </w:rPr>
      </w:pPr>
      <w:r>
        <w:rPr>
          <w:rStyle w:val="FootnoteReference"/>
        </w:rPr>
        <w:footnoteRef/>
      </w:r>
      <w:r w:rsidRPr="00C3019D">
        <w:rPr>
          <w:lang w:val="fr-FR"/>
        </w:rPr>
        <w:t xml:space="preserve"> </w:t>
      </w:r>
      <w:r w:rsidRPr="00037B50">
        <w:rPr>
          <w:lang w:val="fr-FR"/>
        </w:rPr>
        <w:t>Il existe trois différents programmes de certification en Égypte, l’un dirigé par le ministère de la Main d’œuvre, un autre dans le cadre du programme de formation professionnelle et le troisième dans le cadre du programme d’enseignement technique dirigé par le</w:t>
      </w:r>
      <w:r>
        <w:rPr>
          <w:lang w:val="fr-FR"/>
        </w:rPr>
        <w:t xml:space="preserve"> </w:t>
      </w:r>
      <w:r w:rsidRPr="00037B50">
        <w:rPr>
          <w:lang w:val="fr-FR"/>
        </w:rPr>
        <w:t>ministère de l’Éducation.</w:t>
      </w:r>
      <w:r w:rsidRPr="00C3019D">
        <w:rPr>
          <w:lang w:val="fr-FR"/>
        </w:rPr>
        <w:t xml:space="preserve"> </w:t>
      </w:r>
      <w:r w:rsidRPr="00037B50">
        <w:rPr>
          <w:lang w:val="fr-FR"/>
        </w:rPr>
        <w:t>Actuellement, des certificats de qualification minimum sont requis selon le métier et l’employeur ; chacun des trois programmes qualifie les techniciens conformément aux exigences du marché ; toutefois, les meilleures pratiques en matière d’entretien ne font pas partie de ces exigences, ni les meilleur</w:t>
      </w:r>
      <w:r w:rsidR="00AD0459">
        <w:rPr>
          <w:lang w:val="fr-FR"/>
        </w:rPr>
        <w:t>e</w:t>
      </w:r>
      <w:r w:rsidRPr="00037B50">
        <w:rPr>
          <w:lang w:val="fr-FR"/>
        </w:rPr>
        <w:t>s pratiques se</w:t>
      </w:r>
      <w:r>
        <w:rPr>
          <w:lang w:val="fr-FR"/>
        </w:rPr>
        <w:t xml:space="preserve"> </w:t>
      </w:r>
      <w:r w:rsidRPr="00037B50">
        <w:rPr>
          <w:lang w:val="fr-FR"/>
        </w:rPr>
        <w:t>rapportant à la manipulation des frigorigènes inflammables.</w:t>
      </w:r>
      <w:r w:rsidRPr="00C3019D">
        <w:rPr>
          <w:lang w:val="fr-FR"/>
        </w:rPr>
        <w:t xml:space="preserve"> </w:t>
      </w:r>
    </w:p>
  </w:footnote>
  <w:footnote w:id="15">
    <w:p w:rsidR="00C75DB1" w:rsidRPr="00C3019D" w:rsidRDefault="00C75DB1" w:rsidP="006E5A88">
      <w:pPr>
        <w:pStyle w:val="FootnoteText"/>
        <w:rPr>
          <w:lang w:val="fr-FR"/>
        </w:rPr>
      </w:pPr>
      <w:r>
        <w:rPr>
          <w:rStyle w:val="FootnoteReference"/>
        </w:rPr>
        <w:footnoteRef/>
      </w:r>
      <w:r w:rsidRPr="00C3019D">
        <w:rPr>
          <w:lang w:val="fr-FR"/>
        </w:rPr>
        <w:t xml:space="preserve"> </w:t>
      </w:r>
      <w:r w:rsidRPr="00037B50">
        <w:rPr>
          <w:lang w:val="fr-FR"/>
        </w:rPr>
        <w:t xml:space="preserve">Consultable sur </w:t>
      </w:r>
      <w:hyperlink r:id="rId3" w:history="1">
        <w:r w:rsidRPr="00037B50">
          <w:rPr>
            <w:rStyle w:val="Hyperlink"/>
            <w:lang w:val="fr-FR"/>
          </w:rPr>
          <w:t>https://ozone.unep.org/sites/default/files/2019-04/RTOC-assessment-report-2018_0.pdf</w:t>
        </w:r>
      </w:hyperlink>
    </w:p>
  </w:footnote>
  <w:footnote w:id="16">
    <w:p w:rsidR="00C75DB1" w:rsidRPr="00C3019D" w:rsidRDefault="00C75DB1">
      <w:pPr>
        <w:pStyle w:val="FootnoteText"/>
        <w:rPr>
          <w:lang w:val="fr-FR"/>
        </w:rPr>
      </w:pPr>
      <w:r>
        <w:rPr>
          <w:rStyle w:val="FootnoteReference"/>
        </w:rPr>
        <w:footnoteRef/>
      </w:r>
      <w:r w:rsidRPr="00C3019D">
        <w:rPr>
          <w:lang w:val="fr-FR"/>
        </w:rPr>
        <w:t xml:space="preserve"> </w:t>
      </w:r>
      <w:r w:rsidRPr="00037B50">
        <w:rPr>
          <w:lang w:val="fr-FR"/>
        </w:rPr>
        <w:t>Paragraphe 56 du document UNEP/OzL.Pro/ExCom/79/32.</w:t>
      </w:r>
    </w:p>
  </w:footnote>
  <w:footnote w:id="17">
    <w:p w:rsidR="00C75DB1" w:rsidRPr="00C3019D" w:rsidRDefault="00C75DB1" w:rsidP="003F5AFA">
      <w:pPr>
        <w:pStyle w:val="FootnoteText"/>
        <w:rPr>
          <w:lang w:val="fr-FR"/>
        </w:rPr>
      </w:pPr>
      <w:r>
        <w:rPr>
          <w:rStyle w:val="FootnoteReference"/>
        </w:rPr>
        <w:footnoteRef/>
      </w:r>
      <w:r w:rsidRPr="00C3019D">
        <w:rPr>
          <w:lang w:val="fr-FR"/>
        </w:rPr>
        <w:t xml:space="preserve"> </w:t>
      </w:r>
      <w:r w:rsidRPr="00037B50">
        <w:rPr>
          <w:lang w:val="fr-FR"/>
        </w:rPr>
        <w:t>La consommation totale maximum autorisée des substances du Groupe I de l’Annexe C, 1 sera encore réduite de 10 tonnes PAO au plus après l’approbation du plan de secteur de la climatisation domestique dans le cadre de la phase II.</w:t>
      </w:r>
    </w:p>
  </w:footnote>
  <w:footnote w:id="18">
    <w:p w:rsidR="00C75DB1" w:rsidRPr="00C3019D" w:rsidRDefault="00C75DB1" w:rsidP="003C4DF1">
      <w:pPr>
        <w:pStyle w:val="FootnoteText"/>
        <w:rPr>
          <w:lang w:val="fr-FR"/>
        </w:rPr>
      </w:pPr>
      <w:r>
        <w:rPr>
          <w:rStyle w:val="FootnoteReference"/>
        </w:rPr>
        <w:footnoteRef/>
      </w:r>
      <w:r w:rsidRPr="00C3019D">
        <w:rPr>
          <w:lang w:val="fr-FR"/>
        </w:rPr>
        <w:t xml:space="preserve"> </w:t>
      </w:r>
      <w:r w:rsidRPr="003C4DF1">
        <w:rPr>
          <w:lang w:val="fr-FR"/>
        </w:rPr>
        <w:t>Programme d’évaluation des frigorigènes de remplacement AHRI,</w:t>
      </w:r>
      <w:r>
        <w:rPr>
          <w:lang w:val="fr-FR"/>
        </w:rPr>
        <w:t xml:space="preserve"> </w:t>
      </w:r>
      <w:r w:rsidRPr="003C4DF1">
        <w:rPr>
          <w:lang w:val="fr-FR"/>
        </w:rPr>
        <w:t>http://www.ahrinet.org/arep</w:t>
      </w:r>
    </w:p>
  </w:footnote>
  <w:footnote w:id="19">
    <w:p w:rsidR="00C75DB1" w:rsidRPr="00C3019D" w:rsidRDefault="00C75DB1" w:rsidP="00A0166D">
      <w:pPr>
        <w:pStyle w:val="FootnoteText"/>
        <w:rPr>
          <w:lang w:val="fr-FR"/>
        </w:rPr>
      </w:pPr>
      <w:r>
        <w:rPr>
          <w:rStyle w:val="FootnoteReference"/>
        </w:rPr>
        <w:footnoteRef/>
      </w:r>
      <w:r w:rsidRPr="00C3019D">
        <w:rPr>
          <w:lang w:val="fr-FR"/>
        </w:rPr>
        <w:t xml:space="preserve"> </w:t>
      </w:r>
      <w:r w:rsidRPr="003C4DF1">
        <w:rPr>
          <w:lang w:val="fr-FR"/>
        </w:rPr>
        <w:t xml:space="preserve">Abdelaziz 2015 Abdelaziz O, Shrestha S, Munk J, Linkous R, Goetzler W, Guernsey M et Kassuga T, 2015. </w:t>
      </w:r>
      <w:r w:rsidRPr="00C3019D">
        <w:rPr>
          <w:lang w:val="en-CA"/>
        </w:rPr>
        <w:t>“Alternative Refrigerant Evaluation for High-Ambient-Temperature Environments:</w:t>
      </w:r>
      <w:r w:rsidRPr="003C4DF1">
        <w:t xml:space="preserve"> </w:t>
      </w:r>
      <w:r w:rsidRPr="00C3019D">
        <w:rPr>
          <w:lang w:val="en-CA"/>
        </w:rPr>
        <w:t xml:space="preserve">R-22 and R-410A Alternatives for Mini-Split Air Conditioners”, ORNL/TM-2015/536. </w:t>
      </w:r>
      <w:r w:rsidRPr="003C4DF1">
        <w:rPr>
          <w:lang w:val="fr-FR"/>
        </w:rPr>
        <w:t>Consultable à l’adresse suivante : https://www.energy.gov/sites/prod/files/2015/10/f27/bto_pub59157_101515.pdf.</w:t>
      </w:r>
    </w:p>
  </w:footnote>
  <w:footnote w:id="20">
    <w:p w:rsidR="00C75DB1" w:rsidRPr="00C3019D" w:rsidRDefault="00C75DB1" w:rsidP="00A0166D">
      <w:pPr>
        <w:pStyle w:val="FootnoteText"/>
        <w:rPr>
          <w:lang w:val="fr-FR"/>
        </w:rPr>
      </w:pPr>
      <w:r>
        <w:rPr>
          <w:rStyle w:val="FootnoteReference"/>
        </w:rPr>
        <w:footnoteRef/>
      </w:r>
      <w:r w:rsidRPr="00C3019D">
        <w:rPr>
          <w:lang w:val="fr-FR"/>
        </w:rPr>
        <w:t xml:space="preserve"> </w:t>
      </w:r>
      <w:r w:rsidRPr="003C4DF1">
        <w:rPr>
          <w:lang w:val="fr-FR"/>
        </w:rPr>
        <w:t>Rapport du projet PRAHA : https://www.unenvironment.org/resources/report/promoting-lowgwp-</w:t>
      </w:r>
    </w:p>
    <w:p w:rsidR="00C75DB1" w:rsidRPr="003C4DF1" w:rsidRDefault="00C75DB1" w:rsidP="00A0166D">
      <w:pPr>
        <w:pStyle w:val="FootnoteText"/>
      </w:pPr>
      <w:r w:rsidRPr="00C3019D">
        <w:rPr>
          <w:lang w:val="en-CA"/>
        </w:rPr>
        <w:t>refrigerants-air-conditioning-sectors-high-ambient-temperature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fldSimple w:instr=" DOCPROPERTY &quot;Document number&quot;  \* MERGEFORMAT ">
      <w:r w:rsidR="00C3019D">
        <w:t>UNEP/OzL.Pro/ExCom/84/49</w:t>
      </w:r>
    </w:fldSimple>
  </w:p>
  <w:p w:rsidR="00C75DB1" w:rsidRPr="0033525D" w:rsidRDefault="00C75DB1"/>
  <w:p w:rsidR="00C75DB1" w:rsidRPr="0033525D" w:rsidRDefault="00C75DB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pPr>
      <w:jc w:val="right"/>
    </w:pPr>
    <w:fldSimple w:instr=" DOCPROPERTY &quot;Document number&quot;  \* MERGEFORMAT ">
      <w:r w:rsidR="00C3019D">
        <w:t>UNEP/OzL.Pro/ExCom/84/49</w:t>
      </w:r>
    </w:fldSimple>
  </w:p>
  <w:p w:rsidR="00C75DB1" w:rsidRPr="0033525D" w:rsidRDefault="00C75DB1"/>
  <w:p w:rsidR="00C75DB1" w:rsidRPr="0033525D" w:rsidRDefault="00C75D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fldSimple w:instr=" DOCPROPERTY &quot;Document number&quot;  \* MERGEFORMAT ">
      <w:r w:rsidR="00AC0604">
        <w:t>UNEP/OzL.Pro/ExCom/84/49</w:t>
      </w:r>
    </w:fldSimple>
  </w:p>
  <w:p w:rsidR="00C75DB1" w:rsidRDefault="00C75DB1">
    <w:r>
      <w:t>Annexe I</w:t>
    </w:r>
  </w:p>
  <w:p w:rsidR="00C75DB1" w:rsidRPr="0033525D" w:rsidRDefault="00C75DB1"/>
  <w:p w:rsidR="00C75DB1" w:rsidRPr="0033525D" w:rsidRDefault="00C75DB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pPr>
      <w:jc w:val="right"/>
    </w:pPr>
    <w:fldSimple w:instr=" DOCPROPERTY &quot;Document number&quot;  \* MERGEFORMAT ">
      <w:r w:rsidR="00AC0604">
        <w:t>UNEP/OzL.Pro/ExCom/84/49</w:t>
      </w:r>
    </w:fldSimple>
  </w:p>
  <w:p w:rsidR="00C75DB1" w:rsidRDefault="00C75DB1" w:rsidP="00A0166D">
    <w:pPr>
      <w:jc w:val="right"/>
    </w:pPr>
    <w:r>
      <w:t>Annexe I</w:t>
    </w:r>
  </w:p>
  <w:p w:rsidR="00C75DB1" w:rsidRPr="0033525D" w:rsidRDefault="00C75DB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Default="00C75DB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rsidP="001303F8">
    <w:pPr>
      <w:jc w:val="left"/>
    </w:pPr>
    <w:fldSimple w:instr=" DOCPROPERTY &quot;Document number&quot;  \* MERGEFORMAT ">
      <w:r w:rsidR="00AC0604">
        <w:t>UNEP/OzL.Pro/ExCom/84/49</w:t>
      </w:r>
    </w:fldSimple>
  </w:p>
  <w:p w:rsidR="00C75DB1" w:rsidRDefault="00C75DB1" w:rsidP="001303F8">
    <w:pPr>
      <w:jc w:val="left"/>
    </w:pPr>
    <w:r>
      <w:t>Annexe II</w:t>
    </w:r>
  </w:p>
  <w:p w:rsidR="00C75DB1" w:rsidRPr="0033525D" w:rsidRDefault="00C75DB1" w:rsidP="001303F8">
    <w:pPr>
      <w:jc w:val="left"/>
    </w:pPr>
  </w:p>
  <w:p w:rsidR="00C75DB1" w:rsidRPr="0033525D" w:rsidRDefault="00C75DB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Pr="0033525D" w:rsidRDefault="00C17C20" w:rsidP="001303F8">
    <w:pPr>
      <w:jc w:val="right"/>
    </w:pPr>
    <w:fldSimple w:instr=" DOCPROPERTY &quot;Document number&quot;  \* MERGEFORMAT ">
      <w:r w:rsidR="00AC0604">
        <w:t>UNEP/OzL.Pro/ExCom/84/49</w:t>
      </w:r>
    </w:fldSimple>
  </w:p>
  <w:p w:rsidR="00C75DB1" w:rsidRDefault="00C75DB1" w:rsidP="001303F8">
    <w:pPr>
      <w:jc w:val="right"/>
    </w:pPr>
    <w:r>
      <w:t>Annexe II</w:t>
    </w:r>
  </w:p>
  <w:p w:rsidR="00C75DB1" w:rsidRPr="0033525D" w:rsidRDefault="00C75DB1" w:rsidP="001303F8">
    <w:pPr>
      <w:jc w:val="right"/>
    </w:pPr>
  </w:p>
  <w:p w:rsidR="00C75DB1" w:rsidRPr="0033525D" w:rsidRDefault="00C75DB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B1" w:rsidRDefault="00C75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DD606BC"/>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FB42AF0"/>
    <w:multiLevelType w:val="hybridMultilevel"/>
    <w:tmpl w:val="AF8620BA"/>
    <w:lvl w:ilvl="0" w:tplc="0EC61A3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30864"/>
    <w:multiLevelType w:val="hybridMultilevel"/>
    <w:tmpl w:val="7A1858A8"/>
    <w:lvl w:ilvl="0" w:tplc="AA32C49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BA84D44"/>
    <w:multiLevelType w:val="hybridMultilevel"/>
    <w:tmpl w:val="BE148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AE66E8"/>
    <w:multiLevelType w:val="hybridMultilevel"/>
    <w:tmpl w:val="0E6A7F92"/>
    <w:lvl w:ilvl="0" w:tplc="FEF491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457D9"/>
    <w:multiLevelType w:val="hybridMultilevel"/>
    <w:tmpl w:val="AA7491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1"/>
  </w:num>
  <w:num w:numId="20">
    <w:abstractNumId w:val="14"/>
  </w:num>
  <w:num w:numId="21">
    <w:abstractNumId w:val="20"/>
  </w:num>
  <w:num w:numId="22">
    <w:abstractNumId w:val="11"/>
  </w:num>
  <w:num w:numId="23">
    <w:abstractNumId w:val="18"/>
  </w:num>
  <w:num w:numId="24">
    <w:abstractNumId w:val="15"/>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255CDE"/>
    <w:rsid w:val="00000FED"/>
    <w:rsid w:val="0000434E"/>
    <w:rsid w:val="000116BF"/>
    <w:rsid w:val="00012563"/>
    <w:rsid w:val="00017C3F"/>
    <w:rsid w:val="000211A9"/>
    <w:rsid w:val="00025069"/>
    <w:rsid w:val="00026013"/>
    <w:rsid w:val="00031260"/>
    <w:rsid w:val="0003316B"/>
    <w:rsid w:val="00034E3C"/>
    <w:rsid w:val="0003676B"/>
    <w:rsid w:val="0003681A"/>
    <w:rsid w:val="00037B50"/>
    <w:rsid w:val="00042961"/>
    <w:rsid w:val="00043949"/>
    <w:rsid w:val="00052C5C"/>
    <w:rsid w:val="00061EC2"/>
    <w:rsid w:val="00063731"/>
    <w:rsid w:val="00074C58"/>
    <w:rsid w:val="00080ED0"/>
    <w:rsid w:val="00084302"/>
    <w:rsid w:val="00085B8F"/>
    <w:rsid w:val="000872AF"/>
    <w:rsid w:val="00090481"/>
    <w:rsid w:val="00090E88"/>
    <w:rsid w:val="000917FA"/>
    <w:rsid w:val="00092009"/>
    <w:rsid w:val="00093F0D"/>
    <w:rsid w:val="000A6C26"/>
    <w:rsid w:val="000A72DE"/>
    <w:rsid w:val="000B2C68"/>
    <w:rsid w:val="000C0C35"/>
    <w:rsid w:val="000C703C"/>
    <w:rsid w:val="000D1C40"/>
    <w:rsid w:val="000D52A4"/>
    <w:rsid w:val="000E07BC"/>
    <w:rsid w:val="000E33B5"/>
    <w:rsid w:val="000E3610"/>
    <w:rsid w:val="000E59CB"/>
    <w:rsid w:val="000F1757"/>
    <w:rsid w:val="000F1CD4"/>
    <w:rsid w:val="000F4103"/>
    <w:rsid w:val="000F70A7"/>
    <w:rsid w:val="00100677"/>
    <w:rsid w:val="00101C05"/>
    <w:rsid w:val="0011040A"/>
    <w:rsid w:val="0011176A"/>
    <w:rsid w:val="00113CCA"/>
    <w:rsid w:val="0012198E"/>
    <w:rsid w:val="00122F25"/>
    <w:rsid w:val="001303F8"/>
    <w:rsid w:val="00131041"/>
    <w:rsid w:val="00132C29"/>
    <w:rsid w:val="00134CD5"/>
    <w:rsid w:val="00135980"/>
    <w:rsid w:val="00137F05"/>
    <w:rsid w:val="00151D97"/>
    <w:rsid w:val="00162C8F"/>
    <w:rsid w:val="00164719"/>
    <w:rsid w:val="00166FC4"/>
    <w:rsid w:val="001677AC"/>
    <w:rsid w:val="00174745"/>
    <w:rsid w:val="001804EA"/>
    <w:rsid w:val="00183A8F"/>
    <w:rsid w:val="00190A61"/>
    <w:rsid w:val="001974FE"/>
    <w:rsid w:val="001A0831"/>
    <w:rsid w:val="001A3342"/>
    <w:rsid w:val="001A3E3D"/>
    <w:rsid w:val="001A5EE3"/>
    <w:rsid w:val="001A7049"/>
    <w:rsid w:val="001B1D88"/>
    <w:rsid w:val="001B1E40"/>
    <w:rsid w:val="001B3648"/>
    <w:rsid w:val="001B6487"/>
    <w:rsid w:val="001C18EE"/>
    <w:rsid w:val="001C3C80"/>
    <w:rsid w:val="001C764E"/>
    <w:rsid w:val="001C7FF0"/>
    <w:rsid w:val="001D45ED"/>
    <w:rsid w:val="001E1052"/>
    <w:rsid w:val="001E1160"/>
    <w:rsid w:val="001E21B1"/>
    <w:rsid w:val="001E2F93"/>
    <w:rsid w:val="001E61E5"/>
    <w:rsid w:val="001F1E0E"/>
    <w:rsid w:val="001F2159"/>
    <w:rsid w:val="00213B82"/>
    <w:rsid w:val="00214863"/>
    <w:rsid w:val="00214F2C"/>
    <w:rsid w:val="002156B4"/>
    <w:rsid w:val="0021584D"/>
    <w:rsid w:val="00222AEE"/>
    <w:rsid w:val="00231D7D"/>
    <w:rsid w:val="002405D5"/>
    <w:rsid w:val="00243C8D"/>
    <w:rsid w:val="00250B64"/>
    <w:rsid w:val="00252F3E"/>
    <w:rsid w:val="00253222"/>
    <w:rsid w:val="00255CDE"/>
    <w:rsid w:val="002573AF"/>
    <w:rsid w:val="00262847"/>
    <w:rsid w:val="002628E4"/>
    <w:rsid w:val="00263C77"/>
    <w:rsid w:val="00264ACF"/>
    <w:rsid w:val="00266332"/>
    <w:rsid w:val="002663B3"/>
    <w:rsid w:val="00270A25"/>
    <w:rsid w:val="0027602A"/>
    <w:rsid w:val="00280C49"/>
    <w:rsid w:val="00281BB2"/>
    <w:rsid w:val="002860CF"/>
    <w:rsid w:val="002866A1"/>
    <w:rsid w:val="002906BC"/>
    <w:rsid w:val="00296445"/>
    <w:rsid w:val="002A38C7"/>
    <w:rsid w:val="002B08D9"/>
    <w:rsid w:val="002B2419"/>
    <w:rsid w:val="002B72E9"/>
    <w:rsid w:val="002C3BCD"/>
    <w:rsid w:val="002C7998"/>
    <w:rsid w:val="002D72FC"/>
    <w:rsid w:val="002E1672"/>
    <w:rsid w:val="002F120D"/>
    <w:rsid w:val="002F1E53"/>
    <w:rsid w:val="002F263D"/>
    <w:rsid w:val="002F2CAA"/>
    <w:rsid w:val="00300194"/>
    <w:rsid w:val="0030052C"/>
    <w:rsid w:val="00303525"/>
    <w:rsid w:val="0030397D"/>
    <w:rsid w:val="00304C75"/>
    <w:rsid w:val="003055AE"/>
    <w:rsid w:val="00306001"/>
    <w:rsid w:val="003110EE"/>
    <w:rsid w:val="00314222"/>
    <w:rsid w:val="003306E1"/>
    <w:rsid w:val="003320E4"/>
    <w:rsid w:val="0033525D"/>
    <w:rsid w:val="003414F3"/>
    <w:rsid w:val="00341A3D"/>
    <w:rsid w:val="003420D5"/>
    <w:rsid w:val="003461A3"/>
    <w:rsid w:val="00346674"/>
    <w:rsid w:val="003512CB"/>
    <w:rsid w:val="00353650"/>
    <w:rsid w:val="0035613E"/>
    <w:rsid w:val="00361A00"/>
    <w:rsid w:val="00363C93"/>
    <w:rsid w:val="00363EE9"/>
    <w:rsid w:val="0036427C"/>
    <w:rsid w:val="00366505"/>
    <w:rsid w:val="00374459"/>
    <w:rsid w:val="00375A29"/>
    <w:rsid w:val="00376128"/>
    <w:rsid w:val="0037742E"/>
    <w:rsid w:val="00377D56"/>
    <w:rsid w:val="0038203E"/>
    <w:rsid w:val="0038245A"/>
    <w:rsid w:val="00382835"/>
    <w:rsid w:val="003840E6"/>
    <w:rsid w:val="00385613"/>
    <w:rsid w:val="00385CFC"/>
    <w:rsid w:val="003919B9"/>
    <w:rsid w:val="0039337A"/>
    <w:rsid w:val="003A3189"/>
    <w:rsid w:val="003A3AC1"/>
    <w:rsid w:val="003A3CA7"/>
    <w:rsid w:val="003B2C73"/>
    <w:rsid w:val="003B33BD"/>
    <w:rsid w:val="003B569D"/>
    <w:rsid w:val="003B5BC6"/>
    <w:rsid w:val="003B6B2E"/>
    <w:rsid w:val="003C061F"/>
    <w:rsid w:val="003C0C29"/>
    <w:rsid w:val="003C3C0E"/>
    <w:rsid w:val="003C4DF1"/>
    <w:rsid w:val="003C645A"/>
    <w:rsid w:val="003C6C80"/>
    <w:rsid w:val="003D1E88"/>
    <w:rsid w:val="003D3E95"/>
    <w:rsid w:val="003D4FAC"/>
    <w:rsid w:val="003E7906"/>
    <w:rsid w:val="003F126C"/>
    <w:rsid w:val="003F3C50"/>
    <w:rsid w:val="003F4162"/>
    <w:rsid w:val="003F5AFA"/>
    <w:rsid w:val="003F5FBE"/>
    <w:rsid w:val="0040478F"/>
    <w:rsid w:val="00406A6A"/>
    <w:rsid w:val="00406B22"/>
    <w:rsid w:val="00412D03"/>
    <w:rsid w:val="00413938"/>
    <w:rsid w:val="00414A64"/>
    <w:rsid w:val="004174B4"/>
    <w:rsid w:val="00426109"/>
    <w:rsid w:val="004328A7"/>
    <w:rsid w:val="00434C74"/>
    <w:rsid w:val="0043767D"/>
    <w:rsid w:val="00442B8E"/>
    <w:rsid w:val="0044486E"/>
    <w:rsid w:val="00455615"/>
    <w:rsid w:val="00456EB4"/>
    <w:rsid w:val="00464A3D"/>
    <w:rsid w:val="004669F3"/>
    <w:rsid w:val="004718F3"/>
    <w:rsid w:val="00472458"/>
    <w:rsid w:val="004731B8"/>
    <w:rsid w:val="00475040"/>
    <w:rsid w:val="00482ADD"/>
    <w:rsid w:val="0048358C"/>
    <w:rsid w:val="0048415A"/>
    <w:rsid w:val="00485BD8"/>
    <w:rsid w:val="00493D40"/>
    <w:rsid w:val="004967B6"/>
    <w:rsid w:val="004A118B"/>
    <w:rsid w:val="004A504B"/>
    <w:rsid w:val="004A6911"/>
    <w:rsid w:val="004B0377"/>
    <w:rsid w:val="004B27FC"/>
    <w:rsid w:val="004B33E1"/>
    <w:rsid w:val="004B54E0"/>
    <w:rsid w:val="004B7384"/>
    <w:rsid w:val="004C4269"/>
    <w:rsid w:val="004D6236"/>
    <w:rsid w:val="004D7F90"/>
    <w:rsid w:val="004E1676"/>
    <w:rsid w:val="004E16F9"/>
    <w:rsid w:val="004E1A94"/>
    <w:rsid w:val="004E4441"/>
    <w:rsid w:val="004E4DBB"/>
    <w:rsid w:val="004E4E41"/>
    <w:rsid w:val="004E58BD"/>
    <w:rsid w:val="004E7F9C"/>
    <w:rsid w:val="004F0C1D"/>
    <w:rsid w:val="004F18A7"/>
    <w:rsid w:val="004F3493"/>
    <w:rsid w:val="004F3EA3"/>
    <w:rsid w:val="004F5143"/>
    <w:rsid w:val="00503489"/>
    <w:rsid w:val="00512B09"/>
    <w:rsid w:val="00515A47"/>
    <w:rsid w:val="00515B2F"/>
    <w:rsid w:val="00515CE8"/>
    <w:rsid w:val="00525C0E"/>
    <w:rsid w:val="00532014"/>
    <w:rsid w:val="00533796"/>
    <w:rsid w:val="005351B3"/>
    <w:rsid w:val="005502B6"/>
    <w:rsid w:val="00555D75"/>
    <w:rsid w:val="00555F22"/>
    <w:rsid w:val="00560DF0"/>
    <w:rsid w:val="005620F5"/>
    <w:rsid w:val="0056759C"/>
    <w:rsid w:val="0057769B"/>
    <w:rsid w:val="00582A19"/>
    <w:rsid w:val="00584F96"/>
    <w:rsid w:val="00587078"/>
    <w:rsid w:val="00587238"/>
    <w:rsid w:val="0059513E"/>
    <w:rsid w:val="005A4105"/>
    <w:rsid w:val="005A4390"/>
    <w:rsid w:val="005A72FA"/>
    <w:rsid w:val="005B0315"/>
    <w:rsid w:val="005B48FF"/>
    <w:rsid w:val="005B6FC5"/>
    <w:rsid w:val="005C78FC"/>
    <w:rsid w:val="005E19FB"/>
    <w:rsid w:val="005E3FF0"/>
    <w:rsid w:val="005F0A4D"/>
    <w:rsid w:val="005F136A"/>
    <w:rsid w:val="005F2754"/>
    <w:rsid w:val="005F51EF"/>
    <w:rsid w:val="00604C15"/>
    <w:rsid w:val="00605AC1"/>
    <w:rsid w:val="00612C08"/>
    <w:rsid w:val="00614BE0"/>
    <w:rsid w:val="006158D5"/>
    <w:rsid w:val="00621396"/>
    <w:rsid w:val="00625D83"/>
    <w:rsid w:val="00633C46"/>
    <w:rsid w:val="0063502E"/>
    <w:rsid w:val="006352EC"/>
    <w:rsid w:val="00651F5B"/>
    <w:rsid w:val="006555BA"/>
    <w:rsid w:val="00655E1D"/>
    <w:rsid w:val="006623E7"/>
    <w:rsid w:val="00662B80"/>
    <w:rsid w:val="006638B9"/>
    <w:rsid w:val="0066779E"/>
    <w:rsid w:val="0067019B"/>
    <w:rsid w:val="00670F6C"/>
    <w:rsid w:val="00675795"/>
    <w:rsid w:val="0067700C"/>
    <w:rsid w:val="00680766"/>
    <w:rsid w:val="006809F8"/>
    <w:rsid w:val="006830FA"/>
    <w:rsid w:val="006833D5"/>
    <w:rsid w:val="0068502F"/>
    <w:rsid w:val="006852C7"/>
    <w:rsid w:val="006852CE"/>
    <w:rsid w:val="0069543E"/>
    <w:rsid w:val="006A5058"/>
    <w:rsid w:val="006A531F"/>
    <w:rsid w:val="006A56BE"/>
    <w:rsid w:val="006B411B"/>
    <w:rsid w:val="006C1727"/>
    <w:rsid w:val="006C32FD"/>
    <w:rsid w:val="006C39CE"/>
    <w:rsid w:val="006D0FCC"/>
    <w:rsid w:val="006D1D2D"/>
    <w:rsid w:val="006D4907"/>
    <w:rsid w:val="006D54FC"/>
    <w:rsid w:val="006E1FC3"/>
    <w:rsid w:val="006E3BA6"/>
    <w:rsid w:val="006E5A88"/>
    <w:rsid w:val="006F443A"/>
    <w:rsid w:val="00700AA6"/>
    <w:rsid w:val="00705A24"/>
    <w:rsid w:val="0070616B"/>
    <w:rsid w:val="00706FDA"/>
    <w:rsid w:val="00711F9A"/>
    <w:rsid w:val="00713810"/>
    <w:rsid w:val="00721C30"/>
    <w:rsid w:val="007303A5"/>
    <w:rsid w:val="00730B3E"/>
    <w:rsid w:val="00732221"/>
    <w:rsid w:val="007327F3"/>
    <w:rsid w:val="00732E91"/>
    <w:rsid w:val="0073420B"/>
    <w:rsid w:val="00742531"/>
    <w:rsid w:val="00745D58"/>
    <w:rsid w:val="0074760E"/>
    <w:rsid w:val="00754ABA"/>
    <w:rsid w:val="00757FF3"/>
    <w:rsid w:val="00763946"/>
    <w:rsid w:val="007642B1"/>
    <w:rsid w:val="00770D92"/>
    <w:rsid w:val="00774574"/>
    <w:rsid w:val="007802D7"/>
    <w:rsid w:val="00781153"/>
    <w:rsid w:val="00791399"/>
    <w:rsid w:val="007A1546"/>
    <w:rsid w:val="007A228C"/>
    <w:rsid w:val="007A368E"/>
    <w:rsid w:val="007A5868"/>
    <w:rsid w:val="007B04CE"/>
    <w:rsid w:val="007B6871"/>
    <w:rsid w:val="007B7A2F"/>
    <w:rsid w:val="007C227C"/>
    <w:rsid w:val="007C3D33"/>
    <w:rsid w:val="007C5045"/>
    <w:rsid w:val="007D294A"/>
    <w:rsid w:val="007D47D2"/>
    <w:rsid w:val="007D6EC0"/>
    <w:rsid w:val="007D7E1D"/>
    <w:rsid w:val="007E0F11"/>
    <w:rsid w:val="007E6E7E"/>
    <w:rsid w:val="007F11A0"/>
    <w:rsid w:val="007F561E"/>
    <w:rsid w:val="007F79C1"/>
    <w:rsid w:val="008002FA"/>
    <w:rsid w:val="008005A1"/>
    <w:rsid w:val="008010AB"/>
    <w:rsid w:val="00812D22"/>
    <w:rsid w:val="008177F7"/>
    <w:rsid w:val="00831979"/>
    <w:rsid w:val="00835057"/>
    <w:rsid w:val="00835BAE"/>
    <w:rsid w:val="0084051B"/>
    <w:rsid w:val="00842FB3"/>
    <w:rsid w:val="008504D0"/>
    <w:rsid w:val="00851352"/>
    <w:rsid w:val="00863230"/>
    <w:rsid w:val="00866650"/>
    <w:rsid w:val="008717D8"/>
    <w:rsid w:val="0087215C"/>
    <w:rsid w:val="008725F9"/>
    <w:rsid w:val="008768DA"/>
    <w:rsid w:val="008772D1"/>
    <w:rsid w:val="00880B96"/>
    <w:rsid w:val="00880E35"/>
    <w:rsid w:val="00883BB0"/>
    <w:rsid w:val="008875FE"/>
    <w:rsid w:val="00887F8E"/>
    <w:rsid w:val="00894168"/>
    <w:rsid w:val="00896234"/>
    <w:rsid w:val="00897E43"/>
    <w:rsid w:val="008A0329"/>
    <w:rsid w:val="008A4A9C"/>
    <w:rsid w:val="008A653F"/>
    <w:rsid w:val="008B09CF"/>
    <w:rsid w:val="008B61CF"/>
    <w:rsid w:val="008B6CA6"/>
    <w:rsid w:val="008C0FA6"/>
    <w:rsid w:val="008C5738"/>
    <w:rsid w:val="008C7EAD"/>
    <w:rsid w:val="008D0CFE"/>
    <w:rsid w:val="008D3375"/>
    <w:rsid w:val="008D54C2"/>
    <w:rsid w:val="008D6152"/>
    <w:rsid w:val="008D6DD1"/>
    <w:rsid w:val="008E1547"/>
    <w:rsid w:val="008F0F81"/>
    <w:rsid w:val="008F27BF"/>
    <w:rsid w:val="008F4015"/>
    <w:rsid w:val="008F78B6"/>
    <w:rsid w:val="008F7C7E"/>
    <w:rsid w:val="009022FF"/>
    <w:rsid w:val="009039B9"/>
    <w:rsid w:val="00905B67"/>
    <w:rsid w:val="009142EC"/>
    <w:rsid w:val="009154C3"/>
    <w:rsid w:val="00916E47"/>
    <w:rsid w:val="00921CE5"/>
    <w:rsid w:val="00921E32"/>
    <w:rsid w:val="00923540"/>
    <w:rsid w:val="0092457A"/>
    <w:rsid w:val="00926767"/>
    <w:rsid w:val="00930439"/>
    <w:rsid w:val="00934403"/>
    <w:rsid w:val="009361D5"/>
    <w:rsid w:val="009362BC"/>
    <w:rsid w:val="009428A4"/>
    <w:rsid w:val="00942CFA"/>
    <w:rsid w:val="009459F8"/>
    <w:rsid w:val="009501FE"/>
    <w:rsid w:val="0095320A"/>
    <w:rsid w:val="009607D1"/>
    <w:rsid w:val="00962727"/>
    <w:rsid w:val="00963A9A"/>
    <w:rsid w:val="009659F4"/>
    <w:rsid w:val="009709B0"/>
    <w:rsid w:val="00970D60"/>
    <w:rsid w:val="00974E5E"/>
    <w:rsid w:val="0098048A"/>
    <w:rsid w:val="00983281"/>
    <w:rsid w:val="009834AE"/>
    <w:rsid w:val="009960E5"/>
    <w:rsid w:val="009A22BC"/>
    <w:rsid w:val="009A3A64"/>
    <w:rsid w:val="009A7ADC"/>
    <w:rsid w:val="009B2191"/>
    <w:rsid w:val="009B3179"/>
    <w:rsid w:val="009B5815"/>
    <w:rsid w:val="009C19B7"/>
    <w:rsid w:val="009C3950"/>
    <w:rsid w:val="009C4D1D"/>
    <w:rsid w:val="009D7C12"/>
    <w:rsid w:val="009D7C51"/>
    <w:rsid w:val="009E134F"/>
    <w:rsid w:val="009E196C"/>
    <w:rsid w:val="009E6FA4"/>
    <w:rsid w:val="009F36BF"/>
    <w:rsid w:val="00A0166D"/>
    <w:rsid w:val="00A07469"/>
    <w:rsid w:val="00A111B6"/>
    <w:rsid w:val="00A1290A"/>
    <w:rsid w:val="00A2547B"/>
    <w:rsid w:val="00A26D27"/>
    <w:rsid w:val="00A3231C"/>
    <w:rsid w:val="00A34639"/>
    <w:rsid w:val="00A34898"/>
    <w:rsid w:val="00A3524D"/>
    <w:rsid w:val="00A36BE1"/>
    <w:rsid w:val="00A376EE"/>
    <w:rsid w:val="00A41D5C"/>
    <w:rsid w:val="00A42A99"/>
    <w:rsid w:val="00A5151A"/>
    <w:rsid w:val="00A56465"/>
    <w:rsid w:val="00A57E0A"/>
    <w:rsid w:val="00A643E0"/>
    <w:rsid w:val="00A65857"/>
    <w:rsid w:val="00A669E7"/>
    <w:rsid w:val="00A67DE3"/>
    <w:rsid w:val="00A76538"/>
    <w:rsid w:val="00A8167C"/>
    <w:rsid w:val="00A81DEB"/>
    <w:rsid w:val="00A823F6"/>
    <w:rsid w:val="00A85146"/>
    <w:rsid w:val="00A85FC7"/>
    <w:rsid w:val="00A917AD"/>
    <w:rsid w:val="00A93BBA"/>
    <w:rsid w:val="00A96DF8"/>
    <w:rsid w:val="00AA0A89"/>
    <w:rsid w:val="00AA6429"/>
    <w:rsid w:val="00AA66CB"/>
    <w:rsid w:val="00AA6C6B"/>
    <w:rsid w:val="00AC01AA"/>
    <w:rsid w:val="00AC0604"/>
    <w:rsid w:val="00AC09B1"/>
    <w:rsid w:val="00AC4F72"/>
    <w:rsid w:val="00AC570B"/>
    <w:rsid w:val="00AC7E57"/>
    <w:rsid w:val="00AD0459"/>
    <w:rsid w:val="00AD779C"/>
    <w:rsid w:val="00AE2AF7"/>
    <w:rsid w:val="00AE3A42"/>
    <w:rsid w:val="00AE59D8"/>
    <w:rsid w:val="00AE73C8"/>
    <w:rsid w:val="00AE77AA"/>
    <w:rsid w:val="00AE7FC4"/>
    <w:rsid w:val="00AF2FA5"/>
    <w:rsid w:val="00AF4A6E"/>
    <w:rsid w:val="00AF5CBF"/>
    <w:rsid w:val="00AF741A"/>
    <w:rsid w:val="00B01997"/>
    <w:rsid w:val="00B01ADB"/>
    <w:rsid w:val="00B020DC"/>
    <w:rsid w:val="00B03192"/>
    <w:rsid w:val="00B03A24"/>
    <w:rsid w:val="00B04161"/>
    <w:rsid w:val="00B056F9"/>
    <w:rsid w:val="00B10048"/>
    <w:rsid w:val="00B11E3D"/>
    <w:rsid w:val="00B12452"/>
    <w:rsid w:val="00B16C06"/>
    <w:rsid w:val="00B17E82"/>
    <w:rsid w:val="00B36687"/>
    <w:rsid w:val="00B43195"/>
    <w:rsid w:val="00B43DBB"/>
    <w:rsid w:val="00B4575A"/>
    <w:rsid w:val="00B575BA"/>
    <w:rsid w:val="00B62B6D"/>
    <w:rsid w:val="00B65314"/>
    <w:rsid w:val="00B7285D"/>
    <w:rsid w:val="00B72C75"/>
    <w:rsid w:val="00B76429"/>
    <w:rsid w:val="00B86A29"/>
    <w:rsid w:val="00B91D3F"/>
    <w:rsid w:val="00B956D4"/>
    <w:rsid w:val="00B97446"/>
    <w:rsid w:val="00BA7432"/>
    <w:rsid w:val="00BB5D7D"/>
    <w:rsid w:val="00BB78EF"/>
    <w:rsid w:val="00BC050A"/>
    <w:rsid w:val="00BC1AA0"/>
    <w:rsid w:val="00BC2495"/>
    <w:rsid w:val="00BC276F"/>
    <w:rsid w:val="00BC7A0E"/>
    <w:rsid w:val="00BC7EB9"/>
    <w:rsid w:val="00BD095D"/>
    <w:rsid w:val="00BD2643"/>
    <w:rsid w:val="00BD26B4"/>
    <w:rsid w:val="00BD427D"/>
    <w:rsid w:val="00BD56B1"/>
    <w:rsid w:val="00BD6558"/>
    <w:rsid w:val="00BF18E8"/>
    <w:rsid w:val="00BF3022"/>
    <w:rsid w:val="00BF3214"/>
    <w:rsid w:val="00BF5573"/>
    <w:rsid w:val="00C03F33"/>
    <w:rsid w:val="00C104A8"/>
    <w:rsid w:val="00C15867"/>
    <w:rsid w:val="00C17C20"/>
    <w:rsid w:val="00C21692"/>
    <w:rsid w:val="00C2296D"/>
    <w:rsid w:val="00C22A32"/>
    <w:rsid w:val="00C23155"/>
    <w:rsid w:val="00C23826"/>
    <w:rsid w:val="00C247DB"/>
    <w:rsid w:val="00C27B42"/>
    <w:rsid w:val="00C3019D"/>
    <w:rsid w:val="00C40C41"/>
    <w:rsid w:val="00C436C0"/>
    <w:rsid w:val="00C45885"/>
    <w:rsid w:val="00C4755D"/>
    <w:rsid w:val="00C50F22"/>
    <w:rsid w:val="00C53019"/>
    <w:rsid w:val="00C55303"/>
    <w:rsid w:val="00C574F9"/>
    <w:rsid w:val="00C57971"/>
    <w:rsid w:val="00C6316A"/>
    <w:rsid w:val="00C65BD7"/>
    <w:rsid w:val="00C7168E"/>
    <w:rsid w:val="00C7482B"/>
    <w:rsid w:val="00C74FD0"/>
    <w:rsid w:val="00C75DB1"/>
    <w:rsid w:val="00C76BA4"/>
    <w:rsid w:val="00C83A48"/>
    <w:rsid w:val="00C85865"/>
    <w:rsid w:val="00C85E85"/>
    <w:rsid w:val="00C907EB"/>
    <w:rsid w:val="00C9190C"/>
    <w:rsid w:val="00C94335"/>
    <w:rsid w:val="00C964D6"/>
    <w:rsid w:val="00CA2EAE"/>
    <w:rsid w:val="00CA3727"/>
    <w:rsid w:val="00CA4AC1"/>
    <w:rsid w:val="00CA5D80"/>
    <w:rsid w:val="00CA61AE"/>
    <w:rsid w:val="00CA7E6A"/>
    <w:rsid w:val="00CB0316"/>
    <w:rsid w:val="00CB0B11"/>
    <w:rsid w:val="00CB3DF7"/>
    <w:rsid w:val="00CB5354"/>
    <w:rsid w:val="00CC299E"/>
    <w:rsid w:val="00CC53C9"/>
    <w:rsid w:val="00CC6236"/>
    <w:rsid w:val="00CC65F4"/>
    <w:rsid w:val="00CC683B"/>
    <w:rsid w:val="00CC6A14"/>
    <w:rsid w:val="00CC70A3"/>
    <w:rsid w:val="00CD1F56"/>
    <w:rsid w:val="00CD2328"/>
    <w:rsid w:val="00CD4442"/>
    <w:rsid w:val="00CD53C3"/>
    <w:rsid w:val="00CD574E"/>
    <w:rsid w:val="00CD7ED2"/>
    <w:rsid w:val="00CE25B4"/>
    <w:rsid w:val="00CE3752"/>
    <w:rsid w:val="00CE4C22"/>
    <w:rsid w:val="00CF2768"/>
    <w:rsid w:val="00CF41EC"/>
    <w:rsid w:val="00CF476D"/>
    <w:rsid w:val="00CF5D04"/>
    <w:rsid w:val="00D00388"/>
    <w:rsid w:val="00D01467"/>
    <w:rsid w:val="00D04DE4"/>
    <w:rsid w:val="00D0546C"/>
    <w:rsid w:val="00D063F1"/>
    <w:rsid w:val="00D13CD0"/>
    <w:rsid w:val="00D14F22"/>
    <w:rsid w:val="00D173EA"/>
    <w:rsid w:val="00D22563"/>
    <w:rsid w:val="00D32819"/>
    <w:rsid w:val="00D435D7"/>
    <w:rsid w:val="00D439F2"/>
    <w:rsid w:val="00D45226"/>
    <w:rsid w:val="00D46292"/>
    <w:rsid w:val="00D4741C"/>
    <w:rsid w:val="00D47646"/>
    <w:rsid w:val="00D51B89"/>
    <w:rsid w:val="00D56BC7"/>
    <w:rsid w:val="00D57918"/>
    <w:rsid w:val="00D62899"/>
    <w:rsid w:val="00D66982"/>
    <w:rsid w:val="00D70CA8"/>
    <w:rsid w:val="00D70E4A"/>
    <w:rsid w:val="00D72AA3"/>
    <w:rsid w:val="00D72C3E"/>
    <w:rsid w:val="00D732CD"/>
    <w:rsid w:val="00D73DC6"/>
    <w:rsid w:val="00D746AF"/>
    <w:rsid w:val="00D74C1A"/>
    <w:rsid w:val="00D754C1"/>
    <w:rsid w:val="00D76723"/>
    <w:rsid w:val="00D77393"/>
    <w:rsid w:val="00D77991"/>
    <w:rsid w:val="00D77A35"/>
    <w:rsid w:val="00D81B3E"/>
    <w:rsid w:val="00D90C70"/>
    <w:rsid w:val="00D90E49"/>
    <w:rsid w:val="00D96ADE"/>
    <w:rsid w:val="00DA0CE2"/>
    <w:rsid w:val="00DA37D0"/>
    <w:rsid w:val="00DA521B"/>
    <w:rsid w:val="00DB0C56"/>
    <w:rsid w:val="00DB1EA4"/>
    <w:rsid w:val="00DC6A10"/>
    <w:rsid w:val="00DD07BD"/>
    <w:rsid w:val="00DD3C6A"/>
    <w:rsid w:val="00DE144A"/>
    <w:rsid w:val="00DE3193"/>
    <w:rsid w:val="00DE657E"/>
    <w:rsid w:val="00DE70A8"/>
    <w:rsid w:val="00DF02B9"/>
    <w:rsid w:val="00DF4704"/>
    <w:rsid w:val="00E024AA"/>
    <w:rsid w:val="00E02666"/>
    <w:rsid w:val="00E11652"/>
    <w:rsid w:val="00E117A7"/>
    <w:rsid w:val="00E12D99"/>
    <w:rsid w:val="00E13576"/>
    <w:rsid w:val="00E1556A"/>
    <w:rsid w:val="00E22A4C"/>
    <w:rsid w:val="00E250F1"/>
    <w:rsid w:val="00E26C6E"/>
    <w:rsid w:val="00E274F1"/>
    <w:rsid w:val="00E3550D"/>
    <w:rsid w:val="00E41335"/>
    <w:rsid w:val="00E51975"/>
    <w:rsid w:val="00E537A4"/>
    <w:rsid w:val="00E57F3D"/>
    <w:rsid w:val="00E614E0"/>
    <w:rsid w:val="00E6300B"/>
    <w:rsid w:val="00E65D50"/>
    <w:rsid w:val="00E70B5B"/>
    <w:rsid w:val="00E73384"/>
    <w:rsid w:val="00E73E82"/>
    <w:rsid w:val="00E73F7F"/>
    <w:rsid w:val="00E8082E"/>
    <w:rsid w:val="00E80E63"/>
    <w:rsid w:val="00E82E67"/>
    <w:rsid w:val="00E85409"/>
    <w:rsid w:val="00E9055D"/>
    <w:rsid w:val="00E92A0F"/>
    <w:rsid w:val="00EA28FB"/>
    <w:rsid w:val="00EA429F"/>
    <w:rsid w:val="00EA4F9E"/>
    <w:rsid w:val="00EA63CA"/>
    <w:rsid w:val="00EA6D3B"/>
    <w:rsid w:val="00EB00AD"/>
    <w:rsid w:val="00EB0CD6"/>
    <w:rsid w:val="00EB136C"/>
    <w:rsid w:val="00EB1B12"/>
    <w:rsid w:val="00EB480E"/>
    <w:rsid w:val="00EB5EC6"/>
    <w:rsid w:val="00EB7FC9"/>
    <w:rsid w:val="00EC5465"/>
    <w:rsid w:val="00ED27E8"/>
    <w:rsid w:val="00ED330F"/>
    <w:rsid w:val="00ED3B39"/>
    <w:rsid w:val="00ED7137"/>
    <w:rsid w:val="00ED7EB2"/>
    <w:rsid w:val="00EE4583"/>
    <w:rsid w:val="00EE66BA"/>
    <w:rsid w:val="00EE6A4C"/>
    <w:rsid w:val="00EF3B31"/>
    <w:rsid w:val="00EF711B"/>
    <w:rsid w:val="00F019DC"/>
    <w:rsid w:val="00F07A58"/>
    <w:rsid w:val="00F12D45"/>
    <w:rsid w:val="00F17505"/>
    <w:rsid w:val="00F17976"/>
    <w:rsid w:val="00F21088"/>
    <w:rsid w:val="00F268BE"/>
    <w:rsid w:val="00F26E2B"/>
    <w:rsid w:val="00F327E7"/>
    <w:rsid w:val="00F35746"/>
    <w:rsid w:val="00F35DDC"/>
    <w:rsid w:val="00F40BF2"/>
    <w:rsid w:val="00F432EA"/>
    <w:rsid w:val="00F447C7"/>
    <w:rsid w:val="00F44B57"/>
    <w:rsid w:val="00F5211B"/>
    <w:rsid w:val="00F554A9"/>
    <w:rsid w:val="00F64C5B"/>
    <w:rsid w:val="00F6625A"/>
    <w:rsid w:val="00F716FD"/>
    <w:rsid w:val="00F74CE5"/>
    <w:rsid w:val="00F77274"/>
    <w:rsid w:val="00F80355"/>
    <w:rsid w:val="00F87C43"/>
    <w:rsid w:val="00FA28F7"/>
    <w:rsid w:val="00FA5B80"/>
    <w:rsid w:val="00FB02DD"/>
    <w:rsid w:val="00FB0B70"/>
    <w:rsid w:val="00FB0C81"/>
    <w:rsid w:val="00FC2200"/>
    <w:rsid w:val="00FC2540"/>
    <w:rsid w:val="00FC2978"/>
    <w:rsid w:val="00FC4CBC"/>
    <w:rsid w:val="00FC7795"/>
    <w:rsid w:val="00FD16F9"/>
    <w:rsid w:val="00FD437A"/>
    <w:rsid w:val="00FE1398"/>
    <w:rsid w:val="00FE210D"/>
    <w:rsid w:val="00FF0204"/>
    <w:rsid w:val="00FF26A5"/>
    <w:rsid w:val="00FF3AED"/>
    <w:rsid w:val="00FF61B0"/>
    <w:rsid w:val="00FF72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F8109-6D22-41A0-8F6F-ACB53598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75"/>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
    <w:basedOn w:val="Normal"/>
    <w:link w:val="ListParagraphChar"/>
    <w:uiPriority w:val="34"/>
    <w:qFormat/>
    <w:rsid w:val="00255CDE"/>
    <w:pPr>
      <w:ind w:left="720"/>
      <w:contextualSpacing/>
    </w:p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55CDE"/>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55CDE"/>
    <w:rPr>
      <w:lang w:val="en-GB"/>
    </w:rPr>
  </w:style>
  <w:style w:type="character" w:styleId="FootnoteReference">
    <w:name w:val="footnote reference"/>
    <w:aliases w:val="Footnote Text1,Footnote Text2,Footnote text"/>
    <w:basedOn w:val="DefaultParagraphFont"/>
    <w:uiPriority w:val="99"/>
    <w:unhideWhenUsed/>
    <w:rsid w:val="00255CDE"/>
    <w:rPr>
      <w:vertAlign w:val="superscript"/>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4E1A94"/>
    <w:rPr>
      <w:sz w:val="22"/>
      <w:szCs w:val="22"/>
      <w:lang w:val="en-GB"/>
    </w:rPr>
  </w:style>
  <w:style w:type="table" w:customStyle="1" w:styleId="TableGrid0">
    <w:name w:val="TableGrid"/>
    <w:rsid w:val="00C436C0"/>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11176A"/>
    <w:rPr>
      <w:color w:val="0000FF"/>
      <w:u w:val="singl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locked/>
    <w:rsid w:val="00E51975"/>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link w:val="Heading3"/>
    <w:locked/>
    <w:rsid w:val="00E51975"/>
    <w:rPr>
      <w:sz w:val="22"/>
      <w:szCs w:val="22"/>
      <w:lang w:val="en-GB"/>
    </w:rPr>
  </w:style>
  <w:style w:type="paragraph" w:styleId="EndnoteText">
    <w:name w:val="endnote text"/>
    <w:basedOn w:val="Normal"/>
    <w:link w:val="EndnoteTextChar"/>
    <w:uiPriority w:val="99"/>
    <w:semiHidden/>
    <w:unhideWhenUsed/>
    <w:rsid w:val="005B0315"/>
    <w:rPr>
      <w:sz w:val="20"/>
      <w:szCs w:val="20"/>
    </w:rPr>
  </w:style>
  <w:style w:type="character" w:customStyle="1" w:styleId="EndnoteTextChar">
    <w:name w:val="Endnote Text Char"/>
    <w:basedOn w:val="DefaultParagraphFont"/>
    <w:link w:val="EndnoteText"/>
    <w:uiPriority w:val="99"/>
    <w:semiHidden/>
    <w:rsid w:val="005B0315"/>
    <w:rPr>
      <w:lang w:val="en-GB"/>
    </w:rPr>
  </w:style>
  <w:style w:type="character" w:styleId="EndnoteReference">
    <w:name w:val="endnote reference"/>
    <w:basedOn w:val="DefaultParagraphFont"/>
    <w:uiPriority w:val="99"/>
    <w:semiHidden/>
    <w:unhideWhenUsed/>
    <w:rsid w:val="005B0315"/>
    <w:rPr>
      <w:vertAlign w:val="superscript"/>
    </w:rPr>
  </w:style>
  <w:style w:type="character" w:customStyle="1" w:styleId="e24kjd">
    <w:name w:val="e24kjd"/>
    <w:basedOn w:val="DefaultParagraphFont"/>
    <w:rsid w:val="0019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1396">
      <w:bodyDiv w:val="1"/>
      <w:marLeft w:val="0"/>
      <w:marRight w:val="0"/>
      <w:marTop w:val="0"/>
      <w:marBottom w:val="0"/>
      <w:divBdr>
        <w:top w:val="none" w:sz="0" w:space="0" w:color="auto"/>
        <w:left w:val="none" w:sz="0" w:space="0" w:color="auto"/>
        <w:bottom w:val="none" w:sz="0" w:space="0" w:color="auto"/>
        <w:right w:val="none" w:sz="0" w:space="0" w:color="auto"/>
      </w:divBdr>
    </w:div>
    <w:div w:id="756369745">
      <w:bodyDiv w:val="1"/>
      <w:marLeft w:val="0"/>
      <w:marRight w:val="0"/>
      <w:marTop w:val="0"/>
      <w:marBottom w:val="0"/>
      <w:divBdr>
        <w:top w:val="none" w:sz="0" w:space="0" w:color="auto"/>
        <w:left w:val="none" w:sz="0" w:space="0" w:color="auto"/>
        <w:bottom w:val="none" w:sz="0" w:space="0" w:color="auto"/>
        <w:right w:val="none" w:sz="0" w:space="0" w:color="auto"/>
      </w:divBdr>
    </w:div>
    <w:div w:id="78095327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618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zone.unep.org/sites/default/files/2019-04/RTOC-assessment-report-2018_0.pdf" TargetMode="External"/><Relationship Id="rId2" Type="http://schemas.openxmlformats.org/officeDocument/2006/relationships/hyperlink" Target="https://www.energy.gov/sites/prod/files/2015/10/f27/bto_pub59157_101515.pdf" TargetMode="External"/><Relationship Id="rId1" Type="http://schemas.openxmlformats.org/officeDocument/2006/relationships/hyperlink" Target="http://multilateralfund.org/Our%20Work/DemonProject/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UNEP/OzL.Pro/ExCom/84/49</Document_x0020_Number>
  </documentManagement>
</p:properties>
</file>

<file path=customXml/itemProps1.xml><?xml version="1.0" encoding="utf-8"?>
<ds:datastoreItem xmlns:ds="http://schemas.openxmlformats.org/officeDocument/2006/customXml" ds:itemID="{D5F26565-ACFD-44B6-8D44-9A5C24731016}"/>
</file>

<file path=customXml/itemProps2.xml><?xml version="1.0" encoding="utf-8"?>
<ds:datastoreItem xmlns:ds="http://schemas.openxmlformats.org/officeDocument/2006/customXml" ds:itemID="{72C2E39B-C39E-4532-AB27-D9B215C4D36A}"/>
</file>

<file path=customXml/itemProps3.xml><?xml version="1.0" encoding="utf-8"?>
<ds:datastoreItem xmlns:ds="http://schemas.openxmlformats.org/officeDocument/2006/customXml" ds:itemID="{BA875A97-6A88-4896-94BB-8EA9A136D2B8}"/>
</file>

<file path=customXml/itemProps4.xml><?xml version="1.0" encoding="utf-8"?>
<ds:datastoreItem xmlns:ds="http://schemas.openxmlformats.org/officeDocument/2006/customXml" ds:itemID="{7254FD5F-E01B-404A-8E03-BD9F5FDFC7DE}"/>
</file>

<file path=docProps/app.xml><?xml version="1.0" encoding="utf-8"?>
<Properties xmlns="http://schemas.openxmlformats.org/officeDocument/2006/extended-properties" xmlns:vt="http://schemas.openxmlformats.org/officeDocument/2006/docPropsVTypes">
  <Template>Eec84G</Template>
  <TotalTime>2293</TotalTime>
  <Pages>30</Pages>
  <Words>12317</Words>
  <Characters>70209</Characters>
  <Application>Microsoft Office Word</Application>
  <DocSecurity>0</DocSecurity>
  <Lines>585</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Propositions de projet : Égypte</vt:lpstr>
      <vt:lpstr>Project proposals:  Egypt</vt:lpstr>
    </vt:vector>
  </TitlesOfParts>
  <Company>UNMFS</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Propositions de projet : Égypte</dc:title>
  <dc:subject>84th</dc:subject>
  <dc:creator>Nanette Guerin</dc:creator>
  <dc:description>FSM</dc:description>
  <cp:lastModifiedBy>HBE</cp:lastModifiedBy>
  <cp:revision>64</cp:revision>
  <cp:lastPrinted>2019-12-05T12:12:00Z</cp:lastPrinted>
  <dcterms:created xsi:type="dcterms:W3CDTF">2019-11-30T07:04:00Z</dcterms:created>
  <dcterms:modified xsi:type="dcterms:W3CDTF">2019-12-07T20:30:00Z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UNEP/OzL.Pro/ExCom/84/49</vt:lpwstr>
  </property>
  <property fmtid="{D5CDD505-2E9C-101B-9397-08002B2CF9AE}" pid="3" name="Revision date">
    <vt:lpwstr>11/29/2019</vt:lpwstr>
  </property>
  <property fmtid="{D5CDD505-2E9C-101B-9397-08002B2CF9AE}" pid="4" name="ContentTypeId">
    <vt:lpwstr>0x010100109683CADC4F284EA5F0B82357B5BF3A</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