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Ind w:w="-432" w:type="dxa"/>
        <w:tblLayout w:type="fixed"/>
        <w:tblLook w:val="04A0" w:firstRow="1" w:lastRow="0" w:firstColumn="1" w:lastColumn="0" w:noHBand="0" w:noVBand="1"/>
      </w:tblPr>
      <w:tblGrid>
        <w:gridCol w:w="2070"/>
        <w:gridCol w:w="4991"/>
        <w:gridCol w:w="3544"/>
      </w:tblGrid>
      <w:tr w:rsidR="0005355B" w14:paraId="3630479E" w14:textId="77777777" w:rsidTr="0005355B">
        <w:trPr>
          <w:trHeight w:val="720"/>
        </w:trPr>
        <w:tc>
          <w:tcPr>
            <w:tcW w:w="7061" w:type="dxa"/>
            <w:gridSpan w:val="2"/>
            <w:tcBorders>
              <w:top w:val="nil"/>
              <w:left w:val="nil"/>
              <w:bottom w:val="single" w:sz="18" w:space="0" w:color="auto"/>
              <w:right w:val="nil"/>
            </w:tcBorders>
            <w:hideMark/>
          </w:tcPr>
          <w:p w14:paraId="7D3E986A" w14:textId="77777777" w:rsidR="0005355B" w:rsidRDefault="0005355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bookmarkStart w:id="0" w:name="_GoBack"/>
            <w:bookmarkEnd w:id="0"/>
            <w:r>
              <w:rPr>
                <w:rFonts w:ascii="Univers" w:hAnsi="Univers"/>
                <w:b/>
                <w:sz w:val="28"/>
                <w:szCs w:val="28"/>
              </w:rPr>
              <w:t>NATIONS</w:t>
            </w:r>
          </w:p>
          <w:p w14:paraId="656A110B" w14:textId="77777777" w:rsidR="0005355B" w:rsidRDefault="0005355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 xml:space="preserve">UNIES </w:t>
            </w:r>
          </w:p>
        </w:tc>
        <w:tc>
          <w:tcPr>
            <w:tcW w:w="3544" w:type="dxa"/>
            <w:tcBorders>
              <w:top w:val="nil"/>
              <w:left w:val="nil"/>
              <w:bottom w:val="single" w:sz="18" w:space="0" w:color="auto"/>
              <w:right w:val="nil"/>
            </w:tcBorders>
            <w:hideMark/>
          </w:tcPr>
          <w:p w14:paraId="311CBAA0" w14:textId="77777777" w:rsidR="0005355B" w:rsidRDefault="0005355B">
            <w:pPr>
              <w:tabs>
                <w:tab w:val="left" w:pos="3010"/>
              </w:tabs>
              <w:jc w:val="center"/>
              <w:rPr>
                <w:sz w:val="52"/>
                <w:szCs w:val="52"/>
              </w:rPr>
            </w:pPr>
            <w:r>
              <w:rPr>
                <w:rFonts w:ascii="Univers Bold" w:hAnsi="Univers Bold"/>
                <w:b/>
                <w:sz w:val="72"/>
              </w:rPr>
              <w:t xml:space="preserve">          EP</w:t>
            </w:r>
          </w:p>
        </w:tc>
      </w:tr>
      <w:tr w:rsidR="0005355B" w14:paraId="6BA101F3" w14:textId="77777777" w:rsidTr="0005355B">
        <w:trPr>
          <w:trHeight w:val="2718"/>
        </w:trPr>
        <w:tc>
          <w:tcPr>
            <w:tcW w:w="2070" w:type="dxa"/>
            <w:tcBorders>
              <w:top w:val="nil"/>
              <w:left w:val="nil"/>
              <w:bottom w:val="single" w:sz="36" w:space="0" w:color="auto"/>
              <w:right w:val="nil"/>
            </w:tcBorders>
            <w:hideMark/>
          </w:tcPr>
          <w:p w14:paraId="75385AC7" w14:textId="77777777" w:rsidR="0005355B" w:rsidRDefault="0005355B">
            <w:r>
              <w:rPr>
                <w:noProof/>
                <w:lang w:val="en-CA" w:eastAsia="en-CA"/>
              </w:rPr>
              <w:drawing>
                <wp:anchor distT="0" distB="0" distL="114300" distR="114300" simplePos="0" relativeHeight="251659264" behindDoc="0" locked="0" layoutInCell="1" allowOverlap="1" wp14:anchorId="3D4EFAD4" wp14:editId="19F97EF2">
                  <wp:simplePos x="0" y="0"/>
                  <wp:positionH relativeFrom="column">
                    <wp:posOffset>57785</wp:posOffset>
                  </wp:positionH>
                  <wp:positionV relativeFrom="paragraph">
                    <wp:posOffset>920115</wp:posOffset>
                  </wp:positionV>
                  <wp:extent cx="800100" cy="705485"/>
                  <wp:effectExtent l="0" t="0" r="0" b="0"/>
                  <wp:wrapNone/>
                  <wp:docPr id="4"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054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0288" behindDoc="1" locked="0" layoutInCell="0" allowOverlap="1" wp14:anchorId="1387BAEC" wp14:editId="591A9B44">
                  <wp:simplePos x="0" y="0"/>
                  <wp:positionH relativeFrom="column">
                    <wp:posOffset>72390</wp:posOffset>
                  </wp:positionH>
                  <wp:positionV relativeFrom="paragraph">
                    <wp:posOffset>112395</wp:posOffset>
                  </wp:positionV>
                  <wp:extent cx="760730" cy="676275"/>
                  <wp:effectExtent l="0" t="0" r="1270" b="9525"/>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730"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14:paraId="0DFF7118" w14:textId="77777777" w:rsidR="0005355B" w:rsidRDefault="0005355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rPr>
            </w:pPr>
          </w:p>
          <w:p w14:paraId="1BA24F4E" w14:textId="77777777" w:rsidR="0005355B" w:rsidRDefault="0005355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rPr>
            </w:pPr>
            <w:r>
              <w:rPr>
                <w:rFonts w:ascii="Univers" w:hAnsi="Univers"/>
                <w:b/>
                <w:sz w:val="32"/>
              </w:rPr>
              <w:t>Programme des</w:t>
            </w:r>
          </w:p>
          <w:p w14:paraId="3CC935E8" w14:textId="77777777" w:rsidR="0005355B" w:rsidRDefault="0005355B">
            <w:pPr>
              <w:rPr>
                <w:rFonts w:ascii="Univers" w:hAnsi="Univers"/>
                <w:b/>
                <w:sz w:val="32"/>
              </w:rPr>
            </w:pPr>
            <w:r>
              <w:rPr>
                <w:rFonts w:ascii="Univers" w:hAnsi="Univers"/>
                <w:b/>
                <w:sz w:val="32"/>
              </w:rPr>
              <w:t>Nations Unies pour</w:t>
            </w:r>
          </w:p>
          <w:p w14:paraId="0E25E591" w14:textId="77777777" w:rsidR="0005355B" w:rsidRDefault="0005355B">
            <w:pPr>
              <w:rPr>
                <w:rFonts w:ascii="Univers" w:hAnsi="Univers"/>
                <w:b/>
                <w:sz w:val="32"/>
              </w:rPr>
            </w:pPr>
            <w:r>
              <w:rPr>
                <w:rFonts w:ascii="Univers" w:hAnsi="Univers"/>
                <w:b/>
                <w:sz w:val="32"/>
              </w:rPr>
              <w:t>l’environnement</w:t>
            </w:r>
          </w:p>
          <w:p w14:paraId="5EE4AECF" w14:textId="77777777" w:rsidR="0005355B" w:rsidRDefault="0005355B">
            <w:pPr>
              <w:spacing w:before="720"/>
              <w:ind w:left="158"/>
              <w:rPr>
                <w:lang w:val="fr-FR"/>
              </w:rPr>
            </w:pPr>
            <w:r>
              <w:rPr>
                <w:lang w:val="fr-FR"/>
              </w:rPr>
              <w:t xml:space="preserve"> </w:t>
            </w:r>
          </w:p>
        </w:tc>
        <w:tc>
          <w:tcPr>
            <w:tcW w:w="3544" w:type="dxa"/>
            <w:tcBorders>
              <w:top w:val="nil"/>
              <w:left w:val="nil"/>
              <w:bottom w:val="single" w:sz="36" w:space="0" w:color="auto"/>
              <w:right w:val="nil"/>
            </w:tcBorders>
          </w:tcPr>
          <w:p w14:paraId="061331D1" w14:textId="77777777" w:rsidR="0005355B" w:rsidRDefault="0005355B">
            <w:pPr>
              <w:rPr>
                <w:lang w:val="fr-FR"/>
              </w:rPr>
            </w:pPr>
          </w:p>
          <w:p w14:paraId="296AC0A5" w14:textId="77777777" w:rsidR="0005355B" w:rsidRDefault="0005355B">
            <w:pPr>
              <w:rPr>
                <w:lang w:val="fr-FR"/>
              </w:rPr>
            </w:pPr>
            <w:r>
              <w:rPr>
                <w:lang w:val="fr-FR"/>
              </w:rPr>
              <w:t>Distr.</w:t>
            </w:r>
          </w:p>
          <w:p w14:paraId="7F6D49BD" w14:textId="77777777" w:rsidR="0005355B" w:rsidRDefault="0005355B">
            <w:pPr>
              <w:rPr>
                <w:lang w:val="fr-FR"/>
              </w:rPr>
            </w:pPr>
            <w:r>
              <w:rPr>
                <w:lang w:val="fr-FR"/>
              </w:rPr>
              <w:t>GÉNÉRALE</w:t>
            </w:r>
          </w:p>
          <w:p w14:paraId="1EB2C2A9" w14:textId="77777777" w:rsidR="0005355B" w:rsidRDefault="0005355B">
            <w:pPr>
              <w:rPr>
                <w:lang w:val="fr-FR"/>
              </w:rPr>
            </w:pPr>
          </w:p>
          <w:p w14:paraId="4AE28F8E" w14:textId="77777777" w:rsidR="0005355B" w:rsidRDefault="0005355B">
            <w:pPr>
              <w:rPr>
                <w:lang w:val="fr-FR"/>
              </w:rPr>
            </w:pPr>
            <w:r>
              <w:fldChar w:fldCharType="begin"/>
            </w:r>
            <w:r>
              <w:rPr>
                <w:lang w:val="fr-FR"/>
              </w:rPr>
              <w:instrText xml:space="preserve"> DOCPROPERTY "Document number"  \* MERGEFORMAT </w:instrText>
            </w:r>
            <w:r>
              <w:fldChar w:fldCharType="separate"/>
            </w:r>
            <w:r w:rsidRPr="0003503E">
              <w:fldChar w:fldCharType="begin"/>
            </w:r>
            <w:r w:rsidRPr="0005355B">
              <w:rPr>
                <w:lang w:val="en-CA"/>
              </w:rPr>
              <w:instrText xml:space="preserve"> DOCPROPERTY "Document number"  \* MERGEFORMAT </w:instrText>
            </w:r>
            <w:r w:rsidRPr="0003503E">
              <w:fldChar w:fldCharType="separate"/>
            </w:r>
            <w:r w:rsidRPr="0005355B">
              <w:rPr>
                <w:lang w:val="en-CA"/>
              </w:rPr>
              <w:t>UNEP/OzL.Pro/ExCom/84/48</w:t>
            </w:r>
            <w:r w:rsidRPr="0003503E">
              <w:fldChar w:fldCharType="end"/>
            </w:r>
            <w:r>
              <w:fldChar w:fldCharType="end"/>
            </w:r>
          </w:p>
          <w:p w14:paraId="70AA2355" w14:textId="77777777" w:rsidR="0005355B" w:rsidRDefault="0005355B">
            <w:pPr>
              <w:rPr>
                <w:lang w:val="fr-FR"/>
              </w:rPr>
            </w:pPr>
            <w:r>
              <w:fldChar w:fldCharType="begin"/>
            </w:r>
            <w:r>
              <w:rPr>
                <w:lang w:val="fr-FR"/>
              </w:rPr>
              <w:instrText xml:space="preserve"> DOCPROPERTY "Revision date" \@ "d MMMM YYYY"  \* MERGEFORMAT </w:instrText>
            </w:r>
            <w:r>
              <w:fldChar w:fldCharType="separate"/>
            </w:r>
            <w:r>
              <w:rPr>
                <w:lang w:val="fr-FR"/>
              </w:rPr>
              <w:t>21 novembre 2019</w:t>
            </w:r>
            <w:r>
              <w:fldChar w:fldCharType="end"/>
            </w:r>
          </w:p>
          <w:p w14:paraId="4A1A7189" w14:textId="77777777" w:rsidR="0005355B" w:rsidRDefault="0005355B">
            <w:pPr>
              <w:rPr>
                <w:caps/>
                <w:lang w:val="fr-FR"/>
              </w:rPr>
            </w:pPr>
            <w:r>
              <w:rPr>
                <w:caps/>
                <w:lang w:val="fr-FR"/>
              </w:rPr>
              <w:br/>
              <w:t>FRANÇAIS</w:t>
            </w:r>
          </w:p>
          <w:p w14:paraId="73825FC5" w14:textId="77777777" w:rsidR="0005355B" w:rsidRDefault="0005355B">
            <w:pPr>
              <w:rPr>
                <w:lang w:val="en-GB"/>
              </w:rPr>
            </w:pPr>
            <w:r>
              <w:t>ORIGINAL: ANGLAIS</w:t>
            </w:r>
          </w:p>
        </w:tc>
      </w:tr>
    </w:tbl>
    <w:p w14:paraId="1AD4AB02" w14:textId="77777777" w:rsidR="0005355B" w:rsidRDefault="0005355B" w:rsidP="0005355B">
      <w:pPr>
        <w:jc w:val="left"/>
      </w:pPr>
    </w:p>
    <w:p w14:paraId="6BB13C92" w14:textId="77777777" w:rsidR="0005355B" w:rsidRDefault="0005355B" w:rsidP="0005355B">
      <w:pPr>
        <w:jc w:val="left"/>
      </w:pPr>
      <w:r>
        <w:t xml:space="preserve">COMITÉ EXÉCUTIF </w:t>
      </w:r>
      <w:r>
        <w:br/>
        <w:t xml:space="preserve">  DU FONDS MULTILATÉRAL AUX FINS </w:t>
      </w:r>
      <w:r>
        <w:br/>
        <w:t xml:space="preserve">  D’APPLICATION DU PROTOCOLE DE MONTRÉAL</w:t>
      </w:r>
      <w:r>
        <w:br/>
        <w:t>Quatre-vingt-quatrième réunion</w:t>
      </w:r>
    </w:p>
    <w:p w14:paraId="096DACDF" w14:textId="77777777" w:rsidR="0005355B" w:rsidRDefault="0005355B" w:rsidP="0005355B">
      <w:pPr>
        <w:jc w:val="left"/>
      </w:pPr>
      <w:r>
        <w:t>Montr</w:t>
      </w:r>
      <w:r w:rsidRPr="004261C6">
        <w:t>é</w:t>
      </w:r>
      <w:r>
        <w:t>al, 16 – 20 décembre 2019</w:t>
      </w:r>
    </w:p>
    <w:p w14:paraId="4F8D95FE" w14:textId="77777777" w:rsidR="00734E4C" w:rsidRPr="004261C6" w:rsidRDefault="00734E4C" w:rsidP="00492EA8">
      <w:pPr>
        <w:tabs>
          <w:tab w:val="left" w:pos="8280"/>
        </w:tabs>
      </w:pPr>
    </w:p>
    <w:p w14:paraId="05C006D8" w14:textId="77777777" w:rsidR="00734E4C" w:rsidRPr="004261C6" w:rsidRDefault="00734E4C" w:rsidP="00492EA8">
      <w:pPr>
        <w:tabs>
          <w:tab w:val="left" w:pos="8280"/>
        </w:tabs>
      </w:pPr>
    </w:p>
    <w:p w14:paraId="6FC71BDF" w14:textId="77777777" w:rsidR="00734E4C" w:rsidRPr="004261C6" w:rsidRDefault="00734E4C" w:rsidP="00492EA8"/>
    <w:p w14:paraId="44853F9C" w14:textId="22DDCC35" w:rsidR="00734E4C" w:rsidRPr="0003503E" w:rsidRDefault="0005355B" w:rsidP="00492EA8">
      <w:pPr>
        <w:jc w:val="center"/>
        <w:rPr>
          <w:b/>
        </w:rPr>
      </w:pPr>
      <w:r>
        <w:rPr>
          <w:b/>
        </w:rPr>
        <w:t xml:space="preserve">PROPOSITION DE PROJET : </w:t>
      </w:r>
      <w:r w:rsidR="00734E4C">
        <w:rPr>
          <w:b/>
        </w:rPr>
        <w:t>DOMINIQUE</w:t>
      </w:r>
      <w:r w:rsidR="00A46C42">
        <w:rPr>
          <w:b/>
        </w:rPr>
        <w:t xml:space="preserve"> (LA)</w:t>
      </w:r>
    </w:p>
    <w:p w14:paraId="69F62951" w14:textId="77777777" w:rsidR="00A46C42" w:rsidRPr="0005355B" w:rsidRDefault="00A46C42" w:rsidP="00492EA8"/>
    <w:p w14:paraId="0443850F" w14:textId="77777777" w:rsidR="00734E4C" w:rsidRPr="0005355B" w:rsidRDefault="00734E4C" w:rsidP="00492EA8"/>
    <w:p w14:paraId="2D544F2A" w14:textId="77777777" w:rsidR="00734E4C" w:rsidRPr="0003503E" w:rsidRDefault="00734E4C" w:rsidP="00492EA8">
      <w:pPr>
        <w:ind w:firstLine="720"/>
      </w:pPr>
      <w:r>
        <w:t xml:space="preserve">Le présent document contient les commentaires et la recommandation du Secrétariat du Fonds sur la proposition de projet suivante : </w:t>
      </w:r>
    </w:p>
    <w:p w14:paraId="166DD960" w14:textId="77777777" w:rsidR="00734E4C" w:rsidRPr="0005355B" w:rsidRDefault="00734E4C" w:rsidP="00492EA8"/>
    <w:p w14:paraId="0F38E68F" w14:textId="77777777" w:rsidR="00734E4C" w:rsidRPr="0003503E" w:rsidRDefault="00734E4C" w:rsidP="00492EA8">
      <w:pPr>
        <w:rPr>
          <w:u w:val="single"/>
        </w:rPr>
      </w:pPr>
      <w:r>
        <w:rPr>
          <w:u w:val="single"/>
        </w:rPr>
        <w:t>Élimination :</w:t>
      </w:r>
    </w:p>
    <w:p w14:paraId="14F1B5A6" w14:textId="77777777" w:rsidR="00734E4C" w:rsidRPr="0003503E" w:rsidRDefault="00734E4C" w:rsidP="00492EA8">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734E4C" w:rsidRPr="0003503E" w14:paraId="5487D18F" w14:textId="77777777" w:rsidTr="005670B4">
        <w:tc>
          <w:tcPr>
            <w:tcW w:w="6941" w:type="dxa"/>
          </w:tcPr>
          <w:p w14:paraId="17D24F8A" w14:textId="77777777" w:rsidR="00734E4C" w:rsidRPr="0003503E" w:rsidRDefault="00734E4C" w:rsidP="00492EA8">
            <w:pPr>
              <w:pStyle w:val="ListParagraph"/>
              <w:numPr>
                <w:ilvl w:val="0"/>
                <w:numId w:val="26"/>
              </w:numPr>
              <w:ind w:left="-111" w:firstLine="0"/>
            </w:pPr>
            <w:r>
              <w:t>Plan de gestion de l’élimination des HCFC (phase I, deuxième tranche)</w:t>
            </w:r>
          </w:p>
        </w:tc>
        <w:tc>
          <w:tcPr>
            <w:tcW w:w="2409" w:type="dxa"/>
          </w:tcPr>
          <w:p w14:paraId="7A421761" w14:textId="77777777" w:rsidR="00734E4C" w:rsidRPr="0003503E" w:rsidRDefault="00734E4C" w:rsidP="00492EA8">
            <w:pPr>
              <w:jc w:val="right"/>
            </w:pPr>
            <w:r>
              <w:t>PNUE</w:t>
            </w:r>
          </w:p>
        </w:tc>
      </w:tr>
    </w:tbl>
    <w:p w14:paraId="797F3562" w14:textId="77777777" w:rsidR="00734E4C" w:rsidRPr="0003503E" w:rsidRDefault="00734E4C" w:rsidP="00492EA8">
      <w:pPr>
        <w:rPr>
          <w:lang w:val="en-CA"/>
        </w:rPr>
      </w:pPr>
    </w:p>
    <w:p w14:paraId="202FFA06" w14:textId="77777777" w:rsidR="00734E4C" w:rsidRPr="0003503E" w:rsidRDefault="00734E4C" w:rsidP="00492EA8">
      <w:pPr>
        <w:rPr>
          <w:lang w:val="en-CA"/>
        </w:rPr>
      </w:pPr>
    </w:p>
    <w:p w14:paraId="6B9770C0" w14:textId="77777777" w:rsidR="00734E4C" w:rsidRPr="0003503E" w:rsidRDefault="00734E4C" w:rsidP="00492EA8">
      <w:pPr>
        <w:rPr>
          <w:lang w:val="en-CA"/>
        </w:rPr>
      </w:pPr>
    </w:p>
    <w:p w14:paraId="2BCD54E9" w14:textId="77777777" w:rsidR="00734E4C" w:rsidRPr="0003503E" w:rsidRDefault="00734E4C" w:rsidP="00492EA8">
      <w:r>
        <w:br w:type="page"/>
      </w:r>
    </w:p>
    <w:p w14:paraId="3800A369" w14:textId="4DB0EB73" w:rsidR="00734E4C" w:rsidRDefault="00734E4C" w:rsidP="007461FB">
      <w:pPr>
        <w:jc w:val="center"/>
        <w:rPr>
          <w:b/>
        </w:rPr>
      </w:pPr>
      <w:r>
        <w:rPr>
          <w:b/>
        </w:rPr>
        <w:lastRenderedPageBreak/>
        <w:t>FEUILLE D’ÉVALUATION DU PROJET – PROJETS PLURIANNUELS</w:t>
      </w:r>
    </w:p>
    <w:p w14:paraId="17457837" w14:textId="77777777" w:rsidR="007461FB" w:rsidRPr="007461FB" w:rsidRDefault="007461FB" w:rsidP="007461FB">
      <w:pPr>
        <w:jc w:val="center"/>
        <w:rPr>
          <w:b/>
        </w:rPr>
      </w:pPr>
    </w:p>
    <w:p w14:paraId="0B89D3E1" w14:textId="77777777" w:rsidR="00734E4C" w:rsidRPr="0003503E" w:rsidRDefault="00734E4C" w:rsidP="00492EA8">
      <w:pPr>
        <w:spacing w:after="80"/>
        <w:jc w:val="center"/>
      </w:pPr>
      <w:r>
        <w:rPr>
          <w:b/>
          <w:sz w:val="24"/>
        </w:rPr>
        <w:t xml:space="preserve">Dominique                                          </w:t>
      </w: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499"/>
        <w:gridCol w:w="2499"/>
        <w:gridCol w:w="2501"/>
        <w:gridCol w:w="2501"/>
      </w:tblGrid>
      <w:tr w:rsidR="00734E4C" w:rsidRPr="0003503E" w14:paraId="127FD5B2" w14:textId="77777777" w:rsidTr="005670B4">
        <w:trPr>
          <w:trHeight w:val="240"/>
        </w:trPr>
        <w:tc>
          <w:tcPr>
            <w:tcW w:w="2337" w:type="dxa"/>
            <w:shd w:val="clear" w:color="auto" w:fill="auto"/>
          </w:tcPr>
          <w:p w14:paraId="41922552" w14:textId="77777777" w:rsidR="00734E4C" w:rsidRPr="0003503E" w:rsidRDefault="00734E4C" w:rsidP="00492EA8">
            <w:pPr>
              <w:spacing w:after="80"/>
              <w:jc w:val="left"/>
              <w:rPr>
                <w:b/>
                <w:sz w:val="18"/>
              </w:rPr>
            </w:pPr>
            <w:r>
              <w:rPr>
                <w:b/>
                <w:sz w:val="18"/>
              </w:rPr>
              <w:t>(I) TITRE DU PROJET</w:t>
            </w:r>
          </w:p>
        </w:tc>
        <w:tc>
          <w:tcPr>
            <w:tcW w:w="2337" w:type="dxa"/>
            <w:shd w:val="clear" w:color="auto" w:fill="auto"/>
          </w:tcPr>
          <w:p w14:paraId="1EAE98AD" w14:textId="77777777" w:rsidR="00734E4C" w:rsidRPr="0003503E" w:rsidRDefault="00734E4C" w:rsidP="00492EA8">
            <w:pPr>
              <w:spacing w:after="80"/>
              <w:jc w:val="center"/>
              <w:rPr>
                <w:b/>
                <w:sz w:val="18"/>
              </w:rPr>
            </w:pPr>
            <w:r>
              <w:rPr>
                <w:b/>
                <w:sz w:val="18"/>
              </w:rPr>
              <w:t>AGENCE</w:t>
            </w:r>
          </w:p>
        </w:tc>
        <w:tc>
          <w:tcPr>
            <w:tcW w:w="2338" w:type="dxa"/>
            <w:shd w:val="clear" w:color="auto" w:fill="auto"/>
          </w:tcPr>
          <w:p w14:paraId="2B23EF2E" w14:textId="77777777" w:rsidR="00734E4C" w:rsidRPr="0003503E" w:rsidRDefault="00734E4C" w:rsidP="00492EA8">
            <w:pPr>
              <w:spacing w:after="80"/>
              <w:jc w:val="center"/>
              <w:rPr>
                <w:b/>
                <w:sz w:val="18"/>
              </w:rPr>
            </w:pPr>
            <w:r>
              <w:rPr>
                <w:b/>
                <w:sz w:val="18"/>
              </w:rPr>
              <w:t>RÉUNION APPROUVÉE</w:t>
            </w:r>
          </w:p>
        </w:tc>
        <w:tc>
          <w:tcPr>
            <w:tcW w:w="2338" w:type="dxa"/>
            <w:shd w:val="clear" w:color="auto" w:fill="auto"/>
          </w:tcPr>
          <w:p w14:paraId="1C9B7262" w14:textId="77777777" w:rsidR="00734E4C" w:rsidRPr="0003503E" w:rsidRDefault="00734E4C" w:rsidP="00492EA8">
            <w:pPr>
              <w:spacing w:after="80"/>
              <w:jc w:val="center"/>
              <w:rPr>
                <w:b/>
                <w:sz w:val="18"/>
              </w:rPr>
            </w:pPr>
            <w:r>
              <w:rPr>
                <w:b/>
                <w:sz w:val="18"/>
              </w:rPr>
              <w:t>MESURE DE CONTRÔLE</w:t>
            </w:r>
          </w:p>
        </w:tc>
      </w:tr>
      <w:tr w:rsidR="00734E4C" w:rsidRPr="0003503E" w14:paraId="55CF8EE9" w14:textId="77777777" w:rsidTr="005670B4">
        <w:trPr>
          <w:trHeight w:val="240"/>
        </w:trPr>
        <w:tc>
          <w:tcPr>
            <w:tcW w:w="2337" w:type="dxa"/>
            <w:shd w:val="clear" w:color="auto" w:fill="auto"/>
          </w:tcPr>
          <w:p w14:paraId="4D35DB11" w14:textId="77777777" w:rsidR="00734E4C" w:rsidRPr="0003503E" w:rsidRDefault="00734E4C" w:rsidP="00492EA8">
            <w:pPr>
              <w:spacing w:after="80"/>
              <w:jc w:val="center"/>
              <w:rPr>
                <w:sz w:val="18"/>
              </w:rPr>
            </w:pPr>
            <w:r>
              <w:rPr>
                <w:sz w:val="18"/>
              </w:rPr>
              <w:t>Plan de l’élimination des HCFC (Phase I)</w:t>
            </w:r>
          </w:p>
        </w:tc>
        <w:tc>
          <w:tcPr>
            <w:tcW w:w="2337" w:type="dxa"/>
            <w:shd w:val="clear" w:color="auto" w:fill="auto"/>
          </w:tcPr>
          <w:p w14:paraId="2621E701" w14:textId="77777777" w:rsidR="00734E4C" w:rsidRPr="0003503E" w:rsidRDefault="00734E4C" w:rsidP="00492EA8">
            <w:pPr>
              <w:spacing w:after="80"/>
              <w:jc w:val="center"/>
              <w:rPr>
                <w:sz w:val="18"/>
              </w:rPr>
            </w:pPr>
            <w:r>
              <w:rPr>
                <w:sz w:val="18"/>
              </w:rPr>
              <w:t>PNUE</w:t>
            </w:r>
          </w:p>
        </w:tc>
        <w:tc>
          <w:tcPr>
            <w:tcW w:w="2338" w:type="dxa"/>
            <w:shd w:val="clear" w:color="auto" w:fill="auto"/>
          </w:tcPr>
          <w:p w14:paraId="7DA7E44E" w14:textId="77777777" w:rsidR="00734E4C" w:rsidRPr="0003503E" w:rsidRDefault="00734E4C" w:rsidP="00492EA8">
            <w:pPr>
              <w:spacing w:after="80"/>
              <w:jc w:val="center"/>
              <w:rPr>
                <w:sz w:val="18"/>
              </w:rPr>
            </w:pPr>
            <w:r>
              <w:rPr>
                <w:sz w:val="18"/>
              </w:rPr>
              <w:t>62</w:t>
            </w:r>
            <w:r>
              <w:rPr>
                <w:sz w:val="18"/>
                <w:vertAlign w:val="superscript"/>
              </w:rPr>
              <w:t>e</w:t>
            </w:r>
          </w:p>
        </w:tc>
        <w:tc>
          <w:tcPr>
            <w:tcW w:w="2338" w:type="dxa"/>
            <w:shd w:val="clear" w:color="auto" w:fill="auto"/>
          </w:tcPr>
          <w:p w14:paraId="2CEE8776" w14:textId="77777777" w:rsidR="00734E4C" w:rsidRPr="0003503E" w:rsidRDefault="0005355B" w:rsidP="00492EA8">
            <w:pPr>
              <w:spacing w:after="80"/>
              <w:jc w:val="center"/>
              <w:rPr>
                <w:sz w:val="18"/>
              </w:rPr>
            </w:pPr>
            <w:r>
              <w:rPr>
                <w:sz w:val="18"/>
              </w:rPr>
              <w:t>35 </w:t>
            </w:r>
            <w:r w:rsidR="00734E4C">
              <w:rPr>
                <w:sz w:val="18"/>
              </w:rPr>
              <w:t>% d’ici 2020</w:t>
            </w:r>
          </w:p>
        </w:tc>
      </w:tr>
    </w:tbl>
    <w:p w14:paraId="16AA60B5" w14:textId="77777777" w:rsidR="00734E4C" w:rsidRPr="0003503E" w:rsidRDefault="00734E4C" w:rsidP="00492EA8">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2400"/>
      </w:tblGrid>
      <w:tr w:rsidR="00734E4C" w:rsidRPr="0003503E" w14:paraId="7F75E58E" w14:textId="77777777" w:rsidTr="005670B4">
        <w:trPr>
          <w:trHeight w:val="240"/>
        </w:trPr>
        <w:tc>
          <w:tcPr>
            <w:tcW w:w="5200" w:type="dxa"/>
            <w:shd w:val="clear" w:color="auto" w:fill="auto"/>
          </w:tcPr>
          <w:p w14:paraId="214CADFD" w14:textId="2D110538" w:rsidR="00734E4C" w:rsidRPr="0003503E" w:rsidRDefault="00734E4C" w:rsidP="00492EA8">
            <w:pPr>
              <w:spacing w:after="60"/>
              <w:jc w:val="left"/>
              <w:rPr>
                <w:b/>
                <w:sz w:val="18"/>
              </w:rPr>
            </w:pPr>
            <w:r>
              <w:rPr>
                <w:b/>
                <w:sz w:val="18"/>
              </w:rPr>
              <w:t xml:space="preserve">(II) DERNIÈRES DONNÉES DE L’ARTICLE 7 (Annexe C </w:t>
            </w:r>
            <w:r w:rsidR="00175666">
              <w:rPr>
                <w:b/>
                <w:sz w:val="18"/>
              </w:rPr>
              <w:t>G</w:t>
            </w:r>
            <w:r>
              <w:rPr>
                <w:b/>
                <w:sz w:val="18"/>
              </w:rPr>
              <w:t>roupe l)</w:t>
            </w:r>
          </w:p>
        </w:tc>
        <w:tc>
          <w:tcPr>
            <w:tcW w:w="2400" w:type="dxa"/>
            <w:shd w:val="clear" w:color="auto" w:fill="auto"/>
          </w:tcPr>
          <w:p w14:paraId="15BB7929" w14:textId="77777777" w:rsidR="00734E4C" w:rsidRPr="0003503E" w:rsidRDefault="00734E4C" w:rsidP="00492EA8">
            <w:pPr>
              <w:spacing w:after="60"/>
              <w:jc w:val="center"/>
              <w:rPr>
                <w:sz w:val="18"/>
              </w:rPr>
            </w:pPr>
            <w:r>
              <w:rPr>
                <w:sz w:val="18"/>
              </w:rPr>
              <w:t>Année : 2018</w:t>
            </w:r>
          </w:p>
        </w:tc>
        <w:tc>
          <w:tcPr>
            <w:tcW w:w="2400" w:type="dxa"/>
            <w:shd w:val="clear" w:color="auto" w:fill="auto"/>
          </w:tcPr>
          <w:p w14:paraId="5423E0DA" w14:textId="77777777" w:rsidR="00734E4C" w:rsidRPr="0003503E" w:rsidRDefault="0005355B" w:rsidP="00492EA8">
            <w:pPr>
              <w:spacing w:after="60"/>
              <w:jc w:val="right"/>
              <w:rPr>
                <w:sz w:val="18"/>
              </w:rPr>
            </w:pPr>
            <w:r>
              <w:rPr>
                <w:sz w:val="18"/>
              </w:rPr>
              <w:t>0,16 (tonne</w:t>
            </w:r>
            <w:r w:rsidR="00734E4C">
              <w:rPr>
                <w:sz w:val="18"/>
              </w:rPr>
              <w:t xml:space="preserve"> PAO)</w:t>
            </w:r>
          </w:p>
        </w:tc>
      </w:tr>
    </w:tbl>
    <w:p w14:paraId="68F47B09" w14:textId="77777777" w:rsidR="00734E4C" w:rsidRPr="0003503E" w:rsidRDefault="00734E4C" w:rsidP="00492EA8">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00"/>
        <w:gridCol w:w="786"/>
        <w:gridCol w:w="777"/>
        <w:gridCol w:w="897"/>
        <w:gridCol w:w="1036"/>
        <w:gridCol w:w="876"/>
        <w:gridCol w:w="837"/>
        <w:gridCol w:w="1276"/>
        <w:gridCol w:w="997"/>
        <w:gridCol w:w="1318"/>
      </w:tblGrid>
      <w:tr w:rsidR="00734E4C" w:rsidRPr="0003503E" w14:paraId="39073785" w14:textId="77777777" w:rsidTr="005670B4">
        <w:trPr>
          <w:trHeight w:val="240"/>
        </w:trPr>
        <w:tc>
          <w:tcPr>
            <w:tcW w:w="0" w:type="auto"/>
            <w:gridSpan w:val="8"/>
            <w:shd w:val="clear" w:color="auto" w:fill="auto"/>
          </w:tcPr>
          <w:p w14:paraId="0620EB41" w14:textId="77777777" w:rsidR="00734E4C" w:rsidRPr="0003503E" w:rsidRDefault="00734E4C" w:rsidP="00492EA8">
            <w:pPr>
              <w:spacing w:after="60"/>
              <w:jc w:val="left"/>
              <w:rPr>
                <w:b/>
                <w:sz w:val="18"/>
              </w:rPr>
            </w:pPr>
            <w:r>
              <w:rPr>
                <w:b/>
                <w:sz w:val="18"/>
              </w:rPr>
              <w:t>(III) DERNIÈRES DONNÉES SECTORIELLES DU PROGRAMME DU PAYS (tonnes PAO)</w:t>
            </w:r>
          </w:p>
        </w:tc>
        <w:tc>
          <w:tcPr>
            <w:tcW w:w="0" w:type="auto"/>
            <w:gridSpan w:val="2"/>
            <w:shd w:val="clear" w:color="auto" w:fill="auto"/>
          </w:tcPr>
          <w:p w14:paraId="37EDCE11" w14:textId="77777777" w:rsidR="00734E4C" w:rsidRPr="0003503E" w:rsidRDefault="00734E4C" w:rsidP="00492EA8">
            <w:pPr>
              <w:spacing w:after="60"/>
              <w:jc w:val="right"/>
              <w:rPr>
                <w:b/>
                <w:sz w:val="18"/>
              </w:rPr>
            </w:pPr>
            <w:r>
              <w:rPr>
                <w:b/>
                <w:sz w:val="18"/>
              </w:rPr>
              <w:t>Année : 2018</w:t>
            </w:r>
          </w:p>
        </w:tc>
      </w:tr>
      <w:tr w:rsidR="00734E4C" w:rsidRPr="0003503E" w14:paraId="3BF0F262" w14:textId="77777777" w:rsidTr="005670B4">
        <w:trPr>
          <w:trHeight w:val="240"/>
        </w:trPr>
        <w:tc>
          <w:tcPr>
            <w:tcW w:w="0" w:type="auto"/>
            <w:shd w:val="clear" w:color="auto" w:fill="auto"/>
          </w:tcPr>
          <w:p w14:paraId="64E9BEE2" w14:textId="77777777" w:rsidR="00734E4C" w:rsidRPr="0003503E" w:rsidRDefault="00734E4C" w:rsidP="00492EA8">
            <w:pPr>
              <w:spacing w:after="60"/>
              <w:jc w:val="center"/>
              <w:rPr>
                <w:sz w:val="18"/>
              </w:rPr>
            </w:pPr>
            <w:r>
              <w:rPr>
                <w:sz w:val="18"/>
              </w:rPr>
              <w:t>Produits chimiques</w:t>
            </w:r>
          </w:p>
        </w:tc>
        <w:tc>
          <w:tcPr>
            <w:tcW w:w="0" w:type="auto"/>
            <w:shd w:val="clear" w:color="auto" w:fill="auto"/>
          </w:tcPr>
          <w:p w14:paraId="764CCE92" w14:textId="77777777" w:rsidR="00734E4C" w:rsidRPr="0003503E" w:rsidRDefault="00734E4C" w:rsidP="00492EA8">
            <w:pPr>
              <w:spacing w:after="60"/>
              <w:jc w:val="center"/>
              <w:rPr>
                <w:sz w:val="18"/>
              </w:rPr>
            </w:pPr>
            <w:r>
              <w:rPr>
                <w:sz w:val="18"/>
              </w:rPr>
              <w:t>Aérosol</w:t>
            </w:r>
          </w:p>
        </w:tc>
        <w:tc>
          <w:tcPr>
            <w:tcW w:w="0" w:type="auto"/>
            <w:shd w:val="clear" w:color="auto" w:fill="auto"/>
          </w:tcPr>
          <w:p w14:paraId="7B9DBB82" w14:textId="77777777" w:rsidR="00734E4C" w:rsidRPr="0003503E" w:rsidRDefault="00734E4C" w:rsidP="00492EA8">
            <w:pPr>
              <w:spacing w:after="60"/>
              <w:jc w:val="center"/>
              <w:rPr>
                <w:sz w:val="18"/>
              </w:rPr>
            </w:pPr>
            <w:r>
              <w:rPr>
                <w:sz w:val="18"/>
              </w:rPr>
              <w:t>Mousse</w:t>
            </w:r>
          </w:p>
        </w:tc>
        <w:tc>
          <w:tcPr>
            <w:tcW w:w="0" w:type="auto"/>
            <w:shd w:val="clear" w:color="auto" w:fill="auto"/>
          </w:tcPr>
          <w:p w14:paraId="6D2F6FD2" w14:textId="77777777" w:rsidR="00734E4C" w:rsidRPr="0003503E" w:rsidRDefault="00734E4C" w:rsidP="00492EA8">
            <w:pPr>
              <w:spacing w:after="60"/>
              <w:jc w:val="center"/>
              <w:rPr>
                <w:sz w:val="18"/>
              </w:rPr>
            </w:pPr>
            <w:r>
              <w:rPr>
                <w:sz w:val="18"/>
              </w:rPr>
              <w:t>Lutte contre les incendies</w:t>
            </w:r>
          </w:p>
        </w:tc>
        <w:tc>
          <w:tcPr>
            <w:tcW w:w="0" w:type="auto"/>
            <w:gridSpan w:val="2"/>
            <w:shd w:val="clear" w:color="auto" w:fill="auto"/>
          </w:tcPr>
          <w:p w14:paraId="4FE1C665" w14:textId="77777777" w:rsidR="00734E4C" w:rsidRPr="0003503E" w:rsidRDefault="00734E4C" w:rsidP="00492EA8">
            <w:pPr>
              <w:spacing w:after="60"/>
              <w:jc w:val="center"/>
              <w:rPr>
                <w:sz w:val="18"/>
              </w:rPr>
            </w:pPr>
            <w:r>
              <w:rPr>
                <w:sz w:val="18"/>
              </w:rPr>
              <w:t>Réfrigération</w:t>
            </w:r>
          </w:p>
        </w:tc>
        <w:tc>
          <w:tcPr>
            <w:tcW w:w="0" w:type="auto"/>
            <w:shd w:val="clear" w:color="auto" w:fill="auto"/>
          </w:tcPr>
          <w:p w14:paraId="2384FB51" w14:textId="77777777" w:rsidR="00734E4C" w:rsidRPr="0003503E" w:rsidRDefault="00734E4C" w:rsidP="00492EA8">
            <w:pPr>
              <w:spacing w:after="60"/>
              <w:jc w:val="center"/>
              <w:rPr>
                <w:sz w:val="18"/>
              </w:rPr>
            </w:pPr>
            <w:r>
              <w:rPr>
                <w:sz w:val="18"/>
              </w:rPr>
              <w:t>Solvants</w:t>
            </w:r>
          </w:p>
        </w:tc>
        <w:tc>
          <w:tcPr>
            <w:tcW w:w="0" w:type="auto"/>
            <w:shd w:val="clear" w:color="auto" w:fill="auto"/>
          </w:tcPr>
          <w:p w14:paraId="3FAA181C" w14:textId="77777777" w:rsidR="00734E4C" w:rsidRPr="0003503E" w:rsidRDefault="00734E4C" w:rsidP="00492EA8">
            <w:pPr>
              <w:spacing w:after="60"/>
              <w:jc w:val="center"/>
              <w:rPr>
                <w:sz w:val="18"/>
              </w:rPr>
            </w:pPr>
            <w:r>
              <w:rPr>
                <w:sz w:val="18"/>
              </w:rPr>
              <w:t>Agent de transformation</w:t>
            </w:r>
          </w:p>
        </w:tc>
        <w:tc>
          <w:tcPr>
            <w:tcW w:w="0" w:type="auto"/>
            <w:shd w:val="clear" w:color="auto" w:fill="auto"/>
          </w:tcPr>
          <w:p w14:paraId="7B6BC129" w14:textId="77777777" w:rsidR="00734E4C" w:rsidRPr="0003503E" w:rsidRDefault="00734E4C" w:rsidP="00492EA8">
            <w:pPr>
              <w:spacing w:after="60"/>
              <w:jc w:val="center"/>
              <w:rPr>
                <w:sz w:val="18"/>
              </w:rPr>
            </w:pPr>
            <w:r>
              <w:rPr>
                <w:sz w:val="18"/>
              </w:rPr>
              <w:t>Utilisation en laboratoire</w:t>
            </w:r>
          </w:p>
        </w:tc>
        <w:tc>
          <w:tcPr>
            <w:tcW w:w="0" w:type="auto"/>
            <w:shd w:val="clear" w:color="auto" w:fill="auto"/>
          </w:tcPr>
          <w:p w14:paraId="6FDE3DAC" w14:textId="77777777" w:rsidR="00734E4C" w:rsidRPr="0003503E" w:rsidRDefault="00734E4C" w:rsidP="00492EA8">
            <w:pPr>
              <w:spacing w:after="60"/>
              <w:jc w:val="center"/>
              <w:rPr>
                <w:sz w:val="18"/>
              </w:rPr>
            </w:pPr>
            <w:r>
              <w:rPr>
                <w:sz w:val="18"/>
              </w:rPr>
              <w:t>Consommation totale pour le secteur</w:t>
            </w:r>
          </w:p>
        </w:tc>
      </w:tr>
      <w:tr w:rsidR="00734E4C" w:rsidRPr="0003503E" w14:paraId="1A115AF2" w14:textId="77777777" w:rsidTr="005670B4">
        <w:trPr>
          <w:trHeight w:val="240"/>
        </w:trPr>
        <w:tc>
          <w:tcPr>
            <w:tcW w:w="0" w:type="auto"/>
            <w:gridSpan w:val="4"/>
            <w:shd w:val="clear" w:color="auto" w:fill="auto"/>
          </w:tcPr>
          <w:p w14:paraId="258F8008" w14:textId="77777777" w:rsidR="00734E4C" w:rsidRPr="0003503E" w:rsidRDefault="00734E4C" w:rsidP="00492EA8">
            <w:pPr>
              <w:spacing w:after="60"/>
              <w:jc w:val="center"/>
              <w:rPr>
                <w:sz w:val="18"/>
              </w:rPr>
            </w:pPr>
            <w:r>
              <w:rPr>
                <w:sz w:val="18"/>
              </w:rPr>
              <w:t xml:space="preserve"> </w:t>
            </w:r>
          </w:p>
        </w:tc>
        <w:tc>
          <w:tcPr>
            <w:tcW w:w="0" w:type="auto"/>
            <w:shd w:val="clear" w:color="auto" w:fill="auto"/>
          </w:tcPr>
          <w:p w14:paraId="0D2F7200" w14:textId="77777777" w:rsidR="00734E4C" w:rsidRPr="0003503E" w:rsidRDefault="00734E4C" w:rsidP="00492EA8">
            <w:pPr>
              <w:spacing w:after="60"/>
              <w:jc w:val="center"/>
              <w:rPr>
                <w:sz w:val="18"/>
              </w:rPr>
            </w:pPr>
            <w:r>
              <w:rPr>
                <w:sz w:val="18"/>
              </w:rPr>
              <w:t>Fabrication</w:t>
            </w:r>
          </w:p>
        </w:tc>
        <w:tc>
          <w:tcPr>
            <w:tcW w:w="0" w:type="auto"/>
            <w:shd w:val="clear" w:color="auto" w:fill="auto"/>
          </w:tcPr>
          <w:p w14:paraId="70351B3A" w14:textId="77777777" w:rsidR="00734E4C" w:rsidRPr="0003503E" w:rsidRDefault="00734E4C" w:rsidP="00492EA8">
            <w:pPr>
              <w:spacing w:after="60"/>
              <w:jc w:val="center"/>
              <w:rPr>
                <w:sz w:val="18"/>
              </w:rPr>
            </w:pPr>
            <w:r>
              <w:rPr>
                <w:sz w:val="18"/>
              </w:rPr>
              <w:t>Entretien</w:t>
            </w:r>
          </w:p>
        </w:tc>
        <w:tc>
          <w:tcPr>
            <w:tcW w:w="0" w:type="auto"/>
            <w:gridSpan w:val="4"/>
            <w:shd w:val="clear" w:color="auto" w:fill="auto"/>
          </w:tcPr>
          <w:p w14:paraId="406266DF" w14:textId="77777777" w:rsidR="00734E4C" w:rsidRPr="0003503E" w:rsidRDefault="00734E4C" w:rsidP="00492EA8">
            <w:pPr>
              <w:spacing w:after="60"/>
              <w:jc w:val="center"/>
              <w:rPr>
                <w:sz w:val="18"/>
                <w:lang w:val="en-CA"/>
              </w:rPr>
            </w:pPr>
          </w:p>
        </w:tc>
      </w:tr>
      <w:tr w:rsidR="00734E4C" w:rsidRPr="0003503E" w14:paraId="26EED0C6" w14:textId="77777777" w:rsidTr="005670B4">
        <w:trPr>
          <w:trHeight w:val="240"/>
        </w:trPr>
        <w:tc>
          <w:tcPr>
            <w:tcW w:w="1200" w:type="dxa"/>
            <w:shd w:val="clear" w:color="auto" w:fill="auto"/>
          </w:tcPr>
          <w:p w14:paraId="26DAB8E7" w14:textId="77777777" w:rsidR="00734E4C" w:rsidRPr="0003503E" w:rsidRDefault="00734E4C" w:rsidP="00492EA8">
            <w:pPr>
              <w:spacing w:after="60"/>
              <w:jc w:val="left"/>
              <w:rPr>
                <w:sz w:val="18"/>
              </w:rPr>
            </w:pPr>
            <w:r>
              <w:rPr>
                <w:sz w:val="18"/>
              </w:rPr>
              <w:t>HCFC-22</w:t>
            </w:r>
          </w:p>
        </w:tc>
        <w:tc>
          <w:tcPr>
            <w:tcW w:w="0" w:type="auto"/>
            <w:shd w:val="clear" w:color="auto" w:fill="auto"/>
          </w:tcPr>
          <w:p w14:paraId="2FF4383B" w14:textId="77777777" w:rsidR="00734E4C" w:rsidRPr="0003503E" w:rsidRDefault="00734E4C" w:rsidP="00492EA8">
            <w:pPr>
              <w:spacing w:after="60"/>
              <w:jc w:val="right"/>
              <w:rPr>
                <w:sz w:val="18"/>
                <w:lang w:val="en-CA"/>
              </w:rPr>
            </w:pPr>
          </w:p>
        </w:tc>
        <w:tc>
          <w:tcPr>
            <w:tcW w:w="0" w:type="auto"/>
            <w:shd w:val="clear" w:color="auto" w:fill="auto"/>
          </w:tcPr>
          <w:p w14:paraId="471DFFC2" w14:textId="77777777" w:rsidR="00734E4C" w:rsidRPr="0003503E" w:rsidRDefault="00734E4C" w:rsidP="00492EA8">
            <w:pPr>
              <w:spacing w:after="60"/>
              <w:jc w:val="right"/>
              <w:rPr>
                <w:sz w:val="18"/>
                <w:lang w:val="en-CA"/>
              </w:rPr>
            </w:pPr>
          </w:p>
        </w:tc>
        <w:tc>
          <w:tcPr>
            <w:tcW w:w="0" w:type="auto"/>
            <w:shd w:val="clear" w:color="auto" w:fill="auto"/>
          </w:tcPr>
          <w:p w14:paraId="64E98486" w14:textId="77777777" w:rsidR="00734E4C" w:rsidRPr="0003503E" w:rsidRDefault="00734E4C" w:rsidP="00492EA8">
            <w:pPr>
              <w:spacing w:after="60"/>
              <w:jc w:val="right"/>
              <w:rPr>
                <w:sz w:val="18"/>
                <w:lang w:val="en-CA"/>
              </w:rPr>
            </w:pPr>
          </w:p>
        </w:tc>
        <w:tc>
          <w:tcPr>
            <w:tcW w:w="0" w:type="auto"/>
            <w:shd w:val="clear" w:color="auto" w:fill="auto"/>
          </w:tcPr>
          <w:p w14:paraId="6D8DFAB8" w14:textId="77777777" w:rsidR="00734E4C" w:rsidRPr="0003503E" w:rsidRDefault="00734E4C" w:rsidP="00492EA8">
            <w:pPr>
              <w:spacing w:after="60"/>
              <w:jc w:val="right"/>
              <w:rPr>
                <w:sz w:val="18"/>
                <w:lang w:val="en-CA"/>
              </w:rPr>
            </w:pPr>
          </w:p>
        </w:tc>
        <w:tc>
          <w:tcPr>
            <w:tcW w:w="0" w:type="auto"/>
            <w:shd w:val="clear" w:color="auto" w:fill="auto"/>
          </w:tcPr>
          <w:p w14:paraId="7AD85036" w14:textId="77777777" w:rsidR="00734E4C" w:rsidRPr="0003503E" w:rsidRDefault="00734E4C" w:rsidP="00492EA8">
            <w:pPr>
              <w:spacing w:after="60"/>
              <w:jc w:val="right"/>
              <w:rPr>
                <w:sz w:val="18"/>
              </w:rPr>
            </w:pPr>
            <w:r>
              <w:rPr>
                <w:sz w:val="18"/>
              </w:rPr>
              <w:t>0,16</w:t>
            </w:r>
          </w:p>
        </w:tc>
        <w:tc>
          <w:tcPr>
            <w:tcW w:w="0" w:type="auto"/>
            <w:shd w:val="clear" w:color="auto" w:fill="auto"/>
          </w:tcPr>
          <w:p w14:paraId="578A330F" w14:textId="77777777" w:rsidR="00734E4C" w:rsidRPr="0003503E" w:rsidRDefault="00734E4C" w:rsidP="00492EA8">
            <w:pPr>
              <w:spacing w:after="60"/>
              <w:jc w:val="right"/>
              <w:rPr>
                <w:sz w:val="18"/>
                <w:lang w:val="en-CA"/>
              </w:rPr>
            </w:pPr>
          </w:p>
        </w:tc>
        <w:tc>
          <w:tcPr>
            <w:tcW w:w="0" w:type="auto"/>
            <w:shd w:val="clear" w:color="auto" w:fill="auto"/>
          </w:tcPr>
          <w:p w14:paraId="6BD5A1A2" w14:textId="77777777" w:rsidR="00734E4C" w:rsidRPr="0003503E" w:rsidRDefault="00734E4C" w:rsidP="00492EA8">
            <w:pPr>
              <w:spacing w:after="60"/>
              <w:jc w:val="right"/>
              <w:rPr>
                <w:sz w:val="18"/>
                <w:lang w:val="en-CA"/>
              </w:rPr>
            </w:pPr>
          </w:p>
        </w:tc>
        <w:tc>
          <w:tcPr>
            <w:tcW w:w="0" w:type="auto"/>
            <w:shd w:val="clear" w:color="auto" w:fill="auto"/>
          </w:tcPr>
          <w:p w14:paraId="7DA6C639" w14:textId="77777777" w:rsidR="00734E4C" w:rsidRPr="0003503E" w:rsidRDefault="00734E4C" w:rsidP="00492EA8">
            <w:pPr>
              <w:spacing w:after="60"/>
              <w:jc w:val="right"/>
              <w:rPr>
                <w:sz w:val="18"/>
                <w:lang w:val="en-CA"/>
              </w:rPr>
            </w:pPr>
          </w:p>
        </w:tc>
        <w:tc>
          <w:tcPr>
            <w:tcW w:w="0" w:type="auto"/>
            <w:shd w:val="clear" w:color="auto" w:fill="auto"/>
          </w:tcPr>
          <w:p w14:paraId="020F7B03" w14:textId="77777777" w:rsidR="00734E4C" w:rsidRPr="0003503E" w:rsidRDefault="00734E4C" w:rsidP="00492EA8">
            <w:pPr>
              <w:spacing w:after="60"/>
              <w:jc w:val="right"/>
              <w:rPr>
                <w:sz w:val="18"/>
              </w:rPr>
            </w:pPr>
            <w:r>
              <w:rPr>
                <w:sz w:val="18"/>
              </w:rPr>
              <w:t>0,16</w:t>
            </w:r>
          </w:p>
        </w:tc>
      </w:tr>
    </w:tbl>
    <w:p w14:paraId="32CBF5A1" w14:textId="77777777" w:rsidR="00734E4C" w:rsidRPr="0003503E" w:rsidRDefault="00734E4C" w:rsidP="00492EA8">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559"/>
        <w:gridCol w:w="706"/>
        <w:gridCol w:w="5029"/>
        <w:gridCol w:w="706"/>
      </w:tblGrid>
      <w:tr w:rsidR="00734E4C" w:rsidRPr="0003503E" w14:paraId="32921AC1" w14:textId="77777777" w:rsidTr="005670B4">
        <w:trPr>
          <w:trHeight w:val="240"/>
        </w:trPr>
        <w:tc>
          <w:tcPr>
            <w:tcW w:w="0" w:type="auto"/>
            <w:gridSpan w:val="4"/>
            <w:shd w:val="clear" w:color="auto" w:fill="auto"/>
          </w:tcPr>
          <w:p w14:paraId="559AE6B9" w14:textId="77777777" w:rsidR="00734E4C" w:rsidRPr="0003503E" w:rsidRDefault="00734E4C" w:rsidP="00492EA8">
            <w:pPr>
              <w:spacing w:after="60"/>
              <w:jc w:val="left"/>
              <w:rPr>
                <w:b/>
                <w:sz w:val="18"/>
              </w:rPr>
            </w:pPr>
            <w:r>
              <w:rPr>
                <w:b/>
                <w:sz w:val="18"/>
              </w:rPr>
              <w:t>(IV) DONNÉES SUR LA CONSOMMATION (tonnes PAO)</w:t>
            </w:r>
          </w:p>
        </w:tc>
      </w:tr>
      <w:tr w:rsidR="00734E4C" w:rsidRPr="0003503E" w14:paraId="3F8368F9" w14:textId="77777777" w:rsidTr="005670B4">
        <w:trPr>
          <w:trHeight w:val="240"/>
        </w:trPr>
        <w:tc>
          <w:tcPr>
            <w:tcW w:w="0" w:type="auto"/>
            <w:shd w:val="clear" w:color="auto" w:fill="auto"/>
          </w:tcPr>
          <w:p w14:paraId="2A1925E5" w14:textId="77777777" w:rsidR="00734E4C" w:rsidRPr="0003503E" w:rsidRDefault="00734E4C" w:rsidP="00492EA8">
            <w:pPr>
              <w:spacing w:after="60"/>
              <w:jc w:val="center"/>
              <w:rPr>
                <w:sz w:val="18"/>
              </w:rPr>
            </w:pPr>
            <w:r>
              <w:rPr>
                <w:sz w:val="18"/>
              </w:rPr>
              <w:t>Valeur de référence 2009 – 2010 :</w:t>
            </w:r>
          </w:p>
        </w:tc>
        <w:tc>
          <w:tcPr>
            <w:tcW w:w="0" w:type="auto"/>
            <w:shd w:val="clear" w:color="auto" w:fill="auto"/>
          </w:tcPr>
          <w:p w14:paraId="21CF9C7B" w14:textId="77777777" w:rsidR="00734E4C" w:rsidRPr="0003503E" w:rsidRDefault="00734E4C" w:rsidP="00492EA8">
            <w:pPr>
              <w:spacing w:after="60"/>
              <w:jc w:val="right"/>
              <w:rPr>
                <w:sz w:val="18"/>
              </w:rPr>
            </w:pPr>
            <w:r>
              <w:rPr>
                <w:sz w:val="18"/>
              </w:rPr>
              <w:t>0,40</w:t>
            </w:r>
          </w:p>
        </w:tc>
        <w:tc>
          <w:tcPr>
            <w:tcW w:w="0" w:type="auto"/>
            <w:shd w:val="clear" w:color="auto" w:fill="auto"/>
          </w:tcPr>
          <w:p w14:paraId="34B2EFCE" w14:textId="77777777" w:rsidR="00734E4C" w:rsidRPr="0003503E" w:rsidRDefault="00734E4C" w:rsidP="00492EA8">
            <w:pPr>
              <w:spacing w:after="60"/>
              <w:jc w:val="center"/>
              <w:rPr>
                <w:sz w:val="18"/>
              </w:rPr>
            </w:pPr>
            <w:r>
              <w:rPr>
                <w:sz w:val="18"/>
              </w:rPr>
              <w:t>Point de départ des réductions globales durables :</w:t>
            </w:r>
          </w:p>
        </w:tc>
        <w:tc>
          <w:tcPr>
            <w:tcW w:w="0" w:type="auto"/>
            <w:shd w:val="clear" w:color="auto" w:fill="auto"/>
          </w:tcPr>
          <w:p w14:paraId="4FA67280" w14:textId="77777777" w:rsidR="00734E4C" w:rsidRPr="0003503E" w:rsidRDefault="00734E4C" w:rsidP="00492EA8">
            <w:pPr>
              <w:spacing w:after="60"/>
              <w:jc w:val="right"/>
              <w:rPr>
                <w:sz w:val="18"/>
              </w:rPr>
            </w:pPr>
            <w:r>
              <w:rPr>
                <w:sz w:val="18"/>
              </w:rPr>
              <w:t>0,23</w:t>
            </w:r>
          </w:p>
        </w:tc>
      </w:tr>
      <w:tr w:rsidR="00734E4C" w:rsidRPr="0003503E" w14:paraId="68FAD9D9" w14:textId="77777777" w:rsidTr="005670B4">
        <w:trPr>
          <w:trHeight w:val="240"/>
        </w:trPr>
        <w:tc>
          <w:tcPr>
            <w:tcW w:w="0" w:type="auto"/>
            <w:gridSpan w:val="4"/>
            <w:shd w:val="clear" w:color="auto" w:fill="auto"/>
          </w:tcPr>
          <w:p w14:paraId="2F5EF572" w14:textId="77777777" w:rsidR="00734E4C" w:rsidRPr="0003503E" w:rsidRDefault="00734E4C" w:rsidP="00492EA8">
            <w:pPr>
              <w:spacing w:after="60"/>
              <w:jc w:val="center"/>
              <w:rPr>
                <w:b/>
                <w:sz w:val="18"/>
              </w:rPr>
            </w:pPr>
            <w:r>
              <w:rPr>
                <w:b/>
                <w:sz w:val="18"/>
              </w:rPr>
              <w:t>CONSOMMATION ADMISSIBLE AU FINANCEMENT (tonnes PAO)</w:t>
            </w:r>
          </w:p>
        </w:tc>
      </w:tr>
      <w:tr w:rsidR="00734E4C" w:rsidRPr="0003503E" w14:paraId="7066CBEF" w14:textId="77777777" w:rsidTr="005670B4">
        <w:trPr>
          <w:trHeight w:val="240"/>
        </w:trPr>
        <w:tc>
          <w:tcPr>
            <w:tcW w:w="0" w:type="auto"/>
            <w:shd w:val="clear" w:color="auto" w:fill="auto"/>
          </w:tcPr>
          <w:p w14:paraId="7A8445F3" w14:textId="77777777" w:rsidR="00734E4C" w:rsidRPr="0003503E" w:rsidRDefault="0005355B" w:rsidP="00492EA8">
            <w:pPr>
              <w:spacing w:after="60"/>
              <w:jc w:val="center"/>
              <w:rPr>
                <w:sz w:val="18"/>
              </w:rPr>
            </w:pPr>
            <w:r>
              <w:rPr>
                <w:sz w:val="18"/>
              </w:rPr>
              <w:t>Déjà approuvée </w:t>
            </w:r>
            <w:r w:rsidR="00734E4C">
              <w:rPr>
                <w:sz w:val="18"/>
              </w:rPr>
              <w:t>:</w:t>
            </w:r>
          </w:p>
        </w:tc>
        <w:tc>
          <w:tcPr>
            <w:tcW w:w="0" w:type="auto"/>
            <w:shd w:val="clear" w:color="auto" w:fill="auto"/>
          </w:tcPr>
          <w:p w14:paraId="3F7C7F9A" w14:textId="77777777" w:rsidR="00734E4C" w:rsidRPr="0003503E" w:rsidRDefault="00734E4C" w:rsidP="00492EA8">
            <w:pPr>
              <w:spacing w:after="60"/>
              <w:jc w:val="right"/>
              <w:rPr>
                <w:sz w:val="18"/>
              </w:rPr>
            </w:pPr>
            <w:r>
              <w:rPr>
                <w:sz w:val="18"/>
              </w:rPr>
              <w:t>0,08</w:t>
            </w:r>
          </w:p>
        </w:tc>
        <w:tc>
          <w:tcPr>
            <w:tcW w:w="0" w:type="auto"/>
            <w:shd w:val="clear" w:color="auto" w:fill="auto"/>
          </w:tcPr>
          <w:p w14:paraId="26380865" w14:textId="77777777" w:rsidR="00734E4C" w:rsidRPr="0003503E" w:rsidRDefault="00734E4C" w:rsidP="00492EA8">
            <w:pPr>
              <w:spacing w:after="60"/>
              <w:jc w:val="center"/>
              <w:rPr>
                <w:sz w:val="18"/>
              </w:rPr>
            </w:pPr>
            <w:r>
              <w:rPr>
                <w:sz w:val="18"/>
              </w:rPr>
              <w:t>Restante :</w:t>
            </w:r>
          </w:p>
        </w:tc>
        <w:tc>
          <w:tcPr>
            <w:tcW w:w="0" w:type="auto"/>
            <w:shd w:val="clear" w:color="auto" w:fill="auto"/>
          </w:tcPr>
          <w:p w14:paraId="4EA6CF2D" w14:textId="77777777" w:rsidR="00734E4C" w:rsidRPr="0003503E" w:rsidRDefault="00734E4C" w:rsidP="00492EA8">
            <w:pPr>
              <w:spacing w:after="60"/>
              <w:jc w:val="right"/>
              <w:rPr>
                <w:sz w:val="18"/>
              </w:rPr>
            </w:pPr>
            <w:r>
              <w:rPr>
                <w:sz w:val="18"/>
              </w:rPr>
              <w:t>0,15</w:t>
            </w:r>
          </w:p>
        </w:tc>
      </w:tr>
    </w:tbl>
    <w:p w14:paraId="32AA80D1" w14:textId="77777777" w:rsidR="00734E4C" w:rsidRPr="0003503E" w:rsidRDefault="00734E4C" w:rsidP="00492EA8">
      <w:pPr>
        <w:spacing w:after="60"/>
        <w:jc w:val="center"/>
        <w:rPr>
          <w:lang w:val="en-CA"/>
        </w:rPr>
      </w:pPr>
    </w:p>
    <w:tbl>
      <w:tblPr>
        <w:tblStyle w:val="TableGrid"/>
        <w:tblW w:w="10004"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23"/>
        <w:gridCol w:w="4980"/>
        <w:gridCol w:w="1267"/>
        <w:gridCol w:w="1267"/>
        <w:gridCol w:w="1267"/>
      </w:tblGrid>
      <w:tr w:rsidR="00734E4C" w:rsidRPr="0003503E" w14:paraId="49B3617B" w14:textId="77777777" w:rsidTr="005670B4">
        <w:trPr>
          <w:trHeight w:val="281"/>
        </w:trPr>
        <w:tc>
          <w:tcPr>
            <w:tcW w:w="0" w:type="auto"/>
            <w:gridSpan w:val="2"/>
            <w:shd w:val="clear" w:color="auto" w:fill="auto"/>
          </w:tcPr>
          <w:p w14:paraId="521CA878" w14:textId="77777777" w:rsidR="00734E4C" w:rsidRPr="0003503E" w:rsidRDefault="00734E4C" w:rsidP="00492EA8">
            <w:pPr>
              <w:spacing w:after="60"/>
              <w:jc w:val="left"/>
              <w:rPr>
                <w:b/>
                <w:sz w:val="18"/>
              </w:rPr>
            </w:pPr>
            <w:r>
              <w:rPr>
                <w:b/>
                <w:sz w:val="18"/>
              </w:rPr>
              <w:t>(V) PLAN D’ACTIVITÉS</w:t>
            </w:r>
          </w:p>
        </w:tc>
        <w:tc>
          <w:tcPr>
            <w:tcW w:w="0" w:type="auto"/>
            <w:shd w:val="clear" w:color="auto" w:fill="auto"/>
          </w:tcPr>
          <w:p w14:paraId="3077D591" w14:textId="77777777" w:rsidR="00734E4C" w:rsidRPr="0003503E" w:rsidRDefault="00734E4C" w:rsidP="00492EA8">
            <w:pPr>
              <w:spacing w:after="60"/>
              <w:jc w:val="center"/>
              <w:rPr>
                <w:b/>
                <w:sz w:val="18"/>
              </w:rPr>
            </w:pPr>
            <w:r>
              <w:rPr>
                <w:b/>
                <w:sz w:val="18"/>
              </w:rPr>
              <w:t>2019</w:t>
            </w:r>
          </w:p>
        </w:tc>
        <w:tc>
          <w:tcPr>
            <w:tcW w:w="0" w:type="auto"/>
            <w:shd w:val="clear" w:color="auto" w:fill="auto"/>
          </w:tcPr>
          <w:p w14:paraId="0048EA94" w14:textId="77777777" w:rsidR="00734E4C" w:rsidRPr="0003503E" w:rsidRDefault="00734E4C" w:rsidP="00492EA8">
            <w:pPr>
              <w:spacing w:after="60"/>
              <w:jc w:val="center"/>
              <w:rPr>
                <w:b/>
                <w:sz w:val="18"/>
              </w:rPr>
            </w:pPr>
            <w:r>
              <w:rPr>
                <w:b/>
                <w:sz w:val="18"/>
              </w:rPr>
              <w:t>2020</w:t>
            </w:r>
          </w:p>
        </w:tc>
        <w:tc>
          <w:tcPr>
            <w:tcW w:w="0" w:type="auto"/>
            <w:shd w:val="clear" w:color="auto" w:fill="auto"/>
          </w:tcPr>
          <w:p w14:paraId="085BED83" w14:textId="77777777" w:rsidR="00734E4C" w:rsidRPr="0003503E" w:rsidRDefault="00734E4C" w:rsidP="00492EA8">
            <w:pPr>
              <w:spacing w:after="60"/>
              <w:jc w:val="center"/>
              <w:rPr>
                <w:b/>
                <w:sz w:val="18"/>
              </w:rPr>
            </w:pPr>
            <w:r>
              <w:rPr>
                <w:b/>
                <w:sz w:val="18"/>
              </w:rPr>
              <w:t>Total</w:t>
            </w:r>
          </w:p>
        </w:tc>
      </w:tr>
      <w:tr w:rsidR="00734E4C" w:rsidRPr="0003503E" w14:paraId="5C9D4F0A" w14:textId="77777777" w:rsidTr="005670B4">
        <w:trPr>
          <w:trHeight w:val="281"/>
        </w:trPr>
        <w:tc>
          <w:tcPr>
            <w:tcW w:w="0" w:type="auto"/>
            <w:vMerge w:val="restart"/>
            <w:shd w:val="clear" w:color="auto" w:fill="auto"/>
          </w:tcPr>
          <w:p w14:paraId="01AF77F5" w14:textId="77777777" w:rsidR="00734E4C" w:rsidRPr="0003503E" w:rsidRDefault="00734E4C" w:rsidP="00492EA8">
            <w:pPr>
              <w:spacing w:after="60"/>
              <w:jc w:val="center"/>
              <w:rPr>
                <w:sz w:val="18"/>
              </w:rPr>
            </w:pPr>
            <w:r>
              <w:rPr>
                <w:sz w:val="18"/>
              </w:rPr>
              <w:t>PNUE</w:t>
            </w:r>
          </w:p>
        </w:tc>
        <w:tc>
          <w:tcPr>
            <w:tcW w:w="0" w:type="auto"/>
            <w:shd w:val="clear" w:color="auto" w:fill="auto"/>
          </w:tcPr>
          <w:p w14:paraId="439992BF" w14:textId="77777777" w:rsidR="00734E4C" w:rsidRPr="0003503E" w:rsidRDefault="00734E4C" w:rsidP="00492EA8">
            <w:pPr>
              <w:spacing w:after="60"/>
              <w:jc w:val="left"/>
              <w:rPr>
                <w:sz w:val="18"/>
              </w:rPr>
            </w:pPr>
            <w:r>
              <w:rPr>
                <w:sz w:val="18"/>
              </w:rPr>
              <w:t>Élimination des SAO (tonnes PAO)</w:t>
            </w:r>
          </w:p>
        </w:tc>
        <w:tc>
          <w:tcPr>
            <w:tcW w:w="0" w:type="auto"/>
            <w:shd w:val="clear" w:color="auto" w:fill="auto"/>
          </w:tcPr>
          <w:p w14:paraId="759F91B0" w14:textId="77777777" w:rsidR="00734E4C" w:rsidRPr="0003503E" w:rsidRDefault="00734E4C" w:rsidP="00492EA8">
            <w:pPr>
              <w:spacing w:after="60"/>
              <w:jc w:val="right"/>
              <w:rPr>
                <w:sz w:val="18"/>
              </w:rPr>
            </w:pPr>
            <w:r>
              <w:rPr>
                <w:sz w:val="18"/>
              </w:rPr>
              <w:t>0,03</w:t>
            </w:r>
          </w:p>
        </w:tc>
        <w:tc>
          <w:tcPr>
            <w:tcW w:w="0" w:type="auto"/>
            <w:shd w:val="clear" w:color="auto" w:fill="auto"/>
          </w:tcPr>
          <w:p w14:paraId="05A4F7CA" w14:textId="77777777" w:rsidR="00734E4C" w:rsidRPr="0003503E" w:rsidRDefault="00734E4C" w:rsidP="00492EA8">
            <w:pPr>
              <w:spacing w:after="60"/>
              <w:jc w:val="right"/>
              <w:rPr>
                <w:sz w:val="18"/>
              </w:rPr>
            </w:pPr>
            <w:r>
              <w:rPr>
                <w:sz w:val="18"/>
              </w:rPr>
              <w:t>0,01</w:t>
            </w:r>
          </w:p>
        </w:tc>
        <w:tc>
          <w:tcPr>
            <w:tcW w:w="0" w:type="auto"/>
            <w:shd w:val="clear" w:color="auto" w:fill="auto"/>
          </w:tcPr>
          <w:p w14:paraId="24C2B4C2" w14:textId="77777777" w:rsidR="00734E4C" w:rsidRPr="0003503E" w:rsidRDefault="00734E4C" w:rsidP="00492EA8">
            <w:pPr>
              <w:spacing w:after="60"/>
              <w:jc w:val="right"/>
              <w:rPr>
                <w:sz w:val="18"/>
              </w:rPr>
            </w:pPr>
            <w:r>
              <w:rPr>
                <w:sz w:val="18"/>
              </w:rPr>
              <w:t>0,04</w:t>
            </w:r>
          </w:p>
        </w:tc>
      </w:tr>
      <w:tr w:rsidR="00734E4C" w:rsidRPr="0003503E" w14:paraId="2225ED88" w14:textId="77777777" w:rsidTr="005670B4">
        <w:trPr>
          <w:trHeight w:val="281"/>
        </w:trPr>
        <w:tc>
          <w:tcPr>
            <w:tcW w:w="0" w:type="auto"/>
            <w:vMerge/>
            <w:shd w:val="clear" w:color="auto" w:fill="auto"/>
          </w:tcPr>
          <w:p w14:paraId="19EE274C" w14:textId="77777777" w:rsidR="00734E4C" w:rsidRPr="0003503E" w:rsidRDefault="00734E4C" w:rsidP="00492EA8">
            <w:pPr>
              <w:spacing w:after="60"/>
              <w:jc w:val="center"/>
              <w:rPr>
                <w:sz w:val="18"/>
                <w:lang w:val="en-CA"/>
              </w:rPr>
            </w:pPr>
          </w:p>
        </w:tc>
        <w:tc>
          <w:tcPr>
            <w:tcW w:w="0" w:type="auto"/>
            <w:shd w:val="clear" w:color="auto" w:fill="auto"/>
          </w:tcPr>
          <w:p w14:paraId="60666154" w14:textId="77777777" w:rsidR="00734E4C" w:rsidRPr="0003503E" w:rsidRDefault="00734E4C" w:rsidP="00492EA8">
            <w:pPr>
              <w:spacing w:after="60"/>
              <w:jc w:val="left"/>
              <w:rPr>
                <w:sz w:val="18"/>
              </w:rPr>
            </w:pPr>
            <w:r>
              <w:rPr>
                <w:sz w:val="18"/>
              </w:rPr>
              <w:t>Financement ($ US)</w:t>
            </w:r>
          </w:p>
        </w:tc>
        <w:tc>
          <w:tcPr>
            <w:tcW w:w="0" w:type="auto"/>
            <w:shd w:val="clear" w:color="auto" w:fill="auto"/>
          </w:tcPr>
          <w:p w14:paraId="52B0C1BC" w14:textId="77777777" w:rsidR="00734E4C" w:rsidRPr="0003503E" w:rsidRDefault="00734E4C" w:rsidP="00492EA8">
            <w:pPr>
              <w:spacing w:after="60"/>
              <w:jc w:val="right"/>
              <w:rPr>
                <w:sz w:val="18"/>
              </w:rPr>
            </w:pPr>
            <w:r>
              <w:rPr>
                <w:sz w:val="18"/>
              </w:rPr>
              <w:t>74 354</w:t>
            </w:r>
          </w:p>
        </w:tc>
        <w:tc>
          <w:tcPr>
            <w:tcW w:w="0" w:type="auto"/>
            <w:shd w:val="clear" w:color="auto" w:fill="auto"/>
          </w:tcPr>
          <w:p w14:paraId="62052A8D" w14:textId="77777777" w:rsidR="00734E4C" w:rsidRPr="0003503E" w:rsidRDefault="00734E4C" w:rsidP="00492EA8">
            <w:pPr>
              <w:spacing w:after="60"/>
              <w:jc w:val="right"/>
              <w:rPr>
                <w:sz w:val="18"/>
              </w:rPr>
            </w:pPr>
            <w:r>
              <w:rPr>
                <w:sz w:val="18"/>
              </w:rPr>
              <w:t>18 588</w:t>
            </w:r>
          </w:p>
        </w:tc>
        <w:tc>
          <w:tcPr>
            <w:tcW w:w="0" w:type="auto"/>
            <w:shd w:val="clear" w:color="auto" w:fill="auto"/>
          </w:tcPr>
          <w:p w14:paraId="7B3E5A95" w14:textId="77777777" w:rsidR="00734E4C" w:rsidRPr="0003503E" w:rsidRDefault="00734E4C" w:rsidP="00492EA8">
            <w:pPr>
              <w:spacing w:after="60"/>
              <w:jc w:val="right"/>
              <w:rPr>
                <w:sz w:val="18"/>
              </w:rPr>
            </w:pPr>
            <w:r>
              <w:rPr>
                <w:sz w:val="18"/>
              </w:rPr>
              <w:t>92 942</w:t>
            </w:r>
          </w:p>
        </w:tc>
      </w:tr>
    </w:tbl>
    <w:p w14:paraId="2416475C" w14:textId="77777777" w:rsidR="00734E4C" w:rsidRPr="0003503E" w:rsidRDefault="00734E4C" w:rsidP="00492EA8">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CellMar>
          <w:left w:w="57" w:type="dxa"/>
          <w:right w:w="57" w:type="dxa"/>
        </w:tblCellMar>
        <w:tblLook w:val="04A0" w:firstRow="1" w:lastRow="0" w:firstColumn="1" w:lastColumn="0" w:noHBand="0" w:noVBand="1"/>
      </w:tblPr>
      <w:tblGrid>
        <w:gridCol w:w="826"/>
        <w:gridCol w:w="693"/>
        <w:gridCol w:w="831"/>
        <w:gridCol w:w="743"/>
        <w:gridCol w:w="585"/>
        <w:gridCol w:w="586"/>
        <w:gridCol w:w="585"/>
        <w:gridCol w:w="586"/>
        <w:gridCol w:w="586"/>
        <w:gridCol w:w="637"/>
        <w:gridCol w:w="534"/>
        <w:gridCol w:w="586"/>
        <w:gridCol w:w="741"/>
        <w:gridCol w:w="740"/>
        <w:gridCol w:w="741"/>
      </w:tblGrid>
      <w:tr w:rsidR="00734E4C" w:rsidRPr="0003503E" w14:paraId="776BBD84" w14:textId="77777777" w:rsidTr="005670B4">
        <w:trPr>
          <w:trHeight w:val="253"/>
        </w:trPr>
        <w:tc>
          <w:tcPr>
            <w:tcW w:w="2350" w:type="dxa"/>
            <w:gridSpan w:val="3"/>
            <w:shd w:val="clear" w:color="auto" w:fill="auto"/>
          </w:tcPr>
          <w:p w14:paraId="05BC5CCE" w14:textId="77777777" w:rsidR="00734E4C" w:rsidRPr="0003503E" w:rsidRDefault="00734E4C" w:rsidP="00492EA8">
            <w:pPr>
              <w:spacing w:after="60"/>
              <w:jc w:val="left"/>
              <w:rPr>
                <w:b/>
                <w:sz w:val="18"/>
              </w:rPr>
            </w:pPr>
            <w:r>
              <w:rPr>
                <w:b/>
                <w:sz w:val="18"/>
              </w:rPr>
              <w:t>(VI) DONNÉES DU PROJET</w:t>
            </w:r>
          </w:p>
        </w:tc>
        <w:tc>
          <w:tcPr>
            <w:tcW w:w="743" w:type="dxa"/>
          </w:tcPr>
          <w:p w14:paraId="26411026" w14:textId="77777777" w:rsidR="00734E4C" w:rsidRPr="0003503E" w:rsidRDefault="00734E4C" w:rsidP="00492EA8">
            <w:pPr>
              <w:spacing w:after="60"/>
              <w:jc w:val="center"/>
              <w:rPr>
                <w:b/>
                <w:sz w:val="18"/>
                <w:szCs w:val="18"/>
              </w:rPr>
            </w:pPr>
            <w:r>
              <w:rPr>
                <w:b/>
                <w:sz w:val="18"/>
                <w:szCs w:val="18"/>
              </w:rPr>
              <w:t>2010</w:t>
            </w:r>
          </w:p>
        </w:tc>
        <w:tc>
          <w:tcPr>
            <w:tcW w:w="585" w:type="dxa"/>
          </w:tcPr>
          <w:p w14:paraId="291535F5" w14:textId="77777777" w:rsidR="00734E4C" w:rsidRPr="0003503E" w:rsidRDefault="00734E4C" w:rsidP="00492EA8">
            <w:pPr>
              <w:spacing w:after="60"/>
              <w:jc w:val="center"/>
              <w:rPr>
                <w:b/>
                <w:sz w:val="18"/>
                <w:szCs w:val="18"/>
              </w:rPr>
            </w:pPr>
            <w:r>
              <w:rPr>
                <w:b/>
                <w:sz w:val="18"/>
                <w:szCs w:val="18"/>
              </w:rPr>
              <w:t>2011</w:t>
            </w:r>
          </w:p>
        </w:tc>
        <w:tc>
          <w:tcPr>
            <w:tcW w:w="586" w:type="dxa"/>
          </w:tcPr>
          <w:p w14:paraId="2DC3BBAA" w14:textId="77777777" w:rsidR="00734E4C" w:rsidRPr="0003503E" w:rsidRDefault="00734E4C" w:rsidP="00492EA8">
            <w:pPr>
              <w:spacing w:after="60"/>
              <w:jc w:val="center"/>
              <w:rPr>
                <w:b/>
                <w:sz w:val="18"/>
                <w:szCs w:val="18"/>
              </w:rPr>
            </w:pPr>
            <w:r>
              <w:rPr>
                <w:b/>
                <w:sz w:val="18"/>
                <w:szCs w:val="18"/>
              </w:rPr>
              <w:t>2012</w:t>
            </w:r>
          </w:p>
        </w:tc>
        <w:tc>
          <w:tcPr>
            <w:tcW w:w="585" w:type="dxa"/>
            <w:shd w:val="clear" w:color="auto" w:fill="auto"/>
          </w:tcPr>
          <w:p w14:paraId="4903436C" w14:textId="77777777" w:rsidR="00734E4C" w:rsidRPr="0003503E" w:rsidRDefault="00734E4C" w:rsidP="00492EA8">
            <w:pPr>
              <w:spacing w:after="60"/>
              <w:jc w:val="center"/>
              <w:rPr>
                <w:b/>
                <w:sz w:val="18"/>
                <w:szCs w:val="18"/>
              </w:rPr>
            </w:pPr>
            <w:r>
              <w:rPr>
                <w:b/>
                <w:sz w:val="18"/>
                <w:szCs w:val="18"/>
              </w:rPr>
              <w:t>2013</w:t>
            </w:r>
          </w:p>
        </w:tc>
        <w:tc>
          <w:tcPr>
            <w:tcW w:w="586" w:type="dxa"/>
            <w:shd w:val="clear" w:color="auto" w:fill="auto"/>
          </w:tcPr>
          <w:p w14:paraId="1D3E57D5" w14:textId="77777777" w:rsidR="00734E4C" w:rsidRPr="0003503E" w:rsidRDefault="00734E4C" w:rsidP="00492EA8">
            <w:pPr>
              <w:spacing w:after="60"/>
              <w:jc w:val="center"/>
              <w:rPr>
                <w:b/>
                <w:sz w:val="18"/>
                <w:szCs w:val="18"/>
              </w:rPr>
            </w:pPr>
            <w:r>
              <w:rPr>
                <w:b/>
                <w:sz w:val="18"/>
                <w:szCs w:val="18"/>
              </w:rPr>
              <w:t>2014</w:t>
            </w:r>
          </w:p>
        </w:tc>
        <w:tc>
          <w:tcPr>
            <w:tcW w:w="586" w:type="dxa"/>
            <w:shd w:val="clear" w:color="auto" w:fill="auto"/>
          </w:tcPr>
          <w:p w14:paraId="7BBC58CC" w14:textId="77777777" w:rsidR="00734E4C" w:rsidRPr="0003503E" w:rsidRDefault="00734E4C" w:rsidP="00492EA8">
            <w:pPr>
              <w:spacing w:after="60"/>
              <w:jc w:val="center"/>
              <w:rPr>
                <w:b/>
                <w:sz w:val="18"/>
                <w:szCs w:val="18"/>
              </w:rPr>
            </w:pPr>
            <w:r>
              <w:rPr>
                <w:b/>
                <w:sz w:val="18"/>
                <w:szCs w:val="18"/>
              </w:rPr>
              <w:t>2015</w:t>
            </w:r>
          </w:p>
        </w:tc>
        <w:tc>
          <w:tcPr>
            <w:tcW w:w="637" w:type="dxa"/>
            <w:shd w:val="clear" w:color="auto" w:fill="auto"/>
          </w:tcPr>
          <w:p w14:paraId="03A782D3" w14:textId="77777777" w:rsidR="00734E4C" w:rsidRPr="0003503E" w:rsidRDefault="00734E4C" w:rsidP="00492EA8">
            <w:pPr>
              <w:spacing w:after="60"/>
              <w:jc w:val="center"/>
              <w:rPr>
                <w:b/>
                <w:sz w:val="18"/>
                <w:szCs w:val="18"/>
              </w:rPr>
            </w:pPr>
            <w:r>
              <w:rPr>
                <w:b/>
                <w:sz w:val="18"/>
                <w:szCs w:val="18"/>
              </w:rPr>
              <w:t>2016</w:t>
            </w:r>
          </w:p>
        </w:tc>
        <w:tc>
          <w:tcPr>
            <w:tcW w:w="534" w:type="dxa"/>
            <w:shd w:val="clear" w:color="auto" w:fill="auto"/>
          </w:tcPr>
          <w:p w14:paraId="4C527DBE" w14:textId="77777777" w:rsidR="00734E4C" w:rsidRPr="0003503E" w:rsidRDefault="00734E4C" w:rsidP="00492EA8">
            <w:pPr>
              <w:spacing w:after="60"/>
              <w:jc w:val="center"/>
              <w:rPr>
                <w:b/>
                <w:sz w:val="18"/>
                <w:szCs w:val="18"/>
              </w:rPr>
            </w:pPr>
            <w:r>
              <w:rPr>
                <w:b/>
                <w:sz w:val="18"/>
                <w:szCs w:val="18"/>
              </w:rPr>
              <w:t>2017</w:t>
            </w:r>
          </w:p>
        </w:tc>
        <w:tc>
          <w:tcPr>
            <w:tcW w:w="586" w:type="dxa"/>
            <w:shd w:val="clear" w:color="auto" w:fill="auto"/>
          </w:tcPr>
          <w:p w14:paraId="13AEB87E" w14:textId="77777777" w:rsidR="00734E4C" w:rsidRPr="0003503E" w:rsidRDefault="00734E4C" w:rsidP="00492EA8">
            <w:pPr>
              <w:spacing w:after="60"/>
              <w:jc w:val="center"/>
              <w:rPr>
                <w:b/>
                <w:sz w:val="18"/>
                <w:szCs w:val="18"/>
              </w:rPr>
            </w:pPr>
            <w:r>
              <w:rPr>
                <w:b/>
                <w:sz w:val="18"/>
                <w:szCs w:val="18"/>
              </w:rPr>
              <w:t>2018</w:t>
            </w:r>
          </w:p>
        </w:tc>
        <w:tc>
          <w:tcPr>
            <w:tcW w:w="741" w:type="dxa"/>
            <w:shd w:val="clear" w:color="auto" w:fill="auto"/>
          </w:tcPr>
          <w:p w14:paraId="30E884C7" w14:textId="77777777" w:rsidR="00734E4C" w:rsidRPr="0003503E" w:rsidRDefault="00734E4C" w:rsidP="00492EA8">
            <w:pPr>
              <w:spacing w:after="60"/>
              <w:jc w:val="center"/>
              <w:rPr>
                <w:b/>
                <w:sz w:val="18"/>
                <w:szCs w:val="18"/>
              </w:rPr>
            </w:pPr>
            <w:r>
              <w:rPr>
                <w:b/>
                <w:sz w:val="18"/>
                <w:szCs w:val="18"/>
              </w:rPr>
              <w:t>2019*</w:t>
            </w:r>
          </w:p>
        </w:tc>
        <w:tc>
          <w:tcPr>
            <w:tcW w:w="740" w:type="dxa"/>
            <w:shd w:val="clear" w:color="auto" w:fill="auto"/>
          </w:tcPr>
          <w:p w14:paraId="633A9950" w14:textId="77777777" w:rsidR="00734E4C" w:rsidRPr="0003503E" w:rsidRDefault="00734E4C" w:rsidP="00492EA8">
            <w:pPr>
              <w:spacing w:after="60"/>
              <w:jc w:val="center"/>
              <w:rPr>
                <w:b/>
                <w:sz w:val="18"/>
                <w:szCs w:val="18"/>
              </w:rPr>
            </w:pPr>
            <w:r>
              <w:rPr>
                <w:b/>
                <w:sz w:val="18"/>
                <w:szCs w:val="18"/>
              </w:rPr>
              <w:t>2020</w:t>
            </w:r>
          </w:p>
        </w:tc>
        <w:tc>
          <w:tcPr>
            <w:tcW w:w="741" w:type="dxa"/>
            <w:shd w:val="clear" w:color="auto" w:fill="auto"/>
          </w:tcPr>
          <w:p w14:paraId="5A1875CA" w14:textId="77777777" w:rsidR="00734E4C" w:rsidRPr="0003503E" w:rsidRDefault="00734E4C" w:rsidP="00492EA8">
            <w:pPr>
              <w:spacing w:after="60"/>
              <w:jc w:val="center"/>
              <w:rPr>
                <w:b/>
                <w:sz w:val="18"/>
                <w:szCs w:val="18"/>
              </w:rPr>
            </w:pPr>
            <w:r>
              <w:rPr>
                <w:b/>
                <w:sz w:val="18"/>
                <w:szCs w:val="18"/>
              </w:rPr>
              <w:t>Total</w:t>
            </w:r>
          </w:p>
        </w:tc>
      </w:tr>
      <w:tr w:rsidR="00734E4C" w:rsidRPr="0003503E" w14:paraId="3037BC60" w14:textId="77777777" w:rsidTr="005670B4">
        <w:trPr>
          <w:trHeight w:val="253"/>
        </w:trPr>
        <w:tc>
          <w:tcPr>
            <w:tcW w:w="2350" w:type="dxa"/>
            <w:gridSpan w:val="3"/>
            <w:shd w:val="clear" w:color="auto" w:fill="auto"/>
          </w:tcPr>
          <w:p w14:paraId="7B5269CF" w14:textId="77777777" w:rsidR="00734E4C" w:rsidRPr="0003503E" w:rsidRDefault="00734E4C" w:rsidP="00492EA8">
            <w:pPr>
              <w:spacing w:after="60"/>
              <w:jc w:val="left"/>
              <w:rPr>
                <w:sz w:val="18"/>
              </w:rPr>
            </w:pPr>
            <w:r>
              <w:rPr>
                <w:sz w:val="18"/>
              </w:rPr>
              <w:t>Limites de consommation en vertu du Protocole de Montréal</w:t>
            </w:r>
          </w:p>
        </w:tc>
        <w:tc>
          <w:tcPr>
            <w:tcW w:w="743" w:type="dxa"/>
            <w:shd w:val="clear" w:color="auto" w:fill="auto"/>
          </w:tcPr>
          <w:p w14:paraId="23B229F4" w14:textId="77777777" w:rsidR="00734E4C" w:rsidRPr="0003503E" w:rsidRDefault="00734E4C" w:rsidP="00492EA8">
            <w:pPr>
              <w:spacing w:after="60"/>
              <w:jc w:val="center"/>
              <w:rPr>
                <w:sz w:val="18"/>
                <w:szCs w:val="18"/>
              </w:rPr>
            </w:pPr>
            <w:r>
              <w:rPr>
                <w:sz w:val="18"/>
                <w:szCs w:val="18"/>
              </w:rPr>
              <w:t>s. o.</w:t>
            </w:r>
          </w:p>
        </w:tc>
        <w:tc>
          <w:tcPr>
            <w:tcW w:w="585" w:type="dxa"/>
            <w:shd w:val="clear" w:color="auto" w:fill="auto"/>
          </w:tcPr>
          <w:p w14:paraId="050043F2" w14:textId="77777777" w:rsidR="00734E4C" w:rsidRPr="0003503E" w:rsidRDefault="00734E4C" w:rsidP="00492EA8">
            <w:pPr>
              <w:spacing w:after="60"/>
              <w:jc w:val="center"/>
              <w:rPr>
                <w:sz w:val="18"/>
                <w:szCs w:val="18"/>
              </w:rPr>
            </w:pPr>
            <w:r>
              <w:rPr>
                <w:sz w:val="18"/>
                <w:szCs w:val="18"/>
              </w:rPr>
              <w:t>s. o.</w:t>
            </w:r>
          </w:p>
        </w:tc>
        <w:tc>
          <w:tcPr>
            <w:tcW w:w="586" w:type="dxa"/>
            <w:shd w:val="clear" w:color="auto" w:fill="auto"/>
          </w:tcPr>
          <w:p w14:paraId="763B4745" w14:textId="77777777" w:rsidR="00734E4C" w:rsidRPr="0003503E" w:rsidRDefault="00734E4C" w:rsidP="00492EA8">
            <w:pPr>
              <w:spacing w:after="60"/>
              <w:jc w:val="center"/>
              <w:rPr>
                <w:sz w:val="18"/>
                <w:szCs w:val="18"/>
              </w:rPr>
            </w:pPr>
            <w:r>
              <w:rPr>
                <w:sz w:val="18"/>
                <w:szCs w:val="18"/>
              </w:rPr>
              <w:t>s. o.</w:t>
            </w:r>
          </w:p>
        </w:tc>
        <w:tc>
          <w:tcPr>
            <w:tcW w:w="585" w:type="dxa"/>
            <w:shd w:val="clear" w:color="auto" w:fill="auto"/>
          </w:tcPr>
          <w:p w14:paraId="5B2A1049" w14:textId="77777777" w:rsidR="00734E4C" w:rsidRPr="0003503E" w:rsidRDefault="00734E4C" w:rsidP="00492EA8">
            <w:pPr>
              <w:spacing w:after="60"/>
              <w:jc w:val="right"/>
              <w:rPr>
                <w:sz w:val="18"/>
                <w:szCs w:val="18"/>
              </w:rPr>
            </w:pPr>
            <w:r>
              <w:rPr>
                <w:sz w:val="18"/>
                <w:szCs w:val="18"/>
              </w:rPr>
              <w:t>0,23</w:t>
            </w:r>
          </w:p>
        </w:tc>
        <w:tc>
          <w:tcPr>
            <w:tcW w:w="586" w:type="dxa"/>
            <w:shd w:val="clear" w:color="auto" w:fill="auto"/>
          </w:tcPr>
          <w:p w14:paraId="77BFA1D9" w14:textId="77777777" w:rsidR="00734E4C" w:rsidRPr="0003503E" w:rsidRDefault="00734E4C" w:rsidP="00492EA8">
            <w:pPr>
              <w:spacing w:after="60"/>
              <w:jc w:val="right"/>
              <w:rPr>
                <w:sz w:val="18"/>
                <w:szCs w:val="18"/>
              </w:rPr>
            </w:pPr>
            <w:r>
              <w:rPr>
                <w:sz w:val="18"/>
                <w:szCs w:val="18"/>
              </w:rPr>
              <w:t>0,23</w:t>
            </w:r>
          </w:p>
        </w:tc>
        <w:tc>
          <w:tcPr>
            <w:tcW w:w="586" w:type="dxa"/>
            <w:shd w:val="clear" w:color="auto" w:fill="auto"/>
          </w:tcPr>
          <w:p w14:paraId="0DB1002A" w14:textId="77777777" w:rsidR="00734E4C" w:rsidRPr="0003503E" w:rsidRDefault="00734E4C" w:rsidP="00492EA8">
            <w:pPr>
              <w:spacing w:after="60"/>
              <w:jc w:val="right"/>
              <w:rPr>
                <w:sz w:val="18"/>
                <w:szCs w:val="18"/>
              </w:rPr>
            </w:pPr>
            <w:r>
              <w:rPr>
                <w:sz w:val="18"/>
                <w:szCs w:val="18"/>
              </w:rPr>
              <w:t>0,21</w:t>
            </w:r>
          </w:p>
        </w:tc>
        <w:tc>
          <w:tcPr>
            <w:tcW w:w="637" w:type="dxa"/>
            <w:shd w:val="clear" w:color="auto" w:fill="auto"/>
          </w:tcPr>
          <w:p w14:paraId="5A600853" w14:textId="77777777" w:rsidR="00734E4C" w:rsidRPr="0003503E" w:rsidRDefault="00734E4C" w:rsidP="00492EA8">
            <w:pPr>
              <w:spacing w:after="60"/>
              <w:jc w:val="right"/>
              <w:rPr>
                <w:sz w:val="18"/>
                <w:szCs w:val="18"/>
              </w:rPr>
            </w:pPr>
            <w:r>
              <w:rPr>
                <w:sz w:val="18"/>
                <w:szCs w:val="18"/>
              </w:rPr>
              <w:t>0,21</w:t>
            </w:r>
          </w:p>
        </w:tc>
        <w:tc>
          <w:tcPr>
            <w:tcW w:w="534" w:type="dxa"/>
            <w:shd w:val="clear" w:color="auto" w:fill="auto"/>
          </w:tcPr>
          <w:p w14:paraId="312C336B" w14:textId="77777777" w:rsidR="00734E4C" w:rsidRPr="0003503E" w:rsidRDefault="00734E4C" w:rsidP="00492EA8">
            <w:pPr>
              <w:spacing w:after="60"/>
              <w:jc w:val="right"/>
              <w:rPr>
                <w:sz w:val="18"/>
                <w:szCs w:val="18"/>
              </w:rPr>
            </w:pPr>
            <w:r>
              <w:rPr>
                <w:sz w:val="18"/>
                <w:szCs w:val="18"/>
              </w:rPr>
              <w:t>0,21</w:t>
            </w:r>
          </w:p>
        </w:tc>
        <w:tc>
          <w:tcPr>
            <w:tcW w:w="586" w:type="dxa"/>
            <w:shd w:val="clear" w:color="auto" w:fill="auto"/>
          </w:tcPr>
          <w:p w14:paraId="07BD4C7E" w14:textId="77777777" w:rsidR="00734E4C" w:rsidRPr="0003503E" w:rsidRDefault="00734E4C" w:rsidP="00492EA8">
            <w:pPr>
              <w:spacing w:after="60"/>
              <w:jc w:val="right"/>
              <w:rPr>
                <w:sz w:val="18"/>
                <w:szCs w:val="18"/>
              </w:rPr>
            </w:pPr>
            <w:r>
              <w:rPr>
                <w:sz w:val="18"/>
                <w:szCs w:val="18"/>
              </w:rPr>
              <w:t>0,21</w:t>
            </w:r>
          </w:p>
        </w:tc>
        <w:tc>
          <w:tcPr>
            <w:tcW w:w="741" w:type="dxa"/>
            <w:shd w:val="clear" w:color="auto" w:fill="auto"/>
          </w:tcPr>
          <w:p w14:paraId="042C2F3B" w14:textId="77777777" w:rsidR="00734E4C" w:rsidRPr="0003503E" w:rsidRDefault="00734E4C" w:rsidP="00492EA8">
            <w:pPr>
              <w:spacing w:after="60"/>
              <w:jc w:val="right"/>
              <w:rPr>
                <w:sz w:val="18"/>
                <w:szCs w:val="18"/>
              </w:rPr>
            </w:pPr>
            <w:r>
              <w:rPr>
                <w:sz w:val="18"/>
                <w:szCs w:val="18"/>
              </w:rPr>
              <w:t>0,21</w:t>
            </w:r>
          </w:p>
        </w:tc>
        <w:tc>
          <w:tcPr>
            <w:tcW w:w="740" w:type="dxa"/>
            <w:shd w:val="clear" w:color="auto" w:fill="auto"/>
          </w:tcPr>
          <w:p w14:paraId="2E1C996A" w14:textId="77777777" w:rsidR="00734E4C" w:rsidRPr="0003503E" w:rsidRDefault="00734E4C" w:rsidP="00492EA8">
            <w:pPr>
              <w:spacing w:after="60"/>
              <w:jc w:val="right"/>
              <w:rPr>
                <w:sz w:val="18"/>
                <w:szCs w:val="18"/>
              </w:rPr>
            </w:pPr>
            <w:r>
              <w:rPr>
                <w:sz w:val="18"/>
                <w:szCs w:val="18"/>
              </w:rPr>
              <w:t>0,15</w:t>
            </w:r>
          </w:p>
        </w:tc>
        <w:tc>
          <w:tcPr>
            <w:tcW w:w="741" w:type="dxa"/>
            <w:shd w:val="clear" w:color="auto" w:fill="auto"/>
          </w:tcPr>
          <w:p w14:paraId="1A364D14" w14:textId="77777777" w:rsidR="00734E4C" w:rsidRPr="0003503E" w:rsidRDefault="00734E4C" w:rsidP="00492EA8">
            <w:pPr>
              <w:spacing w:after="60"/>
              <w:jc w:val="center"/>
              <w:rPr>
                <w:sz w:val="18"/>
                <w:szCs w:val="18"/>
              </w:rPr>
            </w:pPr>
            <w:r>
              <w:rPr>
                <w:sz w:val="18"/>
                <w:szCs w:val="18"/>
              </w:rPr>
              <w:t>s. o.</w:t>
            </w:r>
          </w:p>
        </w:tc>
      </w:tr>
      <w:tr w:rsidR="00734E4C" w:rsidRPr="0003503E" w14:paraId="120CB020" w14:textId="77777777" w:rsidTr="005670B4">
        <w:trPr>
          <w:trHeight w:val="444"/>
        </w:trPr>
        <w:tc>
          <w:tcPr>
            <w:tcW w:w="2350" w:type="dxa"/>
            <w:gridSpan w:val="3"/>
            <w:shd w:val="clear" w:color="auto" w:fill="auto"/>
          </w:tcPr>
          <w:p w14:paraId="65428CFC" w14:textId="77777777" w:rsidR="00734E4C" w:rsidRPr="0003503E" w:rsidRDefault="00734E4C" w:rsidP="00492EA8">
            <w:pPr>
              <w:spacing w:after="60"/>
              <w:jc w:val="left"/>
              <w:rPr>
                <w:sz w:val="18"/>
              </w:rPr>
            </w:pPr>
            <w:r>
              <w:rPr>
                <w:sz w:val="18"/>
              </w:rPr>
              <w:t>Consommation maximale autorisée (tonnes PAO)</w:t>
            </w:r>
          </w:p>
        </w:tc>
        <w:tc>
          <w:tcPr>
            <w:tcW w:w="743" w:type="dxa"/>
            <w:shd w:val="clear" w:color="auto" w:fill="auto"/>
          </w:tcPr>
          <w:p w14:paraId="45277EC8" w14:textId="77777777" w:rsidR="00734E4C" w:rsidRPr="0003503E" w:rsidRDefault="00734E4C" w:rsidP="00492EA8">
            <w:pPr>
              <w:spacing w:after="60"/>
              <w:jc w:val="center"/>
              <w:rPr>
                <w:sz w:val="18"/>
                <w:szCs w:val="18"/>
              </w:rPr>
            </w:pPr>
            <w:r>
              <w:rPr>
                <w:sz w:val="18"/>
                <w:szCs w:val="18"/>
              </w:rPr>
              <w:t>s. o.</w:t>
            </w:r>
          </w:p>
        </w:tc>
        <w:tc>
          <w:tcPr>
            <w:tcW w:w="585" w:type="dxa"/>
            <w:shd w:val="clear" w:color="auto" w:fill="auto"/>
          </w:tcPr>
          <w:p w14:paraId="17379354" w14:textId="77777777" w:rsidR="00734E4C" w:rsidRPr="0003503E" w:rsidRDefault="00734E4C" w:rsidP="00492EA8">
            <w:pPr>
              <w:spacing w:after="60"/>
              <w:jc w:val="center"/>
              <w:rPr>
                <w:sz w:val="18"/>
                <w:szCs w:val="18"/>
              </w:rPr>
            </w:pPr>
            <w:r>
              <w:rPr>
                <w:sz w:val="18"/>
                <w:szCs w:val="18"/>
              </w:rPr>
              <w:t>s. o.</w:t>
            </w:r>
          </w:p>
        </w:tc>
        <w:tc>
          <w:tcPr>
            <w:tcW w:w="586" w:type="dxa"/>
            <w:shd w:val="clear" w:color="auto" w:fill="auto"/>
          </w:tcPr>
          <w:p w14:paraId="4A1BBABB" w14:textId="77777777" w:rsidR="00734E4C" w:rsidRPr="0003503E" w:rsidRDefault="00734E4C" w:rsidP="00492EA8">
            <w:pPr>
              <w:spacing w:after="60"/>
              <w:jc w:val="center"/>
              <w:rPr>
                <w:sz w:val="18"/>
                <w:szCs w:val="18"/>
              </w:rPr>
            </w:pPr>
            <w:r>
              <w:rPr>
                <w:sz w:val="18"/>
                <w:szCs w:val="18"/>
              </w:rPr>
              <w:t>s. o.</w:t>
            </w:r>
          </w:p>
        </w:tc>
        <w:tc>
          <w:tcPr>
            <w:tcW w:w="585" w:type="dxa"/>
            <w:shd w:val="clear" w:color="auto" w:fill="auto"/>
          </w:tcPr>
          <w:p w14:paraId="24D78123" w14:textId="77777777" w:rsidR="00734E4C" w:rsidRPr="0003503E" w:rsidRDefault="00734E4C" w:rsidP="00492EA8">
            <w:pPr>
              <w:spacing w:after="60"/>
              <w:jc w:val="right"/>
              <w:rPr>
                <w:sz w:val="18"/>
                <w:szCs w:val="18"/>
              </w:rPr>
            </w:pPr>
            <w:r>
              <w:rPr>
                <w:sz w:val="18"/>
                <w:szCs w:val="18"/>
              </w:rPr>
              <w:t>0,23</w:t>
            </w:r>
          </w:p>
        </w:tc>
        <w:tc>
          <w:tcPr>
            <w:tcW w:w="586" w:type="dxa"/>
            <w:shd w:val="clear" w:color="auto" w:fill="auto"/>
          </w:tcPr>
          <w:p w14:paraId="7A81D016" w14:textId="77777777" w:rsidR="00734E4C" w:rsidRPr="0003503E" w:rsidRDefault="00734E4C" w:rsidP="00492EA8">
            <w:pPr>
              <w:spacing w:after="60"/>
              <w:jc w:val="right"/>
              <w:rPr>
                <w:sz w:val="18"/>
                <w:szCs w:val="18"/>
              </w:rPr>
            </w:pPr>
            <w:r>
              <w:rPr>
                <w:sz w:val="18"/>
                <w:szCs w:val="18"/>
              </w:rPr>
              <w:t>0,23</w:t>
            </w:r>
          </w:p>
        </w:tc>
        <w:tc>
          <w:tcPr>
            <w:tcW w:w="586" w:type="dxa"/>
            <w:shd w:val="clear" w:color="auto" w:fill="auto"/>
          </w:tcPr>
          <w:p w14:paraId="6118DAEB" w14:textId="77777777" w:rsidR="00734E4C" w:rsidRPr="0003503E" w:rsidRDefault="00734E4C" w:rsidP="00492EA8">
            <w:pPr>
              <w:spacing w:after="60"/>
              <w:jc w:val="right"/>
              <w:rPr>
                <w:sz w:val="18"/>
                <w:szCs w:val="18"/>
              </w:rPr>
            </w:pPr>
            <w:r>
              <w:rPr>
                <w:sz w:val="18"/>
                <w:szCs w:val="18"/>
              </w:rPr>
              <w:t>0,21</w:t>
            </w:r>
          </w:p>
        </w:tc>
        <w:tc>
          <w:tcPr>
            <w:tcW w:w="637" w:type="dxa"/>
            <w:shd w:val="clear" w:color="auto" w:fill="auto"/>
          </w:tcPr>
          <w:p w14:paraId="11935E30" w14:textId="77777777" w:rsidR="00734E4C" w:rsidRPr="0003503E" w:rsidRDefault="00734E4C" w:rsidP="00492EA8">
            <w:pPr>
              <w:spacing w:after="60"/>
              <w:jc w:val="right"/>
              <w:rPr>
                <w:sz w:val="18"/>
                <w:szCs w:val="18"/>
              </w:rPr>
            </w:pPr>
            <w:r>
              <w:rPr>
                <w:sz w:val="18"/>
                <w:szCs w:val="18"/>
              </w:rPr>
              <w:t>0,21</w:t>
            </w:r>
          </w:p>
        </w:tc>
        <w:tc>
          <w:tcPr>
            <w:tcW w:w="534" w:type="dxa"/>
            <w:shd w:val="clear" w:color="auto" w:fill="auto"/>
          </w:tcPr>
          <w:p w14:paraId="5D9111BB" w14:textId="77777777" w:rsidR="00734E4C" w:rsidRPr="0003503E" w:rsidRDefault="00734E4C" w:rsidP="00492EA8">
            <w:pPr>
              <w:spacing w:after="60"/>
              <w:jc w:val="right"/>
              <w:rPr>
                <w:sz w:val="18"/>
                <w:szCs w:val="18"/>
              </w:rPr>
            </w:pPr>
            <w:r>
              <w:rPr>
                <w:sz w:val="18"/>
                <w:szCs w:val="18"/>
              </w:rPr>
              <w:t>0,21</w:t>
            </w:r>
          </w:p>
        </w:tc>
        <w:tc>
          <w:tcPr>
            <w:tcW w:w="586" w:type="dxa"/>
            <w:shd w:val="clear" w:color="auto" w:fill="auto"/>
          </w:tcPr>
          <w:p w14:paraId="216218EA" w14:textId="77777777" w:rsidR="00734E4C" w:rsidRPr="0003503E" w:rsidRDefault="00734E4C" w:rsidP="00492EA8">
            <w:pPr>
              <w:spacing w:after="60"/>
              <w:jc w:val="right"/>
              <w:rPr>
                <w:sz w:val="18"/>
                <w:szCs w:val="18"/>
              </w:rPr>
            </w:pPr>
            <w:r>
              <w:rPr>
                <w:sz w:val="18"/>
                <w:szCs w:val="18"/>
              </w:rPr>
              <w:t>0,21</w:t>
            </w:r>
          </w:p>
        </w:tc>
        <w:tc>
          <w:tcPr>
            <w:tcW w:w="741" w:type="dxa"/>
            <w:shd w:val="clear" w:color="auto" w:fill="auto"/>
          </w:tcPr>
          <w:p w14:paraId="4B6284A6" w14:textId="77777777" w:rsidR="00734E4C" w:rsidRPr="0003503E" w:rsidRDefault="00734E4C" w:rsidP="00492EA8">
            <w:pPr>
              <w:spacing w:after="60"/>
              <w:jc w:val="right"/>
              <w:rPr>
                <w:sz w:val="18"/>
                <w:szCs w:val="18"/>
              </w:rPr>
            </w:pPr>
            <w:r>
              <w:rPr>
                <w:sz w:val="18"/>
                <w:szCs w:val="18"/>
              </w:rPr>
              <w:t>0,21</w:t>
            </w:r>
          </w:p>
        </w:tc>
        <w:tc>
          <w:tcPr>
            <w:tcW w:w="740" w:type="dxa"/>
            <w:shd w:val="clear" w:color="auto" w:fill="auto"/>
          </w:tcPr>
          <w:p w14:paraId="1D87C4A0" w14:textId="77777777" w:rsidR="00734E4C" w:rsidRPr="0003503E" w:rsidRDefault="00734E4C" w:rsidP="00492EA8">
            <w:pPr>
              <w:spacing w:after="60"/>
              <w:jc w:val="right"/>
              <w:rPr>
                <w:sz w:val="18"/>
                <w:szCs w:val="18"/>
              </w:rPr>
            </w:pPr>
            <w:r>
              <w:rPr>
                <w:sz w:val="18"/>
                <w:szCs w:val="18"/>
              </w:rPr>
              <w:t>0,15</w:t>
            </w:r>
          </w:p>
        </w:tc>
        <w:tc>
          <w:tcPr>
            <w:tcW w:w="741" w:type="dxa"/>
            <w:shd w:val="clear" w:color="auto" w:fill="auto"/>
          </w:tcPr>
          <w:p w14:paraId="7C8EEC50" w14:textId="77777777" w:rsidR="00734E4C" w:rsidRPr="0003503E" w:rsidRDefault="00734E4C" w:rsidP="00492EA8">
            <w:pPr>
              <w:spacing w:after="60"/>
              <w:jc w:val="center"/>
              <w:rPr>
                <w:sz w:val="18"/>
                <w:szCs w:val="18"/>
              </w:rPr>
            </w:pPr>
            <w:r>
              <w:rPr>
                <w:sz w:val="18"/>
                <w:szCs w:val="18"/>
              </w:rPr>
              <w:t>s. o.</w:t>
            </w:r>
          </w:p>
        </w:tc>
      </w:tr>
      <w:tr w:rsidR="00734E4C" w:rsidRPr="0003503E" w14:paraId="6FF4ECA1" w14:textId="77777777" w:rsidTr="005670B4">
        <w:trPr>
          <w:trHeight w:val="450"/>
        </w:trPr>
        <w:tc>
          <w:tcPr>
            <w:tcW w:w="826" w:type="dxa"/>
            <w:vMerge w:val="restart"/>
            <w:shd w:val="clear" w:color="auto" w:fill="auto"/>
          </w:tcPr>
          <w:p w14:paraId="0BCD873B" w14:textId="77777777" w:rsidR="00734E4C" w:rsidRPr="0003503E" w:rsidRDefault="00734E4C" w:rsidP="00492EA8">
            <w:pPr>
              <w:spacing w:after="60"/>
              <w:jc w:val="left"/>
              <w:rPr>
                <w:sz w:val="18"/>
              </w:rPr>
            </w:pPr>
            <w:r>
              <w:rPr>
                <w:sz w:val="18"/>
              </w:rPr>
              <w:t>Financement convenu ($ US)</w:t>
            </w:r>
          </w:p>
        </w:tc>
        <w:tc>
          <w:tcPr>
            <w:tcW w:w="693" w:type="dxa"/>
            <w:vMerge w:val="restart"/>
            <w:shd w:val="clear" w:color="auto" w:fill="auto"/>
          </w:tcPr>
          <w:p w14:paraId="66C9A079" w14:textId="77777777" w:rsidR="00734E4C" w:rsidRPr="0003503E" w:rsidRDefault="00734E4C" w:rsidP="00492EA8">
            <w:pPr>
              <w:spacing w:after="60"/>
              <w:jc w:val="center"/>
              <w:rPr>
                <w:sz w:val="18"/>
              </w:rPr>
            </w:pPr>
            <w:r>
              <w:rPr>
                <w:sz w:val="18"/>
              </w:rPr>
              <w:t>PNUE</w:t>
            </w:r>
          </w:p>
        </w:tc>
        <w:tc>
          <w:tcPr>
            <w:tcW w:w="831" w:type="dxa"/>
            <w:shd w:val="clear" w:color="auto" w:fill="auto"/>
          </w:tcPr>
          <w:p w14:paraId="601E2B14" w14:textId="77777777" w:rsidR="00734E4C" w:rsidRPr="0003503E" w:rsidRDefault="00734E4C" w:rsidP="00492EA8">
            <w:pPr>
              <w:spacing w:after="60"/>
              <w:jc w:val="left"/>
              <w:rPr>
                <w:sz w:val="18"/>
              </w:rPr>
            </w:pPr>
            <w:r>
              <w:rPr>
                <w:sz w:val="18"/>
              </w:rPr>
              <w:t>Coûts du projet</w:t>
            </w:r>
          </w:p>
        </w:tc>
        <w:tc>
          <w:tcPr>
            <w:tcW w:w="743" w:type="dxa"/>
          </w:tcPr>
          <w:p w14:paraId="00679867" w14:textId="77777777" w:rsidR="00734E4C" w:rsidRPr="0003503E" w:rsidRDefault="00734E4C" w:rsidP="00492EA8">
            <w:pPr>
              <w:spacing w:after="60"/>
              <w:jc w:val="right"/>
              <w:rPr>
                <w:sz w:val="18"/>
                <w:szCs w:val="18"/>
              </w:rPr>
            </w:pPr>
            <w:r>
              <w:rPr>
                <w:sz w:val="18"/>
                <w:szCs w:val="18"/>
              </w:rPr>
              <w:t>82 250</w:t>
            </w:r>
          </w:p>
        </w:tc>
        <w:tc>
          <w:tcPr>
            <w:tcW w:w="585" w:type="dxa"/>
            <w:shd w:val="clear" w:color="auto" w:fill="auto"/>
          </w:tcPr>
          <w:p w14:paraId="214E5DBE" w14:textId="77777777" w:rsidR="00734E4C" w:rsidRPr="0003503E" w:rsidRDefault="00734E4C" w:rsidP="00492EA8">
            <w:pPr>
              <w:spacing w:after="60"/>
              <w:jc w:val="right"/>
              <w:rPr>
                <w:sz w:val="18"/>
                <w:szCs w:val="18"/>
              </w:rPr>
            </w:pPr>
            <w:r>
              <w:rPr>
                <w:sz w:val="18"/>
                <w:szCs w:val="18"/>
              </w:rPr>
              <w:t>0</w:t>
            </w:r>
          </w:p>
        </w:tc>
        <w:tc>
          <w:tcPr>
            <w:tcW w:w="586" w:type="dxa"/>
            <w:shd w:val="clear" w:color="auto" w:fill="auto"/>
          </w:tcPr>
          <w:p w14:paraId="566F0FF3" w14:textId="77777777" w:rsidR="00734E4C" w:rsidRPr="0003503E" w:rsidRDefault="00734E4C" w:rsidP="00492EA8">
            <w:pPr>
              <w:spacing w:after="60"/>
              <w:jc w:val="right"/>
              <w:rPr>
                <w:sz w:val="18"/>
                <w:szCs w:val="18"/>
              </w:rPr>
            </w:pPr>
            <w:r>
              <w:rPr>
                <w:sz w:val="18"/>
                <w:szCs w:val="18"/>
              </w:rPr>
              <w:t>0</w:t>
            </w:r>
          </w:p>
        </w:tc>
        <w:tc>
          <w:tcPr>
            <w:tcW w:w="585" w:type="dxa"/>
            <w:shd w:val="clear" w:color="auto" w:fill="auto"/>
          </w:tcPr>
          <w:p w14:paraId="7DC3C1E7" w14:textId="77777777" w:rsidR="00734E4C" w:rsidRPr="0003503E" w:rsidRDefault="00734E4C" w:rsidP="00492EA8">
            <w:pPr>
              <w:spacing w:after="60"/>
              <w:jc w:val="right"/>
              <w:rPr>
                <w:sz w:val="18"/>
                <w:szCs w:val="18"/>
              </w:rPr>
            </w:pPr>
            <w:r>
              <w:rPr>
                <w:sz w:val="18"/>
                <w:szCs w:val="18"/>
              </w:rPr>
              <w:t>0</w:t>
            </w:r>
          </w:p>
        </w:tc>
        <w:tc>
          <w:tcPr>
            <w:tcW w:w="586" w:type="dxa"/>
            <w:shd w:val="clear" w:color="auto" w:fill="auto"/>
          </w:tcPr>
          <w:p w14:paraId="59F2B8F2" w14:textId="77777777" w:rsidR="00734E4C" w:rsidRPr="0003503E" w:rsidRDefault="00734E4C" w:rsidP="00492EA8">
            <w:pPr>
              <w:spacing w:after="60"/>
              <w:jc w:val="right"/>
              <w:rPr>
                <w:sz w:val="18"/>
                <w:szCs w:val="18"/>
              </w:rPr>
            </w:pPr>
            <w:r>
              <w:rPr>
                <w:sz w:val="18"/>
                <w:szCs w:val="18"/>
              </w:rPr>
              <w:t>0</w:t>
            </w:r>
          </w:p>
        </w:tc>
        <w:tc>
          <w:tcPr>
            <w:tcW w:w="586" w:type="dxa"/>
            <w:shd w:val="clear" w:color="auto" w:fill="auto"/>
          </w:tcPr>
          <w:p w14:paraId="4FAE09D5" w14:textId="77777777" w:rsidR="00734E4C" w:rsidRPr="0003503E" w:rsidRDefault="00734E4C" w:rsidP="00492EA8">
            <w:pPr>
              <w:spacing w:after="60"/>
              <w:jc w:val="right"/>
              <w:rPr>
                <w:sz w:val="18"/>
                <w:szCs w:val="18"/>
              </w:rPr>
            </w:pPr>
            <w:r>
              <w:rPr>
                <w:sz w:val="18"/>
                <w:szCs w:val="18"/>
              </w:rPr>
              <w:t>0</w:t>
            </w:r>
          </w:p>
        </w:tc>
        <w:tc>
          <w:tcPr>
            <w:tcW w:w="637" w:type="dxa"/>
            <w:shd w:val="clear" w:color="auto" w:fill="auto"/>
          </w:tcPr>
          <w:p w14:paraId="62BC1C20" w14:textId="77777777" w:rsidR="00734E4C" w:rsidRPr="0003503E" w:rsidRDefault="00734E4C" w:rsidP="00492EA8">
            <w:pPr>
              <w:spacing w:after="60"/>
              <w:jc w:val="right"/>
              <w:rPr>
                <w:sz w:val="18"/>
                <w:szCs w:val="18"/>
              </w:rPr>
            </w:pPr>
            <w:r>
              <w:rPr>
                <w:sz w:val="18"/>
                <w:szCs w:val="18"/>
              </w:rPr>
              <w:t>65 800</w:t>
            </w:r>
          </w:p>
        </w:tc>
        <w:tc>
          <w:tcPr>
            <w:tcW w:w="534" w:type="dxa"/>
            <w:shd w:val="clear" w:color="auto" w:fill="auto"/>
          </w:tcPr>
          <w:p w14:paraId="658FD91B" w14:textId="77777777" w:rsidR="00734E4C" w:rsidRPr="0003503E" w:rsidRDefault="00734E4C" w:rsidP="00492EA8">
            <w:pPr>
              <w:spacing w:after="60"/>
              <w:jc w:val="right"/>
              <w:rPr>
                <w:sz w:val="18"/>
                <w:szCs w:val="18"/>
              </w:rPr>
            </w:pPr>
            <w:r>
              <w:rPr>
                <w:sz w:val="18"/>
                <w:szCs w:val="18"/>
              </w:rPr>
              <w:t>0</w:t>
            </w:r>
          </w:p>
        </w:tc>
        <w:tc>
          <w:tcPr>
            <w:tcW w:w="586" w:type="dxa"/>
            <w:shd w:val="clear" w:color="auto" w:fill="auto"/>
          </w:tcPr>
          <w:p w14:paraId="5A88C6B6" w14:textId="77777777" w:rsidR="00734E4C" w:rsidRPr="0003503E" w:rsidRDefault="00734E4C" w:rsidP="00492EA8">
            <w:pPr>
              <w:spacing w:after="60"/>
              <w:jc w:val="right"/>
              <w:rPr>
                <w:sz w:val="18"/>
                <w:szCs w:val="18"/>
              </w:rPr>
            </w:pPr>
            <w:r>
              <w:rPr>
                <w:sz w:val="18"/>
                <w:szCs w:val="18"/>
              </w:rPr>
              <w:t>0</w:t>
            </w:r>
          </w:p>
        </w:tc>
        <w:tc>
          <w:tcPr>
            <w:tcW w:w="741" w:type="dxa"/>
            <w:shd w:val="clear" w:color="auto" w:fill="auto"/>
          </w:tcPr>
          <w:p w14:paraId="4C3C0F28" w14:textId="77777777" w:rsidR="00734E4C" w:rsidRPr="0003503E" w:rsidRDefault="00734E4C" w:rsidP="00492EA8">
            <w:pPr>
              <w:spacing w:after="60"/>
              <w:jc w:val="right"/>
              <w:rPr>
                <w:sz w:val="18"/>
                <w:szCs w:val="18"/>
              </w:rPr>
            </w:pPr>
            <w:r>
              <w:rPr>
                <w:sz w:val="18"/>
                <w:szCs w:val="18"/>
              </w:rPr>
              <w:t>0</w:t>
            </w:r>
          </w:p>
        </w:tc>
        <w:tc>
          <w:tcPr>
            <w:tcW w:w="740" w:type="dxa"/>
            <w:shd w:val="clear" w:color="auto" w:fill="auto"/>
          </w:tcPr>
          <w:p w14:paraId="371E3F9B" w14:textId="77777777" w:rsidR="00734E4C" w:rsidRPr="0003503E" w:rsidRDefault="00734E4C" w:rsidP="00492EA8">
            <w:pPr>
              <w:spacing w:after="60"/>
              <w:jc w:val="right"/>
              <w:rPr>
                <w:sz w:val="18"/>
                <w:szCs w:val="18"/>
              </w:rPr>
            </w:pPr>
            <w:r>
              <w:rPr>
                <w:sz w:val="18"/>
                <w:szCs w:val="18"/>
              </w:rPr>
              <w:t>16 450</w:t>
            </w:r>
          </w:p>
        </w:tc>
        <w:tc>
          <w:tcPr>
            <w:tcW w:w="741" w:type="dxa"/>
            <w:shd w:val="clear" w:color="auto" w:fill="auto"/>
          </w:tcPr>
          <w:p w14:paraId="1E7B017D" w14:textId="77777777" w:rsidR="00734E4C" w:rsidRPr="0003503E" w:rsidRDefault="00734E4C" w:rsidP="00492EA8">
            <w:pPr>
              <w:spacing w:after="60"/>
              <w:jc w:val="right"/>
              <w:rPr>
                <w:sz w:val="18"/>
                <w:szCs w:val="18"/>
              </w:rPr>
            </w:pPr>
            <w:r>
              <w:rPr>
                <w:sz w:val="18"/>
                <w:szCs w:val="18"/>
              </w:rPr>
              <w:t>164 500</w:t>
            </w:r>
          </w:p>
        </w:tc>
      </w:tr>
      <w:tr w:rsidR="00734E4C" w:rsidRPr="0003503E" w14:paraId="1A9F715E" w14:textId="77777777" w:rsidTr="005670B4">
        <w:trPr>
          <w:trHeight w:val="450"/>
        </w:trPr>
        <w:tc>
          <w:tcPr>
            <w:tcW w:w="826" w:type="dxa"/>
            <w:vMerge/>
            <w:shd w:val="clear" w:color="auto" w:fill="auto"/>
          </w:tcPr>
          <w:p w14:paraId="2226BCA0" w14:textId="77777777" w:rsidR="00734E4C" w:rsidRPr="0003503E" w:rsidRDefault="00734E4C" w:rsidP="00492EA8">
            <w:pPr>
              <w:spacing w:after="60"/>
              <w:jc w:val="center"/>
              <w:rPr>
                <w:sz w:val="18"/>
                <w:lang w:val="en-CA"/>
              </w:rPr>
            </w:pPr>
          </w:p>
        </w:tc>
        <w:tc>
          <w:tcPr>
            <w:tcW w:w="693" w:type="dxa"/>
            <w:vMerge/>
            <w:shd w:val="clear" w:color="auto" w:fill="auto"/>
          </w:tcPr>
          <w:p w14:paraId="431EFB66" w14:textId="77777777" w:rsidR="00734E4C" w:rsidRPr="0003503E" w:rsidRDefault="00734E4C" w:rsidP="00492EA8">
            <w:pPr>
              <w:spacing w:after="60"/>
              <w:jc w:val="center"/>
              <w:rPr>
                <w:sz w:val="18"/>
                <w:lang w:val="en-CA"/>
              </w:rPr>
            </w:pPr>
          </w:p>
        </w:tc>
        <w:tc>
          <w:tcPr>
            <w:tcW w:w="831" w:type="dxa"/>
            <w:shd w:val="clear" w:color="auto" w:fill="auto"/>
          </w:tcPr>
          <w:p w14:paraId="169F5784" w14:textId="77777777" w:rsidR="00734E4C" w:rsidRPr="0003503E" w:rsidRDefault="00734E4C" w:rsidP="00492EA8">
            <w:pPr>
              <w:spacing w:after="60"/>
              <w:jc w:val="left"/>
              <w:rPr>
                <w:sz w:val="18"/>
              </w:rPr>
            </w:pPr>
            <w:r>
              <w:rPr>
                <w:sz w:val="18"/>
              </w:rPr>
              <w:t>Coûts d’appui</w:t>
            </w:r>
          </w:p>
        </w:tc>
        <w:tc>
          <w:tcPr>
            <w:tcW w:w="743" w:type="dxa"/>
          </w:tcPr>
          <w:p w14:paraId="79ED2629" w14:textId="77777777" w:rsidR="00734E4C" w:rsidRPr="0003503E" w:rsidRDefault="00734E4C" w:rsidP="00492EA8">
            <w:pPr>
              <w:spacing w:after="60"/>
              <w:jc w:val="right"/>
              <w:rPr>
                <w:sz w:val="18"/>
                <w:szCs w:val="18"/>
              </w:rPr>
            </w:pPr>
            <w:r>
              <w:rPr>
                <w:sz w:val="18"/>
                <w:szCs w:val="18"/>
              </w:rPr>
              <w:t>10 693</w:t>
            </w:r>
          </w:p>
        </w:tc>
        <w:tc>
          <w:tcPr>
            <w:tcW w:w="585" w:type="dxa"/>
            <w:shd w:val="clear" w:color="auto" w:fill="auto"/>
          </w:tcPr>
          <w:p w14:paraId="19DDF07A" w14:textId="77777777" w:rsidR="00734E4C" w:rsidRPr="0003503E" w:rsidRDefault="00734E4C" w:rsidP="00492EA8">
            <w:pPr>
              <w:spacing w:after="60"/>
              <w:jc w:val="right"/>
              <w:rPr>
                <w:sz w:val="18"/>
                <w:szCs w:val="18"/>
              </w:rPr>
            </w:pPr>
            <w:r>
              <w:rPr>
                <w:sz w:val="18"/>
                <w:szCs w:val="18"/>
              </w:rPr>
              <w:t>0</w:t>
            </w:r>
          </w:p>
        </w:tc>
        <w:tc>
          <w:tcPr>
            <w:tcW w:w="586" w:type="dxa"/>
            <w:shd w:val="clear" w:color="auto" w:fill="auto"/>
          </w:tcPr>
          <w:p w14:paraId="725F3C47" w14:textId="77777777" w:rsidR="00734E4C" w:rsidRPr="0003503E" w:rsidRDefault="00734E4C" w:rsidP="00492EA8">
            <w:pPr>
              <w:spacing w:after="60"/>
              <w:jc w:val="right"/>
              <w:rPr>
                <w:sz w:val="18"/>
                <w:szCs w:val="18"/>
              </w:rPr>
            </w:pPr>
            <w:r>
              <w:rPr>
                <w:sz w:val="18"/>
                <w:szCs w:val="18"/>
              </w:rPr>
              <w:t>0</w:t>
            </w:r>
          </w:p>
        </w:tc>
        <w:tc>
          <w:tcPr>
            <w:tcW w:w="585" w:type="dxa"/>
            <w:shd w:val="clear" w:color="auto" w:fill="auto"/>
          </w:tcPr>
          <w:p w14:paraId="4A986654" w14:textId="77777777" w:rsidR="00734E4C" w:rsidRPr="0003503E" w:rsidRDefault="00734E4C" w:rsidP="00492EA8">
            <w:pPr>
              <w:spacing w:after="60"/>
              <w:jc w:val="right"/>
              <w:rPr>
                <w:sz w:val="18"/>
                <w:szCs w:val="18"/>
              </w:rPr>
            </w:pPr>
            <w:r>
              <w:rPr>
                <w:sz w:val="18"/>
                <w:szCs w:val="18"/>
              </w:rPr>
              <w:t>0</w:t>
            </w:r>
          </w:p>
        </w:tc>
        <w:tc>
          <w:tcPr>
            <w:tcW w:w="586" w:type="dxa"/>
            <w:shd w:val="clear" w:color="auto" w:fill="auto"/>
          </w:tcPr>
          <w:p w14:paraId="539A8C24" w14:textId="77777777" w:rsidR="00734E4C" w:rsidRPr="0003503E" w:rsidRDefault="00734E4C" w:rsidP="00492EA8">
            <w:pPr>
              <w:spacing w:after="60"/>
              <w:jc w:val="right"/>
              <w:rPr>
                <w:sz w:val="18"/>
                <w:szCs w:val="18"/>
              </w:rPr>
            </w:pPr>
            <w:r>
              <w:rPr>
                <w:sz w:val="18"/>
                <w:szCs w:val="18"/>
              </w:rPr>
              <w:t>0</w:t>
            </w:r>
          </w:p>
        </w:tc>
        <w:tc>
          <w:tcPr>
            <w:tcW w:w="586" w:type="dxa"/>
            <w:shd w:val="clear" w:color="auto" w:fill="auto"/>
          </w:tcPr>
          <w:p w14:paraId="6AFF22EF" w14:textId="77777777" w:rsidR="00734E4C" w:rsidRPr="0003503E" w:rsidRDefault="00734E4C" w:rsidP="00492EA8">
            <w:pPr>
              <w:spacing w:after="60"/>
              <w:jc w:val="right"/>
              <w:rPr>
                <w:sz w:val="18"/>
                <w:szCs w:val="18"/>
              </w:rPr>
            </w:pPr>
            <w:r>
              <w:rPr>
                <w:sz w:val="18"/>
                <w:szCs w:val="18"/>
              </w:rPr>
              <w:t>0</w:t>
            </w:r>
          </w:p>
        </w:tc>
        <w:tc>
          <w:tcPr>
            <w:tcW w:w="637" w:type="dxa"/>
            <w:shd w:val="clear" w:color="auto" w:fill="auto"/>
          </w:tcPr>
          <w:p w14:paraId="58EC0D34" w14:textId="77777777" w:rsidR="00734E4C" w:rsidRPr="0003503E" w:rsidRDefault="00734E4C" w:rsidP="00492EA8">
            <w:pPr>
              <w:spacing w:after="60"/>
              <w:jc w:val="right"/>
              <w:rPr>
                <w:sz w:val="18"/>
                <w:szCs w:val="18"/>
              </w:rPr>
            </w:pPr>
            <w:r>
              <w:rPr>
                <w:sz w:val="18"/>
                <w:szCs w:val="18"/>
              </w:rPr>
              <w:t>8 554</w:t>
            </w:r>
          </w:p>
        </w:tc>
        <w:tc>
          <w:tcPr>
            <w:tcW w:w="534" w:type="dxa"/>
            <w:shd w:val="clear" w:color="auto" w:fill="auto"/>
          </w:tcPr>
          <w:p w14:paraId="72C370C2" w14:textId="77777777" w:rsidR="00734E4C" w:rsidRPr="0003503E" w:rsidRDefault="00734E4C" w:rsidP="00492EA8">
            <w:pPr>
              <w:spacing w:after="60"/>
              <w:jc w:val="right"/>
              <w:rPr>
                <w:sz w:val="18"/>
                <w:szCs w:val="18"/>
              </w:rPr>
            </w:pPr>
            <w:r>
              <w:rPr>
                <w:sz w:val="18"/>
                <w:szCs w:val="18"/>
              </w:rPr>
              <w:t>0</w:t>
            </w:r>
          </w:p>
        </w:tc>
        <w:tc>
          <w:tcPr>
            <w:tcW w:w="586" w:type="dxa"/>
            <w:shd w:val="clear" w:color="auto" w:fill="auto"/>
          </w:tcPr>
          <w:p w14:paraId="4EC9BFC2" w14:textId="77777777" w:rsidR="00734E4C" w:rsidRPr="0003503E" w:rsidRDefault="00734E4C" w:rsidP="00492EA8">
            <w:pPr>
              <w:spacing w:after="60"/>
              <w:jc w:val="right"/>
              <w:rPr>
                <w:sz w:val="18"/>
                <w:szCs w:val="18"/>
              </w:rPr>
            </w:pPr>
            <w:r>
              <w:rPr>
                <w:sz w:val="18"/>
                <w:szCs w:val="18"/>
              </w:rPr>
              <w:t>0</w:t>
            </w:r>
          </w:p>
        </w:tc>
        <w:tc>
          <w:tcPr>
            <w:tcW w:w="741" w:type="dxa"/>
            <w:shd w:val="clear" w:color="auto" w:fill="auto"/>
          </w:tcPr>
          <w:p w14:paraId="2CCE43EE" w14:textId="77777777" w:rsidR="00734E4C" w:rsidRPr="0003503E" w:rsidRDefault="00734E4C" w:rsidP="00492EA8">
            <w:pPr>
              <w:spacing w:after="60"/>
              <w:jc w:val="right"/>
              <w:rPr>
                <w:sz w:val="18"/>
                <w:szCs w:val="18"/>
              </w:rPr>
            </w:pPr>
            <w:r>
              <w:rPr>
                <w:sz w:val="18"/>
                <w:szCs w:val="18"/>
              </w:rPr>
              <w:t>0</w:t>
            </w:r>
          </w:p>
        </w:tc>
        <w:tc>
          <w:tcPr>
            <w:tcW w:w="740" w:type="dxa"/>
            <w:shd w:val="clear" w:color="auto" w:fill="auto"/>
          </w:tcPr>
          <w:p w14:paraId="0010BBC2" w14:textId="77777777" w:rsidR="00734E4C" w:rsidRPr="0003503E" w:rsidRDefault="00734E4C" w:rsidP="00492EA8">
            <w:pPr>
              <w:spacing w:after="60"/>
              <w:jc w:val="right"/>
              <w:rPr>
                <w:sz w:val="18"/>
                <w:szCs w:val="18"/>
              </w:rPr>
            </w:pPr>
            <w:r>
              <w:rPr>
                <w:sz w:val="18"/>
                <w:szCs w:val="18"/>
              </w:rPr>
              <w:t>2 138</w:t>
            </w:r>
          </w:p>
        </w:tc>
        <w:tc>
          <w:tcPr>
            <w:tcW w:w="741" w:type="dxa"/>
            <w:shd w:val="clear" w:color="auto" w:fill="auto"/>
          </w:tcPr>
          <w:p w14:paraId="1CFFC118" w14:textId="77777777" w:rsidR="00734E4C" w:rsidRPr="0003503E" w:rsidRDefault="00734E4C" w:rsidP="00492EA8">
            <w:pPr>
              <w:spacing w:after="60"/>
              <w:jc w:val="right"/>
              <w:rPr>
                <w:sz w:val="18"/>
                <w:szCs w:val="18"/>
              </w:rPr>
            </w:pPr>
            <w:r>
              <w:rPr>
                <w:sz w:val="18"/>
                <w:szCs w:val="18"/>
              </w:rPr>
              <w:t>21 385</w:t>
            </w:r>
          </w:p>
        </w:tc>
      </w:tr>
      <w:tr w:rsidR="00734E4C" w:rsidRPr="0003503E" w14:paraId="108A81E3" w14:textId="77777777" w:rsidTr="005670B4">
        <w:trPr>
          <w:trHeight w:val="450"/>
        </w:trPr>
        <w:tc>
          <w:tcPr>
            <w:tcW w:w="1519" w:type="dxa"/>
            <w:gridSpan w:val="2"/>
            <w:vMerge w:val="restart"/>
            <w:shd w:val="clear" w:color="auto" w:fill="auto"/>
          </w:tcPr>
          <w:p w14:paraId="71CCD460" w14:textId="77777777" w:rsidR="00734E4C" w:rsidRPr="0003503E" w:rsidRDefault="00734E4C" w:rsidP="00492EA8">
            <w:pPr>
              <w:spacing w:after="60"/>
              <w:jc w:val="left"/>
              <w:rPr>
                <w:sz w:val="18"/>
              </w:rPr>
            </w:pPr>
            <w:r>
              <w:rPr>
                <w:sz w:val="18"/>
              </w:rPr>
              <w:t>Fonds approuvés par ExCom ($ US)</w:t>
            </w:r>
          </w:p>
        </w:tc>
        <w:tc>
          <w:tcPr>
            <w:tcW w:w="831" w:type="dxa"/>
            <w:shd w:val="clear" w:color="auto" w:fill="auto"/>
          </w:tcPr>
          <w:p w14:paraId="59FC4DAD" w14:textId="77777777" w:rsidR="00734E4C" w:rsidRPr="0003503E" w:rsidRDefault="00734E4C" w:rsidP="00492EA8">
            <w:pPr>
              <w:spacing w:after="60"/>
              <w:jc w:val="left"/>
              <w:rPr>
                <w:sz w:val="18"/>
              </w:rPr>
            </w:pPr>
            <w:r>
              <w:rPr>
                <w:sz w:val="18"/>
              </w:rPr>
              <w:t>Coûts du projet</w:t>
            </w:r>
          </w:p>
        </w:tc>
        <w:tc>
          <w:tcPr>
            <w:tcW w:w="743" w:type="dxa"/>
          </w:tcPr>
          <w:p w14:paraId="3F3CC7C8" w14:textId="77777777" w:rsidR="00734E4C" w:rsidRPr="0003503E" w:rsidRDefault="00734E4C" w:rsidP="00492EA8">
            <w:pPr>
              <w:spacing w:after="60"/>
              <w:jc w:val="right"/>
              <w:rPr>
                <w:sz w:val="18"/>
                <w:szCs w:val="18"/>
              </w:rPr>
            </w:pPr>
            <w:r>
              <w:rPr>
                <w:sz w:val="18"/>
                <w:szCs w:val="18"/>
              </w:rPr>
              <w:t>82 250</w:t>
            </w:r>
          </w:p>
        </w:tc>
        <w:tc>
          <w:tcPr>
            <w:tcW w:w="585" w:type="dxa"/>
          </w:tcPr>
          <w:p w14:paraId="19C906A5" w14:textId="77777777" w:rsidR="00734E4C" w:rsidRPr="0003503E" w:rsidRDefault="00734E4C" w:rsidP="00492EA8">
            <w:pPr>
              <w:spacing w:after="60"/>
              <w:jc w:val="right"/>
              <w:rPr>
                <w:sz w:val="18"/>
                <w:szCs w:val="18"/>
              </w:rPr>
            </w:pPr>
            <w:r>
              <w:rPr>
                <w:sz w:val="18"/>
                <w:szCs w:val="18"/>
              </w:rPr>
              <w:t>0</w:t>
            </w:r>
          </w:p>
        </w:tc>
        <w:tc>
          <w:tcPr>
            <w:tcW w:w="586" w:type="dxa"/>
            <w:shd w:val="clear" w:color="auto" w:fill="auto"/>
          </w:tcPr>
          <w:p w14:paraId="5010AA41" w14:textId="77777777" w:rsidR="00734E4C" w:rsidRPr="0003503E" w:rsidRDefault="00734E4C" w:rsidP="00492EA8">
            <w:pPr>
              <w:spacing w:after="60"/>
              <w:jc w:val="right"/>
              <w:rPr>
                <w:sz w:val="18"/>
                <w:szCs w:val="18"/>
              </w:rPr>
            </w:pPr>
            <w:r>
              <w:rPr>
                <w:sz w:val="18"/>
                <w:szCs w:val="18"/>
              </w:rPr>
              <w:t>0</w:t>
            </w:r>
          </w:p>
        </w:tc>
        <w:tc>
          <w:tcPr>
            <w:tcW w:w="585" w:type="dxa"/>
            <w:shd w:val="clear" w:color="auto" w:fill="auto"/>
          </w:tcPr>
          <w:p w14:paraId="2A604FF0" w14:textId="77777777" w:rsidR="00734E4C" w:rsidRPr="0003503E" w:rsidRDefault="00734E4C" w:rsidP="00492EA8">
            <w:pPr>
              <w:spacing w:after="60"/>
              <w:jc w:val="right"/>
              <w:rPr>
                <w:sz w:val="18"/>
                <w:szCs w:val="18"/>
              </w:rPr>
            </w:pPr>
            <w:r>
              <w:rPr>
                <w:sz w:val="18"/>
                <w:szCs w:val="18"/>
              </w:rPr>
              <w:t>0</w:t>
            </w:r>
          </w:p>
        </w:tc>
        <w:tc>
          <w:tcPr>
            <w:tcW w:w="586" w:type="dxa"/>
            <w:shd w:val="clear" w:color="auto" w:fill="auto"/>
          </w:tcPr>
          <w:p w14:paraId="4BE7793D" w14:textId="77777777" w:rsidR="00734E4C" w:rsidRPr="0003503E" w:rsidRDefault="00734E4C" w:rsidP="00492EA8">
            <w:pPr>
              <w:spacing w:after="60"/>
              <w:jc w:val="right"/>
              <w:rPr>
                <w:sz w:val="18"/>
                <w:szCs w:val="18"/>
              </w:rPr>
            </w:pPr>
            <w:r>
              <w:rPr>
                <w:sz w:val="18"/>
                <w:szCs w:val="18"/>
              </w:rPr>
              <w:t>0</w:t>
            </w:r>
          </w:p>
        </w:tc>
        <w:tc>
          <w:tcPr>
            <w:tcW w:w="586" w:type="dxa"/>
            <w:shd w:val="clear" w:color="auto" w:fill="auto"/>
          </w:tcPr>
          <w:p w14:paraId="0A22E4D7" w14:textId="77777777" w:rsidR="00734E4C" w:rsidRPr="0003503E" w:rsidRDefault="00734E4C" w:rsidP="00492EA8">
            <w:pPr>
              <w:spacing w:after="60"/>
              <w:jc w:val="right"/>
              <w:rPr>
                <w:sz w:val="18"/>
                <w:szCs w:val="18"/>
              </w:rPr>
            </w:pPr>
            <w:r>
              <w:rPr>
                <w:sz w:val="18"/>
                <w:szCs w:val="18"/>
              </w:rPr>
              <w:t>0</w:t>
            </w:r>
          </w:p>
        </w:tc>
        <w:tc>
          <w:tcPr>
            <w:tcW w:w="637" w:type="dxa"/>
            <w:shd w:val="clear" w:color="auto" w:fill="auto"/>
          </w:tcPr>
          <w:p w14:paraId="77B1D11D" w14:textId="77777777" w:rsidR="00734E4C" w:rsidRPr="0003503E" w:rsidRDefault="00734E4C" w:rsidP="00492EA8">
            <w:pPr>
              <w:spacing w:after="60"/>
              <w:jc w:val="right"/>
              <w:rPr>
                <w:sz w:val="18"/>
                <w:szCs w:val="18"/>
              </w:rPr>
            </w:pPr>
            <w:r>
              <w:rPr>
                <w:sz w:val="18"/>
                <w:szCs w:val="18"/>
              </w:rPr>
              <w:t>0</w:t>
            </w:r>
          </w:p>
        </w:tc>
        <w:tc>
          <w:tcPr>
            <w:tcW w:w="534" w:type="dxa"/>
            <w:shd w:val="clear" w:color="auto" w:fill="auto"/>
          </w:tcPr>
          <w:p w14:paraId="7BB02A89" w14:textId="77777777" w:rsidR="00734E4C" w:rsidRPr="0003503E" w:rsidRDefault="00734E4C" w:rsidP="00492EA8">
            <w:pPr>
              <w:spacing w:after="60"/>
              <w:jc w:val="right"/>
              <w:rPr>
                <w:sz w:val="18"/>
                <w:szCs w:val="18"/>
              </w:rPr>
            </w:pPr>
            <w:r>
              <w:rPr>
                <w:sz w:val="18"/>
                <w:szCs w:val="18"/>
              </w:rPr>
              <w:t>0</w:t>
            </w:r>
          </w:p>
        </w:tc>
        <w:tc>
          <w:tcPr>
            <w:tcW w:w="586" w:type="dxa"/>
            <w:shd w:val="clear" w:color="auto" w:fill="auto"/>
          </w:tcPr>
          <w:p w14:paraId="305CC447" w14:textId="77777777" w:rsidR="00734E4C" w:rsidRPr="0003503E" w:rsidRDefault="00734E4C" w:rsidP="00492EA8">
            <w:pPr>
              <w:spacing w:after="60"/>
              <w:jc w:val="right"/>
              <w:rPr>
                <w:sz w:val="18"/>
                <w:szCs w:val="18"/>
              </w:rPr>
            </w:pPr>
            <w:r>
              <w:rPr>
                <w:sz w:val="18"/>
                <w:szCs w:val="18"/>
              </w:rPr>
              <w:t>0</w:t>
            </w:r>
          </w:p>
        </w:tc>
        <w:tc>
          <w:tcPr>
            <w:tcW w:w="741" w:type="dxa"/>
            <w:shd w:val="clear" w:color="auto" w:fill="auto"/>
          </w:tcPr>
          <w:p w14:paraId="71E2B108" w14:textId="77777777" w:rsidR="00734E4C" w:rsidRPr="0003503E" w:rsidRDefault="00734E4C" w:rsidP="00492EA8">
            <w:pPr>
              <w:spacing w:after="60"/>
              <w:jc w:val="right"/>
              <w:rPr>
                <w:sz w:val="18"/>
                <w:szCs w:val="18"/>
              </w:rPr>
            </w:pPr>
            <w:r>
              <w:rPr>
                <w:sz w:val="18"/>
                <w:szCs w:val="18"/>
              </w:rPr>
              <w:t>0</w:t>
            </w:r>
          </w:p>
        </w:tc>
        <w:tc>
          <w:tcPr>
            <w:tcW w:w="740" w:type="dxa"/>
            <w:shd w:val="clear" w:color="auto" w:fill="auto"/>
          </w:tcPr>
          <w:p w14:paraId="20AE668F" w14:textId="77777777" w:rsidR="00734E4C" w:rsidRPr="0003503E" w:rsidRDefault="00734E4C" w:rsidP="00492EA8">
            <w:pPr>
              <w:spacing w:after="60"/>
              <w:jc w:val="right"/>
              <w:rPr>
                <w:sz w:val="18"/>
                <w:szCs w:val="18"/>
              </w:rPr>
            </w:pPr>
            <w:r>
              <w:rPr>
                <w:sz w:val="18"/>
                <w:szCs w:val="18"/>
              </w:rPr>
              <w:t>0</w:t>
            </w:r>
          </w:p>
        </w:tc>
        <w:tc>
          <w:tcPr>
            <w:tcW w:w="741" w:type="dxa"/>
          </w:tcPr>
          <w:p w14:paraId="5DA15018" w14:textId="77777777" w:rsidR="00734E4C" w:rsidRPr="0003503E" w:rsidRDefault="00734E4C" w:rsidP="00492EA8">
            <w:pPr>
              <w:spacing w:after="60"/>
              <w:jc w:val="right"/>
              <w:rPr>
                <w:sz w:val="18"/>
                <w:szCs w:val="18"/>
              </w:rPr>
            </w:pPr>
            <w:r>
              <w:rPr>
                <w:sz w:val="18"/>
                <w:szCs w:val="18"/>
              </w:rPr>
              <w:t>82 250</w:t>
            </w:r>
          </w:p>
        </w:tc>
      </w:tr>
      <w:tr w:rsidR="00734E4C" w:rsidRPr="0003503E" w14:paraId="77E1DA7F" w14:textId="77777777" w:rsidTr="005670B4">
        <w:trPr>
          <w:trHeight w:val="458"/>
        </w:trPr>
        <w:tc>
          <w:tcPr>
            <w:tcW w:w="1519" w:type="dxa"/>
            <w:gridSpan w:val="2"/>
            <w:vMerge/>
            <w:shd w:val="clear" w:color="auto" w:fill="auto"/>
          </w:tcPr>
          <w:p w14:paraId="2CA59AC9" w14:textId="77777777" w:rsidR="00734E4C" w:rsidRPr="0003503E" w:rsidRDefault="00734E4C" w:rsidP="00492EA8">
            <w:pPr>
              <w:spacing w:after="60"/>
              <w:jc w:val="center"/>
              <w:rPr>
                <w:sz w:val="18"/>
                <w:lang w:val="en-CA"/>
              </w:rPr>
            </w:pPr>
          </w:p>
        </w:tc>
        <w:tc>
          <w:tcPr>
            <w:tcW w:w="831" w:type="dxa"/>
            <w:shd w:val="clear" w:color="auto" w:fill="auto"/>
          </w:tcPr>
          <w:p w14:paraId="682FE922" w14:textId="77777777" w:rsidR="00734E4C" w:rsidRPr="0003503E" w:rsidRDefault="00734E4C" w:rsidP="00492EA8">
            <w:pPr>
              <w:spacing w:after="60"/>
              <w:jc w:val="left"/>
              <w:rPr>
                <w:sz w:val="18"/>
              </w:rPr>
            </w:pPr>
            <w:r>
              <w:rPr>
                <w:sz w:val="18"/>
              </w:rPr>
              <w:t>Coûts d’appui</w:t>
            </w:r>
          </w:p>
        </w:tc>
        <w:tc>
          <w:tcPr>
            <w:tcW w:w="743" w:type="dxa"/>
          </w:tcPr>
          <w:p w14:paraId="110FAE92" w14:textId="77777777" w:rsidR="00734E4C" w:rsidRPr="0003503E" w:rsidRDefault="00734E4C" w:rsidP="00492EA8">
            <w:pPr>
              <w:spacing w:after="60"/>
              <w:jc w:val="right"/>
              <w:rPr>
                <w:sz w:val="18"/>
                <w:szCs w:val="18"/>
              </w:rPr>
            </w:pPr>
            <w:r>
              <w:rPr>
                <w:sz w:val="18"/>
                <w:szCs w:val="18"/>
              </w:rPr>
              <w:t>10 693</w:t>
            </w:r>
          </w:p>
        </w:tc>
        <w:tc>
          <w:tcPr>
            <w:tcW w:w="585" w:type="dxa"/>
          </w:tcPr>
          <w:p w14:paraId="21A8DC20" w14:textId="77777777" w:rsidR="00734E4C" w:rsidRPr="0003503E" w:rsidRDefault="00734E4C" w:rsidP="00492EA8">
            <w:pPr>
              <w:spacing w:after="60"/>
              <w:jc w:val="right"/>
              <w:rPr>
                <w:sz w:val="18"/>
                <w:szCs w:val="18"/>
              </w:rPr>
            </w:pPr>
            <w:r>
              <w:rPr>
                <w:sz w:val="18"/>
                <w:szCs w:val="18"/>
              </w:rPr>
              <w:t>0</w:t>
            </w:r>
          </w:p>
        </w:tc>
        <w:tc>
          <w:tcPr>
            <w:tcW w:w="586" w:type="dxa"/>
            <w:shd w:val="clear" w:color="auto" w:fill="auto"/>
          </w:tcPr>
          <w:p w14:paraId="66117D3B" w14:textId="77777777" w:rsidR="00734E4C" w:rsidRPr="0003503E" w:rsidRDefault="00734E4C" w:rsidP="00492EA8">
            <w:pPr>
              <w:spacing w:after="60"/>
              <w:jc w:val="right"/>
              <w:rPr>
                <w:sz w:val="18"/>
                <w:szCs w:val="18"/>
              </w:rPr>
            </w:pPr>
            <w:r>
              <w:rPr>
                <w:sz w:val="18"/>
                <w:szCs w:val="18"/>
              </w:rPr>
              <w:t>0</w:t>
            </w:r>
          </w:p>
        </w:tc>
        <w:tc>
          <w:tcPr>
            <w:tcW w:w="585" w:type="dxa"/>
            <w:shd w:val="clear" w:color="auto" w:fill="auto"/>
          </w:tcPr>
          <w:p w14:paraId="47FE36D2" w14:textId="77777777" w:rsidR="00734E4C" w:rsidRPr="0003503E" w:rsidRDefault="00734E4C" w:rsidP="00492EA8">
            <w:pPr>
              <w:spacing w:after="60"/>
              <w:jc w:val="right"/>
              <w:rPr>
                <w:sz w:val="18"/>
                <w:szCs w:val="18"/>
              </w:rPr>
            </w:pPr>
            <w:r>
              <w:rPr>
                <w:sz w:val="18"/>
                <w:szCs w:val="18"/>
              </w:rPr>
              <w:t>0</w:t>
            </w:r>
          </w:p>
        </w:tc>
        <w:tc>
          <w:tcPr>
            <w:tcW w:w="586" w:type="dxa"/>
            <w:shd w:val="clear" w:color="auto" w:fill="auto"/>
          </w:tcPr>
          <w:p w14:paraId="7E89EFD3" w14:textId="77777777" w:rsidR="00734E4C" w:rsidRPr="0003503E" w:rsidRDefault="00734E4C" w:rsidP="00492EA8">
            <w:pPr>
              <w:spacing w:after="60"/>
              <w:jc w:val="right"/>
              <w:rPr>
                <w:sz w:val="18"/>
                <w:szCs w:val="18"/>
              </w:rPr>
            </w:pPr>
            <w:r>
              <w:rPr>
                <w:sz w:val="18"/>
                <w:szCs w:val="18"/>
              </w:rPr>
              <w:t>0</w:t>
            </w:r>
          </w:p>
        </w:tc>
        <w:tc>
          <w:tcPr>
            <w:tcW w:w="586" w:type="dxa"/>
            <w:shd w:val="clear" w:color="auto" w:fill="auto"/>
          </w:tcPr>
          <w:p w14:paraId="0CC2742E" w14:textId="77777777" w:rsidR="00734E4C" w:rsidRPr="0003503E" w:rsidRDefault="00734E4C" w:rsidP="00492EA8">
            <w:pPr>
              <w:spacing w:after="60"/>
              <w:jc w:val="right"/>
              <w:rPr>
                <w:sz w:val="18"/>
                <w:szCs w:val="18"/>
              </w:rPr>
            </w:pPr>
            <w:r>
              <w:rPr>
                <w:sz w:val="18"/>
                <w:szCs w:val="18"/>
              </w:rPr>
              <w:t>0</w:t>
            </w:r>
          </w:p>
        </w:tc>
        <w:tc>
          <w:tcPr>
            <w:tcW w:w="637" w:type="dxa"/>
            <w:shd w:val="clear" w:color="auto" w:fill="auto"/>
          </w:tcPr>
          <w:p w14:paraId="1AEFCC60" w14:textId="77777777" w:rsidR="00734E4C" w:rsidRPr="0003503E" w:rsidRDefault="00734E4C" w:rsidP="00492EA8">
            <w:pPr>
              <w:spacing w:after="60"/>
              <w:jc w:val="right"/>
              <w:rPr>
                <w:sz w:val="18"/>
                <w:szCs w:val="18"/>
              </w:rPr>
            </w:pPr>
            <w:r>
              <w:rPr>
                <w:sz w:val="18"/>
                <w:szCs w:val="18"/>
              </w:rPr>
              <w:t>0</w:t>
            </w:r>
          </w:p>
        </w:tc>
        <w:tc>
          <w:tcPr>
            <w:tcW w:w="534" w:type="dxa"/>
            <w:shd w:val="clear" w:color="auto" w:fill="auto"/>
          </w:tcPr>
          <w:p w14:paraId="7C80332C" w14:textId="77777777" w:rsidR="00734E4C" w:rsidRPr="0003503E" w:rsidRDefault="00734E4C" w:rsidP="00492EA8">
            <w:pPr>
              <w:spacing w:after="60"/>
              <w:jc w:val="right"/>
              <w:rPr>
                <w:sz w:val="18"/>
                <w:szCs w:val="18"/>
              </w:rPr>
            </w:pPr>
            <w:r>
              <w:rPr>
                <w:sz w:val="18"/>
                <w:szCs w:val="18"/>
              </w:rPr>
              <w:t>0</w:t>
            </w:r>
          </w:p>
        </w:tc>
        <w:tc>
          <w:tcPr>
            <w:tcW w:w="586" w:type="dxa"/>
            <w:shd w:val="clear" w:color="auto" w:fill="auto"/>
          </w:tcPr>
          <w:p w14:paraId="5D3816F1" w14:textId="77777777" w:rsidR="00734E4C" w:rsidRPr="0003503E" w:rsidRDefault="00734E4C" w:rsidP="00492EA8">
            <w:pPr>
              <w:spacing w:after="60"/>
              <w:jc w:val="right"/>
              <w:rPr>
                <w:sz w:val="18"/>
                <w:szCs w:val="18"/>
              </w:rPr>
            </w:pPr>
            <w:r>
              <w:rPr>
                <w:sz w:val="18"/>
                <w:szCs w:val="18"/>
              </w:rPr>
              <w:t>0</w:t>
            </w:r>
          </w:p>
        </w:tc>
        <w:tc>
          <w:tcPr>
            <w:tcW w:w="741" w:type="dxa"/>
            <w:shd w:val="clear" w:color="auto" w:fill="auto"/>
          </w:tcPr>
          <w:p w14:paraId="4BD51469" w14:textId="77777777" w:rsidR="00734E4C" w:rsidRPr="0003503E" w:rsidRDefault="00734E4C" w:rsidP="00492EA8">
            <w:pPr>
              <w:spacing w:after="60"/>
              <w:jc w:val="right"/>
              <w:rPr>
                <w:sz w:val="18"/>
                <w:szCs w:val="18"/>
              </w:rPr>
            </w:pPr>
            <w:r>
              <w:rPr>
                <w:sz w:val="18"/>
                <w:szCs w:val="18"/>
              </w:rPr>
              <w:t>0</w:t>
            </w:r>
          </w:p>
        </w:tc>
        <w:tc>
          <w:tcPr>
            <w:tcW w:w="740" w:type="dxa"/>
            <w:shd w:val="clear" w:color="auto" w:fill="auto"/>
          </w:tcPr>
          <w:p w14:paraId="487CD975" w14:textId="77777777" w:rsidR="00734E4C" w:rsidRPr="0003503E" w:rsidRDefault="00734E4C" w:rsidP="00492EA8">
            <w:pPr>
              <w:spacing w:after="60"/>
              <w:jc w:val="right"/>
              <w:rPr>
                <w:sz w:val="18"/>
                <w:szCs w:val="18"/>
              </w:rPr>
            </w:pPr>
            <w:r>
              <w:rPr>
                <w:sz w:val="18"/>
                <w:szCs w:val="18"/>
              </w:rPr>
              <w:t>0</w:t>
            </w:r>
          </w:p>
        </w:tc>
        <w:tc>
          <w:tcPr>
            <w:tcW w:w="741" w:type="dxa"/>
          </w:tcPr>
          <w:p w14:paraId="78AF4B1F" w14:textId="77777777" w:rsidR="00734E4C" w:rsidRPr="0003503E" w:rsidRDefault="00734E4C" w:rsidP="00492EA8">
            <w:pPr>
              <w:spacing w:after="60"/>
              <w:jc w:val="right"/>
              <w:rPr>
                <w:sz w:val="18"/>
                <w:szCs w:val="18"/>
              </w:rPr>
            </w:pPr>
            <w:r>
              <w:rPr>
                <w:sz w:val="18"/>
                <w:szCs w:val="18"/>
              </w:rPr>
              <w:t>10 693</w:t>
            </w:r>
          </w:p>
        </w:tc>
      </w:tr>
      <w:tr w:rsidR="00734E4C" w:rsidRPr="0003503E" w14:paraId="30689D77" w14:textId="77777777" w:rsidTr="005670B4">
        <w:trPr>
          <w:trHeight w:val="444"/>
        </w:trPr>
        <w:tc>
          <w:tcPr>
            <w:tcW w:w="1519" w:type="dxa"/>
            <w:gridSpan w:val="2"/>
            <w:vMerge w:val="restart"/>
            <w:shd w:val="clear" w:color="auto" w:fill="auto"/>
          </w:tcPr>
          <w:p w14:paraId="2E882C41" w14:textId="6246F823" w:rsidR="00734E4C" w:rsidRPr="0003503E" w:rsidRDefault="00734E4C" w:rsidP="00492EA8">
            <w:pPr>
              <w:spacing w:after="60"/>
              <w:jc w:val="left"/>
              <w:rPr>
                <w:sz w:val="18"/>
              </w:rPr>
            </w:pPr>
            <w:r>
              <w:rPr>
                <w:sz w:val="18"/>
              </w:rPr>
              <w:t>Total du financement demandé pour approbation à la présente réunion ($</w:t>
            </w:r>
            <w:r w:rsidR="00A236AB">
              <w:rPr>
                <w:sz w:val="18"/>
              </w:rPr>
              <w:t> </w:t>
            </w:r>
            <w:r>
              <w:rPr>
                <w:sz w:val="18"/>
              </w:rPr>
              <w:t>US)</w:t>
            </w:r>
          </w:p>
        </w:tc>
        <w:tc>
          <w:tcPr>
            <w:tcW w:w="831" w:type="dxa"/>
            <w:shd w:val="clear" w:color="auto" w:fill="auto"/>
          </w:tcPr>
          <w:p w14:paraId="391685AB" w14:textId="77777777" w:rsidR="00734E4C" w:rsidRPr="0003503E" w:rsidRDefault="00734E4C" w:rsidP="00492EA8">
            <w:pPr>
              <w:spacing w:after="60"/>
              <w:jc w:val="left"/>
              <w:rPr>
                <w:sz w:val="18"/>
              </w:rPr>
            </w:pPr>
            <w:r>
              <w:rPr>
                <w:sz w:val="18"/>
              </w:rPr>
              <w:t>Coûts du projet</w:t>
            </w:r>
          </w:p>
        </w:tc>
        <w:tc>
          <w:tcPr>
            <w:tcW w:w="743" w:type="dxa"/>
          </w:tcPr>
          <w:p w14:paraId="3012B29C" w14:textId="77777777" w:rsidR="00734E4C" w:rsidRPr="0003503E" w:rsidRDefault="00734E4C" w:rsidP="00492EA8">
            <w:pPr>
              <w:spacing w:after="60"/>
              <w:jc w:val="right"/>
              <w:rPr>
                <w:sz w:val="18"/>
                <w:szCs w:val="18"/>
                <w:lang w:val="en-CA"/>
              </w:rPr>
            </w:pPr>
          </w:p>
        </w:tc>
        <w:tc>
          <w:tcPr>
            <w:tcW w:w="585" w:type="dxa"/>
          </w:tcPr>
          <w:p w14:paraId="585ADB12" w14:textId="77777777" w:rsidR="00734E4C" w:rsidRPr="0003503E" w:rsidRDefault="00734E4C" w:rsidP="00492EA8">
            <w:pPr>
              <w:spacing w:after="60"/>
              <w:jc w:val="right"/>
              <w:rPr>
                <w:sz w:val="18"/>
                <w:szCs w:val="18"/>
                <w:lang w:val="en-CA"/>
              </w:rPr>
            </w:pPr>
          </w:p>
        </w:tc>
        <w:tc>
          <w:tcPr>
            <w:tcW w:w="586" w:type="dxa"/>
          </w:tcPr>
          <w:p w14:paraId="3093178F" w14:textId="77777777" w:rsidR="00734E4C" w:rsidRPr="0003503E" w:rsidRDefault="00734E4C" w:rsidP="00492EA8">
            <w:pPr>
              <w:spacing w:after="60"/>
              <w:jc w:val="right"/>
              <w:rPr>
                <w:sz w:val="18"/>
                <w:szCs w:val="18"/>
                <w:lang w:val="en-CA"/>
              </w:rPr>
            </w:pPr>
          </w:p>
        </w:tc>
        <w:tc>
          <w:tcPr>
            <w:tcW w:w="585" w:type="dxa"/>
            <w:shd w:val="clear" w:color="auto" w:fill="auto"/>
          </w:tcPr>
          <w:p w14:paraId="15FB9082" w14:textId="77777777" w:rsidR="00734E4C" w:rsidRPr="0003503E" w:rsidRDefault="00734E4C" w:rsidP="00492EA8">
            <w:pPr>
              <w:spacing w:after="60"/>
              <w:jc w:val="right"/>
              <w:rPr>
                <w:sz w:val="18"/>
                <w:szCs w:val="18"/>
                <w:lang w:val="en-CA"/>
              </w:rPr>
            </w:pPr>
          </w:p>
        </w:tc>
        <w:tc>
          <w:tcPr>
            <w:tcW w:w="586" w:type="dxa"/>
            <w:shd w:val="clear" w:color="auto" w:fill="auto"/>
          </w:tcPr>
          <w:p w14:paraId="6EE3909C" w14:textId="77777777" w:rsidR="00734E4C" w:rsidRPr="0003503E" w:rsidRDefault="00734E4C" w:rsidP="00492EA8">
            <w:pPr>
              <w:spacing w:after="60"/>
              <w:jc w:val="right"/>
              <w:rPr>
                <w:sz w:val="18"/>
                <w:szCs w:val="18"/>
                <w:lang w:val="en-CA"/>
              </w:rPr>
            </w:pPr>
          </w:p>
        </w:tc>
        <w:tc>
          <w:tcPr>
            <w:tcW w:w="586" w:type="dxa"/>
            <w:shd w:val="clear" w:color="auto" w:fill="auto"/>
          </w:tcPr>
          <w:p w14:paraId="2B2F9228" w14:textId="77777777" w:rsidR="00734E4C" w:rsidRPr="0003503E" w:rsidRDefault="00734E4C" w:rsidP="00492EA8">
            <w:pPr>
              <w:spacing w:after="60"/>
              <w:jc w:val="right"/>
              <w:rPr>
                <w:sz w:val="18"/>
                <w:szCs w:val="18"/>
                <w:lang w:val="en-CA"/>
              </w:rPr>
            </w:pPr>
          </w:p>
        </w:tc>
        <w:tc>
          <w:tcPr>
            <w:tcW w:w="637" w:type="dxa"/>
            <w:shd w:val="clear" w:color="auto" w:fill="auto"/>
          </w:tcPr>
          <w:p w14:paraId="5B06C825" w14:textId="77777777" w:rsidR="00734E4C" w:rsidRPr="0003503E" w:rsidRDefault="00734E4C" w:rsidP="00492EA8">
            <w:pPr>
              <w:spacing w:after="60"/>
              <w:jc w:val="right"/>
              <w:rPr>
                <w:sz w:val="18"/>
                <w:szCs w:val="18"/>
                <w:lang w:val="en-CA"/>
              </w:rPr>
            </w:pPr>
          </w:p>
        </w:tc>
        <w:tc>
          <w:tcPr>
            <w:tcW w:w="534" w:type="dxa"/>
            <w:shd w:val="clear" w:color="auto" w:fill="auto"/>
          </w:tcPr>
          <w:p w14:paraId="2E391573" w14:textId="77777777" w:rsidR="00734E4C" w:rsidRPr="0003503E" w:rsidRDefault="00734E4C" w:rsidP="00492EA8">
            <w:pPr>
              <w:spacing w:after="60"/>
              <w:jc w:val="right"/>
              <w:rPr>
                <w:sz w:val="18"/>
                <w:szCs w:val="18"/>
                <w:lang w:val="en-CA"/>
              </w:rPr>
            </w:pPr>
          </w:p>
        </w:tc>
        <w:tc>
          <w:tcPr>
            <w:tcW w:w="586" w:type="dxa"/>
            <w:shd w:val="clear" w:color="auto" w:fill="auto"/>
          </w:tcPr>
          <w:p w14:paraId="5EF8A6BB" w14:textId="77777777" w:rsidR="00734E4C" w:rsidRPr="0003503E" w:rsidRDefault="00734E4C" w:rsidP="00492EA8">
            <w:pPr>
              <w:spacing w:after="60"/>
              <w:jc w:val="right"/>
              <w:rPr>
                <w:sz w:val="18"/>
                <w:szCs w:val="18"/>
                <w:lang w:val="en-CA"/>
              </w:rPr>
            </w:pPr>
          </w:p>
        </w:tc>
        <w:tc>
          <w:tcPr>
            <w:tcW w:w="741" w:type="dxa"/>
            <w:shd w:val="clear" w:color="auto" w:fill="auto"/>
          </w:tcPr>
          <w:p w14:paraId="0421387E" w14:textId="77777777" w:rsidR="00734E4C" w:rsidRPr="0003503E" w:rsidRDefault="00734E4C" w:rsidP="00492EA8">
            <w:pPr>
              <w:spacing w:after="60"/>
              <w:jc w:val="right"/>
              <w:rPr>
                <w:sz w:val="18"/>
                <w:szCs w:val="18"/>
              </w:rPr>
            </w:pPr>
            <w:r>
              <w:rPr>
                <w:sz w:val="18"/>
                <w:szCs w:val="18"/>
              </w:rPr>
              <w:t>65 800</w:t>
            </w:r>
          </w:p>
        </w:tc>
        <w:tc>
          <w:tcPr>
            <w:tcW w:w="740" w:type="dxa"/>
            <w:shd w:val="clear" w:color="auto" w:fill="auto"/>
          </w:tcPr>
          <w:p w14:paraId="0980E41D" w14:textId="77777777" w:rsidR="00734E4C" w:rsidRPr="0003503E" w:rsidRDefault="00734E4C" w:rsidP="00492EA8">
            <w:pPr>
              <w:spacing w:after="60"/>
              <w:jc w:val="right"/>
              <w:rPr>
                <w:sz w:val="18"/>
                <w:szCs w:val="18"/>
                <w:lang w:val="en-CA"/>
              </w:rPr>
            </w:pPr>
          </w:p>
        </w:tc>
        <w:tc>
          <w:tcPr>
            <w:tcW w:w="741" w:type="dxa"/>
            <w:shd w:val="clear" w:color="auto" w:fill="auto"/>
          </w:tcPr>
          <w:p w14:paraId="30BBD1B3" w14:textId="77777777" w:rsidR="00734E4C" w:rsidRPr="0003503E" w:rsidRDefault="00734E4C" w:rsidP="00492EA8">
            <w:pPr>
              <w:spacing w:after="60"/>
              <w:jc w:val="right"/>
              <w:rPr>
                <w:sz w:val="18"/>
                <w:szCs w:val="18"/>
              </w:rPr>
            </w:pPr>
            <w:r>
              <w:rPr>
                <w:sz w:val="18"/>
                <w:szCs w:val="18"/>
              </w:rPr>
              <w:t>0</w:t>
            </w:r>
          </w:p>
        </w:tc>
      </w:tr>
      <w:tr w:rsidR="00734E4C" w:rsidRPr="0003503E" w14:paraId="070CBE25" w14:textId="77777777" w:rsidTr="005670B4">
        <w:trPr>
          <w:trHeight w:val="458"/>
        </w:trPr>
        <w:tc>
          <w:tcPr>
            <w:tcW w:w="1519" w:type="dxa"/>
            <w:gridSpan w:val="2"/>
            <w:vMerge/>
            <w:shd w:val="clear" w:color="auto" w:fill="auto"/>
          </w:tcPr>
          <w:p w14:paraId="386DA51D" w14:textId="77777777" w:rsidR="00734E4C" w:rsidRPr="0003503E" w:rsidRDefault="00734E4C" w:rsidP="00492EA8">
            <w:pPr>
              <w:spacing w:after="60"/>
              <w:jc w:val="center"/>
              <w:rPr>
                <w:sz w:val="18"/>
                <w:lang w:val="en-CA"/>
              </w:rPr>
            </w:pPr>
          </w:p>
        </w:tc>
        <w:tc>
          <w:tcPr>
            <w:tcW w:w="831" w:type="dxa"/>
            <w:shd w:val="clear" w:color="auto" w:fill="auto"/>
          </w:tcPr>
          <w:p w14:paraId="61641CEE" w14:textId="77777777" w:rsidR="00734E4C" w:rsidRPr="0003503E" w:rsidRDefault="00734E4C" w:rsidP="00492EA8">
            <w:pPr>
              <w:spacing w:after="60"/>
              <w:jc w:val="left"/>
              <w:rPr>
                <w:sz w:val="18"/>
              </w:rPr>
            </w:pPr>
            <w:r>
              <w:rPr>
                <w:sz w:val="18"/>
              </w:rPr>
              <w:t>Coûts d’appui</w:t>
            </w:r>
          </w:p>
        </w:tc>
        <w:tc>
          <w:tcPr>
            <w:tcW w:w="743" w:type="dxa"/>
          </w:tcPr>
          <w:p w14:paraId="58B6B6AB" w14:textId="77777777" w:rsidR="00734E4C" w:rsidRPr="0003503E" w:rsidRDefault="00734E4C" w:rsidP="00492EA8">
            <w:pPr>
              <w:spacing w:after="60"/>
              <w:jc w:val="right"/>
              <w:rPr>
                <w:sz w:val="18"/>
                <w:szCs w:val="18"/>
                <w:lang w:val="en-CA"/>
              </w:rPr>
            </w:pPr>
          </w:p>
        </w:tc>
        <w:tc>
          <w:tcPr>
            <w:tcW w:w="585" w:type="dxa"/>
          </w:tcPr>
          <w:p w14:paraId="748AA0A6" w14:textId="77777777" w:rsidR="00734E4C" w:rsidRPr="0003503E" w:rsidRDefault="00734E4C" w:rsidP="00492EA8">
            <w:pPr>
              <w:spacing w:after="60"/>
              <w:jc w:val="right"/>
              <w:rPr>
                <w:sz w:val="18"/>
                <w:szCs w:val="18"/>
                <w:lang w:val="en-CA"/>
              </w:rPr>
            </w:pPr>
          </w:p>
        </w:tc>
        <w:tc>
          <w:tcPr>
            <w:tcW w:w="586" w:type="dxa"/>
          </w:tcPr>
          <w:p w14:paraId="0541FB0B" w14:textId="77777777" w:rsidR="00734E4C" w:rsidRPr="0003503E" w:rsidRDefault="00734E4C" w:rsidP="00492EA8">
            <w:pPr>
              <w:spacing w:after="60"/>
              <w:jc w:val="right"/>
              <w:rPr>
                <w:sz w:val="18"/>
                <w:szCs w:val="18"/>
                <w:lang w:val="en-CA"/>
              </w:rPr>
            </w:pPr>
          </w:p>
        </w:tc>
        <w:tc>
          <w:tcPr>
            <w:tcW w:w="585" w:type="dxa"/>
            <w:shd w:val="clear" w:color="auto" w:fill="auto"/>
          </w:tcPr>
          <w:p w14:paraId="4F48767D" w14:textId="77777777" w:rsidR="00734E4C" w:rsidRPr="0003503E" w:rsidRDefault="00734E4C" w:rsidP="00492EA8">
            <w:pPr>
              <w:spacing w:after="60"/>
              <w:jc w:val="right"/>
              <w:rPr>
                <w:sz w:val="18"/>
                <w:szCs w:val="18"/>
                <w:lang w:val="en-CA"/>
              </w:rPr>
            </w:pPr>
          </w:p>
        </w:tc>
        <w:tc>
          <w:tcPr>
            <w:tcW w:w="586" w:type="dxa"/>
            <w:shd w:val="clear" w:color="auto" w:fill="auto"/>
          </w:tcPr>
          <w:p w14:paraId="29F67AAB" w14:textId="77777777" w:rsidR="00734E4C" w:rsidRPr="0003503E" w:rsidRDefault="00734E4C" w:rsidP="00492EA8">
            <w:pPr>
              <w:spacing w:after="60"/>
              <w:jc w:val="right"/>
              <w:rPr>
                <w:sz w:val="18"/>
                <w:szCs w:val="18"/>
                <w:lang w:val="en-CA"/>
              </w:rPr>
            </w:pPr>
          </w:p>
        </w:tc>
        <w:tc>
          <w:tcPr>
            <w:tcW w:w="586" w:type="dxa"/>
            <w:shd w:val="clear" w:color="auto" w:fill="auto"/>
          </w:tcPr>
          <w:p w14:paraId="6FCCC31E" w14:textId="77777777" w:rsidR="00734E4C" w:rsidRPr="0003503E" w:rsidRDefault="00734E4C" w:rsidP="00492EA8">
            <w:pPr>
              <w:spacing w:after="60"/>
              <w:jc w:val="right"/>
              <w:rPr>
                <w:sz w:val="18"/>
                <w:szCs w:val="18"/>
                <w:lang w:val="en-CA"/>
              </w:rPr>
            </w:pPr>
          </w:p>
        </w:tc>
        <w:tc>
          <w:tcPr>
            <w:tcW w:w="637" w:type="dxa"/>
            <w:shd w:val="clear" w:color="auto" w:fill="auto"/>
          </w:tcPr>
          <w:p w14:paraId="1D663D4D" w14:textId="77777777" w:rsidR="00734E4C" w:rsidRPr="0003503E" w:rsidRDefault="00734E4C" w:rsidP="00492EA8">
            <w:pPr>
              <w:spacing w:after="60"/>
              <w:jc w:val="right"/>
              <w:rPr>
                <w:sz w:val="18"/>
                <w:szCs w:val="18"/>
                <w:lang w:val="en-CA"/>
              </w:rPr>
            </w:pPr>
          </w:p>
        </w:tc>
        <w:tc>
          <w:tcPr>
            <w:tcW w:w="534" w:type="dxa"/>
            <w:shd w:val="clear" w:color="auto" w:fill="auto"/>
          </w:tcPr>
          <w:p w14:paraId="764A7FEC" w14:textId="77777777" w:rsidR="00734E4C" w:rsidRPr="0003503E" w:rsidRDefault="00734E4C" w:rsidP="00492EA8">
            <w:pPr>
              <w:spacing w:after="60"/>
              <w:jc w:val="right"/>
              <w:rPr>
                <w:sz w:val="18"/>
                <w:szCs w:val="18"/>
                <w:lang w:val="en-CA"/>
              </w:rPr>
            </w:pPr>
          </w:p>
        </w:tc>
        <w:tc>
          <w:tcPr>
            <w:tcW w:w="586" w:type="dxa"/>
            <w:shd w:val="clear" w:color="auto" w:fill="auto"/>
          </w:tcPr>
          <w:p w14:paraId="231A6F7B" w14:textId="77777777" w:rsidR="00734E4C" w:rsidRPr="0003503E" w:rsidRDefault="00734E4C" w:rsidP="00492EA8">
            <w:pPr>
              <w:spacing w:after="60"/>
              <w:jc w:val="right"/>
              <w:rPr>
                <w:sz w:val="18"/>
                <w:szCs w:val="18"/>
                <w:lang w:val="en-CA"/>
              </w:rPr>
            </w:pPr>
          </w:p>
        </w:tc>
        <w:tc>
          <w:tcPr>
            <w:tcW w:w="741" w:type="dxa"/>
            <w:shd w:val="clear" w:color="auto" w:fill="auto"/>
          </w:tcPr>
          <w:p w14:paraId="48338724" w14:textId="77777777" w:rsidR="00734E4C" w:rsidRPr="0003503E" w:rsidRDefault="00734E4C" w:rsidP="00492EA8">
            <w:pPr>
              <w:spacing w:after="60"/>
              <w:jc w:val="right"/>
              <w:rPr>
                <w:sz w:val="18"/>
                <w:szCs w:val="18"/>
              </w:rPr>
            </w:pPr>
            <w:r>
              <w:rPr>
                <w:sz w:val="18"/>
                <w:szCs w:val="18"/>
              </w:rPr>
              <w:t>8 554</w:t>
            </w:r>
          </w:p>
        </w:tc>
        <w:tc>
          <w:tcPr>
            <w:tcW w:w="740" w:type="dxa"/>
            <w:shd w:val="clear" w:color="auto" w:fill="auto"/>
          </w:tcPr>
          <w:p w14:paraId="7BD45886" w14:textId="77777777" w:rsidR="00734E4C" w:rsidRPr="0003503E" w:rsidRDefault="00734E4C" w:rsidP="00492EA8">
            <w:pPr>
              <w:spacing w:after="60"/>
              <w:jc w:val="right"/>
              <w:rPr>
                <w:sz w:val="18"/>
                <w:szCs w:val="18"/>
                <w:lang w:val="en-CA"/>
              </w:rPr>
            </w:pPr>
          </w:p>
        </w:tc>
        <w:tc>
          <w:tcPr>
            <w:tcW w:w="741" w:type="dxa"/>
            <w:shd w:val="clear" w:color="auto" w:fill="auto"/>
          </w:tcPr>
          <w:p w14:paraId="1C5514D4" w14:textId="77777777" w:rsidR="00734E4C" w:rsidRPr="0003503E" w:rsidRDefault="00734E4C" w:rsidP="00492EA8">
            <w:pPr>
              <w:spacing w:after="60"/>
              <w:jc w:val="right"/>
              <w:rPr>
                <w:sz w:val="18"/>
                <w:szCs w:val="18"/>
              </w:rPr>
            </w:pPr>
            <w:r>
              <w:rPr>
                <w:sz w:val="18"/>
                <w:szCs w:val="18"/>
              </w:rPr>
              <w:t>0</w:t>
            </w:r>
          </w:p>
        </w:tc>
      </w:tr>
    </w:tbl>
    <w:p w14:paraId="0EE73C9A" w14:textId="77777777" w:rsidR="00734E4C" w:rsidRPr="0003503E" w:rsidRDefault="00734E4C" w:rsidP="00492EA8">
      <w:pPr>
        <w:spacing w:after="60"/>
        <w:rPr>
          <w:sz w:val="16"/>
          <w:szCs w:val="16"/>
        </w:rPr>
      </w:pPr>
      <w:r>
        <w:rPr>
          <w:sz w:val="16"/>
          <w:szCs w:val="16"/>
        </w:rPr>
        <w:t>* La deuxième tranche aurait dû être présentée en 2016.</w:t>
      </w:r>
    </w:p>
    <w:p w14:paraId="580CAB66" w14:textId="77777777" w:rsidR="00734E4C" w:rsidRPr="0005355B" w:rsidRDefault="00734E4C" w:rsidP="00492EA8">
      <w:pPr>
        <w:spacing w:after="60"/>
        <w:rPr>
          <w:sz w:val="18"/>
          <w:szCs w:val="18"/>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00"/>
        <w:gridCol w:w="7000"/>
      </w:tblGrid>
      <w:tr w:rsidR="00734E4C" w:rsidRPr="0003503E" w14:paraId="1300BDAC" w14:textId="77777777" w:rsidTr="005670B4">
        <w:trPr>
          <w:trHeight w:val="240"/>
        </w:trPr>
        <w:tc>
          <w:tcPr>
            <w:tcW w:w="3000" w:type="dxa"/>
            <w:shd w:val="clear" w:color="auto" w:fill="auto"/>
          </w:tcPr>
          <w:p w14:paraId="79183E85" w14:textId="77777777" w:rsidR="00734E4C" w:rsidRPr="0003503E" w:rsidRDefault="00734E4C" w:rsidP="00492EA8">
            <w:pPr>
              <w:spacing w:after="60"/>
              <w:jc w:val="left"/>
              <w:rPr>
                <w:b/>
                <w:sz w:val="18"/>
              </w:rPr>
            </w:pPr>
            <w:r>
              <w:rPr>
                <w:b/>
                <w:sz w:val="18"/>
              </w:rPr>
              <w:t>Recommandation du Secrétariat :</w:t>
            </w:r>
          </w:p>
        </w:tc>
        <w:tc>
          <w:tcPr>
            <w:tcW w:w="7000" w:type="dxa"/>
            <w:shd w:val="clear" w:color="auto" w:fill="auto"/>
          </w:tcPr>
          <w:p w14:paraId="322365AF" w14:textId="77777777" w:rsidR="00734E4C" w:rsidRPr="0003503E" w:rsidRDefault="00734E4C" w:rsidP="00492EA8">
            <w:pPr>
              <w:spacing w:after="60"/>
              <w:jc w:val="center"/>
              <w:rPr>
                <w:sz w:val="18"/>
              </w:rPr>
            </w:pPr>
            <w:r>
              <w:rPr>
                <w:sz w:val="18"/>
              </w:rPr>
              <w:t>Approbation globale</w:t>
            </w:r>
          </w:p>
        </w:tc>
      </w:tr>
    </w:tbl>
    <w:p w14:paraId="2AC5CBF1" w14:textId="26A5A58F" w:rsidR="00734E4C" w:rsidRPr="0003503E" w:rsidRDefault="00734E4C" w:rsidP="00492EA8"/>
    <w:p w14:paraId="012DAF6D" w14:textId="77777777" w:rsidR="00734E4C" w:rsidRPr="0003503E" w:rsidRDefault="00734E4C" w:rsidP="00492EA8">
      <w:pPr>
        <w:jc w:val="center"/>
        <w:rPr>
          <w:b/>
        </w:rPr>
      </w:pPr>
      <w:r>
        <w:rPr>
          <w:b/>
        </w:rPr>
        <w:lastRenderedPageBreak/>
        <w:t>DESCRIPTION DU PROJET</w:t>
      </w:r>
    </w:p>
    <w:p w14:paraId="50AF9807" w14:textId="77777777" w:rsidR="00734E4C" w:rsidRPr="0003503E" w:rsidRDefault="00734E4C" w:rsidP="00492EA8">
      <w:pPr>
        <w:rPr>
          <w:lang w:val="en-CA"/>
        </w:rPr>
      </w:pPr>
    </w:p>
    <w:p w14:paraId="7B681D8E" w14:textId="77777777" w:rsidR="00734E4C" w:rsidRPr="0003503E" w:rsidRDefault="00734E4C" w:rsidP="00492EA8">
      <w:pPr>
        <w:pStyle w:val="Heading1"/>
        <w:tabs>
          <w:tab w:val="clear" w:pos="0"/>
          <w:tab w:val="num" w:pos="90"/>
        </w:tabs>
        <w:rPr>
          <w:sz w:val="18"/>
          <w:szCs w:val="18"/>
        </w:rPr>
      </w:pPr>
      <w:r>
        <w:t>Au nom du gouvernement de la Dominique, le PNUE, à titre d’agence d’exécution désignée, a présenté une demande de financement pour la troisième tranche de la phase I du plan de gestion de l’élimination des HCFC (PGE</w:t>
      </w:r>
      <w:r w:rsidR="009A6C55">
        <w:t>H), pour un montant de 65 800 $ </w:t>
      </w:r>
      <w:r>
        <w:t>US, plus des co</w:t>
      </w:r>
      <w:r w:rsidR="009A6C55">
        <w:t>ûts d’appui d’agence de 8 554 $ </w:t>
      </w:r>
      <w:r>
        <w:t>US</w:t>
      </w:r>
      <w:r>
        <w:rPr>
          <w:sz w:val="18"/>
          <w:szCs w:val="18"/>
        </w:rPr>
        <w:t>.</w:t>
      </w:r>
      <w:r w:rsidRPr="0003503E">
        <w:rPr>
          <w:rStyle w:val="FootnoteReference"/>
          <w:lang w:val="en-CA"/>
        </w:rPr>
        <w:footnoteReference w:id="1"/>
      </w:r>
      <w:r>
        <w:t xml:space="preserve"> La présentation comprend un rapport périodique sur la mise en œuvre de la première tranche, le rapport de vérification de consommation des HCFC pour 2013 à 2018, ainsi que le plan de mise en œuvre de la tranche pour 2020.</w:t>
      </w:r>
    </w:p>
    <w:p w14:paraId="6442D428" w14:textId="77777777" w:rsidR="00734E4C" w:rsidRPr="0003503E" w:rsidRDefault="00734E4C" w:rsidP="00492EA8">
      <w:pPr>
        <w:pStyle w:val="Heading1"/>
        <w:numPr>
          <w:ilvl w:val="0"/>
          <w:numId w:val="0"/>
        </w:numPr>
        <w:rPr>
          <w:u w:val="single"/>
        </w:rPr>
      </w:pPr>
      <w:r>
        <w:rPr>
          <w:u w:val="single"/>
        </w:rPr>
        <w:t xml:space="preserve">Introduction </w:t>
      </w:r>
    </w:p>
    <w:p w14:paraId="72D2013B" w14:textId="77777777" w:rsidR="00734E4C" w:rsidRPr="0003503E" w:rsidRDefault="00734E4C" w:rsidP="00492EA8">
      <w:pPr>
        <w:pStyle w:val="Heading1"/>
        <w:tabs>
          <w:tab w:val="clear" w:pos="0"/>
          <w:tab w:val="num" w:pos="90"/>
        </w:tabs>
      </w:pPr>
      <w:r>
        <w:t>La mise en œuvre du PGEH a été retardée en raison de plusieurs changements d’agent national de l’ozone et des répercussions de l’ouragan de 2017, durant lequel le bureau de l’Unité nationale de l’ozone (UNO) a été endommagé. Le Comité exécutif a approuvé 20 000 $ US supplémentaires lors de la 80</w:t>
      </w:r>
      <w:r>
        <w:rPr>
          <w:vertAlign w:val="superscript"/>
        </w:rPr>
        <w:t>e</w:t>
      </w:r>
      <w:r>
        <w:t xml:space="preserve"> réunion pour aider à relancer l’UNO après l’ouragan. Avec cette aide, l’UNO a relancé ses opérations et il est prévu que la mise en œuvre du PGEH s’accélère.</w:t>
      </w:r>
    </w:p>
    <w:p w14:paraId="7D863A8D" w14:textId="77777777" w:rsidR="00734E4C" w:rsidRPr="0003503E" w:rsidRDefault="00734E4C" w:rsidP="00492EA8">
      <w:pPr>
        <w:pStyle w:val="Heading1"/>
        <w:numPr>
          <w:ilvl w:val="0"/>
          <w:numId w:val="0"/>
        </w:numPr>
        <w:rPr>
          <w:u w:val="single"/>
        </w:rPr>
      </w:pPr>
      <w:r>
        <w:rPr>
          <w:u w:val="single"/>
        </w:rPr>
        <w:t>Rapport sur la consommation de HCFC</w:t>
      </w:r>
    </w:p>
    <w:p w14:paraId="218138D2" w14:textId="77777777" w:rsidR="00734E4C" w:rsidRPr="0003503E" w:rsidRDefault="00734E4C" w:rsidP="00492EA8">
      <w:pPr>
        <w:pStyle w:val="Heading1"/>
        <w:tabs>
          <w:tab w:val="clear" w:pos="0"/>
          <w:tab w:val="num" w:pos="90"/>
        </w:tabs>
      </w:pPr>
      <w:r>
        <w:t xml:space="preserve">Le gouvernement de la Dominique a rapporté une consommation de 0,16 tonne PAO de HCFC en 2018, ce qui est environ 60 % inférieur à la valeur de référence pour la conformité. La vérification a rapporté un niveau de consommation nettement inférieur (0,06 tonne PAO) à celui des données de l’Article 7 pour la même année. La consommation de HCFC pour 2013 à 2018 est indiquée au tableau 1. </w:t>
      </w:r>
    </w:p>
    <w:p w14:paraId="756DA508" w14:textId="77777777" w:rsidR="00734E4C" w:rsidRPr="0003503E" w:rsidRDefault="00734E4C" w:rsidP="00492EA8">
      <w:pPr>
        <w:rPr>
          <w:b/>
        </w:rPr>
      </w:pPr>
      <w:r>
        <w:rPr>
          <w:b/>
        </w:rPr>
        <w:t>Tableau 1. Consommation de HCFC en Dominique (2013-2018, données de l’Article 7 et consommation vérifiée)</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4A0" w:firstRow="1" w:lastRow="0" w:firstColumn="1" w:lastColumn="0" w:noHBand="0" w:noVBand="1"/>
      </w:tblPr>
      <w:tblGrid>
        <w:gridCol w:w="2025"/>
        <w:gridCol w:w="840"/>
        <w:gridCol w:w="839"/>
        <w:gridCol w:w="839"/>
        <w:gridCol w:w="839"/>
        <w:gridCol w:w="839"/>
        <w:gridCol w:w="839"/>
        <w:gridCol w:w="2300"/>
      </w:tblGrid>
      <w:tr w:rsidR="00734E4C" w:rsidRPr="0003503E" w14:paraId="60DC7232" w14:textId="77777777" w:rsidTr="005670B4">
        <w:trPr>
          <w:trHeight w:val="246"/>
          <w:tblHeader/>
        </w:trPr>
        <w:tc>
          <w:tcPr>
            <w:tcW w:w="1785" w:type="dxa"/>
            <w:shd w:val="clear" w:color="auto" w:fill="auto"/>
            <w:noWrap/>
            <w:tcMar>
              <w:left w:w="43" w:type="dxa"/>
              <w:right w:w="43" w:type="dxa"/>
            </w:tcMar>
            <w:vAlign w:val="center"/>
            <w:hideMark/>
          </w:tcPr>
          <w:p w14:paraId="0A610E75" w14:textId="77777777" w:rsidR="00734E4C" w:rsidRPr="0003503E" w:rsidRDefault="00734E4C" w:rsidP="00492EA8">
            <w:pPr>
              <w:rPr>
                <w:b/>
                <w:sz w:val="20"/>
                <w:szCs w:val="20"/>
              </w:rPr>
            </w:pPr>
            <w:r>
              <w:rPr>
                <w:b/>
                <w:sz w:val="20"/>
                <w:szCs w:val="20"/>
              </w:rPr>
              <w:t>HCFC-22</w:t>
            </w:r>
          </w:p>
        </w:tc>
        <w:tc>
          <w:tcPr>
            <w:tcW w:w="0" w:type="auto"/>
          </w:tcPr>
          <w:p w14:paraId="48745D5E" w14:textId="77777777" w:rsidR="00734E4C" w:rsidRPr="0003503E" w:rsidRDefault="00734E4C" w:rsidP="00492EA8">
            <w:pPr>
              <w:widowControl w:val="0"/>
              <w:jc w:val="center"/>
              <w:rPr>
                <w:b/>
                <w:bCs/>
                <w:color w:val="000000"/>
                <w:sz w:val="20"/>
                <w:szCs w:val="20"/>
              </w:rPr>
            </w:pPr>
            <w:r>
              <w:rPr>
                <w:b/>
                <w:bCs/>
                <w:color w:val="000000"/>
                <w:sz w:val="20"/>
                <w:szCs w:val="20"/>
              </w:rPr>
              <w:t>2013</w:t>
            </w:r>
          </w:p>
        </w:tc>
        <w:tc>
          <w:tcPr>
            <w:tcW w:w="0" w:type="auto"/>
            <w:shd w:val="clear" w:color="auto" w:fill="auto"/>
            <w:noWrap/>
            <w:vAlign w:val="center"/>
            <w:hideMark/>
          </w:tcPr>
          <w:p w14:paraId="332EC833" w14:textId="77777777" w:rsidR="00734E4C" w:rsidRPr="0003503E" w:rsidRDefault="00734E4C" w:rsidP="00492EA8">
            <w:pPr>
              <w:widowControl w:val="0"/>
              <w:jc w:val="center"/>
              <w:rPr>
                <w:b/>
                <w:bCs/>
                <w:color w:val="000000"/>
                <w:sz w:val="20"/>
                <w:szCs w:val="20"/>
              </w:rPr>
            </w:pPr>
            <w:r>
              <w:rPr>
                <w:b/>
                <w:bCs/>
                <w:color w:val="000000"/>
                <w:sz w:val="20"/>
                <w:szCs w:val="20"/>
              </w:rPr>
              <w:t>2014</w:t>
            </w:r>
          </w:p>
        </w:tc>
        <w:tc>
          <w:tcPr>
            <w:tcW w:w="0" w:type="auto"/>
            <w:shd w:val="clear" w:color="auto" w:fill="auto"/>
            <w:noWrap/>
            <w:vAlign w:val="center"/>
            <w:hideMark/>
          </w:tcPr>
          <w:p w14:paraId="24C31955" w14:textId="77777777" w:rsidR="00734E4C" w:rsidRPr="0003503E" w:rsidRDefault="00734E4C" w:rsidP="00492EA8">
            <w:pPr>
              <w:widowControl w:val="0"/>
              <w:jc w:val="center"/>
              <w:rPr>
                <w:b/>
                <w:bCs/>
                <w:color w:val="000000"/>
                <w:sz w:val="20"/>
                <w:szCs w:val="20"/>
              </w:rPr>
            </w:pPr>
            <w:r>
              <w:rPr>
                <w:b/>
                <w:bCs/>
                <w:color w:val="000000"/>
                <w:sz w:val="20"/>
                <w:szCs w:val="20"/>
              </w:rPr>
              <w:t>2015</w:t>
            </w:r>
          </w:p>
        </w:tc>
        <w:tc>
          <w:tcPr>
            <w:tcW w:w="0" w:type="auto"/>
          </w:tcPr>
          <w:p w14:paraId="6BAF8C52" w14:textId="77777777" w:rsidR="00734E4C" w:rsidRPr="0003503E" w:rsidRDefault="00734E4C" w:rsidP="00492EA8">
            <w:pPr>
              <w:widowControl w:val="0"/>
              <w:jc w:val="center"/>
              <w:rPr>
                <w:b/>
                <w:bCs/>
                <w:color w:val="000000"/>
                <w:sz w:val="20"/>
                <w:szCs w:val="20"/>
              </w:rPr>
            </w:pPr>
            <w:r>
              <w:rPr>
                <w:b/>
                <w:bCs/>
                <w:color w:val="000000"/>
                <w:sz w:val="20"/>
                <w:szCs w:val="20"/>
              </w:rPr>
              <w:t>2016</w:t>
            </w:r>
          </w:p>
        </w:tc>
        <w:tc>
          <w:tcPr>
            <w:tcW w:w="0" w:type="auto"/>
          </w:tcPr>
          <w:p w14:paraId="48A719B4" w14:textId="77777777" w:rsidR="00734E4C" w:rsidRPr="0003503E" w:rsidRDefault="00734E4C" w:rsidP="00492EA8">
            <w:pPr>
              <w:widowControl w:val="0"/>
              <w:jc w:val="center"/>
              <w:rPr>
                <w:b/>
                <w:bCs/>
                <w:color w:val="000000"/>
                <w:sz w:val="20"/>
                <w:szCs w:val="20"/>
              </w:rPr>
            </w:pPr>
            <w:r>
              <w:rPr>
                <w:b/>
                <w:bCs/>
                <w:color w:val="000000"/>
                <w:sz w:val="20"/>
                <w:szCs w:val="20"/>
              </w:rPr>
              <w:t>2017</w:t>
            </w:r>
          </w:p>
        </w:tc>
        <w:tc>
          <w:tcPr>
            <w:tcW w:w="0" w:type="auto"/>
          </w:tcPr>
          <w:p w14:paraId="4D91E83B" w14:textId="77777777" w:rsidR="00734E4C" w:rsidRPr="0003503E" w:rsidRDefault="00734E4C" w:rsidP="00492EA8">
            <w:pPr>
              <w:widowControl w:val="0"/>
              <w:jc w:val="center"/>
              <w:rPr>
                <w:b/>
                <w:bCs/>
                <w:color w:val="000000"/>
                <w:sz w:val="20"/>
                <w:szCs w:val="20"/>
              </w:rPr>
            </w:pPr>
            <w:r>
              <w:rPr>
                <w:b/>
                <w:bCs/>
                <w:color w:val="000000"/>
                <w:sz w:val="20"/>
                <w:szCs w:val="20"/>
              </w:rPr>
              <w:t>2018</w:t>
            </w:r>
          </w:p>
        </w:tc>
        <w:tc>
          <w:tcPr>
            <w:tcW w:w="0" w:type="auto"/>
            <w:shd w:val="clear" w:color="auto" w:fill="auto"/>
            <w:noWrap/>
            <w:vAlign w:val="center"/>
            <w:hideMark/>
          </w:tcPr>
          <w:p w14:paraId="7186F11A" w14:textId="77777777" w:rsidR="00734E4C" w:rsidRPr="0003503E" w:rsidRDefault="00734E4C" w:rsidP="00492EA8">
            <w:pPr>
              <w:widowControl w:val="0"/>
              <w:jc w:val="center"/>
              <w:rPr>
                <w:b/>
                <w:bCs/>
                <w:color w:val="000000"/>
                <w:sz w:val="20"/>
                <w:szCs w:val="20"/>
              </w:rPr>
            </w:pPr>
            <w:r>
              <w:rPr>
                <w:b/>
                <w:bCs/>
                <w:color w:val="000000"/>
                <w:sz w:val="20"/>
                <w:szCs w:val="20"/>
              </w:rPr>
              <w:t>Valeur de référence</w:t>
            </w:r>
          </w:p>
        </w:tc>
      </w:tr>
      <w:tr w:rsidR="00734E4C" w:rsidRPr="0003503E" w14:paraId="55C583BC" w14:textId="77777777" w:rsidTr="005670B4">
        <w:trPr>
          <w:trHeight w:val="238"/>
        </w:trPr>
        <w:tc>
          <w:tcPr>
            <w:tcW w:w="9360" w:type="dxa"/>
            <w:gridSpan w:val="8"/>
          </w:tcPr>
          <w:p w14:paraId="0415DCD5" w14:textId="77777777" w:rsidR="00734E4C" w:rsidRPr="0003503E" w:rsidRDefault="00734E4C" w:rsidP="00492EA8">
            <w:pPr>
              <w:widowControl w:val="0"/>
              <w:jc w:val="left"/>
              <w:rPr>
                <w:b/>
                <w:bCs/>
                <w:color w:val="000000"/>
                <w:sz w:val="20"/>
                <w:szCs w:val="20"/>
              </w:rPr>
            </w:pPr>
            <w:r>
              <w:rPr>
                <w:b/>
                <w:bCs/>
                <w:color w:val="000000"/>
                <w:sz w:val="20"/>
                <w:szCs w:val="20"/>
              </w:rPr>
              <w:t>Données de l’Article 7</w:t>
            </w:r>
          </w:p>
        </w:tc>
      </w:tr>
      <w:tr w:rsidR="00734E4C" w:rsidRPr="0003503E" w14:paraId="20CCD51E" w14:textId="77777777" w:rsidTr="005670B4">
        <w:trPr>
          <w:trHeight w:val="246"/>
        </w:trPr>
        <w:tc>
          <w:tcPr>
            <w:tcW w:w="1785" w:type="dxa"/>
            <w:shd w:val="clear" w:color="auto" w:fill="auto"/>
            <w:noWrap/>
            <w:tcMar>
              <w:left w:w="43" w:type="dxa"/>
              <w:right w:w="43" w:type="dxa"/>
            </w:tcMar>
            <w:vAlign w:val="center"/>
          </w:tcPr>
          <w:p w14:paraId="155BB185" w14:textId="77777777" w:rsidR="00734E4C" w:rsidRPr="0003503E" w:rsidRDefault="00734E4C" w:rsidP="00492EA8">
            <w:pPr>
              <w:rPr>
                <w:sz w:val="20"/>
                <w:szCs w:val="20"/>
              </w:rPr>
            </w:pPr>
            <w:r>
              <w:rPr>
                <w:sz w:val="20"/>
                <w:szCs w:val="20"/>
              </w:rPr>
              <w:t>Tonnes métriques</w:t>
            </w:r>
          </w:p>
        </w:tc>
        <w:tc>
          <w:tcPr>
            <w:tcW w:w="0" w:type="auto"/>
          </w:tcPr>
          <w:p w14:paraId="79B5F635" w14:textId="77777777" w:rsidR="00734E4C" w:rsidRPr="0003503E" w:rsidRDefault="00734E4C" w:rsidP="00492EA8">
            <w:pPr>
              <w:jc w:val="right"/>
              <w:rPr>
                <w:color w:val="000000"/>
                <w:sz w:val="20"/>
                <w:szCs w:val="20"/>
              </w:rPr>
            </w:pPr>
            <w:r>
              <w:rPr>
                <w:color w:val="000000"/>
                <w:sz w:val="20"/>
                <w:szCs w:val="20"/>
              </w:rPr>
              <w:t>1,62</w:t>
            </w:r>
          </w:p>
        </w:tc>
        <w:tc>
          <w:tcPr>
            <w:tcW w:w="0" w:type="auto"/>
            <w:noWrap/>
            <w:vAlign w:val="bottom"/>
          </w:tcPr>
          <w:p w14:paraId="54B3469D" w14:textId="77777777" w:rsidR="00734E4C" w:rsidRPr="0003503E" w:rsidRDefault="00734E4C" w:rsidP="00492EA8">
            <w:pPr>
              <w:jc w:val="right"/>
              <w:rPr>
                <w:color w:val="000000"/>
                <w:sz w:val="20"/>
                <w:szCs w:val="20"/>
              </w:rPr>
            </w:pPr>
            <w:r>
              <w:rPr>
                <w:color w:val="000000"/>
                <w:sz w:val="20"/>
                <w:szCs w:val="20"/>
              </w:rPr>
              <w:t>3,01</w:t>
            </w:r>
          </w:p>
        </w:tc>
        <w:tc>
          <w:tcPr>
            <w:tcW w:w="0" w:type="auto"/>
            <w:noWrap/>
          </w:tcPr>
          <w:p w14:paraId="7CA8DC82" w14:textId="77777777" w:rsidR="00734E4C" w:rsidRPr="0003503E" w:rsidRDefault="00734E4C" w:rsidP="00492EA8">
            <w:pPr>
              <w:jc w:val="right"/>
              <w:rPr>
                <w:color w:val="000000"/>
                <w:sz w:val="20"/>
                <w:szCs w:val="20"/>
              </w:rPr>
            </w:pPr>
            <w:r>
              <w:rPr>
                <w:color w:val="000000"/>
                <w:sz w:val="20"/>
                <w:szCs w:val="20"/>
              </w:rPr>
              <w:t>2,45</w:t>
            </w:r>
          </w:p>
        </w:tc>
        <w:tc>
          <w:tcPr>
            <w:tcW w:w="0" w:type="auto"/>
          </w:tcPr>
          <w:p w14:paraId="75206182" w14:textId="77777777" w:rsidR="00734E4C" w:rsidRPr="0003503E" w:rsidRDefault="00734E4C" w:rsidP="00492EA8">
            <w:pPr>
              <w:widowControl w:val="0"/>
              <w:jc w:val="right"/>
              <w:rPr>
                <w:bCs/>
                <w:color w:val="000000"/>
                <w:sz w:val="20"/>
                <w:szCs w:val="20"/>
              </w:rPr>
            </w:pPr>
            <w:r>
              <w:rPr>
                <w:bCs/>
                <w:color w:val="000000"/>
                <w:sz w:val="20"/>
                <w:szCs w:val="20"/>
              </w:rPr>
              <w:t>2,45</w:t>
            </w:r>
          </w:p>
        </w:tc>
        <w:tc>
          <w:tcPr>
            <w:tcW w:w="0" w:type="auto"/>
          </w:tcPr>
          <w:p w14:paraId="7649A2D9" w14:textId="77777777" w:rsidR="00734E4C" w:rsidRPr="0003503E" w:rsidRDefault="00734E4C" w:rsidP="00492EA8">
            <w:pPr>
              <w:widowControl w:val="0"/>
              <w:jc w:val="right"/>
              <w:rPr>
                <w:bCs/>
                <w:color w:val="000000"/>
                <w:sz w:val="20"/>
                <w:szCs w:val="20"/>
              </w:rPr>
            </w:pPr>
            <w:r>
              <w:rPr>
                <w:bCs/>
                <w:color w:val="000000"/>
                <w:sz w:val="20"/>
                <w:szCs w:val="20"/>
              </w:rPr>
              <w:t>2,31</w:t>
            </w:r>
          </w:p>
        </w:tc>
        <w:tc>
          <w:tcPr>
            <w:tcW w:w="0" w:type="auto"/>
          </w:tcPr>
          <w:p w14:paraId="01F94AF5" w14:textId="77777777" w:rsidR="00734E4C" w:rsidRPr="0003503E" w:rsidRDefault="00734E4C" w:rsidP="00492EA8">
            <w:pPr>
              <w:widowControl w:val="0"/>
              <w:jc w:val="right"/>
              <w:rPr>
                <w:rFonts w:eastAsiaTheme="minorHAnsi"/>
                <w:color w:val="000000"/>
                <w:sz w:val="20"/>
                <w:szCs w:val="20"/>
              </w:rPr>
            </w:pPr>
            <w:r>
              <w:rPr>
                <w:color w:val="000000"/>
                <w:sz w:val="20"/>
                <w:szCs w:val="20"/>
              </w:rPr>
              <w:t>2,99</w:t>
            </w:r>
          </w:p>
        </w:tc>
        <w:tc>
          <w:tcPr>
            <w:tcW w:w="0" w:type="auto"/>
            <w:shd w:val="clear" w:color="auto" w:fill="auto"/>
            <w:noWrap/>
            <w:vAlign w:val="center"/>
          </w:tcPr>
          <w:p w14:paraId="53BD50AD" w14:textId="77777777" w:rsidR="00734E4C" w:rsidRPr="0003503E" w:rsidRDefault="00734E4C" w:rsidP="00492EA8">
            <w:pPr>
              <w:widowControl w:val="0"/>
              <w:jc w:val="right"/>
              <w:rPr>
                <w:bCs/>
                <w:color w:val="000000"/>
                <w:sz w:val="20"/>
                <w:szCs w:val="20"/>
              </w:rPr>
            </w:pPr>
            <w:r>
              <w:rPr>
                <w:bCs/>
                <w:color w:val="000000"/>
                <w:sz w:val="20"/>
                <w:szCs w:val="20"/>
              </w:rPr>
              <w:t>7,27</w:t>
            </w:r>
          </w:p>
        </w:tc>
      </w:tr>
      <w:tr w:rsidR="00734E4C" w:rsidRPr="0003503E" w14:paraId="00A036B9" w14:textId="77777777" w:rsidTr="005670B4">
        <w:trPr>
          <w:trHeight w:val="246"/>
        </w:trPr>
        <w:tc>
          <w:tcPr>
            <w:tcW w:w="1785" w:type="dxa"/>
            <w:shd w:val="clear" w:color="auto" w:fill="auto"/>
            <w:noWrap/>
            <w:tcMar>
              <w:left w:w="43" w:type="dxa"/>
              <w:right w:w="43" w:type="dxa"/>
            </w:tcMar>
            <w:vAlign w:val="center"/>
          </w:tcPr>
          <w:p w14:paraId="6D18A953" w14:textId="77777777" w:rsidR="00734E4C" w:rsidRPr="0003503E" w:rsidRDefault="00734E4C" w:rsidP="00492EA8">
            <w:pPr>
              <w:rPr>
                <w:sz w:val="20"/>
                <w:szCs w:val="20"/>
              </w:rPr>
            </w:pPr>
            <w:r>
              <w:rPr>
                <w:sz w:val="20"/>
                <w:szCs w:val="20"/>
              </w:rPr>
              <w:t>Tonnes PAO</w:t>
            </w:r>
          </w:p>
        </w:tc>
        <w:tc>
          <w:tcPr>
            <w:tcW w:w="0" w:type="auto"/>
          </w:tcPr>
          <w:p w14:paraId="6624D5A7" w14:textId="77777777" w:rsidR="00734E4C" w:rsidRPr="0003503E" w:rsidRDefault="00734E4C" w:rsidP="00492EA8">
            <w:pPr>
              <w:pStyle w:val="ListParagraph"/>
              <w:spacing w:after="40"/>
              <w:ind w:left="0"/>
              <w:jc w:val="right"/>
              <w:rPr>
                <w:sz w:val="20"/>
                <w:szCs w:val="20"/>
              </w:rPr>
            </w:pPr>
            <w:r>
              <w:rPr>
                <w:sz w:val="20"/>
                <w:szCs w:val="20"/>
              </w:rPr>
              <w:t>0,09</w:t>
            </w:r>
          </w:p>
        </w:tc>
        <w:tc>
          <w:tcPr>
            <w:tcW w:w="0" w:type="auto"/>
            <w:noWrap/>
            <w:vAlign w:val="center"/>
          </w:tcPr>
          <w:p w14:paraId="2E25554A" w14:textId="77777777" w:rsidR="00734E4C" w:rsidRPr="0003503E" w:rsidRDefault="00734E4C" w:rsidP="00492EA8">
            <w:pPr>
              <w:pStyle w:val="ListParagraph"/>
              <w:spacing w:after="40"/>
              <w:ind w:left="0"/>
              <w:jc w:val="right"/>
              <w:rPr>
                <w:sz w:val="20"/>
                <w:szCs w:val="20"/>
              </w:rPr>
            </w:pPr>
            <w:r>
              <w:rPr>
                <w:sz w:val="20"/>
                <w:szCs w:val="20"/>
              </w:rPr>
              <w:t>0,17</w:t>
            </w:r>
          </w:p>
        </w:tc>
        <w:tc>
          <w:tcPr>
            <w:tcW w:w="0" w:type="auto"/>
            <w:noWrap/>
            <w:vAlign w:val="center"/>
          </w:tcPr>
          <w:p w14:paraId="6945C7C1" w14:textId="77777777" w:rsidR="00734E4C" w:rsidRPr="0003503E" w:rsidRDefault="00734E4C" w:rsidP="00492EA8">
            <w:pPr>
              <w:pStyle w:val="ListParagraph"/>
              <w:spacing w:after="40"/>
              <w:ind w:left="0"/>
              <w:jc w:val="right"/>
              <w:rPr>
                <w:sz w:val="20"/>
                <w:szCs w:val="20"/>
              </w:rPr>
            </w:pPr>
            <w:r>
              <w:rPr>
                <w:sz w:val="20"/>
                <w:szCs w:val="20"/>
              </w:rPr>
              <w:t>0,13</w:t>
            </w:r>
          </w:p>
        </w:tc>
        <w:tc>
          <w:tcPr>
            <w:tcW w:w="0" w:type="auto"/>
            <w:vAlign w:val="center"/>
          </w:tcPr>
          <w:p w14:paraId="350D2915" w14:textId="77777777" w:rsidR="00734E4C" w:rsidRPr="0003503E" w:rsidRDefault="00734E4C" w:rsidP="00492EA8">
            <w:pPr>
              <w:pStyle w:val="ListParagraph"/>
              <w:tabs>
                <w:tab w:val="left" w:pos="600"/>
              </w:tabs>
              <w:spacing w:after="40"/>
              <w:ind w:left="0"/>
              <w:jc w:val="right"/>
              <w:rPr>
                <w:sz w:val="20"/>
                <w:szCs w:val="20"/>
              </w:rPr>
            </w:pPr>
            <w:r>
              <w:rPr>
                <w:sz w:val="20"/>
                <w:szCs w:val="20"/>
              </w:rPr>
              <w:t>0,13</w:t>
            </w:r>
          </w:p>
        </w:tc>
        <w:tc>
          <w:tcPr>
            <w:tcW w:w="0" w:type="auto"/>
            <w:vAlign w:val="center"/>
          </w:tcPr>
          <w:p w14:paraId="54EDC8AB" w14:textId="77777777" w:rsidR="00734E4C" w:rsidRPr="0003503E" w:rsidRDefault="00734E4C" w:rsidP="00492EA8">
            <w:pPr>
              <w:pStyle w:val="ListParagraph"/>
              <w:spacing w:after="40"/>
              <w:ind w:left="0"/>
              <w:jc w:val="right"/>
              <w:rPr>
                <w:sz w:val="20"/>
                <w:szCs w:val="20"/>
              </w:rPr>
            </w:pPr>
            <w:r>
              <w:rPr>
                <w:sz w:val="20"/>
                <w:szCs w:val="20"/>
              </w:rPr>
              <w:t>0,13</w:t>
            </w:r>
          </w:p>
        </w:tc>
        <w:tc>
          <w:tcPr>
            <w:tcW w:w="0" w:type="auto"/>
          </w:tcPr>
          <w:p w14:paraId="4138313F" w14:textId="77777777" w:rsidR="00734E4C" w:rsidRPr="0003503E" w:rsidRDefault="00734E4C" w:rsidP="00492EA8">
            <w:pPr>
              <w:pStyle w:val="ListParagraph"/>
              <w:spacing w:after="40"/>
              <w:ind w:left="0"/>
              <w:jc w:val="right"/>
              <w:rPr>
                <w:sz w:val="20"/>
                <w:szCs w:val="20"/>
                <w:vertAlign w:val="superscript"/>
              </w:rPr>
            </w:pPr>
            <w:r>
              <w:rPr>
                <w:sz w:val="20"/>
                <w:szCs w:val="20"/>
              </w:rPr>
              <w:t>0,16</w:t>
            </w:r>
          </w:p>
        </w:tc>
        <w:tc>
          <w:tcPr>
            <w:tcW w:w="0" w:type="auto"/>
            <w:shd w:val="clear" w:color="auto" w:fill="auto"/>
            <w:noWrap/>
          </w:tcPr>
          <w:p w14:paraId="23C611A9" w14:textId="77777777" w:rsidR="00734E4C" w:rsidRPr="0003503E" w:rsidRDefault="00734E4C" w:rsidP="00492EA8">
            <w:pPr>
              <w:jc w:val="right"/>
              <w:rPr>
                <w:rFonts w:eastAsiaTheme="minorHAnsi"/>
                <w:color w:val="000000"/>
                <w:sz w:val="20"/>
                <w:szCs w:val="20"/>
              </w:rPr>
            </w:pPr>
            <w:r>
              <w:rPr>
                <w:color w:val="000000"/>
                <w:sz w:val="20"/>
                <w:szCs w:val="20"/>
              </w:rPr>
              <w:t>0,40</w:t>
            </w:r>
          </w:p>
        </w:tc>
      </w:tr>
      <w:tr w:rsidR="00734E4C" w:rsidRPr="0003503E" w14:paraId="06BDA1D0" w14:textId="77777777" w:rsidTr="005670B4">
        <w:trPr>
          <w:trHeight w:val="246"/>
        </w:trPr>
        <w:tc>
          <w:tcPr>
            <w:tcW w:w="9360" w:type="dxa"/>
            <w:gridSpan w:val="8"/>
          </w:tcPr>
          <w:p w14:paraId="1D5FFEC6" w14:textId="77777777" w:rsidR="00734E4C" w:rsidRPr="0003503E" w:rsidRDefault="00734E4C" w:rsidP="00492EA8">
            <w:pPr>
              <w:jc w:val="left"/>
              <w:rPr>
                <w:rFonts w:eastAsiaTheme="minorHAnsi"/>
                <w:b/>
                <w:color w:val="000000"/>
                <w:sz w:val="20"/>
                <w:szCs w:val="20"/>
              </w:rPr>
            </w:pPr>
            <w:r>
              <w:rPr>
                <w:b/>
                <w:bCs/>
                <w:color w:val="000000"/>
                <w:sz w:val="20"/>
                <w:szCs w:val="20"/>
              </w:rPr>
              <w:t>Données du rapport de vérification</w:t>
            </w:r>
          </w:p>
        </w:tc>
      </w:tr>
      <w:tr w:rsidR="00734E4C" w:rsidRPr="0003503E" w14:paraId="22B02A27" w14:textId="77777777" w:rsidTr="005670B4">
        <w:trPr>
          <w:trHeight w:val="246"/>
        </w:trPr>
        <w:tc>
          <w:tcPr>
            <w:tcW w:w="1785" w:type="dxa"/>
            <w:shd w:val="clear" w:color="auto" w:fill="auto"/>
            <w:noWrap/>
            <w:tcMar>
              <w:left w:w="43" w:type="dxa"/>
              <w:right w:w="43" w:type="dxa"/>
            </w:tcMar>
            <w:vAlign w:val="center"/>
          </w:tcPr>
          <w:p w14:paraId="33F56A2A" w14:textId="77777777" w:rsidR="00734E4C" w:rsidRPr="0003503E" w:rsidRDefault="00734E4C" w:rsidP="00492EA8">
            <w:pPr>
              <w:rPr>
                <w:sz w:val="20"/>
                <w:szCs w:val="20"/>
              </w:rPr>
            </w:pPr>
            <w:r>
              <w:rPr>
                <w:sz w:val="20"/>
                <w:szCs w:val="20"/>
              </w:rPr>
              <w:t>Tonnes métriques</w:t>
            </w:r>
          </w:p>
        </w:tc>
        <w:tc>
          <w:tcPr>
            <w:tcW w:w="0" w:type="auto"/>
          </w:tcPr>
          <w:p w14:paraId="68F694ED" w14:textId="77777777" w:rsidR="00734E4C" w:rsidRPr="0003503E" w:rsidRDefault="00734E4C" w:rsidP="00492EA8">
            <w:pPr>
              <w:jc w:val="right"/>
              <w:rPr>
                <w:color w:val="000000"/>
                <w:sz w:val="20"/>
                <w:szCs w:val="20"/>
              </w:rPr>
            </w:pPr>
            <w:r>
              <w:rPr>
                <w:color w:val="000000"/>
                <w:sz w:val="20"/>
                <w:szCs w:val="20"/>
              </w:rPr>
              <w:t>2,73</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6BC2B1D" w14:textId="77777777" w:rsidR="00734E4C" w:rsidRPr="0003503E" w:rsidRDefault="00734E4C" w:rsidP="00492EA8">
            <w:pPr>
              <w:jc w:val="right"/>
              <w:rPr>
                <w:color w:val="000000"/>
                <w:sz w:val="20"/>
                <w:szCs w:val="20"/>
              </w:rPr>
            </w:pPr>
            <w:r>
              <w:rPr>
                <w:color w:val="000000"/>
                <w:sz w:val="20"/>
                <w:szCs w:val="20"/>
              </w:rPr>
              <w:t>3,16</w:t>
            </w:r>
          </w:p>
        </w:tc>
        <w:tc>
          <w:tcPr>
            <w:tcW w:w="0" w:type="auto"/>
            <w:tcBorders>
              <w:top w:val="single" w:sz="4" w:space="0" w:color="auto"/>
              <w:left w:val="nil"/>
              <w:bottom w:val="single" w:sz="4" w:space="0" w:color="auto"/>
              <w:right w:val="single" w:sz="4" w:space="0" w:color="auto"/>
            </w:tcBorders>
            <w:shd w:val="clear" w:color="auto" w:fill="auto"/>
            <w:noWrap/>
          </w:tcPr>
          <w:p w14:paraId="0BCEE5FC" w14:textId="77777777" w:rsidR="00734E4C" w:rsidRPr="0003503E" w:rsidRDefault="00734E4C" w:rsidP="00492EA8">
            <w:pPr>
              <w:jc w:val="right"/>
              <w:rPr>
                <w:color w:val="000000"/>
                <w:sz w:val="20"/>
                <w:szCs w:val="20"/>
              </w:rPr>
            </w:pPr>
            <w:r>
              <w:rPr>
                <w:color w:val="000000"/>
                <w:sz w:val="20"/>
                <w:szCs w:val="20"/>
              </w:rPr>
              <w:t>3,27</w:t>
            </w:r>
          </w:p>
        </w:tc>
        <w:tc>
          <w:tcPr>
            <w:tcW w:w="0" w:type="auto"/>
            <w:tcBorders>
              <w:top w:val="single" w:sz="4" w:space="0" w:color="auto"/>
              <w:left w:val="nil"/>
              <w:bottom w:val="single" w:sz="4" w:space="0" w:color="auto"/>
              <w:right w:val="single" w:sz="4" w:space="0" w:color="auto"/>
            </w:tcBorders>
            <w:shd w:val="clear" w:color="auto" w:fill="auto"/>
          </w:tcPr>
          <w:p w14:paraId="1B599DFC" w14:textId="77777777" w:rsidR="00734E4C" w:rsidRPr="0003503E" w:rsidRDefault="00734E4C" w:rsidP="00492EA8">
            <w:pPr>
              <w:jc w:val="right"/>
              <w:rPr>
                <w:color w:val="000000"/>
                <w:sz w:val="20"/>
                <w:szCs w:val="20"/>
              </w:rPr>
            </w:pPr>
            <w:r>
              <w:rPr>
                <w:color w:val="000000"/>
                <w:sz w:val="20"/>
                <w:szCs w:val="20"/>
              </w:rPr>
              <w:t>1,73</w:t>
            </w:r>
          </w:p>
        </w:tc>
        <w:tc>
          <w:tcPr>
            <w:tcW w:w="0" w:type="auto"/>
            <w:tcBorders>
              <w:top w:val="single" w:sz="4" w:space="0" w:color="auto"/>
              <w:left w:val="nil"/>
              <w:bottom w:val="single" w:sz="4" w:space="0" w:color="auto"/>
              <w:right w:val="single" w:sz="4" w:space="0" w:color="auto"/>
            </w:tcBorders>
            <w:shd w:val="clear" w:color="auto" w:fill="auto"/>
          </w:tcPr>
          <w:p w14:paraId="580E912E" w14:textId="77777777" w:rsidR="00734E4C" w:rsidRPr="0003503E" w:rsidRDefault="00734E4C" w:rsidP="00492EA8">
            <w:pPr>
              <w:jc w:val="right"/>
              <w:rPr>
                <w:color w:val="000000"/>
                <w:sz w:val="20"/>
                <w:szCs w:val="20"/>
              </w:rPr>
            </w:pPr>
            <w:r>
              <w:rPr>
                <w:color w:val="000000"/>
                <w:sz w:val="20"/>
                <w:szCs w:val="20"/>
              </w:rPr>
              <w:t>1,46</w:t>
            </w:r>
          </w:p>
        </w:tc>
        <w:tc>
          <w:tcPr>
            <w:tcW w:w="0" w:type="auto"/>
            <w:tcBorders>
              <w:top w:val="single" w:sz="4" w:space="0" w:color="auto"/>
              <w:left w:val="nil"/>
              <w:bottom w:val="single" w:sz="4" w:space="0" w:color="auto"/>
              <w:right w:val="single" w:sz="4" w:space="0" w:color="auto"/>
            </w:tcBorders>
            <w:shd w:val="clear" w:color="auto" w:fill="auto"/>
          </w:tcPr>
          <w:p w14:paraId="41E47A3C" w14:textId="77777777" w:rsidR="00734E4C" w:rsidRPr="0003503E" w:rsidRDefault="00734E4C" w:rsidP="00492EA8">
            <w:pPr>
              <w:jc w:val="right"/>
              <w:rPr>
                <w:color w:val="000000"/>
                <w:sz w:val="20"/>
                <w:szCs w:val="20"/>
              </w:rPr>
            </w:pPr>
            <w:r>
              <w:rPr>
                <w:color w:val="000000"/>
                <w:sz w:val="20"/>
                <w:szCs w:val="20"/>
              </w:rPr>
              <w:t>1,13</w:t>
            </w:r>
          </w:p>
        </w:tc>
        <w:tc>
          <w:tcPr>
            <w:tcW w:w="0" w:type="auto"/>
            <w:shd w:val="clear" w:color="auto" w:fill="auto"/>
            <w:noWrap/>
            <w:vAlign w:val="center"/>
          </w:tcPr>
          <w:p w14:paraId="7532388B" w14:textId="77777777" w:rsidR="00734E4C" w:rsidRPr="0003503E" w:rsidRDefault="00734E4C" w:rsidP="00492EA8">
            <w:pPr>
              <w:widowControl w:val="0"/>
              <w:jc w:val="right"/>
              <w:rPr>
                <w:bCs/>
                <w:color w:val="000000"/>
                <w:sz w:val="20"/>
                <w:szCs w:val="20"/>
              </w:rPr>
            </w:pPr>
            <w:r>
              <w:rPr>
                <w:bCs/>
                <w:color w:val="000000"/>
                <w:sz w:val="20"/>
                <w:szCs w:val="20"/>
              </w:rPr>
              <w:t>7,27</w:t>
            </w:r>
          </w:p>
        </w:tc>
      </w:tr>
      <w:tr w:rsidR="00734E4C" w:rsidRPr="0003503E" w14:paraId="5ACE0D95" w14:textId="77777777" w:rsidTr="005670B4">
        <w:trPr>
          <w:trHeight w:val="246"/>
        </w:trPr>
        <w:tc>
          <w:tcPr>
            <w:tcW w:w="1785" w:type="dxa"/>
            <w:shd w:val="clear" w:color="auto" w:fill="auto"/>
            <w:noWrap/>
            <w:tcMar>
              <w:left w:w="43" w:type="dxa"/>
              <w:right w:w="43" w:type="dxa"/>
            </w:tcMar>
            <w:vAlign w:val="center"/>
          </w:tcPr>
          <w:p w14:paraId="5B4DE52B" w14:textId="77777777" w:rsidR="00734E4C" w:rsidRPr="0003503E" w:rsidRDefault="00734E4C" w:rsidP="00492EA8">
            <w:pPr>
              <w:rPr>
                <w:sz w:val="20"/>
                <w:szCs w:val="20"/>
              </w:rPr>
            </w:pPr>
            <w:r>
              <w:rPr>
                <w:sz w:val="20"/>
                <w:szCs w:val="20"/>
              </w:rPr>
              <w:t>Tonnes PAO</w:t>
            </w:r>
          </w:p>
        </w:tc>
        <w:tc>
          <w:tcPr>
            <w:tcW w:w="0" w:type="auto"/>
          </w:tcPr>
          <w:p w14:paraId="565D9C01" w14:textId="77777777" w:rsidR="00734E4C" w:rsidRPr="0003503E" w:rsidRDefault="00734E4C" w:rsidP="00492EA8">
            <w:pPr>
              <w:jc w:val="right"/>
              <w:rPr>
                <w:color w:val="000000"/>
                <w:sz w:val="20"/>
                <w:szCs w:val="20"/>
              </w:rPr>
            </w:pPr>
            <w:r>
              <w:rPr>
                <w:color w:val="000000"/>
                <w:sz w:val="20"/>
                <w:szCs w:val="20"/>
              </w:rPr>
              <w:t>0,15</w:t>
            </w:r>
          </w:p>
        </w:tc>
        <w:tc>
          <w:tcPr>
            <w:tcW w:w="0" w:type="auto"/>
            <w:tcBorders>
              <w:top w:val="nil"/>
              <w:left w:val="single" w:sz="4" w:space="0" w:color="auto"/>
              <w:bottom w:val="single" w:sz="4" w:space="0" w:color="auto"/>
              <w:right w:val="single" w:sz="4" w:space="0" w:color="auto"/>
            </w:tcBorders>
            <w:shd w:val="clear" w:color="auto" w:fill="auto"/>
            <w:noWrap/>
          </w:tcPr>
          <w:p w14:paraId="6036B617" w14:textId="77777777" w:rsidR="00734E4C" w:rsidRPr="0003503E" w:rsidRDefault="00734E4C" w:rsidP="00492EA8">
            <w:pPr>
              <w:jc w:val="right"/>
              <w:rPr>
                <w:color w:val="000000"/>
                <w:sz w:val="20"/>
                <w:szCs w:val="20"/>
              </w:rPr>
            </w:pPr>
            <w:r>
              <w:rPr>
                <w:color w:val="000000"/>
                <w:sz w:val="20"/>
                <w:szCs w:val="20"/>
              </w:rPr>
              <w:t>0,17</w:t>
            </w:r>
          </w:p>
        </w:tc>
        <w:tc>
          <w:tcPr>
            <w:tcW w:w="0" w:type="auto"/>
            <w:tcBorders>
              <w:top w:val="nil"/>
              <w:left w:val="nil"/>
              <w:bottom w:val="single" w:sz="4" w:space="0" w:color="auto"/>
              <w:right w:val="single" w:sz="4" w:space="0" w:color="auto"/>
            </w:tcBorders>
            <w:shd w:val="clear" w:color="auto" w:fill="auto"/>
            <w:noWrap/>
          </w:tcPr>
          <w:p w14:paraId="2DF4877E" w14:textId="77777777" w:rsidR="00734E4C" w:rsidRPr="0003503E" w:rsidRDefault="00734E4C" w:rsidP="00492EA8">
            <w:pPr>
              <w:jc w:val="right"/>
              <w:rPr>
                <w:color w:val="000000"/>
                <w:sz w:val="20"/>
                <w:szCs w:val="20"/>
              </w:rPr>
            </w:pPr>
            <w:r>
              <w:rPr>
                <w:color w:val="000000"/>
                <w:sz w:val="20"/>
                <w:szCs w:val="20"/>
              </w:rPr>
              <w:t>0,18</w:t>
            </w:r>
          </w:p>
        </w:tc>
        <w:tc>
          <w:tcPr>
            <w:tcW w:w="0" w:type="auto"/>
            <w:tcBorders>
              <w:top w:val="nil"/>
              <w:left w:val="nil"/>
              <w:bottom w:val="single" w:sz="4" w:space="0" w:color="auto"/>
              <w:right w:val="single" w:sz="4" w:space="0" w:color="auto"/>
            </w:tcBorders>
            <w:shd w:val="clear" w:color="auto" w:fill="auto"/>
          </w:tcPr>
          <w:p w14:paraId="18FEBF46" w14:textId="77777777" w:rsidR="00734E4C" w:rsidRPr="0003503E" w:rsidRDefault="00734E4C" w:rsidP="00492EA8">
            <w:pPr>
              <w:jc w:val="right"/>
              <w:rPr>
                <w:color w:val="000000"/>
                <w:sz w:val="20"/>
                <w:szCs w:val="20"/>
              </w:rPr>
            </w:pPr>
            <w:r>
              <w:rPr>
                <w:color w:val="000000"/>
                <w:sz w:val="20"/>
                <w:szCs w:val="20"/>
              </w:rPr>
              <w:t>0,10</w:t>
            </w:r>
          </w:p>
        </w:tc>
        <w:tc>
          <w:tcPr>
            <w:tcW w:w="0" w:type="auto"/>
            <w:tcBorders>
              <w:top w:val="nil"/>
              <w:left w:val="nil"/>
              <w:bottom w:val="single" w:sz="4" w:space="0" w:color="auto"/>
              <w:right w:val="single" w:sz="4" w:space="0" w:color="auto"/>
            </w:tcBorders>
            <w:shd w:val="clear" w:color="auto" w:fill="auto"/>
          </w:tcPr>
          <w:p w14:paraId="7FFC9361" w14:textId="77777777" w:rsidR="00734E4C" w:rsidRPr="0003503E" w:rsidRDefault="00734E4C" w:rsidP="00492EA8">
            <w:pPr>
              <w:jc w:val="right"/>
              <w:rPr>
                <w:color w:val="000000"/>
                <w:sz w:val="20"/>
                <w:szCs w:val="20"/>
              </w:rPr>
            </w:pPr>
            <w:r>
              <w:rPr>
                <w:color w:val="000000"/>
                <w:sz w:val="20"/>
                <w:szCs w:val="20"/>
              </w:rPr>
              <w:t>0,08</w:t>
            </w:r>
          </w:p>
        </w:tc>
        <w:tc>
          <w:tcPr>
            <w:tcW w:w="0" w:type="auto"/>
            <w:tcBorders>
              <w:top w:val="nil"/>
              <w:left w:val="nil"/>
              <w:bottom w:val="single" w:sz="4" w:space="0" w:color="auto"/>
              <w:right w:val="single" w:sz="4" w:space="0" w:color="auto"/>
            </w:tcBorders>
            <w:shd w:val="clear" w:color="auto" w:fill="auto"/>
          </w:tcPr>
          <w:p w14:paraId="17AEDDDC" w14:textId="77777777" w:rsidR="00734E4C" w:rsidRPr="0003503E" w:rsidRDefault="00734E4C" w:rsidP="00492EA8">
            <w:pPr>
              <w:jc w:val="right"/>
              <w:rPr>
                <w:color w:val="000000"/>
                <w:sz w:val="20"/>
                <w:szCs w:val="20"/>
              </w:rPr>
            </w:pPr>
            <w:r>
              <w:rPr>
                <w:color w:val="000000"/>
                <w:sz w:val="20"/>
                <w:szCs w:val="20"/>
              </w:rPr>
              <w:t>0,06</w:t>
            </w:r>
          </w:p>
        </w:tc>
        <w:tc>
          <w:tcPr>
            <w:tcW w:w="0" w:type="auto"/>
            <w:shd w:val="clear" w:color="auto" w:fill="auto"/>
            <w:noWrap/>
          </w:tcPr>
          <w:p w14:paraId="2A8210DF" w14:textId="77777777" w:rsidR="00734E4C" w:rsidRPr="0003503E" w:rsidRDefault="00734E4C" w:rsidP="00492EA8">
            <w:pPr>
              <w:jc w:val="right"/>
              <w:rPr>
                <w:rFonts w:eastAsiaTheme="minorHAnsi"/>
                <w:color w:val="000000"/>
                <w:sz w:val="20"/>
                <w:szCs w:val="20"/>
              </w:rPr>
            </w:pPr>
            <w:r>
              <w:rPr>
                <w:color w:val="000000"/>
                <w:sz w:val="20"/>
                <w:szCs w:val="20"/>
              </w:rPr>
              <w:t>0,40</w:t>
            </w:r>
          </w:p>
        </w:tc>
      </w:tr>
    </w:tbl>
    <w:p w14:paraId="2DEBED6A" w14:textId="77777777" w:rsidR="00734E4C" w:rsidRPr="0003503E" w:rsidRDefault="00734E4C" w:rsidP="00492EA8">
      <w:pPr>
        <w:rPr>
          <w:sz w:val="20"/>
          <w:szCs w:val="20"/>
          <w:lang w:val="en-CA"/>
        </w:rPr>
      </w:pPr>
    </w:p>
    <w:p w14:paraId="4EFFBEA5" w14:textId="77777777" w:rsidR="00734E4C" w:rsidRPr="0003503E" w:rsidRDefault="00734E4C" w:rsidP="00492EA8">
      <w:pPr>
        <w:pStyle w:val="Heading1"/>
        <w:tabs>
          <w:tab w:val="clear" w:pos="0"/>
          <w:tab w:val="num" w:pos="90"/>
        </w:tabs>
      </w:pPr>
      <w:r>
        <w:t xml:space="preserve">La consommation de HCFC a baissé de 2014 à 2017 et a légèrement augmenté en 2018, ce qui pourrait être le résultat d’un changement dans les niveaux des stocks. La consommation générale de HCFC a diminué, ce qui est attribué à la mise en œuvre des activités dans le cadre du PGEH. </w:t>
      </w:r>
    </w:p>
    <w:p w14:paraId="44419031" w14:textId="77777777" w:rsidR="00734E4C" w:rsidRPr="0003503E" w:rsidRDefault="00734E4C" w:rsidP="00492EA8">
      <w:pPr>
        <w:rPr>
          <w:i/>
        </w:rPr>
      </w:pPr>
      <w:r>
        <w:rPr>
          <w:i/>
        </w:rPr>
        <w:t>Rapport de la mise en œuvre du programme du pays</w:t>
      </w:r>
    </w:p>
    <w:p w14:paraId="22456FE2" w14:textId="77777777" w:rsidR="00734E4C" w:rsidRPr="0005355B" w:rsidRDefault="00734E4C" w:rsidP="00492EA8"/>
    <w:p w14:paraId="5CE200E6" w14:textId="77777777" w:rsidR="00734E4C" w:rsidRPr="0003503E" w:rsidRDefault="00734E4C" w:rsidP="00492EA8">
      <w:pPr>
        <w:pStyle w:val="Heading1"/>
        <w:tabs>
          <w:tab w:val="clear" w:pos="0"/>
          <w:tab w:val="num" w:pos="90"/>
        </w:tabs>
        <w:rPr>
          <w:i/>
        </w:rPr>
      </w:pPr>
      <w:r>
        <w:t xml:space="preserve">Le gouvernement de la Dominique a communiqué des données du secteur de la consommation des HCFC dans le cadre du rapport de mise en œuvre du programme du pays de 2018, et ces données correspondent aux données déclarées en vertu de l’Article 7 du Protocole de Montréal. </w:t>
      </w:r>
    </w:p>
    <w:p w14:paraId="6549628D" w14:textId="77777777" w:rsidR="00734E4C" w:rsidRPr="0003503E" w:rsidRDefault="00734E4C" w:rsidP="00492EA8">
      <w:pPr>
        <w:pStyle w:val="Heading1"/>
        <w:keepNext/>
        <w:keepLines/>
        <w:numPr>
          <w:ilvl w:val="0"/>
          <w:numId w:val="0"/>
        </w:numPr>
        <w:rPr>
          <w:i/>
        </w:rPr>
      </w:pPr>
      <w:r>
        <w:rPr>
          <w:i/>
        </w:rPr>
        <w:t>Rapport de vérification</w:t>
      </w:r>
    </w:p>
    <w:p w14:paraId="4B56A3BF" w14:textId="77777777" w:rsidR="00734E4C" w:rsidRPr="0003503E" w:rsidRDefault="00734E4C" w:rsidP="00492EA8">
      <w:pPr>
        <w:pStyle w:val="Heading1"/>
      </w:pPr>
      <w:r>
        <w:t xml:space="preserve">Le rapport de vérification a confirmé que le gouvernement met actuellement en place un système d’octroi de permis et de quotas d’importation et d’exportation de HCFC, et que la consommation totale de HCFC pour 2013 à 2018 était inférieure aux cibles établies dans l’Accord avec le Comité exécutif pour ces </w:t>
      </w:r>
      <w:r>
        <w:lastRenderedPageBreak/>
        <w:t>années. La vérification a pris note que le code du système harmonisé des douanes (code SH) était incapable d’identifier les HCFC individuels et qu’il y avait des incohérences persistantes</w:t>
      </w:r>
      <w:r w:rsidR="009A6C55">
        <w:t xml:space="preserve"> entre les données de l’Article </w:t>
      </w:r>
      <w:r>
        <w:t xml:space="preserve">7 et la consommation vérifiée. La vérification a en outre pris note que l’UNO n’avait pas émis de quotas d’importation de HCFC aux importateurs individuels de HCFC. Elle a plutôt émis un seul quota à l’échelle nationale. Les importations ont été approuvées selon le principe du premier arrivé, premier servi jusqu’à ce que le quota national soit épuisé. </w:t>
      </w:r>
    </w:p>
    <w:p w14:paraId="55D4BF23" w14:textId="77777777" w:rsidR="00734E4C" w:rsidRPr="0003503E" w:rsidRDefault="00734E4C" w:rsidP="00492EA8">
      <w:pPr>
        <w:pStyle w:val="Heading1"/>
        <w:keepNext/>
        <w:keepLines/>
        <w:numPr>
          <w:ilvl w:val="0"/>
          <w:numId w:val="0"/>
        </w:numPr>
        <w:rPr>
          <w:u w:val="single"/>
        </w:rPr>
      </w:pPr>
      <w:r>
        <w:rPr>
          <w:u w:val="single"/>
        </w:rPr>
        <w:t>Rapport périodique sur la mise en œuvre de la première tranche du PGEH</w:t>
      </w:r>
    </w:p>
    <w:p w14:paraId="5DB57901" w14:textId="77777777" w:rsidR="00734E4C" w:rsidRPr="0003503E" w:rsidRDefault="00734E4C" w:rsidP="00492EA8">
      <w:pPr>
        <w:rPr>
          <w:i/>
        </w:rPr>
      </w:pPr>
      <w:r>
        <w:rPr>
          <w:i/>
        </w:rPr>
        <w:t>Cadre juridique</w:t>
      </w:r>
    </w:p>
    <w:p w14:paraId="15F00CA8" w14:textId="77777777" w:rsidR="00734E4C" w:rsidRPr="0003503E" w:rsidRDefault="00734E4C" w:rsidP="00492EA8"/>
    <w:p w14:paraId="35225516" w14:textId="04E6B788" w:rsidR="00734E4C" w:rsidRPr="0003503E" w:rsidRDefault="00734E4C" w:rsidP="00492EA8">
      <w:pPr>
        <w:pStyle w:val="Heading1"/>
        <w:tabs>
          <w:tab w:val="clear" w:pos="0"/>
          <w:tab w:val="num" w:pos="90"/>
        </w:tabs>
      </w:pPr>
      <w:r>
        <w:t>Le ministère de l’Environnement, de la Résilience climatique, de la Gestion des catastrophes et du Renouve</w:t>
      </w:r>
      <w:r w:rsidR="00880FE5">
        <w:t>l</w:t>
      </w:r>
      <w:r>
        <w:t xml:space="preserve">lement urbain est l’organisme responsable de la mise en œuvre du Protocole de Montréal en Dominique. L’UNO située au sein du ministère coordonne la mise en œuvre du PGEH. La Dominique a établi un cadre réglementaire pour le contrôle des importations de HCFC et d’équipements fonctionnant au HCFC. Le système d’octroi de permis et de quotas est appliqué. Conformément à la décision 63/17, le gouvernement a confirmé qu’un système national opérationnel de permis et de quotas portant sur les importations et exportations de HCFC est en place et que ce système est en mesure d’assurer la conformité du pays avec le calendrier d’élimination des HCFC du Protocole de Montréal. </w:t>
      </w:r>
    </w:p>
    <w:p w14:paraId="0126EE7C" w14:textId="77777777" w:rsidR="00734E4C" w:rsidRPr="0003503E" w:rsidRDefault="00734E4C" w:rsidP="00492EA8">
      <w:pPr>
        <w:pStyle w:val="Heading1"/>
        <w:tabs>
          <w:tab w:val="clear" w:pos="0"/>
          <w:tab w:val="num" w:pos="90"/>
        </w:tabs>
      </w:pPr>
      <w:r>
        <w:t>La législation a été révisée et approuvée par le Conseil des ministres. Les règlements révisés incluent : l’enregistrement et le permis des importateurs et des exportateurs de HCFC et de HFC; un système de quotas pour contrôler les importations de HCFC; des restrictions sur la vente des HCFC aux techniciens certifiés en réfrigération et climatisation; une procédure de saisie et d’élimination des importations illégales de HCFC; des contrôles sur les importations d’équipements fonctionnant au HCFC; la certification des techniciens; et l’étiquetage des HCFC et des équipements.</w:t>
      </w:r>
    </w:p>
    <w:p w14:paraId="4D97B515" w14:textId="77777777" w:rsidR="005670B4" w:rsidRPr="0003503E" w:rsidRDefault="00734E4C" w:rsidP="00492EA8">
      <w:pPr>
        <w:rPr>
          <w:i/>
        </w:rPr>
      </w:pPr>
      <w:r>
        <w:rPr>
          <w:i/>
        </w:rPr>
        <w:t>Secteur de l’entretien en réfrigération</w:t>
      </w:r>
    </w:p>
    <w:p w14:paraId="500ABCA6" w14:textId="77777777" w:rsidR="005670B4" w:rsidRPr="0003503E" w:rsidRDefault="005670B4" w:rsidP="00492EA8">
      <w:pPr>
        <w:rPr>
          <w:i/>
          <w:lang w:val="en-CA"/>
        </w:rPr>
      </w:pPr>
    </w:p>
    <w:p w14:paraId="46F3FF53" w14:textId="77777777" w:rsidR="00734E4C" w:rsidRPr="0003503E" w:rsidRDefault="00734E4C" w:rsidP="00492EA8">
      <w:pPr>
        <w:pStyle w:val="Heading1"/>
        <w:tabs>
          <w:tab w:val="clear" w:pos="0"/>
          <w:tab w:val="num" w:pos="90"/>
        </w:tabs>
      </w:pPr>
      <w:r>
        <w:t>Les activités suivantes ont été mises en œuvre pendant la première tranche :</w:t>
      </w:r>
    </w:p>
    <w:p w14:paraId="1996F6E2" w14:textId="77777777" w:rsidR="00734E4C" w:rsidRPr="0003503E" w:rsidRDefault="005670B4" w:rsidP="00492EA8">
      <w:pPr>
        <w:pStyle w:val="Heading2"/>
      </w:pPr>
      <w:r>
        <w:t xml:space="preserve">Formation de 47 agents des douanes et d’exécution de la loi, et de 30 courtiers des douanes sur la surveillance et le contrôle des importations de HCFC ainsi que l’identification des HCFC; </w:t>
      </w:r>
    </w:p>
    <w:p w14:paraId="4F8A0CE0" w14:textId="77777777" w:rsidR="00734E4C" w:rsidRPr="0003503E" w:rsidRDefault="00734E4C" w:rsidP="00492EA8">
      <w:pPr>
        <w:pStyle w:val="Heading2"/>
      </w:pPr>
      <w:r>
        <w:t xml:space="preserve">Conception des documents de formation et recrutement d’un consultant pour la formation des techniciens en réfrigération et climatisation (le programme de formation commencera pendant la deuxième tranche); </w:t>
      </w:r>
    </w:p>
    <w:p w14:paraId="7E1CBFDE" w14:textId="77777777" w:rsidR="00734E4C" w:rsidRPr="0003503E" w:rsidRDefault="005670B4" w:rsidP="00492EA8">
      <w:pPr>
        <w:pStyle w:val="Heading2"/>
      </w:pPr>
      <w:r>
        <w:t>Réalisation d’activités de sensibilisation du public par divers portails médiatiques sur le cadre législatif révisé, l’élimination des HCFC et l’introduction des solutions de remplacement à faible PRG; distribution d’outils et d’équipements achetés dans le cadre du plan de gestion de l’élimination finale pour les techniciens.</w:t>
      </w:r>
    </w:p>
    <w:p w14:paraId="2FF9A754" w14:textId="77777777" w:rsidR="00734E4C" w:rsidRPr="0003503E" w:rsidRDefault="00734E4C" w:rsidP="00492EA8">
      <w:pPr>
        <w:rPr>
          <w:i/>
        </w:rPr>
      </w:pPr>
      <w:r>
        <w:rPr>
          <w:i/>
        </w:rPr>
        <w:t>Surveillance des progrès et rapport</w:t>
      </w:r>
    </w:p>
    <w:p w14:paraId="179508C6" w14:textId="77777777" w:rsidR="005670B4" w:rsidRPr="0003503E" w:rsidRDefault="005670B4" w:rsidP="00492EA8">
      <w:pPr>
        <w:rPr>
          <w:lang w:val="en-CA"/>
        </w:rPr>
      </w:pPr>
    </w:p>
    <w:p w14:paraId="4B7E63CE" w14:textId="77777777" w:rsidR="00734E4C" w:rsidRPr="0003503E" w:rsidRDefault="00734E4C" w:rsidP="00492EA8">
      <w:pPr>
        <w:pStyle w:val="Heading1"/>
        <w:tabs>
          <w:tab w:val="clear" w:pos="0"/>
          <w:tab w:val="num" w:pos="90"/>
        </w:tabs>
      </w:pPr>
      <w:r>
        <w:t xml:space="preserve">La mise en œuvre du PGEH et la surveillance des progrès </w:t>
      </w:r>
      <w:r w:rsidR="0005355B">
        <w:t>ont</w:t>
      </w:r>
      <w:r>
        <w:t xml:space="preserve"> été réalisée</w:t>
      </w:r>
      <w:r w:rsidR="0005355B">
        <w:t>s</w:t>
      </w:r>
      <w:r>
        <w:t xml:space="preserve"> par l’UNO. L’agent national de l’ozone se trouve directement sous la direction du Secrétaire permanent, qui fournit une orientation sur la mise en œuvre des activités sur le plan politique. De plus, l’agent national de l’ozone consulte les membres du Comité directeur national de l’ozone au besoin. Aucune dépense n’a été occasionnée jusqu’ici.</w:t>
      </w:r>
    </w:p>
    <w:p w14:paraId="4AC7A170" w14:textId="77777777" w:rsidR="00734E4C" w:rsidRPr="0003503E" w:rsidRDefault="00734E4C" w:rsidP="00492EA8">
      <w:pPr>
        <w:keepNext/>
        <w:keepLines/>
        <w:rPr>
          <w:u w:val="single"/>
        </w:rPr>
      </w:pPr>
      <w:r>
        <w:rPr>
          <w:u w:val="single"/>
        </w:rPr>
        <w:lastRenderedPageBreak/>
        <w:t>État du décaissement des fonds</w:t>
      </w:r>
    </w:p>
    <w:p w14:paraId="67892A17" w14:textId="77777777" w:rsidR="005670B4" w:rsidRPr="0003503E" w:rsidRDefault="005670B4" w:rsidP="00492EA8">
      <w:pPr>
        <w:keepNext/>
        <w:keepLines/>
        <w:rPr>
          <w:u w:val="single"/>
          <w:lang w:val="en-CA"/>
        </w:rPr>
      </w:pPr>
    </w:p>
    <w:p w14:paraId="14209D7C" w14:textId="77777777" w:rsidR="00734E4C" w:rsidRPr="0003503E" w:rsidRDefault="00734E4C" w:rsidP="00492EA8">
      <w:pPr>
        <w:pStyle w:val="Heading1"/>
        <w:tabs>
          <w:tab w:val="clear" w:pos="0"/>
          <w:tab w:val="num" w:pos="90"/>
        </w:tabs>
      </w:pPr>
      <w:r>
        <w:t>En da</w:t>
      </w:r>
      <w:r w:rsidR="009A6C55">
        <w:t>te d’octobre 2019, des 82 250 $ </w:t>
      </w:r>
      <w:r>
        <w:t>US</w:t>
      </w:r>
      <w:r>
        <w:rPr>
          <w:sz w:val="18"/>
          <w:szCs w:val="18"/>
        </w:rPr>
        <w:t xml:space="preserve"> </w:t>
      </w:r>
      <w:r w:rsidR="009A6C55">
        <w:t>approuvés jusqu’ici, 25 595 $ </w:t>
      </w:r>
      <w:r>
        <w:t xml:space="preserve">US (31 %) avaient été </w:t>
      </w:r>
      <w:r w:rsidR="009A6C55">
        <w:t>décaissés. Le solde de 56 655 $ </w:t>
      </w:r>
      <w:r>
        <w:t>US sera décaissé en 2020.</w:t>
      </w:r>
    </w:p>
    <w:p w14:paraId="42464B74" w14:textId="77777777" w:rsidR="00734E4C" w:rsidRPr="0003503E" w:rsidRDefault="00734E4C" w:rsidP="00492EA8">
      <w:pPr>
        <w:keepNext/>
        <w:keepLines/>
        <w:rPr>
          <w:u w:val="single"/>
        </w:rPr>
      </w:pPr>
      <w:r>
        <w:rPr>
          <w:u w:val="single"/>
        </w:rPr>
        <w:t>Plan de mise en œuvre de la deuxième tranche du PGEH</w:t>
      </w:r>
    </w:p>
    <w:p w14:paraId="1DC97DD4" w14:textId="77777777" w:rsidR="00734E4C" w:rsidRPr="0005355B" w:rsidRDefault="00734E4C" w:rsidP="00492EA8">
      <w:pPr>
        <w:keepNext/>
        <w:keepLines/>
      </w:pPr>
    </w:p>
    <w:p w14:paraId="55ECFBF1" w14:textId="77777777" w:rsidR="00734E4C" w:rsidRPr="0003503E" w:rsidRDefault="00734E4C" w:rsidP="00492EA8">
      <w:pPr>
        <w:pStyle w:val="Heading1"/>
        <w:keepNext/>
        <w:keepLines/>
        <w:tabs>
          <w:tab w:val="clear" w:pos="0"/>
          <w:tab w:val="num" w:pos="90"/>
        </w:tabs>
      </w:pPr>
      <w:r>
        <w:t>Les activités suivante</w:t>
      </w:r>
      <w:r w:rsidR="009A6C55">
        <w:t>s seront mises en œuvre en 2020 </w:t>
      </w:r>
      <w:r>
        <w:t>:</w:t>
      </w:r>
    </w:p>
    <w:p w14:paraId="7F8A22CA" w14:textId="74E25357" w:rsidR="00734E4C" w:rsidRPr="0003503E" w:rsidRDefault="00734E4C" w:rsidP="00492EA8">
      <w:pPr>
        <w:pStyle w:val="Heading2"/>
        <w:keepNext/>
        <w:keepLines/>
      </w:pPr>
      <w:r>
        <w:t xml:space="preserve">Introduction de la version 2012 du code SH, réalisation de deux ateliers de formation pour 30 agents des douanes et de l’exécution de la loi sur la surveillance et le contrôle du commerce des SAO, </w:t>
      </w:r>
      <w:r w:rsidR="004261C6">
        <w:t>en</w:t>
      </w:r>
      <w:r>
        <w:t xml:space="preserve"> prévention des importations illégales; l’achat de trois identifiants de frigorigènes pour les ports principaux de Roseau et Portsmouth, ainsi que pour l’aéroport Douglas-Charles à Marigot (19 000 $ US);</w:t>
      </w:r>
    </w:p>
    <w:p w14:paraId="7165A234" w14:textId="77777777" w:rsidR="00734E4C" w:rsidRPr="0003503E" w:rsidRDefault="00734E4C" w:rsidP="00492EA8">
      <w:pPr>
        <w:pStyle w:val="Heading2"/>
      </w:pPr>
      <w:r>
        <w:t>Organisation d’un atelier pour le Bureau des normes et les courtiers des douanes sur la classification des frigorigènes SAO et des produits contenant des SAO (8 000 $ US);</w:t>
      </w:r>
    </w:p>
    <w:p w14:paraId="630CAAC9" w14:textId="77777777" w:rsidR="00734E4C" w:rsidRPr="0003503E" w:rsidRDefault="00734E4C" w:rsidP="00492EA8">
      <w:pPr>
        <w:pStyle w:val="Heading2"/>
      </w:pPr>
      <w:r>
        <w:t xml:space="preserve">Réalisation de deux ateliers de formation pour former 30 techniciens sur les bonnes pratiques d’entretien, la récupération et la réutilisation des frigorigènes, ainsi que l’entretien des unités de réfrigération et de climatisation avec des solutions de remplacement (15 800 $ US, plus 20 000 $ US de la première tranche); </w:t>
      </w:r>
    </w:p>
    <w:p w14:paraId="7800D1A2" w14:textId="77777777" w:rsidR="00734E4C" w:rsidRPr="0003503E" w:rsidRDefault="00734E4C" w:rsidP="00492EA8">
      <w:pPr>
        <w:pStyle w:val="Heading2"/>
      </w:pPr>
      <w:r>
        <w:t>Réalisation d’un séminaire technique pour les techniciens en réfrigération et climatisation sur la promotion des solutions de remplacement à faible PRG (5 000 $ US);</w:t>
      </w:r>
    </w:p>
    <w:p w14:paraId="52773447" w14:textId="77777777" w:rsidR="00734E4C" w:rsidRPr="0003503E" w:rsidRDefault="00734E4C" w:rsidP="00492EA8">
      <w:pPr>
        <w:pStyle w:val="Heading2"/>
      </w:pPr>
      <w:r>
        <w:t>Formation de deux techniciens en Allemagne sur la manipulation sûre des frigorigènes inflammables et toxiques (12 155 $ US de la première tranche);</w:t>
      </w:r>
    </w:p>
    <w:p w14:paraId="421D6E85" w14:textId="29A427F8" w:rsidR="00734E4C" w:rsidRPr="0003503E" w:rsidRDefault="00734E4C" w:rsidP="00492EA8">
      <w:pPr>
        <w:pStyle w:val="Heading2"/>
      </w:pPr>
      <w:r>
        <w:t>Mise en œuvre d’activités d’éducation et de sensibilisation du public sur l’élimination des HCFC et l’introduction des solutions de remplacement à faible PRG par divers médias, y compris la radio, la télévision et la diffusion de documents promotionnels (5 000 $ US);</w:t>
      </w:r>
    </w:p>
    <w:p w14:paraId="7E25BF47" w14:textId="77777777" w:rsidR="00734E4C" w:rsidRPr="0003503E" w:rsidRDefault="00734E4C" w:rsidP="00492EA8">
      <w:pPr>
        <w:pStyle w:val="Heading2"/>
      </w:pPr>
      <w:r>
        <w:t xml:space="preserve">Surveillance, coordination et préparation de rapports de la mise en œuvre du PGEH; un consultant sera engagé pour aider l’UNO dans la surveillance des progrès et la préparation des rapports réguliers pour le PNUE (13 000 $ US). </w:t>
      </w:r>
    </w:p>
    <w:p w14:paraId="0927F444" w14:textId="77777777" w:rsidR="00734E4C" w:rsidRPr="0003503E" w:rsidRDefault="00734E4C" w:rsidP="00492EA8">
      <w:pPr>
        <w:pStyle w:val="Heading1"/>
        <w:tabs>
          <w:tab w:val="clear" w:pos="0"/>
          <w:tab w:val="num" w:pos="90"/>
        </w:tabs>
      </w:pPr>
      <w:r>
        <w:t>De plus, pour répondre à la recommandation du rapport de vérification, dans le cadre du financement du renforcement institutionnel, l’UNO incitera toutes les parties prenantes (p. ex., douanes, ministère du Commerce, importateurs, courtiers des douanes) à examiner les procédures sur le contrôle des importations de HCFC, le système d’octroi de permis et de quotas et pour identifier les améliorations dans l’enregistrement des données.</w:t>
      </w:r>
    </w:p>
    <w:p w14:paraId="5CD296B7" w14:textId="77777777" w:rsidR="00734E4C" w:rsidRPr="0005355B" w:rsidRDefault="00734E4C" w:rsidP="00492EA8"/>
    <w:p w14:paraId="15ECC54C" w14:textId="77777777" w:rsidR="00734E4C" w:rsidRPr="0003503E" w:rsidRDefault="00734E4C" w:rsidP="00492EA8">
      <w:pPr>
        <w:jc w:val="center"/>
        <w:rPr>
          <w:b/>
        </w:rPr>
      </w:pPr>
      <w:r>
        <w:rPr>
          <w:b/>
        </w:rPr>
        <w:t>COMMENTAIRES ET RECOMMANDATION DU SECRÉTARIAT</w:t>
      </w:r>
    </w:p>
    <w:p w14:paraId="3759ADC8" w14:textId="77777777" w:rsidR="00734E4C" w:rsidRPr="0003503E" w:rsidRDefault="00734E4C" w:rsidP="00492EA8">
      <w:pPr>
        <w:rPr>
          <w:b/>
        </w:rPr>
      </w:pPr>
      <w:r>
        <w:rPr>
          <w:b/>
        </w:rPr>
        <w:t>Commentaires</w:t>
      </w:r>
    </w:p>
    <w:p w14:paraId="066C9BD7" w14:textId="77777777" w:rsidR="00734E4C" w:rsidRPr="0005355B" w:rsidRDefault="00734E4C" w:rsidP="00492EA8"/>
    <w:p w14:paraId="0FA333D7" w14:textId="77777777" w:rsidR="00734E4C" w:rsidRPr="0003503E" w:rsidRDefault="00734E4C" w:rsidP="00492EA8">
      <w:pPr>
        <w:rPr>
          <w:u w:val="single"/>
        </w:rPr>
      </w:pPr>
      <w:r>
        <w:rPr>
          <w:u w:val="single"/>
        </w:rPr>
        <w:t>Rapport sur la consommation de HCFC</w:t>
      </w:r>
    </w:p>
    <w:p w14:paraId="03088372" w14:textId="77777777" w:rsidR="00734E4C" w:rsidRPr="0005355B" w:rsidRDefault="00734E4C" w:rsidP="00492EA8"/>
    <w:p w14:paraId="78A752B3" w14:textId="77777777" w:rsidR="00734E4C" w:rsidRPr="0003503E" w:rsidRDefault="00734E4C" w:rsidP="00492EA8">
      <w:pPr>
        <w:pStyle w:val="Heading1"/>
        <w:tabs>
          <w:tab w:val="clear" w:pos="0"/>
          <w:tab w:val="num" w:pos="90"/>
        </w:tabs>
      </w:pPr>
      <w:r>
        <w:t xml:space="preserve">La Dominique a établi sa valeur de référence de consommation à 0,4 tonne PAO selon le rapport en vertu de l’Article 7. Le point de départ pour la réduction globale durable de la consommation des HCFC a été convenu à 0,23 tonne PAO, une estimation basée sur la demande en entretien lorsque le PGEH a été approuvé. La vérification a rapporté des niveaux de consommation plus élevés que le rapport en vertu de </w:t>
      </w:r>
      <w:r>
        <w:lastRenderedPageBreak/>
        <w:t>l’Article 7 en 2014 et 2015, mais des niveaux de consomm</w:t>
      </w:r>
      <w:r w:rsidR="009A6C55">
        <w:t>ation inférieurs de 2016 à 2018.</w:t>
      </w:r>
      <w:r>
        <w:t xml:space="preserve"> Puisque les données du rapport de vérification sont considérées comme plus justes que celles des douanes, le gouvernement envisage de présenter une demande pour réviser les données de l’Article 7 de 2013 à 2018 selon les données du rapport de vérification. </w:t>
      </w:r>
    </w:p>
    <w:p w14:paraId="461C9643" w14:textId="77777777" w:rsidR="00734E4C" w:rsidRDefault="00CE2F15" w:rsidP="00492EA8">
      <w:pPr>
        <w:rPr>
          <w:u w:val="single"/>
        </w:rPr>
      </w:pPr>
      <w:r>
        <w:rPr>
          <w:u w:val="single"/>
        </w:rPr>
        <w:t>Rapport de vérification</w:t>
      </w:r>
    </w:p>
    <w:p w14:paraId="51BD7536" w14:textId="77777777" w:rsidR="00A5098E" w:rsidRPr="0003503E" w:rsidRDefault="00A5098E" w:rsidP="00492EA8">
      <w:pPr>
        <w:rPr>
          <w:u w:val="single"/>
          <w:lang w:val="en-CA"/>
        </w:rPr>
      </w:pPr>
    </w:p>
    <w:p w14:paraId="6C466F88" w14:textId="77777777" w:rsidR="00734E4C" w:rsidRPr="0003503E" w:rsidRDefault="00734E4C" w:rsidP="00492EA8">
      <w:pPr>
        <w:pStyle w:val="Heading1"/>
        <w:tabs>
          <w:tab w:val="clear" w:pos="0"/>
          <w:tab w:val="num" w:pos="90"/>
        </w:tabs>
      </w:pPr>
      <w:r>
        <w:t xml:space="preserve">Même si le système d’octroi de permis et de quotas est opérationnel, la vérification a suggéré de l’améliorer davantage afin d’obtenir des rapports de données plus justes par l’introduction du nouveau code SH pour permettre l’identification des HCFC individuels, ainsi que l’émission de quotas par importateur individuel. Le gouvernement a inclus ces activités dans le plan de travail révisé de la deuxième tranche. </w:t>
      </w:r>
    </w:p>
    <w:p w14:paraId="6531A938" w14:textId="77777777" w:rsidR="00734E4C" w:rsidRPr="0003503E" w:rsidRDefault="00734E4C" w:rsidP="00492EA8">
      <w:pPr>
        <w:pStyle w:val="Heading1"/>
        <w:tabs>
          <w:tab w:val="clear" w:pos="0"/>
          <w:tab w:val="num" w:pos="90"/>
        </w:tabs>
      </w:pPr>
      <w:r>
        <w:t>Le Secrétariat considère que l’exploitation efficace du système d’octroi de permis et de quotas est essentiel</w:t>
      </w:r>
      <w:r w:rsidR="0005355B">
        <w:t>le</w:t>
      </w:r>
      <w:r>
        <w:t xml:space="preserve"> pour atteindre la conformité avec les cibles du Protocole de Montréal et de l’Accord avec le Comité exécutif, et il suggère par conséquent que l’approbation de la troisième (et dernière) tranche, qui sera présentée à la 86</w:t>
      </w:r>
      <w:r>
        <w:rPr>
          <w:vertAlign w:val="superscript"/>
        </w:rPr>
        <w:t>e</w:t>
      </w:r>
      <w:r>
        <w:t xml:space="preserve"> réunion, soit conditionnelle à l’introduction du nouveau code SH et à l’émission de quotas aux importateurs individuels. </w:t>
      </w:r>
    </w:p>
    <w:p w14:paraId="3D35AA14" w14:textId="77777777" w:rsidR="00734E4C" w:rsidRPr="0003503E" w:rsidRDefault="00734E4C" w:rsidP="00492EA8">
      <w:pPr>
        <w:pStyle w:val="Heading1"/>
        <w:numPr>
          <w:ilvl w:val="0"/>
          <w:numId w:val="0"/>
        </w:numPr>
        <w:rPr>
          <w:u w:val="single"/>
        </w:rPr>
      </w:pPr>
      <w:r>
        <w:rPr>
          <w:u w:val="single"/>
        </w:rPr>
        <w:t xml:space="preserve">Rapport périodique sur la mise en œuvre de la première tranche du PGEH </w:t>
      </w:r>
    </w:p>
    <w:p w14:paraId="4ECA87D9" w14:textId="77777777" w:rsidR="00734E4C" w:rsidRPr="0003503E" w:rsidRDefault="00734E4C" w:rsidP="00492EA8">
      <w:pPr>
        <w:pStyle w:val="Heading1"/>
        <w:keepNext/>
        <w:keepLines/>
        <w:numPr>
          <w:ilvl w:val="0"/>
          <w:numId w:val="0"/>
        </w:numPr>
        <w:rPr>
          <w:i/>
        </w:rPr>
      </w:pPr>
      <w:r>
        <w:rPr>
          <w:i/>
        </w:rPr>
        <w:t>Cadre juridique</w:t>
      </w:r>
    </w:p>
    <w:p w14:paraId="4ACA6DB8" w14:textId="77777777" w:rsidR="00734E4C" w:rsidRPr="0003503E" w:rsidRDefault="00734E4C" w:rsidP="00492EA8">
      <w:pPr>
        <w:pStyle w:val="Heading1"/>
        <w:tabs>
          <w:tab w:val="clear" w:pos="0"/>
          <w:tab w:val="num" w:pos="90"/>
        </w:tabs>
      </w:pPr>
      <w:r>
        <w:t>Le gouvernement de la Dominique a déjà émis des quotas d’impor</w:t>
      </w:r>
      <w:r w:rsidR="009A6C55">
        <w:t>tation de HCFC pour 2019 à 0,21 </w:t>
      </w:r>
      <w:r>
        <w:t>tonne PAO, conformément à la cible de consommation maximale autorisée établie pour l’année dans l’Accord avec le Comité exécutif.</w:t>
      </w:r>
    </w:p>
    <w:p w14:paraId="52DFF62C" w14:textId="77777777" w:rsidR="00734E4C" w:rsidRPr="0003503E" w:rsidRDefault="00734E4C" w:rsidP="00492EA8">
      <w:pPr>
        <w:pStyle w:val="Heading1"/>
        <w:keepNext/>
        <w:keepLines/>
        <w:numPr>
          <w:ilvl w:val="0"/>
          <w:numId w:val="0"/>
        </w:numPr>
        <w:rPr>
          <w:i/>
        </w:rPr>
      </w:pPr>
      <w:r>
        <w:rPr>
          <w:i/>
        </w:rPr>
        <w:t>Secteur de l’entretien en réfrigération</w:t>
      </w:r>
    </w:p>
    <w:p w14:paraId="74F3D703" w14:textId="5FD31A9D" w:rsidR="00734E4C" w:rsidRPr="0003503E" w:rsidRDefault="00734E4C" w:rsidP="00492EA8">
      <w:pPr>
        <w:pStyle w:val="Heading1"/>
        <w:tabs>
          <w:tab w:val="clear" w:pos="0"/>
          <w:tab w:val="num" w:pos="90"/>
        </w:tabs>
      </w:pPr>
      <w:r>
        <w:t>Le Secrétariat a noté que le gouvernement prévoyait réattribuer le financement initialement prévu pour la conversion vers des frigorigènes hydrocarbures à la formation des formateurs et des techniciens pour l’entretien des systèmes fonctionnant au R-407A et au R-410A et aux conversions. Après une demande, le PNUE a précisé que le gouvernement ne prévoit pas convertir les équipements fonctionnant au HCFC; ce financement a été réattribué pour envoyer deux techniciens en Allemagne pour une formation sur la manipulation des technologies à faible PRG. Le Secrétariat a demandé si la conversion vers les hydrocarbures avait eu lieu en Dominique et a discuté des décisions pertinentes du Comité exécutif</w:t>
      </w:r>
      <w:r w:rsidR="00CE2F15">
        <w:rPr>
          <w:rStyle w:val="FootnoteReference"/>
          <w:lang w:val="en-CA"/>
        </w:rPr>
        <w:footnoteReference w:id="2"/>
      </w:r>
      <w:r>
        <w:t xml:space="preserve"> à cet égard. Le PNUE a confirmé que le gouvernement de la Dominique comprend les implications des conversions et ne prévoit </w:t>
      </w:r>
      <w:r w:rsidR="0005355B">
        <w:t xml:space="preserve">pas </w:t>
      </w:r>
      <w:r>
        <w:t xml:space="preserve">de conversion </w:t>
      </w:r>
      <w:r w:rsidR="004261C6">
        <w:t>d’aucun</w:t>
      </w:r>
      <w:r>
        <w:t xml:space="preserve"> frigorigène vers de nouvelles technologies. </w:t>
      </w:r>
    </w:p>
    <w:p w14:paraId="498C96E9" w14:textId="77777777" w:rsidR="00734E4C" w:rsidRPr="0003503E" w:rsidRDefault="00734E4C" w:rsidP="00492EA8">
      <w:pPr>
        <w:pStyle w:val="Heading1"/>
        <w:tabs>
          <w:tab w:val="clear" w:pos="0"/>
          <w:tab w:val="num" w:pos="90"/>
        </w:tabs>
      </w:pPr>
      <w:r>
        <w:t>En ce qui concerne la formation des techniciens en réfrigération et climatisation prévue pour la première tranche, le PNUE a indiqué qu’en raison de plusieurs changements d’agent national de l’ozone et de l’ouragan, la formation n’avait pas pu avoir lieu et a confirmé qu’elle aurait lieu dans la deuxième tranche. Malgré le retard, le PNUE a également confirmé qu’avec le rétablissement de l’UNO, la mise en œuvre s’accélèrerait et que la dernière tranche serait présentée comme prévu en 2020.</w:t>
      </w:r>
    </w:p>
    <w:p w14:paraId="31863632" w14:textId="77777777" w:rsidR="00734E4C" w:rsidRPr="0003503E" w:rsidRDefault="00734E4C" w:rsidP="00492EA8">
      <w:pPr>
        <w:rPr>
          <w:u w:val="single"/>
        </w:rPr>
      </w:pPr>
      <w:r>
        <w:rPr>
          <w:u w:val="single"/>
        </w:rPr>
        <w:t>Révision de l’Accord</w:t>
      </w:r>
    </w:p>
    <w:p w14:paraId="04D9F5EF" w14:textId="77777777" w:rsidR="00734E4C" w:rsidRPr="0003503E" w:rsidRDefault="00734E4C" w:rsidP="00492EA8">
      <w:pPr>
        <w:rPr>
          <w:lang w:val="en-CA"/>
        </w:rPr>
      </w:pPr>
    </w:p>
    <w:p w14:paraId="38BC762A" w14:textId="77777777" w:rsidR="00734E4C" w:rsidRPr="0003503E" w:rsidRDefault="00734E4C" w:rsidP="00492EA8">
      <w:pPr>
        <w:pStyle w:val="Heading1"/>
        <w:tabs>
          <w:tab w:val="clear" w:pos="0"/>
          <w:tab w:val="num" w:pos="90"/>
        </w:tabs>
        <w:rPr>
          <w:u w:val="single"/>
        </w:rPr>
      </w:pPr>
      <w:r>
        <w:t>Le PGEH pour la Dominique a été approuvé avant la mise en place de la valeur de référence des HCFC aux fins de conformité. Subséquemment, la valeur de référence pour la Dominique a été établie à 0,40 tonne PAO selon le rapport en vertu de l’Article 7. Le Secrétariat a examiné la consommation de 2011 à 2018 et croit que le point de départ, estimé à 0,23 tonne PAO</w:t>
      </w:r>
      <w:r w:rsidR="0005355B">
        <w:t xml:space="preserve"> selon</w:t>
      </w:r>
      <w:r>
        <w:t xml:space="preserve"> la demande en entretien lors de l’approbation du PGEH, est approprié, et a par conséquent suggéré de le maintenir. Selon la valeur de </w:t>
      </w:r>
      <w:r>
        <w:lastRenderedPageBreak/>
        <w:t>référence établie et conformément à la décision 62/42(d), le Secrétariat a mis à jour l’Appendice 2-A de l’Accord, comme indiqué dans l’An</w:t>
      </w:r>
      <w:r w:rsidR="0005355B">
        <w:t>n</w:t>
      </w:r>
      <w:r>
        <w:t>exe I du présent document. L’accord complètement révisé sera joint au rapport final de la 84</w:t>
      </w:r>
      <w:r>
        <w:rPr>
          <w:vertAlign w:val="superscript"/>
        </w:rPr>
        <w:t>e</w:t>
      </w:r>
      <w:r>
        <w:t xml:space="preserve"> réunion.</w:t>
      </w:r>
    </w:p>
    <w:p w14:paraId="310E06C5" w14:textId="77777777" w:rsidR="00734E4C" w:rsidRDefault="00734E4C" w:rsidP="00492EA8">
      <w:pPr>
        <w:keepNext/>
        <w:keepLines/>
        <w:rPr>
          <w:u w:val="single"/>
        </w:rPr>
      </w:pPr>
      <w:r>
        <w:rPr>
          <w:u w:val="single"/>
        </w:rPr>
        <w:t xml:space="preserve">Durabilité de l’élimination des HCFC </w:t>
      </w:r>
    </w:p>
    <w:p w14:paraId="0226816C" w14:textId="77777777" w:rsidR="00B92505" w:rsidRPr="0003503E" w:rsidRDefault="00B92505" w:rsidP="00492EA8">
      <w:pPr>
        <w:keepNext/>
        <w:keepLines/>
        <w:rPr>
          <w:u w:val="single"/>
          <w:lang w:val="en-CA"/>
        </w:rPr>
      </w:pPr>
    </w:p>
    <w:p w14:paraId="1A3FB526" w14:textId="77777777" w:rsidR="00734E4C" w:rsidRPr="0003503E" w:rsidRDefault="00734E4C" w:rsidP="00492EA8">
      <w:pPr>
        <w:pStyle w:val="Heading1"/>
        <w:tabs>
          <w:tab w:val="clear" w:pos="0"/>
          <w:tab w:val="num" w:pos="90"/>
        </w:tabs>
      </w:pPr>
      <w:r>
        <w:t>Pour atteindre la durabilité à long terme de l’élimination des HCFC, le gouvernement prévoit d’intégrer des modules sur les HCFC et les HFC dans le manuel de formation des douanes, dans la phase II du PGEH. Il envisagera également l</w:t>
      </w:r>
      <w:r>
        <w:rPr>
          <w:color w:val="000000" w:themeColor="text1"/>
        </w:rPr>
        <w:t xml:space="preserve">a certification des techniciens comme une décision politique importante afin de soutenir la gestion des frigorigènes et la transition vers les frigorigènes et les technologies sans HFC/HCFC. </w:t>
      </w:r>
    </w:p>
    <w:p w14:paraId="19152D07" w14:textId="77777777" w:rsidR="00734E4C" w:rsidRPr="0003503E" w:rsidRDefault="00734E4C" w:rsidP="00492EA8">
      <w:pPr>
        <w:rPr>
          <w:u w:val="single"/>
        </w:rPr>
      </w:pPr>
      <w:r>
        <w:rPr>
          <w:u w:val="single"/>
        </w:rPr>
        <w:t xml:space="preserve">Conclusion </w:t>
      </w:r>
    </w:p>
    <w:p w14:paraId="5C6D3531" w14:textId="77777777" w:rsidR="00734E4C" w:rsidRPr="0003503E" w:rsidRDefault="00734E4C" w:rsidP="00492EA8">
      <w:pPr>
        <w:rPr>
          <w:lang w:val="en-CA"/>
        </w:rPr>
      </w:pPr>
    </w:p>
    <w:p w14:paraId="649E75DC" w14:textId="77777777" w:rsidR="00734E4C" w:rsidRPr="0003503E" w:rsidRDefault="00734E4C" w:rsidP="00492EA8">
      <w:pPr>
        <w:pStyle w:val="Heading1"/>
        <w:tabs>
          <w:tab w:val="clear" w:pos="0"/>
          <w:tab w:val="num" w:pos="90"/>
        </w:tabs>
      </w:pPr>
      <w:r>
        <w:t xml:space="preserve">Le gouvernement de la Dominique a établi un système d’octroi de permis et de quotas pour le contrôle des importations et des exportations de HCFC et il envisage d’améliorer davantage son efficacité. La Dominique est en conformité avec les cibles de contrôle fixées dans son Accord avec le Comité exécutif, qui sont inférieures à la limite de consommation du Protocole de Montréal. Les recommandations de la vérification de consommation effectuée pour 2013 à 2018 pour améliorer davantage le système d’octroi de permis et de quotas ont été intégrées au plan de travail de la deuxième tranche. La formation a été fournie aux agents des douanes et des identifiants de frigorigènes seront fournis durant la deuxième tranche. La formation pour les techniciens d’entretien a été planifiée dans la deuxième tranche. La mise en œuvre du PGEH a été retardée en raison de l’ouragan de 2017 et l’UNO entreprend maintenant une mise en œuvre accélérée. Le décaissement des fonds approuvés pour la première tranche a atteint 31 pour cent.  </w:t>
      </w:r>
    </w:p>
    <w:p w14:paraId="2E1C69B1" w14:textId="77777777" w:rsidR="00734E4C" w:rsidRPr="0003503E" w:rsidRDefault="00734E4C" w:rsidP="00492EA8">
      <w:r>
        <w:rPr>
          <w:b/>
        </w:rPr>
        <w:t xml:space="preserve">Recommandation </w:t>
      </w:r>
    </w:p>
    <w:p w14:paraId="130F6CF1" w14:textId="77777777" w:rsidR="00734E4C" w:rsidRPr="0003503E" w:rsidRDefault="00734E4C" w:rsidP="00492EA8">
      <w:pPr>
        <w:rPr>
          <w:lang w:val="en-CA"/>
        </w:rPr>
      </w:pPr>
    </w:p>
    <w:p w14:paraId="51D31185" w14:textId="77777777" w:rsidR="00734E4C" w:rsidRPr="0003503E" w:rsidRDefault="00734E4C" w:rsidP="00492EA8">
      <w:pPr>
        <w:pStyle w:val="Heading1"/>
        <w:tabs>
          <w:tab w:val="clear" w:pos="0"/>
          <w:tab w:val="num" w:pos="90"/>
        </w:tabs>
      </w:pPr>
      <w:r>
        <w:t>Le Secrétariat du Fonds r</w:t>
      </w:r>
      <w:r w:rsidR="009A6C55">
        <w:t>ecommande au Comité exécutif de </w:t>
      </w:r>
      <w:r>
        <w:t>:</w:t>
      </w:r>
    </w:p>
    <w:p w14:paraId="29540F75" w14:textId="77777777" w:rsidR="00734E4C" w:rsidRPr="0003503E" w:rsidRDefault="00734E4C" w:rsidP="00492EA8">
      <w:pPr>
        <w:pStyle w:val="Heading2"/>
      </w:pPr>
      <w:r>
        <w:t>Prendre note du rapport périodique sur la mise en œuvre de la première tranche de la phase I du plan de gestion de l’élimination des HCFC (PGEH) de la Dominique;</w:t>
      </w:r>
    </w:p>
    <w:p w14:paraId="18E1C3D0" w14:textId="40B0DF63" w:rsidR="00734E4C" w:rsidRPr="0003503E" w:rsidRDefault="00734E4C" w:rsidP="00492EA8">
      <w:pPr>
        <w:pStyle w:val="Heading2"/>
      </w:pPr>
      <w:r>
        <w:t>Prendre note que le Secrétariat du Fonds a mis à jour l’Appendice 2-A de l’Accord entre le gouvernement de la Dominique et le Comité exécutif, en fonction de la valeur de référence fixée pour les HCFC aux fins de conformité, et qu’un nouveau paragraphe a été ajouté pour indiquer que la version mise à jour de l’Accord remplace celle convenue lors de la 62</w:t>
      </w:r>
      <w:r>
        <w:rPr>
          <w:vertAlign w:val="superscript"/>
        </w:rPr>
        <w:t>e</w:t>
      </w:r>
      <w:r>
        <w:t xml:space="preserve"> réunion, </w:t>
      </w:r>
      <w:r w:rsidR="005B42EA">
        <w:t xml:space="preserve">comme </w:t>
      </w:r>
      <w:r>
        <w:t>énoncé dans l’Annexe I du présent document.</w:t>
      </w:r>
    </w:p>
    <w:p w14:paraId="2821C0E8" w14:textId="77777777" w:rsidR="00734E4C" w:rsidRPr="0003503E" w:rsidRDefault="00734E4C" w:rsidP="00492EA8">
      <w:pPr>
        <w:pStyle w:val="Heading1"/>
        <w:tabs>
          <w:tab w:val="clear" w:pos="0"/>
          <w:tab w:val="num" w:pos="90"/>
        </w:tabs>
      </w:pPr>
      <w:r>
        <w:t>Le Secrétariat du Fonds recommande en outre l’approbation générale de la deuxième tranche de la phase I du PGEH pour la Dominique, ainsi que l</w:t>
      </w:r>
      <w:r w:rsidR="0005355B">
        <w:t>e</w:t>
      </w:r>
      <w:r>
        <w:t xml:space="preserve"> plan de mise en œuvre de la tranche correspondante pour 2019-2020, au niveau de financement indiqué dans le tableau ci-dessous, étant entendu que l’approbation de la troisième tranche sera conditionnelle à l’introduction de la version 2012 du code du système harmonisé et de l’émission de quotas aux importateurs individuels : </w:t>
      </w:r>
    </w:p>
    <w:tbl>
      <w:tblPr>
        <w:tblW w:w="9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4238"/>
        <w:gridCol w:w="1589"/>
        <w:gridCol w:w="1354"/>
        <w:gridCol w:w="1560"/>
      </w:tblGrid>
      <w:tr w:rsidR="00734E4C" w:rsidRPr="0003503E" w14:paraId="3CF8C5B2" w14:textId="77777777" w:rsidTr="00314C30">
        <w:trPr>
          <w:trHeight w:val="463"/>
        </w:trPr>
        <w:tc>
          <w:tcPr>
            <w:tcW w:w="640" w:type="dxa"/>
          </w:tcPr>
          <w:p w14:paraId="31F23C8E" w14:textId="77777777" w:rsidR="00734E4C" w:rsidRPr="0005355B" w:rsidRDefault="00734E4C" w:rsidP="00492EA8">
            <w:pPr>
              <w:jc w:val="center"/>
              <w:rPr>
                <w:b/>
                <w:bCs/>
                <w:sz w:val="20"/>
                <w:szCs w:val="20"/>
              </w:rPr>
            </w:pPr>
          </w:p>
        </w:tc>
        <w:tc>
          <w:tcPr>
            <w:tcW w:w="4238" w:type="dxa"/>
          </w:tcPr>
          <w:p w14:paraId="3509D6DF" w14:textId="77777777" w:rsidR="00734E4C" w:rsidRPr="0003503E" w:rsidRDefault="00734E4C" w:rsidP="00492EA8">
            <w:pPr>
              <w:jc w:val="center"/>
              <w:rPr>
                <w:b/>
                <w:bCs/>
                <w:sz w:val="20"/>
                <w:szCs w:val="20"/>
              </w:rPr>
            </w:pPr>
            <w:r>
              <w:rPr>
                <w:b/>
                <w:bCs/>
                <w:sz w:val="20"/>
                <w:szCs w:val="20"/>
              </w:rPr>
              <w:t>Titre du projet</w:t>
            </w:r>
          </w:p>
        </w:tc>
        <w:tc>
          <w:tcPr>
            <w:tcW w:w="1589" w:type="dxa"/>
            <w:tcMar>
              <w:left w:w="29" w:type="dxa"/>
              <w:right w:w="29" w:type="dxa"/>
            </w:tcMar>
          </w:tcPr>
          <w:p w14:paraId="55850732" w14:textId="77777777" w:rsidR="00734E4C" w:rsidRPr="0003503E" w:rsidRDefault="00734E4C" w:rsidP="00492EA8">
            <w:pPr>
              <w:jc w:val="center"/>
              <w:rPr>
                <w:b/>
                <w:bCs/>
                <w:sz w:val="20"/>
                <w:szCs w:val="20"/>
              </w:rPr>
            </w:pPr>
            <w:r>
              <w:rPr>
                <w:b/>
                <w:bCs/>
                <w:sz w:val="20"/>
                <w:szCs w:val="20"/>
              </w:rPr>
              <w:t>Financement du projet ($ US)</w:t>
            </w:r>
          </w:p>
        </w:tc>
        <w:tc>
          <w:tcPr>
            <w:tcW w:w="1354" w:type="dxa"/>
            <w:tcMar>
              <w:left w:w="29" w:type="dxa"/>
              <w:right w:w="29" w:type="dxa"/>
            </w:tcMar>
          </w:tcPr>
          <w:p w14:paraId="6B71EF5D" w14:textId="77777777" w:rsidR="00734E4C" w:rsidRPr="0003503E" w:rsidRDefault="00734E4C" w:rsidP="00492EA8">
            <w:pPr>
              <w:jc w:val="center"/>
              <w:rPr>
                <w:b/>
                <w:bCs/>
                <w:sz w:val="20"/>
                <w:szCs w:val="20"/>
              </w:rPr>
            </w:pPr>
            <w:r>
              <w:rPr>
                <w:b/>
                <w:bCs/>
                <w:sz w:val="20"/>
                <w:szCs w:val="20"/>
              </w:rPr>
              <w:t>Coûts d’appui ($ US)</w:t>
            </w:r>
          </w:p>
        </w:tc>
        <w:tc>
          <w:tcPr>
            <w:tcW w:w="1560" w:type="dxa"/>
            <w:tcMar>
              <w:left w:w="29" w:type="dxa"/>
              <w:right w:w="29" w:type="dxa"/>
            </w:tcMar>
          </w:tcPr>
          <w:p w14:paraId="0CF8B9B3" w14:textId="77777777" w:rsidR="00734E4C" w:rsidRPr="0003503E" w:rsidRDefault="00734E4C" w:rsidP="00492EA8">
            <w:pPr>
              <w:jc w:val="center"/>
              <w:rPr>
                <w:b/>
                <w:bCs/>
                <w:sz w:val="20"/>
                <w:szCs w:val="20"/>
              </w:rPr>
            </w:pPr>
            <w:r>
              <w:rPr>
                <w:b/>
                <w:bCs/>
                <w:sz w:val="20"/>
                <w:szCs w:val="20"/>
              </w:rPr>
              <w:t>Agence d’exécution</w:t>
            </w:r>
          </w:p>
        </w:tc>
      </w:tr>
      <w:tr w:rsidR="00734E4C" w:rsidRPr="0003503E" w14:paraId="51813CD9" w14:textId="77777777" w:rsidTr="00314C30">
        <w:trPr>
          <w:trHeight w:val="463"/>
        </w:trPr>
        <w:tc>
          <w:tcPr>
            <w:tcW w:w="640" w:type="dxa"/>
          </w:tcPr>
          <w:p w14:paraId="2EC503F3" w14:textId="77777777" w:rsidR="00734E4C" w:rsidRPr="0003503E" w:rsidRDefault="00734E4C" w:rsidP="00492EA8">
            <w:pPr>
              <w:rPr>
                <w:sz w:val="20"/>
                <w:szCs w:val="20"/>
              </w:rPr>
            </w:pPr>
            <w:r>
              <w:rPr>
                <w:sz w:val="20"/>
                <w:szCs w:val="20"/>
              </w:rPr>
              <w:t>(a)</w:t>
            </w:r>
          </w:p>
        </w:tc>
        <w:tc>
          <w:tcPr>
            <w:tcW w:w="4238" w:type="dxa"/>
          </w:tcPr>
          <w:p w14:paraId="5735434A" w14:textId="77777777" w:rsidR="00734E4C" w:rsidRPr="0003503E" w:rsidRDefault="00734E4C" w:rsidP="00492EA8">
            <w:pPr>
              <w:rPr>
                <w:sz w:val="20"/>
                <w:szCs w:val="20"/>
              </w:rPr>
            </w:pPr>
            <w:r>
              <w:rPr>
                <w:sz w:val="20"/>
                <w:szCs w:val="20"/>
              </w:rPr>
              <w:t>Plan de gestion de l’élimination des HCFC (phase I, deuxième tranche)</w:t>
            </w:r>
          </w:p>
        </w:tc>
        <w:tc>
          <w:tcPr>
            <w:tcW w:w="1589" w:type="dxa"/>
          </w:tcPr>
          <w:p w14:paraId="316348B2" w14:textId="77777777" w:rsidR="00734E4C" w:rsidRPr="0003503E" w:rsidRDefault="00734E4C" w:rsidP="00492EA8">
            <w:pPr>
              <w:jc w:val="right"/>
              <w:rPr>
                <w:sz w:val="20"/>
                <w:szCs w:val="20"/>
              </w:rPr>
            </w:pPr>
            <w:r>
              <w:rPr>
                <w:sz w:val="20"/>
                <w:szCs w:val="20"/>
              </w:rPr>
              <w:t>65 800</w:t>
            </w:r>
          </w:p>
        </w:tc>
        <w:tc>
          <w:tcPr>
            <w:tcW w:w="1354" w:type="dxa"/>
          </w:tcPr>
          <w:p w14:paraId="48E8B433" w14:textId="77777777" w:rsidR="00734E4C" w:rsidRPr="0003503E" w:rsidRDefault="00734E4C" w:rsidP="00492EA8">
            <w:pPr>
              <w:jc w:val="right"/>
              <w:rPr>
                <w:sz w:val="20"/>
                <w:szCs w:val="20"/>
              </w:rPr>
            </w:pPr>
            <w:r>
              <w:rPr>
                <w:sz w:val="20"/>
                <w:szCs w:val="20"/>
              </w:rPr>
              <w:t>8 554</w:t>
            </w:r>
          </w:p>
        </w:tc>
        <w:tc>
          <w:tcPr>
            <w:tcW w:w="1560" w:type="dxa"/>
          </w:tcPr>
          <w:p w14:paraId="2255D2B5" w14:textId="77777777" w:rsidR="00734E4C" w:rsidRPr="0003503E" w:rsidRDefault="00734E4C" w:rsidP="00492EA8">
            <w:pPr>
              <w:jc w:val="center"/>
              <w:rPr>
                <w:sz w:val="20"/>
                <w:szCs w:val="20"/>
              </w:rPr>
            </w:pPr>
            <w:r>
              <w:rPr>
                <w:sz w:val="20"/>
                <w:szCs w:val="20"/>
              </w:rPr>
              <w:t>PNUE</w:t>
            </w:r>
          </w:p>
        </w:tc>
      </w:tr>
    </w:tbl>
    <w:p w14:paraId="66083B87" w14:textId="77777777" w:rsidR="00734E4C" w:rsidRPr="0003503E" w:rsidRDefault="00734E4C" w:rsidP="00492EA8">
      <w:pPr>
        <w:rPr>
          <w:lang w:val="en-CA"/>
        </w:rPr>
      </w:pPr>
    </w:p>
    <w:p w14:paraId="5782EE95" w14:textId="5C4DE8BC" w:rsidR="00734E4C" w:rsidRPr="0003503E" w:rsidRDefault="00734E4C" w:rsidP="00492EA8">
      <w:pPr>
        <w:sectPr w:rsidR="00734E4C" w:rsidRPr="0003503E" w:rsidSect="005670B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14:paraId="210A9431" w14:textId="77777777" w:rsidR="00734E4C" w:rsidRPr="0003503E" w:rsidRDefault="00734E4C" w:rsidP="00492EA8">
      <w:pPr>
        <w:jc w:val="center"/>
        <w:rPr>
          <w:b/>
        </w:rPr>
      </w:pPr>
      <w:r>
        <w:rPr>
          <w:b/>
        </w:rPr>
        <w:lastRenderedPageBreak/>
        <w:t>Annexe I</w:t>
      </w:r>
    </w:p>
    <w:p w14:paraId="2DE3D5CC" w14:textId="77777777" w:rsidR="00734E4C" w:rsidRPr="0003503E" w:rsidRDefault="00734E4C" w:rsidP="00492EA8">
      <w:pPr>
        <w:jc w:val="center"/>
      </w:pPr>
    </w:p>
    <w:p w14:paraId="188DBD37" w14:textId="77777777" w:rsidR="00734E4C" w:rsidRPr="0003503E" w:rsidRDefault="00734E4C" w:rsidP="00492EA8">
      <w:pPr>
        <w:jc w:val="center"/>
        <w:rPr>
          <w:b/>
        </w:rPr>
      </w:pPr>
      <w:r>
        <w:rPr>
          <w:b/>
        </w:rPr>
        <w:t>TEXTE À INCLURE DANS L’ACCORD MIS À JOUR ENTRE LE GOUVERNEMENT DE LA DOMINIQUE ET LE COMITÉ EXÉCUTIF DU FONDS MULTILATÉRAL POUR LA RÉDUCTION DE LA CONSOMMATION DES HYDROCHLOROFLUOROCARBURES</w:t>
      </w:r>
    </w:p>
    <w:p w14:paraId="10A0B31C" w14:textId="77777777" w:rsidR="00734E4C" w:rsidRPr="0003503E" w:rsidRDefault="00734E4C" w:rsidP="00492EA8">
      <w:pPr>
        <w:jc w:val="center"/>
      </w:pPr>
      <w:r>
        <w:t>(Les changements pertinents sont en caractères gras)</w:t>
      </w:r>
    </w:p>
    <w:p w14:paraId="000401A2" w14:textId="77777777" w:rsidR="00734E4C" w:rsidRPr="0003503E" w:rsidRDefault="00734E4C" w:rsidP="00492EA8">
      <w:pPr>
        <w:pStyle w:val="Heading1"/>
        <w:numPr>
          <w:ilvl w:val="0"/>
          <w:numId w:val="0"/>
        </w:numPr>
      </w:pPr>
      <w:r>
        <w:t xml:space="preserve"> </w:t>
      </w:r>
    </w:p>
    <w:p w14:paraId="34BF49C4" w14:textId="77777777" w:rsidR="00734E4C" w:rsidRPr="0003503E" w:rsidRDefault="00734E4C" w:rsidP="00492EA8">
      <w:pPr>
        <w:rPr>
          <w:b/>
        </w:rPr>
      </w:pPr>
      <w:r>
        <w:rPr>
          <w:b/>
        </w:rPr>
        <w:t>16.</w:t>
      </w:r>
      <w:r>
        <w:rPr>
          <w:b/>
        </w:rPr>
        <w:tab/>
        <w:t>Le présent Accord révisé remplace l’Accord conclu entre le gouvernement de la Dominique et le Comité exécutif à la 62</w:t>
      </w:r>
      <w:r>
        <w:rPr>
          <w:b/>
          <w:vertAlign w:val="superscript"/>
        </w:rPr>
        <w:t>e</w:t>
      </w:r>
      <w:r>
        <w:rPr>
          <w:b/>
        </w:rPr>
        <w:t xml:space="preserve"> réunion du Comité exécutif.</w:t>
      </w:r>
    </w:p>
    <w:p w14:paraId="297DBA99" w14:textId="77777777" w:rsidR="00734E4C" w:rsidRPr="0003503E" w:rsidRDefault="00734E4C" w:rsidP="00492EA8"/>
    <w:p w14:paraId="576C5171" w14:textId="5C76C2E9" w:rsidR="00734E4C" w:rsidRPr="0003503E" w:rsidRDefault="00734E4C" w:rsidP="00492EA8">
      <w:pPr>
        <w:rPr>
          <w:b/>
        </w:rPr>
      </w:pPr>
      <w:r>
        <w:rPr>
          <w:b/>
        </w:rPr>
        <w:t>APPENDICE 2-A</w:t>
      </w:r>
      <w:r w:rsidR="00F0630E">
        <w:rPr>
          <w:b/>
        </w:rPr>
        <w:t> </w:t>
      </w:r>
      <w:r>
        <w:rPr>
          <w:b/>
        </w:rPr>
        <w:t>: LES OBJECTIFS ET LE FINANCEMENT</w:t>
      </w:r>
    </w:p>
    <w:p w14:paraId="717D33AD" w14:textId="77777777" w:rsidR="00734E4C" w:rsidRPr="0003503E" w:rsidRDefault="00734E4C" w:rsidP="00492EA8"/>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0"/>
        <w:gridCol w:w="1723"/>
        <w:gridCol w:w="583"/>
        <w:gridCol w:w="584"/>
        <w:gridCol w:w="584"/>
        <w:gridCol w:w="567"/>
        <w:gridCol w:w="567"/>
        <w:gridCol w:w="567"/>
        <w:gridCol w:w="567"/>
        <w:gridCol w:w="567"/>
        <w:gridCol w:w="567"/>
        <w:gridCol w:w="664"/>
        <w:gridCol w:w="612"/>
        <w:gridCol w:w="718"/>
      </w:tblGrid>
      <w:tr w:rsidR="00734E4C" w:rsidRPr="0003503E" w14:paraId="05FFE263" w14:textId="77777777" w:rsidTr="00314C30">
        <w:trPr>
          <w:trHeight w:val="210"/>
          <w:jc w:val="center"/>
        </w:trPr>
        <w:tc>
          <w:tcPr>
            <w:tcW w:w="490" w:type="dxa"/>
            <w:noWrap/>
            <w:tcMar>
              <w:top w:w="0" w:type="dxa"/>
              <w:left w:w="28" w:type="dxa"/>
              <w:bottom w:w="0" w:type="dxa"/>
              <w:right w:w="28" w:type="dxa"/>
            </w:tcMar>
            <w:hideMark/>
          </w:tcPr>
          <w:p w14:paraId="6B347146" w14:textId="77777777" w:rsidR="00734E4C" w:rsidRPr="0003503E" w:rsidRDefault="00734E4C" w:rsidP="00492EA8">
            <w:pPr>
              <w:keepNext/>
              <w:ind w:firstLine="96"/>
            </w:pPr>
            <w:r>
              <w:rPr>
                <w:sz w:val="16"/>
                <w:szCs w:val="16"/>
              </w:rPr>
              <w:t> </w:t>
            </w:r>
          </w:p>
        </w:tc>
        <w:tc>
          <w:tcPr>
            <w:tcW w:w="1723" w:type="dxa"/>
            <w:tcMar>
              <w:top w:w="0" w:type="dxa"/>
              <w:left w:w="28" w:type="dxa"/>
              <w:bottom w:w="0" w:type="dxa"/>
              <w:right w:w="28" w:type="dxa"/>
            </w:tcMar>
            <w:hideMark/>
          </w:tcPr>
          <w:p w14:paraId="55EA8D54" w14:textId="77777777" w:rsidR="00734E4C" w:rsidRPr="0003503E" w:rsidRDefault="00734E4C" w:rsidP="00492EA8">
            <w:pPr>
              <w:keepNext/>
              <w:ind w:firstLine="96"/>
              <w:rPr>
                <w:sz w:val="18"/>
                <w:szCs w:val="18"/>
              </w:rPr>
            </w:pPr>
            <w:r>
              <w:rPr>
                <w:b/>
                <w:bCs/>
                <w:sz w:val="18"/>
                <w:szCs w:val="18"/>
              </w:rPr>
              <w:t> </w:t>
            </w:r>
          </w:p>
        </w:tc>
        <w:tc>
          <w:tcPr>
            <w:tcW w:w="583" w:type="dxa"/>
            <w:tcMar>
              <w:top w:w="0" w:type="dxa"/>
              <w:left w:w="28" w:type="dxa"/>
              <w:bottom w:w="0" w:type="dxa"/>
              <w:right w:w="28" w:type="dxa"/>
            </w:tcMar>
            <w:hideMark/>
          </w:tcPr>
          <w:p w14:paraId="223CB5F2" w14:textId="77777777" w:rsidR="00734E4C" w:rsidRPr="0003503E" w:rsidRDefault="00734E4C" w:rsidP="00492EA8">
            <w:pPr>
              <w:keepNext/>
              <w:ind w:firstLine="96"/>
              <w:jc w:val="center"/>
              <w:rPr>
                <w:sz w:val="18"/>
                <w:szCs w:val="18"/>
              </w:rPr>
            </w:pPr>
            <w:r>
              <w:rPr>
                <w:b/>
                <w:bCs/>
                <w:sz w:val="18"/>
                <w:szCs w:val="18"/>
              </w:rPr>
              <w:t>2010</w:t>
            </w:r>
          </w:p>
        </w:tc>
        <w:tc>
          <w:tcPr>
            <w:tcW w:w="584" w:type="dxa"/>
            <w:tcMar>
              <w:top w:w="0" w:type="dxa"/>
              <w:left w:w="28" w:type="dxa"/>
              <w:bottom w:w="0" w:type="dxa"/>
              <w:right w:w="28" w:type="dxa"/>
            </w:tcMar>
            <w:hideMark/>
          </w:tcPr>
          <w:p w14:paraId="0E1CC402" w14:textId="77777777" w:rsidR="00734E4C" w:rsidRPr="0003503E" w:rsidRDefault="00734E4C" w:rsidP="00492EA8">
            <w:pPr>
              <w:keepNext/>
              <w:ind w:firstLine="96"/>
              <w:jc w:val="center"/>
              <w:rPr>
                <w:sz w:val="18"/>
                <w:szCs w:val="18"/>
              </w:rPr>
            </w:pPr>
            <w:r>
              <w:rPr>
                <w:b/>
                <w:bCs/>
                <w:sz w:val="18"/>
                <w:szCs w:val="18"/>
              </w:rPr>
              <w:t>2011</w:t>
            </w:r>
          </w:p>
        </w:tc>
        <w:tc>
          <w:tcPr>
            <w:tcW w:w="584" w:type="dxa"/>
            <w:tcMar>
              <w:top w:w="0" w:type="dxa"/>
              <w:left w:w="28" w:type="dxa"/>
              <w:bottom w:w="0" w:type="dxa"/>
              <w:right w:w="28" w:type="dxa"/>
            </w:tcMar>
            <w:hideMark/>
          </w:tcPr>
          <w:p w14:paraId="009831F5" w14:textId="77777777" w:rsidR="00734E4C" w:rsidRPr="0003503E" w:rsidRDefault="00734E4C" w:rsidP="00492EA8">
            <w:pPr>
              <w:keepNext/>
              <w:ind w:firstLine="96"/>
              <w:jc w:val="center"/>
              <w:rPr>
                <w:sz w:val="18"/>
                <w:szCs w:val="18"/>
              </w:rPr>
            </w:pPr>
            <w:r>
              <w:rPr>
                <w:b/>
                <w:bCs/>
                <w:sz w:val="18"/>
                <w:szCs w:val="18"/>
              </w:rPr>
              <w:t>2012</w:t>
            </w:r>
          </w:p>
        </w:tc>
        <w:tc>
          <w:tcPr>
            <w:tcW w:w="567" w:type="dxa"/>
            <w:tcMar>
              <w:top w:w="0" w:type="dxa"/>
              <w:left w:w="28" w:type="dxa"/>
              <w:bottom w:w="0" w:type="dxa"/>
              <w:right w:w="28" w:type="dxa"/>
            </w:tcMar>
            <w:hideMark/>
          </w:tcPr>
          <w:p w14:paraId="69C14471" w14:textId="77777777" w:rsidR="00734E4C" w:rsidRPr="0003503E" w:rsidRDefault="00734E4C" w:rsidP="00492EA8">
            <w:pPr>
              <w:keepNext/>
              <w:ind w:firstLine="96"/>
              <w:jc w:val="center"/>
              <w:rPr>
                <w:sz w:val="18"/>
                <w:szCs w:val="18"/>
              </w:rPr>
            </w:pPr>
            <w:r>
              <w:rPr>
                <w:b/>
                <w:bCs/>
                <w:sz w:val="18"/>
                <w:szCs w:val="18"/>
              </w:rPr>
              <w:t>2013</w:t>
            </w:r>
          </w:p>
        </w:tc>
        <w:tc>
          <w:tcPr>
            <w:tcW w:w="567" w:type="dxa"/>
            <w:tcMar>
              <w:top w:w="0" w:type="dxa"/>
              <w:left w:w="28" w:type="dxa"/>
              <w:bottom w:w="0" w:type="dxa"/>
              <w:right w:w="28" w:type="dxa"/>
            </w:tcMar>
            <w:hideMark/>
          </w:tcPr>
          <w:p w14:paraId="366B84FC" w14:textId="77777777" w:rsidR="00734E4C" w:rsidRPr="0003503E" w:rsidRDefault="00734E4C" w:rsidP="00492EA8">
            <w:pPr>
              <w:keepNext/>
              <w:ind w:firstLine="96"/>
              <w:jc w:val="center"/>
              <w:rPr>
                <w:sz w:val="18"/>
                <w:szCs w:val="18"/>
              </w:rPr>
            </w:pPr>
            <w:r>
              <w:rPr>
                <w:b/>
                <w:bCs/>
                <w:sz w:val="18"/>
                <w:szCs w:val="18"/>
              </w:rPr>
              <w:t>2014</w:t>
            </w:r>
          </w:p>
        </w:tc>
        <w:tc>
          <w:tcPr>
            <w:tcW w:w="567" w:type="dxa"/>
            <w:tcMar>
              <w:top w:w="0" w:type="dxa"/>
              <w:left w:w="28" w:type="dxa"/>
              <w:bottom w:w="0" w:type="dxa"/>
              <w:right w:w="28" w:type="dxa"/>
            </w:tcMar>
            <w:hideMark/>
          </w:tcPr>
          <w:p w14:paraId="55D985FF" w14:textId="77777777" w:rsidR="00734E4C" w:rsidRPr="0003503E" w:rsidRDefault="00734E4C" w:rsidP="00492EA8">
            <w:pPr>
              <w:keepNext/>
              <w:ind w:firstLine="96"/>
              <w:jc w:val="center"/>
              <w:rPr>
                <w:sz w:val="18"/>
                <w:szCs w:val="18"/>
              </w:rPr>
            </w:pPr>
            <w:r>
              <w:rPr>
                <w:b/>
                <w:bCs/>
                <w:sz w:val="18"/>
                <w:szCs w:val="18"/>
              </w:rPr>
              <w:t>2015</w:t>
            </w:r>
          </w:p>
        </w:tc>
        <w:tc>
          <w:tcPr>
            <w:tcW w:w="567" w:type="dxa"/>
            <w:tcMar>
              <w:top w:w="0" w:type="dxa"/>
              <w:left w:w="28" w:type="dxa"/>
              <w:bottom w:w="0" w:type="dxa"/>
              <w:right w:w="28" w:type="dxa"/>
            </w:tcMar>
            <w:hideMark/>
          </w:tcPr>
          <w:p w14:paraId="14F6684C" w14:textId="77777777" w:rsidR="00734E4C" w:rsidRPr="0003503E" w:rsidRDefault="00734E4C" w:rsidP="00492EA8">
            <w:pPr>
              <w:keepNext/>
              <w:ind w:firstLine="96"/>
              <w:jc w:val="center"/>
              <w:rPr>
                <w:sz w:val="18"/>
                <w:szCs w:val="18"/>
              </w:rPr>
            </w:pPr>
            <w:r>
              <w:rPr>
                <w:b/>
                <w:bCs/>
                <w:sz w:val="18"/>
                <w:szCs w:val="18"/>
              </w:rPr>
              <w:t>2016</w:t>
            </w:r>
          </w:p>
        </w:tc>
        <w:tc>
          <w:tcPr>
            <w:tcW w:w="567" w:type="dxa"/>
            <w:tcMar>
              <w:top w:w="0" w:type="dxa"/>
              <w:left w:w="28" w:type="dxa"/>
              <w:bottom w:w="0" w:type="dxa"/>
              <w:right w:w="28" w:type="dxa"/>
            </w:tcMar>
            <w:hideMark/>
          </w:tcPr>
          <w:p w14:paraId="4C0BEB39" w14:textId="77777777" w:rsidR="00734E4C" w:rsidRPr="0003503E" w:rsidRDefault="00734E4C" w:rsidP="00492EA8">
            <w:pPr>
              <w:keepNext/>
              <w:ind w:firstLine="96"/>
              <w:jc w:val="center"/>
              <w:rPr>
                <w:sz w:val="18"/>
                <w:szCs w:val="18"/>
              </w:rPr>
            </w:pPr>
            <w:r>
              <w:rPr>
                <w:b/>
                <w:bCs/>
                <w:sz w:val="18"/>
                <w:szCs w:val="18"/>
              </w:rPr>
              <w:t>2017</w:t>
            </w:r>
          </w:p>
        </w:tc>
        <w:tc>
          <w:tcPr>
            <w:tcW w:w="567" w:type="dxa"/>
            <w:tcMar>
              <w:top w:w="0" w:type="dxa"/>
              <w:left w:w="28" w:type="dxa"/>
              <w:bottom w:w="0" w:type="dxa"/>
              <w:right w:w="28" w:type="dxa"/>
            </w:tcMar>
            <w:hideMark/>
          </w:tcPr>
          <w:p w14:paraId="004BCBB8" w14:textId="77777777" w:rsidR="00734E4C" w:rsidRPr="0003503E" w:rsidRDefault="00734E4C" w:rsidP="00492EA8">
            <w:pPr>
              <w:keepNext/>
              <w:ind w:firstLine="96"/>
              <w:jc w:val="center"/>
              <w:rPr>
                <w:sz w:val="18"/>
                <w:szCs w:val="18"/>
              </w:rPr>
            </w:pPr>
            <w:r>
              <w:rPr>
                <w:b/>
                <w:bCs/>
                <w:sz w:val="18"/>
                <w:szCs w:val="18"/>
              </w:rPr>
              <w:t>2018</w:t>
            </w:r>
          </w:p>
        </w:tc>
        <w:tc>
          <w:tcPr>
            <w:tcW w:w="664" w:type="dxa"/>
            <w:tcMar>
              <w:top w:w="0" w:type="dxa"/>
              <w:left w:w="28" w:type="dxa"/>
              <w:bottom w:w="0" w:type="dxa"/>
              <w:right w:w="28" w:type="dxa"/>
            </w:tcMar>
            <w:hideMark/>
          </w:tcPr>
          <w:p w14:paraId="76D2F56F" w14:textId="77777777" w:rsidR="00734E4C" w:rsidRPr="0003503E" w:rsidRDefault="00734E4C" w:rsidP="00492EA8">
            <w:pPr>
              <w:keepNext/>
              <w:ind w:firstLine="96"/>
              <w:jc w:val="center"/>
              <w:rPr>
                <w:sz w:val="18"/>
                <w:szCs w:val="18"/>
              </w:rPr>
            </w:pPr>
            <w:r>
              <w:rPr>
                <w:b/>
                <w:bCs/>
                <w:sz w:val="18"/>
                <w:szCs w:val="18"/>
              </w:rPr>
              <w:t>2019</w:t>
            </w:r>
          </w:p>
        </w:tc>
        <w:tc>
          <w:tcPr>
            <w:tcW w:w="612" w:type="dxa"/>
            <w:tcMar>
              <w:top w:w="0" w:type="dxa"/>
              <w:left w:w="28" w:type="dxa"/>
              <w:bottom w:w="0" w:type="dxa"/>
              <w:right w:w="28" w:type="dxa"/>
            </w:tcMar>
            <w:hideMark/>
          </w:tcPr>
          <w:p w14:paraId="161E87E2" w14:textId="77777777" w:rsidR="00734E4C" w:rsidRPr="0003503E" w:rsidRDefault="00734E4C" w:rsidP="00492EA8">
            <w:pPr>
              <w:keepNext/>
              <w:ind w:firstLine="96"/>
              <w:jc w:val="center"/>
              <w:rPr>
                <w:sz w:val="18"/>
                <w:szCs w:val="18"/>
              </w:rPr>
            </w:pPr>
            <w:r>
              <w:rPr>
                <w:b/>
                <w:bCs/>
                <w:sz w:val="18"/>
                <w:szCs w:val="18"/>
              </w:rPr>
              <w:t>2020</w:t>
            </w:r>
          </w:p>
        </w:tc>
        <w:tc>
          <w:tcPr>
            <w:tcW w:w="718" w:type="dxa"/>
            <w:tcMar>
              <w:top w:w="0" w:type="dxa"/>
              <w:left w:w="28" w:type="dxa"/>
              <w:bottom w:w="0" w:type="dxa"/>
              <w:right w:w="28" w:type="dxa"/>
            </w:tcMar>
            <w:hideMark/>
          </w:tcPr>
          <w:p w14:paraId="2C4FA1D3" w14:textId="77777777" w:rsidR="00734E4C" w:rsidRPr="0003503E" w:rsidRDefault="00734E4C" w:rsidP="00492EA8">
            <w:pPr>
              <w:keepNext/>
              <w:ind w:firstLine="96"/>
              <w:jc w:val="center"/>
              <w:rPr>
                <w:sz w:val="18"/>
                <w:szCs w:val="18"/>
              </w:rPr>
            </w:pPr>
            <w:r>
              <w:rPr>
                <w:b/>
                <w:bCs/>
                <w:sz w:val="18"/>
                <w:szCs w:val="18"/>
              </w:rPr>
              <w:t>Total</w:t>
            </w:r>
          </w:p>
        </w:tc>
      </w:tr>
      <w:tr w:rsidR="00734E4C" w:rsidRPr="0003503E" w14:paraId="5EF04F86" w14:textId="77777777" w:rsidTr="00314C30">
        <w:trPr>
          <w:trHeight w:val="421"/>
          <w:jc w:val="center"/>
        </w:trPr>
        <w:tc>
          <w:tcPr>
            <w:tcW w:w="490" w:type="dxa"/>
            <w:noWrap/>
            <w:tcMar>
              <w:top w:w="0" w:type="dxa"/>
              <w:left w:w="28" w:type="dxa"/>
              <w:bottom w:w="0" w:type="dxa"/>
              <w:right w:w="28" w:type="dxa"/>
            </w:tcMar>
            <w:hideMark/>
          </w:tcPr>
          <w:p w14:paraId="449CB56C" w14:textId="77777777" w:rsidR="00734E4C" w:rsidRPr="0003503E" w:rsidRDefault="00734E4C" w:rsidP="00492EA8">
            <w:pPr>
              <w:keepNext/>
              <w:ind w:firstLine="96"/>
            </w:pPr>
            <w:r>
              <w:rPr>
                <w:sz w:val="16"/>
                <w:szCs w:val="16"/>
              </w:rPr>
              <w:t>1.1</w:t>
            </w:r>
          </w:p>
        </w:tc>
        <w:tc>
          <w:tcPr>
            <w:tcW w:w="1723" w:type="dxa"/>
            <w:tcMar>
              <w:top w:w="0" w:type="dxa"/>
              <w:left w:w="28" w:type="dxa"/>
              <w:bottom w:w="0" w:type="dxa"/>
              <w:right w:w="28" w:type="dxa"/>
            </w:tcMar>
            <w:hideMark/>
          </w:tcPr>
          <w:p w14:paraId="4AE8D8AF" w14:textId="77777777" w:rsidR="00734E4C" w:rsidRPr="0003503E" w:rsidRDefault="00734E4C" w:rsidP="00492EA8">
            <w:pPr>
              <w:keepNext/>
              <w:jc w:val="left"/>
              <w:rPr>
                <w:sz w:val="18"/>
                <w:szCs w:val="18"/>
              </w:rPr>
            </w:pPr>
            <w:r>
              <w:rPr>
                <w:sz w:val="18"/>
                <w:szCs w:val="18"/>
              </w:rPr>
              <w:t>Calendrier de réduction des substances du groupe I de l’annexe C du</w:t>
            </w:r>
            <w:bookmarkStart w:id="1" w:name="_DV_M33"/>
            <w:bookmarkEnd w:id="1"/>
            <w:r>
              <w:rPr>
                <w:sz w:val="18"/>
                <w:szCs w:val="18"/>
              </w:rPr>
              <w:t xml:space="preserve"> Protocole de Montréal (tonnes PAO)</w:t>
            </w:r>
          </w:p>
        </w:tc>
        <w:tc>
          <w:tcPr>
            <w:tcW w:w="583" w:type="dxa"/>
            <w:tcMar>
              <w:top w:w="0" w:type="dxa"/>
              <w:left w:w="28" w:type="dxa"/>
              <w:bottom w:w="0" w:type="dxa"/>
              <w:right w:w="28" w:type="dxa"/>
            </w:tcMar>
            <w:hideMark/>
          </w:tcPr>
          <w:p w14:paraId="61CD935B" w14:textId="77777777" w:rsidR="00734E4C" w:rsidRPr="0003503E" w:rsidRDefault="00734E4C" w:rsidP="00492EA8">
            <w:pPr>
              <w:keepNext/>
              <w:ind w:firstLine="96"/>
              <w:jc w:val="right"/>
              <w:rPr>
                <w:sz w:val="18"/>
                <w:szCs w:val="18"/>
              </w:rPr>
            </w:pPr>
            <w:r>
              <w:rPr>
                <w:sz w:val="18"/>
                <w:szCs w:val="18"/>
              </w:rPr>
              <w:t> </w:t>
            </w:r>
          </w:p>
        </w:tc>
        <w:tc>
          <w:tcPr>
            <w:tcW w:w="584" w:type="dxa"/>
            <w:tcMar>
              <w:top w:w="0" w:type="dxa"/>
              <w:left w:w="28" w:type="dxa"/>
              <w:bottom w:w="0" w:type="dxa"/>
              <w:right w:w="28" w:type="dxa"/>
            </w:tcMar>
            <w:hideMark/>
          </w:tcPr>
          <w:p w14:paraId="269AE579" w14:textId="77777777" w:rsidR="00734E4C" w:rsidRPr="0003503E" w:rsidRDefault="00734E4C" w:rsidP="00492EA8">
            <w:pPr>
              <w:keepNext/>
              <w:ind w:firstLine="96"/>
              <w:jc w:val="right"/>
              <w:rPr>
                <w:sz w:val="18"/>
                <w:szCs w:val="18"/>
              </w:rPr>
            </w:pPr>
            <w:r>
              <w:rPr>
                <w:sz w:val="18"/>
                <w:szCs w:val="18"/>
              </w:rPr>
              <w:t> </w:t>
            </w:r>
          </w:p>
        </w:tc>
        <w:tc>
          <w:tcPr>
            <w:tcW w:w="584" w:type="dxa"/>
            <w:tcMar>
              <w:top w:w="0" w:type="dxa"/>
              <w:left w:w="28" w:type="dxa"/>
              <w:bottom w:w="0" w:type="dxa"/>
              <w:right w:w="28" w:type="dxa"/>
            </w:tcMar>
            <w:hideMark/>
          </w:tcPr>
          <w:p w14:paraId="1F621D83" w14:textId="77777777" w:rsidR="00734E4C" w:rsidRPr="0003503E" w:rsidRDefault="00734E4C" w:rsidP="00492EA8">
            <w:pPr>
              <w:keepNext/>
              <w:ind w:firstLine="96"/>
              <w:jc w:val="right"/>
              <w:rPr>
                <w:sz w:val="18"/>
                <w:szCs w:val="18"/>
              </w:rPr>
            </w:pPr>
            <w:r>
              <w:rPr>
                <w:sz w:val="18"/>
                <w:szCs w:val="18"/>
              </w:rPr>
              <w:t> </w:t>
            </w:r>
          </w:p>
        </w:tc>
        <w:tc>
          <w:tcPr>
            <w:tcW w:w="567" w:type="dxa"/>
            <w:tcMar>
              <w:top w:w="0" w:type="dxa"/>
              <w:left w:w="28" w:type="dxa"/>
              <w:bottom w:w="0" w:type="dxa"/>
              <w:right w:w="28" w:type="dxa"/>
            </w:tcMar>
            <w:hideMark/>
          </w:tcPr>
          <w:p w14:paraId="1212FA2B" w14:textId="77777777" w:rsidR="00734E4C" w:rsidRPr="0003503E" w:rsidRDefault="00734E4C" w:rsidP="00492EA8">
            <w:pPr>
              <w:keepNext/>
              <w:ind w:firstLine="96"/>
              <w:jc w:val="right"/>
              <w:rPr>
                <w:b/>
                <w:sz w:val="18"/>
                <w:szCs w:val="18"/>
              </w:rPr>
            </w:pPr>
            <w:r>
              <w:rPr>
                <w:b/>
                <w:sz w:val="18"/>
                <w:szCs w:val="18"/>
              </w:rPr>
              <w:t>0,40</w:t>
            </w:r>
          </w:p>
        </w:tc>
        <w:tc>
          <w:tcPr>
            <w:tcW w:w="567" w:type="dxa"/>
            <w:tcMar>
              <w:top w:w="0" w:type="dxa"/>
              <w:left w:w="28" w:type="dxa"/>
              <w:bottom w:w="0" w:type="dxa"/>
              <w:right w:w="28" w:type="dxa"/>
            </w:tcMar>
            <w:hideMark/>
          </w:tcPr>
          <w:p w14:paraId="7D13F359" w14:textId="77777777" w:rsidR="00734E4C" w:rsidRPr="0003503E" w:rsidRDefault="00734E4C" w:rsidP="00492EA8">
            <w:pPr>
              <w:keepNext/>
              <w:ind w:firstLine="96"/>
              <w:jc w:val="right"/>
              <w:rPr>
                <w:b/>
                <w:sz w:val="18"/>
                <w:szCs w:val="18"/>
              </w:rPr>
            </w:pPr>
            <w:r>
              <w:rPr>
                <w:b/>
                <w:sz w:val="18"/>
                <w:szCs w:val="18"/>
              </w:rPr>
              <w:t>0,40 </w:t>
            </w:r>
          </w:p>
        </w:tc>
        <w:tc>
          <w:tcPr>
            <w:tcW w:w="567" w:type="dxa"/>
            <w:tcMar>
              <w:top w:w="0" w:type="dxa"/>
              <w:left w:w="28" w:type="dxa"/>
              <w:bottom w:w="0" w:type="dxa"/>
              <w:right w:w="28" w:type="dxa"/>
            </w:tcMar>
            <w:hideMark/>
          </w:tcPr>
          <w:p w14:paraId="016B9239" w14:textId="77777777" w:rsidR="00734E4C" w:rsidRPr="0003503E" w:rsidRDefault="00734E4C" w:rsidP="00492EA8">
            <w:pPr>
              <w:keepNext/>
              <w:ind w:firstLine="96"/>
              <w:jc w:val="right"/>
              <w:rPr>
                <w:b/>
                <w:sz w:val="18"/>
                <w:szCs w:val="18"/>
              </w:rPr>
            </w:pPr>
            <w:r>
              <w:rPr>
                <w:b/>
                <w:sz w:val="18"/>
                <w:szCs w:val="18"/>
              </w:rPr>
              <w:t>0,36</w:t>
            </w:r>
          </w:p>
        </w:tc>
        <w:tc>
          <w:tcPr>
            <w:tcW w:w="567" w:type="dxa"/>
            <w:tcMar>
              <w:top w:w="0" w:type="dxa"/>
              <w:left w:w="28" w:type="dxa"/>
              <w:bottom w:w="0" w:type="dxa"/>
              <w:right w:w="28" w:type="dxa"/>
            </w:tcMar>
            <w:hideMark/>
          </w:tcPr>
          <w:p w14:paraId="16D555F9" w14:textId="77777777" w:rsidR="00734E4C" w:rsidRPr="0003503E" w:rsidRDefault="00734E4C" w:rsidP="00492EA8">
            <w:pPr>
              <w:jc w:val="right"/>
              <w:rPr>
                <w:b/>
                <w:sz w:val="18"/>
                <w:szCs w:val="18"/>
              </w:rPr>
            </w:pPr>
            <w:r>
              <w:rPr>
                <w:b/>
                <w:sz w:val="18"/>
                <w:szCs w:val="18"/>
              </w:rPr>
              <w:t>0,36</w:t>
            </w:r>
          </w:p>
        </w:tc>
        <w:tc>
          <w:tcPr>
            <w:tcW w:w="567" w:type="dxa"/>
            <w:tcMar>
              <w:top w:w="0" w:type="dxa"/>
              <w:left w:w="28" w:type="dxa"/>
              <w:bottom w:w="0" w:type="dxa"/>
              <w:right w:w="28" w:type="dxa"/>
            </w:tcMar>
            <w:hideMark/>
          </w:tcPr>
          <w:p w14:paraId="114FECF4" w14:textId="77777777" w:rsidR="00734E4C" w:rsidRPr="0003503E" w:rsidRDefault="00734E4C" w:rsidP="00492EA8">
            <w:pPr>
              <w:jc w:val="right"/>
              <w:rPr>
                <w:b/>
                <w:sz w:val="18"/>
                <w:szCs w:val="18"/>
              </w:rPr>
            </w:pPr>
            <w:r>
              <w:rPr>
                <w:b/>
                <w:sz w:val="18"/>
                <w:szCs w:val="18"/>
              </w:rPr>
              <w:t>0,36</w:t>
            </w:r>
          </w:p>
        </w:tc>
        <w:tc>
          <w:tcPr>
            <w:tcW w:w="567" w:type="dxa"/>
            <w:tcMar>
              <w:top w:w="0" w:type="dxa"/>
              <w:left w:w="28" w:type="dxa"/>
              <w:bottom w:w="0" w:type="dxa"/>
              <w:right w:w="28" w:type="dxa"/>
            </w:tcMar>
            <w:hideMark/>
          </w:tcPr>
          <w:p w14:paraId="42421429" w14:textId="77777777" w:rsidR="00734E4C" w:rsidRPr="0003503E" w:rsidRDefault="00734E4C" w:rsidP="00492EA8">
            <w:pPr>
              <w:jc w:val="right"/>
              <w:rPr>
                <w:b/>
                <w:sz w:val="18"/>
                <w:szCs w:val="18"/>
              </w:rPr>
            </w:pPr>
            <w:r>
              <w:rPr>
                <w:b/>
                <w:sz w:val="18"/>
                <w:szCs w:val="18"/>
              </w:rPr>
              <w:t>0,36</w:t>
            </w:r>
          </w:p>
        </w:tc>
        <w:tc>
          <w:tcPr>
            <w:tcW w:w="664" w:type="dxa"/>
            <w:tcMar>
              <w:top w:w="0" w:type="dxa"/>
              <w:left w:w="28" w:type="dxa"/>
              <w:bottom w:w="0" w:type="dxa"/>
              <w:right w:w="28" w:type="dxa"/>
            </w:tcMar>
            <w:hideMark/>
          </w:tcPr>
          <w:p w14:paraId="7C0C3DF9" w14:textId="77777777" w:rsidR="00734E4C" w:rsidRPr="0003503E" w:rsidRDefault="00734E4C" w:rsidP="00492EA8">
            <w:pPr>
              <w:jc w:val="right"/>
              <w:rPr>
                <w:b/>
                <w:sz w:val="18"/>
                <w:szCs w:val="18"/>
              </w:rPr>
            </w:pPr>
            <w:r>
              <w:rPr>
                <w:b/>
                <w:sz w:val="18"/>
                <w:szCs w:val="18"/>
              </w:rPr>
              <w:t>0,36</w:t>
            </w:r>
          </w:p>
        </w:tc>
        <w:tc>
          <w:tcPr>
            <w:tcW w:w="612" w:type="dxa"/>
            <w:tcMar>
              <w:top w:w="0" w:type="dxa"/>
              <w:left w:w="28" w:type="dxa"/>
              <w:bottom w:w="0" w:type="dxa"/>
              <w:right w:w="28" w:type="dxa"/>
            </w:tcMar>
            <w:hideMark/>
          </w:tcPr>
          <w:p w14:paraId="7CB27024" w14:textId="77777777" w:rsidR="00734E4C" w:rsidRPr="0003503E" w:rsidRDefault="00734E4C" w:rsidP="00492EA8">
            <w:pPr>
              <w:keepNext/>
              <w:ind w:firstLine="96"/>
              <w:jc w:val="right"/>
              <w:rPr>
                <w:b/>
                <w:sz w:val="18"/>
                <w:szCs w:val="18"/>
              </w:rPr>
            </w:pPr>
            <w:r>
              <w:rPr>
                <w:b/>
                <w:sz w:val="18"/>
                <w:szCs w:val="18"/>
              </w:rPr>
              <w:t>0,26</w:t>
            </w:r>
          </w:p>
        </w:tc>
        <w:tc>
          <w:tcPr>
            <w:tcW w:w="718" w:type="dxa"/>
            <w:tcMar>
              <w:top w:w="0" w:type="dxa"/>
              <w:left w:w="28" w:type="dxa"/>
              <w:bottom w:w="0" w:type="dxa"/>
              <w:right w:w="28" w:type="dxa"/>
            </w:tcMar>
            <w:hideMark/>
          </w:tcPr>
          <w:p w14:paraId="64850A7D" w14:textId="77777777" w:rsidR="00734E4C" w:rsidRPr="0003503E" w:rsidRDefault="00734E4C" w:rsidP="00492EA8">
            <w:pPr>
              <w:keepNext/>
              <w:ind w:firstLine="96"/>
              <w:jc w:val="right"/>
              <w:rPr>
                <w:sz w:val="18"/>
                <w:szCs w:val="18"/>
              </w:rPr>
            </w:pPr>
            <w:r>
              <w:rPr>
                <w:sz w:val="18"/>
                <w:szCs w:val="18"/>
              </w:rPr>
              <w:t>s. o.</w:t>
            </w:r>
          </w:p>
        </w:tc>
      </w:tr>
      <w:tr w:rsidR="00734E4C" w:rsidRPr="0003503E" w14:paraId="60CC8B58" w14:textId="77777777" w:rsidTr="00314C30">
        <w:trPr>
          <w:trHeight w:val="421"/>
          <w:jc w:val="center"/>
        </w:trPr>
        <w:tc>
          <w:tcPr>
            <w:tcW w:w="490" w:type="dxa"/>
            <w:noWrap/>
            <w:tcMar>
              <w:top w:w="0" w:type="dxa"/>
              <w:left w:w="28" w:type="dxa"/>
              <w:bottom w:w="0" w:type="dxa"/>
              <w:right w:w="28" w:type="dxa"/>
            </w:tcMar>
            <w:hideMark/>
          </w:tcPr>
          <w:p w14:paraId="4427BA05" w14:textId="77777777" w:rsidR="00734E4C" w:rsidRPr="0003503E" w:rsidRDefault="00734E4C" w:rsidP="00492EA8">
            <w:pPr>
              <w:keepNext/>
              <w:ind w:firstLine="96"/>
            </w:pPr>
            <w:r>
              <w:rPr>
                <w:sz w:val="16"/>
                <w:szCs w:val="16"/>
              </w:rPr>
              <w:t>1.2</w:t>
            </w:r>
          </w:p>
        </w:tc>
        <w:tc>
          <w:tcPr>
            <w:tcW w:w="1723" w:type="dxa"/>
            <w:tcMar>
              <w:top w:w="0" w:type="dxa"/>
              <w:left w:w="28" w:type="dxa"/>
              <w:bottom w:w="0" w:type="dxa"/>
              <w:right w:w="28" w:type="dxa"/>
            </w:tcMar>
            <w:hideMark/>
          </w:tcPr>
          <w:p w14:paraId="431832B3" w14:textId="77777777" w:rsidR="00734E4C" w:rsidRPr="0003503E" w:rsidRDefault="00734E4C" w:rsidP="00492EA8">
            <w:pPr>
              <w:keepNext/>
              <w:jc w:val="left"/>
              <w:rPr>
                <w:sz w:val="18"/>
                <w:szCs w:val="18"/>
              </w:rPr>
            </w:pPr>
            <w:r>
              <w:rPr>
                <w:sz w:val="18"/>
                <w:szCs w:val="18"/>
              </w:rPr>
              <w:t>Consommation maximale admissible des substances du groupe I de l’annexe C (tonnes PAO)</w:t>
            </w:r>
          </w:p>
        </w:tc>
        <w:tc>
          <w:tcPr>
            <w:tcW w:w="583" w:type="dxa"/>
            <w:tcMar>
              <w:top w:w="0" w:type="dxa"/>
              <w:left w:w="28" w:type="dxa"/>
              <w:bottom w:w="0" w:type="dxa"/>
              <w:right w:w="28" w:type="dxa"/>
            </w:tcMar>
            <w:hideMark/>
          </w:tcPr>
          <w:p w14:paraId="125DD18D" w14:textId="77777777" w:rsidR="00734E4C" w:rsidRPr="0003503E" w:rsidRDefault="00734E4C" w:rsidP="00492EA8">
            <w:pPr>
              <w:keepNext/>
              <w:ind w:firstLine="96"/>
              <w:jc w:val="right"/>
              <w:rPr>
                <w:sz w:val="18"/>
                <w:szCs w:val="18"/>
              </w:rPr>
            </w:pPr>
            <w:r>
              <w:rPr>
                <w:sz w:val="18"/>
                <w:szCs w:val="18"/>
              </w:rPr>
              <w:t> </w:t>
            </w:r>
          </w:p>
        </w:tc>
        <w:tc>
          <w:tcPr>
            <w:tcW w:w="584" w:type="dxa"/>
            <w:tcMar>
              <w:top w:w="0" w:type="dxa"/>
              <w:left w:w="28" w:type="dxa"/>
              <w:bottom w:w="0" w:type="dxa"/>
              <w:right w:w="28" w:type="dxa"/>
            </w:tcMar>
            <w:hideMark/>
          </w:tcPr>
          <w:p w14:paraId="343CBD81" w14:textId="77777777" w:rsidR="00734E4C" w:rsidRPr="0003503E" w:rsidRDefault="00734E4C" w:rsidP="00492EA8">
            <w:pPr>
              <w:keepNext/>
              <w:ind w:firstLine="96"/>
              <w:jc w:val="right"/>
              <w:rPr>
                <w:sz w:val="18"/>
                <w:szCs w:val="18"/>
              </w:rPr>
            </w:pPr>
            <w:r>
              <w:rPr>
                <w:sz w:val="18"/>
                <w:szCs w:val="18"/>
              </w:rPr>
              <w:t> </w:t>
            </w:r>
          </w:p>
        </w:tc>
        <w:tc>
          <w:tcPr>
            <w:tcW w:w="584" w:type="dxa"/>
            <w:tcMar>
              <w:top w:w="0" w:type="dxa"/>
              <w:left w:w="28" w:type="dxa"/>
              <w:bottom w:w="0" w:type="dxa"/>
              <w:right w:w="28" w:type="dxa"/>
            </w:tcMar>
            <w:hideMark/>
          </w:tcPr>
          <w:p w14:paraId="193EC8F2" w14:textId="77777777" w:rsidR="00734E4C" w:rsidRPr="0003503E" w:rsidRDefault="00734E4C" w:rsidP="00492EA8">
            <w:pPr>
              <w:keepNext/>
              <w:ind w:firstLine="96"/>
              <w:jc w:val="right"/>
              <w:rPr>
                <w:sz w:val="18"/>
                <w:szCs w:val="18"/>
              </w:rPr>
            </w:pPr>
            <w:r>
              <w:rPr>
                <w:sz w:val="18"/>
                <w:szCs w:val="18"/>
              </w:rPr>
              <w:t> </w:t>
            </w:r>
          </w:p>
        </w:tc>
        <w:tc>
          <w:tcPr>
            <w:tcW w:w="567" w:type="dxa"/>
            <w:tcMar>
              <w:top w:w="0" w:type="dxa"/>
              <w:left w:w="28" w:type="dxa"/>
              <w:bottom w:w="0" w:type="dxa"/>
              <w:right w:w="28" w:type="dxa"/>
            </w:tcMar>
            <w:hideMark/>
          </w:tcPr>
          <w:p w14:paraId="18AF9F8B" w14:textId="77777777" w:rsidR="00734E4C" w:rsidRPr="0003503E" w:rsidRDefault="00734E4C" w:rsidP="00492EA8">
            <w:pPr>
              <w:keepNext/>
              <w:ind w:firstLine="96"/>
              <w:jc w:val="right"/>
              <w:rPr>
                <w:sz w:val="18"/>
                <w:szCs w:val="18"/>
              </w:rPr>
            </w:pPr>
            <w:r>
              <w:rPr>
                <w:sz w:val="18"/>
                <w:szCs w:val="18"/>
              </w:rPr>
              <w:t>0,23</w:t>
            </w:r>
          </w:p>
        </w:tc>
        <w:tc>
          <w:tcPr>
            <w:tcW w:w="567" w:type="dxa"/>
            <w:tcMar>
              <w:top w:w="0" w:type="dxa"/>
              <w:left w:w="28" w:type="dxa"/>
              <w:bottom w:w="0" w:type="dxa"/>
              <w:right w:w="28" w:type="dxa"/>
            </w:tcMar>
            <w:hideMark/>
          </w:tcPr>
          <w:p w14:paraId="248850BE" w14:textId="77777777" w:rsidR="00734E4C" w:rsidRPr="0003503E" w:rsidRDefault="00734E4C" w:rsidP="00492EA8">
            <w:pPr>
              <w:keepNext/>
              <w:ind w:firstLine="96"/>
              <w:jc w:val="right"/>
              <w:rPr>
                <w:sz w:val="18"/>
                <w:szCs w:val="18"/>
              </w:rPr>
            </w:pPr>
            <w:r>
              <w:rPr>
                <w:sz w:val="18"/>
                <w:szCs w:val="18"/>
              </w:rPr>
              <w:t>0,23 </w:t>
            </w:r>
          </w:p>
        </w:tc>
        <w:tc>
          <w:tcPr>
            <w:tcW w:w="567" w:type="dxa"/>
            <w:tcMar>
              <w:top w:w="0" w:type="dxa"/>
              <w:left w:w="28" w:type="dxa"/>
              <w:bottom w:w="0" w:type="dxa"/>
              <w:right w:w="28" w:type="dxa"/>
            </w:tcMar>
            <w:hideMark/>
          </w:tcPr>
          <w:p w14:paraId="1C8E5A2C" w14:textId="77777777" w:rsidR="00734E4C" w:rsidRPr="0003503E" w:rsidRDefault="00734E4C" w:rsidP="00492EA8">
            <w:pPr>
              <w:ind w:firstLine="96"/>
              <w:jc w:val="right"/>
              <w:rPr>
                <w:sz w:val="18"/>
                <w:szCs w:val="18"/>
              </w:rPr>
            </w:pPr>
            <w:r>
              <w:rPr>
                <w:sz w:val="18"/>
                <w:szCs w:val="18"/>
              </w:rPr>
              <w:t>0,21</w:t>
            </w:r>
          </w:p>
        </w:tc>
        <w:tc>
          <w:tcPr>
            <w:tcW w:w="567" w:type="dxa"/>
            <w:tcMar>
              <w:top w:w="0" w:type="dxa"/>
              <w:left w:w="28" w:type="dxa"/>
              <w:bottom w:w="0" w:type="dxa"/>
              <w:right w:w="28" w:type="dxa"/>
            </w:tcMar>
            <w:hideMark/>
          </w:tcPr>
          <w:p w14:paraId="1C2618F6" w14:textId="77777777" w:rsidR="00734E4C" w:rsidRPr="0003503E" w:rsidRDefault="00734E4C" w:rsidP="00492EA8">
            <w:pPr>
              <w:jc w:val="right"/>
              <w:rPr>
                <w:sz w:val="18"/>
                <w:szCs w:val="18"/>
              </w:rPr>
            </w:pPr>
            <w:r>
              <w:rPr>
                <w:sz w:val="18"/>
                <w:szCs w:val="18"/>
              </w:rPr>
              <w:t>0,21</w:t>
            </w:r>
          </w:p>
        </w:tc>
        <w:tc>
          <w:tcPr>
            <w:tcW w:w="567" w:type="dxa"/>
            <w:tcMar>
              <w:top w:w="0" w:type="dxa"/>
              <w:left w:w="28" w:type="dxa"/>
              <w:bottom w:w="0" w:type="dxa"/>
              <w:right w:w="28" w:type="dxa"/>
            </w:tcMar>
            <w:hideMark/>
          </w:tcPr>
          <w:p w14:paraId="7C985A13" w14:textId="77777777" w:rsidR="00734E4C" w:rsidRPr="0003503E" w:rsidRDefault="00734E4C" w:rsidP="00492EA8">
            <w:pPr>
              <w:jc w:val="right"/>
              <w:rPr>
                <w:sz w:val="18"/>
                <w:szCs w:val="18"/>
              </w:rPr>
            </w:pPr>
            <w:r>
              <w:rPr>
                <w:sz w:val="18"/>
                <w:szCs w:val="18"/>
              </w:rPr>
              <w:t>0,21</w:t>
            </w:r>
          </w:p>
        </w:tc>
        <w:tc>
          <w:tcPr>
            <w:tcW w:w="567" w:type="dxa"/>
            <w:tcMar>
              <w:top w:w="0" w:type="dxa"/>
              <w:left w:w="28" w:type="dxa"/>
              <w:bottom w:w="0" w:type="dxa"/>
              <w:right w:w="28" w:type="dxa"/>
            </w:tcMar>
            <w:hideMark/>
          </w:tcPr>
          <w:p w14:paraId="7BC47A64" w14:textId="77777777" w:rsidR="00734E4C" w:rsidRPr="0003503E" w:rsidRDefault="00734E4C" w:rsidP="00492EA8">
            <w:pPr>
              <w:jc w:val="right"/>
              <w:rPr>
                <w:sz w:val="18"/>
                <w:szCs w:val="18"/>
              </w:rPr>
            </w:pPr>
            <w:r>
              <w:rPr>
                <w:sz w:val="18"/>
                <w:szCs w:val="18"/>
              </w:rPr>
              <w:t>0,21</w:t>
            </w:r>
          </w:p>
        </w:tc>
        <w:tc>
          <w:tcPr>
            <w:tcW w:w="664" w:type="dxa"/>
            <w:tcMar>
              <w:top w:w="0" w:type="dxa"/>
              <w:left w:w="28" w:type="dxa"/>
              <w:bottom w:w="0" w:type="dxa"/>
              <w:right w:w="28" w:type="dxa"/>
            </w:tcMar>
            <w:hideMark/>
          </w:tcPr>
          <w:p w14:paraId="3B985952" w14:textId="77777777" w:rsidR="00734E4C" w:rsidRPr="0003503E" w:rsidRDefault="00734E4C" w:rsidP="00492EA8">
            <w:pPr>
              <w:jc w:val="right"/>
              <w:rPr>
                <w:sz w:val="18"/>
                <w:szCs w:val="18"/>
              </w:rPr>
            </w:pPr>
            <w:r>
              <w:rPr>
                <w:sz w:val="18"/>
                <w:szCs w:val="18"/>
              </w:rPr>
              <w:t>0,21</w:t>
            </w:r>
          </w:p>
        </w:tc>
        <w:tc>
          <w:tcPr>
            <w:tcW w:w="612" w:type="dxa"/>
            <w:tcMar>
              <w:top w:w="0" w:type="dxa"/>
              <w:left w:w="28" w:type="dxa"/>
              <w:bottom w:w="0" w:type="dxa"/>
              <w:right w:w="28" w:type="dxa"/>
            </w:tcMar>
            <w:hideMark/>
          </w:tcPr>
          <w:p w14:paraId="5EA77687" w14:textId="77777777" w:rsidR="00734E4C" w:rsidRPr="0003503E" w:rsidRDefault="00734E4C" w:rsidP="00492EA8">
            <w:pPr>
              <w:keepNext/>
              <w:ind w:firstLine="96"/>
              <w:jc w:val="right"/>
              <w:rPr>
                <w:sz w:val="18"/>
                <w:szCs w:val="18"/>
              </w:rPr>
            </w:pPr>
            <w:r>
              <w:rPr>
                <w:sz w:val="18"/>
                <w:szCs w:val="18"/>
              </w:rPr>
              <w:t>0,15</w:t>
            </w:r>
          </w:p>
        </w:tc>
        <w:tc>
          <w:tcPr>
            <w:tcW w:w="718" w:type="dxa"/>
            <w:tcMar>
              <w:top w:w="0" w:type="dxa"/>
              <w:left w:w="28" w:type="dxa"/>
              <w:bottom w:w="0" w:type="dxa"/>
              <w:right w:w="28" w:type="dxa"/>
            </w:tcMar>
            <w:hideMark/>
          </w:tcPr>
          <w:p w14:paraId="597B0DC8" w14:textId="77777777" w:rsidR="00734E4C" w:rsidRPr="0003503E" w:rsidRDefault="00734E4C" w:rsidP="00492EA8">
            <w:pPr>
              <w:keepNext/>
              <w:ind w:firstLine="96"/>
              <w:jc w:val="right"/>
              <w:rPr>
                <w:sz w:val="18"/>
                <w:szCs w:val="18"/>
              </w:rPr>
            </w:pPr>
            <w:r>
              <w:rPr>
                <w:sz w:val="18"/>
                <w:szCs w:val="18"/>
              </w:rPr>
              <w:t>s. o.</w:t>
            </w:r>
          </w:p>
        </w:tc>
      </w:tr>
      <w:tr w:rsidR="00734E4C" w:rsidRPr="0003503E" w14:paraId="475E3072" w14:textId="77777777" w:rsidTr="00314C30">
        <w:trPr>
          <w:trHeight w:val="210"/>
          <w:jc w:val="center"/>
        </w:trPr>
        <w:tc>
          <w:tcPr>
            <w:tcW w:w="490" w:type="dxa"/>
            <w:noWrap/>
            <w:tcMar>
              <w:top w:w="0" w:type="dxa"/>
              <w:left w:w="28" w:type="dxa"/>
              <w:bottom w:w="0" w:type="dxa"/>
              <w:right w:w="28" w:type="dxa"/>
            </w:tcMar>
            <w:hideMark/>
          </w:tcPr>
          <w:p w14:paraId="220A9912" w14:textId="77777777" w:rsidR="00734E4C" w:rsidRPr="0003503E" w:rsidRDefault="00734E4C" w:rsidP="00492EA8">
            <w:pPr>
              <w:keepNext/>
              <w:ind w:firstLine="96"/>
            </w:pPr>
            <w:r>
              <w:rPr>
                <w:sz w:val="16"/>
                <w:szCs w:val="16"/>
              </w:rPr>
              <w:t>2.1</w:t>
            </w:r>
          </w:p>
        </w:tc>
        <w:tc>
          <w:tcPr>
            <w:tcW w:w="1723" w:type="dxa"/>
            <w:tcMar>
              <w:top w:w="0" w:type="dxa"/>
              <w:left w:w="28" w:type="dxa"/>
              <w:bottom w:w="0" w:type="dxa"/>
              <w:right w:w="28" w:type="dxa"/>
            </w:tcMar>
            <w:hideMark/>
          </w:tcPr>
          <w:p w14:paraId="0B9F02D0" w14:textId="53205EB4" w:rsidR="00734E4C" w:rsidRPr="0003503E" w:rsidRDefault="00734E4C" w:rsidP="00492EA8">
            <w:pPr>
              <w:keepNext/>
              <w:jc w:val="left"/>
              <w:rPr>
                <w:sz w:val="18"/>
                <w:szCs w:val="18"/>
              </w:rPr>
            </w:pPr>
            <w:r>
              <w:rPr>
                <w:sz w:val="18"/>
                <w:szCs w:val="18"/>
              </w:rPr>
              <w:t>Total du financement convenu par le PNUE (agence principale) ($</w:t>
            </w:r>
            <w:r w:rsidR="00F50A13">
              <w:rPr>
                <w:sz w:val="18"/>
                <w:szCs w:val="18"/>
              </w:rPr>
              <w:t> </w:t>
            </w:r>
            <w:r>
              <w:rPr>
                <w:sz w:val="18"/>
                <w:szCs w:val="18"/>
              </w:rPr>
              <w:t>US)</w:t>
            </w:r>
          </w:p>
        </w:tc>
        <w:tc>
          <w:tcPr>
            <w:tcW w:w="583"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6E3B8CAC" w14:textId="77777777" w:rsidR="00734E4C" w:rsidRPr="0003503E" w:rsidRDefault="00734E4C" w:rsidP="00492EA8">
            <w:pPr>
              <w:jc w:val="right"/>
              <w:rPr>
                <w:color w:val="000000"/>
                <w:sz w:val="18"/>
                <w:szCs w:val="18"/>
              </w:rPr>
            </w:pPr>
            <w:r>
              <w:rPr>
                <w:color w:val="000000"/>
                <w:sz w:val="18"/>
                <w:szCs w:val="18"/>
              </w:rPr>
              <w:t>82 250</w:t>
            </w:r>
          </w:p>
        </w:tc>
        <w:tc>
          <w:tcPr>
            <w:tcW w:w="584"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7D909BA4" w14:textId="77777777" w:rsidR="00734E4C" w:rsidRPr="0003503E" w:rsidRDefault="00734E4C" w:rsidP="00492EA8">
            <w:pPr>
              <w:jc w:val="right"/>
              <w:rPr>
                <w:color w:val="000000"/>
                <w:sz w:val="18"/>
                <w:szCs w:val="18"/>
              </w:rPr>
            </w:pPr>
          </w:p>
        </w:tc>
        <w:tc>
          <w:tcPr>
            <w:tcW w:w="584"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2FAFD7D8" w14:textId="77777777" w:rsidR="00734E4C" w:rsidRPr="0003503E" w:rsidRDefault="00734E4C" w:rsidP="00492EA8">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07F8374A" w14:textId="77777777" w:rsidR="00734E4C" w:rsidRPr="0003503E" w:rsidRDefault="00734E4C" w:rsidP="00492EA8">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586DBFBD" w14:textId="77777777" w:rsidR="00734E4C" w:rsidRPr="0003503E" w:rsidRDefault="00734E4C" w:rsidP="00492EA8">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056195CC" w14:textId="77777777" w:rsidR="00734E4C" w:rsidRPr="0003503E" w:rsidRDefault="00734E4C" w:rsidP="00492EA8">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tcMar>
              <w:top w:w="0" w:type="dxa"/>
              <w:left w:w="28" w:type="dxa"/>
              <w:bottom w:w="0" w:type="dxa"/>
              <w:right w:w="28" w:type="dxa"/>
            </w:tcMar>
          </w:tcPr>
          <w:p w14:paraId="0BBC6850" w14:textId="77777777" w:rsidR="00734E4C" w:rsidRPr="0003503E" w:rsidRDefault="00734E4C" w:rsidP="00492EA8">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55FA7730" w14:textId="77777777" w:rsidR="00734E4C" w:rsidRPr="0003503E" w:rsidRDefault="00734E4C" w:rsidP="00492EA8">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04BB5A23" w14:textId="77777777" w:rsidR="00734E4C" w:rsidRPr="0003503E" w:rsidRDefault="00734E4C" w:rsidP="00492EA8">
            <w:pPr>
              <w:jc w:val="right"/>
              <w:rPr>
                <w:color w:val="000000"/>
                <w:sz w:val="18"/>
                <w:szCs w:val="18"/>
              </w:rPr>
            </w:pPr>
          </w:p>
        </w:tc>
        <w:tc>
          <w:tcPr>
            <w:tcW w:w="664"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227DA132" w14:textId="77777777" w:rsidR="00734E4C" w:rsidRPr="0003503E" w:rsidRDefault="00734E4C" w:rsidP="00492EA8">
            <w:pPr>
              <w:jc w:val="right"/>
              <w:rPr>
                <w:b/>
                <w:color w:val="000000"/>
                <w:sz w:val="18"/>
                <w:szCs w:val="18"/>
              </w:rPr>
            </w:pPr>
            <w:r>
              <w:rPr>
                <w:b/>
                <w:color w:val="000000"/>
                <w:sz w:val="18"/>
                <w:szCs w:val="18"/>
              </w:rPr>
              <w:t>65 800</w:t>
            </w:r>
          </w:p>
        </w:tc>
        <w:tc>
          <w:tcPr>
            <w:tcW w:w="612"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489DC2A5" w14:textId="77777777" w:rsidR="00734E4C" w:rsidRPr="0003503E" w:rsidRDefault="00734E4C" w:rsidP="00492EA8">
            <w:pPr>
              <w:jc w:val="right"/>
              <w:rPr>
                <w:color w:val="000000"/>
                <w:sz w:val="18"/>
                <w:szCs w:val="18"/>
              </w:rPr>
            </w:pPr>
            <w:r>
              <w:rPr>
                <w:color w:val="000000"/>
                <w:sz w:val="18"/>
                <w:szCs w:val="18"/>
              </w:rPr>
              <w:t>16 450</w:t>
            </w:r>
          </w:p>
        </w:tc>
        <w:tc>
          <w:tcPr>
            <w:tcW w:w="718" w:type="dxa"/>
            <w:tcBorders>
              <w:top w:val="nil"/>
              <w:left w:val="nil"/>
              <w:bottom w:val="single" w:sz="4" w:space="0" w:color="auto"/>
              <w:right w:val="single" w:sz="4" w:space="0" w:color="auto"/>
            </w:tcBorders>
            <w:shd w:val="clear" w:color="auto" w:fill="auto"/>
            <w:noWrap/>
            <w:tcMar>
              <w:top w:w="0" w:type="dxa"/>
              <w:left w:w="28" w:type="dxa"/>
              <w:bottom w:w="0" w:type="dxa"/>
              <w:right w:w="28" w:type="dxa"/>
            </w:tcMar>
            <w:hideMark/>
          </w:tcPr>
          <w:p w14:paraId="674118B8" w14:textId="77777777" w:rsidR="00734E4C" w:rsidRPr="0003503E" w:rsidRDefault="00734E4C" w:rsidP="00492EA8">
            <w:pPr>
              <w:jc w:val="right"/>
              <w:rPr>
                <w:color w:val="000000"/>
                <w:sz w:val="18"/>
                <w:szCs w:val="18"/>
              </w:rPr>
            </w:pPr>
            <w:r>
              <w:rPr>
                <w:color w:val="000000"/>
                <w:sz w:val="18"/>
                <w:szCs w:val="18"/>
              </w:rPr>
              <w:t>164 500</w:t>
            </w:r>
          </w:p>
        </w:tc>
      </w:tr>
      <w:tr w:rsidR="00734E4C" w:rsidRPr="0003503E" w14:paraId="7E99363D" w14:textId="77777777" w:rsidTr="00314C30">
        <w:trPr>
          <w:trHeight w:val="210"/>
          <w:jc w:val="center"/>
        </w:trPr>
        <w:tc>
          <w:tcPr>
            <w:tcW w:w="490" w:type="dxa"/>
            <w:noWrap/>
            <w:tcMar>
              <w:top w:w="0" w:type="dxa"/>
              <w:left w:w="28" w:type="dxa"/>
              <w:bottom w:w="0" w:type="dxa"/>
              <w:right w:w="28" w:type="dxa"/>
            </w:tcMar>
            <w:hideMark/>
          </w:tcPr>
          <w:p w14:paraId="03756AF2" w14:textId="77777777" w:rsidR="00734E4C" w:rsidRPr="0003503E" w:rsidRDefault="00734E4C" w:rsidP="00492EA8">
            <w:pPr>
              <w:keepNext/>
              <w:ind w:firstLine="96"/>
            </w:pPr>
            <w:r>
              <w:rPr>
                <w:sz w:val="16"/>
                <w:szCs w:val="16"/>
              </w:rPr>
              <w:t>2.2</w:t>
            </w:r>
          </w:p>
        </w:tc>
        <w:tc>
          <w:tcPr>
            <w:tcW w:w="1723" w:type="dxa"/>
            <w:tcMar>
              <w:top w:w="0" w:type="dxa"/>
              <w:left w:w="28" w:type="dxa"/>
              <w:bottom w:w="0" w:type="dxa"/>
              <w:right w:w="28" w:type="dxa"/>
            </w:tcMar>
            <w:hideMark/>
          </w:tcPr>
          <w:p w14:paraId="4A947E1C" w14:textId="1BDDF51C" w:rsidR="00734E4C" w:rsidRPr="0003503E" w:rsidRDefault="00734E4C" w:rsidP="00492EA8">
            <w:pPr>
              <w:keepNext/>
              <w:jc w:val="left"/>
              <w:rPr>
                <w:sz w:val="18"/>
                <w:szCs w:val="18"/>
              </w:rPr>
            </w:pPr>
            <w:r>
              <w:rPr>
                <w:sz w:val="18"/>
                <w:szCs w:val="18"/>
              </w:rPr>
              <w:t>Coûts d’appui pour l’Agence principale ($</w:t>
            </w:r>
            <w:r w:rsidR="00F50A13">
              <w:rPr>
                <w:sz w:val="18"/>
                <w:szCs w:val="18"/>
              </w:rPr>
              <w:t> </w:t>
            </w:r>
            <w:r>
              <w:rPr>
                <w:sz w:val="18"/>
                <w:szCs w:val="18"/>
              </w:rPr>
              <w:t>US)</w:t>
            </w:r>
          </w:p>
        </w:tc>
        <w:tc>
          <w:tcPr>
            <w:tcW w:w="583"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3DB6DADA" w14:textId="77777777" w:rsidR="00734E4C" w:rsidRPr="0003503E" w:rsidRDefault="00734E4C" w:rsidP="00492EA8">
            <w:pPr>
              <w:jc w:val="right"/>
              <w:rPr>
                <w:color w:val="000000"/>
                <w:sz w:val="18"/>
                <w:szCs w:val="18"/>
              </w:rPr>
            </w:pPr>
            <w:r>
              <w:rPr>
                <w:color w:val="000000"/>
                <w:sz w:val="18"/>
                <w:szCs w:val="18"/>
              </w:rPr>
              <w:t>10 693</w:t>
            </w:r>
          </w:p>
        </w:tc>
        <w:tc>
          <w:tcPr>
            <w:tcW w:w="584"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2AF6BF81" w14:textId="77777777" w:rsidR="00734E4C" w:rsidRPr="0003503E" w:rsidRDefault="00734E4C" w:rsidP="00492EA8">
            <w:pPr>
              <w:jc w:val="right"/>
              <w:rPr>
                <w:color w:val="000000"/>
                <w:sz w:val="18"/>
                <w:szCs w:val="18"/>
              </w:rPr>
            </w:pPr>
          </w:p>
        </w:tc>
        <w:tc>
          <w:tcPr>
            <w:tcW w:w="584"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571D7754" w14:textId="77777777" w:rsidR="00734E4C" w:rsidRPr="0003503E" w:rsidRDefault="00734E4C" w:rsidP="00492EA8">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2077A596" w14:textId="77777777" w:rsidR="00734E4C" w:rsidRPr="0003503E" w:rsidRDefault="00734E4C" w:rsidP="00492EA8">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29183DB1" w14:textId="77777777" w:rsidR="00734E4C" w:rsidRPr="0003503E" w:rsidRDefault="00734E4C" w:rsidP="00492EA8">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22036CBE" w14:textId="77777777" w:rsidR="00734E4C" w:rsidRPr="0003503E" w:rsidRDefault="00734E4C" w:rsidP="00492EA8">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tcMar>
              <w:top w:w="0" w:type="dxa"/>
              <w:left w:w="28" w:type="dxa"/>
              <w:bottom w:w="0" w:type="dxa"/>
              <w:right w:w="28" w:type="dxa"/>
            </w:tcMar>
          </w:tcPr>
          <w:p w14:paraId="786F8CC3" w14:textId="77777777" w:rsidR="00734E4C" w:rsidRPr="0003503E" w:rsidRDefault="00734E4C" w:rsidP="00492EA8">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6A780993" w14:textId="77777777" w:rsidR="00734E4C" w:rsidRPr="0003503E" w:rsidRDefault="00734E4C" w:rsidP="00492EA8">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1A144C9B" w14:textId="77777777" w:rsidR="00734E4C" w:rsidRPr="0003503E" w:rsidRDefault="00734E4C" w:rsidP="00492EA8">
            <w:pPr>
              <w:jc w:val="right"/>
              <w:rPr>
                <w:color w:val="000000"/>
                <w:sz w:val="18"/>
                <w:szCs w:val="18"/>
              </w:rPr>
            </w:pPr>
          </w:p>
        </w:tc>
        <w:tc>
          <w:tcPr>
            <w:tcW w:w="664"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17CBA7FC" w14:textId="77777777" w:rsidR="00734E4C" w:rsidRPr="0003503E" w:rsidRDefault="00734E4C" w:rsidP="00492EA8">
            <w:pPr>
              <w:jc w:val="right"/>
              <w:rPr>
                <w:b/>
                <w:color w:val="000000"/>
                <w:sz w:val="18"/>
                <w:szCs w:val="18"/>
              </w:rPr>
            </w:pPr>
            <w:r>
              <w:rPr>
                <w:b/>
                <w:color w:val="000000"/>
                <w:sz w:val="18"/>
                <w:szCs w:val="18"/>
              </w:rPr>
              <w:t>8 554</w:t>
            </w:r>
          </w:p>
        </w:tc>
        <w:tc>
          <w:tcPr>
            <w:tcW w:w="612"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7AF82192" w14:textId="77777777" w:rsidR="00734E4C" w:rsidRPr="0003503E" w:rsidRDefault="00734E4C" w:rsidP="00492EA8">
            <w:pPr>
              <w:jc w:val="right"/>
              <w:rPr>
                <w:color w:val="000000"/>
                <w:sz w:val="18"/>
                <w:szCs w:val="18"/>
              </w:rPr>
            </w:pPr>
            <w:r>
              <w:rPr>
                <w:color w:val="000000"/>
                <w:sz w:val="18"/>
                <w:szCs w:val="18"/>
              </w:rPr>
              <w:t>2 138</w:t>
            </w:r>
          </w:p>
        </w:tc>
        <w:tc>
          <w:tcPr>
            <w:tcW w:w="718"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1C2CD2A1" w14:textId="77777777" w:rsidR="00734E4C" w:rsidRPr="0003503E" w:rsidRDefault="00734E4C" w:rsidP="00492EA8">
            <w:pPr>
              <w:jc w:val="right"/>
              <w:rPr>
                <w:color w:val="000000"/>
                <w:sz w:val="18"/>
                <w:szCs w:val="18"/>
              </w:rPr>
            </w:pPr>
            <w:r>
              <w:rPr>
                <w:color w:val="000000"/>
                <w:sz w:val="18"/>
                <w:szCs w:val="18"/>
              </w:rPr>
              <w:t>21 385</w:t>
            </w:r>
          </w:p>
        </w:tc>
      </w:tr>
      <w:tr w:rsidR="00734E4C" w:rsidRPr="0003503E" w14:paraId="0F783F63" w14:textId="77777777" w:rsidTr="00314C30">
        <w:trPr>
          <w:trHeight w:val="210"/>
          <w:jc w:val="center"/>
        </w:trPr>
        <w:tc>
          <w:tcPr>
            <w:tcW w:w="490" w:type="dxa"/>
            <w:noWrap/>
            <w:tcMar>
              <w:top w:w="0" w:type="dxa"/>
              <w:left w:w="28" w:type="dxa"/>
              <w:bottom w:w="0" w:type="dxa"/>
              <w:right w:w="28" w:type="dxa"/>
            </w:tcMar>
            <w:hideMark/>
          </w:tcPr>
          <w:p w14:paraId="56C2B480" w14:textId="77777777" w:rsidR="00734E4C" w:rsidRPr="0003503E" w:rsidRDefault="00734E4C" w:rsidP="00492EA8">
            <w:pPr>
              <w:keepNext/>
              <w:ind w:firstLine="96"/>
            </w:pPr>
            <w:r>
              <w:rPr>
                <w:sz w:val="16"/>
                <w:szCs w:val="16"/>
              </w:rPr>
              <w:t>3.1</w:t>
            </w:r>
          </w:p>
        </w:tc>
        <w:tc>
          <w:tcPr>
            <w:tcW w:w="1723" w:type="dxa"/>
            <w:tcMar>
              <w:top w:w="0" w:type="dxa"/>
              <w:left w:w="28" w:type="dxa"/>
              <w:bottom w:w="0" w:type="dxa"/>
              <w:right w:w="28" w:type="dxa"/>
            </w:tcMar>
            <w:hideMark/>
          </w:tcPr>
          <w:p w14:paraId="06937389" w14:textId="77777777" w:rsidR="00734E4C" w:rsidRPr="0003503E" w:rsidRDefault="00734E4C" w:rsidP="00492EA8">
            <w:pPr>
              <w:keepNext/>
              <w:jc w:val="left"/>
              <w:rPr>
                <w:sz w:val="18"/>
                <w:szCs w:val="18"/>
              </w:rPr>
            </w:pPr>
            <w:r>
              <w:rPr>
                <w:sz w:val="18"/>
                <w:szCs w:val="18"/>
              </w:rPr>
              <w:t>Financement total convenu ($ US)</w:t>
            </w:r>
          </w:p>
        </w:tc>
        <w:tc>
          <w:tcPr>
            <w:tcW w:w="583"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61C40ADC" w14:textId="77777777" w:rsidR="00734E4C" w:rsidRPr="0003503E" w:rsidRDefault="00734E4C" w:rsidP="00492EA8">
            <w:pPr>
              <w:jc w:val="right"/>
              <w:rPr>
                <w:color w:val="000000"/>
                <w:sz w:val="18"/>
                <w:szCs w:val="18"/>
              </w:rPr>
            </w:pPr>
            <w:r>
              <w:rPr>
                <w:color w:val="000000"/>
                <w:sz w:val="18"/>
                <w:szCs w:val="18"/>
              </w:rPr>
              <w:t>82 250</w:t>
            </w:r>
          </w:p>
        </w:tc>
        <w:tc>
          <w:tcPr>
            <w:tcW w:w="584"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38E18DB0" w14:textId="77777777" w:rsidR="00734E4C" w:rsidRPr="0003503E" w:rsidRDefault="00734E4C" w:rsidP="00492EA8">
            <w:pPr>
              <w:jc w:val="right"/>
              <w:rPr>
                <w:color w:val="000000"/>
                <w:sz w:val="18"/>
                <w:szCs w:val="18"/>
              </w:rPr>
            </w:pPr>
          </w:p>
        </w:tc>
        <w:tc>
          <w:tcPr>
            <w:tcW w:w="584"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400564C4" w14:textId="77777777" w:rsidR="00734E4C" w:rsidRPr="0003503E" w:rsidRDefault="00734E4C" w:rsidP="00492EA8">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29F78627" w14:textId="77777777" w:rsidR="00734E4C" w:rsidRPr="0003503E" w:rsidRDefault="00734E4C" w:rsidP="00492EA8">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17E23C92" w14:textId="77777777" w:rsidR="00734E4C" w:rsidRPr="0003503E" w:rsidRDefault="00734E4C" w:rsidP="00492EA8">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5D3A5B91" w14:textId="77777777" w:rsidR="00734E4C" w:rsidRPr="0003503E" w:rsidRDefault="00734E4C" w:rsidP="00492EA8">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tcMar>
              <w:top w:w="0" w:type="dxa"/>
              <w:left w:w="28" w:type="dxa"/>
              <w:bottom w:w="0" w:type="dxa"/>
              <w:right w:w="28" w:type="dxa"/>
            </w:tcMar>
          </w:tcPr>
          <w:p w14:paraId="22D7C22A" w14:textId="77777777" w:rsidR="00734E4C" w:rsidRPr="0003503E" w:rsidRDefault="00734E4C" w:rsidP="00492EA8">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4A407BBB" w14:textId="77777777" w:rsidR="00734E4C" w:rsidRPr="0003503E" w:rsidRDefault="00734E4C" w:rsidP="00492EA8">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26D790CC" w14:textId="77777777" w:rsidR="00734E4C" w:rsidRPr="0003503E" w:rsidRDefault="00734E4C" w:rsidP="00492EA8">
            <w:pPr>
              <w:jc w:val="right"/>
              <w:rPr>
                <w:color w:val="000000"/>
                <w:sz w:val="18"/>
                <w:szCs w:val="18"/>
              </w:rPr>
            </w:pPr>
          </w:p>
        </w:tc>
        <w:tc>
          <w:tcPr>
            <w:tcW w:w="664"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36DAB01C" w14:textId="77777777" w:rsidR="00734E4C" w:rsidRPr="0003503E" w:rsidRDefault="00734E4C" w:rsidP="00492EA8">
            <w:pPr>
              <w:jc w:val="right"/>
              <w:rPr>
                <w:b/>
                <w:color w:val="000000"/>
                <w:sz w:val="18"/>
                <w:szCs w:val="18"/>
              </w:rPr>
            </w:pPr>
            <w:r>
              <w:rPr>
                <w:b/>
                <w:color w:val="000000"/>
                <w:sz w:val="18"/>
                <w:szCs w:val="18"/>
              </w:rPr>
              <w:t>65 800</w:t>
            </w:r>
          </w:p>
        </w:tc>
        <w:tc>
          <w:tcPr>
            <w:tcW w:w="612"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7EA2FF61" w14:textId="77777777" w:rsidR="00734E4C" w:rsidRPr="0003503E" w:rsidRDefault="00734E4C" w:rsidP="00492EA8">
            <w:pPr>
              <w:jc w:val="right"/>
              <w:rPr>
                <w:color w:val="000000"/>
                <w:sz w:val="18"/>
                <w:szCs w:val="18"/>
              </w:rPr>
            </w:pPr>
            <w:r>
              <w:rPr>
                <w:color w:val="000000"/>
                <w:sz w:val="18"/>
                <w:szCs w:val="18"/>
              </w:rPr>
              <w:t>16 450</w:t>
            </w:r>
          </w:p>
        </w:tc>
        <w:tc>
          <w:tcPr>
            <w:tcW w:w="718"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4E2C2AF1" w14:textId="77777777" w:rsidR="00734E4C" w:rsidRPr="0003503E" w:rsidRDefault="00734E4C" w:rsidP="00492EA8">
            <w:pPr>
              <w:jc w:val="right"/>
              <w:rPr>
                <w:color w:val="000000"/>
                <w:sz w:val="18"/>
                <w:szCs w:val="18"/>
              </w:rPr>
            </w:pPr>
            <w:r>
              <w:rPr>
                <w:color w:val="000000"/>
                <w:sz w:val="18"/>
                <w:szCs w:val="18"/>
              </w:rPr>
              <w:t>164 500</w:t>
            </w:r>
          </w:p>
        </w:tc>
      </w:tr>
      <w:tr w:rsidR="00734E4C" w:rsidRPr="0003503E" w14:paraId="18B76F7C" w14:textId="77777777" w:rsidTr="00314C30">
        <w:trPr>
          <w:trHeight w:val="210"/>
          <w:jc w:val="center"/>
        </w:trPr>
        <w:tc>
          <w:tcPr>
            <w:tcW w:w="490" w:type="dxa"/>
            <w:noWrap/>
            <w:tcMar>
              <w:top w:w="0" w:type="dxa"/>
              <w:left w:w="28" w:type="dxa"/>
              <w:bottom w:w="0" w:type="dxa"/>
              <w:right w:w="28" w:type="dxa"/>
            </w:tcMar>
            <w:hideMark/>
          </w:tcPr>
          <w:p w14:paraId="132478A8" w14:textId="77777777" w:rsidR="00734E4C" w:rsidRPr="0003503E" w:rsidRDefault="00734E4C" w:rsidP="00492EA8">
            <w:pPr>
              <w:keepNext/>
              <w:ind w:firstLine="96"/>
            </w:pPr>
            <w:r>
              <w:rPr>
                <w:sz w:val="16"/>
                <w:szCs w:val="16"/>
              </w:rPr>
              <w:t>3.2</w:t>
            </w:r>
          </w:p>
        </w:tc>
        <w:tc>
          <w:tcPr>
            <w:tcW w:w="1723" w:type="dxa"/>
            <w:tcMar>
              <w:top w:w="0" w:type="dxa"/>
              <w:left w:w="28" w:type="dxa"/>
              <w:bottom w:w="0" w:type="dxa"/>
              <w:right w:w="28" w:type="dxa"/>
            </w:tcMar>
            <w:hideMark/>
          </w:tcPr>
          <w:p w14:paraId="793587A4" w14:textId="77777777" w:rsidR="00734E4C" w:rsidRPr="0003503E" w:rsidRDefault="00734E4C" w:rsidP="00492EA8">
            <w:pPr>
              <w:keepNext/>
              <w:jc w:val="left"/>
              <w:rPr>
                <w:sz w:val="18"/>
                <w:szCs w:val="18"/>
              </w:rPr>
            </w:pPr>
            <w:r>
              <w:rPr>
                <w:sz w:val="18"/>
                <w:szCs w:val="18"/>
              </w:rPr>
              <w:t>Coûts d’appui ($ US)</w:t>
            </w:r>
          </w:p>
        </w:tc>
        <w:tc>
          <w:tcPr>
            <w:tcW w:w="583"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15A18AC7" w14:textId="77777777" w:rsidR="00734E4C" w:rsidRPr="0003503E" w:rsidRDefault="00734E4C" w:rsidP="00492EA8">
            <w:pPr>
              <w:jc w:val="right"/>
              <w:rPr>
                <w:color w:val="000000"/>
                <w:sz w:val="18"/>
                <w:szCs w:val="18"/>
              </w:rPr>
            </w:pPr>
            <w:r>
              <w:rPr>
                <w:color w:val="000000"/>
                <w:sz w:val="18"/>
                <w:szCs w:val="18"/>
              </w:rPr>
              <w:t>10 693</w:t>
            </w:r>
          </w:p>
        </w:tc>
        <w:tc>
          <w:tcPr>
            <w:tcW w:w="584"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7155B2DB" w14:textId="77777777" w:rsidR="00734E4C" w:rsidRPr="0003503E" w:rsidRDefault="00734E4C" w:rsidP="00492EA8">
            <w:pPr>
              <w:jc w:val="right"/>
              <w:rPr>
                <w:color w:val="000000"/>
                <w:sz w:val="18"/>
                <w:szCs w:val="18"/>
              </w:rPr>
            </w:pPr>
          </w:p>
        </w:tc>
        <w:tc>
          <w:tcPr>
            <w:tcW w:w="584"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7FBB6F18" w14:textId="77777777" w:rsidR="00734E4C" w:rsidRPr="0003503E" w:rsidRDefault="00734E4C" w:rsidP="00492EA8">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54A1EF84" w14:textId="77777777" w:rsidR="00734E4C" w:rsidRPr="0003503E" w:rsidRDefault="00734E4C" w:rsidP="00492EA8">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636E8846" w14:textId="77777777" w:rsidR="00734E4C" w:rsidRPr="0003503E" w:rsidRDefault="00734E4C" w:rsidP="00492EA8">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226EBFCC" w14:textId="77777777" w:rsidR="00734E4C" w:rsidRPr="0003503E" w:rsidRDefault="00734E4C" w:rsidP="00492EA8">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tcMar>
              <w:top w:w="0" w:type="dxa"/>
              <w:left w:w="28" w:type="dxa"/>
              <w:bottom w:w="0" w:type="dxa"/>
              <w:right w:w="28" w:type="dxa"/>
            </w:tcMar>
          </w:tcPr>
          <w:p w14:paraId="0DC0AAD6" w14:textId="77777777" w:rsidR="00734E4C" w:rsidRPr="0003503E" w:rsidRDefault="00734E4C" w:rsidP="00492EA8">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33669049" w14:textId="77777777" w:rsidR="00734E4C" w:rsidRPr="0003503E" w:rsidRDefault="00734E4C" w:rsidP="00492EA8">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00BA115F" w14:textId="77777777" w:rsidR="00734E4C" w:rsidRPr="0003503E" w:rsidRDefault="00734E4C" w:rsidP="00492EA8">
            <w:pPr>
              <w:jc w:val="right"/>
              <w:rPr>
                <w:color w:val="000000"/>
                <w:sz w:val="18"/>
                <w:szCs w:val="18"/>
              </w:rPr>
            </w:pPr>
          </w:p>
        </w:tc>
        <w:tc>
          <w:tcPr>
            <w:tcW w:w="664"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7D391C9C" w14:textId="77777777" w:rsidR="00734E4C" w:rsidRPr="0003503E" w:rsidRDefault="00734E4C" w:rsidP="00492EA8">
            <w:pPr>
              <w:jc w:val="right"/>
              <w:rPr>
                <w:b/>
                <w:color w:val="000000"/>
                <w:sz w:val="18"/>
                <w:szCs w:val="18"/>
              </w:rPr>
            </w:pPr>
            <w:r>
              <w:rPr>
                <w:b/>
                <w:color w:val="000000"/>
                <w:sz w:val="18"/>
                <w:szCs w:val="18"/>
              </w:rPr>
              <w:t>8 554</w:t>
            </w:r>
          </w:p>
        </w:tc>
        <w:tc>
          <w:tcPr>
            <w:tcW w:w="612"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130B883C" w14:textId="77777777" w:rsidR="00734E4C" w:rsidRPr="0003503E" w:rsidRDefault="00734E4C" w:rsidP="00492EA8">
            <w:pPr>
              <w:jc w:val="right"/>
              <w:rPr>
                <w:color w:val="000000"/>
                <w:sz w:val="18"/>
                <w:szCs w:val="18"/>
              </w:rPr>
            </w:pPr>
            <w:r>
              <w:rPr>
                <w:color w:val="000000"/>
                <w:sz w:val="18"/>
                <w:szCs w:val="18"/>
              </w:rPr>
              <w:t>2 138</w:t>
            </w:r>
          </w:p>
        </w:tc>
        <w:tc>
          <w:tcPr>
            <w:tcW w:w="718"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3C7612AE" w14:textId="77777777" w:rsidR="00734E4C" w:rsidRPr="0003503E" w:rsidRDefault="00734E4C" w:rsidP="00492EA8">
            <w:pPr>
              <w:jc w:val="right"/>
              <w:rPr>
                <w:color w:val="000000"/>
                <w:sz w:val="18"/>
                <w:szCs w:val="18"/>
              </w:rPr>
            </w:pPr>
            <w:r>
              <w:rPr>
                <w:color w:val="000000"/>
                <w:sz w:val="18"/>
                <w:szCs w:val="18"/>
              </w:rPr>
              <w:t>21 385</w:t>
            </w:r>
          </w:p>
        </w:tc>
      </w:tr>
      <w:tr w:rsidR="00734E4C" w:rsidRPr="0003503E" w14:paraId="2BEB6090" w14:textId="77777777" w:rsidTr="00314C30">
        <w:trPr>
          <w:trHeight w:val="210"/>
          <w:jc w:val="center"/>
        </w:trPr>
        <w:tc>
          <w:tcPr>
            <w:tcW w:w="490" w:type="dxa"/>
            <w:noWrap/>
            <w:tcMar>
              <w:top w:w="0" w:type="dxa"/>
              <w:left w:w="28" w:type="dxa"/>
              <w:bottom w:w="0" w:type="dxa"/>
              <w:right w:w="28" w:type="dxa"/>
            </w:tcMar>
            <w:hideMark/>
          </w:tcPr>
          <w:p w14:paraId="503CAC75" w14:textId="77777777" w:rsidR="00734E4C" w:rsidRPr="0003503E" w:rsidRDefault="00734E4C" w:rsidP="00492EA8">
            <w:pPr>
              <w:keepNext/>
              <w:ind w:firstLine="96"/>
            </w:pPr>
            <w:r>
              <w:rPr>
                <w:sz w:val="16"/>
                <w:szCs w:val="16"/>
              </w:rPr>
              <w:t>3.3</w:t>
            </w:r>
          </w:p>
        </w:tc>
        <w:tc>
          <w:tcPr>
            <w:tcW w:w="1723" w:type="dxa"/>
            <w:tcMar>
              <w:top w:w="0" w:type="dxa"/>
              <w:left w:w="28" w:type="dxa"/>
              <w:bottom w:w="0" w:type="dxa"/>
              <w:right w:w="28" w:type="dxa"/>
            </w:tcMar>
            <w:hideMark/>
          </w:tcPr>
          <w:p w14:paraId="42B0D820" w14:textId="77777777" w:rsidR="00734E4C" w:rsidRPr="0003503E" w:rsidRDefault="00734E4C" w:rsidP="00492EA8">
            <w:pPr>
              <w:keepNext/>
              <w:jc w:val="left"/>
              <w:rPr>
                <w:sz w:val="18"/>
                <w:szCs w:val="18"/>
              </w:rPr>
            </w:pPr>
            <w:r>
              <w:rPr>
                <w:sz w:val="18"/>
                <w:szCs w:val="18"/>
              </w:rPr>
              <w:t>Total des coûts convenus ($ US)</w:t>
            </w:r>
          </w:p>
        </w:tc>
        <w:tc>
          <w:tcPr>
            <w:tcW w:w="583"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15601261" w14:textId="77777777" w:rsidR="00734E4C" w:rsidRPr="0003503E" w:rsidRDefault="00734E4C" w:rsidP="00492EA8">
            <w:pPr>
              <w:jc w:val="right"/>
              <w:rPr>
                <w:color w:val="000000"/>
                <w:sz w:val="18"/>
                <w:szCs w:val="18"/>
              </w:rPr>
            </w:pPr>
            <w:r>
              <w:rPr>
                <w:color w:val="000000"/>
                <w:sz w:val="18"/>
                <w:szCs w:val="18"/>
              </w:rPr>
              <w:t>92 943</w:t>
            </w:r>
          </w:p>
        </w:tc>
        <w:tc>
          <w:tcPr>
            <w:tcW w:w="584"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21ADC30B" w14:textId="77777777" w:rsidR="00734E4C" w:rsidRPr="0003503E" w:rsidRDefault="00734E4C" w:rsidP="00492EA8">
            <w:pPr>
              <w:jc w:val="right"/>
              <w:rPr>
                <w:color w:val="000000"/>
                <w:sz w:val="18"/>
                <w:szCs w:val="18"/>
              </w:rPr>
            </w:pPr>
          </w:p>
        </w:tc>
        <w:tc>
          <w:tcPr>
            <w:tcW w:w="584"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2220527E" w14:textId="77777777" w:rsidR="00734E4C" w:rsidRPr="0003503E" w:rsidRDefault="00734E4C" w:rsidP="00492EA8">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4D0968EA" w14:textId="77777777" w:rsidR="00734E4C" w:rsidRPr="0003503E" w:rsidRDefault="00734E4C" w:rsidP="00492EA8">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7D0ABB3C" w14:textId="77777777" w:rsidR="00734E4C" w:rsidRPr="0003503E" w:rsidRDefault="00734E4C" w:rsidP="00492EA8">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1FBDF206" w14:textId="77777777" w:rsidR="00734E4C" w:rsidRPr="0003503E" w:rsidRDefault="00734E4C" w:rsidP="00492EA8">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tcMar>
              <w:top w:w="0" w:type="dxa"/>
              <w:left w:w="28" w:type="dxa"/>
              <w:bottom w:w="0" w:type="dxa"/>
              <w:right w:w="28" w:type="dxa"/>
            </w:tcMar>
          </w:tcPr>
          <w:p w14:paraId="54FA8228" w14:textId="77777777" w:rsidR="00734E4C" w:rsidRPr="0003503E" w:rsidRDefault="00734E4C" w:rsidP="00492EA8">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2960184B" w14:textId="77777777" w:rsidR="00734E4C" w:rsidRPr="0003503E" w:rsidRDefault="00734E4C" w:rsidP="00492EA8">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6690ADF7" w14:textId="77777777" w:rsidR="00734E4C" w:rsidRPr="0003503E" w:rsidRDefault="00734E4C" w:rsidP="00492EA8">
            <w:pPr>
              <w:jc w:val="right"/>
              <w:rPr>
                <w:color w:val="000000"/>
                <w:sz w:val="18"/>
                <w:szCs w:val="18"/>
              </w:rPr>
            </w:pPr>
          </w:p>
        </w:tc>
        <w:tc>
          <w:tcPr>
            <w:tcW w:w="664"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576EC9D3" w14:textId="77777777" w:rsidR="00734E4C" w:rsidRPr="0003503E" w:rsidRDefault="00734E4C" w:rsidP="00492EA8">
            <w:pPr>
              <w:jc w:val="right"/>
              <w:rPr>
                <w:b/>
                <w:color w:val="000000"/>
                <w:sz w:val="18"/>
                <w:szCs w:val="18"/>
              </w:rPr>
            </w:pPr>
            <w:r>
              <w:rPr>
                <w:b/>
                <w:color w:val="000000"/>
                <w:sz w:val="18"/>
                <w:szCs w:val="18"/>
              </w:rPr>
              <w:t>74 354</w:t>
            </w:r>
          </w:p>
        </w:tc>
        <w:tc>
          <w:tcPr>
            <w:tcW w:w="612"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50418F79" w14:textId="77777777" w:rsidR="00734E4C" w:rsidRPr="0003503E" w:rsidRDefault="00734E4C" w:rsidP="00492EA8">
            <w:pPr>
              <w:jc w:val="right"/>
              <w:rPr>
                <w:color w:val="000000"/>
                <w:sz w:val="18"/>
                <w:szCs w:val="18"/>
              </w:rPr>
            </w:pPr>
            <w:r>
              <w:rPr>
                <w:color w:val="000000"/>
                <w:sz w:val="18"/>
                <w:szCs w:val="18"/>
              </w:rPr>
              <w:t>18 588</w:t>
            </w:r>
          </w:p>
        </w:tc>
        <w:tc>
          <w:tcPr>
            <w:tcW w:w="718" w:type="dxa"/>
            <w:tcBorders>
              <w:top w:val="nil"/>
              <w:left w:val="nil"/>
              <w:bottom w:val="single" w:sz="4" w:space="0" w:color="auto"/>
              <w:right w:val="single" w:sz="4" w:space="0" w:color="auto"/>
            </w:tcBorders>
            <w:shd w:val="clear" w:color="auto" w:fill="auto"/>
            <w:tcMar>
              <w:top w:w="0" w:type="dxa"/>
              <w:left w:w="28" w:type="dxa"/>
              <w:bottom w:w="0" w:type="dxa"/>
              <w:right w:w="28" w:type="dxa"/>
            </w:tcMar>
            <w:hideMark/>
          </w:tcPr>
          <w:p w14:paraId="7E29FD67" w14:textId="77777777" w:rsidR="00734E4C" w:rsidRPr="0003503E" w:rsidRDefault="00734E4C" w:rsidP="00492EA8">
            <w:pPr>
              <w:jc w:val="right"/>
              <w:rPr>
                <w:color w:val="000000"/>
                <w:sz w:val="18"/>
                <w:szCs w:val="18"/>
              </w:rPr>
            </w:pPr>
            <w:r>
              <w:rPr>
                <w:color w:val="000000"/>
                <w:sz w:val="18"/>
                <w:szCs w:val="18"/>
              </w:rPr>
              <w:t>185 885</w:t>
            </w:r>
          </w:p>
        </w:tc>
      </w:tr>
      <w:tr w:rsidR="00734E4C" w:rsidRPr="0003503E" w14:paraId="39651EE6" w14:textId="77777777" w:rsidTr="00314C30">
        <w:trPr>
          <w:trHeight w:val="210"/>
          <w:jc w:val="center"/>
        </w:trPr>
        <w:tc>
          <w:tcPr>
            <w:tcW w:w="490" w:type="dxa"/>
            <w:noWrap/>
            <w:tcMar>
              <w:top w:w="0" w:type="dxa"/>
              <w:left w:w="28" w:type="dxa"/>
              <w:bottom w:w="0" w:type="dxa"/>
              <w:right w:w="28" w:type="dxa"/>
            </w:tcMar>
            <w:hideMark/>
          </w:tcPr>
          <w:p w14:paraId="7FE44FCC" w14:textId="77777777" w:rsidR="00734E4C" w:rsidRPr="0003503E" w:rsidRDefault="00734E4C" w:rsidP="00492EA8">
            <w:pPr>
              <w:keepNext/>
              <w:ind w:firstLine="96"/>
            </w:pPr>
            <w:r>
              <w:rPr>
                <w:sz w:val="16"/>
                <w:szCs w:val="16"/>
              </w:rPr>
              <w:t>4.1.1</w:t>
            </w:r>
          </w:p>
        </w:tc>
        <w:tc>
          <w:tcPr>
            <w:tcW w:w="8152" w:type="dxa"/>
            <w:gridSpan w:val="12"/>
            <w:tcMar>
              <w:top w:w="0" w:type="dxa"/>
              <w:left w:w="28" w:type="dxa"/>
              <w:bottom w:w="0" w:type="dxa"/>
              <w:right w:w="28" w:type="dxa"/>
            </w:tcMar>
            <w:hideMark/>
          </w:tcPr>
          <w:p w14:paraId="74D63CFE" w14:textId="77777777" w:rsidR="00734E4C" w:rsidRPr="0003503E" w:rsidRDefault="00734E4C" w:rsidP="00492EA8">
            <w:pPr>
              <w:keepNext/>
              <w:ind w:firstLine="96"/>
              <w:rPr>
                <w:sz w:val="18"/>
                <w:szCs w:val="18"/>
              </w:rPr>
            </w:pPr>
            <w:r>
              <w:rPr>
                <w:sz w:val="18"/>
                <w:szCs w:val="18"/>
              </w:rPr>
              <w:t>Élimination totale du HCFC-22 convenue à réaliser en vertu du présent Accord (tonnes PAO)</w:t>
            </w:r>
          </w:p>
        </w:tc>
        <w:tc>
          <w:tcPr>
            <w:tcW w:w="718" w:type="dxa"/>
            <w:tcMar>
              <w:top w:w="0" w:type="dxa"/>
              <w:left w:w="28" w:type="dxa"/>
              <w:bottom w:w="0" w:type="dxa"/>
              <w:right w:w="28" w:type="dxa"/>
            </w:tcMar>
            <w:vAlign w:val="center"/>
            <w:hideMark/>
          </w:tcPr>
          <w:p w14:paraId="59EECE17" w14:textId="77777777" w:rsidR="00734E4C" w:rsidRPr="0003503E" w:rsidRDefault="00734E4C" w:rsidP="00492EA8">
            <w:pPr>
              <w:keepNext/>
              <w:ind w:firstLine="96"/>
              <w:jc w:val="right"/>
              <w:rPr>
                <w:sz w:val="18"/>
                <w:szCs w:val="18"/>
              </w:rPr>
            </w:pPr>
            <w:r>
              <w:rPr>
                <w:sz w:val="18"/>
                <w:szCs w:val="18"/>
              </w:rPr>
              <w:t>0,08</w:t>
            </w:r>
          </w:p>
        </w:tc>
      </w:tr>
      <w:tr w:rsidR="00734E4C" w:rsidRPr="0003503E" w14:paraId="18453328" w14:textId="77777777" w:rsidTr="00314C30">
        <w:trPr>
          <w:trHeight w:val="210"/>
          <w:jc w:val="center"/>
        </w:trPr>
        <w:tc>
          <w:tcPr>
            <w:tcW w:w="490" w:type="dxa"/>
            <w:noWrap/>
            <w:tcMar>
              <w:top w:w="0" w:type="dxa"/>
              <w:left w:w="28" w:type="dxa"/>
              <w:bottom w:w="0" w:type="dxa"/>
              <w:right w:w="28" w:type="dxa"/>
            </w:tcMar>
            <w:hideMark/>
          </w:tcPr>
          <w:p w14:paraId="775F2F86" w14:textId="77777777" w:rsidR="00734E4C" w:rsidRPr="0003503E" w:rsidRDefault="00734E4C" w:rsidP="00492EA8">
            <w:pPr>
              <w:keepNext/>
              <w:ind w:firstLine="96"/>
            </w:pPr>
            <w:r>
              <w:rPr>
                <w:sz w:val="16"/>
                <w:szCs w:val="16"/>
              </w:rPr>
              <w:t>4.1.2</w:t>
            </w:r>
          </w:p>
        </w:tc>
        <w:tc>
          <w:tcPr>
            <w:tcW w:w="8152" w:type="dxa"/>
            <w:gridSpan w:val="12"/>
            <w:tcMar>
              <w:top w:w="0" w:type="dxa"/>
              <w:left w:w="28" w:type="dxa"/>
              <w:bottom w:w="0" w:type="dxa"/>
              <w:right w:w="28" w:type="dxa"/>
            </w:tcMar>
            <w:hideMark/>
          </w:tcPr>
          <w:p w14:paraId="19AF1CF2" w14:textId="77777777" w:rsidR="00734E4C" w:rsidRPr="0003503E" w:rsidRDefault="00734E4C" w:rsidP="00492EA8">
            <w:pPr>
              <w:keepNext/>
              <w:ind w:firstLine="96"/>
              <w:rPr>
                <w:sz w:val="18"/>
                <w:szCs w:val="18"/>
              </w:rPr>
            </w:pPr>
            <w:r>
              <w:rPr>
                <w:sz w:val="18"/>
                <w:szCs w:val="18"/>
              </w:rPr>
              <w:t>Élimination du HCFC-22 à réaliser dans le cadre de projets approuvés précédemment (tonnes PAO)</w:t>
            </w:r>
          </w:p>
        </w:tc>
        <w:tc>
          <w:tcPr>
            <w:tcW w:w="718" w:type="dxa"/>
            <w:tcMar>
              <w:top w:w="0" w:type="dxa"/>
              <w:left w:w="28" w:type="dxa"/>
              <w:bottom w:w="0" w:type="dxa"/>
              <w:right w:w="28" w:type="dxa"/>
            </w:tcMar>
            <w:hideMark/>
          </w:tcPr>
          <w:p w14:paraId="6DF62DBA" w14:textId="77777777" w:rsidR="00734E4C" w:rsidRPr="0003503E" w:rsidRDefault="00734E4C" w:rsidP="00492EA8">
            <w:pPr>
              <w:keepNext/>
              <w:ind w:firstLine="96"/>
              <w:jc w:val="right"/>
              <w:rPr>
                <w:sz w:val="18"/>
                <w:szCs w:val="18"/>
              </w:rPr>
            </w:pPr>
            <w:r>
              <w:rPr>
                <w:sz w:val="18"/>
                <w:szCs w:val="18"/>
              </w:rPr>
              <w:t>0</w:t>
            </w:r>
          </w:p>
        </w:tc>
      </w:tr>
      <w:tr w:rsidR="00734E4C" w:rsidRPr="0003503E" w14:paraId="655039AB" w14:textId="77777777" w:rsidTr="00314C30">
        <w:trPr>
          <w:trHeight w:val="210"/>
          <w:jc w:val="center"/>
        </w:trPr>
        <w:tc>
          <w:tcPr>
            <w:tcW w:w="490" w:type="dxa"/>
            <w:noWrap/>
            <w:tcMar>
              <w:top w:w="0" w:type="dxa"/>
              <w:left w:w="28" w:type="dxa"/>
              <w:bottom w:w="0" w:type="dxa"/>
              <w:right w:w="28" w:type="dxa"/>
            </w:tcMar>
            <w:hideMark/>
          </w:tcPr>
          <w:p w14:paraId="31C83F4D" w14:textId="77777777" w:rsidR="00734E4C" w:rsidRPr="0003503E" w:rsidRDefault="00734E4C" w:rsidP="00492EA8">
            <w:pPr>
              <w:keepNext/>
              <w:ind w:firstLine="96"/>
            </w:pPr>
            <w:r>
              <w:rPr>
                <w:sz w:val="16"/>
                <w:szCs w:val="16"/>
              </w:rPr>
              <w:t>4.1.3</w:t>
            </w:r>
          </w:p>
        </w:tc>
        <w:tc>
          <w:tcPr>
            <w:tcW w:w="8152" w:type="dxa"/>
            <w:gridSpan w:val="12"/>
            <w:tcMar>
              <w:top w:w="0" w:type="dxa"/>
              <w:left w:w="28" w:type="dxa"/>
              <w:bottom w:w="0" w:type="dxa"/>
              <w:right w:w="28" w:type="dxa"/>
            </w:tcMar>
            <w:hideMark/>
          </w:tcPr>
          <w:p w14:paraId="6A314888" w14:textId="77777777" w:rsidR="00734E4C" w:rsidRPr="0003503E" w:rsidRDefault="00734E4C" w:rsidP="00492EA8">
            <w:pPr>
              <w:keepNext/>
              <w:ind w:firstLine="96"/>
              <w:rPr>
                <w:sz w:val="18"/>
                <w:szCs w:val="18"/>
              </w:rPr>
            </w:pPr>
            <w:r>
              <w:rPr>
                <w:sz w:val="18"/>
                <w:szCs w:val="18"/>
              </w:rPr>
              <w:t>Consommation admissible restante de HCFC-22 (tonnes PAO)</w:t>
            </w:r>
          </w:p>
        </w:tc>
        <w:tc>
          <w:tcPr>
            <w:tcW w:w="718" w:type="dxa"/>
            <w:tcMar>
              <w:top w:w="0" w:type="dxa"/>
              <w:left w:w="28" w:type="dxa"/>
              <w:bottom w:w="0" w:type="dxa"/>
              <w:right w:w="28" w:type="dxa"/>
            </w:tcMar>
            <w:hideMark/>
          </w:tcPr>
          <w:p w14:paraId="7FB88842" w14:textId="77777777" w:rsidR="00734E4C" w:rsidRPr="0003503E" w:rsidRDefault="00734E4C" w:rsidP="00492EA8">
            <w:pPr>
              <w:keepNext/>
              <w:ind w:firstLine="96"/>
              <w:jc w:val="right"/>
              <w:rPr>
                <w:sz w:val="18"/>
                <w:szCs w:val="18"/>
              </w:rPr>
            </w:pPr>
            <w:r>
              <w:rPr>
                <w:sz w:val="18"/>
                <w:szCs w:val="18"/>
              </w:rPr>
              <w:t>0,15</w:t>
            </w:r>
          </w:p>
        </w:tc>
      </w:tr>
    </w:tbl>
    <w:p w14:paraId="51C15253" w14:textId="77777777" w:rsidR="00734E4C" w:rsidRPr="0003503E" w:rsidRDefault="00734E4C" w:rsidP="00492EA8"/>
    <w:p w14:paraId="00802800" w14:textId="77777777" w:rsidR="00734E4C" w:rsidRPr="0003503E" w:rsidRDefault="00734E4C" w:rsidP="00492EA8"/>
    <w:p w14:paraId="56960244" w14:textId="72CCD22F" w:rsidR="00052C5C" w:rsidRDefault="00052C5C" w:rsidP="00492EA8">
      <w:pPr>
        <w:tabs>
          <w:tab w:val="left" w:pos="828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052C5C" w:rsidRPr="00052C5C" w14:paraId="4A6571BF" w14:textId="77777777" w:rsidTr="00734E4C">
        <w:tc>
          <w:tcPr>
            <w:tcW w:w="1871" w:type="dxa"/>
          </w:tcPr>
          <w:p w14:paraId="53E1C5E4" w14:textId="77777777" w:rsidR="00052C5C" w:rsidRPr="00052C5C" w:rsidRDefault="00052C5C" w:rsidP="00492EA8">
            <w:pPr>
              <w:tabs>
                <w:tab w:val="left" w:pos="8280"/>
              </w:tabs>
            </w:pPr>
          </w:p>
        </w:tc>
        <w:tc>
          <w:tcPr>
            <w:tcW w:w="1872" w:type="dxa"/>
          </w:tcPr>
          <w:p w14:paraId="177197D8" w14:textId="77777777" w:rsidR="00052C5C" w:rsidRPr="00052C5C" w:rsidRDefault="00052C5C" w:rsidP="00492EA8">
            <w:pPr>
              <w:tabs>
                <w:tab w:val="left" w:pos="8280"/>
              </w:tabs>
            </w:pPr>
          </w:p>
        </w:tc>
        <w:tc>
          <w:tcPr>
            <w:tcW w:w="1872" w:type="dxa"/>
            <w:tcBorders>
              <w:bottom w:val="single" w:sz="4" w:space="0" w:color="auto"/>
            </w:tcBorders>
          </w:tcPr>
          <w:p w14:paraId="7BDAEF0A" w14:textId="77777777" w:rsidR="00052C5C" w:rsidRPr="00052C5C" w:rsidRDefault="00052C5C" w:rsidP="00492EA8">
            <w:pPr>
              <w:tabs>
                <w:tab w:val="left" w:pos="8280"/>
              </w:tabs>
            </w:pPr>
          </w:p>
        </w:tc>
        <w:tc>
          <w:tcPr>
            <w:tcW w:w="1872" w:type="dxa"/>
          </w:tcPr>
          <w:p w14:paraId="19114DF8" w14:textId="77777777" w:rsidR="00052C5C" w:rsidRPr="00052C5C" w:rsidRDefault="00052C5C" w:rsidP="00492EA8">
            <w:pPr>
              <w:tabs>
                <w:tab w:val="left" w:pos="8280"/>
              </w:tabs>
            </w:pPr>
          </w:p>
        </w:tc>
        <w:tc>
          <w:tcPr>
            <w:tcW w:w="1873" w:type="dxa"/>
          </w:tcPr>
          <w:p w14:paraId="47E8D5F8" w14:textId="77777777" w:rsidR="00052C5C" w:rsidRPr="00052C5C" w:rsidRDefault="00052C5C" w:rsidP="00492EA8">
            <w:pPr>
              <w:tabs>
                <w:tab w:val="left" w:pos="8280"/>
              </w:tabs>
            </w:pPr>
          </w:p>
        </w:tc>
      </w:tr>
    </w:tbl>
    <w:p w14:paraId="30C98062" w14:textId="77777777" w:rsidR="00052C5C" w:rsidRPr="001C3C80" w:rsidRDefault="00052C5C" w:rsidP="00492EA8">
      <w:pPr>
        <w:tabs>
          <w:tab w:val="left" w:pos="8280"/>
        </w:tabs>
      </w:pPr>
    </w:p>
    <w:sectPr w:rsidR="00052C5C" w:rsidRPr="001C3C80" w:rsidSect="00734E4C">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82120" w14:textId="77777777" w:rsidR="000F7EE6" w:rsidRDefault="000F7EE6" w:rsidP="004A504B">
      <w:r>
        <w:separator/>
      </w:r>
    </w:p>
  </w:endnote>
  <w:endnote w:type="continuationSeparator" w:id="0">
    <w:p w14:paraId="359E8B40" w14:textId="77777777" w:rsidR="000F7EE6" w:rsidRDefault="000F7EE6"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28F22" w14:textId="002441A4" w:rsidR="005670B4" w:rsidRPr="0033525D" w:rsidRDefault="005670B4">
    <w:pPr>
      <w:jc w:val="center"/>
    </w:pPr>
    <w:r>
      <w:fldChar w:fldCharType="begin"/>
    </w:r>
    <w:r>
      <w:instrText xml:space="preserve"> PAGE </w:instrText>
    </w:r>
    <w:r>
      <w:fldChar w:fldCharType="separate"/>
    </w:r>
    <w:r w:rsidR="00047D7F">
      <w:rPr>
        <w:noProof/>
      </w:rPr>
      <w:t>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7958E" w14:textId="0BB9D969" w:rsidR="005670B4" w:rsidRPr="0033525D" w:rsidRDefault="005670B4">
    <w:pPr>
      <w:jc w:val="center"/>
    </w:pPr>
    <w:r>
      <w:fldChar w:fldCharType="begin"/>
    </w:r>
    <w:r>
      <w:instrText xml:space="preserve"> PAGE </w:instrText>
    </w:r>
    <w:r>
      <w:fldChar w:fldCharType="separate"/>
    </w:r>
    <w:r w:rsidR="00047D7F">
      <w:rPr>
        <w:noProof/>
      </w:rPr>
      <w:t>3</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78EB5" w14:textId="77777777" w:rsidR="0005355B" w:rsidRDefault="005670B4" w:rsidP="0005355B">
    <w:pPr>
      <w:pBdr>
        <w:top w:val="single" w:sz="4" w:space="1" w:color="auto"/>
        <w:left w:val="single" w:sz="4" w:space="4" w:color="auto"/>
        <w:bottom w:val="single" w:sz="4" w:space="1" w:color="auto"/>
        <w:right w:val="single" w:sz="4" w:space="4" w:color="auto"/>
      </w:pBdr>
      <w:jc w:val="center"/>
      <w:rPr>
        <w:sz w:val="18"/>
        <w:szCs w:val="18"/>
      </w:rPr>
    </w:pPr>
    <w:r>
      <w:rPr>
        <w:sz w:val="18"/>
        <w:szCs w:val="18"/>
      </w:rPr>
      <w:t>Les documents de présession du Comité exécutif du Fonds multilatéral aux fin</w:t>
    </w:r>
    <w:r w:rsidR="0005355B">
      <w:rPr>
        <w:sz w:val="18"/>
        <w:szCs w:val="18"/>
      </w:rPr>
      <w:t>s d’application du Protocole de</w:t>
    </w:r>
  </w:p>
  <w:p w14:paraId="710A8866" w14:textId="77777777" w:rsidR="005670B4" w:rsidRDefault="005670B4" w:rsidP="0005355B">
    <w:pPr>
      <w:pBdr>
        <w:top w:val="single" w:sz="4" w:space="1" w:color="auto"/>
        <w:left w:val="single" w:sz="4" w:space="4" w:color="auto"/>
        <w:bottom w:val="single" w:sz="4" w:space="1" w:color="auto"/>
        <w:right w:val="single" w:sz="4" w:space="4" w:color="auto"/>
      </w:pBdr>
      <w:jc w:val="center"/>
      <w:rPr>
        <w:sz w:val="18"/>
        <w:szCs w:val="18"/>
      </w:rPr>
    </w:pPr>
    <w:r>
      <w:rPr>
        <w:sz w:val="18"/>
        <w:szCs w:val="18"/>
      </w:rPr>
      <w:t>Montréal sont présentés sous réserve des décisions pouvant être prises par le Comité exécutif après leur publication.</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0C30F" w14:textId="77777777" w:rsidR="005670B4" w:rsidRPr="0033525D" w:rsidRDefault="005670B4">
    <w:pPr>
      <w:jc w:val="center"/>
    </w:pPr>
    <w:r>
      <w:fldChar w:fldCharType="begin"/>
    </w:r>
    <w:r>
      <w:instrText xml:space="preserve"> PAGE </w:instrText>
    </w:r>
    <w:r>
      <w:fldChar w:fldCharType="separate"/>
    </w:r>
    <w:r>
      <w:t>10</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43375" w14:textId="77777777" w:rsidR="005670B4" w:rsidRPr="0033525D" w:rsidRDefault="005670B4">
    <w:pPr>
      <w:jc w:val="center"/>
    </w:pPr>
    <w:r>
      <w:fldChar w:fldCharType="begin"/>
    </w:r>
    <w:r>
      <w:instrText xml:space="preserve"> PAGE </w:instrText>
    </w:r>
    <w:r>
      <w:fldChar w:fldCharType="separate"/>
    </w:r>
    <w:r>
      <w:t>9</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562917"/>
      <w:docPartObj>
        <w:docPartGallery w:val="Page Numbers (Bottom of Page)"/>
        <w:docPartUnique/>
      </w:docPartObj>
    </w:sdtPr>
    <w:sdtEndPr>
      <w:rPr>
        <w:noProof/>
      </w:rPr>
    </w:sdtEndPr>
    <w:sdtContent>
      <w:p w14:paraId="5541398B" w14:textId="5F207F5F" w:rsidR="005670B4" w:rsidRDefault="005670B4">
        <w:pPr>
          <w:pStyle w:val="Footer"/>
          <w:jc w:val="center"/>
        </w:pPr>
        <w:r>
          <w:fldChar w:fldCharType="begin"/>
        </w:r>
        <w:r>
          <w:instrText xml:space="preserve"> PAGE   \* MERGEFORMAT </w:instrText>
        </w:r>
        <w:r>
          <w:fldChar w:fldCharType="separate"/>
        </w:r>
        <w:r w:rsidR="00047D7F">
          <w:rPr>
            <w:noProof/>
          </w:rPr>
          <w:t>1</w:t>
        </w:r>
        <w:r>
          <w:fldChar w:fldCharType="end"/>
        </w:r>
      </w:p>
    </w:sdtContent>
  </w:sdt>
  <w:p w14:paraId="42497CE3" w14:textId="77777777" w:rsidR="005670B4" w:rsidRPr="00734E4C" w:rsidRDefault="005670B4" w:rsidP="00734E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AEEB3" w14:textId="77777777" w:rsidR="000F7EE6" w:rsidRDefault="000F7EE6" w:rsidP="004A504B">
      <w:r>
        <w:separator/>
      </w:r>
    </w:p>
  </w:footnote>
  <w:footnote w:type="continuationSeparator" w:id="0">
    <w:p w14:paraId="57AF68F7" w14:textId="77777777" w:rsidR="000F7EE6" w:rsidRDefault="000F7EE6" w:rsidP="004A504B">
      <w:r>
        <w:continuationSeparator/>
      </w:r>
    </w:p>
  </w:footnote>
  <w:footnote w:id="1">
    <w:p w14:paraId="43C0316C" w14:textId="77777777" w:rsidR="005670B4" w:rsidRPr="00FE3307" w:rsidRDefault="005670B4" w:rsidP="005670B4">
      <w:pPr>
        <w:pStyle w:val="FootnoteText"/>
      </w:pPr>
      <w:r>
        <w:rPr>
          <w:rStyle w:val="FootnoteReference"/>
        </w:rPr>
        <w:footnoteRef/>
      </w:r>
      <w:r>
        <w:t xml:space="preserve"> Conformément à la lettre du 20 septembre 2019 adressée au Secrétariat par le ministère de l’Environnement, de la Résilience climatique, de la Gestion des catastrophes et du Renouvellement urbain du Commonwealth de la Dominique.</w:t>
      </w:r>
    </w:p>
  </w:footnote>
  <w:footnote w:id="2">
    <w:p w14:paraId="3F34E2BD" w14:textId="77777777" w:rsidR="00CE2F15" w:rsidRPr="00CE2F15" w:rsidRDefault="00CE2F15">
      <w:pPr>
        <w:pStyle w:val="FootnoteText"/>
      </w:pPr>
      <w:r>
        <w:rPr>
          <w:rStyle w:val="FootnoteReference"/>
        </w:rPr>
        <w:footnoteRef/>
      </w:r>
      <w:r>
        <w:t xml:space="preserve"> Décisions 72/41 et 73/34.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C2BCF" w14:textId="77777777" w:rsidR="005670B4" w:rsidRPr="0033525D" w:rsidRDefault="000F7EE6">
    <w:fldSimple w:instr=" DOCPROPERTY &quot;Document number&quot;  \* MERGEFORMAT ">
      <w:r w:rsidR="0035214E">
        <w:t>UNEP/OzL.Pro/ExCom/84/48</w:t>
      </w:r>
    </w:fldSimple>
  </w:p>
  <w:p w14:paraId="546BA631" w14:textId="4E415041" w:rsidR="005670B4" w:rsidRDefault="005670B4"/>
  <w:p w14:paraId="3AB0B1F1" w14:textId="77777777" w:rsidR="000369B4" w:rsidRPr="0033525D" w:rsidRDefault="000369B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B661C" w14:textId="77777777" w:rsidR="005670B4" w:rsidRPr="0033525D" w:rsidRDefault="000F7EE6">
    <w:pPr>
      <w:jc w:val="right"/>
    </w:pPr>
    <w:fldSimple w:instr=" DOCPROPERTY &quot;Document number&quot;  \* MERGEFORMAT ">
      <w:r w:rsidR="0035214E">
        <w:t>UNEP/OzL.Pro/ExCom/84/48</w:t>
      </w:r>
    </w:fldSimple>
  </w:p>
  <w:p w14:paraId="09190BC7" w14:textId="77777777" w:rsidR="005670B4" w:rsidRPr="0033525D" w:rsidRDefault="005670B4"/>
  <w:p w14:paraId="20E58F56" w14:textId="77777777" w:rsidR="005670B4" w:rsidRPr="0033525D" w:rsidRDefault="005670B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2CDDE" w14:textId="77777777" w:rsidR="005670B4" w:rsidRPr="0033525D" w:rsidRDefault="000F7EE6">
    <w:fldSimple w:instr=" DOCPROPERTY &quot;Document number&quot;  \* MERGEFORMAT ">
      <w:r w:rsidR="0035214E">
        <w:t>UNEP/OzL.Pro/ExCom/84/48</w:t>
      </w:r>
    </w:fldSimple>
  </w:p>
  <w:p w14:paraId="094075D9" w14:textId="77777777" w:rsidR="005670B4" w:rsidRPr="0033525D" w:rsidRDefault="005670B4"/>
  <w:p w14:paraId="08F5C227" w14:textId="77777777" w:rsidR="005670B4" w:rsidRPr="0033525D" w:rsidRDefault="005670B4"/>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82DFF" w14:textId="77777777" w:rsidR="005670B4" w:rsidRPr="0033525D" w:rsidRDefault="000F7EE6">
    <w:pPr>
      <w:jc w:val="right"/>
    </w:pPr>
    <w:fldSimple w:instr=" DOCPROPERTY &quot;Document number&quot;  \* MERGEFORMAT ">
      <w:r w:rsidR="0035214E">
        <w:t>UNEP/OzL.Pro/ExCom/84/48</w:t>
      </w:r>
    </w:fldSimple>
  </w:p>
  <w:p w14:paraId="71098A11" w14:textId="77777777" w:rsidR="005670B4" w:rsidRPr="0033525D" w:rsidRDefault="005670B4"/>
  <w:p w14:paraId="1602A6BD" w14:textId="77777777" w:rsidR="005670B4" w:rsidRPr="0033525D" w:rsidRDefault="005670B4">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B92DF" w14:textId="77777777" w:rsidR="005670B4" w:rsidRPr="0005355B" w:rsidRDefault="005670B4" w:rsidP="00734E4C">
    <w:pPr>
      <w:pStyle w:val="Header"/>
      <w:jc w:val="right"/>
      <w:rPr>
        <w:lang w:val="en-CA"/>
      </w:rPr>
    </w:pPr>
    <w:r w:rsidRPr="0005355B">
      <w:rPr>
        <w:lang w:val="en-CA"/>
      </w:rPr>
      <w:t>UNEP/OzL.Pro/ExCom/84/48</w:t>
    </w:r>
  </w:p>
  <w:p w14:paraId="484E445C" w14:textId="77777777" w:rsidR="005670B4" w:rsidRPr="0005355B" w:rsidRDefault="005670B4" w:rsidP="00734E4C">
    <w:pPr>
      <w:pStyle w:val="Header"/>
      <w:jc w:val="right"/>
      <w:rPr>
        <w:lang w:val="en-CA"/>
      </w:rPr>
    </w:pPr>
    <w:r w:rsidRPr="0005355B">
      <w:rPr>
        <w:lang w:val="en-CA"/>
      </w:rPr>
      <w:t>Annexe I</w:t>
    </w:r>
  </w:p>
  <w:p w14:paraId="7DA164F8" w14:textId="77777777" w:rsidR="005670B4" w:rsidRPr="0005355B" w:rsidRDefault="005670B4" w:rsidP="00734E4C">
    <w:pPr>
      <w:pStyle w:val="Header"/>
      <w:jc w:val="right"/>
      <w:rPr>
        <w:lang w:val="en-C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6EE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9E5E2D02"/>
    <w:lvl w:ilvl="0">
      <w:start w:val="1"/>
      <w:numFmt w:val="decimal"/>
      <w:pStyle w:val="Heading1"/>
      <w:lvlText w:val="%1."/>
      <w:lvlJc w:val="left"/>
      <w:pPr>
        <w:tabs>
          <w:tab w:val="num" w:pos="0"/>
        </w:tabs>
        <w:ind w:left="0" w:firstLine="0"/>
      </w:pPr>
      <w:rPr>
        <w:i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F195A0E"/>
    <w:multiLevelType w:val="hybridMultilevel"/>
    <w:tmpl w:val="02B8BF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3FAC67B6"/>
    <w:multiLevelType w:val="hybridMultilevel"/>
    <w:tmpl w:val="77EAAF62"/>
    <w:lvl w:ilvl="0" w:tplc="960A6F04">
      <w:start w:val="1"/>
      <w:numFmt w:val="bullet"/>
      <w:lvlText w:val=""/>
      <w:lvlJc w:val="left"/>
      <w:pPr>
        <w:tabs>
          <w:tab w:val="num" w:pos="720"/>
        </w:tabs>
        <w:ind w:left="720" w:hanging="363"/>
      </w:pPr>
      <w:rPr>
        <w:rFonts w:ascii="Symbol" w:hAnsi="Symbol" w:hint="default"/>
      </w:rPr>
    </w:lvl>
    <w:lvl w:ilvl="1" w:tplc="10090003" w:tentative="1">
      <w:start w:val="1"/>
      <w:numFmt w:val="bullet"/>
      <w:lvlText w:val="o"/>
      <w:lvlJc w:val="left"/>
      <w:pPr>
        <w:ind w:left="2272" w:hanging="360"/>
      </w:pPr>
      <w:rPr>
        <w:rFonts w:ascii="Courier New" w:hAnsi="Courier New" w:cs="Courier New" w:hint="default"/>
      </w:rPr>
    </w:lvl>
    <w:lvl w:ilvl="2" w:tplc="10090005" w:tentative="1">
      <w:start w:val="1"/>
      <w:numFmt w:val="bullet"/>
      <w:lvlText w:val=""/>
      <w:lvlJc w:val="left"/>
      <w:pPr>
        <w:ind w:left="2992" w:hanging="360"/>
      </w:pPr>
      <w:rPr>
        <w:rFonts w:ascii="Wingdings" w:hAnsi="Wingdings" w:hint="default"/>
      </w:rPr>
    </w:lvl>
    <w:lvl w:ilvl="3" w:tplc="10090001" w:tentative="1">
      <w:start w:val="1"/>
      <w:numFmt w:val="bullet"/>
      <w:lvlText w:val=""/>
      <w:lvlJc w:val="left"/>
      <w:pPr>
        <w:ind w:left="3712" w:hanging="360"/>
      </w:pPr>
      <w:rPr>
        <w:rFonts w:ascii="Symbol" w:hAnsi="Symbol" w:hint="default"/>
      </w:rPr>
    </w:lvl>
    <w:lvl w:ilvl="4" w:tplc="10090003" w:tentative="1">
      <w:start w:val="1"/>
      <w:numFmt w:val="bullet"/>
      <w:lvlText w:val="o"/>
      <w:lvlJc w:val="left"/>
      <w:pPr>
        <w:ind w:left="4432" w:hanging="360"/>
      </w:pPr>
      <w:rPr>
        <w:rFonts w:ascii="Courier New" w:hAnsi="Courier New" w:cs="Courier New" w:hint="default"/>
      </w:rPr>
    </w:lvl>
    <w:lvl w:ilvl="5" w:tplc="10090005" w:tentative="1">
      <w:start w:val="1"/>
      <w:numFmt w:val="bullet"/>
      <w:lvlText w:val=""/>
      <w:lvlJc w:val="left"/>
      <w:pPr>
        <w:ind w:left="5152" w:hanging="360"/>
      </w:pPr>
      <w:rPr>
        <w:rFonts w:ascii="Wingdings" w:hAnsi="Wingdings" w:hint="default"/>
      </w:rPr>
    </w:lvl>
    <w:lvl w:ilvl="6" w:tplc="10090001" w:tentative="1">
      <w:start w:val="1"/>
      <w:numFmt w:val="bullet"/>
      <w:lvlText w:val=""/>
      <w:lvlJc w:val="left"/>
      <w:pPr>
        <w:ind w:left="5872" w:hanging="360"/>
      </w:pPr>
      <w:rPr>
        <w:rFonts w:ascii="Symbol" w:hAnsi="Symbol" w:hint="default"/>
      </w:rPr>
    </w:lvl>
    <w:lvl w:ilvl="7" w:tplc="10090003" w:tentative="1">
      <w:start w:val="1"/>
      <w:numFmt w:val="bullet"/>
      <w:lvlText w:val="o"/>
      <w:lvlJc w:val="left"/>
      <w:pPr>
        <w:ind w:left="6592" w:hanging="360"/>
      </w:pPr>
      <w:rPr>
        <w:rFonts w:ascii="Courier New" w:hAnsi="Courier New" w:cs="Courier New" w:hint="default"/>
      </w:rPr>
    </w:lvl>
    <w:lvl w:ilvl="8" w:tplc="10090005" w:tentative="1">
      <w:start w:val="1"/>
      <w:numFmt w:val="bullet"/>
      <w:lvlText w:val=""/>
      <w:lvlJc w:val="left"/>
      <w:pPr>
        <w:ind w:left="7312" w:hanging="360"/>
      </w:pPr>
      <w:rPr>
        <w:rFonts w:ascii="Wingdings" w:hAnsi="Wingdings" w:hint="default"/>
      </w:rPr>
    </w:lvl>
  </w:abstractNum>
  <w:abstractNum w:abstractNumId="15" w15:restartNumberingAfterBreak="0">
    <w:nsid w:val="44303866"/>
    <w:multiLevelType w:val="hybridMultilevel"/>
    <w:tmpl w:val="E7CAC968"/>
    <w:lvl w:ilvl="0" w:tplc="1FA8B720">
      <w:start w:val="1"/>
      <w:numFmt w:val="lowerLetter"/>
      <w:lvlText w:val="%1)"/>
      <w:lvlJc w:val="left"/>
      <w:pPr>
        <w:tabs>
          <w:tab w:val="num" w:pos="1080"/>
        </w:tabs>
        <w:ind w:left="1080" w:hanging="360"/>
      </w:pPr>
      <w:rPr>
        <w:rFonts w:hint="default"/>
      </w:rPr>
    </w:lvl>
    <w:lvl w:ilvl="1" w:tplc="3190B2CA">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FD4054B"/>
    <w:multiLevelType w:val="hybridMultilevel"/>
    <w:tmpl w:val="1B68DD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7"/>
  </w:num>
  <w:num w:numId="19">
    <w:abstractNumId w:val="19"/>
  </w:num>
  <w:num w:numId="20">
    <w:abstractNumId w:val="13"/>
  </w:num>
  <w:num w:numId="21">
    <w:abstractNumId w:val="18"/>
  </w:num>
  <w:num w:numId="22">
    <w:abstractNumId w:val="15"/>
  </w:num>
  <w:num w:numId="23">
    <w:abstractNumId w:val="1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734E4C"/>
    <w:rsid w:val="00000FED"/>
    <w:rsid w:val="0000434E"/>
    <w:rsid w:val="00017C3F"/>
    <w:rsid w:val="000211A9"/>
    <w:rsid w:val="00031260"/>
    <w:rsid w:val="0003503E"/>
    <w:rsid w:val="0003681A"/>
    <w:rsid w:val="000369B4"/>
    <w:rsid w:val="00042060"/>
    <w:rsid w:val="00047D7F"/>
    <w:rsid w:val="00052C5C"/>
    <w:rsid w:val="0005355B"/>
    <w:rsid w:val="00061EC2"/>
    <w:rsid w:val="00080ED0"/>
    <w:rsid w:val="00085B8F"/>
    <w:rsid w:val="00090481"/>
    <w:rsid w:val="00092009"/>
    <w:rsid w:val="000A6C26"/>
    <w:rsid w:val="000D52A4"/>
    <w:rsid w:val="000E07BC"/>
    <w:rsid w:val="000E59CB"/>
    <w:rsid w:val="000F1CD4"/>
    <w:rsid w:val="000F1D72"/>
    <w:rsid w:val="000F4103"/>
    <w:rsid w:val="000F70A7"/>
    <w:rsid w:val="000F7EE6"/>
    <w:rsid w:val="00113CCA"/>
    <w:rsid w:val="00122F25"/>
    <w:rsid w:val="00135980"/>
    <w:rsid w:val="00164719"/>
    <w:rsid w:val="00166FC4"/>
    <w:rsid w:val="001677AC"/>
    <w:rsid w:val="00175666"/>
    <w:rsid w:val="001804EA"/>
    <w:rsid w:val="00190A61"/>
    <w:rsid w:val="001A3342"/>
    <w:rsid w:val="001A3E3D"/>
    <w:rsid w:val="001A7049"/>
    <w:rsid w:val="001B1D88"/>
    <w:rsid w:val="001B1E40"/>
    <w:rsid w:val="001B6487"/>
    <w:rsid w:val="001C3C80"/>
    <w:rsid w:val="001C764E"/>
    <w:rsid w:val="001E1052"/>
    <w:rsid w:val="001E21B1"/>
    <w:rsid w:val="001E2F93"/>
    <w:rsid w:val="001E516F"/>
    <w:rsid w:val="001E61E5"/>
    <w:rsid w:val="001F2159"/>
    <w:rsid w:val="00213B82"/>
    <w:rsid w:val="00214863"/>
    <w:rsid w:val="002156B4"/>
    <w:rsid w:val="00253222"/>
    <w:rsid w:val="00262847"/>
    <w:rsid w:val="00264ACF"/>
    <w:rsid w:val="00281BB2"/>
    <w:rsid w:val="002862D5"/>
    <w:rsid w:val="00286650"/>
    <w:rsid w:val="002B08D9"/>
    <w:rsid w:val="002B72E9"/>
    <w:rsid w:val="002C7998"/>
    <w:rsid w:val="002F1E53"/>
    <w:rsid w:val="002F263D"/>
    <w:rsid w:val="002F2CAA"/>
    <w:rsid w:val="0030052C"/>
    <w:rsid w:val="00314C30"/>
    <w:rsid w:val="003306E1"/>
    <w:rsid w:val="003320E4"/>
    <w:rsid w:val="0033525D"/>
    <w:rsid w:val="003414F3"/>
    <w:rsid w:val="00346674"/>
    <w:rsid w:val="003512CB"/>
    <w:rsid w:val="0035214E"/>
    <w:rsid w:val="0035613E"/>
    <w:rsid w:val="00363EE9"/>
    <w:rsid w:val="003641FB"/>
    <w:rsid w:val="0036427C"/>
    <w:rsid w:val="00366505"/>
    <w:rsid w:val="0037015B"/>
    <w:rsid w:val="00376128"/>
    <w:rsid w:val="0037742E"/>
    <w:rsid w:val="00377D56"/>
    <w:rsid w:val="0038245A"/>
    <w:rsid w:val="003840E6"/>
    <w:rsid w:val="003844F6"/>
    <w:rsid w:val="00385613"/>
    <w:rsid w:val="00385CFC"/>
    <w:rsid w:val="003919B9"/>
    <w:rsid w:val="0039337A"/>
    <w:rsid w:val="003A3189"/>
    <w:rsid w:val="003A3CA7"/>
    <w:rsid w:val="003B33BD"/>
    <w:rsid w:val="003B569D"/>
    <w:rsid w:val="003B5BC6"/>
    <w:rsid w:val="003C0C29"/>
    <w:rsid w:val="003C3C0E"/>
    <w:rsid w:val="003D4FAC"/>
    <w:rsid w:val="003E7906"/>
    <w:rsid w:val="003F3C50"/>
    <w:rsid w:val="003F5FBE"/>
    <w:rsid w:val="00406A6A"/>
    <w:rsid w:val="00406B22"/>
    <w:rsid w:val="004174B4"/>
    <w:rsid w:val="004261C6"/>
    <w:rsid w:val="004328A7"/>
    <w:rsid w:val="00434C74"/>
    <w:rsid w:val="00441E99"/>
    <w:rsid w:val="00456EB4"/>
    <w:rsid w:val="004718F3"/>
    <w:rsid w:val="004731B8"/>
    <w:rsid w:val="0047322A"/>
    <w:rsid w:val="00475040"/>
    <w:rsid w:val="00492EA8"/>
    <w:rsid w:val="00493D40"/>
    <w:rsid w:val="004967B6"/>
    <w:rsid w:val="004A504B"/>
    <w:rsid w:val="004A6911"/>
    <w:rsid w:val="004B54E0"/>
    <w:rsid w:val="004B7384"/>
    <w:rsid w:val="004C4269"/>
    <w:rsid w:val="004D6236"/>
    <w:rsid w:val="004D7F90"/>
    <w:rsid w:val="004E4DBB"/>
    <w:rsid w:val="004E4E41"/>
    <w:rsid w:val="004E7F9C"/>
    <w:rsid w:val="004F18A7"/>
    <w:rsid w:val="004F3493"/>
    <w:rsid w:val="004F5143"/>
    <w:rsid w:val="00512B09"/>
    <w:rsid w:val="00515B2F"/>
    <w:rsid w:val="00533796"/>
    <w:rsid w:val="00555D75"/>
    <w:rsid w:val="00560DF0"/>
    <w:rsid w:val="005670B4"/>
    <w:rsid w:val="0056759C"/>
    <w:rsid w:val="0059513E"/>
    <w:rsid w:val="005A4390"/>
    <w:rsid w:val="005B42EA"/>
    <w:rsid w:val="005B48FF"/>
    <w:rsid w:val="005D1CE8"/>
    <w:rsid w:val="005E1F72"/>
    <w:rsid w:val="00601930"/>
    <w:rsid w:val="00604C15"/>
    <w:rsid w:val="00614BE0"/>
    <w:rsid w:val="006158D5"/>
    <w:rsid w:val="00623E49"/>
    <w:rsid w:val="00625D83"/>
    <w:rsid w:val="006623E7"/>
    <w:rsid w:val="00662B80"/>
    <w:rsid w:val="00670F6C"/>
    <w:rsid w:val="00675795"/>
    <w:rsid w:val="006852C7"/>
    <w:rsid w:val="006852CE"/>
    <w:rsid w:val="006C0DD5"/>
    <w:rsid w:val="006C1727"/>
    <w:rsid w:val="006C32FD"/>
    <w:rsid w:val="006C39CE"/>
    <w:rsid w:val="006D0FCC"/>
    <w:rsid w:val="006D1D2D"/>
    <w:rsid w:val="006D54FC"/>
    <w:rsid w:val="006E1FC3"/>
    <w:rsid w:val="00705BD6"/>
    <w:rsid w:val="0070616B"/>
    <w:rsid w:val="00706FDA"/>
    <w:rsid w:val="00711F9A"/>
    <w:rsid w:val="00713810"/>
    <w:rsid w:val="007303A5"/>
    <w:rsid w:val="00730B3E"/>
    <w:rsid w:val="0073420B"/>
    <w:rsid w:val="00734E4C"/>
    <w:rsid w:val="00741400"/>
    <w:rsid w:val="007461FB"/>
    <w:rsid w:val="0074760E"/>
    <w:rsid w:val="00754ABA"/>
    <w:rsid w:val="007A1546"/>
    <w:rsid w:val="007A228C"/>
    <w:rsid w:val="007A368E"/>
    <w:rsid w:val="007A5868"/>
    <w:rsid w:val="007B04CE"/>
    <w:rsid w:val="007B6871"/>
    <w:rsid w:val="007B7A2F"/>
    <w:rsid w:val="007C227C"/>
    <w:rsid w:val="007C3D33"/>
    <w:rsid w:val="007C4DDE"/>
    <w:rsid w:val="007D294A"/>
    <w:rsid w:val="007D47D2"/>
    <w:rsid w:val="007D6EC0"/>
    <w:rsid w:val="007D7E1D"/>
    <w:rsid w:val="007E30A8"/>
    <w:rsid w:val="00831979"/>
    <w:rsid w:val="00851352"/>
    <w:rsid w:val="00863230"/>
    <w:rsid w:val="008717D8"/>
    <w:rsid w:val="0087215C"/>
    <w:rsid w:val="00880E35"/>
    <w:rsid w:val="00880FE5"/>
    <w:rsid w:val="008875FE"/>
    <w:rsid w:val="00887F8E"/>
    <w:rsid w:val="00896234"/>
    <w:rsid w:val="00897E43"/>
    <w:rsid w:val="008C5738"/>
    <w:rsid w:val="008C7EAD"/>
    <w:rsid w:val="008D0CFE"/>
    <w:rsid w:val="008D3375"/>
    <w:rsid w:val="008D54C2"/>
    <w:rsid w:val="008D6152"/>
    <w:rsid w:val="008F0F81"/>
    <w:rsid w:val="008F27BF"/>
    <w:rsid w:val="009142EC"/>
    <w:rsid w:val="009154C3"/>
    <w:rsid w:val="00915DA4"/>
    <w:rsid w:val="00923540"/>
    <w:rsid w:val="00926767"/>
    <w:rsid w:val="009361D5"/>
    <w:rsid w:val="009428A4"/>
    <w:rsid w:val="009659F4"/>
    <w:rsid w:val="00970617"/>
    <w:rsid w:val="009709B0"/>
    <w:rsid w:val="00970D60"/>
    <w:rsid w:val="00981CEB"/>
    <w:rsid w:val="009960E5"/>
    <w:rsid w:val="009A6C55"/>
    <w:rsid w:val="009A7ADC"/>
    <w:rsid w:val="009C19B7"/>
    <w:rsid w:val="009D7C51"/>
    <w:rsid w:val="009E196C"/>
    <w:rsid w:val="009E4B45"/>
    <w:rsid w:val="009F36BF"/>
    <w:rsid w:val="00A012CD"/>
    <w:rsid w:val="00A111B6"/>
    <w:rsid w:val="00A236AB"/>
    <w:rsid w:val="00A2547B"/>
    <w:rsid w:val="00A26D27"/>
    <w:rsid w:val="00A376EE"/>
    <w:rsid w:val="00A42A99"/>
    <w:rsid w:val="00A46C42"/>
    <w:rsid w:val="00A5098E"/>
    <w:rsid w:val="00A5151A"/>
    <w:rsid w:val="00A56465"/>
    <w:rsid w:val="00A57E0A"/>
    <w:rsid w:val="00A823F6"/>
    <w:rsid w:val="00A93BBA"/>
    <w:rsid w:val="00A97F16"/>
    <w:rsid w:val="00AA0A89"/>
    <w:rsid w:val="00AA6429"/>
    <w:rsid w:val="00AC01AA"/>
    <w:rsid w:val="00AC4F72"/>
    <w:rsid w:val="00AE77AA"/>
    <w:rsid w:val="00AF741A"/>
    <w:rsid w:val="00B0085A"/>
    <w:rsid w:val="00B01ADB"/>
    <w:rsid w:val="00B04161"/>
    <w:rsid w:val="00B056F9"/>
    <w:rsid w:val="00B11E3D"/>
    <w:rsid w:val="00B17E82"/>
    <w:rsid w:val="00B4575A"/>
    <w:rsid w:val="00B575BA"/>
    <w:rsid w:val="00B76429"/>
    <w:rsid w:val="00B92505"/>
    <w:rsid w:val="00B956D4"/>
    <w:rsid w:val="00B97446"/>
    <w:rsid w:val="00BA7432"/>
    <w:rsid w:val="00BC1AA0"/>
    <w:rsid w:val="00BC2495"/>
    <w:rsid w:val="00BC7EB9"/>
    <w:rsid w:val="00BD2643"/>
    <w:rsid w:val="00BD56B1"/>
    <w:rsid w:val="00BD6558"/>
    <w:rsid w:val="00BF3022"/>
    <w:rsid w:val="00BF3214"/>
    <w:rsid w:val="00BF5573"/>
    <w:rsid w:val="00C00811"/>
    <w:rsid w:val="00C104A8"/>
    <w:rsid w:val="00C15867"/>
    <w:rsid w:val="00C2296D"/>
    <w:rsid w:val="00C23155"/>
    <w:rsid w:val="00C40C41"/>
    <w:rsid w:val="00C45885"/>
    <w:rsid w:val="00C50F22"/>
    <w:rsid w:val="00C55303"/>
    <w:rsid w:val="00C57971"/>
    <w:rsid w:val="00C65BD7"/>
    <w:rsid w:val="00C76BA4"/>
    <w:rsid w:val="00C83A48"/>
    <w:rsid w:val="00C85865"/>
    <w:rsid w:val="00C85E85"/>
    <w:rsid w:val="00C96B40"/>
    <w:rsid w:val="00CA2EAE"/>
    <w:rsid w:val="00CA4AC1"/>
    <w:rsid w:val="00CB0316"/>
    <w:rsid w:val="00CB0B11"/>
    <w:rsid w:val="00CB5354"/>
    <w:rsid w:val="00CC299E"/>
    <w:rsid w:val="00CC6236"/>
    <w:rsid w:val="00CC6A14"/>
    <w:rsid w:val="00CC70A3"/>
    <w:rsid w:val="00CD4442"/>
    <w:rsid w:val="00CD53C3"/>
    <w:rsid w:val="00CD574E"/>
    <w:rsid w:val="00CE2F15"/>
    <w:rsid w:val="00CE4C22"/>
    <w:rsid w:val="00CF41EC"/>
    <w:rsid w:val="00CF5D04"/>
    <w:rsid w:val="00D04DE4"/>
    <w:rsid w:val="00D0546C"/>
    <w:rsid w:val="00D063F1"/>
    <w:rsid w:val="00D13CD0"/>
    <w:rsid w:val="00D14F22"/>
    <w:rsid w:val="00D22563"/>
    <w:rsid w:val="00D4741C"/>
    <w:rsid w:val="00D51B89"/>
    <w:rsid w:val="00D57918"/>
    <w:rsid w:val="00D62899"/>
    <w:rsid w:val="00D66982"/>
    <w:rsid w:val="00D73DC6"/>
    <w:rsid w:val="00D74C1A"/>
    <w:rsid w:val="00D754C1"/>
    <w:rsid w:val="00D77393"/>
    <w:rsid w:val="00D77A35"/>
    <w:rsid w:val="00D81B3E"/>
    <w:rsid w:val="00D90C70"/>
    <w:rsid w:val="00D90E49"/>
    <w:rsid w:val="00D96ADE"/>
    <w:rsid w:val="00DA0CE2"/>
    <w:rsid w:val="00DC6A10"/>
    <w:rsid w:val="00DE657E"/>
    <w:rsid w:val="00DF4704"/>
    <w:rsid w:val="00E024AA"/>
    <w:rsid w:val="00E250F1"/>
    <w:rsid w:val="00E3550D"/>
    <w:rsid w:val="00E41335"/>
    <w:rsid w:val="00E450FC"/>
    <w:rsid w:val="00E614E0"/>
    <w:rsid w:val="00E73F7F"/>
    <w:rsid w:val="00E85409"/>
    <w:rsid w:val="00E97B45"/>
    <w:rsid w:val="00EA429F"/>
    <w:rsid w:val="00EA4F9E"/>
    <w:rsid w:val="00EA63CA"/>
    <w:rsid w:val="00EA6D3B"/>
    <w:rsid w:val="00EB00AD"/>
    <w:rsid w:val="00EB136C"/>
    <w:rsid w:val="00EB480E"/>
    <w:rsid w:val="00EB5EC6"/>
    <w:rsid w:val="00EB7FC9"/>
    <w:rsid w:val="00ED27E8"/>
    <w:rsid w:val="00ED7137"/>
    <w:rsid w:val="00EE66BA"/>
    <w:rsid w:val="00F0630E"/>
    <w:rsid w:val="00F07A58"/>
    <w:rsid w:val="00F21088"/>
    <w:rsid w:val="00F268BE"/>
    <w:rsid w:val="00F26E2B"/>
    <w:rsid w:val="00F327E7"/>
    <w:rsid w:val="00F35746"/>
    <w:rsid w:val="00F447C7"/>
    <w:rsid w:val="00F50A13"/>
    <w:rsid w:val="00F5211B"/>
    <w:rsid w:val="00F554A9"/>
    <w:rsid w:val="00F70E2F"/>
    <w:rsid w:val="00F716FD"/>
    <w:rsid w:val="00F80355"/>
    <w:rsid w:val="00F87C43"/>
    <w:rsid w:val="00FB0C81"/>
    <w:rsid w:val="00FC2200"/>
    <w:rsid w:val="00FC2540"/>
    <w:rsid w:val="00FD27EE"/>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7E3463"/>
  <w15:docId w15:val="{BABAFE2B-4F1D-4B23-802E-1E40706D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uiPriority w:val="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fr-CA"/>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fr-CA"/>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fr-CA"/>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fr-CA"/>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734E4C"/>
    <w:pPr>
      <w:ind w:left="720"/>
      <w:contextualSpacing/>
    </w:pPr>
  </w:style>
  <w:style w:type="paragraph" w:styleId="FootnoteText">
    <w:name w:val="footnote text"/>
    <w:basedOn w:val="Normal"/>
    <w:link w:val="FootnoteTextChar"/>
    <w:uiPriority w:val="99"/>
    <w:semiHidden/>
    <w:unhideWhenUsed/>
    <w:rsid w:val="00734E4C"/>
    <w:rPr>
      <w:sz w:val="20"/>
      <w:szCs w:val="20"/>
    </w:rPr>
  </w:style>
  <w:style w:type="character" w:customStyle="1" w:styleId="FootnoteTextChar">
    <w:name w:val="Footnote Text Char"/>
    <w:basedOn w:val="DefaultParagraphFont"/>
    <w:link w:val="FootnoteText"/>
    <w:uiPriority w:val="99"/>
    <w:semiHidden/>
    <w:rsid w:val="00734E4C"/>
    <w:rPr>
      <w:lang w:val="fr-CA"/>
    </w:rPr>
  </w:style>
  <w:style w:type="character" w:styleId="FootnoteReference">
    <w:name w:val="footnote reference"/>
    <w:basedOn w:val="DefaultParagraphFont"/>
    <w:uiPriority w:val="99"/>
    <w:semiHidden/>
    <w:unhideWhenUsed/>
    <w:rsid w:val="00734E4C"/>
    <w:rPr>
      <w:vertAlign w:val="superscript"/>
    </w:rPr>
  </w:style>
  <w:style w:type="paragraph" w:customStyle="1" w:styleId="Default">
    <w:name w:val="Default"/>
    <w:rsid w:val="00734E4C"/>
    <w:pPr>
      <w:autoSpaceDE w:val="0"/>
      <w:autoSpaceDN w:val="0"/>
      <w:adjustRightInd w:val="0"/>
    </w:pPr>
    <w:rPr>
      <w:color w:val="000000"/>
      <w:sz w:val="24"/>
      <w:szCs w:val="24"/>
      <w:lang w:eastAsia="es-PA"/>
    </w:rPr>
  </w:style>
  <w:style w:type="paragraph" w:styleId="Caption">
    <w:name w:val="caption"/>
    <w:basedOn w:val="Normal"/>
    <w:next w:val="BodyText"/>
    <w:uiPriority w:val="35"/>
    <w:qFormat/>
    <w:rsid w:val="00734E4C"/>
    <w:pPr>
      <w:spacing w:after="240"/>
      <w:contextualSpacing/>
      <w:jc w:val="center"/>
    </w:pPr>
    <w:rPr>
      <w:rFonts w:ascii="Garamond" w:hAnsi="Garamond"/>
      <w:i/>
      <w:szCs w:val="20"/>
    </w:rPr>
  </w:style>
  <w:style w:type="paragraph" w:styleId="BodyText">
    <w:name w:val="Body Text"/>
    <w:basedOn w:val="Normal"/>
    <w:link w:val="BodyTextChar"/>
    <w:semiHidden/>
    <w:unhideWhenUsed/>
    <w:rsid w:val="00734E4C"/>
    <w:pPr>
      <w:spacing w:after="120"/>
    </w:pPr>
  </w:style>
  <w:style w:type="character" w:customStyle="1" w:styleId="BodyTextChar">
    <w:name w:val="Body Text Char"/>
    <w:basedOn w:val="DefaultParagraphFont"/>
    <w:link w:val="BodyText"/>
    <w:semiHidden/>
    <w:rsid w:val="00734E4C"/>
    <w:rPr>
      <w:sz w:val="22"/>
      <w:szCs w:val="22"/>
      <w:lang w:val="fr-CA"/>
    </w:rPr>
  </w:style>
  <w:style w:type="paragraph" w:styleId="ListBullet">
    <w:name w:val="List Bullet"/>
    <w:basedOn w:val="Normal"/>
    <w:autoRedefine/>
    <w:semiHidden/>
    <w:rsid w:val="00734E4C"/>
    <w:pPr>
      <w:tabs>
        <w:tab w:val="num" w:pos="360"/>
      </w:tabs>
      <w:ind w:left="360" w:hanging="360"/>
    </w:p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link w:val="Heading2"/>
    <w:rsid w:val="00734E4C"/>
    <w:rPr>
      <w:sz w:val="22"/>
      <w:szCs w:val="22"/>
      <w:lang w:val="fr-CA"/>
    </w:rPr>
  </w:style>
  <w:style w:type="character" w:customStyle="1" w:styleId="FooterChar">
    <w:name w:val="Footer Char"/>
    <w:basedOn w:val="DefaultParagraphFont"/>
    <w:link w:val="Footer"/>
    <w:uiPriority w:val="99"/>
    <w:rsid w:val="00734E4C"/>
    <w:rPr>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1157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DRAFTS\Dominika\84th%20ExCom\08%20Templates\Eec84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9683CADC4F284EA5F0B82357B5BF3A" ma:contentTypeVersion="2" ma:contentTypeDescription="Create a new document." ma:contentTypeScope="" ma:versionID="068ecf6b82cce04dbb15b641d5edd95a">
  <xsd:schema xmlns:xsd="http://www.w3.org/2001/XMLSchema" xmlns:p="http://schemas.microsoft.com/office/2006/metadata/properties" xmlns:ns2="8662b4aa-cf42-4f00-a3f0-9d3b4acad230" xmlns:ns3="310e179b-1379-4e79-9b74-d5a32b1812d3" targetNamespace="http://schemas.microsoft.com/office/2006/metadata/properties" ma:root="true" ma:fieldsID="ec3297cc96d292a79aedb3c4ee5cf4fc"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UNEP/OzL.Pro/ExCom/84/48</Document_x0020_Number>
  </documentManagement>
</p:properties>
</file>

<file path=customXml/itemProps1.xml><?xml version="1.0" encoding="utf-8"?>
<ds:datastoreItem xmlns:ds="http://schemas.openxmlformats.org/officeDocument/2006/customXml" ds:itemID="{81F13CF5-7F13-4C63-9BA8-BA1B6F04DA05}"/>
</file>

<file path=customXml/itemProps2.xml><?xml version="1.0" encoding="utf-8"?>
<ds:datastoreItem xmlns:ds="http://schemas.openxmlformats.org/officeDocument/2006/customXml" ds:itemID="{4EE67203-F486-4098-B4CF-1EDAAC400E11}"/>
</file>

<file path=customXml/itemProps3.xml><?xml version="1.0" encoding="utf-8"?>
<ds:datastoreItem xmlns:ds="http://schemas.openxmlformats.org/officeDocument/2006/customXml" ds:itemID="{F7DC7D4A-0735-449D-85FA-A3B9BCC9C53A}"/>
</file>

<file path=customXml/itemProps4.xml><?xml version="1.0" encoding="utf-8"?>
<ds:datastoreItem xmlns:ds="http://schemas.openxmlformats.org/officeDocument/2006/customXml" ds:itemID="{B311CE69-AB6A-4DA1-B66E-BDFDF3FED2DB}"/>
</file>

<file path=docProps/app.xml><?xml version="1.0" encoding="utf-8"?>
<Properties xmlns="http://schemas.openxmlformats.org/officeDocument/2006/extended-properties" xmlns:vt="http://schemas.openxmlformats.org/officeDocument/2006/docPropsVTypes">
  <Template>Eec84G</Template>
  <TotalTime>145</TotalTime>
  <Pages>9</Pages>
  <Words>2953</Words>
  <Characters>16837</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Proposition de projet: Dominique (la)</vt:lpstr>
      <vt:lpstr>Project proposal: Dominica</vt:lpstr>
    </vt:vector>
  </TitlesOfParts>
  <Company>UNMFS</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projet: Dominique</dc:title>
  <dc:subject/>
  <dc:creator>Dominika Anna Suwik</dc:creator>
  <cp:keywords>84th</cp:keywords>
  <cp:lastModifiedBy>HBE</cp:lastModifiedBy>
  <cp:revision>5</cp:revision>
  <cp:lastPrinted>2019-11-21T20:14:00Z</cp:lastPrinted>
  <dcterms:created xsi:type="dcterms:W3CDTF">2019-12-04T21:50:00Z</dcterms:created>
  <dcterms:modified xsi:type="dcterms:W3CDTF">2019-12-05T21:54:00Z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UNEP/OzL.Pro/ExCom/84/48</vt:lpwstr>
  </property>
  <property fmtid="{D5CDD505-2E9C-101B-9397-08002B2CF9AE}" pid="3" name="Revision date">
    <vt:lpwstr>11/21/2019</vt:lpwstr>
  </property>
  <property fmtid="{D5CDD505-2E9C-101B-9397-08002B2CF9AE}" pid="4" name="ContentTypeId">
    <vt:lpwstr>0x010100109683CADC4F284EA5F0B82357B5BF3A</vt:lpwstr>
  </property>
</Properties>
</file>