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7C16FC">
        <w:trPr>
          <w:trHeight w:val="720"/>
        </w:trPr>
        <w:tc>
          <w:tcPr>
            <w:tcW w:w="7061" w:type="dxa"/>
            <w:gridSpan w:val="2"/>
            <w:tcBorders>
              <w:bottom w:val="single" w:sz="18" w:space="0" w:color="auto"/>
            </w:tcBorders>
          </w:tcPr>
          <w:p w:rsidR="00441083" w:rsidRPr="007C16FC"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7C16FC">
              <w:rPr>
                <w:rFonts w:ascii="Univers" w:hAnsi="Univers"/>
                <w:b/>
                <w:sz w:val="28"/>
                <w:szCs w:val="28"/>
                <w:lang w:val="fr-CA"/>
              </w:rPr>
              <w:t>NATIONS</w:t>
            </w:r>
          </w:p>
          <w:p w:rsidR="00441083" w:rsidRPr="007C16FC"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7C16FC">
              <w:rPr>
                <w:rFonts w:ascii="Univers" w:hAnsi="Univers"/>
                <w:b/>
                <w:sz w:val="28"/>
                <w:szCs w:val="28"/>
                <w:lang w:val="fr-CA"/>
              </w:rPr>
              <w:t xml:space="preserve">UNIES </w:t>
            </w:r>
          </w:p>
        </w:tc>
        <w:tc>
          <w:tcPr>
            <w:tcW w:w="3544" w:type="dxa"/>
            <w:tcBorders>
              <w:bottom w:val="single" w:sz="18" w:space="0" w:color="auto"/>
            </w:tcBorders>
          </w:tcPr>
          <w:p w:rsidR="00441083" w:rsidRPr="007C16FC" w:rsidRDefault="00E60D9C">
            <w:pPr>
              <w:tabs>
                <w:tab w:val="left" w:pos="3010"/>
              </w:tabs>
              <w:jc w:val="center"/>
              <w:rPr>
                <w:sz w:val="52"/>
                <w:szCs w:val="52"/>
                <w:lang w:val="fr-CA"/>
              </w:rPr>
            </w:pPr>
            <w:r w:rsidRPr="007C16FC">
              <w:rPr>
                <w:rFonts w:ascii="Univers Bold" w:hAnsi="Univers Bold"/>
                <w:b/>
                <w:sz w:val="72"/>
                <w:lang w:val="fr-CA"/>
              </w:rPr>
              <w:t xml:space="preserve">          EP</w:t>
            </w:r>
          </w:p>
        </w:tc>
      </w:tr>
      <w:tr w:rsidR="00441083" w:rsidRPr="007C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Pr="007C16FC" w:rsidRDefault="00C6443E">
            <w:pPr>
              <w:spacing w:before="120"/>
              <w:rPr>
                <w:lang w:val="fr-CA"/>
              </w:rPr>
            </w:pPr>
            <w:bookmarkStart w:id="0" w:name="_GoBack"/>
            <w:r w:rsidRPr="007C16FC">
              <w:rPr>
                <w:noProof/>
                <w:lang w:val="en-CA" w:eastAsia="en-CA"/>
              </w:rPr>
              <w:drawing>
                <wp:anchor distT="0" distB="0" distL="114300" distR="114300" simplePos="0" relativeHeight="251660288" behindDoc="0" locked="0" layoutInCell="1" allowOverlap="1">
                  <wp:simplePos x="0" y="0"/>
                  <wp:positionH relativeFrom="column">
                    <wp:posOffset>340173</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001C3D0C" w:rsidRPr="007C16FC">
              <w:rPr>
                <w:noProof/>
                <w:lang w:val="en-CA" w:eastAsia="en-CA"/>
              </w:rPr>
              <w:drawing>
                <wp:anchor distT="0" distB="0" distL="114300" distR="114300" simplePos="0" relativeHeight="251661312" behindDoc="1" locked="0" layoutInCell="0" allowOverlap="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rsidR="00441083" w:rsidRPr="007C16FC"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Pr="007C16FC"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7C16FC">
              <w:rPr>
                <w:rFonts w:ascii="Univers" w:hAnsi="Univers"/>
                <w:b/>
                <w:sz w:val="32"/>
                <w:lang w:val="fr-CA"/>
              </w:rPr>
              <w:t>Programme des</w:t>
            </w:r>
          </w:p>
          <w:p w:rsidR="00441083" w:rsidRPr="007C16FC" w:rsidRDefault="00E60D9C">
            <w:pPr>
              <w:rPr>
                <w:rFonts w:ascii="Univers" w:hAnsi="Univers"/>
                <w:b/>
                <w:sz w:val="32"/>
                <w:lang w:val="fr-CA"/>
              </w:rPr>
            </w:pPr>
            <w:r w:rsidRPr="007C16FC">
              <w:rPr>
                <w:rFonts w:ascii="Univers" w:hAnsi="Univers"/>
                <w:b/>
                <w:sz w:val="32"/>
                <w:lang w:val="fr-CA"/>
              </w:rPr>
              <w:t>Nations Unies pour</w:t>
            </w:r>
          </w:p>
          <w:p w:rsidR="00441083" w:rsidRPr="007C16FC" w:rsidRDefault="00E60D9C">
            <w:pPr>
              <w:rPr>
                <w:rFonts w:ascii="Univers" w:hAnsi="Univers"/>
                <w:b/>
                <w:sz w:val="32"/>
                <w:lang w:val="fr-CA"/>
              </w:rPr>
            </w:pPr>
            <w:r w:rsidRPr="007C16FC">
              <w:rPr>
                <w:rFonts w:ascii="Univers" w:hAnsi="Univers"/>
                <w:b/>
                <w:sz w:val="32"/>
                <w:lang w:val="fr-CA"/>
              </w:rPr>
              <w:t>l’environnement</w:t>
            </w:r>
          </w:p>
          <w:p w:rsidR="00441083" w:rsidRPr="007C16FC" w:rsidRDefault="00E60D9C">
            <w:pPr>
              <w:spacing w:before="720"/>
              <w:ind w:left="158"/>
              <w:rPr>
                <w:lang w:val="fr-CA"/>
              </w:rPr>
            </w:pPr>
            <w:r w:rsidRPr="007C16FC">
              <w:rPr>
                <w:lang w:val="fr-CA"/>
              </w:rPr>
              <w:t xml:space="preserve"> </w:t>
            </w:r>
          </w:p>
        </w:tc>
        <w:tc>
          <w:tcPr>
            <w:tcW w:w="3544" w:type="dxa"/>
            <w:tcBorders>
              <w:top w:val="nil"/>
              <w:left w:val="nil"/>
              <w:bottom w:val="single" w:sz="36" w:space="0" w:color="auto"/>
              <w:right w:val="nil"/>
            </w:tcBorders>
          </w:tcPr>
          <w:p w:rsidR="00441083" w:rsidRPr="007C16FC" w:rsidRDefault="00441083">
            <w:pPr>
              <w:rPr>
                <w:lang w:val="fr-CA"/>
              </w:rPr>
            </w:pPr>
          </w:p>
          <w:p w:rsidR="00441083" w:rsidRPr="007C16FC" w:rsidRDefault="00E60D9C">
            <w:pPr>
              <w:rPr>
                <w:lang w:val="fr-CA"/>
              </w:rPr>
            </w:pPr>
            <w:r w:rsidRPr="007C16FC">
              <w:rPr>
                <w:lang w:val="fr-CA"/>
              </w:rPr>
              <w:t>Distr.</w:t>
            </w:r>
          </w:p>
          <w:p w:rsidR="00441083" w:rsidRPr="007C16FC" w:rsidRDefault="00E60D9C" w:rsidP="00DD3433">
            <w:pPr>
              <w:rPr>
                <w:lang w:val="fr-CA"/>
              </w:rPr>
            </w:pPr>
            <w:r w:rsidRPr="007C16FC">
              <w:rPr>
                <w:lang w:val="fr-CA"/>
              </w:rPr>
              <w:t>G</w:t>
            </w:r>
            <w:r w:rsidR="00DD3433" w:rsidRPr="007C16FC">
              <w:rPr>
                <w:lang w:val="fr-CA"/>
              </w:rPr>
              <w:t>É</w:t>
            </w:r>
            <w:r w:rsidRPr="007C16FC">
              <w:rPr>
                <w:lang w:val="fr-CA"/>
              </w:rPr>
              <w:t>N</w:t>
            </w:r>
            <w:r w:rsidR="00DD3433" w:rsidRPr="007C16FC">
              <w:rPr>
                <w:lang w:val="fr-CA"/>
              </w:rPr>
              <w:t>É</w:t>
            </w:r>
            <w:r w:rsidRPr="007C16FC">
              <w:rPr>
                <w:lang w:val="fr-CA"/>
              </w:rPr>
              <w:t>RAL</w:t>
            </w:r>
            <w:r w:rsidR="00FF3CF1" w:rsidRPr="007C16FC">
              <w:rPr>
                <w:lang w:val="fr-CA"/>
              </w:rPr>
              <w:t>E</w:t>
            </w:r>
          </w:p>
          <w:p w:rsidR="00441083" w:rsidRPr="007C16FC" w:rsidRDefault="00441083">
            <w:pPr>
              <w:rPr>
                <w:lang w:val="fr-CA"/>
              </w:rPr>
            </w:pPr>
          </w:p>
          <w:p w:rsidR="00441083" w:rsidRPr="007C16FC" w:rsidRDefault="00E5767E">
            <w:pPr>
              <w:rPr>
                <w:lang w:val="fr-CA"/>
              </w:rPr>
            </w:pPr>
            <w:r>
              <w:fldChar w:fldCharType="begin"/>
            </w:r>
            <w:r w:rsidRPr="008F78B0">
              <w:rPr>
                <w:lang w:val="fr-FR"/>
              </w:rPr>
              <w:instrText xml:space="preserve"> DOCPROPERTY "Document number"  \* MERGEFORMAT </w:instrText>
            </w:r>
            <w:r>
              <w:fldChar w:fldCharType="separate"/>
            </w:r>
            <w:r w:rsidR="00F53AF0" w:rsidRPr="00F53AF0">
              <w:rPr>
                <w:lang w:val="fr-CA"/>
              </w:rPr>
              <w:t>UNEP/OzL.Pro/ExCom/84/45</w:t>
            </w:r>
            <w:r>
              <w:rPr>
                <w:lang w:val="fr-CA"/>
              </w:rPr>
              <w:fldChar w:fldCharType="end"/>
            </w:r>
          </w:p>
          <w:p w:rsidR="002F0B57" w:rsidRPr="007C16FC" w:rsidRDefault="0029622A" w:rsidP="000F6C8E">
            <w:pPr>
              <w:rPr>
                <w:lang w:val="fr-CA"/>
              </w:rPr>
            </w:pPr>
            <w:r w:rsidRPr="007C16FC">
              <w:rPr>
                <w:lang w:val="fr-CA"/>
              </w:rPr>
              <w:t>29 novembre</w:t>
            </w:r>
            <w:r w:rsidR="00A8388B">
              <w:rPr>
                <w:lang w:val="fr-CA"/>
              </w:rPr>
              <w:t xml:space="preserve"> 2019</w:t>
            </w:r>
          </w:p>
          <w:p w:rsidR="00441083" w:rsidRPr="007C16FC" w:rsidRDefault="00FC5578">
            <w:pPr>
              <w:rPr>
                <w:caps/>
                <w:lang w:val="fr-CA"/>
              </w:rPr>
            </w:pPr>
            <w:r w:rsidRPr="007C16FC">
              <w:rPr>
                <w:caps/>
                <w:lang w:val="fr-CA"/>
              </w:rPr>
              <w:br/>
            </w:r>
            <w:r w:rsidR="00E60D9C" w:rsidRPr="007C16FC">
              <w:rPr>
                <w:caps/>
                <w:lang w:val="fr-CA"/>
              </w:rPr>
              <w:t>FRANÇAIS</w:t>
            </w:r>
          </w:p>
          <w:p w:rsidR="00441083" w:rsidRPr="007C16FC" w:rsidRDefault="00E60D9C">
            <w:pPr>
              <w:rPr>
                <w:lang w:val="fr-CA"/>
              </w:rPr>
            </w:pPr>
            <w:r w:rsidRPr="007C16FC">
              <w:rPr>
                <w:lang w:val="fr-CA"/>
              </w:rPr>
              <w:t>ORIGINAL</w:t>
            </w:r>
            <w:r w:rsidR="002B0AAE">
              <w:rPr>
                <w:lang w:val="fr-CA"/>
              </w:rPr>
              <w:t xml:space="preserve"> : </w:t>
            </w:r>
            <w:r w:rsidR="0091161A" w:rsidRPr="007C16FC">
              <w:rPr>
                <w:lang w:val="fr-CA"/>
              </w:rPr>
              <w:t>ANGLAIS</w:t>
            </w:r>
          </w:p>
        </w:tc>
      </w:tr>
    </w:tbl>
    <w:p w:rsidR="00441083" w:rsidRPr="007C16FC" w:rsidRDefault="00441083">
      <w:pPr>
        <w:jc w:val="left"/>
        <w:rPr>
          <w:lang w:val="fr-CA"/>
        </w:rPr>
      </w:pPr>
    </w:p>
    <w:p w:rsidR="00441083" w:rsidRPr="007C16FC" w:rsidRDefault="00E60D9C" w:rsidP="00DD3433">
      <w:pPr>
        <w:jc w:val="left"/>
        <w:rPr>
          <w:lang w:val="fr-CA"/>
        </w:rPr>
      </w:pPr>
      <w:r w:rsidRPr="007C16FC">
        <w:rPr>
          <w:lang w:val="fr-CA"/>
        </w:rPr>
        <w:t>COMIT</w:t>
      </w:r>
      <w:r w:rsidR="00DD3433" w:rsidRPr="007C16FC">
        <w:rPr>
          <w:lang w:val="fr-CA"/>
        </w:rPr>
        <w:t>É</w:t>
      </w:r>
      <w:r w:rsidRPr="007C16FC">
        <w:rPr>
          <w:lang w:val="fr-CA"/>
        </w:rPr>
        <w:t xml:space="preserve"> EX</w:t>
      </w:r>
      <w:r w:rsidR="00DD3433" w:rsidRPr="007C16FC">
        <w:rPr>
          <w:lang w:val="fr-CA"/>
        </w:rPr>
        <w:t xml:space="preserve">ÉCUTIF </w:t>
      </w:r>
      <w:r w:rsidR="00DD3433" w:rsidRPr="007C16FC">
        <w:rPr>
          <w:lang w:val="fr-CA"/>
        </w:rPr>
        <w:br/>
        <w:t xml:space="preserve">  DU FONDS MULTILATÉ</w:t>
      </w:r>
      <w:r w:rsidRPr="007C16FC">
        <w:rPr>
          <w:lang w:val="fr-CA"/>
        </w:rPr>
        <w:t xml:space="preserve">RAL AUX FINS </w:t>
      </w:r>
      <w:r w:rsidRPr="007C16FC">
        <w:rPr>
          <w:lang w:val="fr-CA"/>
        </w:rPr>
        <w:br/>
        <w:t xml:space="preserve">  D’APPLICATION DU </w:t>
      </w:r>
      <w:r w:rsidR="003B6C77">
        <w:rPr>
          <w:lang w:val="fr-CA"/>
        </w:rPr>
        <w:t>PROTOCOLE DE MONTRÉAL</w:t>
      </w:r>
      <w:r w:rsidRPr="007C16FC">
        <w:rPr>
          <w:lang w:val="fr-CA"/>
        </w:rPr>
        <w:br/>
      </w:r>
      <w:r w:rsidR="00E54871" w:rsidRPr="007C16FC">
        <w:rPr>
          <w:lang w:val="fr-CA"/>
        </w:rPr>
        <w:t>Quatre</w:t>
      </w:r>
      <w:r w:rsidRPr="007C16FC">
        <w:rPr>
          <w:lang w:val="fr-CA"/>
        </w:rPr>
        <w:t>-</w:t>
      </w:r>
      <w:r w:rsidR="00E54871" w:rsidRPr="007C16FC">
        <w:rPr>
          <w:lang w:val="fr-CA"/>
        </w:rPr>
        <w:t>vingt</w:t>
      </w:r>
      <w:r w:rsidR="00AE63D8" w:rsidRPr="007C16FC">
        <w:rPr>
          <w:lang w:val="fr-CA"/>
        </w:rPr>
        <w:t>-</w:t>
      </w:r>
      <w:r w:rsidR="00AC013C" w:rsidRPr="007C16FC">
        <w:rPr>
          <w:lang w:val="fr-CA"/>
        </w:rPr>
        <w:t>quat</w:t>
      </w:r>
      <w:r w:rsidR="004C2C87" w:rsidRPr="007C16FC">
        <w:rPr>
          <w:lang w:val="fr-CA"/>
        </w:rPr>
        <w:t>ri</w:t>
      </w:r>
      <w:r w:rsidR="00E54871" w:rsidRPr="007C16FC">
        <w:rPr>
          <w:lang w:val="fr-CA"/>
        </w:rPr>
        <w:t>ème</w:t>
      </w:r>
      <w:r w:rsidR="00FC5578" w:rsidRPr="007C16FC">
        <w:rPr>
          <w:lang w:val="fr-CA"/>
        </w:rPr>
        <w:t xml:space="preserve"> </w:t>
      </w:r>
      <w:r w:rsidRPr="007C16FC">
        <w:rPr>
          <w:lang w:val="fr-CA"/>
        </w:rPr>
        <w:t>réunion</w:t>
      </w:r>
    </w:p>
    <w:p w:rsidR="00441083" w:rsidRPr="007C16FC" w:rsidRDefault="00E54871" w:rsidP="00AC013C">
      <w:pPr>
        <w:jc w:val="left"/>
        <w:rPr>
          <w:lang w:val="fr-CA"/>
        </w:rPr>
      </w:pPr>
      <w:r w:rsidRPr="007C16FC">
        <w:rPr>
          <w:lang w:val="fr-CA"/>
        </w:rPr>
        <w:t>Montréal,</w:t>
      </w:r>
      <w:r w:rsidR="00FC5578" w:rsidRPr="007C16FC">
        <w:rPr>
          <w:lang w:val="fr-CA"/>
        </w:rPr>
        <w:t xml:space="preserve"> </w:t>
      </w:r>
      <w:r w:rsidR="00AC013C" w:rsidRPr="007C16FC">
        <w:rPr>
          <w:lang w:val="fr-CA"/>
        </w:rPr>
        <w:t xml:space="preserve">16 </w:t>
      </w:r>
      <w:r w:rsidR="00E60D9C" w:rsidRPr="007C16FC">
        <w:rPr>
          <w:lang w:val="fr-CA"/>
        </w:rPr>
        <w:t xml:space="preserve">– </w:t>
      </w:r>
      <w:r w:rsidR="00AC013C" w:rsidRPr="007C16FC">
        <w:rPr>
          <w:lang w:val="fr-CA"/>
        </w:rPr>
        <w:t>20 décembre</w:t>
      </w:r>
      <w:r w:rsidR="004C2C87" w:rsidRPr="007C16FC">
        <w:rPr>
          <w:lang w:val="fr-CA"/>
        </w:rPr>
        <w:t xml:space="preserve"> 2019</w:t>
      </w:r>
    </w:p>
    <w:p w:rsidR="00441083" w:rsidRPr="007C16FC" w:rsidRDefault="00441083">
      <w:pPr>
        <w:jc w:val="left"/>
        <w:rPr>
          <w:lang w:val="fr-CA"/>
        </w:rPr>
      </w:pPr>
    </w:p>
    <w:p w:rsidR="00441083" w:rsidRPr="007C16FC" w:rsidRDefault="00441083">
      <w:pPr>
        <w:pStyle w:val="Heading3"/>
        <w:numPr>
          <w:ilvl w:val="0"/>
          <w:numId w:val="0"/>
        </w:numPr>
        <w:spacing w:after="0"/>
        <w:rPr>
          <w:lang w:val="fr-CA"/>
        </w:rPr>
      </w:pPr>
    </w:p>
    <w:p w:rsidR="00441083" w:rsidRPr="007C16FC" w:rsidRDefault="00441083" w:rsidP="0090038C">
      <w:pPr>
        <w:pStyle w:val="Title1"/>
        <w:jc w:val="both"/>
        <w:rPr>
          <w:lang w:val="fr-CA"/>
        </w:rPr>
      </w:pPr>
    </w:p>
    <w:p w:rsidR="0029622A" w:rsidRPr="007C16FC" w:rsidRDefault="0029622A" w:rsidP="0029622A">
      <w:pPr>
        <w:jc w:val="center"/>
        <w:rPr>
          <w:b/>
          <w:lang w:val="fr-CA"/>
        </w:rPr>
      </w:pPr>
      <w:r w:rsidRPr="007C16FC">
        <w:rPr>
          <w:b/>
          <w:lang w:val="fr-CA"/>
        </w:rPr>
        <w:t>PRO</w:t>
      </w:r>
      <w:r w:rsidR="005B71BA">
        <w:rPr>
          <w:b/>
          <w:lang w:val="fr-CA"/>
        </w:rPr>
        <w:t>POSITION DE PROJET</w:t>
      </w:r>
      <w:r w:rsidR="002B0AAE">
        <w:rPr>
          <w:b/>
          <w:lang w:val="fr-CA"/>
        </w:rPr>
        <w:t xml:space="preserve"> : </w:t>
      </w:r>
      <w:r w:rsidRPr="007C16FC">
        <w:rPr>
          <w:b/>
          <w:lang w:val="fr-CA"/>
        </w:rPr>
        <w:t>COSTA RICA</w:t>
      </w:r>
      <w:r w:rsidR="008F78B0">
        <w:rPr>
          <w:b/>
          <w:lang w:val="fr-CA"/>
        </w:rPr>
        <w:t xml:space="preserve"> (LE)</w:t>
      </w:r>
    </w:p>
    <w:p w:rsidR="0029622A" w:rsidRPr="007C16FC" w:rsidRDefault="0029622A" w:rsidP="0029622A">
      <w:pPr>
        <w:rPr>
          <w:lang w:val="fr-CA"/>
        </w:rPr>
      </w:pPr>
    </w:p>
    <w:p w:rsidR="0029622A" w:rsidRPr="007C16FC" w:rsidRDefault="0029622A" w:rsidP="0029622A">
      <w:pPr>
        <w:rPr>
          <w:lang w:val="fr-CA"/>
        </w:rPr>
      </w:pPr>
    </w:p>
    <w:p w:rsidR="0029622A" w:rsidRPr="00206486" w:rsidRDefault="002B0AAE" w:rsidP="0029622A">
      <w:pPr>
        <w:ind w:firstLine="720"/>
        <w:rPr>
          <w:lang w:val="fr-CA"/>
        </w:rPr>
      </w:pPr>
      <w:r w:rsidRPr="00206486">
        <w:rPr>
          <w:lang w:val="fr-CA"/>
        </w:rPr>
        <w:t>Le présent document contient les observations et la recommandation du Secrétariat du Fonds sur</w:t>
      </w:r>
      <w:r w:rsidR="00A8388B">
        <w:rPr>
          <w:lang w:val="fr-CA"/>
        </w:rPr>
        <w:t> </w:t>
      </w:r>
      <w:r w:rsidRPr="00206486">
        <w:rPr>
          <w:lang w:val="fr-CA"/>
        </w:rPr>
        <w:t xml:space="preserve">la proposition de projet suivante : </w:t>
      </w:r>
    </w:p>
    <w:p w:rsidR="0029622A" w:rsidRPr="00206486" w:rsidRDefault="0029622A" w:rsidP="0029622A">
      <w:pPr>
        <w:rPr>
          <w:lang w:val="fr-CA"/>
        </w:rPr>
      </w:pPr>
    </w:p>
    <w:p w:rsidR="0029622A" w:rsidRPr="00206486" w:rsidRDefault="002B0AAE" w:rsidP="0029622A">
      <w:pPr>
        <w:rPr>
          <w:u w:val="single"/>
          <w:lang w:val="fr-CA"/>
        </w:rPr>
      </w:pPr>
      <w:r w:rsidRPr="00206486">
        <w:rPr>
          <w:u w:val="single"/>
          <w:lang w:val="fr-CA"/>
        </w:rPr>
        <w:t>Élimination</w:t>
      </w:r>
    </w:p>
    <w:p w:rsidR="0029622A" w:rsidRPr="00206486" w:rsidRDefault="0029622A" w:rsidP="0029622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9622A" w:rsidRPr="00206486" w:rsidTr="002B0AAE">
        <w:tc>
          <w:tcPr>
            <w:tcW w:w="6941" w:type="dxa"/>
          </w:tcPr>
          <w:p w:rsidR="0029622A" w:rsidRPr="00206486" w:rsidRDefault="002B0AAE" w:rsidP="002B0AAE">
            <w:pPr>
              <w:pStyle w:val="ListParagraph"/>
              <w:numPr>
                <w:ilvl w:val="0"/>
                <w:numId w:val="23"/>
              </w:numPr>
              <w:ind w:hanging="830"/>
              <w:rPr>
                <w:lang w:val="fr-CA"/>
              </w:rPr>
            </w:pPr>
            <w:r w:rsidRPr="00206486">
              <w:rPr>
                <w:lang w:val="fr-CA"/>
              </w:rPr>
              <w:t xml:space="preserve">Plan de gestion de l’élimination des HCFC (phase </w:t>
            </w:r>
            <w:r w:rsidR="0029622A" w:rsidRPr="00206486">
              <w:rPr>
                <w:lang w:val="fr-CA"/>
              </w:rPr>
              <w:t xml:space="preserve">II, </w:t>
            </w:r>
            <w:r w:rsidRPr="00206486">
              <w:rPr>
                <w:lang w:val="fr-CA"/>
              </w:rPr>
              <w:t>cinquième</w:t>
            </w:r>
            <w:r w:rsidR="0029622A" w:rsidRPr="00206486">
              <w:rPr>
                <w:lang w:val="fr-CA"/>
              </w:rPr>
              <w:t xml:space="preserve"> tranche)</w:t>
            </w:r>
          </w:p>
        </w:tc>
        <w:tc>
          <w:tcPr>
            <w:tcW w:w="2409" w:type="dxa"/>
          </w:tcPr>
          <w:p w:rsidR="0029622A" w:rsidRPr="00206486" w:rsidRDefault="002B0AAE" w:rsidP="002B0AAE">
            <w:pPr>
              <w:jc w:val="right"/>
              <w:rPr>
                <w:lang w:val="fr-CA"/>
              </w:rPr>
            </w:pPr>
            <w:r w:rsidRPr="00206486">
              <w:rPr>
                <w:lang w:val="fr-CA"/>
              </w:rPr>
              <w:t>PNUD</w:t>
            </w:r>
          </w:p>
        </w:tc>
      </w:tr>
    </w:tbl>
    <w:p w:rsidR="00441083" w:rsidRPr="007C16FC" w:rsidRDefault="00441083" w:rsidP="004E3A36">
      <w:pPr>
        <w:pStyle w:val="Heading1"/>
        <w:numPr>
          <w:ilvl w:val="0"/>
          <w:numId w:val="0"/>
        </w:numPr>
        <w:rPr>
          <w:lang w:val="fr-CA"/>
        </w:rPr>
      </w:pPr>
    </w:p>
    <w:p w:rsidR="00441083" w:rsidRPr="007C16FC" w:rsidRDefault="00441083">
      <w:pPr>
        <w:pStyle w:val="StyleHeader4Para4Left0Firstline0"/>
        <w:numPr>
          <w:ilvl w:val="0"/>
          <w:numId w:val="0"/>
        </w:numPr>
        <w:rPr>
          <w:lang w:val="fr-CA"/>
        </w:rPr>
      </w:pPr>
    </w:p>
    <w:p w:rsidR="00441083" w:rsidRPr="007C16FC" w:rsidRDefault="00E60D9C">
      <w:pPr>
        <w:pStyle w:val="StyleHeader4Para4Left0Firstline0"/>
        <w:numPr>
          <w:ilvl w:val="0"/>
          <w:numId w:val="0"/>
        </w:numPr>
        <w:rPr>
          <w:lang w:val="fr-CA"/>
        </w:rPr>
      </w:pPr>
      <w:r w:rsidRPr="007C16FC">
        <w:rPr>
          <w:lang w:val="fr-CA"/>
        </w:rPr>
        <w:br w:type="page"/>
      </w:r>
    </w:p>
    <w:p w:rsidR="0029622A" w:rsidRPr="00206486" w:rsidRDefault="002B0AAE" w:rsidP="0029622A">
      <w:pPr>
        <w:jc w:val="center"/>
        <w:rPr>
          <w:b/>
          <w:lang w:val="fr-CA"/>
        </w:rPr>
      </w:pPr>
      <w:r w:rsidRPr="00206486">
        <w:rPr>
          <w:b/>
          <w:lang w:val="fr-CA"/>
        </w:rPr>
        <w:lastRenderedPageBreak/>
        <w:t>FICHE D’ÉVALUATION DU PROJET – PROJETS PLURIANNUELS</w:t>
      </w:r>
    </w:p>
    <w:p w:rsidR="0029622A" w:rsidRPr="00206486" w:rsidRDefault="0029622A" w:rsidP="0029622A">
      <w:pPr>
        <w:jc w:val="center"/>
        <w:rPr>
          <w:lang w:val="fr-CA"/>
        </w:rPr>
      </w:pPr>
      <w:r w:rsidRPr="00206486">
        <w:rPr>
          <w:b/>
          <w:lang w:val="fr-CA"/>
        </w:rPr>
        <w:t>Costa Rica</w:t>
      </w:r>
    </w:p>
    <w:p w:rsidR="0029622A" w:rsidRPr="00206486" w:rsidRDefault="0029622A" w:rsidP="0029622A">
      <w:pPr>
        <w:jc w:val="center"/>
        <w:rPr>
          <w:sz w:val="10"/>
          <w:szCs w:val="10"/>
          <w:lang w:val="fr-CA"/>
        </w:rPr>
      </w:pPr>
    </w:p>
    <w:tbl>
      <w:tblPr>
        <w:tblStyle w:val="TableGrid"/>
        <w:tblW w:w="5684" w:type="pct"/>
        <w:tblInd w:w="-572" w:type="dxa"/>
        <w:tblLook w:val="04A0" w:firstRow="1" w:lastRow="0" w:firstColumn="1" w:lastColumn="0" w:noHBand="0" w:noVBand="1"/>
      </w:tblPr>
      <w:tblGrid>
        <w:gridCol w:w="5713"/>
        <w:gridCol w:w="5173"/>
      </w:tblGrid>
      <w:tr w:rsidR="0029622A" w:rsidRPr="00206486" w:rsidTr="006444C5">
        <w:trPr>
          <w:trHeight w:val="352"/>
        </w:trPr>
        <w:tc>
          <w:tcPr>
            <w:tcW w:w="2624" w:type="pct"/>
            <w:shd w:val="clear" w:color="auto" w:fill="auto"/>
          </w:tcPr>
          <w:p w:rsidR="0029622A" w:rsidRPr="00206486" w:rsidRDefault="0029622A" w:rsidP="002B0AAE">
            <w:pPr>
              <w:spacing w:after="80"/>
              <w:jc w:val="left"/>
              <w:rPr>
                <w:b/>
                <w:color w:val="000000" w:themeColor="text1"/>
                <w:sz w:val="16"/>
                <w:szCs w:val="16"/>
                <w:lang w:val="fr-CA"/>
              </w:rPr>
            </w:pPr>
            <w:r w:rsidRPr="00206486">
              <w:rPr>
                <w:b/>
                <w:color w:val="000000" w:themeColor="text1"/>
                <w:sz w:val="16"/>
                <w:szCs w:val="16"/>
                <w:lang w:val="fr-CA"/>
              </w:rPr>
              <w:t xml:space="preserve">(I) </w:t>
            </w:r>
            <w:r w:rsidR="002B0AAE" w:rsidRPr="00206486">
              <w:rPr>
                <w:b/>
                <w:color w:val="000000" w:themeColor="text1"/>
                <w:sz w:val="16"/>
                <w:szCs w:val="16"/>
                <w:lang w:val="fr-CA"/>
              </w:rPr>
              <w:t>TITRE DU PROJET</w:t>
            </w:r>
          </w:p>
        </w:tc>
        <w:tc>
          <w:tcPr>
            <w:tcW w:w="2376" w:type="pct"/>
            <w:shd w:val="clear" w:color="auto" w:fill="auto"/>
          </w:tcPr>
          <w:p w:rsidR="0029622A" w:rsidRPr="00206486" w:rsidRDefault="0029622A" w:rsidP="002B0AAE">
            <w:pPr>
              <w:spacing w:after="80"/>
              <w:jc w:val="center"/>
              <w:rPr>
                <w:b/>
                <w:color w:val="000000" w:themeColor="text1"/>
                <w:sz w:val="16"/>
                <w:szCs w:val="16"/>
                <w:lang w:val="fr-CA"/>
              </w:rPr>
            </w:pPr>
            <w:r w:rsidRPr="00206486">
              <w:rPr>
                <w:b/>
                <w:color w:val="000000" w:themeColor="text1"/>
                <w:sz w:val="16"/>
                <w:szCs w:val="16"/>
                <w:lang w:val="fr-CA"/>
              </w:rPr>
              <w:t>AGENC</w:t>
            </w:r>
            <w:r w:rsidR="002B0AAE" w:rsidRPr="00206486">
              <w:rPr>
                <w:b/>
                <w:color w:val="000000" w:themeColor="text1"/>
                <w:sz w:val="16"/>
                <w:szCs w:val="16"/>
                <w:lang w:val="fr-CA"/>
              </w:rPr>
              <w:t>E</w:t>
            </w:r>
          </w:p>
        </w:tc>
      </w:tr>
      <w:tr w:rsidR="0029622A" w:rsidRPr="00206486" w:rsidTr="006444C5">
        <w:trPr>
          <w:trHeight w:val="352"/>
        </w:trPr>
        <w:tc>
          <w:tcPr>
            <w:tcW w:w="2624" w:type="pct"/>
            <w:shd w:val="clear" w:color="auto" w:fill="auto"/>
          </w:tcPr>
          <w:p w:rsidR="0029622A" w:rsidRPr="00206486" w:rsidRDefault="00D73A31" w:rsidP="002B0AAE">
            <w:pPr>
              <w:spacing w:after="80"/>
              <w:jc w:val="center"/>
              <w:rPr>
                <w:color w:val="000000" w:themeColor="text1"/>
                <w:sz w:val="16"/>
                <w:szCs w:val="16"/>
                <w:lang w:val="fr-CA"/>
              </w:rPr>
            </w:pPr>
            <w:r w:rsidRPr="00206486">
              <w:rPr>
                <w:color w:val="000000" w:themeColor="text1"/>
                <w:sz w:val="16"/>
                <w:szCs w:val="16"/>
                <w:lang w:val="fr-CA"/>
              </w:rPr>
              <w:t>Plan d’élimination des HCFC</w:t>
            </w:r>
            <w:r w:rsidR="0029622A" w:rsidRPr="00206486">
              <w:rPr>
                <w:color w:val="000000" w:themeColor="text1"/>
                <w:sz w:val="16"/>
                <w:szCs w:val="16"/>
                <w:lang w:val="fr-CA"/>
              </w:rPr>
              <w:t xml:space="preserve"> </w:t>
            </w:r>
            <w:r w:rsidRPr="00206486">
              <w:rPr>
                <w:color w:val="000000" w:themeColor="text1"/>
                <w:sz w:val="16"/>
                <w:szCs w:val="16"/>
                <w:lang w:val="fr-CA"/>
              </w:rPr>
              <w:t>(phase</w:t>
            </w:r>
            <w:r w:rsidR="0029622A" w:rsidRPr="00206486">
              <w:rPr>
                <w:color w:val="000000" w:themeColor="text1"/>
                <w:sz w:val="16"/>
                <w:szCs w:val="16"/>
                <w:lang w:val="fr-CA"/>
              </w:rPr>
              <w:t> II)</w:t>
            </w:r>
          </w:p>
        </w:tc>
        <w:tc>
          <w:tcPr>
            <w:tcW w:w="2376" w:type="pct"/>
            <w:shd w:val="clear" w:color="auto" w:fill="auto"/>
          </w:tcPr>
          <w:p w:rsidR="0029622A" w:rsidRPr="00206486" w:rsidRDefault="002B0AAE" w:rsidP="002B0AAE">
            <w:pPr>
              <w:spacing w:after="80"/>
              <w:jc w:val="center"/>
              <w:rPr>
                <w:color w:val="000000" w:themeColor="text1"/>
                <w:sz w:val="16"/>
                <w:szCs w:val="16"/>
                <w:lang w:val="fr-CA"/>
              </w:rPr>
            </w:pPr>
            <w:r w:rsidRPr="00206486">
              <w:rPr>
                <w:color w:val="000000" w:themeColor="text1"/>
                <w:sz w:val="16"/>
                <w:szCs w:val="16"/>
                <w:lang w:val="fr-CA"/>
              </w:rPr>
              <w:t>PNUD</w:t>
            </w:r>
          </w:p>
        </w:tc>
      </w:tr>
    </w:tbl>
    <w:p w:rsidR="0029622A" w:rsidRPr="00206486" w:rsidRDefault="0029622A" w:rsidP="0029622A">
      <w:pPr>
        <w:jc w:val="center"/>
        <w:rPr>
          <w:sz w:val="16"/>
          <w:szCs w:val="16"/>
          <w:lang w:val="fr-CA"/>
        </w:rPr>
      </w:pPr>
    </w:p>
    <w:tbl>
      <w:tblPr>
        <w:tblStyle w:val="TableGrid"/>
        <w:tblW w:w="5684" w:type="pct"/>
        <w:tblInd w:w="-572" w:type="dxa"/>
        <w:tblLook w:val="04A0" w:firstRow="1" w:lastRow="0" w:firstColumn="1" w:lastColumn="0" w:noHBand="0" w:noVBand="1"/>
      </w:tblPr>
      <w:tblGrid>
        <w:gridCol w:w="6140"/>
        <w:gridCol w:w="2558"/>
        <w:gridCol w:w="2188"/>
      </w:tblGrid>
      <w:tr w:rsidR="0029622A" w:rsidRPr="00206486" w:rsidTr="006444C5">
        <w:trPr>
          <w:trHeight w:val="409"/>
        </w:trPr>
        <w:tc>
          <w:tcPr>
            <w:tcW w:w="2820" w:type="pct"/>
            <w:shd w:val="clear" w:color="auto" w:fill="auto"/>
          </w:tcPr>
          <w:p w:rsidR="0029622A" w:rsidRPr="00206486" w:rsidRDefault="0029622A" w:rsidP="002B0AAE">
            <w:pPr>
              <w:spacing w:after="60"/>
              <w:jc w:val="left"/>
              <w:rPr>
                <w:b/>
                <w:sz w:val="16"/>
                <w:szCs w:val="16"/>
                <w:lang w:val="fr-CA"/>
              </w:rPr>
            </w:pPr>
            <w:r w:rsidRPr="00206486">
              <w:rPr>
                <w:b/>
                <w:sz w:val="16"/>
                <w:szCs w:val="16"/>
                <w:lang w:val="fr-CA"/>
              </w:rPr>
              <w:t xml:space="preserve">(II) </w:t>
            </w:r>
            <w:r w:rsidR="00D73A31" w:rsidRPr="00206486">
              <w:rPr>
                <w:b/>
                <w:sz w:val="16"/>
                <w:szCs w:val="16"/>
                <w:lang w:val="fr-CA"/>
              </w:rPr>
              <w:t>DERNIÈRES DONNÉES DE L’ARTICLE 7 (Annexe C groupe l)</w:t>
            </w:r>
          </w:p>
        </w:tc>
        <w:tc>
          <w:tcPr>
            <w:tcW w:w="1175" w:type="pct"/>
            <w:shd w:val="clear" w:color="auto" w:fill="auto"/>
          </w:tcPr>
          <w:p w:rsidR="0029622A" w:rsidRPr="00206486" w:rsidRDefault="00D73A31" w:rsidP="002B0AAE">
            <w:pPr>
              <w:spacing w:after="60"/>
              <w:jc w:val="center"/>
              <w:rPr>
                <w:sz w:val="16"/>
                <w:szCs w:val="16"/>
                <w:lang w:val="fr-CA"/>
              </w:rPr>
            </w:pPr>
            <w:r w:rsidRPr="00206486">
              <w:rPr>
                <w:sz w:val="16"/>
                <w:szCs w:val="16"/>
                <w:lang w:val="fr-CA"/>
              </w:rPr>
              <w:t>Année</w:t>
            </w:r>
            <w:r w:rsidR="002B0AAE" w:rsidRPr="00206486">
              <w:rPr>
                <w:sz w:val="16"/>
                <w:szCs w:val="16"/>
                <w:lang w:val="fr-CA"/>
              </w:rPr>
              <w:t xml:space="preserve"> : </w:t>
            </w:r>
            <w:r w:rsidR="0029622A" w:rsidRPr="00206486">
              <w:rPr>
                <w:sz w:val="16"/>
                <w:szCs w:val="16"/>
                <w:lang w:val="fr-CA"/>
              </w:rPr>
              <w:t>2018</w:t>
            </w:r>
          </w:p>
        </w:tc>
        <w:tc>
          <w:tcPr>
            <w:tcW w:w="1005"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8,</w:t>
            </w:r>
            <w:r w:rsidR="0029622A" w:rsidRPr="00206486">
              <w:rPr>
                <w:sz w:val="16"/>
                <w:szCs w:val="16"/>
                <w:lang w:val="fr-CA"/>
              </w:rPr>
              <w:t xml:space="preserve">82 </w:t>
            </w:r>
            <w:r w:rsidR="00C02492" w:rsidRPr="00206486">
              <w:rPr>
                <w:sz w:val="16"/>
                <w:szCs w:val="16"/>
                <w:lang w:val="fr-CA"/>
              </w:rPr>
              <w:t>(tonnes PAO</w:t>
            </w:r>
            <w:r w:rsidR="0029622A" w:rsidRPr="00206486">
              <w:rPr>
                <w:sz w:val="16"/>
                <w:szCs w:val="16"/>
                <w:lang w:val="fr-CA"/>
              </w:rPr>
              <w:t>)</w:t>
            </w:r>
          </w:p>
        </w:tc>
      </w:tr>
    </w:tbl>
    <w:p w:rsidR="0029622A" w:rsidRPr="00206486" w:rsidRDefault="0029622A" w:rsidP="0029622A">
      <w:pPr>
        <w:jc w:val="center"/>
        <w:rPr>
          <w:sz w:val="16"/>
          <w:szCs w:val="16"/>
          <w:lang w:val="fr-CA"/>
        </w:rPr>
      </w:pPr>
    </w:p>
    <w:tbl>
      <w:tblPr>
        <w:tblStyle w:val="TableGrid"/>
        <w:tblW w:w="5684" w:type="pct"/>
        <w:tblInd w:w="-572" w:type="dxa"/>
        <w:tblLook w:val="04A0" w:firstRow="1" w:lastRow="0" w:firstColumn="1" w:lastColumn="0" w:noHBand="0" w:noVBand="1"/>
      </w:tblPr>
      <w:tblGrid>
        <w:gridCol w:w="1831"/>
        <w:gridCol w:w="790"/>
        <w:gridCol w:w="777"/>
        <w:gridCol w:w="1086"/>
        <w:gridCol w:w="1291"/>
        <w:gridCol w:w="919"/>
        <w:gridCol w:w="771"/>
        <w:gridCol w:w="1163"/>
        <w:gridCol w:w="910"/>
        <w:gridCol w:w="1348"/>
      </w:tblGrid>
      <w:tr w:rsidR="0029622A" w:rsidRPr="00206486" w:rsidTr="006444C5">
        <w:trPr>
          <w:trHeight w:val="250"/>
        </w:trPr>
        <w:tc>
          <w:tcPr>
            <w:tcW w:w="3962" w:type="pct"/>
            <w:gridSpan w:val="8"/>
            <w:shd w:val="clear" w:color="auto" w:fill="auto"/>
          </w:tcPr>
          <w:p w:rsidR="0029622A" w:rsidRPr="00206486" w:rsidRDefault="0029622A" w:rsidP="00C02492">
            <w:pPr>
              <w:spacing w:after="60"/>
              <w:jc w:val="left"/>
              <w:rPr>
                <w:b/>
                <w:sz w:val="16"/>
                <w:szCs w:val="16"/>
                <w:lang w:val="fr-CA"/>
              </w:rPr>
            </w:pPr>
            <w:r w:rsidRPr="00206486">
              <w:rPr>
                <w:b/>
                <w:sz w:val="16"/>
                <w:szCs w:val="16"/>
                <w:lang w:val="fr-CA"/>
              </w:rPr>
              <w:t xml:space="preserve">(III) </w:t>
            </w:r>
            <w:r w:rsidR="00D73A31" w:rsidRPr="00206486">
              <w:rPr>
                <w:b/>
                <w:sz w:val="16"/>
                <w:szCs w:val="16"/>
                <w:lang w:val="fr-CA"/>
              </w:rPr>
              <w:t>DERNIÈRES DONNÉES SECTORIELLES DU PROGRAMME D</w:t>
            </w:r>
            <w:r w:rsidR="00C02492" w:rsidRPr="00206486">
              <w:rPr>
                <w:b/>
                <w:sz w:val="16"/>
                <w:szCs w:val="16"/>
                <w:lang w:val="fr-CA"/>
              </w:rPr>
              <w:t>E</w:t>
            </w:r>
            <w:r w:rsidR="00D73A31" w:rsidRPr="00206486">
              <w:rPr>
                <w:b/>
                <w:sz w:val="16"/>
                <w:szCs w:val="16"/>
                <w:lang w:val="fr-CA"/>
              </w:rPr>
              <w:t xml:space="preserve"> PAYS (tonnes PAO)</w:t>
            </w:r>
          </w:p>
        </w:tc>
        <w:tc>
          <w:tcPr>
            <w:tcW w:w="1038" w:type="pct"/>
            <w:gridSpan w:val="2"/>
            <w:shd w:val="clear" w:color="auto" w:fill="auto"/>
          </w:tcPr>
          <w:p w:rsidR="0029622A" w:rsidRPr="00206486" w:rsidRDefault="00D73A31" w:rsidP="002B0AAE">
            <w:pPr>
              <w:spacing w:after="60"/>
              <w:jc w:val="right"/>
              <w:rPr>
                <w:b/>
                <w:sz w:val="16"/>
                <w:szCs w:val="16"/>
                <w:lang w:val="fr-CA"/>
              </w:rPr>
            </w:pPr>
            <w:r w:rsidRPr="00206486">
              <w:rPr>
                <w:b/>
                <w:sz w:val="16"/>
                <w:szCs w:val="16"/>
                <w:lang w:val="fr-CA"/>
              </w:rPr>
              <w:t>Année</w:t>
            </w:r>
            <w:r w:rsidR="002B0AAE" w:rsidRPr="00206486">
              <w:rPr>
                <w:b/>
                <w:sz w:val="16"/>
                <w:szCs w:val="16"/>
                <w:lang w:val="fr-CA"/>
              </w:rPr>
              <w:t xml:space="preserve"> : </w:t>
            </w:r>
            <w:r w:rsidR="0029622A" w:rsidRPr="00206486">
              <w:rPr>
                <w:b/>
                <w:sz w:val="16"/>
                <w:szCs w:val="16"/>
                <w:lang w:val="fr-CA"/>
              </w:rPr>
              <w:t>2018</w:t>
            </w:r>
          </w:p>
        </w:tc>
      </w:tr>
      <w:tr w:rsidR="00686F8A" w:rsidRPr="00206486" w:rsidTr="006444C5">
        <w:trPr>
          <w:trHeight w:val="250"/>
        </w:trPr>
        <w:tc>
          <w:tcPr>
            <w:tcW w:w="841"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 xml:space="preserve">Produits </w:t>
            </w:r>
          </w:p>
          <w:p w:rsidR="00C02492" w:rsidRPr="00206486" w:rsidRDefault="00C02492" w:rsidP="00BD19D4">
            <w:pPr>
              <w:spacing w:after="60"/>
              <w:jc w:val="center"/>
              <w:rPr>
                <w:sz w:val="16"/>
                <w:szCs w:val="16"/>
                <w:lang w:val="fr-CA"/>
              </w:rPr>
            </w:pPr>
            <w:r w:rsidRPr="00206486">
              <w:rPr>
                <w:sz w:val="16"/>
                <w:szCs w:val="16"/>
                <w:lang w:val="fr-CA"/>
              </w:rPr>
              <w:t>chimiques</w:t>
            </w:r>
          </w:p>
        </w:tc>
        <w:tc>
          <w:tcPr>
            <w:tcW w:w="363"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Aérosols</w:t>
            </w:r>
          </w:p>
        </w:tc>
        <w:tc>
          <w:tcPr>
            <w:tcW w:w="357"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Mousses</w:t>
            </w:r>
          </w:p>
        </w:tc>
        <w:tc>
          <w:tcPr>
            <w:tcW w:w="499" w:type="pct"/>
            <w:shd w:val="clear" w:color="auto" w:fill="auto"/>
          </w:tcPr>
          <w:p w:rsidR="00C02492" w:rsidRPr="00206486" w:rsidRDefault="00C02492" w:rsidP="00C02492">
            <w:pPr>
              <w:spacing w:after="60"/>
              <w:jc w:val="center"/>
              <w:rPr>
                <w:sz w:val="16"/>
                <w:szCs w:val="16"/>
                <w:lang w:val="fr-CA"/>
              </w:rPr>
            </w:pPr>
            <w:r w:rsidRPr="00206486">
              <w:rPr>
                <w:sz w:val="16"/>
                <w:szCs w:val="16"/>
                <w:lang w:val="fr-CA"/>
              </w:rPr>
              <w:t>Lutte contre</w:t>
            </w:r>
          </w:p>
          <w:p w:rsidR="00C02492" w:rsidRPr="00206486" w:rsidRDefault="00C02492" w:rsidP="00C02492">
            <w:pPr>
              <w:spacing w:after="60"/>
              <w:jc w:val="center"/>
              <w:rPr>
                <w:sz w:val="16"/>
                <w:szCs w:val="16"/>
                <w:lang w:val="fr-CA"/>
              </w:rPr>
            </w:pPr>
            <w:r w:rsidRPr="00206486">
              <w:rPr>
                <w:sz w:val="16"/>
                <w:szCs w:val="16"/>
                <w:lang w:val="fr-CA"/>
              </w:rPr>
              <w:t xml:space="preserve"> les incendies</w:t>
            </w:r>
          </w:p>
        </w:tc>
        <w:tc>
          <w:tcPr>
            <w:tcW w:w="1015" w:type="pct"/>
            <w:gridSpan w:val="2"/>
            <w:shd w:val="clear" w:color="auto" w:fill="auto"/>
          </w:tcPr>
          <w:p w:rsidR="00C02492" w:rsidRPr="00206486" w:rsidRDefault="00C02492" w:rsidP="00BD19D4">
            <w:pPr>
              <w:spacing w:after="60"/>
              <w:jc w:val="center"/>
              <w:rPr>
                <w:sz w:val="16"/>
                <w:szCs w:val="16"/>
                <w:lang w:val="fr-CA"/>
              </w:rPr>
            </w:pPr>
            <w:r w:rsidRPr="00206486">
              <w:rPr>
                <w:sz w:val="16"/>
                <w:szCs w:val="16"/>
                <w:lang w:val="fr-CA"/>
              </w:rPr>
              <w:t>Réfrigération</w:t>
            </w:r>
          </w:p>
        </w:tc>
        <w:tc>
          <w:tcPr>
            <w:tcW w:w="354"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Solvants</w:t>
            </w:r>
          </w:p>
        </w:tc>
        <w:tc>
          <w:tcPr>
            <w:tcW w:w="534"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Agent de</w:t>
            </w:r>
          </w:p>
          <w:p w:rsidR="00C02492" w:rsidRPr="00206486" w:rsidRDefault="00C02492" w:rsidP="00BD19D4">
            <w:pPr>
              <w:spacing w:after="60"/>
              <w:jc w:val="center"/>
              <w:rPr>
                <w:sz w:val="16"/>
                <w:szCs w:val="16"/>
                <w:lang w:val="fr-CA"/>
              </w:rPr>
            </w:pPr>
            <w:r w:rsidRPr="00206486">
              <w:rPr>
                <w:sz w:val="16"/>
                <w:szCs w:val="16"/>
                <w:lang w:val="fr-CA"/>
              </w:rPr>
              <w:t>transformation</w:t>
            </w:r>
          </w:p>
        </w:tc>
        <w:tc>
          <w:tcPr>
            <w:tcW w:w="418"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Utilisation en laboratoire</w:t>
            </w:r>
          </w:p>
        </w:tc>
        <w:tc>
          <w:tcPr>
            <w:tcW w:w="620" w:type="pct"/>
            <w:shd w:val="clear" w:color="auto" w:fill="auto"/>
          </w:tcPr>
          <w:p w:rsidR="00C02492" w:rsidRPr="00206486" w:rsidRDefault="00C02492" w:rsidP="00686F8A">
            <w:pPr>
              <w:spacing w:after="60"/>
              <w:jc w:val="center"/>
              <w:rPr>
                <w:sz w:val="16"/>
                <w:szCs w:val="16"/>
                <w:lang w:val="fr-CA"/>
              </w:rPr>
            </w:pPr>
            <w:r w:rsidRPr="00206486">
              <w:rPr>
                <w:sz w:val="16"/>
                <w:szCs w:val="16"/>
                <w:lang w:val="fr-CA"/>
              </w:rPr>
              <w:t xml:space="preserve">Consommation </w:t>
            </w:r>
            <w:r w:rsidR="00686F8A" w:rsidRPr="00206486">
              <w:rPr>
                <w:sz w:val="16"/>
                <w:szCs w:val="16"/>
                <w:lang w:val="fr-CA"/>
              </w:rPr>
              <w:t xml:space="preserve">   </w:t>
            </w:r>
            <w:r w:rsidRPr="00206486">
              <w:rPr>
                <w:sz w:val="16"/>
                <w:szCs w:val="16"/>
                <w:lang w:val="fr-CA"/>
              </w:rPr>
              <w:t xml:space="preserve">totale </w:t>
            </w:r>
            <w:r w:rsidR="00686F8A" w:rsidRPr="00206486">
              <w:rPr>
                <w:sz w:val="16"/>
                <w:szCs w:val="16"/>
                <w:lang w:val="fr-CA"/>
              </w:rPr>
              <w:t xml:space="preserve">                       </w:t>
            </w:r>
            <w:r w:rsidRPr="00206486">
              <w:rPr>
                <w:sz w:val="16"/>
                <w:szCs w:val="16"/>
                <w:lang w:val="fr-CA"/>
              </w:rPr>
              <w:t>du secteur</w:t>
            </w:r>
          </w:p>
        </w:tc>
      </w:tr>
      <w:tr w:rsidR="00C02492" w:rsidRPr="00206486" w:rsidTr="006444C5">
        <w:trPr>
          <w:trHeight w:val="250"/>
        </w:trPr>
        <w:tc>
          <w:tcPr>
            <w:tcW w:w="2060" w:type="pct"/>
            <w:gridSpan w:val="4"/>
            <w:shd w:val="clear" w:color="auto" w:fill="auto"/>
          </w:tcPr>
          <w:p w:rsidR="00C02492" w:rsidRPr="00206486" w:rsidRDefault="00C02492" w:rsidP="002B0AAE">
            <w:pPr>
              <w:spacing w:after="60"/>
              <w:jc w:val="center"/>
              <w:rPr>
                <w:sz w:val="16"/>
                <w:szCs w:val="16"/>
                <w:lang w:val="fr-CA"/>
              </w:rPr>
            </w:pPr>
            <w:r w:rsidRPr="00206486">
              <w:rPr>
                <w:sz w:val="16"/>
                <w:szCs w:val="16"/>
                <w:lang w:val="fr-CA"/>
              </w:rPr>
              <w:t xml:space="preserve"> </w:t>
            </w:r>
          </w:p>
        </w:tc>
        <w:tc>
          <w:tcPr>
            <w:tcW w:w="593"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Fabrication</w:t>
            </w:r>
          </w:p>
        </w:tc>
        <w:tc>
          <w:tcPr>
            <w:tcW w:w="422" w:type="pct"/>
            <w:shd w:val="clear" w:color="auto" w:fill="auto"/>
          </w:tcPr>
          <w:p w:rsidR="00C02492" w:rsidRPr="00206486" w:rsidRDefault="00C02492" w:rsidP="00BD19D4">
            <w:pPr>
              <w:spacing w:after="60"/>
              <w:jc w:val="center"/>
              <w:rPr>
                <w:sz w:val="16"/>
                <w:szCs w:val="16"/>
                <w:lang w:val="fr-CA"/>
              </w:rPr>
            </w:pPr>
            <w:r w:rsidRPr="00206486">
              <w:rPr>
                <w:sz w:val="16"/>
                <w:szCs w:val="16"/>
                <w:lang w:val="fr-CA"/>
              </w:rPr>
              <w:t>Entretien</w:t>
            </w:r>
          </w:p>
        </w:tc>
        <w:tc>
          <w:tcPr>
            <w:tcW w:w="1925" w:type="pct"/>
            <w:gridSpan w:val="4"/>
            <w:shd w:val="clear" w:color="auto" w:fill="auto"/>
          </w:tcPr>
          <w:p w:rsidR="00C02492" w:rsidRPr="00206486" w:rsidRDefault="00C02492" w:rsidP="002B0AAE">
            <w:pPr>
              <w:spacing w:after="60"/>
              <w:jc w:val="center"/>
              <w:rPr>
                <w:sz w:val="16"/>
                <w:szCs w:val="16"/>
                <w:lang w:val="fr-CA"/>
              </w:rPr>
            </w:pPr>
          </w:p>
        </w:tc>
      </w:tr>
      <w:tr w:rsidR="00686F8A" w:rsidRPr="00206486" w:rsidTr="006444C5">
        <w:trPr>
          <w:trHeight w:val="250"/>
        </w:trPr>
        <w:tc>
          <w:tcPr>
            <w:tcW w:w="841" w:type="pct"/>
            <w:shd w:val="clear" w:color="auto" w:fill="auto"/>
          </w:tcPr>
          <w:p w:rsidR="0029622A" w:rsidRPr="00206486" w:rsidRDefault="0029622A" w:rsidP="002B0AAE">
            <w:pPr>
              <w:spacing w:after="60"/>
              <w:jc w:val="left"/>
              <w:rPr>
                <w:sz w:val="16"/>
                <w:szCs w:val="16"/>
                <w:lang w:val="fr-CA"/>
              </w:rPr>
            </w:pPr>
            <w:r w:rsidRPr="00206486">
              <w:rPr>
                <w:sz w:val="16"/>
                <w:szCs w:val="16"/>
                <w:lang w:val="fr-CA"/>
              </w:rPr>
              <w:t>HCFC-124</w:t>
            </w:r>
          </w:p>
        </w:tc>
        <w:tc>
          <w:tcPr>
            <w:tcW w:w="363" w:type="pct"/>
            <w:shd w:val="clear" w:color="auto" w:fill="auto"/>
          </w:tcPr>
          <w:p w:rsidR="0029622A" w:rsidRPr="00206486" w:rsidRDefault="0029622A" w:rsidP="002B0AAE">
            <w:pPr>
              <w:spacing w:after="60"/>
              <w:jc w:val="right"/>
              <w:rPr>
                <w:sz w:val="16"/>
                <w:szCs w:val="16"/>
                <w:lang w:val="fr-CA"/>
              </w:rPr>
            </w:pPr>
          </w:p>
        </w:tc>
        <w:tc>
          <w:tcPr>
            <w:tcW w:w="357" w:type="pct"/>
            <w:shd w:val="clear" w:color="auto" w:fill="auto"/>
          </w:tcPr>
          <w:p w:rsidR="0029622A" w:rsidRPr="00206486" w:rsidRDefault="0029622A" w:rsidP="002B0AAE">
            <w:pPr>
              <w:spacing w:after="60"/>
              <w:jc w:val="right"/>
              <w:rPr>
                <w:sz w:val="16"/>
                <w:szCs w:val="16"/>
                <w:lang w:val="fr-CA"/>
              </w:rPr>
            </w:pPr>
          </w:p>
        </w:tc>
        <w:tc>
          <w:tcPr>
            <w:tcW w:w="499" w:type="pct"/>
            <w:shd w:val="clear" w:color="auto" w:fill="auto"/>
          </w:tcPr>
          <w:p w:rsidR="0029622A" w:rsidRPr="00206486" w:rsidRDefault="0029622A" w:rsidP="002B0AAE">
            <w:pPr>
              <w:spacing w:after="60"/>
              <w:jc w:val="right"/>
              <w:rPr>
                <w:sz w:val="16"/>
                <w:szCs w:val="16"/>
                <w:lang w:val="fr-CA"/>
              </w:rPr>
            </w:pPr>
          </w:p>
        </w:tc>
        <w:tc>
          <w:tcPr>
            <w:tcW w:w="593" w:type="pct"/>
            <w:shd w:val="clear" w:color="auto" w:fill="auto"/>
          </w:tcPr>
          <w:p w:rsidR="0029622A" w:rsidRPr="00206486" w:rsidRDefault="0029622A" w:rsidP="002B0AAE">
            <w:pPr>
              <w:spacing w:after="60"/>
              <w:jc w:val="right"/>
              <w:rPr>
                <w:sz w:val="16"/>
                <w:szCs w:val="16"/>
                <w:lang w:val="fr-CA"/>
              </w:rPr>
            </w:pPr>
          </w:p>
        </w:tc>
        <w:tc>
          <w:tcPr>
            <w:tcW w:w="422" w:type="pct"/>
            <w:shd w:val="clear" w:color="auto" w:fill="auto"/>
          </w:tcPr>
          <w:p w:rsidR="0029622A" w:rsidRPr="00206486" w:rsidRDefault="0029622A" w:rsidP="002B0AAE">
            <w:pPr>
              <w:spacing w:after="60"/>
              <w:jc w:val="right"/>
              <w:rPr>
                <w:sz w:val="16"/>
                <w:szCs w:val="16"/>
                <w:lang w:val="fr-CA"/>
              </w:rPr>
            </w:pPr>
          </w:p>
        </w:tc>
        <w:tc>
          <w:tcPr>
            <w:tcW w:w="354" w:type="pct"/>
            <w:shd w:val="clear" w:color="auto" w:fill="auto"/>
          </w:tcPr>
          <w:p w:rsidR="0029622A" w:rsidRPr="00206486" w:rsidRDefault="0029622A" w:rsidP="002B0AAE">
            <w:pPr>
              <w:spacing w:after="60"/>
              <w:jc w:val="right"/>
              <w:rPr>
                <w:sz w:val="16"/>
                <w:szCs w:val="16"/>
                <w:lang w:val="fr-CA"/>
              </w:rPr>
            </w:pPr>
          </w:p>
        </w:tc>
        <w:tc>
          <w:tcPr>
            <w:tcW w:w="534" w:type="pct"/>
            <w:shd w:val="clear" w:color="auto" w:fill="auto"/>
          </w:tcPr>
          <w:p w:rsidR="0029622A" w:rsidRPr="00206486" w:rsidRDefault="0029622A" w:rsidP="002B0AAE">
            <w:pPr>
              <w:spacing w:after="60"/>
              <w:jc w:val="right"/>
              <w:rPr>
                <w:sz w:val="16"/>
                <w:szCs w:val="16"/>
                <w:lang w:val="fr-CA"/>
              </w:rPr>
            </w:pPr>
          </w:p>
        </w:tc>
        <w:tc>
          <w:tcPr>
            <w:tcW w:w="418" w:type="pct"/>
            <w:shd w:val="clear" w:color="auto" w:fill="auto"/>
          </w:tcPr>
          <w:p w:rsidR="0029622A" w:rsidRPr="00206486" w:rsidRDefault="0029622A" w:rsidP="002B0AAE">
            <w:pPr>
              <w:spacing w:after="60"/>
              <w:jc w:val="right"/>
              <w:rPr>
                <w:sz w:val="16"/>
                <w:szCs w:val="16"/>
                <w:lang w:val="fr-CA"/>
              </w:rPr>
            </w:pPr>
          </w:p>
        </w:tc>
        <w:tc>
          <w:tcPr>
            <w:tcW w:w="620" w:type="pct"/>
            <w:shd w:val="clear" w:color="auto" w:fill="auto"/>
          </w:tcPr>
          <w:p w:rsidR="0029622A" w:rsidRPr="00206486" w:rsidRDefault="0029622A" w:rsidP="002B0AAE">
            <w:pPr>
              <w:spacing w:after="60"/>
              <w:jc w:val="right"/>
              <w:rPr>
                <w:sz w:val="16"/>
                <w:szCs w:val="16"/>
                <w:lang w:val="fr-CA"/>
              </w:rPr>
            </w:pPr>
          </w:p>
        </w:tc>
      </w:tr>
      <w:tr w:rsidR="00686F8A" w:rsidRPr="00206486" w:rsidTr="006444C5">
        <w:trPr>
          <w:trHeight w:val="250"/>
        </w:trPr>
        <w:tc>
          <w:tcPr>
            <w:tcW w:w="841" w:type="pct"/>
            <w:shd w:val="clear" w:color="auto" w:fill="auto"/>
          </w:tcPr>
          <w:p w:rsidR="0029622A" w:rsidRPr="00206486" w:rsidRDefault="0029622A" w:rsidP="002B0AAE">
            <w:pPr>
              <w:spacing w:after="60"/>
              <w:jc w:val="left"/>
              <w:rPr>
                <w:sz w:val="16"/>
                <w:szCs w:val="16"/>
                <w:lang w:val="fr-CA"/>
              </w:rPr>
            </w:pPr>
            <w:r w:rsidRPr="00206486">
              <w:rPr>
                <w:sz w:val="16"/>
                <w:szCs w:val="16"/>
                <w:lang w:val="fr-CA"/>
              </w:rPr>
              <w:t>HCFC-141b</w:t>
            </w:r>
          </w:p>
        </w:tc>
        <w:tc>
          <w:tcPr>
            <w:tcW w:w="363" w:type="pct"/>
            <w:shd w:val="clear" w:color="auto" w:fill="auto"/>
          </w:tcPr>
          <w:p w:rsidR="0029622A" w:rsidRPr="00206486" w:rsidRDefault="0029622A" w:rsidP="002B0AAE">
            <w:pPr>
              <w:spacing w:after="60"/>
              <w:jc w:val="right"/>
              <w:rPr>
                <w:sz w:val="16"/>
                <w:szCs w:val="16"/>
                <w:lang w:val="fr-CA"/>
              </w:rPr>
            </w:pPr>
          </w:p>
        </w:tc>
        <w:tc>
          <w:tcPr>
            <w:tcW w:w="357" w:type="pct"/>
            <w:shd w:val="clear" w:color="auto" w:fill="auto"/>
          </w:tcPr>
          <w:p w:rsidR="0029622A" w:rsidRPr="00206486" w:rsidRDefault="0029622A" w:rsidP="002B0AAE">
            <w:pPr>
              <w:spacing w:after="60"/>
              <w:jc w:val="right"/>
              <w:rPr>
                <w:sz w:val="16"/>
                <w:szCs w:val="16"/>
                <w:lang w:val="fr-CA"/>
              </w:rPr>
            </w:pPr>
          </w:p>
        </w:tc>
        <w:tc>
          <w:tcPr>
            <w:tcW w:w="499" w:type="pct"/>
            <w:shd w:val="clear" w:color="auto" w:fill="auto"/>
          </w:tcPr>
          <w:p w:rsidR="0029622A" w:rsidRPr="00206486" w:rsidRDefault="0029622A" w:rsidP="002B0AAE">
            <w:pPr>
              <w:spacing w:after="60"/>
              <w:jc w:val="right"/>
              <w:rPr>
                <w:sz w:val="16"/>
                <w:szCs w:val="16"/>
                <w:lang w:val="fr-CA"/>
              </w:rPr>
            </w:pPr>
          </w:p>
        </w:tc>
        <w:tc>
          <w:tcPr>
            <w:tcW w:w="593" w:type="pct"/>
            <w:shd w:val="clear" w:color="auto" w:fill="auto"/>
          </w:tcPr>
          <w:p w:rsidR="0029622A" w:rsidRPr="00206486" w:rsidRDefault="0029622A" w:rsidP="002B0AAE">
            <w:pPr>
              <w:spacing w:after="60"/>
              <w:jc w:val="right"/>
              <w:rPr>
                <w:sz w:val="16"/>
                <w:szCs w:val="16"/>
                <w:lang w:val="fr-CA"/>
              </w:rPr>
            </w:pPr>
          </w:p>
        </w:tc>
        <w:tc>
          <w:tcPr>
            <w:tcW w:w="422"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1,</w:t>
            </w:r>
            <w:r w:rsidR="0029622A" w:rsidRPr="00206486">
              <w:rPr>
                <w:sz w:val="16"/>
                <w:szCs w:val="16"/>
                <w:lang w:val="fr-CA"/>
              </w:rPr>
              <w:t>20</w:t>
            </w:r>
          </w:p>
        </w:tc>
        <w:tc>
          <w:tcPr>
            <w:tcW w:w="354" w:type="pct"/>
            <w:shd w:val="clear" w:color="auto" w:fill="auto"/>
          </w:tcPr>
          <w:p w:rsidR="0029622A" w:rsidRPr="00206486" w:rsidRDefault="0029622A" w:rsidP="002B0AAE">
            <w:pPr>
              <w:spacing w:after="60"/>
              <w:jc w:val="right"/>
              <w:rPr>
                <w:sz w:val="16"/>
                <w:szCs w:val="16"/>
                <w:lang w:val="fr-CA"/>
              </w:rPr>
            </w:pPr>
          </w:p>
        </w:tc>
        <w:tc>
          <w:tcPr>
            <w:tcW w:w="534" w:type="pct"/>
            <w:shd w:val="clear" w:color="auto" w:fill="auto"/>
          </w:tcPr>
          <w:p w:rsidR="0029622A" w:rsidRPr="00206486" w:rsidRDefault="0029622A" w:rsidP="002B0AAE">
            <w:pPr>
              <w:spacing w:after="60"/>
              <w:jc w:val="right"/>
              <w:rPr>
                <w:sz w:val="16"/>
                <w:szCs w:val="16"/>
                <w:lang w:val="fr-CA"/>
              </w:rPr>
            </w:pPr>
          </w:p>
        </w:tc>
        <w:tc>
          <w:tcPr>
            <w:tcW w:w="418" w:type="pct"/>
            <w:shd w:val="clear" w:color="auto" w:fill="auto"/>
          </w:tcPr>
          <w:p w:rsidR="0029622A" w:rsidRPr="00206486" w:rsidRDefault="0029622A" w:rsidP="002B0AAE">
            <w:pPr>
              <w:spacing w:after="60"/>
              <w:jc w:val="right"/>
              <w:rPr>
                <w:sz w:val="16"/>
                <w:szCs w:val="16"/>
                <w:lang w:val="fr-CA"/>
              </w:rPr>
            </w:pPr>
          </w:p>
        </w:tc>
        <w:tc>
          <w:tcPr>
            <w:tcW w:w="620"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1,</w:t>
            </w:r>
            <w:r w:rsidR="0029622A" w:rsidRPr="00206486">
              <w:rPr>
                <w:sz w:val="16"/>
                <w:szCs w:val="16"/>
                <w:lang w:val="fr-CA"/>
              </w:rPr>
              <w:t>20</w:t>
            </w:r>
          </w:p>
        </w:tc>
      </w:tr>
      <w:tr w:rsidR="00686F8A" w:rsidRPr="00206486" w:rsidTr="006444C5">
        <w:trPr>
          <w:trHeight w:val="400"/>
        </w:trPr>
        <w:tc>
          <w:tcPr>
            <w:tcW w:w="841" w:type="pct"/>
            <w:shd w:val="clear" w:color="auto" w:fill="auto"/>
          </w:tcPr>
          <w:p w:rsidR="0029622A" w:rsidRPr="00206486" w:rsidRDefault="0029622A" w:rsidP="00C02492">
            <w:pPr>
              <w:spacing w:after="60"/>
              <w:jc w:val="left"/>
              <w:rPr>
                <w:sz w:val="16"/>
                <w:szCs w:val="16"/>
                <w:lang w:val="fr-CA"/>
              </w:rPr>
            </w:pPr>
            <w:r w:rsidRPr="00206486">
              <w:rPr>
                <w:sz w:val="16"/>
                <w:szCs w:val="16"/>
                <w:lang w:val="fr-CA"/>
              </w:rPr>
              <w:t>HCFC-141b</w:t>
            </w:r>
            <w:r w:rsidR="00AC4147">
              <w:rPr>
                <w:sz w:val="16"/>
                <w:szCs w:val="16"/>
                <w:lang w:val="fr-CA"/>
              </w:rPr>
              <w:t xml:space="preserve"> </w:t>
            </w:r>
            <w:r w:rsidR="00C02492" w:rsidRPr="00206486">
              <w:rPr>
                <w:sz w:val="16"/>
                <w:szCs w:val="16"/>
                <w:lang w:val="fr-CA"/>
              </w:rPr>
              <w:t>dans le polyol prémélangé importé</w:t>
            </w:r>
          </w:p>
        </w:tc>
        <w:tc>
          <w:tcPr>
            <w:tcW w:w="363" w:type="pct"/>
            <w:shd w:val="clear" w:color="auto" w:fill="auto"/>
          </w:tcPr>
          <w:p w:rsidR="0029622A" w:rsidRPr="00206486" w:rsidRDefault="0029622A" w:rsidP="002B0AAE">
            <w:pPr>
              <w:spacing w:after="60"/>
              <w:jc w:val="right"/>
              <w:rPr>
                <w:sz w:val="16"/>
                <w:szCs w:val="16"/>
                <w:lang w:val="fr-CA"/>
              </w:rPr>
            </w:pPr>
          </w:p>
        </w:tc>
        <w:tc>
          <w:tcPr>
            <w:tcW w:w="357"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0,</w:t>
            </w:r>
            <w:r w:rsidR="0029622A" w:rsidRPr="00206486">
              <w:rPr>
                <w:sz w:val="16"/>
                <w:szCs w:val="16"/>
                <w:lang w:val="fr-CA"/>
              </w:rPr>
              <w:t>40</w:t>
            </w:r>
          </w:p>
        </w:tc>
        <w:tc>
          <w:tcPr>
            <w:tcW w:w="499" w:type="pct"/>
            <w:shd w:val="clear" w:color="auto" w:fill="auto"/>
          </w:tcPr>
          <w:p w:rsidR="0029622A" w:rsidRPr="00206486" w:rsidRDefault="0029622A" w:rsidP="002B0AAE">
            <w:pPr>
              <w:spacing w:after="60"/>
              <w:jc w:val="right"/>
              <w:rPr>
                <w:sz w:val="16"/>
                <w:szCs w:val="16"/>
                <w:lang w:val="fr-CA"/>
              </w:rPr>
            </w:pPr>
          </w:p>
        </w:tc>
        <w:tc>
          <w:tcPr>
            <w:tcW w:w="593" w:type="pct"/>
            <w:shd w:val="clear" w:color="auto" w:fill="auto"/>
          </w:tcPr>
          <w:p w:rsidR="0029622A" w:rsidRPr="00206486" w:rsidRDefault="0029622A" w:rsidP="002B0AAE">
            <w:pPr>
              <w:spacing w:after="60"/>
              <w:jc w:val="right"/>
              <w:rPr>
                <w:sz w:val="16"/>
                <w:szCs w:val="16"/>
                <w:lang w:val="fr-CA"/>
              </w:rPr>
            </w:pPr>
          </w:p>
        </w:tc>
        <w:tc>
          <w:tcPr>
            <w:tcW w:w="422" w:type="pct"/>
            <w:shd w:val="clear" w:color="auto" w:fill="auto"/>
          </w:tcPr>
          <w:p w:rsidR="0029622A" w:rsidRPr="00206486" w:rsidRDefault="0029622A" w:rsidP="002B0AAE">
            <w:pPr>
              <w:spacing w:after="60"/>
              <w:jc w:val="right"/>
              <w:rPr>
                <w:sz w:val="16"/>
                <w:szCs w:val="16"/>
                <w:lang w:val="fr-CA"/>
              </w:rPr>
            </w:pPr>
          </w:p>
        </w:tc>
        <w:tc>
          <w:tcPr>
            <w:tcW w:w="354" w:type="pct"/>
            <w:shd w:val="clear" w:color="auto" w:fill="auto"/>
          </w:tcPr>
          <w:p w:rsidR="0029622A" w:rsidRPr="00206486" w:rsidRDefault="0029622A" w:rsidP="002B0AAE">
            <w:pPr>
              <w:spacing w:after="60"/>
              <w:jc w:val="right"/>
              <w:rPr>
                <w:sz w:val="16"/>
                <w:szCs w:val="16"/>
                <w:lang w:val="fr-CA"/>
              </w:rPr>
            </w:pPr>
          </w:p>
        </w:tc>
        <w:tc>
          <w:tcPr>
            <w:tcW w:w="534" w:type="pct"/>
            <w:shd w:val="clear" w:color="auto" w:fill="auto"/>
          </w:tcPr>
          <w:p w:rsidR="0029622A" w:rsidRPr="00206486" w:rsidRDefault="0029622A" w:rsidP="002B0AAE">
            <w:pPr>
              <w:spacing w:after="60"/>
              <w:jc w:val="right"/>
              <w:rPr>
                <w:sz w:val="16"/>
                <w:szCs w:val="16"/>
                <w:lang w:val="fr-CA"/>
              </w:rPr>
            </w:pPr>
          </w:p>
        </w:tc>
        <w:tc>
          <w:tcPr>
            <w:tcW w:w="418" w:type="pct"/>
            <w:shd w:val="clear" w:color="auto" w:fill="auto"/>
          </w:tcPr>
          <w:p w:rsidR="0029622A" w:rsidRPr="00206486" w:rsidRDefault="0029622A" w:rsidP="002B0AAE">
            <w:pPr>
              <w:spacing w:after="60"/>
              <w:jc w:val="right"/>
              <w:rPr>
                <w:sz w:val="16"/>
                <w:szCs w:val="16"/>
                <w:lang w:val="fr-CA"/>
              </w:rPr>
            </w:pPr>
          </w:p>
        </w:tc>
        <w:tc>
          <w:tcPr>
            <w:tcW w:w="620"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0,</w:t>
            </w:r>
            <w:r w:rsidR="0029622A" w:rsidRPr="00206486">
              <w:rPr>
                <w:sz w:val="16"/>
                <w:szCs w:val="16"/>
                <w:lang w:val="fr-CA"/>
              </w:rPr>
              <w:t>40</w:t>
            </w:r>
          </w:p>
        </w:tc>
      </w:tr>
      <w:tr w:rsidR="00686F8A" w:rsidRPr="00206486" w:rsidTr="006444C5">
        <w:trPr>
          <w:trHeight w:val="250"/>
        </w:trPr>
        <w:tc>
          <w:tcPr>
            <w:tcW w:w="841" w:type="pct"/>
            <w:shd w:val="clear" w:color="auto" w:fill="auto"/>
          </w:tcPr>
          <w:p w:rsidR="0029622A" w:rsidRPr="00206486" w:rsidRDefault="0029622A" w:rsidP="002B0AAE">
            <w:pPr>
              <w:spacing w:after="60"/>
              <w:jc w:val="left"/>
              <w:rPr>
                <w:sz w:val="16"/>
                <w:szCs w:val="16"/>
                <w:lang w:val="fr-CA"/>
              </w:rPr>
            </w:pPr>
            <w:r w:rsidRPr="00206486">
              <w:rPr>
                <w:sz w:val="16"/>
                <w:szCs w:val="16"/>
                <w:lang w:val="fr-CA"/>
              </w:rPr>
              <w:t>HCFC-142b</w:t>
            </w:r>
          </w:p>
        </w:tc>
        <w:tc>
          <w:tcPr>
            <w:tcW w:w="363" w:type="pct"/>
            <w:shd w:val="clear" w:color="auto" w:fill="auto"/>
          </w:tcPr>
          <w:p w:rsidR="0029622A" w:rsidRPr="00206486" w:rsidRDefault="0029622A" w:rsidP="002B0AAE">
            <w:pPr>
              <w:spacing w:after="60"/>
              <w:jc w:val="right"/>
              <w:rPr>
                <w:sz w:val="16"/>
                <w:szCs w:val="16"/>
                <w:lang w:val="fr-CA"/>
              </w:rPr>
            </w:pPr>
          </w:p>
        </w:tc>
        <w:tc>
          <w:tcPr>
            <w:tcW w:w="357" w:type="pct"/>
            <w:shd w:val="clear" w:color="auto" w:fill="auto"/>
          </w:tcPr>
          <w:p w:rsidR="0029622A" w:rsidRPr="00206486" w:rsidRDefault="0029622A" w:rsidP="002B0AAE">
            <w:pPr>
              <w:spacing w:after="60"/>
              <w:jc w:val="right"/>
              <w:rPr>
                <w:sz w:val="16"/>
                <w:szCs w:val="16"/>
                <w:lang w:val="fr-CA"/>
              </w:rPr>
            </w:pPr>
          </w:p>
        </w:tc>
        <w:tc>
          <w:tcPr>
            <w:tcW w:w="499" w:type="pct"/>
            <w:shd w:val="clear" w:color="auto" w:fill="auto"/>
          </w:tcPr>
          <w:p w:rsidR="0029622A" w:rsidRPr="00206486" w:rsidRDefault="0029622A" w:rsidP="002B0AAE">
            <w:pPr>
              <w:spacing w:after="60"/>
              <w:jc w:val="right"/>
              <w:rPr>
                <w:sz w:val="16"/>
                <w:szCs w:val="16"/>
                <w:lang w:val="fr-CA"/>
              </w:rPr>
            </w:pPr>
          </w:p>
        </w:tc>
        <w:tc>
          <w:tcPr>
            <w:tcW w:w="593" w:type="pct"/>
            <w:shd w:val="clear" w:color="auto" w:fill="auto"/>
          </w:tcPr>
          <w:p w:rsidR="0029622A" w:rsidRPr="00206486" w:rsidRDefault="0029622A" w:rsidP="002B0AAE">
            <w:pPr>
              <w:spacing w:after="60"/>
              <w:jc w:val="right"/>
              <w:rPr>
                <w:sz w:val="16"/>
                <w:szCs w:val="16"/>
                <w:lang w:val="fr-CA"/>
              </w:rPr>
            </w:pPr>
          </w:p>
        </w:tc>
        <w:tc>
          <w:tcPr>
            <w:tcW w:w="422"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0,</w:t>
            </w:r>
            <w:r w:rsidR="0029622A" w:rsidRPr="00206486">
              <w:rPr>
                <w:sz w:val="16"/>
                <w:szCs w:val="16"/>
                <w:lang w:val="fr-CA"/>
              </w:rPr>
              <w:t>03</w:t>
            </w:r>
          </w:p>
        </w:tc>
        <w:tc>
          <w:tcPr>
            <w:tcW w:w="354" w:type="pct"/>
            <w:shd w:val="clear" w:color="auto" w:fill="auto"/>
          </w:tcPr>
          <w:p w:rsidR="0029622A" w:rsidRPr="00206486" w:rsidRDefault="0029622A" w:rsidP="002B0AAE">
            <w:pPr>
              <w:spacing w:after="60"/>
              <w:jc w:val="right"/>
              <w:rPr>
                <w:sz w:val="16"/>
                <w:szCs w:val="16"/>
                <w:lang w:val="fr-CA"/>
              </w:rPr>
            </w:pPr>
          </w:p>
        </w:tc>
        <w:tc>
          <w:tcPr>
            <w:tcW w:w="534" w:type="pct"/>
            <w:shd w:val="clear" w:color="auto" w:fill="auto"/>
          </w:tcPr>
          <w:p w:rsidR="0029622A" w:rsidRPr="00206486" w:rsidRDefault="0029622A" w:rsidP="002B0AAE">
            <w:pPr>
              <w:spacing w:after="60"/>
              <w:jc w:val="right"/>
              <w:rPr>
                <w:sz w:val="16"/>
                <w:szCs w:val="16"/>
                <w:lang w:val="fr-CA"/>
              </w:rPr>
            </w:pPr>
          </w:p>
        </w:tc>
        <w:tc>
          <w:tcPr>
            <w:tcW w:w="418" w:type="pct"/>
            <w:shd w:val="clear" w:color="auto" w:fill="auto"/>
          </w:tcPr>
          <w:p w:rsidR="0029622A" w:rsidRPr="00206486" w:rsidRDefault="0029622A" w:rsidP="002B0AAE">
            <w:pPr>
              <w:spacing w:after="60"/>
              <w:jc w:val="right"/>
              <w:rPr>
                <w:sz w:val="16"/>
                <w:szCs w:val="16"/>
                <w:lang w:val="fr-CA"/>
              </w:rPr>
            </w:pPr>
          </w:p>
        </w:tc>
        <w:tc>
          <w:tcPr>
            <w:tcW w:w="620"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0,</w:t>
            </w:r>
            <w:r w:rsidR="0029622A" w:rsidRPr="00206486">
              <w:rPr>
                <w:sz w:val="16"/>
                <w:szCs w:val="16"/>
                <w:lang w:val="fr-CA"/>
              </w:rPr>
              <w:t>03</w:t>
            </w:r>
          </w:p>
        </w:tc>
      </w:tr>
      <w:tr w:rsidR="00686F8A" w:rsidRPr="00206486" w:rsidTr="006444C5">
        <w:trPr>
          <w:trHeight w:val="250"/>
        </w:trPr>
        <w:tc>
          <w:tcPr>
            <w:tcW w:w="841" w:type="pct"/>
            <w:shd w:val="clear" w:color="auto" w:fill="auto"/>
          </w:tcPr>
          <w:p w:rsidR="0029622A" w:rsidRPr="00206486" w:rsidRDefault="0029622A" w:rsidP="002B0AAE">
            <w:pPr>
              <w:spacing w:after="60"/>
              <w:jc w:val="left"/>
              <w:rPr>
                <w:sz w:val="16"/>
                <w:szCs w:val="16"/>
                <w:lang w:val="fr-CA"/>
              </w:rPr>
            </w:pPr>
            <w:r w:rsidRPr="00206486">
              <w:rPr>
                <w:sz w:val="16"/>
                <w:szCs w:val="16"/>
                <w:lang w:val="fr-CA"/>
              </w:rPr>
              <w:t>HCFC-22</w:t>
            </w:r>
          </w:p>
        </w:tc>
        <w:tc>
          <w:tcPr>
            <w:tcW w:w="363" w:type="pct"/>
            <w:shd w:val="clear" w:color="auto" w:fill="auto"/>
          </w:tcPr>
          <w:p w:rsidR="0029622A" w:rsidRPr="00206486" w:rsidRDefault="0029622A" w:rsidP="002B0AAE">
            <w:pPr>
              <w:spacing w:after="60"/>
              <w:jc w:val="right"/>
              <w:rPr>
                <w:sz w:val="16"/>
                <w:szCs w:val="16"/>
                <w:lang w:val="fr-CA"/>
              </w:rPr>
            </w:pPr>
          </w:p>
        </w:tc>
        <w:tc>
          <w:tcPr>
            <w:tcW w:w="357" w:type="pct"/>
            <w:shd w:val="clear" w:color="auto" w:fill="auto"/>
          </w:tcPr>
          <w:p w:rsidR="0029622A" w:rsidRPr="00206486" w:rsidRDefault="0029622A" w:rsidP="002B0AAE">
            <w:pPr>
              <w:spacing w:after="60"/>
              <w:jc w:val="right"/>
              <w:rPr>
                <w:sz w:val="16"/>
                <w:szCs w:val="16"/>
                <w:lang w:val="fr-CA"/>
              </w:rPr>
            </w:pPr>
          </w:p>
        </w:tc>
        <w:tc>
          <w:tcPr>
            <w:tcW w:w="499" w:type="pct"/>
            <w:shd w:val="clear" w:color="auto" w:fill="auto"/>
          </w:tcPr>
          <w:p w:rsidR="0029622A" w:rsidRPr="00206486" w:rsidRDefault="0029622A" w:rsidP="002B0AAE">
            <w:pPr>
              <w:spacing w:after="60"/>
              <w:jc w:val="right"/>
              <w:rPr>
                <w:sz w:val="16"/>
                <w:szCs w:val="16"/>
                <w:lang w:val="fr-CA"/>
              </w:rPr>
            </w:pPr>
          </w:p>
        </w:tc>
        <w:tc>
          <w:tcPr>
            <w:tcW w:w="593" w:type="pct"/>
            <w:shd w:val="clear" w:color="auto" w:fill="auto"/>
          </w:tcPr>
          <w:p w:rsidR="0029622A" w:rsidRPr="00206486" w:rsidRDefault="0029622A" w:rsidP="002B0AAE">
            <w:pPr>
              <w:spacing w:after="60"/>
              <w:jc w:val="right"/>
              <w:rPr>
                <w:sz w:val="16"/>
                <w:szCs w:val="16"/>
                <w:lang w:val="fr-CA"/>
              </w:rPr>
            </w:pPr>
          </w:p>
        </w:tc>
        <w:tc>
          <w:tcPr>
            <w:tcW w:w="422"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7,</w:t>
            </w:r>
            <w:r w:rsidR="0029622A" w:rsidRPr="00206486">
              <w:rPr>
                <w:sz w:val="16"/>
                <w:szCs w:val="16"/>
                <w:lang w:val="fr-CA"/>
              </w:rPr>
              <w:t>64</w:t>
            </w:r>
          </w:p>
        </w:tc>
        <w:tc>
          <w:tcPr>
            <w:tcW w:w="354" w:type="pct"/>
            <w:shd w:val="clear" w:color="auto" w:fill="auto"/>
          </w:tcPr>
          <w:p w:rsidR="0029622A" w:rsidRPr="00206486" w:rsidRDefault="0029622A" w:rsidP="002B0AAE">
            <w:pPr>
              <w:spacing w:after="60"/>
              <w:jc w:val="right"/>
              <w:rPr>
                <w:sz w:val="16"/>
                <w:szCs w:val="16"/>
                <w:lang w:val="fr-CA"/>
              </w:rPr>
            </w:pPr>
          </w:p>
        </w:tc>
        <w:tc>
          <w:tcPr>
            <w:tcW w:w="534" w:type="pct"/>
            <w:shd w:val="clear" w:color="auto" w:fill="auto"/>
          </w:tcPr>
          <w:p w:rsidR="0029622A" w:rsidRPr="00206486" w:rsidRDefault="0029622A" w:rsidP="002B0AAE">
            <w:pPr>
              <w:spacing w:after="60"/>
              <w:jc w:val="right"/>
              <w:rPr>
                <w:sz w:val="16"/>
                <w:szCs w:val="16"/>
                <w:lang w:val="fr-CA"/>
              </w:rPr>
            </w:pPr>
          </w:p>
        </w:tc>
        <w:tc>
          <w:tcPr>
            <w:tcW w:w="418" w:type="pct"/>
            <w:shd w:val="clear" w:color="auto" w:fill="auto"/>
          </w:tcPr>
          <w:p w:rsidR="0029622A" w:rsidRPr="00206486" w:rsidRDefault="0029622A" w:rsidP="002B0AAE">
            <w:pPr>
              <w:spacing w:after="60"/>
              <w:jc w:val="right"/>
              <w:rPr>
                <w:sz w:val="16"/>
                <w:szCs w:val="16"/>
                <w:lang w:val="fr-CA"/>
              </w:rPr>
            </w:pPr>
          </w:p>
        </w:tc>
        <w:tc>
          <w:tcPr>
            <w:tcW w:w="620"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7,</w:t>
            </w:r>
            <w:r w:rsidR="0029622A" w:rsidRPr="00206486">
              <w:rPr>
                <w:sz w:val="16"/>
                <w:szCs w:val="16"/>
                <w:lang w:val="fr-CA"/>
              </w:rPr>
              <w:t>64</w:t>
            </w:r>
          </w:p>
        </w:tc>
      </w:tr>
    </w:tbl>
    <w:p w:rsidR="0029622A" w:rsidRPr="00206486" w:rsidRDefault="0029622A" w:rsidP="0029622A">
      <w:pPr>
        <w:jc w:val="center"/>
        <w:rPr>
          <w:sz w:val="16"/>
          <w:szCs w:val="16"/>
          <w:lang w:val="fr-CA"/>
        </w:rPr>
      </w:pPr>
    </w:p>
    <w:tbl>
      <w:tblPr>
        <w:tblStyle w:val="TableGrid"/>
        <w:tblW w:w="5684" w:type="pct"/>
        <w:tblInd w:w="-572" w:type="dxa"/>
        <w:tblLook w:val="04A0" w:firstRow="1" w:lastRow="0" w:firstColumn="1" w:lastColumn="0" w:noHBand="0" w:noVBand="1"/>
      </w:tblPr>
      <w:tblGrid>
        <w:gridCol w:w="3250"/>
        <w:gridCol w:w="958"/>
        <w:gridCol w:w="5402"/>
        <w:gridCol w:w="1276"/>
      </w:tblGrid>
      <w:tr w:rsidR="0029622A" w:rsidRPr="00FB1A72" w:rsidTr="006444C5">
        <w:trPr>
          <w:trHeight w:val="289"/>
        </w:trPr>
        <w:tc>
          <w:tcPr>
            <w:tcW w:w="5000" w:type="pct"/>
            <w:gridSpan w:val="4"/>
            <w:shd w:val="clear" w:color="auto" w:fill="auto"/>
          </w:tcPr>
          <w:p w:rsidR="0029622A" w:rsidRPr="00206486" w:rsidRDefault="0029622A" w:rsidP="002B0AAE">
            <w:pPr>
              <w:spacing w:after="60"/>
              <w:jc w:val="left"/>
              <w:rPr>
                <w:b/>
                <w:sz w:val="16"/>
                <w:szCs w:val="16"/>
                <w:lang w:val="fr-CA"/>
              </w:rPr>
            </w:pPr>
            <w:r w:rsidRPr="00206486">
              <w:rPr>
                <w:b/>
                <w:sz w:val="16"/>
                <w:szCs w:val="16"/>
                <w:lang w:val="fr-CA"/>
              </w:rPr>
              <w:t xml:space="preserve">(IV) </w:t>
            </w:r>
            <w:r w:rsidR="00C02492" w:rsidRPr="00206486">
              <w:rPr>
                <w:b/>
                <w:sz w:val="16"/>
                <w:szCs w:val="16"/>
                <w:lang w:val="fr-CA"/>
              </w:rPr>
              <w:t>DONNÉES RELATIVES À LA CONSOMMATION (tonnes PAO</w:t>
            </w:r>
            <w:r w:rsidRPr="00206486">
              <w:rPr>
                <w:b/>
                <w:sz w:val="16"/>
                <w:szCs w:val="16"/>
                <w:lang w:val="fr-CA"/>
              </w:rPr>
              <w:t>)</w:t>
            </w:r>
          </w:p>
        </w:tc>
      </w:tr>
      <w:tr w:rsidR="0029622A" w:rsidRPr="00206486" w:rsidTr="006444C5">
        <w:trPr>
          <w:trHeight w:val="289"/>
        </w:trPr>
        <w:tc>
          <w:tcPr>
            <w:tcW w:w="1493" w:type="pct"/>
            <w:shd w:val="clear" w:color="auto" w:fill="auto"/>
          </w:tcPr>
          <w:p w:rsidR="0029622A" w:rsidRPr="00206486" w:rsidRDefault="00686F8A" w:rsidP="00686F8A">
            <w:pPr>
              <w:spacing w:after="60"/>
              <w:jc w:val="center"/>
              <w:rPr>
                <w:sz w:val="16"/>
                <w:szCs w:val="16"/>
                <w:lang w:val="fr-CA"/>
              </w:rPr>
            </w:pPr>
            <w:r w:rsidRPr="00206486">
              <w:rPr>
                <w:sz w:val="16"/>
                <w:szCs w:val="16"/>
                <w:lang w:val="fr-CA"/>
              </w:rPr>
              <w:t xml:space="preserve">Référence </w:t>
            </w:r>
            <w:r w:rsidR="0029622A" w:rsidRPr="00206486">
              <w:rPr>
                <w:sz w:val="16"/>
                <w:szCs w:val="16"/>
                <w:lang w:val="fr-CA"/>
              </w:rPr>
              <w:t xml:space="preserve">2009 </w:t>
            </w:r>
            <w:r w:rsidRPr="00206486">
              <w:rPr>
                <w:sz w:val="16"/>
                <w:szCs w:val="16"/>
                <w:lang w:val="fr-CA"/>
              </w:rPr>
              <w:t>–</w:t>
            </w:r>
            <w:r w:rsidR="0029622A" w:rsidRPr="00206486">
              <w:rPr>
                <w:sz w:val="16"/>
                <w:szCs w:val="16"/>
                <w:lang w:val="fr-CA"/>
              </w:rPr>
              <w:t xml:space="preserve"> 2010</w:t>
            </w:r>
            <w:r w:rsidRPr="00206486">
              <w:rPr>
                <w:sz w:val="16"/>
                <w:szCs w:val="16"/>
                <w:lang w:val="fr-CA"/>
              </w:rPr>
              <w:t xml:space="preserve"> </w:t>
            </w:r>
            <w:r w:rsidR="002B0AAE" w:rsidRPr="00206486">
              <w:rPr>
                <w:sz w:val="16"/>
                <w:szCs w:val="16"/>
                <w:lang w:val="fr-CA"/>
              </w:rPr>
              <w:t xml:space="preserve">: </w:t>
            </w:r>
          </w:p>
        </w:tc>
        <w:tc>
          <w:tcPr>
            <w:tcW w:w="440"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1</w:t>
            </w:r>
            <w:r w:rsidR="00973255" w:rsidRPr="00206486">
              <w:rPr>
                <w:sz w:val="16"/>
                <w:szCs w:val="16"/>
                <w:lang w:val="fr-CA"/>
              </w:rPr>
              <w:t>4,</w:t>
            </w:r>
            <w:r w:rsidRPr="00206486">
              <w:rPr>
                <w:sz w:val="16"/>
                <w:szCs w:val="16"/>
                <w:lang w:val="fr-CA"/>
              </w:rPr>
              <w:t>10</w:t>
            </w:r>
          </w:p>
        </w:tc>
        <w:tc>
          <w:tcPr>
            <w:tcW w:w="2481" w:type="pct"/>
            <w:shd w:val="clear" w:color="auto" w:fill="auto"/>
          </w:tcPr>
          <w:p w:rsidR="0029622A" w:rsidRPr="00206486" w:rsidRDefault="00C02492" w:rsidP="002B0AAE">
            <w:pPr>
              <w:spacing w:after="60"/>
              <w:jc w:val="center"/>
              <w:rPr>
                <w:sz w:val="16"/>
                <w:szCs w:val="16"/>
                <w:lang w:val="fr-CA"/>
              </w:rPr>
            </w:pPr>
            <w:r w:rsidRPr="00206486">
              <w:rPr>
                <w:sz w:val="16"/>
                <w:szCs w:val="16"/>
                <w:lang w:val="fr-CA"/>
              </w:rPr>
              <w:t>Point de départ des réductions globales durables </w:t>
            </w:r>
            <w:r w:rsidR="002B0AAE" w:rsidRPr="00206486">
              <w:rPr>
                <w:sz w:val="16"/>
                <w:szCs w:val="16"/>
                <w:lang w:val="fr-CA"/>
              </w:rPr>
              <w:t xml:space="preserve">: </w:t>
            </w:r>
          </w:p>
        </w:tc>
        <w:tc>
          <w:tcPr>
            <w:tcW w:w="586"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3</w:t>
            </w:r>
            <w:r w:rsidR="00973255" w:rsidRPr="00206486">
              <w:rPr>
                <w:sz w:val="16"/>
                <w:szCs w:val="16"/>
                <w:lang w:val="fr-CA"/>
              </w:rPr>
              <w:t>2,</w:t>
            </w:r>
            <w:r w:rsidRPr="00206486">
              <w:rPr>
                <w:sz w:val="16"/>
                <w:szCs w:val="16"/>
                <w:lang w:val="fr-CA"/>
              </w:rPr>
              <w:t>21</w:t>
            </w:r>
          </w:p>
        </w:tc>
      </w:tr>
      <w:tr w:rsidR="0029622A" w:rsidRPr="00FB1A72" w:rsidTr="006444C5">
        <w:trPr>
          <w:trHeight w:val="289"/>
        </w:trPr>
        <w:tc>
          <w:tcPr>
            <w:tcW w:w="5000" w:type="pct"/>
            <w:gridSpan w:val="4"/>
            <w:shd w:val="clear" w:color="auto" w:fill="auto"/>
          </w:tcPr>
          <w:p w:rsidR="0029622A" w:rsidRPr="00206486" w:rsidRDefault="00C02492" w:rsidP="002B0AAE">
            <w:pPr>
              <w:spacing w:after="60"/>
              <w:jc w:val="center"/>
              <w:rPr>
                <w:b/>
                <w:sz w:val="16"/>
                <w:szCs w:val="16"/>
                <w:lang w:val="fr-CA"/>
              </w:rPr>
            </w:pPr>
            <w:r w:rsidRPr="00206486">
              <w:rPr>
                <w:b/>
                <w:sz w:val="16"/>
                <w:szCs w:val="16"/>
                <w:lang w:val="fr-CA"/>
              </w:rPr>
              <w:t>CONSOMMATION ADMISSIBLE AU FINANCEMENT (tonnes PAO</w:t>
            </w:r>
            <w:r w:rsidR="0029622A" w:rsidRPr="00206486">
              <w:rPr>
                <w:b/>
                <w:sz w:val="16"/>
                <w:szCs w:val="16"/>
                <w:lang w:val="fr-CA"/>
              </w:rPr>
              <w:t>)</w:t>
            </w:r>
          </w:p>
        </w:tc>
      </w:tr>
      <w:tr w:rsidR="0029622A" w:rsidRPr="00206486" w:rsidTr="006444C5">
        <w:trPr>
          <w:trHeight w:val="289"/>
        </w:trPr>
        <w:tc>
          <w:tcPr>
            <w:tcW w:w="1493" w:type="pct"/>
            <w:shd w:val="clear" w:color="auto" w:fill="auto"/>
          </w:tcPr>
          <w:p w:rsidR="0029622A" w:rsidRPr="00206486" w:rsidRDefault="00973255" w:rsidP="00973255">
            <w:pPr>
              <w:spacing w:after="60"/>
              <w:jc w:val="center"/>
              <w:rPr>
                <w:sz w:val="16"/>
                <w:szCs w:val="16"/>
                <w:lang w:val="fr-CA"/>
              </w:rPr>
            </w:pPr>
            <w:r w:rsidRPr="00206486">
              <w:rPr>
                <w:sz w:val="16"/>
                <w:szCs w:val="16"/>
                <w:lang w:val="fr-CA"/>
              </w:rPr>
              <w:t>Déjà approuvée</w:t>
            </w:r>
            <w:r w:rsidR="002B0AAE" w:rsidRPr="00206486">
              <w:rPr>
                <w:sz w:val="16"/>
                <w:szCs w:val="16"/>
                <w:lang w:val="fr-CA"/>
              </w:rPr>
              <w:t xml:space="preserve"> : </w:t>
            </w:r>
          </w:p>
        </w:tc>
        <w:tc>
          <w:tcPr>
            <w:tcW w:w="440"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1</w:t>
            </w:r>
            <w:r w:rsidR="00973255" w:rsidRPr="00206486">
              <w:rPr>
                <w:sz w:val="16"/>
                <w:szCs w:val="16"/>
                <w:lang w:val="fr-CA"/>
              </w:rPr>
              <w:t>8,</w:t>
            </w:r>
            <w:r w:rsidRPr="00206486">
              <w:rPr>
                <w:sz w:val="16"/>
                <w:szCs w:val="16"/>
                <w:lang w:val="fr-CA"/>
              </w:rPr>
              <w:t>93</w:t>
            </w:r>
          </w:p>
        </w:tc>
        <w:tc>
          <w:tcPr>
            <w:tcW w:w="2481" w:type="pct"/>
            <w:shd w:val="clear" w:color="auto" w:fill="auto"/>
          </w:tcPr>
          <w:p w:rsidR="0029622A" w:rsidRPr="00206486" w:rsidRDefault="0029622A" w:rsidP="00973255">
            <w:pPr>
              <w:spacing w:after="60"/>
              <w:jc w:val="center"/>
              <w:rPr>
                <w:sz w:val="16"/>
                <w:szCs w:val="16"/>
                <w:lang w:val="fr-CA"/>
              </w:rPr>
            </w:pPr>
            <w:r w:rsidRPr="00206486">
              <w:rPr>
                <w:sz w:val="16"/>
                <w:szCs w:val="16"/>
                <w:lang w:val="fr-CA"/>
              </w:rPr>
              <w:t>Re</w:t>
            </w:r>
            <w:r w:rsidR="00973255" w:rsidRPr="00206486">
              <w:rPr>
                <w:sz w:val="16"/>
                <w:szCs w:val="16"/>
                <w:lang w:val="fr-CA"/>
              </w:rPr>
              <w:t>stante</w:t>
            </w:r>
            <w:r w:rsidR="002B0AAE" w:rsidRPr="00206486">
              <w:rPr>
                <w:sz w:val="16"/>
                <w:szCs w:val="16"/>
                <w:lang w:val="fr-CA"/>
              </w:rPr>
              <w:t xml:space="preserve"> : </w:t>
            </w:r>
          </w:p>
        </w:tc>
        <w:tc>
          <w:tcPr>
            <w:tcW w:w="586"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1</w:t>
            </w:r>
            <w:r w:rsidR="00973255" w:rsidRPr="00206486">
              <w:rPr>
                <w:sz w:val="16"/>
                <w:szCs w:val="16"/>
                <w:lang w:val="fr-CA"/>
              </w:rPr>
              <w:t>3,</w:t>
            </w:r>
            <w:r w:rsidRPr="00206486">
              <w:rPr>
                <w:sz w:val="16"/>
                <w:szCs w:val="16"/>
                <w:lang w:val="fr-CA"/>
              </w:rPr>
              <w:t>28</w:t>
            </w:r>
          </w:p>
        </w:tc>
      </w:tr>
    </w:tbl>
    <w:p w:rsidR="0029622A" w:rsidRPr="00206486" w:rsidRDefault="0029622A" w:rsidP="0029622A">
      <w:pPr>
        <w:jc w:val="center"/>
        <w:rPr>
          <w:sz w:val="16"/>
          <w:szCs w:val="16"/>
          <w:lang w:val="fr-CA"/>
        </w:rPr>
      </w:pPr>
    </w:p>
    <w:tbl>
      <w:tblPr>
        <w:tblStyle w:val="TableGrid"/>
        <w:tblW w:w="5684" w:type="pct"/>
        <w:tblInd w:w="-572" w:type="dxa"/>
        <w:tblLook w:val="04A0" w:firstRow="1" w:lastRow="0" w:firstColumn="1" w:lastColumn="0" w:noHBand="0" w:noVBand="1"/>
      </w:tblPr>
      <w:tblGrid>
        <w:gridCol w:w="1878"/>
        <w:gridCol w:w="3641"/>
        <w:gridCol w:w="1470"/>
        <w:gridCol w:w="1317"/>
        <w:gridCol w:w="1317"/>
        <w:gridCol w:w="1263"/>
      </w:tblGrid>
      <w:tr w:rsidR="0029622A" w:rsidRPr="00206486" w:rsidTr="006444C5">
        <w:trPr>
          <w:trHeight w:val="255"/>
        </w:trPr>
        <w:tc>
          <w:tcPr>
            <w:tcW w:w="2534" w:type="pct"/>
            <w:gridSpan w:val="2"/>
            <w:shd w:val="clear" w:color="auto" w:fill="auto"/>
          </w:tcPr>
          <w:p w:rsidR="0029622A" w:rsidRPr="00206486" w:rsidRDefault="0029622A" w:rsidP="002B0AAE">
            <w:pPr>
              <w:spacing w:after="60"/>
              <w:jc w:val="left"/>
              <w:rPr>
                <w:b/>
                <w:sz w:val="16"/>
                <w:szCs w:val="16"/>
                <w:lang w:val="fr-CA"/>
              </w:rPr>
            </w:pPr>
            <w:r w:rsidRPr="00206486">
              <w:rPr>
                <w:b/>
                <w:sz w:val="16"/>
                <w:szCs w:val="16"/>
                <w:lang w:val="fr-CA"/>
              </w:rPr>
              <w:t xml:space="preserve">(V) </w:t>
            </w:r>
            <w:r w:rsidR="00686F8A" w:rsidRPr="00206486">
              <w:rPr>
                <w:b/>
                <w:sz w:val="16"/>
                <w:szCs w:val="16"/>
                <w:lang w:val="fr-CA"/>
              </w:rPr>
              <w:t>PLAN D’ACTIVITÉS</w:t>
            </w:r>
          </w:p>
        </w:tc>
        <w:tc>
          <w:tcPr>
            <w:tcW w:w="675" w:type="pct"/>
            <w:shd w:val="clear" w:color="auto" w:fill="auto"/>
          </w:tcPr>
          <w:p w:rsidR="0029622A" w:rsidRPr="00206486" w:rsidRDefault="0029622A" w:rsidP="002B0AAE">
            <w:pPr>
              <w:spacing w:after="60"/>
              <w:jc w:val="center"/>
              <w:rPr>
                <w:b/>
                <w:sz w:val="16"/>
                <w:szCs w:val="16"/>
                <w:lang w:val="fr-CA"/>
              </w:rPr>
            </w:pPr>
            <w:r w:rsidRPr="00206486">
              <w:rPr>
                <w:b/>
                <w:sz w:val="16"/>
                <w:szCs w:val="16"/>
                <w:lang w:val="fr-CA"/>
              </w:rPr>
              <w:t>2019</w:t>
            </w:r>
          </w:p>
        </w:tc>
        <w:tc>
          <w:tcPr>
            <w:tcW w:w="605" w:type="pct"/>
          </w:tcPr>
          <w:p w:rsidR="0029622A" w:rsidRPr="00206486" w:rsidRDefault="0029622A" w:rsidP="002B0AAE">
            <w:pPr>
              <w:spacing w:after="60"/>
              <w:jc w:val="center"/>
              <w:rPr>
                <w:b/>
                <w:sz w:val="16"/>
                <w:szCs w:val="16"/>
                <w:lang w:val="fr-CA"/>
              </w:rPr>
            </w:pPr>
            <w:r w:rsidRPr="00206486">
              <w:rPr>
                <w:b/>
                <w:sz w:val="16"/>
                <w:szCs w:val="16"/>
                <w:lang w:val="fr-CA"/>
              </w:rPr>
              <w:t>2020</w:t>
            </w:r>
          </w:p>
        </w:tc>
        <w:tc>
          <w:tcPr>
            <w:tcW w:w="605" w:type="pct"/>
          </w:tcPr>
          <w:p w:rsidR="0029622A" w:rsidRPr="00206486" w:rsidRDefault="0029622A" w:rsidP="002B0AAE">
            <w:pPr>
              <w:spacing w:after="60"/>
              <w:jc w:val="center"/>
              <w:rPr>
                <w:b/>
                <w:sz w:val="16"/>
                <w:szCs w:val="16"/>
                <w:lang w:val="fr-CA"/>
              </w:rPr>
            </w:pPr>
            <w:r w:rsidRPr="00206486">
              <w:rPr>
                <w:b/>
                <w:sz w:val="16"/>
                <w:szCs w:val="16"/>
                <w:lang w:val="fr-CA"/>
              </w:rPr>
              <w:t>2021</w:t>
            </w:r>
          </w:p>
        </w:tc>
        <w:tc>
          <w:tcPr>
            <w:tcW w:w="580" w:type="pct"/>
            <w:shd w:val="clear" w:color="auto" w:fill="auto"/>
          </w:tcPr>
          <w:p w:rsidR="0029622A" w:rsidRPr="00206486" w:rsidRDefault="0029622A" w:rsidP="002B0AAE">
            <w:pPr>
              <w:spacing w:after="60"/>
              <w:jc w:val="center"/>
              <w:rPr>
                <w:b/>
                <w:sz w:val="16"/>
                <w:szCs w:val="16"/>
                <w:lang w:val="fr-CA"/>
              </w:rPr>
            </w:pPr>
            <w:r w:rsidRPr="00206486">
              <w:rPr>
                <w:b/>
                <w:sz w:val="16"/>
                <w:szCs w:val="16"/>
                <w:lang w:val="fr-CA"/>
              </w:rPr>
              <w:t>Total</w:t>
            </w:r>
          </w:p>
        </w:tc>
      </w:tr>
      <w:tr w:rsidR="0029622A" w:rsidRPr="00206486" w:rsidTr="006444C5">
        <w:trPr>
          <w:trHeight w:val="255"/>
        </w:trPr>
        <w:tc>
          <w:tcPr>
            <w:tcW w:w="862" w:type="pct"/>
            <w:vMerge w:val="restart"/>
            <w:shd w:val="clear" w:color="auto" w:fill="auto"/>
          </w:tcPr>
          <w:p w:rsidR="0029622A" w:rsidRPr="00206486" w:rsidRDefault="002B0AAE" w:rsidP="002B0AAE">
            <w:pPr>
              <w:spacing w:after="60"/>
              <w:jc w:val="center"/>
              <w:rPr>
                <w:sz w:val="16"/>
                <w:szCs w:val="16"/>
                <w:lang w:val="fr-CA"/>
              </w:rPr>
            </w:pPr>
            <w:r w:rsidRPr="00206486">
              <w:rPr>
                <w:sz w:val="16"/>
                <w:szCs w:val="16"/>
                <w:lang w:val="fr-CA"/>
              </w:rPr>
              <w:t>PNUD</w:t>
            </w:r>
          </w:p>
        </w:tc>
        <w:tc>
          <w:tcPr>
            <w:tcW w:w="1672" w:type="pct"/>
            <w:shd w:val="clear" w:color="auto" w:fill="auto"/>
          </w:tcPr>
          <w:p w:rsidR="0029622A" w:rsidRPr="00206486" w:rsidRDefault="00686F8A" w:rsidP="002B0AAE">
            <w:pPr>
              <w:spacing w:after="60"/>
              <w:jc w:val="left"/>
              <w:rPr>
                <w:sz w:val="16"/>
                <w:szCs w:val="16"/>
                <w:lang w:val="fr-CA"/>
              </w:rPr>
            </w:pPr>
            <w:r w:rsidRPr="00206486">
              <w:rPr>
                <w:sz w:val="16"/>
                <w:szCs w:val="16"/>
                <w:lang w:val="fr-CA"/>
              </w:rPr>
              <w:t xml:space="preserve">Élimination des SAO </w:t>
            </w:r>
            <w:r w:rsidR="00C02492" w:rsidRPr="00206486">
              <w:rPr>
                <w:sz w:val="16"/>
                <w:szCs w:val="16"/>
                <w:lang w:val="fr-CA"/>
              </w:rPr>
              <w:t>(tonnes PAO</w:t>
            </w:r>
            <w:r w:rsidR="0029622A" w:rsidRPr="00206486">
              <w:rPr>
                <w:sz w:val="16"/>
                <w:szCs w:val="16"/>
                <w:lang w:val="fr-CA"/>
              </w:rPr>
              <w:t>)</w:t>
            </w:r>
          </w:p>
        </w:tc>
        <w:tc>
          <w:tcPr>
            <w:tcW w:w="675"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1,</w:t>
            </w:r>
            <w:r w:rsidR="0029622A" w:rsidRPr="00206486">
              <w:rPr>
                <w:sz w:val="16"/>
                <w:szCs w:val="16"/>
                <w:lang w:val="fr-CA"/>
              </w:rPr>
              <w:t>83</w:t>
            </w:r>
          </w:p>
        </w:tc>
        <w:tc>
          <w:tcPr>
            <w:tcW w:w="605"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0,</w:t>
            </w:r>
            <w:r w:rsidR="0029622A" w:rsidRPr="00206486">
              <w:rPr>
                <w:sz w:val="16"/>
                <w:szCs w:val="16"/>
                <w:lang w:val="fr-CA"/>
              </w:rPr>
              <w:t>57</w:t>
            </w:r>
          </w:p>
        </w:tc>
        <w:tc>
          <w:tcPr>
            <w:tcW w:w="605"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2,</w:t>
            </w:r>
            <w:r w:rsidR="0029622A" w:rsidRPr="00206486">
              <w:rPr>
                <w:sz w:val="16"/>
                <w:szCs w:val="16"/>
                <w:lang w:val="fr-CA"/>
              </w:rPr>
              <w:t>18</w:t>
            </w:r>
          </w:p>
        </w:tc>
        <w:tc>
          <w:tcPr>
            <w:tcW w:w="580" w:type="pct"/>
            <w:shd w:val="clear" w:color="auto" w:fill="auto"/>
          </w:tcPr>
          <w:p w:rsidR="0029622A" w:rsidRPr="00206486" w:rsidRDefault="00973255" w:rsidP="002B0AAE">
            <w:pPr>
              <w:spacing w:after="60"/>
              <w:jc w:val="right"/>
              <w:rPr>
                <w:sz w:val="16"/>
                <w:szCs w:val="16"/>
                <w:lang w:val="fr-CA"/>
              </w:rPr>
            </w:pPr>
            <w:r w:rsidRPr="00206486">
              <w:rPr>
                <w:sz w:val="16"/>
                <w:szCs w:val="16"/>
                <w:lang w:val="fr-CA"/>
              </w:rPr>
              <w:t>4,</w:t>
            </w:r>
            <w:r w:rsidR="0029622A" w:rsidRPr="00206486">
              <w:rPr>
                <w:sz w:val="16"/>
                <w:szCs w:val="16"/>
                <w:lang w:val="fr-CA"/>
              </w:rPr>
              <w:t>58</w:t>
            </w:r>
          </w:p>
        </w:tc>
      </w:tr>
      <w:tr w:rsidR="0029622A" w:rsidRPr="00206486" w:rsidTr="006444C5">
        <w:trPr>
          <w:trHeight w:val="255"/>
        </w:trPr>
        <w:tc>
          <w:tcPr>
            <w:tcW w:w="862" w:type="pct"/>
            <w:vMerge/>
            <w:shd w:val="clear" w:color="auto" w:fill="auto"/>
          </w:tcPr>
          <w:p w:rsidR="0029622A" w:rsidRPr="00206486" w:rsidRDefault="0029622A" w:rsidP="002B0AAE">
            <w:pPr>
              <w:spacing w:after="60"/>
              <w:jc w:val="center"/>
              <w:rPr>
                <w:sz w:val="16"/>
                <w:szCs w:val="16"/>
                <w:lang w:val="fr-CA"/>
              </w:rPr>
            </w:pPr>
          </w:p>
        </w:tc>
        <w:tc>
          <w:tcPr>
            <w:tcW w:w="1672" w:type="pct"/>
            <w:shd w:val="clear" w:color="auto" w:fill="auto"/>
          </w:tcPr>
          <w:p w:rsidR="0029622A" w:rsidRPr="00206486" w:rsidRDefault="00686F8A" w:rsidP="002B0AAE">
            <w:pPr>
              <w:spacing w:after="60"/>
              <w:jc w:val="left"/>
              <w:rPr>
                <w:sz w:val="16"/>
                <w:szCs w:val="16"/>
                <w:lang w:val="fr-CA"/>
              </w:rPr>
            </w:pPr>
            <w:r w:rsidRPr="00206486">
              <w:rPr>
                <w:sz w:val="16"/>
                <w:szCs w:val="16"/>
                <w:lang w:val="fr-CA"/>
              </w:rPr>
              <w:t>Financement</w:t>
            </w:r>
            <w:r w:rsidR="0029622A" w:rsidRPr="00206486">
              <w:rPr>
                <w:sz w:val="16"/>
                <w:szCs w:val="16"/>
                <w:lang w:val="fr-CA"/>
              </w:rPr>
              <w:t xml:space="preserve"> (</w:t>
            </w:r>
            <w:r w:rsidRPr="00206486">
              <w:rPr>
                <w:sz w:val="16"/>
                <w:szCs w:val="16"/>
                <w:lang w:val="fr-CA"/>
              </w:rPr>
              <w:t>$US</w:t>
            </w:r>
            <w:r w:rsidR="0029622A" w:rsidRPr="00206486">
              <w:rPr>
                <w:sz w:val="16"/>
                <w:szCs w:val="16"/>
                <w:lang w:val="fr-CA"/>
              </w:rPr>
              <w:t>)</w:t>
            </w:r>
          </w:p>
        </w:tc>
        <w:tc>
          <w:tcPr>
            <w:tcW w:w="675"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22</w:t>
            </w:r>
            <w:r w:rsidR="00BD19D4" w:rsidRPr="00206486">
              <w:rPr>
                <w:sz w:val="16"/>
                <w:szCs w:val="16"/>
                <w:lang w:val="fr-CA"/>
              </w:rPr>
              <w:t>2 </w:t>
            </w:r>
            <w:r w:rsidRPr="00206486">
              <w:rPr>
                <w:sz w:val="16"/>
                <w:szCs w:val="16"/>
                <w:lang w:val="fr-CA"/>
              </w:rPr>
              <w:t>560</w:t>
            </w:r>
          </w:p>
        </w:tc>
        <w:tc>
          <w:tcPr>
            <w:tcW w:w="605"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6</w:t>
            </w:r>
            <w:r w:rsidR="00973255" w:rsidRPr="00206486">
              <w:rPr>
                <w:sz w:val="16"/>
                <w:szCs w:val="16"/>
                <w:lang w:val="fr-CA"/>
              </w:rPr>
              <w:t>9 </w:t>
            </w:r>
            <w:r w:rsidRPr="00206486">
              <w:rPr>
                <w:sz w:val="16"/>
                <w:szCs w:val="16"/>
                <w:lang w:val="fr-CA"/>
              </w:rPr>
              <w:t>550</w:t>
            </w:r>
          </w:p>
        </w:tc>
        <w:tc>
          <w:tcPr>
            <w:tcW w:w="605"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26</w:t>
            </w:r>
            <w:r w:rsidR="00BD19D4" w:rsidRPr="00206486">
              <w:rPr>
                <w:sz w:val="16"/>
                <w:szCs w:val="16"/>
                <w:lang w:val="fr-CA"/>
              </w:rPr>
              <w:t>4 </w:t>
            </w:r>
            <w:r w:rsidRPr="00206486">
              <w:rPr>
                <w:sz w:val="16"/>
                <w:szCs w:val="16"/>
                <w:lang w:val="fr-CA"/>
              </w:rPr>
              <w:t>290</w:t>
            </w:r>
          </w:p>
        </w:tc>
        <w:tc>
          <w:tcPr>
            <w:tcW w:w="580" w:type="pct"/>
            <w:shd w:val="clear" w:color="auto" w:fill="auto"/>
          </w:tcPr>
          <w:p w:rsidR="0029622A" w:rsidRPr="00206486" w:rsidRDefault="0029622A" w:rsidP="002B0AAE">
            <w:pPr>
              <w:spacing w:after="60"/>
              <w:jc w:val="right"/>
              <w:rPr>
                <w:sz w:val="16"/>
                <w:szCs w:val="16"/>
                <w:lang w:val="fr-CA"/>
              </w:rPr>
            </w:pPr>
            <w:r w:rsidRPr="00206486">
              <w:rPr>
                <w:sz w:val="16"/>
                <w:szCs w:val="16"/>
                <w:lang w:val="fr-CA"/>
              </w:rPr>
              <w:t>55</w:t>
            </w:r>
            <w:r w:rsidR="00BD19D4" w:rsidRPr="00206486">
              <w:rPr>
                <w:sz w:val="16"/>
                <w:szCs w:val="16"/>
                <w:lang w:val="fr-CA"/>
              </w:rPr>
              <w:t>6 </w:t>
            </w:r>
            <w:r w:rsidRPr="00206486">
              <w:rPr>
                <w:sz w:val="16"/>
                <w:szCs w:val="16"/>
                <w:lang w:val="fr-CA"/>
              </w:rPr>
              <w:t>400</w:t>
            </w:r>
          </w:p>
        </w:tc>
      </w:tr>
    </w:tbl>
    <w:p w:rsidR="0029622A" w:rsidRPr="00206486" w:rsidRDefault="0029622A" w:rsidP="0029622A">
      <w:pPr>
        <w:jc w:val="center"/>
        <w:rPr>
          <w:sz w:val="16"/>
          <w:szCs w:val="16"/>
          <w:lang w:val="fr-CA"/>
        </w:rPr>
      </w:pPr>
    </w:p>
    <w:tbl>
      <w:tblPr>
        <w:tblStyle w:val="TableGrid"/>
        <w:tblW w:w="10896"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86"/>
        <w:gridCol w:w="657"/>
        <w:gridCol w:w="730"/>
        <w:gridCol w:w="747"/>
        <w:gridCol w:w="542"/>
        <w:gridCol w:w="736"/>
        <w:gridCol w:w="542"/>
        <w:gridCol w:w="646"/>
        <w:gridCol w:w="736"/>
        <w:gridCol w:w="723"/>
        <w:gridCol w:w="541"/>
        <w:gridCol w:w="736"/>
        <w:gridCol w:w="541"/>
        <w:gridCol w:w="541"/>
        <w:gridCol w:w="736"/>
        <w:gridCol w:w="856"/>
      </w:tblGrid>
      <w:tr w:rsidR="00686F8A" w:rsidRPr="00206486" w:rsidTr="006444C5">
        <w:trPr>
          <w:trHeight w:val="382"/>
        </w:trPr>
        <w:tc>
          <w:tcPr>
            <w:tcW w:w="2274" w:type="dxa"/>
            <w:gridSpan w:val="3"/>
            <w:shd w:val="clear" w:color="auto" w:fill="auto"/>
          </w:tcPr>
          <w:p w:rsidR="0029622A" w:rsidRPr="00206486" w:rsidRDefault="0029622A" w:rsidP="002B0AAE">
            <w:pPr>
              <w:tabs>
                <w:tab w:val="left" w:pos="8280"/>
              </w:tabs>
              <w:spacing w:after="60"/>
              <w:jc w:val="left"/>
              <w:rPr>
                <w:b/>
                <w:sz w:val="16"/>
                <w:szCs w:val="16"/>
                <w:lang w:val="fr-CA"/>
              </w:rPr>
            </w:pPr>
            <w:r w:rsidRPr="00206486">
              <w:rPr>
                <w:b/>
                <w:sz w:val="16"/>
                <w:szCs w:val="16"/>
                <w:lang w:val="fr-CA"/>
              </w:rPr>
              <w:t xml:space="preserve">(VI) </w:t>
            </w:r>
            <w:r w:rsidR="00686F8A" w:rsidRPr="00206486">
              <w:rPr>
                <w:b/>
                <w:sz w:val="16"/>
                <w:szCs w:val="16"/>
                <w:lang w:val="fr-CA"/>
              </w:rPr>
              <w:t>DONNÉES DU PROJET</w:t>
            </w:r>
          </w:p>
        </w:tc>
        <w:tc>
          <w:tcPr>
            <w:tcW w:w="747"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2019</w:t>
            </w:r>
          </w:p>
        </w:tc>
        <w:tc>
          <w:tcPr>
            <w:tcW w:w="542"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2020</w:t>
            </w:r>
          </w:p>
        </w:tc>
        <w:tc>
          <w:tcPr>
            <w:tcW w:w="736"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2021</w:t>
            </w:r>
          </w:p>
        </w:tc>
        <w:tc>
          <w:tcPr>
            <w:tcW w:w="542"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2022</w:t>
            </w:r>
          </w:p>
        </w:tc>
        <w:tc>
          <w:tcPr>
            <w:tcW w:w="646"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2023</w:t>
            </w:r>
          </w:p>
        </w:tc>
        <w:tc>
          <w:tcPr>
            <w:tcW w:w="736"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2024</w:t>
            </w:r>
          </w:p>
        </w:tc>
        <w:tc>
          <w:tcPr>
            <w:tcW w:w="723"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2025</w:t>
            </w:r>
          </w:p>
        </w:tc>
        <w:tc>
          <w:tcPr>
            <w:tcW w:w="541" w:type="dxa"/>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2026</w:t>
            </w:r>
          </w:p>
        </w:tc>
        <w:tc>
          <w:tcPr>
            <w:tcW w:w="736" w:type="dxa"/>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2027</w:t>
            </w:r>
          </w:p>
        </w:tc>
        <w:tc>
          <w:tcPr>
            <w:tcW w:w="541" w:type="dxa"/>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2028</w:t>
            </w:r>
          </w:p>
        </w:tc>
        <w:tc>
          <w:tcPr>
            <w:tcW w:w="541" w:type="dxa"/>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2029</w:t>
            </w:r>
          </w:p>
        </w:tc>
        <w:tc>
          <w:tcPr>
            <w:tcW w:w="736" w:type="dxa"/>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2030</w:t>
            </w:r>
          </w:p>
        </w:tc>
        <w:tc>
          <w:tcPr>
            <w:tcW w:w="855" w:type="dxa"/>
            <w:shd w:val="clear" w:color="auto" w:fill="auto"/>
          </w:tcPr>
          <w:p w:rsidR="0029622A" w:rsidRPr="00206486" w:rsidRDefault="0029622A" w:rsidP="002B0AAE">
            <w:pPr>
              <w:tabs>
                <w:tab w:val="left" w:pos="8280"/>
              </w:tabs>
              <w:spacing w:after="60"/>
              <w:jc w:val="center"/>
              <w:rPr>
                <w:b/>
                <w:sz w:val="16"/>
                <w:szCs w:val="16"/>
                <w:lang w:val="fr-CA"/>
              </w:rPr>
            </w:pPr>
            <w:r w:rsidRPr="00206486">
              <w:rPr>
                <w:b/>
                <w:sz w:val="16"/>
                <w:szCs w:val="16"/>
                <w:lang w:val="fr-CA"/>
              </w:rPr>
              <w:t>Total</w:t>
            </w:r>
          </w:p>
        </w:tc>
      </w:tr>
      <w:tr w:rsidR="00686F8A" w:rsidRPr="00206486" w:rsidTr="006444C5">
        <w:trPr>
          <w:trHeight w:val="382"/>
        </w:trPr>
        <w:tc>
          <w:tcPr>
            <w:tcW w:w="2274" w:type="dxa"/>
            <w:gridSpan w:val="3"/>
            <w:shd w:val="clear" w:color="auto" w:fill="auto"/>
          </w:tcPr>
          <w:p w:rsidR="00686F8A" w:rsidRPr="00206486" w:rsidRDefault="00686F8A" w:rsidP="00BD19D4">
            <w:pPr>
              <w:spacing w:after="60"/>
              <w:jc w:val="left"/>
              <w:rPr>
                <w:sz w:val="16"/>
                <w:szCs w:val="16"/>
                <w:lang w:val="fr-CA"/>
              </w:rPr>
            </w:pPr>
            <w:r w:rsidRPr="00206486">
              <w:rPr>
                <w:sz w:val="16"/>
                <w:szCs w:val="16"/>
                <w:lang w:val="fr-CA"/>
              </w:rPr>
              <w:t xml:space="preserve">Limites de consommation en vertu du </w:t>
            </w:r>
            <w:r w:rsidR="003B6C77" w:rsidRPr="00206486">
              <w:rPr>
                <w:sz w:val="16"/>
                <w:szCs w:val="16"/>
                <w:lang w:val="fr-CA"/>
              </w:rPr>
              <w:t>Protocole de Montréal</w:t>
            </w:r>
          </w:p>
        </w:tc>
        <w:tc>
          <w:tcPr>
            <w:tcW w:w="747" w:type="dxa"/>
            <w:shd w:val="clear" w:color="auto" w:fill="auto"/>
          </w:tcPr>
          <w:p w:rsidR="00686F8A" w:rsidRPr="00206486" w:rsidRDefault="00686F8A" w:rsidP="002B0AAE">
            <w:pPr>
              <w:tabs>
                <w:tab w:val="left" w:pos="8280"/>
              </w:tabs>
              <w:spacing w:after="60"/>
              <w:jc w:val="center"/>
              <w:rPr>
                <w:sz w:val="16"/>
                <w:szCs w:val="16"/>
                <w:lang w:val="fr-CA"/>
              </w:rPr>
            </w:pPr>
            <w:r w:rsidRPr="00206486">
              <w:rPr>
                <w:sz w:val="16"/>
                <w:szCs w:val="16"/>
                <w:lang w:val="fr-CA"/>
              </w:rPr>
              <w:t>1</w:t>
            </w:r>
            <w:r w:rsidR="00973255" w:rsidRPr="00206486">
              <w:rPr>
                <w:sz w:val="16"/>
                <w:szCs w:val="16"/>
                <w:lang w:val="fr-CA"/>
              </w:rPr>
              <w:t>2,</w:t>
            </w:r>
            <w:r w:rsidRPr="00206486">
              <w:rPr>
                <w:sz w:val="16"/>
                <w:szCs w:val="16"/>
                <w:lang w:val="fr-CA"/>
              </w:rPr>
              <w:t>69</w:t>
            </w:r>
          </w:p>
        </w:tc>
        <w:tc>
          <w:tcPr>
            <w:tcW w:w="542"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9,</w:t>
            </w:r>
            <w:r w:rsidR="00686F8A" w:rsidRPr="00206486">
              <w:rPr>
                <w:sz w:val="16"/>
                <w:szCs w:val="16"/>
                <w:lang w:val="fr-CA"/>
              </w:rPr>
              <w:t>17</w:t>
            </w:r>
          </w:p>
        </w:tc>
        <w:tc>
          <w:tcPr>
            <w:tcW w:w="736"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9,</w:t>
            </w:r>
            <w:r w:rsidR="00686F8A" w:rsidRPr="00206486">
              <w:rPr>
                <w:sz w:val="16"/>
                <w:szCs w:val="16"/>
                <w:lang w:val="fr-CA"/>
              </w:rPr>
              <w:t>17</w:t>
            </w:r>
          </w:p>
        </w:tc>
        <w:tc>
          <w:tcPr>
            <w:tcW w:w="542" w:type="dxa"/>
            <w:shd w:val="clear" w:color="auto" w:fill="auto"/>
          </w:tcPr>
          <w:p w:rsidR="00686F8A" w:rsidRPr="00206486" w:rsidRDefault="00973255" w:rsidP="002B0AAE">
            <w:pPr>
              <w:rPr>
                <w:lang w:val="fr-CA"/>
              </w:rPr>
            </w:pPr>
            <w:r w:rsidRPr="00206486">
              <w:rPr>
                <w:sz w:val="16"/>
                <w:szCs w:val="16"/>
                <w:lang w:val="fr-CA"/>
              </w:rPr>
              <w:t>9,</w:t>
            </w:r>
            <w:r w:rsidR="00686F8A" w:rsidRPr="00206486">
              <w:rPr>
                <w:sz w:val="16"/>
                <w:szCs w:val="16"/>
                <w:lang w:val="fr-CA"/>
              </w:rPr>
              <w:t>17</w:t>
            </w:r>
          </w:p>
        </w:tc>
        <w:tc>
          <w:tcPr>
            <w:tcW w:w="646" w:type="dxa"/>
            <w:shd w:val="clear" w:color="auto" w:fill="auto"/>
          </w:tcPr>
          <w:p w:rsidR="00686F8A" w:rsidRPr="00206486" w:rsidRDefault="00973255" w:rsidP="002B0AAE">
            <w:pPr>
              <w:rPr>
                <w:lang w:val="fr-CA"/>
              </w:rPr>
            </w:pPr>
            <w:r w:rsidRPr="00206486">
              <w:rPr>
                <w:sz w:val="16"/>
                <w:szCs w:val="16"/>
                <w:lang w:val="fr-CA"/>
              </w:rPr>
              <w:t>9,</w:t>
            </w:r>
            <w:r w:rsidR="00686F8A" w:rsidRPr="00206486">
              <w:rPr>
                <w:sz w:val="16"/>
                <w:szCs w:val="16"/>
                <w:lang w:val="fr-CA"/>
              </w:rPr>
              <w:t>17</w:t>
            </w:r>
          </w:p>
        </w:tc>
        <w:tc>
          <w:tcPr>
            <w:tcW w:w="736" w:type="dxa"/>
            <w:shd w:val="clear" w:color="auto" w:fill="auto"/>
          </w:tcPr>
          <w:p w:rsidR="00686F8A" w:rsidRPr="00206486" w:rsidRDefault="00973255" w:rsidP="002B0AAE">
            <w:pPr>
              <w:rPr>
                <w:lang w:val="fr-CA"/>
              </w:rPr>
            </w:pPr>
            <w:r w:rsidRPr="00206486">
              <w:rPr>
                <w:sz w:val="16"/>
                <w:szCs w:val="16"/>
                <w:lang w:val="fr-CA"/>
              </w:rPr>
              <w:t>9,</w:t>
            </w:r>
            <w:r w:rsidR="00686F8A" w:rsidRPr="00206486">
              <w:rPr>
                <w:sz w:val="16"/>
                <w:szCs w:val="16"/>
                <w:lang w:val="fr-CA"/>
              </w:rPr>
              <w:t>17</w:t>
            </w:r>
          </w:p>
        </w:tc>
        <w:tc>
          <w:tcPr>
            <w:tcW w:w="723"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541"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736"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541"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541"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736"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0,</w:t>
            </w:r>
            <w:r w:rsidR="00686F8A" w:rsidRPr="00206486">
              <w:rPr>
                <w:sz w:val="16"/>
                <w:szCs w:val="16"/>
                <w:lang w:val="fr-CA"/>
              </w:rPr>
              <w:t>35</w:t>
            </w:r>
          </w:p>
        </w:tc>
        <w:tc>
          <w:tcPr>
            <w:tcW w:w="855"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s.o.</w:t>
            </w:r>
          </w:p>
        </w:tc>
      </w:tr>
      <w:tr w:rsidR="00686F8A" w:rsidRPr="00206486" w:rsidTr="006444C5">
        <w:trPr>
          <w:trHeight w:val="531"/>
        </w:trPr>
        <w:tc>
          <w:tcPr>
            <w:tcW w:w="2274" w:type="dxa"/>
            <w:gridSpan w:val="3"/>
            <w:shd w:val="clear" w:color="auto" w:fill="auto"/>
          </w:tcPr>
          <w:p w:rsidR="00686F8A" w:rsidRPr="00206486" w:rsidRDefault="00686F8A" w:rsidP="00973255">
            <w:pPr>
              <w:spacing w:after="60"/>
              <w:jc w:val="left"/>
              <w:rPr>
                <w:sz w:val="16"/>
                <w:szCs w:val="16"/>
                <w:lang w:val="fr-CA"/>
              </w:rPr>
            </w:pPr>
            <w:r w:rsidRPr="00206486">
              <w:rPr>
                <w:sz w:val="16"/>
                <w:szCs w:val="16"/>
                <w:lang w:val="fr-CA"/>
              </w:rPr>
              <w:t>Consommation maximale autorisée (tonnes PAO)</w:t>
            </w:r>
          </w:p>
        </w:tc>
        <w:tc>
          <w:tcPr>
            <w:tcW w:w="747" w:type="dxa"/>
            <w:shd w:val="clear" w:color="auto" w:fill="auto"/>
          </w:tcPr>
          <w:p w:rsidR="00686F8A" w:rsidRPr="00206486" w:rsidRDefault="00686F8A" w:rsidP="002B0AAE">
            <w:pPr>
              <w:tabs>
                <w:tab w:val="left" w:pos="8280"/>
              </w:tabs>
              <w:spacing w:after="60"/>
              <w:jc w:val="center"/>
              <w:rPr>
                <w:sz w:val="16"/>
                <w:szCs w:val="16"/>
                <w:lang w:val="fr-CA"/>
              </w:rPr>
            </w:pPr>
            <w:r w:rsidRPr="00206486">
              <w:rPr>
                <w:sz w:val="16"/>
                <w:szCs w:val="16"/>
                <w:lang w:val="fr-CA"/>
              </w:rPr>
              <w:t>1</w:t>
            </w:r>
            <w:r w:rsidR="00973255" w:rsidRPr="00206486">
              <w:rPr>
                <w:sz w:val="16"/>
                <w:szCs w:val="16"/>
                <w:lang w:val="fr-CA"/>
              </w:rPr>
              <w:t>2,</w:t>
            </w:r>
            <w:r w:rsidRPr="00206486">
              <w:rPr>
                <w:sz w:val="16"/>
                <w:szCs w:val="16"/>
                <w:lang w:val="fr-CA"/>
              </w:rPr>
              <w:t>69</w:t>
            </w:r>
          </w:p>
        </w:tc>
        <w:tc>
          <w:tcPr>
            <w:tcW w:w="542"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9,</w:t>
            </w:r>
            <w:r w:rsidR="00686F8A" w:rsidRPr="00206486">
              <w:rPr>
                <w:sz w:val="16"/>
                <w:szCs w:val="16"/>
                <w:lang w:val="fr-CA"/>
              </w:rPr>
              <w:t>17</w:t>
            </w:r>
          </w:p>
        </w:tc>
        <w:tc>
          <w:tcPr>
            <w:tcW w:w="736"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9,</w:t>
            </w:r>
            <w:r w:rsidR="00686F8A" w:rsidRPr="00206486">
              <w:rPr>
                <w:sz w:val="16"/>
                <w:szCs w:val="16"/>
                <w:lang w:val="fr-CA"/>
              </w:rPr>
              <w:t>17</w:t>
            </w:r>
          </w:p>
        </w:tc>
        <w:tc>
          <w:tcPr>
            <w:tcW w:w="542" w:type="dxa"/>
            <w:shd w:val="clear" w:color="auto" w:fill="auto"/>
          </w:tcPr>
          <w:p w:rsidR="00686F8A" w:rsidRPr="00206486" w:rsidRDefault="00973255" w:rsidP="002B0AAE">
            <w:pPr>
              <w:rPr>
                <w:lang w:val="fr-CA"/>
              </w:rPr>
            </w:pPr>
            <w:r w:rsidRPr="00206486">
              <w:rPr>
                <w:sz w:val="16"/>
                <w:szCs w:val="16"/>
                <w:lang w:val="fr-CA"/>
              </w:rPr>
              <w:t>9,</w:t>
            </w:r>
            <w:r w:rsidR="00686F8A" w:rsidRPr="00206486">
              <w:rPr>
                <w:sz w:val="16"/>
                <w:szCs w:val="16"/>
                <w:lang w:val="fr-CA"/>
              </w:rPr>
              <w:t>17</w:t>
            </w:r>
          </w:p>
        </w:tc>
        <w:tc>
          <w:tcPr>
            <w:tcW w:w="646" w:type="dxa"/>
            <w:shd w:val="clear" w:color="auto" w:fill="auto"/>
          </w:tcPr>
          <w:p w:rsidR="00686F8A" w:rsidRPr="00206486" w:rsidRDefault="00973255" w:rsidP="002B0AAE">
            <w:pPr>
              <w:rPr>
                <w:lang w:val="fr-CA"/>
              </w:rPr>
            </w:pPr>
            <w:r w:rsidRPr="00206486">
              <w:rPr>
                <w:sz w:val="16"/>
                <w:szCs w:val="16"/>
                <w:lang w:val="fr-CA"/>
              </w:rPr>
              <w:t>9,</w:t>
            </w:r>
            <w:r w:rsidR="00686F8A" w:rsidRPr="00206486">
              <w:rPr>
                <w:sz w:val="16"/>
                <w:szCs w:val="16"/>
                <w:lang w:val="fr-CA"/>
              </w:rPr>
              <w:t>17</w:t>
            </w:r>
          </w:p>
        </w:tc>
        <w:tc>
          <w:tcPr>
            <w:tcW w:w="736" w:type="dxa"/>
            <w:shd w:val="clear" w:color="auto" w:fill="auto"/>
          </w:tcPr>
          <w:p w:rsidR="00686F8A" w:rsidRPr="00206486" w:rsidRDefault="00973255" w:rsidP="002B0AAE">
            <w:pPr>
              <w:rPr>
                <w:lang w:val="fr-CA"/>
              </w:rPr>
            </w:pPr>
            <w:r w:rsidRPr="00206486">
              <w:rPr>
                <w:sz w:val="16"/>
                <w:szCs w:val="16"/>
                <w:lang w:val="fr-CA"/>
              </w:rPr>
              <w:t>9,</w:t>
            </w:r>
            <w:r w:rsidR="00686F8A" w:rsidRPr="00206486">
              <w:rPr>
                <w:sz w:val="16"/>
                <w:szCs w:val="16"/>
                <w:lang w:val="fr-CA"/>
              </w:rPr>
              <w:t>17</w:t>
            </w:r>
          </w:p>
        </w:tc>
        <w:tc>
          <w:tcPr>
            <w:tcW w:w="723"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541"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736"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541"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541"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4,</w:t>
            </w:r>
            <w:r w:rsidR="00686F8A" w:rsidRPr="00206486">
              <w:rPr>
                <w:sz w:val="16"/>
                <w:szCs w:val="16"/>
                <w:lang w:val="fr-CA"/>
              </w:rPr>
              <w:t>58</w:t>
            </w:r>
          </w:p>
        </w:tc>
        <w:tc>
          <w:tcPr>
            <w:tcW w:w="736" w:type="dxa"/>
          </w:tcPr>
          <w:p w:rsidR="00686F8A" w:rsidRPr="00206486" w:rsidRDefault="00973255" w:rsidP="002B0AAE">
            <w:pPr>
              <w:tabs>
                <w:tab w:val="left" w:pos="8280"/>
              </w:tabs>
              <w:spacing w:after="60"/>
              <w:jc w:val="right"/>
              <w:rPr>
                <w:sz w:val="16"/>
                <w:szCs w:val="16"/>
                <w:lang w:val="fr-CA"/>
              </w:rPr>
            </w:pPr>
            <w:r w:rsidRPr="00206486">
              <w:rPr>
                <w:sz w:val="16"/>
                <w:szCs w:val="16"/>
                <w:lang w:val="fr-CA"/>
              </w:rPr>
              <w:t>0,</w:t>
            </w:r>
            <w:r w:rsidR="00686F8A" w:rsidRPr="00206486">
              <w:rPr>
                <w:sz w:val="16"/>
                <w:szCs w:val="16"/>
                <w:lang w:val="fr-CA"/>
              </w:rPr>
              <w:t>35</w:t>
            </w:r>
          </w:p>
        </w:tc>
        <w:tc>
          <w:tcPr>
            <w:tcW w:w="855" w:type="dxa"/>
            <w:shd w:val="clear" w:color="auto" w:fill="auto"/>
          </w:tcPr>
          <w:p w:rsidR="00686F8A" w:rsidRPr="00206486" w:rsidRDefault="00973255" w:rsidP="002B0AAE">
            <w:pPr>
              <w:tabs>
                <w:tab w:val="left" w:pos="8280"/>
              </w:tabs>
              <w:spacing w:after="60"/>
              <w:jc w:val="right"/>
              <w:rPr>
                <w:sz w:val="16"/>
                <w:szCs w:val="16"/>
                <w:lang w:val="fr-CA"/>
              </w:rPr>
            </w:pPr>
            <w:r w:rsidRPr="00206486">
              <w:rPr>
                <w:sz w:val="16"/>
                <w:szCs w:val="16"/>
                <w:lang w:val="fr-CA"/>
              </w:rPr>
              <w:t>s.o.</w:t>
            </w:r>
          </w:p>
        </w:tc>
      </w:tr>
      <w:tr w:rsidR="00686F8A" w:rsidRPr="00206486" w:rsidTr="006444C5">
        <w:trPr>
          <w:trHeight w:val="496"/>
        </w:trPr>
        <w:tc>
          <w:tcPr>
            <w:tcW w:w="887" w:type="dxa"/>
            <w:vMerge w:val="restart"/>
            <w:shd w:val="clear" w:color="auto" w:fill="auto"/>
          </w:tcPr>
          <w:p w:rsidR="00686F8A" w:rsidRPr="00206486" w:rsidRDefault="00686F8A" w:rsidP="00686F8A">
            <w:pPr>
              <w:tabs>
                <w:tab w:val="left" w:pos="8280"/>
              </w:tabs>
              <w:spacing w:after="60"/>
              <w:jc w:val="left"/>
              <w:rPr>
                <w:sz w:val="16"/>
                <w:szCs w:val="16"/>
                <w:lang w:val="fr-CA"/>
              </w:rPr>
            </w:pPr>
            <w:r w:rsidRPr="00206486">
              <w:rPr>
                <w:sz w:val="16"/>
                <w:szCs w:val="16"/>
                <w:lang w:val="fr-CA"/>
              </w:rPr>
              <w:t>Coûts des projets approuvés en principe (US$)</w:t>
            </w:r>
          </w:p>
        </w:tc>
        <w:tc>
          <w:tcPr>
            <w:tcW w:w="657" w:type="dxa"/>
            <w:vMerge w:val="restart"/>
            <w:shd w:val="clear" w:color="auto" w:fill="auto"/>
          </w:tcPr>
          <w:p w:rsidR="00686F8A" w:rsidRPr="00206486" w:rsidRDefault="00686F8A" w:rsidP="002B0AAE">
            <w:pPr>
              <w:tabs>
                <w:tab w:val="left" w:pos="8280"/>
              </w:tabs>
              <w:spacing w:after="60"/>
              <w:jc w:val="center"/>
              <w:rPr>
                <w:sz w:val="16"/>
                <w:szCs w:val="16"/>
                <w:lang w:val="fr-CA"/>
              </w:rPr>
            </w:pPr>
            <w:r w:rsidRPr="00206486">
              <w:rPr>
                <w:sz w:val="16"/>
                <w:szCs w:val="16"/>
                <w:lang w:val="fr-CA"/>
              </w:rPr>
              <w:t>PNUD</w:t>
            </w:r>
          </w:p>
        </w:tc>
        <w:tc>
          <w:tcPr>
            <w:tcW w:w="730" w:type="dxa"/>
            <w:shd w:val="clear" w:color="auto" w:fill="auto"/>
          </w:tcPr>
          <w:p w:rsidR="00686F8A" w:rsidRPr="00206486" w:rsidRDefault="00686F8A" w:rsidP="00BD19D4">
            <w:pPr>
              <w:spacing w:after="60"/>
              <w:jc w:val="left"/>
              <w:rPr>
                <w:sz w:val="16"/>
                <w:szCs w:val="16"/>
                <w:lang w:val="fr-CA"/>
              </w:rPr>
            </w:pPr>
            <w:r w:rsidRPr="00206486">
              <w:rPr>
                <w:sz w:val="16"/>
                <w:szCs w:val="16"/>
                <w:lang w:val="fr-CA"/>
              </w:rPr>
              <w:t>Coûts du projet</w:t>
            </w:r>
          </w:p>
        </w:tc>
        <w:tc>
          <w:tcPr>
            <w:tcW w:w="747"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18</w:t>
            </w:r>
            <w:r w:rsidR="00973255" w:rsidRPr="00206486">
              <w:rPr>
                <w:color w:val="000000"/>
                <w:sz w:val="16"/>
                <w:szCs w:val="16"/>
                <w:lang w:val="fr-CA" w:eastAsia="es-CO"/>
              </w:rPr>
              <w:t>7 </w:t>
            </w:r>
            <w:r w:rsidRPr="00206486">
              <w:rPr>
                <w:color w:val="000000"/>
                <w:sz w:val="16"/>
                <w:szCs w:val="16"/>
                <w:lang w:val="fr-CA" w:eastAsia="es-CO"/>
              </w:rPr>
              <w:t>777</w:t>
            </w:r>
          </w:p>
        </w:tc>
        <w:tc>
          <w:tcPr>
            <w:tcW w:w="542"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38</w:t>
            </w:r>
            <w:r w:rsidR="00BD19D4" w:rsidRPr="00206486">
              <w:rPr>
                <w:color w:val="000000"/>
                <w:sz w:val="16"/>
                <w:szCs w:val="16"/>
                <w:lang w:val="fr-CA" w:eastAsia="es-CO"/>
              </w:rPr>
              <w:t>5 </w:t>
            </w:r>
            <w:r w:rsidRPr="00206486">
              <w:rPr>
                <w:color w:val="000000"/>
                <w:sz w:val="16"/>
                <w:szCs w:val="16"/>
                <w:lang w:val="fr-CA" w:eastAsia="es-CO"/>
              </w:rPr>
              <w:t>750</w:t>
            </w:r>
          </w:p>
        </w:tc>
        <w:tc>
          <w:tcPr>
            <w:tcW w:w="542"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646"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29</w:t>
            </w:r>
            <w:r w:rsidR="00BD19D4" w:rsidRPr="00206486">
              <w:rPr>
                <w:color w:val="000000"/>
                <w:sz w:val="16"/>
                <w:szCs w:val="16"/>
                <w:lang w:val="fr-CA" w:eastAsia="es-CO"/>
              </w:rPr>
              <w:t>5 </w:t>
            </w:r>
            <w:r w:rsidRPr="00206486">
              <w:rPr>
                <w:color w:val="000000"/>
                <w:sz w:val="16"/>
                <w:szCs w:val="16"/>
                <w:lang w:val="fr-CA" w:eastAsia="es-CO"/>
              </w:rPr>
              <w:t>200</w:t>
            </w:r>
          </w:p>
        </w:tc>
        <w:tc>
          <w:tcPr>
            <w:tcW w:w="723"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12</w:t>
            </w:r>
            <w:r w:rsidR="00BD19D4" w:rsidRPr="00206486">
              <w:rPr>
                <w:color w:val="000000"/>
                <w:sz w:val="16"/>
                <w:szCs w:val="16"/>
                <w:lang w:val="fr-CA" w:eastAsia="es-CO"/>
              </w:rPr>
              <w:t>6 </w:t>
            </w:r>
            <w:r w:rsidRPr="00206486">
              <w:rPr>
                <w:color w:val="000000"/>
                <w:sz w:val="16"/>
                <w:szCs w:val="16"/>
                <w:lang w:val="fr-CA" w:eastAsia="es-CO"/>
              </w:rPr>
              <w:t>450</w:t>
            </w:r>
          </w:p>
        </w:tc>
        <w:tc>
          <w:tcPr>
            <w:tcW w:w="541" w:type="dxa"/>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10</w:t>
            </w:r>
            <w:r w:rsidR="00BD19D4" w:rsidRPr="00206486">
              <w:rPr>
                <w:color w:val="000000"/>
                <w:sz w:val="16"/>
                <w:szCs w:val="16"/>
                <w:lang w:val="fr-CA" w:eastAsia="es-CO"/>
              </w:rPr>
              <w:t>4 </w:t>
            </w:r>
            <w:r w:rsidRPr="00206486">
              <w:rPr>
                <w:color w:val="000000"/>
                <w:sz w:val="16"/>
                <w:szCs w:val="16"/>
                <w:lang w:val="fr-CA" w:eastAsia="es-CO"/>
              </w:rPr>
              <w:t>000</w:t>
            </w:r>
          </w:p>
        </w:tc>
        <w:tc>
          <w:tcPr>
            <w:tcW w:w="855" w:type="dxa"/>
            <w:shd w:val="clear" w:color="auto" w:fill="auto"/>
            <w:vAlign w:val="center"/>
          </w:tcPr>
          <w:p w:rsidR="00686F8A" w:rsidRPr="00206486" w:rsidRDefault="00BD19D4" w:rsidP="002B0AAE">
            <w:pPr>
              <w:tabs>
                <w:tab w:val="left" w:pos="8280"/>
              </w:tabs>
              <w:spacing w:after="60"/>
              <w:jc w:val="center"/>
              <w:rPr>
                <w:sz w:val="16"/>
                <w:szCs w:val="16"/>
                <w:lang w:val="fr-CA"/>
              </w:rPr>
            </w:pPr>
            <w:r w:rsidRPr="00206486">
              <w:rPr>
                <w:color w:val="000000"/>
                <w:sz w:val="16"/>
                <w:szCs w:val="16"/>
                <w:lang w:val="fr-CA" w:eastAsia="es-CO"/>
              </w:rPr>
              <w:t>1 </w:t>
            </w:r>
            <w:r w:rsidR="00686F8A" w:rsidRPr="00206486">
              <w:rPr>
                <w:color w:val="000000"/>
                <w:sz w:val="16"/>
                <w:szCs w:val="16"/>
                <w:lang w:val="fr-CA" w:eastAsia="es-CO"/>
              </w:rPr>
              <w:t>09</w:t>
            </w:r>
            <w:r w:rsidR="00973255" w:rsidRPr="00206486">
              <w:rPr>
                <w:color w:val="000000"/>
                <w:sz w:val="16"/>
                <w:szCs w:val="16"/>
                <w:lang w:val="fr-CA" w:eastAsia="es-CO"/>
              </w:rPr>
              <w:t>9 </w:t>
            </w:r>
            <w:r w:rsidR="00686F8A" w:rsidRPr="00206486">
              <w:rPr>
                <w:color w:val="000000"/>
                <w:sz w:val="16"/>
                <w:szCs w:val="16"/>
                <w:lang w:val="fr-CA" w:eastAsia="es-CO"/>
              </w:rPr>
              <w:t>177</w:t>
            </w:r>
          </w:p>
        </w:tc>
      </w:tr>
      <w:tr w:rsidR="00686F8A" w:rsidRPr="00206486" w:rsidTr="006444C5">
        <w:trPr>
          <w:trHeight w:val="512"/>
        </w:trPr>
        <w:tc>
          <w:tcPr>
            <w:tcW w:w="887" w:type="dxa"/>
            <w:vMerge/>
            <w:shd w:val="clear" w:color="auto" w:fill="auto"/>
          </w:tcPr>
          <w:p w:rsidR="00686F8A" w:rsidRPr="00206486" w:rsidRDefault="00686F8A" w:rsidP="002B0AAE">
            <w:pPr>
              <w:tabs>
                <w:tab w:val="left" w:pos="8280"/>
              </w:tabs>
              <w:spacing w:after="60"/>
              <w:jc w:val="center"/>
              <w:rPr>
                <w:sz w:val="16"/>
                <w:szCs w:val="16"/>
                <w:lang w:val="fr-CA"/>
              </w:rPr>
            </w:pPr>
          </w:p>
        </w:tc>
        <w:tc>
          <w:tcPr>
            <w:tcW w:w="657" w:type="dxa"/>
            <w:vMerge/>
            <w:shd w:val="clear" w:color="auto" w:fill="auto"/>
          </w:tcPr>
          <w:p w:rsidR="00686F8A" w:rsidRPr="00206486" w:rsidRDefault="00686F8A" w:rsidP="002B0AAE">
            <w:pPr>
              <w:tabs>
                <w:tab w:val="left" w:pos="8280"/>
              </w:tabs>
              <w:spacing w:after="60"/>
              <w:jc w:val="center"/>
              <w:rPr>
                <w:sz w:val="16"/>
                <w:szCs w:val="16"/>
                <w:lang w:val="fr-CA"/>
              </w:rPr>
            </w:pPr>
          </w:p>
        </w:tc>
        <w:tc>
          <w:tcPr>
            <w:tcW w:w="730" w:type="dxa"/>
            <w:shd w:val="clear" w:color="auto" w:fill="auto"/>
          </w:tcPr>
          <w:p w:rsidR="00686F8A" w:rsidRPr="00206486" w:rsidRDefault="00686F8A" w:rsidP="00BD19D4">
            <w:pPr>
              <w:spacing w:after="60"/>
              <w:jc w:val="left"/>
              <w:rPr>
                <w:sz w:val="16"/>
                <w:szCs w:val="16"/>
                <w:lang w:val="fr-CA"/>
              </w:rPr>
            </w:pPr>
            <w:r w:rsidRPr="00206486">
              <w:rPr>
                <w:sz w:val="16"/>
                <w:szCs w:val="16"/>
                <w:lang w:val="fr-CA"/>
              </w:rPr>
              <w:t>Coûts d’appui</w:t>
            </w:r>
          </w:p>
        </w:tc>
        <w:tc>
          <w:tcPr>
            <w:tcW w:w="747"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1</w:t>
            </w:r>
            <w:r w:rsidR="00BD19D4" w:rsidRPr="00206486">
              <w:rPr>
                <w:color w:val="000000"/>
                <w:sz w:val="16"/>
                <w:szCs w:val="16"/>
                <w:lang w:val="fr-CA" w:eastAsia="es-CO"/>
              </w:rPr>
              <w:t>3 </w:t>
            </w:r>
            <w:r w:rsidRPr="00206486">
              <w:rPr>
                <w:color w:val="000000"/>
                <w:sz w:val="16"/>
                <w:szCs w:val="16"/>
                <w:lang w:val="fr-CA" w:eastAsia="es-CO"/>
              </w:rPr>
              <w:t>144</w:t>
            </w:r>
          </w:p>
        </w:tc>
        <w:tc>
          <w:tcPr>
            <w:tcW w:w="542"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2</w:t>
            </w:r>
            <w:r w:rsidR="00973255" w:rsidRPr="00206486">
              <w:rPr>
                <w:color w:val="000000"/>
                <w:sz w:val="16"/>
                <w:szCs w:val="16"/>
                <w:lang w:val="fr-CA" w:eastAsia="es-CO"/>
              </w:rPr>
              <w:t>7 </w:t>
            </w:r>
            <w:r w:rsidRPr="00206486">
              <w:rPr>
                <w:color w:val="000000"/>
                <w:sz w:val="16"/>
                <w:szCs w:val="16"/>
                <w:lang w:val="fr-CA" w:eastAsia="es-CO"/>
              </w:rPr>
              <w:t>003</w:t>
            </w:r>
          </w:p>
        </w:tc>
        <w:tc>
          <w:tcPr>
            <w:tcW w:w="542"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646"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2</w:t>
            </w:r>
            <w:r w:rsidR="00973255" w:rsidRPr="00206486">
              <w:rPr>
                <w:color w:val="000000"/>
                <w:sz w:val="16"/>
                <w:szCs w:val="16"/>
                <w:lang w:val="fr-CA" w:eastAsia="es-CO"/>
              </w:rPr>
              <w:t>0 </w:t>
            </w:r>
            <w:r w:rsidRPr="00206486">
              <w:rPr>
                <w:color w:val="000000"/>
                <w:sz w:val="16"/>
                <w:szCs w:val="16"/>
                <w:lang w:val="fr-CA" w:eastAsia="es-CO"/>
              </w:rPr>
              <w:t>664</w:t>
            </w:r>
          </w:p>
        </w:tc>
        <w:tc>
          <w:tcPr>
            <w:tcW w:w="723"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686F8A" w:rsidRPr="00206486" w:rsidRDefault="00973255" w:rsidP="002B0AAE">
            <w:pPr>
              <w:tabs>
                <w:tab w:val="left" w:pos="8280"/>
              </w:tabs>
              <w:spacing w:after="60"/>
              <w:jc w:val="center"/>
              <w:rPr>
                <w:sz w:val="16"/>
                <w:szCs w:val="16"/>
                <w:lang w:val="fr-CA"/>
              </w:rPr>
            </w:pPr>
            <w:r w:rsidRPr="00206486">
              <w:rPr>
                <w:color w:val="000000"/>
                <w:sz w:val="16"/>
                <w:szCs w:val="16"/>
                <w:lang w:val="fr-CA" w:eastAsia="es-CO"/>
              </w:rPr>
              <w:t>8 </w:t>
            </w:r>
            <w:r w:rsidR="00686F8A" w:rsidRPr="00206486">
              <w:rPr>
                <w:color w:val="000000"/>
                <w:sz w:val="16"/>
                <w:szCs w:val="16"/>
                <w:lang w:val="fr-CA" w:eastAsia="es-CO"/>
              </w:rPr>
              <w:t>852</w:t>
            </w:r>
          </w:p>
        </w:tc>
        <w:tc>
          <w:tcPr>
            <w:tcW w:w="541" w:type="dxa"/>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686F8A" w:rsidRPr="00206486" w:rsidRDefault="00686F8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686F8A" w:rsidRPr="00206486" w:rsidRDefault="00973255" w:rsidP="002B0AAE">
            <w:pPr>
              <w:tabs>
                <w:tab w:val="left" w:pos="8280"/>
              </w:tabs>
              <w:spacing w:after="60"/>
              <w:jc w:val="center"/>
              <w:rPr>
                <w:sz w:val="16"/>
                <w:szCs w:val="16"/>
                <w:lang w:val="fr-CA"/>
              </w:rPr>
            </w:pPr>
            <w:r w:rsidRPr="00206486">
              <w:rPr>
                <w:color w:val="000000"/>
                <w:sz w:val="16"/>
                <w:szCs w:val="16"/>
                <w:lang w:val="fr-CA" w:eastAsia="es-CO"/>
              </w:rPr>
              <w:t>7 </w:t>
            </w:r>
            <w:r w:rsidR="00686F8A" w:rsidRPr="00206486">
              <w:rPr>
                <w:color w:val="000000"/>
                <w:sz w:val="16"/>
                <w:szCs w:val="16"/>
                <w:lang w:val="fr-CA" w:eastAsia="es-CO"/>
              </w:rPr>
              <w:t>280</w:t>
            </w:r>
          </w:p>
        </w:tc>
        <w:tc>
          <w:tcPr>
            <w:tcW w:w="855" w:type="dxa"/>
            <w:shd w:val="clear" w:color="auto" w:fill="auto"/>
            <w:vAlign w:val="center"/>
          </w:tcPr>
          <w:p w:rsidR="00686F8A" w:rsidRPr="00206486" w:rsidRDefault="00686F8A" w:rsidP="002B0AAE">
            <w:pPr>
              <w:tabs>
                <w:tab w:val="left" w:pos="8280"/>
              </w:tabs>
              <w:spacing w:after="60"/>
              <w:jc w:val="center"/>
              <w:rPr>
                <w:sz w:val="16"/>
                <w:szCs w:val="16"/>
                <w:lang w:val="fr-CA"/>
              </w:rPr>
            </w:pPr>
            <w:r w:rsidRPr="00206486">
              <w:rPr>
                <w:color w:val="000000"/>
                <w:sz w:val="16"/>
                <w:szCs w:val="16"/>
                <w:lang w:val="fr-CA" w:eastAsia="es-CO"/>
              </w:rPr>
              <w:t>7</w:t>
            </w:r>
            <w:r w:rsidR="00BD19D4" w:rsidRPr="00206486">
              <w:rPr>
                <w:color w:val="000000"/>
                <w:sz w:val="16"/>
                <w:szCs w:val="16"/>
                <w:lang w:val="fr-CA" w:eastAsia="es-CO"/>
              </w:rPr>
              <w:t>6 </w:t>
            </w:r>
            <w:r w:rsidRPr="00206486">
              <w:rPr>
                <w:color w:val="000000"/>
                <w:sz w:val="16"/>
                <w:szCs w:val="16"/>
                <w:lang w:val="fr-CA" w:eastAsia="es-CO"/>
              </w:rPr>
              <w:t>942</w:t>
            </w:r>
          </w:p>
        </w:tc>
      </w:tr>
      <w:tr w:rsidR="00686F8A" w:rsidRPr="00206486" w:rsidTr="006444C5">
        <w:trPr>
          <w:trHeight w:val="496"/>
        </w:trPr>
        <w:tc>
          <w:tcPr>
            <w:tcW w:w="2274" w:type="dxa"/>
            <w:gridSpan w:val="3"/>
            <w:shd w:val="clear" w:color="auto" w:fill="auto"/>
          </w:tcPr>
          <w:p w:rsidR="0029622A" w:rsidRPr="00206486" w:rsidRDefault="00686F8A" w:rsidP="00BD19D4">
            <w:pPr>
              <w:tabs>
                <w:tab w:val="left" w:pos="8280"/>
              </w:tabs>
              <w:spacing w:after="60"/>
              <w:jc w:val="left"/>
              <w:rPr>
                <w:sz w:val="16"/>
                <w:szCs w:val="16"/>
                <w:lang w:val="fr-CA"/>
              </w:rPr>
            </w:pPr>
            <w:r w:rsidRPr="00206486">
              <w:rPr>
                <w:sz w:val="16"/>
                <w:szCs w:val="16"/>
                <w:lang w:val="fr-CA"/>
              </w:rPr>
              <w:t xml:space="preserve">Coûts totaux du projet </w:t>
            </w:r>
            <w:r w:rsidR="00BD19D4" w:rsidRPr="00206486">
              <w:rPr>
                <w:sz w:val="16"/>
                <w:szCs w:val="16"/>
                <w:lang w:val="fr-CA"/>
              </w:rPr>
              <w:t>demandés</w:t>
            </w:r>
            <w:r w:rsidRPr="00206486">
              <w:rPr>
                <w:sz w:val="16"/>
                <w:szCs w:val="16"/>
                <w:lang w:val="fr-CA"/>
              </w:rPr>
              <w:t xml:space="preserve"> en principe</w:t>
            </w:r>
            <w:r w:rsidR="00206486">
              <w:rPr>
                <w:sz w:val="16"/>
                <w:szCs w:val="16"/>
                <w:lang w:val="fr-CA"/>
              </w:rPr>
              <w:t xml:space="preserve"> </w:t>
            </w:r>
            <w:r w:rsidR="0029622A" w:rsidRPr="00206486">
              <w:rPr>
                <w:sz w:val="16"/>
                <w:szCs w:val="16"/>
                <w:lang w:val="fr-CA"/>
              </w:rPr>
              <w:t>(US$)</w:t>
            </w:r>
          </w:p>
        </w:tc>
        <w:tc>
          <w:tcPr>
            <w:tcW w:w="747"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18</w:t>
            </w:r>
            <w:r w:rsidR="00973255" w:rsidRPr="00206486">
              <w:rPr>
                <w:color w:val="000000"/>
                <w:sz w:val="16"/>
                <w:szCs w:val="16"/>
                <w:lang w:val="fr-CA" w:eastAsia="es-CO"/>
              </w:rPr>
              <w:t>7 </w:t>
            </w:r>
            <w:r w:rsidRPr="00206486">
              <w:rPr>
                <w:color w:val="000000"/>
                <w:sz w:val="16"/>
                <w:szCs w:val="16"/>
                <w:lang w:val="fr-CA" w:eastAsia="es-CO"/>
              </w:rPr>
              <w:t>777</w:t>
            </w:r>
          </w:p>
        </w:tc>
        <w:tc>
          <w:tcPr>
            <w:tcW w:w="542"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38</w:t>
            </w:r>
            <w:r w:rsidR="00BD19D4" w:rsidRPr="00206486">
              <w:rPr>
                <w:color w:val="000000"/>
                <w:sz w:val="16"/>
                <w:szCs w:val="16"/>
                <w:lang w:val="fr-CA" w:eastAsia="es-CO"/>
              </w:rPr>
              <w:t>5 </w:t>
            </w:r>
            <w:r w:rsidRPr="00206486">
              <w:rPr>
                <w:color w:val="000000"/>
                <w:sz w:val="16"/>
                <w:szCs w:val="16"/>
                <w:lang w:val="fr-CA" w:eastAsia="es-CO"/>
              </w:rPr>
              <w:t>750</w:t>
            </w:r>
          </w:p>
        </w:tc>
        <w:tc>
          <w:tcPr>
            <w:tcW w:w="542"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64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29</w:t>
            </w:r>
            <w:r w:rsidR="00BD19D4" w:rsidRPr="00206486">
              <w:rPr>
                <w:color w:val="000000"/>
                <w:sz w:val="16"/>
                <w:szCs w:val="16"/>
                <w:lang w:val="fr-CA" w:eastAsia="es-CO"/>
              </w:rPr>
              <w:t>5 </w:t>
            </w:r>
            <w:r w:rsidRPr="00206486">
              <w:rPr>
                <w:color w:val="000000"/>
                <w:sz w:val="16"/>
                <w:szCs w:val="16"/>
                <w:lang w:val="fr-CA" w:eastAsia="es-CO"/>
              </w:rPr>
              <w:t>200</w:t>
            </w:r>
          </w:p>
        </w:tc>
        <w:tc>
          <w:tcPr>
            <w:tcW w:w="723"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12</w:t>
            </w:r>
            <w:r w:rsidR="00BD19D4" w:rsidRPr="00206486">
              <w:rPr>
                <w:color w:val="000000"/>
                <w:sz w:val="16"/>
                <w:szCs w:val="16"/>
                <w:lang w:val="fr-CA" w:eastAsia="es-CO"/>
              </w:rPr>
              <w:t>6 </w:t>
            </w:r>
            <w:r w:rsidRPr="00206486">
              <w:rPr>
                <w:color w:val="000000"/>
                <w:sz w:val="16"/>
                <w:szCs w:val="16"/>
                <w:lang w:val="fr-CA" w:eastAsia="es-CO"/>
              </w:rPr>
              <w:t>450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10</w:t>
            </w:r>
            <w:r w:rsidR="00BD19D4" w:rsidRPr="00206486">
              <w:rPr>
                <w:color w:val="000000"/>
                <w:sz w:val="16"/>
                <w:szCs w:val="16"/>
                <w:lang w:val="fr-CA" w:eastAsia="es-CO"/>
              </w:rPr>
              <w:t>4 </w:t>
            </w:r>
            <w:r w:rsidRPr="00206486">
              <w:rPr>
                <w:color w:val="000000"/>
                <w:sz w:val="16"/>
                <w:szCs w:val="16"/>
                <w:lang w:val="fr-CA" w:eastAsia="es-CO"/>
              </w:rPr>
              <w:t>000</w:t>
            </w:r>
          </w:p>
        </w:tc>
        <w:tc>
          <w:tcPr>
            <w:tcW w:w="855" w:type="dxa"/>
            <w:shd w:val="clear" w:color="auto" w:fill="auto"/>
            <w:vAlign w:val="center"/>
          </w:tcPr>
          <w:p w:rsidR="0029622A" w:rsidRPr="00206486" w:rsidRDefault="00BD19D4" w:rsidP="002B0AAE">
            <w:pPr>
              <w:tabs>
                <w:tab w:val="left" w:pos="8280"/>
              </w:tabs>
              <w:spacing w:after="60"/>
              <w:jc w:val="center"/>
              <w:rPr>
                <w:sz w:val="16"/>
                <w:szCs w:val="16"/>
                <w:lang w:val="fr-CA"/>
              </w:rPr>
            </w:pPr>
            <w:r w:rsidRPr="00206486">
              <w:rPr>
                <w:color w:val="000000"/>
                <w:sz w:val="16"/>
                <w:szCs w:val="16"/>
                <w:lang w:val="fr-CA" w:eastAsia="es-CO"/>
              </w:rPr>
              <w:t>1 </w:t>
            </w:r>
            <w:r w:rsidR="0029622A" w:rsidRPr="00206486">
              <w:rPr>
                <w:color w:val="000000"/>
                <w:sz w:val="16"/>
                <w:szCs w:val="16"/>
                <w:lang w:val="fr-CA" w:eastAsia="es-CO"/>
              </w:rPr>
              <w:t>09</w:t>
            </w:r>
            <w:r w:rsidR="00973255" w:rsidRPr="00206486">
              <w:rPr>
                <w:color w:val="000000"/>
                <w:sz w:val="16"/>
                <w:szCs w:val="16"/>
                <w:lang w:val="fr-CA" w:eastAsia="es-CO"/>
              </w:rPr>
              <w:t>9 </w:t>
            </w:r>
            <w:r w:rsidR="0029622A" w:rsidRPr="00206486">
              <w:rPr>
                <w:color w:val="000000"/>
                <w:sz w:val="16"/>
                <w:szCs w:val="16"/>
                <w:lang w:val="fr-CA" w:eastAsia="es-CO"/>
              </w:rPr>
              <w:t>177</w:t>
            </w:r>
          </w:p>
        </w:tc>
      </w:tr>
      <w:tr w:rsidR="00686F8A" w:rsidRPr="00206486" w:rsidTr="006444C5">
        <w:trPr>
          <w:trHeight w:val="216"/>
        </w:trPr>
        <w:tc>
          <w:tcPr>
            <w:tcW w:w="2274" w:type="dxa"/>
            <w:gridSpan w:val="3"/>
            <w:shd w:val="clear" w:color="auto" w:fill="auto"/>
          </w:tcPr>
          <w:p w:rsidR="0029622A" w:rsidRPr="00206486" w:rsidRDefault="00BD19D4" w:rsidP="002B0AAE">
            <w:pPr>
              <w:tabs>
                <w:tab w:val="left" w:pos="8280"/>
              </w:tabs>
              <w:spacing w:after="60"/>
              <w:jc w:val="left"/>
              <w:rPr>
                <w:sz w:val="16"/>
                <w:szCs w:val="16"/>
                <w:lang w:val="fr-CA"/>
              </w:rPr>
            </w:pPr>
            <w:r w:rsidRPr="00206486">
              <w:rPr>
                <w:sz w:val="16"/>
                <w:szCs w:val="16"/>
                <w:lang w:val="fr-CA"/>
              </w:rPr>
              <w:t xml:space="preserve">Coûts totaux du projet demandés en principe </w:t>
            </w:r>
            <w:r w:rsidR="0029622A" w:rsidRPr="00206486">
              <w:rPr>
                <w:sz w:val="16"/>
                <w:szCs w:val="16"/>
                <w:lang w:val="fr-CA"/>
              </w:rPr>
              <w:t>(US$)</w:t>
            </w:r>
          </w:p>
        </w:tc>
        <w:tc>
          <w:tcPr>
            <w:tcW w:w="747"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1</w:t>
            </w:r>
            <w:r w:rsidR="00BD19D4" w:rsidRPr="00206486">
              <w:rPr>
                <w:sz w:val="16"/>
                <w:szCs w:val="16"/>
                <w:lang w:val="fr-CA"/>
              </w:rPr>
              <w:t>3 </w:t>
            </w:r>
            <w:r w:rsidRPr="00206486">
              <w:rPr>
                <w:sz w:val="16"/>
                <w:szCs w:val="16"/>
                <w:lang w:val="fr-CA"/>
              </w:rPr>
              <w:t>144</w:t>
            </w:r>
          </w:p>
        </w:tc>
        <w:tc>
          <w:tcPr>
            <w:tcW w:w="542"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2</w:t>
            </w:r>
            <w:r w:rsidR="00973255" w:rsidRPr="00206486">
              <w:rPr>
                <w:color w:val="000000"/>
                <w:sz w:val="16"/>
                <w:szCs w:val="16"/>
                <w:lang w:val="fr-CA" w:eastAsia="es-CO"/>
              </w:rPr>
              <w:t>7 </w:t>
            </w:r>
            <w:r w:rsidRPr="00206486">
              <w:rPr>
                <w:color w:val="000000"/>
                <w:sz w:val="16"/>
                <w:szCs w:val="16"/>
                <w:lang w:val="fr-CA" w:eastAsia="es-CO"/>
              </w:rPr>
              <w:t>003</w:t>
            </w:r>
          </w:p>
        </w:tc>
        <w:tc>
          <w:tcPr>
            <w:tcW w:w="542"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64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2</w:t>
            </w:r>
            <w:r w:rsidR="00973255" w:rsidRPr="00206486">
              <w:rPr>
                <w:color w:val="000000"/>
                <w:sz w:val="16"/>
                <w:szCs w:val="16"/>
                <w:lang w:val="fr-CA" w:eastAsia="es-CO"/>
              </w:rPr>
              <w:t>0 </w:t>
            </w:r>
            <w:r w:rsidRPr="00206486">
              <w:rPr>
                <w:color w:val="000000"/>
                <w:sz w:val="16"/>
                <w:szCs w:val="16"/>
                <w:lang w:val="fr-CA" w:eastAsia="es-CO"/>
              </w:rPr>
              <w:t>664</w:t>
            </w:r>
          </w:p>
        </w:tc>
        <w:tc>
          <w:tcPr>
            <w:tcW w:w="723"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29622A" w:rsidRPr="00206486" w:rsidRDefault="00973255" w:rsidP="002B0AAE">
            <w:pPr>
              <w:tabs>
                <w:tab w:val="left" w:pos="8280"/>
              </w:tabs>
              <w:spacing w:after="60"/>
              <w:jc w:val="center"/>
              <w:rPr>
                <w:sz w:val="16"/>
                <w:szCs w:val="16"/>
                <w:lang w:val="fr-CA"/>
              </w:rPr>
            </w:pPr>
            <w:r w:rsidRPr="00206486">
              <w:rPr>
                <w:color w:val="000000"/>
                <w:sz w:val="16"/>
                <w:szCs w:val="16"/>
                <w:lang w:val="fr-CA" w:eastAsia="es-CO"/>
              </w:rPr>
              <w:t>8 </w:t>
            </w:r>
            <w:r w:rsidR="0029622A" w:rsidRPr="00206486">
              <w:rPr>
                <w:color w:val="000000"/>
                <w:sz w:val="16"/>
                <w:szCs w:val="16"/>
                <w:lang w:val="fr-CA" w:eastAsia="es-CO"/>
              </w:rPr>
              <w:t>852</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29622A" w:rsidRPr="00206486" w:rsidRDefault="00973255" w:rsidP="002B0AAE">
            <w:pPr>
              <w:tabs>
                <w:tab w:val="left" w:pos="8280"/>
              </w:tabs>
              <w:spacing w:after="60"/>
              <w:jc w:val="center"/>
              <w:rPr>
                <w:sz w:val="16"/>
                <w:szCs w:val="16"/>
                <w:lang w:val="fr-CA"/>
              </w:rPr>
            </w:pPr>
            <w:r w:rsidRPr="00206486">
              <w:rPr>
                <w:color w:val="000000"/>
                <w:sz w:val="16"/>
                <w:szCs w:val="16"/>
                <w:lang w:val="fr-CA" w:eastAsia="es-CO"/>
              </w:rPr>
              <w:t>7 </w:t>
            </w:r>
            <w:r w:rsidR="0029622A" w:rsidRPr="00206486">
              <w:rPr>
                <w:color w:val="000000"/>
                <w:sz w:val="16"/>
                <w:szCs w:val="16"/>
                <w:lang w:val="fr-CA" w:eastAsia="es-CO"/>
              </w:rPr>
              <w:t>280</w:t>
            </w:r>
          </w:p>
        </w:tc>
        <w:tc>
          <w:tcPr>
            <w:tcW w:w="855"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7</w:t>
            </w:r>
            <w:r w:rsidR="00BD19D4" w:rsidRPr="00206486">
              <w:rPr>
                <w:color w:val="000000"/>
                <w:sz w:val="16"/>
                <w:szCs w:val="16"/>
                <w:lang w:val="fr-CA" w:eastAsia="es-CO"/>
              </w:rPr>
              <w:t>6 </w:t>
            </w:r>
            <w:r w:rsidRPr="00206486">
              <w:rPr>
                <w:color w:val="000000"/>
                <w:sz w:val="16"/>
                <w:szCs w:val="16"/>
                <w:lang w:val="fr-CA" w:eastAsia="es-CO"/>
              </w:rPr>
              <w:t>942</w:t>
            </w:r>
          </w:p>
        </w:tc>
      </w:tr>
      <w:tr w:rsidR="00686F8A" w:rsidRPr="00206486" w:rsidTr="006444C5">
        <w:trPr>
          <w:trHeight w:val="313"/>
        </w:trPr>
        <w:tc>
          <w:tcPr>
            <w:tcW w:w="2274" w:type="dxa"/>
            <w:gridSpan w:val="3"/>
            <w:shd w:val="clear" w:color="auto" w:fill="auto"/>
          </w:tcPr>
          <w:p w:rsidR="0029622A" w:rsidRPr="00206486" w:rsidRDefault="00BD19D4" w:rsidP="002B0AAE">
            <w:pPr>
              <w:tabs>
                <w:tab w:val="left" w:pos="8280"/>
              </w:tabs>
              <w:spacing w:after="60"/>
              <w:jc w:val="left"/>
              <w:rPr>
                <w:sz w:val="16"/>
                <w:szCs w:val="16"/>
                <w:lang w:val="fr-CA"/>
              </w:rPr>
            </w:pPr>
            <w:r w:rsidRPr="00206486">
              <w:rPr>
                <w:sz w:val="16"/>
                <w:szCs w:val="16"/>
                <w:lang w:val="fr-CA"/>
              </w:rPr>
              <w:t>Coûts totaux du projet demandés en principe</w:t>
            </w:r>
          </w:p>
        </w:tc>
        <w:tc>
          <w:tcPr>
            <w:tcW w:w="747"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color w:val="000000"/>
                <w:sz w:val="16"/>
                <w:szCs w:val="16"/>
                <w:lang w:val="fr-CA" w:eastAsia="es-CO"/>
              </w:rPr>
              <w:t>20</w:t>
            </w:r>
            <w:r w:rsidR="00973255" w:rsidRPr="00206486">
              <w:rPr>
                <w:color w:val="000000"/>
                <w:sz w:val="16"/>
                <w:szCs w:val="16"/>
                <w:lang w:val="fr-CA" w:eastAsia="es-CO"/>
              </w:rPr>
              <w:t>0 </w:t>
            </w:r>
            <w:r w:rsidRPr="00206486">
              <w:rPr>
                <w:color w:val="000000"/>
                <w:sz w:val="16"/>
                <w:szCs w:val="16"/>
                <w:lang w:val="fr-CA" w:eastAsia="es-CO"/>
              </w:rPr>
              <w:t>921</w:t>
            </w:r>
          </w:p>
        </w:tc>
        <w:tc>
          <w:tcPr>
            <w:tcW w:w="542"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41</w:t>
            </w:r>
            <w:r w:rsidR="00BD19D4" w:rsidRPr="00206486">
              <w:rPr>
                <w:sz w:val="16"/>
                <w:szCs w:val="16"/>
                <w:lang w:val="fr-CA"/>
              </w:rPr>
              <w:t>2 </w:t>
            </w:r>
            <w:r w:rsidRPr="00206486">
              <w:rPr>
                <w:sz w:val="16"/>
                <w:szCs w:val="16"/>
                <w:lang w:val="fr-CA"/>
              </w:rPr>
              <w:t>753</w:t>
            </w:r>
          </w:p>
        </w:tc>
        <w:tc>
          <w:tcPr>
            <w:tcW w:w="542"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64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31</w:t>
            </w:r>
            <w:r w:rsidR="00BD19D4" w:rsidRPr="00206486">
              <w:rPr>
                <w:sz w:val="16"/>
                <w:szCs w:val="16"/>
                <w:lang w:val="fr-CA"/>
              </w:rPr>
              <w:t>5 </w:t>
            </w:r>
            <w:r w:rsidRPr="00206486">
              <w:rPr>
                <w:sz w:val="16"/>
                <w:szCs w:val="16"/>
                <w:lang w:val="fr-CA"/>
              </w:rPr>
              <w:t>864</w:t>
            </w:r>
          </w:p>
        </w:tc>
        <w:tc>
          <w:tcPr>
            <w:tcW w:w="723" w:type="dxa"/>
            <w:shd w:val="clear" w:color="auto" w:fill="auto"/>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13</w:t>
            </w:r>
            <w:r w:rsidR="00BD19D4" w:rsidRPr="00206486">
              <w:rPr>
                <w:sz w:val="16"/>
                <w:szCs w:val="16"/>
                <w:lang w:val="fr-CA"/>
              </w:rPr>
              <w:t>5 </w:t>
            </w:r>
            <w:r w:rsidRPr="00206486">
              <w:rPr>
                <w:sz w:val="16"/>
                <w:szCs w:val="16"/>
                <w:lang w:val="fr-CA"/>
              </w:rPr>
              <w:t>302</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541"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0</w:t>
            </w:r>
          </w:p>
        </w:tc>
        <w:tc>
          <w:tcPr>
            <w:tcW w:w="736" w:type="dxa"/>
            <w:vAlign w:val="center"/>
          </w:tcPr>
          <w:p w:rsidR="0029622A" w:rsidRPr="00206486" w:rsidRDefault="0029622A" w:rsidP="002B0AAE">
            <w:pPr>
              <w:tabs>
                <w:tab w:val="left" w:pos="8280"/>
              </w:tabs>
              <w:spacing w:after="60"/>
              <w:jc w:val="center"/>
              <w:rPr>
                <w:sz w:val="16"/>
                <w:szCs w:val="16"/>
                <w:lang w:val="fr-CA"/>
              </w:rPr>
            </w:pPr>
            <w:r w:rsidRPr="00206486">
              <w:rPr>
                <w:sz w:val="16"/>
                <w:szCs w:val="16"/>
                <w:lang w:val="fr-CA"/>
              </w:rPr>
              <w:t>11</w:t>
            </w:r>
            <w:r w:rsidR="00BD19D4" w:rsidRPr="00206486">
              <w:rPr>
                <w:sz w:val="16"/>
                <w:szCs w:val="16"/>
                <w:lang w:val="fr-CA"/>
              </w:rPr>
              <w:t>1 </w:t>
            </w:r>
            <w:r w:rsidRPr="00206486">
              <w:rPr>
                <w:sz w:val="16"/>
                <w:szCs w:val="16"/>
                <w:lang w:val="fr-CA"/>
              </w:rPr>
              <w:t>280</w:t>
            </w:r>
          </w:p>
        </w:tc>
        <w:tc>
          <w:tcPr>
            <w:tcW w:w="855" w:type="dxa"/>
            <w:shd w:val="clear" w:color="auto" w:fill="auto"/>
            <w:vAlign w:val="center"/>
          </w:tcPr>
          <w:p w:rsidR="0029622A" w:rsidRPr="00206486" w:rsidRDefault="00BD19D4" w:rsidP="002B0AAE">
            <w:pPr>
              <w:tabs>
                <w:tab w:val="left" w:pos="8280"/>
              </w:tabs>
              <w:spacing w:after="60"/>
              <w:jc w:val="center"/>
              <w:rPr>
                <w:sz w:val="16"/>
                <w:szCs w:val="16"/>
                <w:lang w:val="fr-CA"/>
              </w:rPr>
            </w:pPr>
            <w:r w:rsidRPr="00206486">
              <w:rPr>
                <w:sz w:val="16"/>
                <w:szCs w:val="16"/>
                <w:lang w:val="fr-CA"/>
              </w:rPr>
              <w:t>1 </w:t>
            </w:r>
            <w:r w:rsidR="0029622A" w:rsidRPr="00206486">
              <w:rPr>
                <w:sz w:val="16"/>
                <w:szCs w:val="16"/>
                <w:lang w:val="fr-CA"/>
              </w:rPr>
              <w:t>17</w:t>
            </w:r>
            <w:r w:rsidRPr="00206486">
              <w:rPr>
                <w:sz w:val="16"/>
                <w:szCs w:val="16"/>
                <w:lang w:val="fr-CA"/>
              </w:rPr>
              <w:t>6 </w:t>
            </w:r>
            <w:r w:rsidR="0029622A" w:rsidRPr="00206486">
              <w:rPr>
                <w:sz w:val="16"/>
                <w:szCs w:val="16"/>
                <w:lang w:val="fr-CA"/>
              </w:rPr>
              <w:t>119</w:t>
            </w:r>
          </w:p>
        </w:tc>
      </w:tr>
    </w:tbl>
    <w:p w:rsidR="0029622A" w:rsidRPr="00206486" w:rsidRDefault="0029622A" w:rsidP="0029622A">
      <w:pPr>
        <w:rPr>
          <w:sz w:val="16"/>
          <w:szCs w:val="16"/>
          <w:lang w:val="fr-CA"/>
        </w:rPr>
      </w:pPr>
    </w:p>
    <w:tbl>
      <w:tblPr>
        <w:tblStyle w:val="TableGrid10"/>
        <w:tblW w:w="5684" w:type="pct"/>
        <w:tblInd w:w="-572" w:type="dxa"/>
        <w:tblLook w:val="04A0" w:firstRow="1" w:lastRow="0" w:firstColumn="1" w:lastColumn="0" w:noHBand="0" w:noVBand="1"/>
      </w:tblPr>
      <w:tblGrid>
        <w:gridCol w:w="3185"/>
        <w:gridCol w:w="3412"/>
        <w:gridCol w:w="4289"/>
      </w:tblGrid>
      <w:tr w:rsidR="0029622A" w:rsidRPr="00AD6B81" w:rsidTr="006444C5">
        <w:trPr>
          <w:trHeight w:hRule="exact" w:val="227"/>
        </w:trPr>
        <w:tc>
          <w:tcPr>
            <w:tcW w:w="5000" w:type="pct"/>
            <w:gridSpan w:val="3"/>
            <w:shd w:val="clear" w:color="auto" w:fill="auto"/>
          </w:tcPr>
          <w:p w:rsidR="0029622A" w:rsidRPr="00206486" w:rsidRDefault="0029622A" w:rsidP="00BD19D4">
            <w:pPr>
              <w:rPr>
                <w:b/>
                <w:color w:val="000000" w:themeColor="text1"/>
                <w:sz w:val="16"/>
                <w:szCs w:val="16"/>
                <w:lang w:val="fr-CA"/>
              </w:rPr>
            </w:pPr>
            <w:r w:rsidRPr="00206486">
              <w:rPr>
                <w:b/>
                <w:color w:val="000000" w:themeColor="text1"/>
                <w:sz w:val="16"/>
                <w:szCs w:val="16"/>
                <w:lang w:val="fr-CA"/>
              </w:rPr>
              <w:t xml:space="preserve">(VII) </w:t>
            </w:r>
            <w:r w:rsidR="00BD19D4" w:rsidRPr="00206486">
              <w:rPr>
                <w:b/>
                <w:color w:val="000000" w:themeColor="text1"/>
                <w:sz w:val="16"/>
                <w:szCs w:val="16"/>
                <w:lang w:val="fr-CA"/>
              </w:rPr>
              <w:t>Demande de financement pour la première tranche</w:t>
            </w:r>
            <w:r w:rsidRPr="00206486">
              <w:rPr>
                <w:b/>
                <w:color w:val="000000" w:themeColor="text1"/>
                <w:sz w:val="16"/>
                <w:szCs w:val="16"/>
                <w:lang w:val="fr-CA"/>
              </w:rPr>
              <w:t xml:space="preserve"> (2019)</w:t>
            </w:r>
          </w:p>
        </w:tc>
      </w:tr>
      <w:tr w:rsidR="0029622A" w:rsidRPr="00206486" w:rsidTr="006444C5">
        <w:trPr>
          <w:trHeight w:hRule="exact" w:val="227"/>
        </w:trPr>
        <w:tc>
          <w:tcPr>
            <w:tcW w:w="1463" w:type="pct"/>
            <w:shd w:val="clear" w:color="auto" w:fill="auto"/>
          </w:tcPr>
          <w:p w:rsidR="0029622A" w:rsidRPr="00206486" w:rsidRDefault="0029622A" w:rsidP="00BD19D4">
            <w:pPr>
              <w:jc w:val="center"/>
              <w:rPr>
                <w:b/>
                <w:color w:val="000000" w:themeColor="text1"/>
                <w:sz w:val="16"/>
                <w:szCs w:val="16"/>
                <w:lang w:val="fr-CA"/>
              </w:rPr>
            </w:pPr>
            <w:r w:rsidRPr="00206486">
              <w:rPr>
                <w:b/>
                <w:color w:val="000000" w:themeColor="text1"/>
                <w:sz w:val="16"/>
                <w:szCs w:val="16"/>
                <w:lang w:val="fr-CA"/>
              </w:rPr>
              <w:t>Agenc</w:t>
            </w:r>
            <w:r w:rsidR="00BD19D4" w:rsidRPr="00206486">
              <w:rPr>
                <w:b/>
                <w:color w:val="000000" w:themeColor="text1"/>
                <w:sz w:val="16"/>
                <w:szCs w:val="16"/>
                <w:lang w:val="fr-CA"/>
              </w:rPr>
              <w:t>e</w:t>
            </w:r>
          </w:p>
        </w:tc>
        <w:tc>
          <w:tcPr>
            <w:tcW w:w="1567" w:type="pct"/>
            <w:shd w:val="clear" w:color="auto" w:fill="auto"/>
          </w:tcPr>
          <w:p w:rsidR="0029622A" w:rsidRPr="00206486" w:rsidRDefault="0029622A" w:rsidP="00BD19D4">
            <w:pPr>
              <w:jc w:val="center"/>
              <w:rPr>
                <w:b/>
                <w:color w:val="000000" w:themeColor="text1"/>
                <w:sz w:val="16"/>
                <w:szCs w:val="16"/>
                <w:lang w:val="fr-CA"/>
              </w:rPr>
            </w:pPr>
            <w:r w:rsidRPr="00206486">
              <w:rPr>
                <w:b/>
                <w:color w:val="000000" w:themeColor="text1"/>
                <w:sz w:val="16"/>
                <w:szCs w:val="16"/>
                <w:lang w:val="fr-CA"/>
              </w:rPr>
              <w:t>F</w:t>
            </w:r>
            <w:r w:rsidR="00BD19D4" w:rsidRPr="00206486">
              <w:rPr>
                <w:b/>
                <w:color w:val="000000" w:themeColor="text1"/>
                <w:sz w:val="16"/>
                <w:szCs w:val="16"/>
                <w:lang w:val="fr-CA"/>
              </w:rPr>
              <w:t>inancement demandé</w:t>
            </w:r>
            <w:r w:rsidRPr="00206486">
              <w:rPr>
                <w:b/>
                <w:color w:val="000000" w:themeColor="text1"/>
                <w:sz w:val="16"/>
                <w:szCs w:val="16"/>
                <w:lang w:val="fr-CA"/>
              </w:rPr>
              <w:t xml:space="preserve"> (</w:t>
            </w:r>
            <w:r w:rsidR="00686F8A" w:rsidRPr="00206486">
              <w:rPr>
                <w:b/>
                <w:color w:val="000000" w:themeColor="text1"/>
                <w:sz w:val="16"/>
                <w:szCs w:val="16"/>
                <w:lang w:val="fr-CA"/>
              </w:rPr>
              <w:t>$US</w:t>
            </w:r>
            <w:r w:rsidRPr="00206486">
              <w:rPr>
                <w:b/>
                <w:color w:val="000000" w:themeColor="text1"/>
                <w:sz w:val="16"/>
                <w:szCs w:val="16"/>
                <w:lang w:val="fr-CA"/>
              </w:rPr>
              <w:t>)</w:t>
            </w:r>
          </w:p>
        </w:tc>
        <w:tc>
          <w:tcPr>
            <w:tcW w:w="1970" w:type="pct"/>
            <w:shd w:val="clear" w:color="auto" w:fill="auto"/>
          </w:tcPr>
          <w:p w:rsidR="0029622A" w:rsidRPr="00206486" w:rsidRDefault="00BD19D4" w:rsidP="00BD19D4">
            <w:pPr>
              <w:jc w:val="center"/>
              <w:rPr>
                <w:b/>
                <w:color w:val="000000" w:themeColor="text1"/>
                <w:sz w:val="16"/>
                <w:szCs w:val="16"/>
                <w:lang w:val="fr-CA"/>
              </w:rPr>
            </w:pPr>
            <w:r w:rsidRPr="00206486">
              <w:rPr>
                <w:b/>
                <w:color w:val="000000" w:themeColor="text1"/>
                <w:sz w:val="16"/>
                <w:szCs w:val="16"/>
                <w:lang w:val="fr-CA"/>
              </w:rPr>
              <w:t>Coûts d’appui</w:t>
            </w:r>
            <w:r w:rsidR="0029622A" w:rsidRPr="00206486">
              <w:rPr>
                <w:b/>
                <w:color w:val="000000" w:themeColor="text1"/>
                <w:sz w:val="16"/>
                <w:szCs w:val="16"/>
                <w:lang w:val="fr-CA"/>
              </w:rPr>
              <w:t xml:space="preserve"> (</w:t>
            </w:r>
            <w:r w:rsidR="00686F8A" w:rsidRPr="00206486">
              <w:rPr>
                <w:b/>
                <w:color w:val="000000" w:themeColor="text1"/>
                <w:sz w:val="16"/>
                <w:szCs w:val="16"/>
                <w:lang w:val="fr-CA"/>
              </w:rPr>
              <w:t>$US</w:t>
            </w:r>
            <w:r w:rsidR="0029622A" w:rsidRPr="00206486">
              <w:rPr>
                <w:b/>
                <w:color w:val="000000" w:themeColor="text1"/>
                <w:sz w:val="16"/>
                <w:szCs w:val="16"/>
                <w:lang w:val="fr-CA"/>
              </w:rPr>
              <w:t>)</w:t>
            </w:r>
          </w:p>
        </w:tc>
      </w:tr>
      <w:tr w:rsidR="0029622A" w:rsidRPr="00206486" w:rsidTr="006444C5">
        <w:trPr>
          <w:trHeight w:hRule="exact" w:val="227"/>
        </w:trPr>
        <w:tc>
          <w:tcPr>
            <w:tcW w:w="1463" w:type="pct"/>
            <w:shd w:val="clear" w:color="auto" w:fill="auto"/>
          </w:tcPr>
          <w:p w:rsidR="0029622A" w:rsidRPr="00206486" w:rsidRDefault="002B0AAE" w:rsidP="002B0AAE">
            <w:pPr>
              <w:rPr>
                <w:color w:val="000000" w:themeColor="text1"/>
                <w:sz w:val="16"/>
                <w:szCs w:val="16"/>
                <w:lang w:val="fr-CA"/>
              </w:rPr>
            </w:pPr>
            <w:r w:rsidRPr="00206486">
              <w:rPr>
                <w:color w:val="000000" w:themeColor="text1"/>
                <w:sz w:val="16"/>
                <w:szCs w:val="16"/>
                <w:lang w:val="fr-CA"/>
              </w:rPr>
              <w:t>PNUD</w:t>
            </w:r>
          </w:p>
        </w:tc>
        <w:tc>
          <w:tcPr>
            <w:tcW w:w="1567" w:type="pct"/>
            <w:shd w:val="clear" w:color="auto" w:fill="auto"/>
          </w:tcPr>
          <w:p w:rsidR="0029622A" w:rsidRPr="00206486" w:rsidRDefault="0029622A" w:rsidP="002B0AAE">
            <w:pPr>
              <w:jc w:val="right"/>
              <w:rPr>
                <w:color w:val="000000" w:themeColor="text1"/>
                <w:sz w:val="16"/>
                <w:szCs w:val="16"/>
                <w:lang w:val="fr-CA"/>
              </w:rPr>
            </w:pPr>
            <w:r w:rsidRPr="00206486">
              <w:rPr>
                <w:color w:val="000000"/>
                <w:sz w:val="16"/>
                <w:szCs w:val="16"/>
                <w:lang w:val="fr-CA" w:eastAsia="es-CO"/>
              </w:rPr>
              <w:t>18</w:t>
            </w:r>
            <w:r w:rsidR="00973255" w:rsidRPr="00206486">
              <w:rPr>
                <w:color w:val="000000"/>
                <w:sz w:val="16"/>
                <w:szCs w:val="16"/>
                <w:lang w:val="fr-CA" w:eastAsia="es-CO"/>
              </w:rPr>
              <w:t>7 </w:t>
            </w:r>
            <w:r w:rsidRPr="00206486">
              <w:rPr>
                <w:color w:val="000000"/>
                <w:sz w:val="16"/>
                <w:szCs w:val="16"/>
                <w:lang w:val="fr-CA" w:eastAsia="es-CO"/>
              </w:rPr>
              <w:t>777</w:t>
            </w:r>
          </w:p>
        </w:tc>
        <w:tc>
          <w:tcPr>
            <w:tcW w:w="1970" w:type="pct"/>
            <w:shd w:val="clear" w:color="auto" w:fill="auto"/>
          </w:tcPr>
          <w:p w:rsidR="0029622A" w:rsidRPr="00206486" w:rsidRDefault="0029622A" w:rsidP="002B0AAE">
            <w:pPr>
              <w:jc w:val="right"/>
              <w:rPr>
                <w:color w:val="000000" w:themeColor="text1"/>
                <w:sz w:val="16"/>
                <w:szCs w:val="16"/>
                <w:lang w:val="fr-CA"/>
              </w:rPr>
            </w:pPr>
            <w:r w:rsidRPr="00206486">
              <w:rPr>
                <w:sz w:val="16"/>
                <w:szCs w:val="16"/>
                <w:lang w:val="fr-CA"/>
              </w:rPr>
              <w:t>1</w:t>
            </w:r>
            <w:r w:rsidR="00BD19D4" w:rsidRPr="00206486">
              <w:rPr>
                <w:sz w:val="16"/>
                <w:szCs w:val="16"/>
                <w:lang w:val="fr-CA"/>
              </w:rPr>
              <w:t>3 </w:t>
            </w:r>
            <w:r w:rsidRPr="00206486">
              <w:rPr>
                <w:sz w:val="16"/>
                <w:szCs w:val="16"/>
                <w:lang w:val="fr-CA"/>
              </w:rPr>
              <w:t>144</w:t>
            </w:r>
          </w:p>
        </w:tc>
      </w:tr>
      <w:tr w:rsidR="0029622A" w:rsidRPr="00206486" w:rsidTr="006444C5">
        <w:trPr>
          <w:trHeight w:hRule="exact" w:val="227"/>
        </w:trPr>
        <w:tc>
          <w:tcPr>
            <w:tcW w:w="1463" w:type="pct"/>
            <w:shd w:val="clear" w:color="auto" w:fill="auto"/>
          </w:tcPr>
          <w:p w:rsidR="0029622A" w:rsidRPr="00206486" w:rsidRDefault="0029622A" w:rsidP="002B0AAE">
            <w:pPr>
              <w:rPr>
                <w:color w:val="000000" w:themeColor="text1"/>
                <w:sz w:val="16"/>
                <w:szCs w:val="16"/>
                <w:lang w:val="fr-CA"/>
              </w:rPr>
            </w:pPr>
            <w:r w:rsidRPr="00206486">
              <w:rPr>
                <w:color w:val="000000" w:themeColor="text1"/>
                <w:sz w:val="16"/>
                <w:szCs w:val="16"/>
                <w:lang w:val="fr-CA"/>
              </w:rPr>
              <w:t>Total</w:t>
            </w:r>
          </w:p>
        </w:tc>
        <w:tc>
          <w:tcPr>
            <w:tcW w:w="1567" w:type="pct"/>
            <w:shd w:val="clear" w:color="auto" w:fill="auto"/>
          </w:tcPr>
          <w:p w:rsidR="0029622A" w:rsidRPr="00206486" w:rsidRDefault="0029622A" w:rsidP="002B0AAE">
            <w:pPr>
              <w:jc w:val="right"/>
              <w:rPr>
                <w:color w:val="000000" w:themeColor="text1"/>
                <w:sz w:val="16"/>
                <w:szCs w:val="16"/>
                <w:lang w:val="fr-CA"/>
              </w:rPr>
            </w:pPr>
            <w:r w:rsidRPr="00206486">
              <w:rPr>
                <w:color w:val="000000"/>
                <w:sz w:val="16"/>
                <w:szCs w:val="16"/>
                <w:lang w:val="fr-CA" w:eastAsia="es-CO"/>
              </w:rPr>
              <w:t>18</w:t>
            </w:r>
            <w:r w:rsidR="00973255" w:rsidRPr="00206486">
              <w:rPr>
                <w:color w:val="000000"/>
                <w:sz w:val="16"/>
                <w:szCs w:val="16"/>
                <w:lang w:val="fr-CA" w:eastAsia="es-CO"/>
              </w:rPr>
              <w:t>7 </w:t>
            </w:r>
            <w:r w:rsidRPr="00206486">
              <w:rPr>
                <w:color w:val="000000"/>
                <w:sz w:val="16"/>
                <w:szCs w:val="16"/>
                <w:lang w:val="fr-CA" w:eastAsia="es-CO"/>
              </w:rPr>
              <w:t>777</w:t>
            </w:r>
          </w:p>
        </w:tc>
        <w:tc>
          <w:tcPr>
            <w:tcW w:w="1970" w:type="pct"/>
            <w:shd w:val="clear" w:color="auto" w:fill="auto"/>
          </w:tcPr>
          <w:p w:rsidR="0029622A" w:rsidRPr="00206486" w:rsidRDefault="0029622A" w:rsidP="002B0AAE">
            <w:pPr>
              <w:jc w:val="right"/>
              <w:rPr>
                <w:color w:val="000000" w:themeColor="text1"/>
                <w:sz w:val="16"/>
                <w:szCs w:val="16"/>
                <w:lang w:val="fr-CA"/>
              </w:rPr>
            </w:pPr>
            <w:r w:rsidRPr="00206486">
              <w:rPr>
                <w:sz w:val="16"/>
                <w:szCs w:val="16"/>
                <w:lang w:val="fr-CA"/>
              </w:rPr>
              <w:t>1</w:t>
            </w:r>
            <w:r w:rsidR="00BD19D4" w:rsidRPr="00206486">
              <w:rPr>
                <w:sz w:val="16"/>
                <w:szCs w:val="16"/>
                <w:lang w:val="fr-CA"/>
              </w:rPr>
              <w:t>3 </w:t>
            </w:r>
            <w:r w:rsidRPr="00206486">
              <w:rPr>
                <w:sz w:val="16"/>
                <w:szCs w:val="16"/>
                <w:lang w:val="fr-CA"/>
              </w:rPr>
              <w:t>144</w:t>
            </w:r>
          </w:p>
        </w:tc>
      </w:tr>
      <w:tr w:rsidR="0029622A" w:rsidRPr="00AD6B81" w:rsidTr="006444C5">
        <w:trPr>
          <w:trHeight w:hRule="exact" w:val="227"/>
        </w:trPr>
        <w:tc>
          <w:tcPr>
            <w:tcW w:w="1463" w:type="pct"/>
            <w:shd w:val="clear" w:color="auto" w:fill="auto"/>
          </w:tcPr>
          <w:p w:rsidR="0029622A" w:rsidRPr="00206486" w:rsidRDefault="00686F8A" w:rsidP="00BD19D4">
            <w:pPr>
              <w:rPr>
                <w:color w:val="000000" w:themeColor="text1"/>
                <w:sz w:val="16"/>
                <w:szCs w:val="16"/>
                <w:lang w:val="fr-CA"/>
              </w:rPr>
            </w:pPr>
            <w:r w:rsidRPr="00206486">
              <w:rPr>
                <w:color w:val="000000" w:themeColor="text1"/>
                <w:sz w:val="16"/>
                <w:szCs w:val="16"/>
                <w:lang w:val="fr-CA"/>
              </w:rPr>
              <w:t>Financement</w:t>
            </w:r>
            <w:r w:rsidR="0029622A" w:rsidRPr="00206486">
              <w:rPr>
                <w:color w:val="000000" w:themeColor="text1"/>
                <w:sz w:val="16"/>
                <w:szCs w:val="16"/>
                <w:lang w:val="fr-CA"/>
              </w:rPr>
              <w:t xml:space="preserve"> </w:t>
            </w:r>
            <w:r w:rsidR="00BD19D4" w:rsidRPr="00206486">
              <w:rPr>
                <w:color w:val="000000" w:themeColor="text1"/>
                <w:sz w:val="16"/>
                <w:szCs w:val="16"/>
                <w:lang w:val="fr-CA"/>
              </w:rPr>
              <w:t>demandé</w:t>
            </w:r>
            <w:r w:rsidR="002B0AAE" w:rsidRPr="00206486">
              <w:rPr>
                <w:color w:val="000000" w:themeColor="text1"/>
                <w:sz w:val="16"/>
                <w:szCs w:val="16"/>
                <w:lang w:val="fr-CA"/>
              </w:rPr>
              <w:t xml:space="preserve"> : </w:t>
            </w:r>
          </w:p>
        </w:tc>
        <w:tc>
          <w:tcPr>
            <w:tcW w:w="3537" w:type="pct"/>
            <w:gridSpan w:val="2"/>
            <w:shd w:val="clear" w:color="auto" w:fill="auto"/>
          </w:tcPr>
          <w:p w:rsidR="0029622A" w:rsidRPr="00206486" w:rsidRDefault="0029622A" w:rsidP="00BD19D4">
            <w:pPr>
              <w:jc w:val="center"/>
              <w:rPr>
                <w:color w:val="000000" w:themeColor="text1"/>
                <w:sz w:val="16"/>
                <w:szCs w:val="16"/>
                <w:lang w:val="fr-CA"/>
              </w:rPr>
            </w:pPr>
            <w:r w:rsidRPr="00206486">
              <w:rPr>
                <w:color w:val="000000" w:themeColor="text1"/>
                <w:sz w:val="16"/>
                <w:szCs w:val="16"/>
                <w:lang w:val="fr-CA"/>
              </w:rPr>
              <w:t>Appro</w:t>
            </w:r>
            <w:r w:rsidR="00BD19D4" w:rsidRPr="00206486">
              <w:rPr>
                <w:color w:val="000000" w:themeColor="text1"/>
                <w:sz w:val="16"/>
                <w:szCs w:val="16"/>
                <w:lang w:val="fr-CA"/>
              </w:rPr>
              <w:t>bation du</w:t>
            </w:r>
            <w:r w:rsidRPr="00206486">
              <w:rPr>
                <w:color w:val="000000" w:themeColor="text1"/>
                <w:sz w:val="16"/>
                <w:szCs w:val="16"/>
                <w:lang w:val="fr-CA"/>
              </w:rPr>
              <w:t xml:space="preserve"> </w:t>
            </w:r>
            <w:r w:rsidR="00686F8A" w:rsidRPr="00206486">
              <w:rPr>
                <w:color w:val="000000" w:themeColor="text1"/>
                <w:sz w:val="16"/>
                <w:szCs w:val="16"/>
                <w:lang w:val="fr-CA"/>
              </w:rPr>
              <w:t>financement</w:t>
            </w:r>
            <w:r w:rsidRPr="00206486">
              <w:rPr>
                <w:color w:val="000000" w:themeColor="text1"/>
                <w:sz w:val="16"/>
                <w:szCs w:val="16"/>
                <w:lang w:val="fr-CA"/>
              </w:rPr>
              <w:t xml:space="preserve"> </w:t>
            </w:r>
            <w:r w:rsidR="00BD19D4" w:rsidRPr="00206486">
              <w:rPr>
                <w:color w:val="000000" w:themeColor="text1"/>
                <w:sz w:val="16"/>
                <w:szCs w:val="16"/>
                <w:lang w:val="fr-CA"/>
              </w:rPr>
              <w:t>pour la première tranche</w:t>
            </w:r>
            <w:r w:rsidRPr="00206486">
              <w:rPr>
                <w:color w:val="000000" w:themeColor="text1"/>
                <w:sz w:val="16"/>
                <w:szCs w:val="16"/>
                <w:lang w:val="fr-CA"/>
              </w:rPr>
              <w:t xml:space="preserve"> (2019) </w:t>
            </w:r>
            <w:r w:rsidR="00BD19D4" w:rsidRPr="00206486">
              <w:rPr>
                <w:color w:val="000000" w:themeColor="text1"/>
                <w:sz w:val="16"/>
                <w:szCs w:val="16"/>
                <w:lang w:val="fr-CA"/>
              </w:rPr>
              <w:t>tel qu’indiqué ci-dessus</w:t>
            </w:r>
          </w:p>
        </w:tc>
      </w:tr>
      <w:tr w:rsidR="00BD19D4" w:rsidRPr="00206486" w:rsidTr="006444C5">
        <w:trPr>
          <w:trHeight w:hRule="exact" w:val="227"/>
        </w:trPr>
        <w:tc>
          <w:tcPr>
            <w:tcW w:w="1463" w:type="pct"/>
            <w:shd w:val="clear" w:color="auto" w:fill="auto"/>
          </w:tcPr>
          <w:p w:rsidR="00BD19D4" w:rsidRPr="00206486" w:rsidRDefault="00BD19D4" w:rsidP="00BD19D4">
            <w:pPr>
              <w:rPr>
                <w:color w:val="000000" w:themeColor="text1"/>
                <w:sz w:val="16"/>
                <w:szCs w:val="16"/>
                <w:lang w:val="fr-CA"/>
              </w:rPr>
            </w:pPr>
            <w:r w:rsidRPr="00206486">
              <w:rPr>
                <w:color w:val="000000" w:themeColor="text1"/>
                <w:sz w:val="16"/>
                <w:szCs w:val="16"/>
                <w:lang w:val="fr-CA"/>
              </w:rPr>
              <w:t xml:space="preserve">Recommandation du Secrétariat : </w:t>
            </w:r>
          </w:p>
        </w:tc>
        <w:tc>
          <w:tcPr>
            <w:tcW w:w="3537" w:type="pct"/>
            <w:gridSpan w:val="2"/>
            <w:shd w:val="clear" w:color="auto" w:fill="auto"/>
          </w:tcPr>
          <w:p w:rsidR="00BD19D4" w:rsidRPr="00206486" w:rsidRDefault="00BD19D4" w:rsidP="00BD19D4">
            <w:pPr>
              <w:jc w:val="center"/>
              <w:rPr>
                <w:color w:val="000000" w:themeColor="text1"/>
                <w:sz w:val="16"/>
                <w:szCs w:val="16"/>
                <w:lang w:val="fr-CA"/>
              </w:rPr>
            </w:pPr>
            <w:r w:rsidRPr="00206486">
              <w:rPr>
                <w:color w:val="000000" w:themeColor="text1"/>
                <w:sz w:val="16"/>
                <w:szCs w:val="16"/>
                <w:lang w:val="fr-CA"/>
              </w:rPr>
              <w:t>Pour examen individuel</w:t>
            </w:r>
          </w:p>
        </w:tc>
      </w:tr>
    </w:tbl>
    <w:tbl>
      <w:tblPr>
        <w:tblStyle w:val="TableGrid"/>
        <w:tblW w:w="10879" w:type="dxa"/>
        <w:tblInd w:w="-60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601"/>
        <w:gridCol w:w="7278"/>
      </w:tblGrid>
      <w:tr w:rsidR="006444C5" w:rsidRPr="00EB50FF" w:rsidTr="006444C5">
        <w:trPr>
          <w:trHeight w:val="240"/>
        </w:trPr>
        <w:tc>
          <w:tcPr>
            <w:tcW w:w="3601" w:type="dxa"/>
            <w:shd w:val="clear" w:color="auto" w:fill="auto"/>
          </w:tcPr>
          <w:p w:rsidR="006444C5" w:rsidRPr="00EB50FF" w:rsidRDefault="006444C5" w:rsidP="00C03E65">
            <w:pPr>
              <w:spacing w:after="60"/>
              <w:jc w:val="left"/>
              <w:rPr>
                <w:b/>
                <w:sz w:val="18"/>
                <w:lang w:val="fr-FR"/>
              </w:rPr>
            </w:pPr>
            <w:r w:rsidRPr="00EB50FF">
              <w:rPr>
                <w:b/>
                <w:sz w:val="18"/>
                <w:lang w:val="fr-FR"/>
              </w:rPr>
              <w:t>Recommandation du Secrétariat :</w:t>
            </w:r>
          </w:p>
        </w:tc>
        <w:tc>
          <w:tcPr>
            <w:tcW w:w="7278" w:type="dxa"/>
            <w:shd w:val="clear" w:color="auto" w:fill="auto"/>
          </w:tcPr>
          <w:p w:rsidR="006444C5" w:rsidRPr="00EB50FF" w:rsidRDefault="006444C5" w:rsidP="00C03E65">
            <w:pPr>
              <w:spacing w:after="60"/>
              <w:jc w:val="center"/>
              <w:rPr>
                <w:sz w:val="18"/>
                <w:lang w:val="fr-FR"/>
              </w:rPr>
            </w:pPr>
            <w:r w:rsidRPr="006444C5">
              <w:rPr>
                <w:sz w:val="18"/>
                <w:lang w:val="fr-FR"/>
              </w:rPr>
              <w:t>Considération individuelle</w:t>
            </w:r>
          </w:p>
        </w:tc>
      </w:tr>
    </w:tbl>
    <w:p w:rsidR="00FB0F9B" w:rsidRPr="00206486" w:rsidRDefault="00C306D5" w:rsidP="00FB0F9B">
      <w:pPr>
        <w:pStyle w:val="StyleHeader4Para4Left0Firstline0"/>
        <w:numPr>
          <w:ilvl w:val="0"/>
          <w:numId w:val="0"/>
        </w:numPr>
        <w:jc w:val="center"/>
        <w:rPr>
          <w:b/>
          <w:sz w:val="22"/>
          <w:lang w:val="fr-CA"/>
        </w:rPr>
      </w:pPr>
      <w:r w:rsidRPr="00206486">
        <w:rPr>
          <w:b/>
          <w:lang w:val="fr-CA"/>
        </w:rPr>
        <w:lastRenderedPageBreak/>
        <w:t>DESCRIPTION DU PROJET</w:t>
      </w:r>
    </w:p>
    <w:p w:rsidR="00FB0F9B" w:rsidRPr="00206486" w:rsidRDefault="00C306D5" w:rsidP="00FB0F9B">
      <w:pPr>
        <w:rPr>
          <w:b/>
          <w:lang w:val="fr-CA"/>
        </w:rPr>
      </w:pPr>
      <w:r w:rsidRPr="00206486">
        <w:rPr>
          <w:b/>
          <w:lang w:val="fr-CA"/>
        </w:rPr>
        <w:t>Données générales</w:t>
      </w:r>
    </w:p>
    <w:p w:rsidR="00FB0F9B" w:rsidRPr="00206486" w:rsidRDefault="00FB0F9B" w:rsidP="00FB0F9B">
      <w:pPr>
        <w:rPr>
          <w:lang w:val="fr-CA"/>
        </w:rPr>
      </w:pPr>
    </w:p>
    <w:p w:rsidR="00FB0F9B" w:rsidRPr="00206486" w:rsidRDefault="00BD19D4" w:rsidP="00FB0F9B">
      <w:pPr>
        <w:pStyle w:val="Heading1"/>
        <w:rPr>
          <w:lang w:val="fr-CA"/>
        </w:rPr>
      </w:pPr>
      <w:r w:rsidRPr="00206486">
        <w:rPr>
          <w:lang w:val="fr-CA"/>
        </w:rPr>
        <w:t>Au nom du gouvernement du Costa Rica, le PNUD, à titre d’agence d’exécution désignée, a</w:t>
      </w:r>
      <w:r w:rsidR="00C306D5" w:rsidRPr="00206486">
        <w:rPr>
          <w:lang w:val="fr-CA"/>
        </w:rPr>
        <w:t> </w:t>
      </w:r>
      <w:r w:rsidRPr="00206486">
        <w:rPr>
          <w:lang w:val="fr-CA"/>
        </w:rPr>
        <w:t xml:space="preserve">présenté une demande pour la </w:t>
      </w:r>
      <w:r w:rsidR="00D73A31" w:rsidRPr="00206486">
        <w:rPr>
          <w:lang w:val="fr-CA"/>
        </w:rPr>
        <w:t xml:space="preserve">phase </w:t>
      </w:r>
      <w:r w:rsidR="00FB0F9B" w:rsidRPr="00206486">
        <w:rPr>
          <w:lang w:val="fr-CA"/>
        </w:rPr>
        <w:t xml:space="preserve">II </w:t>
      </w:r>
      <w:r w:rsidR="00C306D5" w:rsidRPr="00206486">
        <w:rPr>
          <w:lang w:val="fr-CA"/>
        </w:rPr>
        <w:t>du plan</w:t>
      </w:r>
      <w:r w:rsidRPr="00206486">
        <w:rPr>
          <w:lang w:val="fr-CA"/>
        </w:rPr>
        <w:t xml:space="preserve"> de gestion de l’élimination des HCFC</w:t>
      </w:r>
      <w:r w:rsidR="00FB0F9B" w:rsidRPr="00206486">
        <w:rPr>
          <w:lang w:val="fr-CA"/>
        </w:rPr>
        <w:t xml:space="preserve"> (</w:t>
      </w:r>
      <w:r w:rsidRPr="00206486">
        <w:rPr>
          <w:lang w:val="fr-CA"/>
        </w:rPr>
        <w:t>PGEH</w:t>
      </w:r>
      <w:r w:rsidR="00FB0F9B" w:rsidRPr="00206486">
        <w:rPr>
          <w:lang w:val="fr-CA"/>
        </w:rPr>
        <w:t>)</w:t>
      </w:r>
      <w:r w:rsidR="0060390D" w:rsidRPr="00206486">
        <w:rPr>
          <w:lang w:val="fr-CA"/>
        </w:rPr>
        <w:t>,</w:t>
      </w:r>
      <w:r w:rsidR="00FB0F9B" w:rsidRPr="00206486">
        <w:rPr>
          <w:lang w:val="fr-CA"/>
        </w:rPr>
        <w:t xml:space="preserve"> </w:t>
      </w:r>
      <w:r w:rsidRPr="00206486">
        <w:rPr>
          <w:lang w:val="fr-CA"/>
        </w:rPr>
        <w:t>pour un montant de</w:t>
      </w:r>
      <w:r w:rsidR="00FB0F9B" w:rsidRPr="00206486">
        <w:rPr>
          <w:lang w:val="fr-CA"/>
        </w:rPr>
        <w:t xml:space="preserve"> </w:t>
      </w:r>
      <w:r w:rsidRPr="00206486">
        <w:rPr>
          <w:lang w:val="fr-CA"/>
        </w:rPr>
        <w:t>1 </w:t>
      </w:r>
      <w:r w:rsidR="00FB0F9B" w:rsidRPr="00206486">
        <w:rPr>
          <w:lang w:val="fr-CA"/>
        </w:rPr>
        <w:t>10</w:t>
      </w:r>
      <w:r w:rsidR="00973255" w:rsidRPr="00206486">
        <w:rPr>
          <w:lang w:val="fr-CA"/>
        </w:rPr>
        <w:t>8 </w:t>
      </w:r>
      <w:r w:rsidR="00FB0F9B" w:rsidRPr="00206486">
        <w:rPr>
          <w:lang w:val="fr-CA"/>
        </w:rPr>
        <w:t>34</w:t>
      </w:r>
      <w:r w:rsidR="00973255" w:rsidRPr="00206486">
        <w:rPr>
          <w:lang w:val="fr-CA"/>
        </w:rPr>
        <w:t>8</w:t>
      </w:r>
      <w:r w:rsidR="00C306D5" w:rsidRPr="00206486">
        <w:rPr>
          <w:lang w:val="fr-CA"/>
        </w:rPr>
        <w:t> $US,</w:t>
      </w:r>
      <w:r w:rsidR="00973255" w:rsidRPr="00206486">
        <w:rPr>
          <w:lang w:val="fr-CA"/>
        </w:rPr>
        <w:t> </w:t>
      </w:r>
      <w:r w:rsidR="00C306D5" w:rsidRPr="00206486">
        <w:rPr>
          <w:lang w:val="fr-CA"/>
        </w:rPr>
        <w:t xml:space="preserve">plus des coûts d’appui d’agence de </w:t>
      </w:r>
      <w:r w:rsidR="00FB0F9B" w:rsidRPr="00206486">
        <w:rPr>
          <w:lang w:val="fr-CA"/>
        </w:rPr>
        <w:t>7</w:t>
      </w:r>
      <w:r w:rsidR="00973255" w:rsidRPr="00206486">
        <w:rPr>
          <w:lang w:val="fr-CA"/>
        </w:rPr>
        <w:t>7 </w:t>
      </w:r>
      <w:r w:rsidR="00FB0F9B" w:rsidRPr="00206486">
        <w:rPr>
          <w:lang w:val="fr-CA"/>
        </w:rPr>
        <w:t>58</w:t>
      </w:r>
      <w:r w:rsidRPr="00206486">
        <w:rPr>
          <w:lang w:val="fr-CA"/>
        </w:rPr>
        <w:t>4</w:t>
      </w:r>
      <w:r w:rsidR="00C306D5" w:rsidRPr="00206486">
        <w:rPr>
          <w:lang w:val="fr-CA"/>
        </w:rPr>
        <w:t> $US,</w:t>
      </w:r>
      <w:r w:rsidRPr="00206486">
        <w:rPr>
          <w:lang w:val="fr-CA"/>
        </w:rPr>
        <w:t> </w:t>
      </w:r>
      <w:r w:rsidR="00C306D5" w:rsidRPr="00206486">
        <w:rPr>
          <w:lang w:val="fr-CA"/>
        </w:rPr>
        <w:t>tel qu’initialement présenté</w:t>
      </w:r>
      <w:r w:rsidR="00FB0F9B" w:rsidRPr="00206486">
        <w:rPr>
          <w:lang w:val="fr-CA"/>
        </w:rPr>
        <w:t>.</w:t>
      </w:r>
      <w:r w:rsidR="00FB0F9B" w:rsidRPr="00206486">
        <w:rPr>
          <w:rStyle w:val="FootnoteReference"/>
          <w:lang w:val="fr-CA"/>
        </w:rPr>
        <w:footnoteReference w:id="1"/>
      </w:r>
      <w:r w:rsidR="00FB0F9B" w:rsidRPr="00206486">
        <w:rPr>
          <w:lang w:val="fr-CA"/>
        </w:rPr>
        <w:t xml:space="preserve"> </w:t>
      </w:r>
      <w:r w:rsidR="00C306D5" w:rsidRPr="00206486">
        <w:rPr>
          <w:lang w:val="fr-CA"/>
        </w:rPr>
        <w:t>La mise en oeuvre de la phase</w:t>
      </w:r>
      <w:r w:rsidR="00D73A31" w:rsidRPr="00206486">
        <w:rPr>
          <w:lang w:val="fr-CA"/>
        </w:rPr>
        <w:t xml:space="preserve"> </w:t>
      </w:r>
      <w:r w:rsidR="00FB0F9B" w:rsidRPr="00206486">
        <w:rPr>
          <w:lang w:val="fr-CA"/>
        </w:rPr>
        <w:t xml:space="preserve">II </w:t>
      </w:r>
      <w:r w:rsidR="00C306D5" w:rsidRPr="00206486">
        <w:rPr>
          <w:lang w:val="fr-CA"/>
        </w:rPr>
        <w:t>du PGEH</w:t>
      </w:r>
      <w:r w:rsidR="00FB0F9B" w:rsidRPr="00206486">
        <w:rPr>
          <w:lang w:val="fr-CA"/>
        </w:rPr>
        <w:t xml:space="preserve"> </w:t>
      </w:r>
      <w:r w:rsidR="00C306D5" w:rsidRPr="00206486">
        <w:rPr>
          <w:lang w:val="fr-CA"/>
        </w:rPr>
        <w:t xml:space="preserve">permettra d’éliminer </w:t>
      </w:r>
      <w:r w:rsidR="00973255" w:rsidRPr="00206486">
        <w:rPr>
          <w:lang w:val="fr-CA"/>
        </w:rPr>
        <w:t>8,</w:t>
      </w:r>
      <w:r w:rsidR="00FB0F9B" w:rsidRPr="00206486">
        <w:rPr>
          <w:lang w:val="fr-CA"/>
        </w:rPr>
        <w:t>77</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t xml:space="preserve"> </w:t>
      </w:r>
      <w:r w:rsidR="0060390D" w:rsidRPr="00206486">
        <w:rPr>
          <w:lang w:val="fr-CA"/>
        </w:rPr>
        <w:t xml:space="preserve">afin de respecter l’objectif de réduction de </w:t>
      </w:r>
      <w:r w:rsidR="00FB0F9B" w:rsidRPr="00206486">
        <w:rPr>
          <w:lang w:val="fr-CA"/>
        </w:rPr>
        <w:t>9</w:t>
      </w:r>
      <w:r w:rsidR="00973255" w:rsidRPr="00206486">
        <w:rPr>
          <w:lang w:val="fr-CA"/>
        </w:rPr>
        <w:t>7,</w:t>
      </w:r>
      <w:r w:rsidR="00FB0F9B" w:rsidRPr="00206486">
        <w:rPr>
          <w:lang w:val="fr-CA"/>
        </w:rPr>
        <w:t xml:space="preserve">5 </w:t>
      </w:r>
      <w:r w:rsidR="0060390D" w:rsidRPr="00206486">
        <w:rPr>
          <w:lang w:val="fr-CA"/>
        </w:rPr>
        <w:t>pour cent</w:t>
      </w:r>
      <w:r w:rsidR="00FB0F9B" w:rsidRPr="00206486">
        <w:rPr>
          <w:lang w:val="fr-CA"/>
        </w:rPr>
        <w:t xml:space="preserve"> </w:t>
      </w:r>
      <w:r w:rsidR="0060390D" w:rsidRPr="00206486">
        <w:rPr>
          <w:lang w:val="fr-CA"/>
        </w:rPr>
        <w:t xml:space="preserve">de la consommation de référence de </w:t>
      </w:r>
      <w:r w:rsidR="00FB0F9B" w:rsidRPr="00206486">
        <w:rPr>
          <w:lang w:val="fr-CA"/>
        </w:rPr>
        <w:t xml:space="preserve">HCFC </w:t>
      </w:r>
      <w:r w:rsidR="0060390D" w:rsidRPr="00206486">
        <w:rPr>
          <w:lang w:val="fr-CA"/>
        </w:rPr>
        <w:t>d’ici 20</w:t>
      </w:r>
      <w:r w:rsidR="00FB0F9B" w:rsidRPr="00206486">
        <w:rPr>
          <w:lang w:val="fr-CA"/>
        </w:rPr>
        <w:t>3</w:t>
      </w:r>
      <w:r w:rsidR="00973255" w:rsidRPr="00206486">
        <w:rPr>
          <w:lang w:val="fr-CA"/>
        </w:rPr>
        <w:t>0</w:t>
      </w:r>
      <w:r w:rsidR="0060390D" w:rsidRPr="00206486">
        <w:rPr>
          <w:lang w:val="fr-CA"/>
        </w:rPr>
        <w:t>.</w:t>
      </w:r>
      <w:r w:rsidR="00FB0F9B" w:rsidRPr="00206486">
        <w:rPr>
          <w:lang w:val="fr-CA"/>
        </w:rPr>
        <w:t xml:space="preserve"> </w:t>
      </w:r>
      <w:r w:rsidR="0060390D" w:rsidRPr="00206486">
        <w:rPr>
          <w:lang w:val="fr-CA"/>
        </w:rPr>
        <w:t>En outre</w:t>
      </w:r>
      <w:r w:rsidR="00FB0F9B" w:rsidRPr="00206486">
        <w:rPr>
          <w:lang w:val="fr-CA"/>
        </w:rPr>
        <w:t>,</w:t>
      </w:r>
      <w:r w:rsidR="0060390D" w:rsidRPr="00206486">
        <w:rPr>
          <w:lang w:val="fr-CA"/>
        </w:rPr>
        <w:t xml:space="preserve"> la phase II</w:t>
      </w:r>
      <w:r w:rsidR="00FB0F9B" w:rsidRPr="00206486">
        <w:rPr>
          <w:lang w:val="fr-CA"/>
        </w:rPr>
        <w:t xml:space="preserve"> </w:t>
      </w:r>
      <w:r w:rsidR="0060390D" w:rsidRPr="00206486">
        <w:rPr>
          <w:lang w:val="fr-CA"/>
        </w:rPr>
        <w:t xml:space="preserve">éliminera aussi </w:t>
      </w:r>
      <w:r w:rsidR="00973255" w:rsidRPr="00206486">
        <w:rPr>
          <w:lang w:val="fr-CA"/>
        </w:rPr>
        <w:t>0,</w:t>
      </w:r>
      <w:r w:rsidR="00FB0F9B" w:rsidRPr="00206486">
        <w:rPr>
          <w:lang w:val="fr-CA"/>
        </w:rPr>
        <w:t>69</w:t>
      </w:r>
      <w:r w:rsidR="00C02492" w:rsidRPr="00206486">
        <w:rPr>
          <w:lang w:val="fr-CA"/>
        </w:rPr>
        <w:t xml:space="preserve"> tonne PAO</w:t>
      </w:r>
      <w:r w:rsidR="00FB0F9B" w:rsidRPr="00206486">
        <w:rPr>
          <w:lang w:val="fr-CA"/>
        </w:rPr>
        <w:t xml:space="preserve"> </w:t>
      </w:r>
      <w:r w:rsidR="0060390D" w:rsidRPr="00206486">
        <w:rPr>
          <w:lang w:val="fr-CA"/>
        </w:rPr>
        <w:t>de HCFC</w:t>
      </w:r>
      <w:r w:rsidR="00FB0F9B" w:rsidRPr="00206486">
        <w:rPr>
          <w:lang w:val="fr-CA"/>
        </w:rPr>
        <w:noBreakHyphen/>
        <w:t xml:space="preserve">141b </w:t>
      </w:r>
      <w:r w:rsidR="0060390D" w:rsidRPr="00206486">
        <w:rPr>
          <w:lang w:val="fr-CA"/>
        </w:rPr>
        <w:t>contenue dans des polyols prémélangés importés</w:t>
      </w:r>
      <w:r w:rsidR="00FB0F9B" w:rsidRPr="00206486">
        <w:rPr>
          <w:lang w:val="fr-CA"/>
        </w:rPr>
        <w:t xml:space="preserve">, </w:t>
      </w:r>
      <w:r w:rsidR="0060390D" w:rsidRPr="00206486">
        <w:rPr>
          <w:lang w:val="fr-CA"/>
        </w:rPr>
        <w:t xml:space="preserve">ce qui représente toute l’utilisation restante de cette </w:t>
      </w:r>
      <w:r w:rsidR="00FB0F9B" w:rsidRPr="00206486">
        <w:rPr>
          <w:lang w:val="fr-CA"/>
        </w:rPr>
        <w:t xml:space="preserve">substance </w:t>
      </w:r>
      <w:r w:rsidR="0060390D" w:rsidRPr="00206486">
        <w:rPr>
          <w:lang w:val="fr-CA"/>
        </w:rPr>
        <w:t>dans le</w:t>
      </w:r>
      <w:r w:rsidR="00FB0F9B" w:rsidRPr="00206486">
        <w:rPr>
          <w:lang w:val="fr-CA"/>
        </w:rPr>
        <w:t xml:space="preserve"> </w:t>
      </w:r>
      <w:r w:rsidR="0060390D" w:rsidRPr="00206486">
        <w:rPr>
          <w:lang w:val="fr-CA"/>
        </w:rPr>
        <w:t>secteur de la fabrication des mousses pour la réfrigération</w:t>
      </w:r>
      <w:r w:rsidR="00FB0F9B" w:rsidRPr="00206486">
        <w:rPr>
          <w:lang w:val="fr-CA"/>
        </w:rPr>
        <w:t xml:space="preserve">. </w:t>
      </w:r>
      <w:r w:rsidRPr="00206486">
        <w:rPr>
          <w:lang w:val="fr-CA"/>
        </w:rPr>
        <w:t xml:space="preserve"> </w:t>
      </w:r>
    </w:p>
    <w:p w:rsidR="00FB0F9B" w:rsidRPr="00206486" w:rsidRDefault="0060390D" w:rsidP="00FB0F9B">
      <w:pPr>
        <w:pStyle w:val="Heading1"/>
        <w:rPr>
          <w:lang w:val="fr-CA"/>
        </w:rPr>
      </w:pPr>
      <w:r w:rsidRPr="00206486">
        <w:rPr>
          <w:lang w:val="fr-CA"/>
        </w:rPr>
        <w:t>La première tranche</w:t>
      </w:r>
      <w:r w:rsidR="00FB0F9B" w:rsidRPr="00206486">
        <w:rPr>
          <w:lang w:val="fr-CA"/>
        </w:rPr>
        <w:t xml:space="preserve"> </w:t>
      </w:r>
      <w:r w:rsidRPr="00206486">
        <w:rPr>
          <w:lang w:val="fr-CA"/>
        </w:rPr>
        <w:t>de la phase II</w:t>
      </w:r>
      <w:r w:rsidR="00FB0F9B" w:rsidRPr="00206486">
        <w:rPr>
          <w:lang w:val="fr-CA"/>
        </w:rPr>
        <w:t xml:space="preserve"> </w:t>
      </w:r>
      <w:r w:rsidR="00C306D5" w:rsidRPr="00206486">
        <w:rPr>
          <w:lang w:val="fr-CA"/>
        </w:rPr>
        <w:t>du PGEH</w:t>
      </w:r>
      <w:r w:rsidR="00FB0F9B" w:rsidRPr="00206486">
        <w:rPr>
          <w:lang w:val="fr-CA"/>
        </w:rPr>
        <w:t xml:space="preserve"> </w:t>
      </w:r>
      <w:r w:rsidRPr="00206486">
        <w:rPr>
          <w:lang w:val="fr-CA"/>
        </w:rPr>
        <w:t xml:space="preserve">demandée à la présente réunion totalise </w:t>
      </w:r>
      <w:r w:rsidR="00FB0F9B" w:rsidRPr="00206486">
        <w:rPr>
          <w:lang w:val="fr-CA"/>
        </w:rPr>
        <w:t>19</w:t>
      </w:r>
      <w:r w:rsidR="00BD19D4" w:rsidRPr="00206486">
        <w:rPr>
          <w:lang w:val="fr-CA"/>
        </w:rPr>
        <w:t>6 </w:t>
      </w:r>
      <w:r w:rsidR="00FB0F9B" w:rsidRPr="00206486">
        <w:rPr>
          <w:lang w:val="fr-CA"/>
        </w:rPr>
        <w:t>94</w:t>
      </w:r>
      <w:r w:rsidR="00973255" w:rsidRPr="00206486">
        <w:rPr>
          <w:lang w:val="fr-CA"/>
        </w:rPr>
        <w:t>8</w:t>
      </w:r>
      <w:r w:rsidRPr="00206486">
        <w:rPr>
          <w:lang w:val="fr-CA"/>
        </w:rPr>
        <w:t> $US</w:t>
      </w:r>
      <w:r w:rsidR="00973255" w:rsidRPr="00206486">
        <w:rPr>
          <w:lang w:val="fr-CA"/>
        </w:rPr>
        <w:t> </w:t>
      </w:r>
      <w:r w:rsidR="00C306D5" w:rsidRPr="00206486">
        <w:rPr>
          <w:lang w:val="fr-CA"/>
        </w:rPr>
        <w:t xml:space="preserve">plus des coûts d’appui d’agence de </w:t>
      </w:r>
      <w:r w:rsidR="00FB0F9B" w:rsidRPr="00206486">
        <w:rPr>
          <w:lang w:val="fr-CA"/>
        </w:rPr>
        <w:t>1</w:t>
      </w:r>
      <w:r w:rsidR="00BD19D4" w:rsidRPr="00206486">
        <w:rPr>
          <w:lang w:val="fr-CA"/>
        </w:rPr>
        <w:t>3 </w:t>
      </w:r>
      <w:r w:rsidR="00FB0F9B" w:rsidRPr="00206486">
        <w:rPr>
          <w:lang w:val="fr-CA"/>
        </w:rPr>
        <w:t>786</w:t>
      </w:r>
      <w:r w:rsidRPr="00206486">
        <w:rPr>
          <w:lang w:val="fr-CA"/>
        </w:rPr>
        <w:t> $US</w:t>
      </w:r>
      <w:r w:rsidR="00FB0F9B" w:rsidRPr="00206486">
        <w:rPr>
          <w:lang w:val="fr-CA"/>
        </w:rPr>
        <w:t xml:space="preserve"> </w:t>
      </w:r>
      <w:r w:rsidRPr="00206486">
        <w:rPr>
          <w:lang w:val="fr-CA"/>
        </w:rPr>
        <w:t>pour le</w:t>
      </w:r>
      <w:r w:rsidR="00FB0F9B" w:rsidRPr="00206486">
        <w:rPr>
          <w:lang w:val="fr-CA"/>
        </w:rPr>
        <w:t xml:space="preserve"> </w:t>
      </w:r>
      <w:r w:rsidR="002B0AAE" w:rsidRPr="00206486">
        <w:rPr>
          <w:lang w:val="fr-CA"/>
        </w:rPr>
        <w:t>PNUD</w:t>
      </w:r>
      <w:r w:rsidR="00FB0F9B" w:rsidRPr="00206486">
        <w:rPr>
          <w:lang w:val="fr-CA"/>
        </w:rPr>
        <w:t xml:space="preserve">, </w:t>
      </w:r>
      <w:r w:rsidRPr="00206486">
        <w:rPr>
          <w:lang w:val="fr-CA"/>
        </w:rPr>
        <w:t>tel qu’initialement présenté</w:t>
      </w:r>
      <w:r w:rsidR="00FB0F9B" w:rsidRPr="00206486">
        <w:rPr>
          <w:lang w:val="fr-CA"/>
        </w:rPr>
        <w:t>.</w:t>
      </w:r>
    </w:p>
    <w:p w:rsidR="00FB0F9B" w:rsidRPr="00206486" w:rsidRDefault="0060390D" w:rsidP="00FB0F9B">
      <w:pPr>
        <w:pStyle w:val="Heading1"/>
        <w:numPr>
          <w:ilvl w:val="0"/>
          <w:numId w:val="0"/>
        </w:numPr>
        <w:rPr>
          <w:b/>
          <w:lang w:val="fr-CA"/>
        </w:rPr>
      </w:pPr>
      <w:r w:rsidRPr="00206486">
        <w:rPr>
          <w:b/>
          <w:lang w:val="fr-CA"/>
        </w:rPr>
        <w:t xml:space="preserve">Mise en oeuvre de la </w:t>
      </w:r>
      <w:r w:rsidR="00D73A31" w:rsidRPr="00206486">
        <w:rPr>
          <w:b/>
          <w:lang w:val="fr-CA"/>
        </w:rPr>
        <w:t xml:space="preserve">phase </w:t>
      </w:r>
      <w:r w:rsidR="00FB0F9B" w:rsidRPr="00206486">
        <w:rPr>
          <w:b/>
          <w:lang w:val="fr-CA"/>
        </w:rPr>
        <w:t xml:space="preserve">I </w:t>
      </w:r>
      <w:r w:rsidR="00C306D5" w:rsidRPr="00206486">
        <w:rPr>
          <w:b/>
          <w:lang w:val="fr-CA"/>
        </w:rPr>
        <w:t>du PGEH</w:t>
      </w:r>
    </w:p>
    <w:p w:rsidR="00FB0F9B" w:rsidRPr="00206486" w:rsidRDefault="0039010B" w:rsidP="00FB0F9B">
      <w:pPr>
        <w:pStyle w:val="Heading1"/>
        <w:rPr>
          <w:lang w:val="fr-CA"/>
        </w:rPr>
      </w:pPr>
      <w:r w:rsidRPr="00206486">
        <w:rPr>
          <w:lang w:val="fr-CA"/>
        </w:rPr>
        <w:t>La phase</w:t>
      </w:r>
      <w:r w:rsidR="00FB0F9B" w:rsidRPr="00206486">
        <w:rPr>
          <w:lang w:val="fr-CA"/>
        </w:rPr>
        <w:t xml:space="preserve"> I </w:t>
      </w:r>
      <w:r w:rsidR="00C306D5" w:rsidRPr="00206486">
        <w:rPr>
          <w:lang w:val="fr-CA"/>
        </w:rPr>
        <w:t>du PGEH</w:t>
      </w:r>
      <w:r w:rsidR="00FB0F9B" w:rsidRPr="00206486">
        <w:rPr>
          <w:lang w:val="fr-CA"/>
        </w:rPr>
        <w:t xml:space="preserve"> </w:t>
      </w:r>
      <w:r w:rsidRPr="00206486">
        <w:rPr>
          <w:lang w:val="fr-CA"/>
        </w:rPr>
        <w:t>du Costa Rica</w:t>
      </w:r>
      <w:r w:rsidR="00FB0F9B" w:rsidRPr="00206486">
        <w:rPr>
          <w:lang w:val="fr-CA"/>
        </w:rPr>
        <w:t xml:space="preserve"> </w:t>
      </w:r>
      <w:r w:rsidRPr="00206486">
        <w:rPr>
          <w:lang w:val="fr-CA"/>
        </w:rPr>
        <w:t>a été approuvé à la 6</w:t>
      </w:r>
      <w:r w:rsidR="00FB0F9B" w:rsidRPr="00206486">
        <w:rPr>
          <w:lang w:val="fr-CA"/>
        </w:rPr>
        <w:t>4</w:t>
      </w:r>
      <w:r w:rsidRPr="00206486">
        <w:rPr>
          <w:vertAlign w:val="superscript"/>
          <w:lang w:val="fr-CA"/>
        </w:rPr>
        <w:t>e</w:t>
      </w:r>
      <w:r w:rsidRPr="00206486">
        <w:rPr>
          <w:lang w:val="fr-CA"/>
        </w:rPr>
        <w:t xml:space="preserve"> réunion</w:t>
      </w:r>
      <w:r w:rsidR="00FB0F9B" w:rsidRPr="00206486">
        <w:rPr>
          <w:rStyle w:val="FootnoteReference"/>
          <w:lang w:val="fr-CA"/>
        </w:rPr>
        <w:footnoteReference w:id="2"/>
      </w:r>
      <w:r w:rsidR="00FB0F9B" w:rsidRPr="00206486">
        <w:rPr>
          <w:lang w:val="fr-CA"/>
        </w:rPr>
        <w:t xml:space="preserve"> </w:t>
      </w:r>
      <w:r w:rsidRPr="00206486">
        <w:rPr>
          <w:lang w:val="fr-CA"/>
        </w:rPr>
        <w:t xml:space="preserve">afin de respecter la réduction de </w:t>
      </w:r>
      <w:r w:rsidR="00FB0F9B" w:rsidRPr="00206486">
        <w:rPr>
          <w:lang w:val="fr-CA"/>
        </w:rPr>
        <w:t>35 </w:t>
      </w:r>
      <w:r w:rsidR="0060390D" w:rsidRPr="00206486">
        <w:rPr>
          <w:lang w:val="fr-CA"/>
        </w:rPr>
        <w:t>pour cent</w:t>
      </w:r>
      <w:r w:rsidR="00FB0F9B" w:rsidRPr="00206486">
        <w:rPr>
          <w:lang w:val="fr-CA"/>
        </w:rPr>
        <w:t xml:space="preserve"> </w:t>
      </w:r>
      <w:r w:rsidRPr="00206486">
        <w:rPr>
          <w:lang w:val="fr-CA"/>
        </w:rPr>
        <w:t xml:space="preserve">de la consommation de référence </w:t>
      </w:r>
      <w:r w:rsidR="0060390D" w:rsidRPr="00206486">
        <w:rPr>
          <w:lang w:val="fr-CA"/>
        </w:rPr>
        <w:t>d’ici 20</w:t>
      </w:r>
      <w:r w:rsidR="00FB0F9B" w:rsidRPr="00206486">
        <w:rPr>
          <w:lang w:val="fr-CA"/>
        </w:rPr>
        <w:t>2</w:t>
      </w:r>
      <w:r w:rsidR="00973255" w:rsidRPr="00206486">
        <w:rPr>
          <w:lang w:val="fr-CA"/>
        </w:rPr>
        <w:t>0</w:t>
      </w:r>
      <w:r w:rsidRPr="00206486">
        <w:rPr>
          <w:lang w:val="fr-CA"/>
        </w:rPr>
        <w:t xml:space="preserve">, ce qui a entraîné l’élimination de </w:t>
      </w:r>
      <w:r w:rsidR="00973255" w:rsidRPr="00206486">
        <w:rPr>
          <w:lang w:val="fr-CA"/>
        </w:rPr>
        <w:t>4,</w:t>
      </w:r>
      <w:r w:rsidR="00FB0F9B" w:rsidRPr="00206486">
        <w:rPr>
          <w:lang w:val="fr-CA"/>
        </w:rPr>
        <w:t>93</w:t>
      </w:r>
      <w:r w:rsidR="00A8388B">
        <w:rPr>
          <w:lang w:val="fr-CA"/>
        </w:rPr>
        <w:t> </w:t>
      </w:r>
      <w:r w:rsidR="00C02492" w:rsidRPr="00206486">
        <w:rPr>
          <w:lang w:val="fr-CA"/>
        </w:rPr>
        <w:t>tonnes</w:t>
      </w:r>
      <w:r w:rsidR="00A8388B">
        <w:rPr>
          <w:lang w:val="fr-CA"/>
        </w:rPr>
        <w:t> P</w:t>
      </w:r>
      <w:r w:rsidR="00C02492" w:rsidRPr="00206486">
        <w:rPr>
          <w:lang w:val="fr-CA"/>
        </w:rPr>
        <w:t>AO</w:t>
      </w:r>
      <w:r w:rsidR="00FB0F9B" w:rsidRPr="00206486">
        <w:rPr>
          <w:lang w:val="fr-CA"/>
        </w:rPr>
        <w:t xml:space="preserve"> </w:t>
      </w:r>
      <w:r w:rsidR="0060390D" w:rsidRPr="00206486">
        <w:rPr>
          <w:lang w:val="fr-CA"/>
        </w:rPr>
        <w:t>de HCFC</w:t>
      </w:r>
      <w:r w:rsidRPr="00206486">
        <w:rPr>
          <w:lang w:val="fr-CA"/>
        </w:rPr>
        <w:t xml:space="preserve"> et de </w:t>
      </w:r>
      <w:r w:rsidR="00FB0F9B" w:rsidRPr="00206486">
        <w:rPr>
          <w:lang w:val="fr-CA"/>
        </w:rPr>
        <w:t>1</w:t>
      </w:r>
      <w:r w:rsidR="00973255" w:rsidRPr="00206486">
        <w:rPr>
          <w:lang w:val="fr-CA"/>
        </w:rPr>
        <w:t>4,</w:t>
      </w:r>
      <w:r w:rsidR="00FB0F9B" w:rsidRPr="00206486">
        <w:rPr>
          <w:lang w:val="fr-CA"/>
        </w:rPr>
        <w:t>00</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t xml:space="preserve">-141b </w:t>
      </w:r>
      <w:r w:rsidRPr="00206486">
        <w:rPr>
          <w:lang w:val="fr-CA"/>
        </w:rPr>
        <w:t>contenues</w:t>
      </w:r>
      <w:r w:rsidR="00FB0F9B" w:rsidRPr="00206486">
        <w:rPr>
          <w:lang w:val="fr-CA"/>
        </w:rPr>
        <w:t xml:space="preserve"> </w:t>
      </w:r>
      <w:r w:rsidRPr="00206486">
        <w:rPr>
          <w:lang w:val="fr-CA"/>
        </w:rPr>
        <w:t xml:space="preserve">dans des </w:t>
      </w:r>
      <w:r w:rsidR="0060390D" w:rsidRPr="00206486">
        <w:rPr>
          <w:lang w:val="fr-CA"/>
        </w:rPr>
        <w:t>polyols prémélangés importés</w:t>
      </w:r>
      <w:r w:rsidR="00FB0F9B" w:rsidRPr="00206486">
        <w:rPr>
          <w:lang w:val="fr-CA"/>
        </w:rPr>
        <w:t xml:space="preserve">, </w:t>
      </w:r>
      <w:r w:rsidRPr="00206486">
        <w:rPr>
          <w:lang w:val="fr-CA"/>
        </w:rPr>
        <w:t xml:space="preserve">pour un coût total de </w:t>
      </w:r>
      <w:r w:rsidR="00BD19D4" w:rsidRPr="00206486">
        <w:rPr>
          <w:lang w:val="fr-CA"/>
        </w:rPr>
        <w:t>1 </w:t>
      </w:r>
      <w:r w:rsidR="00FB0F9B" w:rsidRPr="00206486">
        <w:rPr>
          <w:lang w:val="fr-CA"/>
        </w:rPr>
        <w:t>15</w:t>
      </w:r>
      <w:r w:rsidR="00BD19D4" w:rsidRPr="00206486">
        <w:rPr>
          <w:lang w:val="fr-CA"/>
        </w:rPr>
        <w:t>3 </w:t>
      </w:r>
      <w:r w:rsidR="00FB0F9B" w:rsidRPr="00206486">
        <w:rPr>
          <w:lang w:val="fr-CA"/>
        </w:rPr>
        <w:t>52</w:t>
      </w:r>
      <w:r w:rsidR="00BD19D4" w:rsidRPr="00206486">
        <w:rPr>
          <w:lang w:val="fr-CA"/>
        </w:rPr>
        <w:t>3</w:t>
      </w:r>
      <w:r w:rsidRPr="00206486">
        <w:rPr>
          <w:lang w:val="fr-CA"/>
        </w:rPr>
        <w:t> $US,</w:t>
      </w:r>
      <w:r w:rsidR="00BD19D4" w:rsidRPr="00206486">
        <w:rPr>
          <w:lang w:val="fr-CA"/>
        </w:rPr>
        <w:t> </w:t>
      </w:r>
      <w:r w:rsidRPr="00206486">
        <w:rPr>
          <w:lang w:val="fr-CA"/>
        </w:rPr>
        <w:t>excluant</w:t>
      </w:r>
      <w:r w:rsidR="00FB0F9B" w:rsidRPr="00206486">
        <w:rPr>
          <w:lang w:val="fr-CA"/>
        </w:rPr>
        <w:t xml:space="preserve"> </w:t>
      </w:r>
      <w:r w:rsidRPr="00206486">
        <w:rPr>
          <w:lang w:val="fr-CA"/>
        </w:rPr>
        <w:t xml:space="preserve">les </w:t>
      </w:r>
      <w:r w:rsidR="00C306D5" w:rsidRPr="00206486">
        <w:rPr>
          <w:lang w:val="fr-CA"/>
        </w:rPr>
        <w:t>coûts d’appui d’agence</w:t>
      </w:r>
      <w:r w:rsidR="00FB0F9B" w:rsidRPr="00206486">
        <w:rPr>
          <w:lang w:val="fr-CA"/>
        </w:rPr>
        <w:t xml:space="preserve">. </w:t>
      </w:r>
    </w:p>
    <w:p w:rsidR="00FB0F9B" w:rsidRPr="00206486" w:rsidRDefault="0039010B" w:rsidP="00FB0F9B">
      <w:pPr>
        <w:rPr>
          <w:u w:val="single"/>
          <w:lang w:val="fr-CA"/>
        </w:rPr>
      </w:pPr>
      <w:r w:rsidRPr="00206486">
        <w:rPr>
          <w:u w:val="single"/>
          <w:lang w:val="fr-CA"/>
        </w:rPr>
        <w:t xml:space="preserve">Consommation de </w:t>
      </w:r>
      <w:r w:rsidR="00FB0F9B" w:rsidRPr="00206486">
        <w:rPr>
          <w:u w:val="single"/>
          <w:lang w:val="fr-CA"/>
        </w:rPr>
        <w:t>HCFC</w:t>
      </w:r>
    </w:p>
    <w:p w:rsidR="00FB0F9B" w:rsidRPr="00206486" w:rsidRDefault="00FB0F9B" w:rsidP="00FB0F9B">
      <w:pPr>
        <w:rPr>
          <w:lang w:val="fr-CA"/>
        </w:rPr>
      </w:pPr>
    </w:p>
    <w:p w:rsidR="00FB0F9B" w:rsidRPr="00206486" w:rsidRDefault="0039010B" w:rsidP="00FB0F9B">
      <w:pPr>
        <w:pStyle w:val="Heading1"/>
        <w:rPr>
          <w:lang w:val="fr-CA"/>
        </w:rPr>
      </w:pPr>
      <w:r w:rsidRPr="00206486">
        <w:rPr>
          <w:lang w:val="fr-CA"/>
        </w:rPr>
        <w:t>Le gouvernement du Costa Rica</w:t>
      </w:r>
      <w:r w:rsidR="00FB0F9B" w:rsidRPr="00206486">
        <w:rPr>
          <w:lang w:val="fr-CA"/>
        </w:rPr>
        <w:t xml:space="preserve"> </w:t>
      </w:r>
      <w:r w:rsidRPr="00206486">
        <w:rPr>
          <w:lang w:val="fr-CA"/>
        </w:rPr>
        <w:t>a déclaré une consommation</w:t>
      </w:r>
      <w:r w:rsidR="00FB0F9B" w:rsidRPr="00206486">
        <w:rPr>
          <w:lang w:val="fr-CA"/>
        </w:rPr>
        <w:t xml:space="preserve"> </w:t>
      </w:r>
      <w:r w:rsidRPr="00206486">
        <w:rPr>
          <w:lang w:val="fr-CA"/>
        </w:rPr>
        <w:t>de</w:t>
      </w:r>
      <w:r w:rsidR="00FB0F9B" w:rsidRPr="00206486">
        <w:rPr>
          <w:lang w:val="fr-CA"/>
        </w:rPr>
        <w:t xml:space="preserve"> </w:t>
      </w:r>
      <w:r w:rsidR="00973255" w:rsidRPr="00206486">
        <w:rPr>
          <w:lang w:val="fr-CA"/>
        </w:rPr>
        <w:t>8,</w:t>
      </w:r>
      <w:r w:rsidR="00FB0F9B" w:rsidRPr="00206486">
        <w:rPr>
          <w:lang w:val="fr-CA"/>
        </w:rPr>
        <w:t>82</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t xml:space="preserve"> </w:t>
      </w:r>
      <w:r w:rsidRPr="00206486">
        <w:rPr>
          <w:lang w:val="fr-CA"/>
        </w:rPr>
        <w:t>en </w:t>
      </w:r>
      <w:r w:rsidR="00FB0F9B" w:rsidRPr="00206486">
        <w:rPr>
          <w:lang w:val="fr-CA"/>
        </w:rPr>
        <w:t>201</w:t>
      </w:r>
      <w:r w:rsidR="00973255" w:rsidRPr="00206486">
        <w:rPr>
          <w:lang w:val="fr-CA"/>
        </w:rPr>
        <w:t>8</w:t>
      </w:r>
      <w:r w:rsidRPr="00206486">
        <w:rPr>
          <w:lang w:val="fr-CA"/>
        </w:rPr>
        <w:t>,</w:t>
      </w:r>
      <w:r w:rsidR="00973255" w:rsidRPr="00206486">
        <w:rPr>
          <w:lang w:val="fr-CA"/>
        </w:rPr>
        <w:t> </w:t>
      </w:r>
      <w:r w:rsidRPr="00206486">
        <w:rPr>
          <w:lang w:val="fr-CA"/>
        </w:rPr>
        <w:t>ce qui est 37 pour cent inférieur à la valeur de référence pour la conformité en matière de HCFC</w:t>
      </w:r>
      <w:r w:rsidR="00FB0F9B" w:rsidRPr="00206486">
        <w:rPr>
          <w:lang w:val="fr-CA"/>
        </w:rPr>
        <w:t xml:space="preserve">. </w:t>
      </w:r>
      <w:r w:rsidRPr="00206486">
        <w:rPr>
          <w:lang w:val="fr-CA"/>
        </w:rPr>
        <w:t>La consommation de HCFC pour 2014-2018 est indiquée au tableau 1.</w:t>
      </w:r>
    </w:p>
    <w:p w:rsidR="00FB0F9B" w:rsidRPr="00206486" w:rsidRDefault="0039010B" w:rsidP="00FB0F9B">
      <w:pPr>
        <w:rPr>
          <w:b/>
          <w:lang w:val="fr-CA"/>
        </w:rPr>
      </w:pPr>
      <w:r w:rsidRPr="00206486">
        <w:rPr>
          <w:b/>
          <w:lang w:val="fr-CA"/>
        </w:rPr>
        <w:t>Tableau 1. Consommation de HCFC du Costa Rica (2014-2018, données de l’Article 7)</w:t>
      </w:r>
    </w:p>
    <w:tbl>
      <w:tblPr>
        <w:tblW w:w="4977" w:type="pct"/>
        <w:tblInd w:w="43" w:type="dxa"/>
        <w:tblLayout w:type="fixed"/>
        <w:tblLook w:val="04A0" w:firstRow="1" w:lastRow="0" w:firstColumn="1" w:lastColumn="0" w:noHBand="0" w:noVBand="1"/>
      </w:tblPr>
      <w:tblGrid>
        <w:gridCol w:w="3845"/>
        <w:gridCol w:w="920"/>
        <w:gridCol w:w="920"/>
        <w:gridCol w:w="920"/>
        <w:gridCol w:w="920"/>
        <w:gridCol w:w="920"/>
        <w:gridCol w:w="920"/>
      </w:tblGrid>
      <w:tr w:rsidR="00FB0F9B" w:rsidRPr="00206486" w:rsidTr="00490464">
        <w:trPr>
          <w:tblHeader/>
        </w:trPr>
        <w:tc>
          <w:tcPr>
            <w:tcW w:w="20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b/>
                <w:bCs/>
                <w:color w:val="000000"/>
                <w:sz w:val="20"/>
                <w:szCs w:val="20"/>
                <w:lang w:val="fr-CA"/>
              </w:rPr>
            </w:pPr>
            <w:r w:rsidRPr="00206486">
              <w:rPr>
                <w:b/>
                <w:bCs/>
                <w:color w:val="000000"/>
                <w:sz w:val="20"/>
                <w:szCs w:val="20"/>
                <w:lang w:val="fr-CA"/>
              </w:rPr>
              <w:t>HCFC</w:t>
            </w:r>
          </w:p>
        </w:tc>
        <w:tc>
          <w:tcPr>
            <w:tcW w:w="491" w:type="pct"/>
            <w:tcBorders>
              <w:top w:val="single" w:sz="4" w:space="0" w:color="auto"/>
              <w:left w:val="single" w:sz="4" w:space="0" w:color="auto"/>
              <w:bottom w:val="single" w:sz="4" w:space="0" w:color="auto"/>
              <w:right w:val="single" w:sz="4" w:space="0" w:color="auto"/>
            </w:tcBorders>
            <w:tcMar>
              <w:left w:w="0" w:type="dxa"/>
              <w:right w:w="0" w:type="dxa"/>
            </w:tcMar>
          </w:tcPr>
          <w:p w:rsidR="00FB0F9B" w:rsidRPr="00206486" w:rsidRDefault="00FB0F9B" w:rsidP="002B0AAE">
            <w:pPr>
              <w:widowControl w:val="0"/>
              <w:jc w:val="center"/>
              <w:rPr>
                <w:b/>
                <w:bCs/>
                <w:color w:val="000000"/>
                <w:sz w:val="20"/>
                <w:szCs w:val="20"/>
                <w:lang w:val="fr-CA"/>
              </w:rPr>
            </w:pPr>
            <w:r w:rsidRPr="00206486">
              <w:rPr>
                <w:b/>
                <w:bCs/>
                <w:color w:val="000000"/>
                <w:sz w:val="20"/>
                <w:szCs w:val="20"/>
                <w:lang w:val="fr-CA"/>
              </w:rPr>
              <w:t>2014</w:t>
            </w:r>
          </w:p>
        </w:tc>
        <w:tc>
          <w:tcPr>
            <w:tcW w:w="491" w:type="pct"/>
            <w:tcBorders>
              <w:top w:val="single" w:sz="4" w:space="0" w:color="auto"/>
              <w:left w:val="single" w:sz="4" w:space="0" w:color="auto"/>
              <w:bottom w:val="single" w:sz="4" w:space="0" w:color="auto"/>
              <w:right w:val="single" w:sz="4" w:space="0" w:color="auto"/>
            </w:tcBorders>
            <w:tcMar>
              <w:left w:w="0" w:type="dxa"/>
              <w:right w:w="0" w:type="dxa"/>
            </w:tcMar>
          </w:tcPr>
          <w:p w:rsidR="00FB0F9B" w:rsidRPr="00206486" w:rsidRDefault="00FB0F9B" w:rsidP="002B0AAE">
            <w:pPr>
              <w:widowControl w:val="0"/>
              <w:jc w:val="center"/>
              <w:rPr>
                <w:b/>
                <w:bCs/>
                <w:color w:val="000000"/>
                <w:sz w:val="20"/>
                <w:szCs w:val="20"/>
                <w:lang w:val="fr-CA"/>
              </w:rPr>
            </w:pPr>
            <w:r w:rsidRPr="00206486">
              <w:rPr>
                <w:b/>
                <w:bCs/>
                <w:color w:val="000000"/>
                <w:sz w:val="20"/>
                <w:szCs w:val="20"/>
                <w:lang w:val="fr-CA"/>
              </w:rPr>
              <w:t>2015</w:t>
            </w:r>
          </w:p>
        </w:tc>
        <w:tc>
          <w:tcPr>
            <w:tcW w:w="491" w:type="pct"/>
            <w:tcBorders>
              <w:top w:val="single" w:sz="4" w:space="0" w:color="auto"/>
              <w:left w:val="single" w:sz="4" w:space="0" w:color="auto"/>
              <w:bottom w:val="single" w:sz="4" w:space="0" w:color="auto"/>
              <w:right w:val="single" w:sz="4" w:space="0" w:color="auto"/>
            </w:tcBorders>
            <w:tcMar>
              <w:left w:w="0" w:type="dxa"/>
              <w:right w:w="0" w:type="dxa"/>
            </w:tcMar>
          </w:tcPr>
          <w:p w:rsidR="00FB0F9B" w:rsidRPr="00206486" w:rsidRDefault="00FB0F9B" w:rsidP="002B0AAE">
            <w:pPr>
              <w:widowControl w:val="0"/>
              <w:jc w:val="center"/>
              <w:rPr>
                <w:b/>
                <w:bCs/>
                <w:color w:val="000000"/>
                <w:sz w:val="20"/>
                <w:szCs w:val="20"/>
                <w:lang w:val="fr-CA"/>
              </w:rPr>
            </w:pPr>
            <w:r w:rsidRPr="00206486">
              <w:rPr>
                <w:b/>
                <w:bCs/>
                <w:color w:val="000000"/>
                <w:sz w:val="20"/>
                <w:szCs w:val="20"/>
                <w:lang w:val="fr-CA"/>
              </w:rPr>
              <w:t>2016</w:t>
            </w:r>
          </w:p>
        </w:tc>
        <w:tc>
          <w:tcPr>
            <w:tcW w:w="491" w:type="pct"/>
            <w:tcBorders>
              <w:top w:val="single" w:sz="4" w:space="0" w:color="auto"/>
              <w:left w:val="single" w:sz="4" w:space="0" w:color="auto"/>
              <w:bottom w:val="single" w:sz="4" w:space="0" w:color="auto"/>
              <w:right w:val="single" w:sz="4" w:space="0" w:color="auto"/>
            </w:tcBorders>
            <w:tcMar>
              <w:left w:w="0" w:type="dxa"/>
              <w:right w:w="0" w:type="dxa"/>
            </w:tcMar>
          </w:tcPr>
          <w:p w:rsidR="00FB0F9B" w:rsidRPr="00206486" w:rsidRDefault="00FB0F9B" w:rsidP="002B0AAE">
            <w:pPr>
              <w:widowControl w:val="0"/>
              <w:jc w:val="center"/>
              <w:rPr>
                <w:b/>
                <w:bCs/>
                <w:color w:val="000000"/>
                <w:sz w:val="20"/>
                <w:szCs w:val="20"/>
                <w:lang w:val="fr-CA"/>
              </w:rPr>
            </w:pPr>
            <w:r w:rsidRPr="00206486">
              <w:rPr>
                <w:b/>
                <w:bCs/>
                <w:color w:val="000000"/>
                <w:sz w:val="20"/>
                <w:szCs w:val="20"/>
                <w:lang w:val="fr-CA"/>
              </w:rPr>
              <w:t>2017</w:t>
            </w:r>
          </w:p>
        </w:tc>
        <w:tc>
          <w:tcPr>
            <w:tcW w:w="491" w:type="pct"/>
            <w:tcBorders>
              <w:top w:val="single" w:sz="4" w:space="0" w:color="auto"/>
              <w:left w:val="single" w:sz="4" w:space="0" w:color="auto"/>
              <w:bottom w:val="single" w:sz="4" w:space="0" w:color="auto"/>
              <w:right w:val="single" w:sz="4" w:space="0" w:color="auto"/>
            </w:tcBorders>
            <w:tcMar>
              <w:left w:w="0" w:type="dxa"/>
              <w:right w:w="0" w:type="dxa"/>
            </w:tcMar>
          </w:tcPr>
          <w:p w:rsidR="00FB0F9B" w:rsidRPr="00206486" w:rsidRDefault="00FB0F9B" w:rsidP="002B0AAE">
            <w:pPr>
              <w:widowControl w:val="0"/>
              <w:jc w:val="center"/>
              <w:rPr>
                <w:b/>
                <w:bCs/>
                <w:color w:val="000000"/>
                <w:sz w:val="20"/>
                <w:szCs w:val="20"/>
                <w:lang w:val="fr-CA"/>
              </w:rPr>
            </w:pPr>
            <w:r w:rsidRPr="00206486">
              <w:rPr>
                <w:b/>
                <w:bCs/>
                <w:color w:val="000000"/>
                <w:sz w:val="20"/>
                <w:szCs w:val="20"/>
                <w:lang w:val="fr-CA"/>
              </w:rPr>
              <w:t>2018</w:t>
            </w:r>
          </w:p>
        </w:tc>
        <w:tc>
          <w:tcPr>
            <w:tcW w:w="491"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FB0F9B" w:rsidRPr="00206486" w:rsidRDefault="0039010B" w:rsidP="002B0AAE">
            <w:pPr>
              <w:widowControl w:val="0"/>
              <w:jc w:val="center"/>
              <w:rPr>
                <w:b/>
                <w:bCs/>
                <w:color w:val="000000"/>
                <w:sz w:val="20"/>
                <w:szCs w:val="20"/>
                <w:lang w:val="fr-CA"/>
              </w:rPr>
            </w:pPr>
            <w:r w:rsidRPr="00206486">
              <w:rPr>
                <w:b/>
                <w:bCs/>
                <w:color w:val="000000"/>
                <w:sz w:val="20"/>
                <w:szCs w:val="20"/>
                <w:lang w:val="fr-CA"/>
              </w:rPr>
              <w:t>Valeur de référence</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39010B" w:rsidP="002B0AAE">
            <w:pPr>
              <w:widowControl w:val="0"/>
              <w:jc w:val="left"/>
              <w:rPr>
                <w:b/>
                <w:bCs/>
                <w:color w:val="000000"/>
                <w:sz w:val="20"/>
                <w:szCs w:val="20"/>
                <w:lang w:val="fr-CA"/>
              </w:rPr>
            </w:pPr>
            <w:r w:rsidRPr="00206486">
              <w:rPr>
                <w:b/>
                <w:bCs/>
                <w:color w:val="000000"/>
                <w:sz w:val="20"/>
                <w:szCs w:val="20"/>
                <w:lang w:val="fr-CA"/>
              </w:rPr>
              <w:t>Tonnes métriques</w:t>
            </w:r>
          </w:p>
        </w:tc>
        <w:tc>
          <w:tcPr>
            <w:tcW w:w="491" w:type="pct"/>
            <w:tcBorders>
              <w:top w:val="nil"/>
              <w:left w:val="single" w:sz="4" w:space="0" w:color="auto"/>
              <w:bottom w:val="single" w:sz="4" w:space="0" w:color="auto"/>
              <w:right w:val="single" w:sz="4" w:space="0" w:color="auto"/>
            </w:tcBorders>
          </w:tcPr>
          <w:p w:rsidR="00FB0F9B" w:rsidRPr="00206486" w:rsidRDefault="00FB0F9B" w:rsidP="002B0AAE">
            <w:pPr>
              <w:widowControl w:val="0"/>
              <w:jc w:val="center"/>
              <w:rPr>
                <w:b/>
                <w:bCs/>
                <w:color w:val="000000"/>
                <w:sz w:val="20"/>
                <w:szCs w:val="20"/>
                <w:lang w:val="fr-CA"/>
              </w:rPr>
            </w:pPr>
          </w:p>
        </w:tc>
        <w:tc>
          <w:tcPr>
            <w:tcW w:w="491" w:type="pct"/>
            <w:tcBorders>
              <w:top w:val="nil"/>
              <w:left w:val="single" w:sz="4" w:space="0" w:color="auto"/>
              <w:bottom w:val="single" w:sz="4" w:space="0" w:color="auto"/>
              <w:right w:val="single" w:sz="4" w:space="0" w:color="auto"/>
            </w:tcBorders>
          </w:tcPr>
          <w:p w:rsidR="00FB0F9B" w:rsidRPr="00206486" w:rsidRDefault="00FB0F9B" w:rsidP="002B0AAE">
            <w:pPr>
              <w:widowControl w:val="0"/>
              <w:jc w:val="center"/>
              <w:rPr>
                <w:b/>
                <w:bCs/>
                <w:color w:val="000000"/>
                <w:sz w:val="20"/>
                <w:szCs w:val="20"/>
                <w:lang w:val="fr-CA"/>
              </w:rPr>
            </w:pPr>
          </w:p>
        </w:tc>
        <w:tc>
          <w:tcPr>
            <w:tcW w:w="491" w:type="pct"/>
            <w:tcBorders>
              <w:top w:val="nil"/>
              <w:left w:val="single" w:sz="4" w:space="0" w:color="auto"/>
              <w:bottom w:val="single" w:sz="4" w:space="0" w:color="auto"/>
              <w:right w:val="single" w:sz="4" w:space="0" w:color="auto"/>
            </w:tcBorders>
          </w:tcPr>
          <w:p w:rsidR="00FB0F9B" w:rsidRPr="00206486" w:rsidRDefault="00FB0F9B" w:rsidP="002B0AAE">
            <w:pPr>
              <w:widowControl w:val="0"/>
              <w:jc w:val="center"/>
              <w:rPr>
                <w:b/>
                <w:bCs/>
                <w:color w:val="000000"/>
                <w:sz w:val="20"/>
                <w:szCs w:val="20"/>
                <w:lang w:val="fr-CA"/>
              </w:rPr>
            </w:pPr>
          </w:p>
        </w:tc>
        <w:tc>
          <w:tcPr>
            <w:tcW w:w="491" w:type="pct"/>
            <w:tcBorders>
              <w:top w:val="nil"/>
              <w:left w:val="single" w:sz="4" w:space="0" w:color="auto"/>
              <w:bottom w:val="single" w:sz="4" w:space="0" w:color="auto"/>
              <w:right w:val="single" w:sz="4" w:space="0" w:color="auto"/>
            </w:tcBorders>
          </w:tcPr>
          <w:p w:rsidR="00FB0F9B" w:rsidRPr="00206486" w:rsidRDefault="00FB0F9B" w:rsidP="002B0AAE">
            <w:pPr>
              <w:widowControl w:val="0"/>
              <w:jc w:val="center"/>
              <w:rPr>
                <w:b/>
                <w:bCs/>
                <w:color w:val="000000"/>
                <w:sz w:val="20"/>
                <w:szCs w:val="20"/>
                <w:lang w:val="fr-CA"/>
              </w:rPr>
            </w:pPr>
          </w:p>
        </w:tc>
        <w:tc>
          <w:tcPr>
            <w:tcW w:w="491" w:type="pct"/>
            <w:tcBorders>
              <w:top w:val="nil"/>
              <w:left w:val="single" w:sz="4" w:space="0" w:color="auto"/>
              <w:bottom w:val="single" w:sz="4" w:space="0" w:color="auto"/>
              <w:right w:val="single" w:sz="4" w:space="0" w:color="auto"/>
            </w:tcBorders>
          </w:tcPr>
          <w:p w:rsidR="00FB0F9B" w:rsidRPr="00206486" w:rsidRDefault="00FB0F9B" w:rsidP="002B0AAE">
            <w:pPr>
              <w:widowControl w:val="0"/>
              <w:jc w:val="center"/>
              <w:rPr>
                <w:b/>
                <w:bCs/>
                <w:color w:val="000000"/>
                <w:sz w:val="20"/>
                <w:szCs w:val="20"/>
                <w:lang w:val="fr-CA"/>
              </w:rPr>
            </w:pPr>
          </w:p>
        </w:tc>
        <w:tc>
          <w:tcPr>
            <w:tcW w:w="491" w:type="pct"/>
            <w:tcBorders>
              <w:top w:val="nil"/>
              <w:left w:val="single" w:sz="4" w:space="0" w:color="auto"/>
              <w:bottom w:val="single" w:sz="4" w:space="0" w:color="auto"/>
              <w:right w:val="single" w:sz="4" w:space="0" w:color="auto"/>
            </w:tcBorders>
            <w:shd w:val="clear" w:color="auto" w:fill="auto"/>
            <w:noWrap/>
            <w:vAlign w:val="center"/>
          </w:tcPr>
          <w:p w:rsidR="00FB0F9B" w:rsidRPr="00206486" w:rsidRDefault="00FB0F9B" w:rsidP="002B0AAE">
            <w:pPr>
              <w:widowControl w:val="0"/>
              <w:jc w:val="center"/>
              <w:rPr>
                <w:b/>
                <w:bCs/>
                <w:color w:val="000000"/>
                <w:sz w:val="20"/>
                <w:szCs w:val="20"/>
                <w:lang w:val="fr-CA"/>
              </w:rPr>
            </w:pP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22</w:t>
            </w:r>
          </w:p>
        </w:tc>
        <w:tc>
          <w:tcPr>
            <w:tcW w:w="491" w:type="pct"/>
            <w:tcBorders>
              <w:top w:val="single" w:sz="4" w:space="0" w:color="auto"/>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17</w:t>
            </w:r>
            <w:r w:rsidR="00973255" w:rsidRPr="00206486">
              <w:rPr>
                <w:color w:val="000000"/>
                <w:sz w:val="20"/>
                <w:szCs w:val="20"/>
                <w:lang w:val="fr-CA"/>
              </w:rPr>
              <w:t>8,</w:t>
            </w:r>
            <w:r w:rsidRPr="00206486">
              <w:rPr>
                <w:color w:val="000000"/>
                <w:sz w:val="20"/>
                <w:szCs w:val="20"/>
                <w:lang w:val="fr-CA"/>
              </w:rPr>
              <w:t>16</w:t>
            </w:r>
          </w:p>
        </w:tc>
        <w:tc>
          <w:tcPr>
            <w:tcW w:w="491" w:type="pct"/>
            <w:tcBorders>
              <w:top w:val="single" w:sz="4" w:space="0" w:color="auto"/>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15</w:t>
            </w:r>
            <w:r w:rsidR="00973255" w:rsidRPr="00206486">
              <w:rPr>
                <w:color w:val="000000"/>
                <w:sz w:val="20"/>
                <w:szCs w:val="20"/>
                <w:lang w:val="fr-CA"/>
              </w:rPr>
              <w:t>5</w:t>
            </w:r>
            <w:r w:rsidRPr="00206486">
              <w:rPr>
                <w:color w:val="000000"/>
                <w:sz w:val="20"/>
                <w:szCs w:val="20"/>
                <w:lang w:val="fr-CA"/>
              </w:rPr>
              <w:t>69</w:t>
            </w:r>
          </w:p>
        </w:tc>
        <w:tc>
          <w:tcPr>
            <w:tcW w:w="491" w:type="pct"/>
            <w:tcBorders>
              <w:top w:val="single" w:sz="4" w:space="0" w:color="auto"/>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15</w:t>
            </w:r>
            <w:r w:rsidR="00973255" w:rsidRPr="00206486">
              <w:rPr>
                <w:color w:val="000000"/>
                <w:sz w:val="20"/>
                <w:szCs w:val="20"/>
                <w:lang w:val="fr-CA"/>
              </w:rPr>
              <w:t>5</w:t>
            </w:r>
            <w:r w:rsidRPr="00206486">
              <w:rPr>
                <w:color w:val="000000"/>
                <w:sz w:val="20"/>
                <w:szCs w:val="20"/>
                <w:lang w:val="fr-CA"/>
              </w:rPr>
              <w:t>40</w:t>
            </w:r>
          </w:p>
        </w:tc>
        <w:tc>
          <w:tcPr>
            <w:tcW w:w="491" w:type="pct"/>
            <w:tcBorders>
              <w:top w:val="single" w:sz="4" w:space="0" w:color="auto"/>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15</w:t>
            </w:r>
            <w:r w:rsidR="00973255" w:rsidRPr="00206486">
              <w:rPr>
                <w:color w:val="000000"/>
                <w:sz w:val="20"/>
                <w:szCs w:val="20"/>
                <w:lang w:val="fr-CA"/>
              </w:rPr>
              <w:t>2,</w:t>
            </w:r>
            <w:r w:rsidRPr="00206486">
              <w:rPr>
                <w:color w:val="000000"/>
                <w:sz w:val="20"/>
                <w:szCs w:val="20"/>
                <w:lang w:val="fr-CA"/>
              </w:rPr>
              <w:t>56</w:t>
            </w:r>
          </w:p>
        </w:tc>
        <w:tc>
          <w:tcPr>
            <w:tcW w:w="491" w:type="pct"/>
            <w:tcBorders>
              <w:top w:val="single" w:sz="4" w:space="0" w:color="auto"/>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13</w:t>
            </w:r>
            <w:r w:rsidR="00973255" w:rsidRPr="00206486">
              <w:rPr>
                <w:color w:val="000000"/>
                <w:sz w:val="20"/>
                <w:szCs w:val="20"/>
                <w:lang w:val="fr-CA"/>
              </w:rPr>
              <w:t>8,</w:t>
            </w:r>
            <w:r w:rsidRPr="00206486">
              <w:rPr>
                <w:color w:val="000000"/>
                <w:sz w:val="20"/>
                <w:szCs w:val="20"/>
                <w:lang w:val="fr-CA"/>
              </w:rPr>
              <w:t>20</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18</w:t>
            </w:r>
            <w:r w:rsidR="00973255" w:rsidRPr="00206486">
              <w:rPr>
                <w:color w:val="000000"/>
                <w:sz w:val="20"/>
                <w:szCs w:val="20"/>
                <w:lang w:val="fr-CA"/>
              </w:rPr>
              <w:t>1,</w:t>
            </w:r>
            <w:r w:rsidRPr="00206486">
              <w:rPr>
                <w:color w:val="000000"/>
                <w:sz w:val="20"/>
                <w:szCs w:val="20"/>
                <w:lang w:val="fr-CA"/>
              </w:rPr>
              <w:t>88</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123</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2</w:t>
            </w:r>
            <w:r w:rsidR="00973255" w:rsidRPr="00206486">
              <w:rPr>
                <w:color w:val="000000"/>
                <w:sz w:val="20"/>
                <w:szCs w:val="20"/>
                <w:lang w:val="fr-CA"/>
              </w:rPr>
              <w:t>3,</w:t>
            </w:r>
            <w:r w:rsidRPr="00206486">
              <w:rPr>
                <w:color w:val="000000"/>
                <w:sz w:val="20"/>
                <w:szCs w:val="20"/>
                <w:lang w:val="fr-CA"/>
              </w:rPr>
              <w:t>15</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9,</w:t>
            </w:r>
            <w:r w:rsidRPr="00206486">
              <w:rPr>
                <w:color w:val="000000"/>
                <w:sz w:val="20"/>
                <w:szCs w:val="20"/>
                <w:lang w:val="fr-CA"/>
              </w:rPr>
              <w:t>93</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2</w:t>
            </w:r>
            <w:r w:rsidR="00973255" w:rsidRPr="00206486">
              <w:rPr>
                <w:color w:val="000000"/>
                <w:sz w:val="20"/>
                <w:szCs w:val="20"/>
                <w:lang w:val="fr-CA"/>
              </w:rPr>
              <w:t>0,</w:t>
            </w:r>
            <w:r w:rsidRPr="00206486">
              <w:rPr>
                <w:color w:val="000000"/>
                <w:sz w:val="20"/>
                <w:szCs w:val="20"/>
                <w:lang w:val="fr-CA"/>
              </w:rPr>
              <w:t>30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5</w:t>
            </w:r>
            <w:r w:rsidRPr="00206486">
              <w:rPr>
                <w:color w:val="000000"/>
                <w:sz w:val="20"/>
                <w:szCs w:val="20"/>
                <w:lang w:val="fr-CA"/>
              </w:rPr>
              <w:t>22</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88</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36</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124</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43</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10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1,</w:t>
            </w:r>
            <w:r w:rsidR="00FB0F9B" w:rsidRPr="00206486">
              <w:rPr>
                <w:color w:val="000000"/>
                <w:sz w:val="20"/>
                <w:szCs w:val="20"/>
                <w:lang w:val="fr-CA"/>
              </w:rPr>
              <w:t>50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48</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48</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3,</w:t>
            </w:r>
            <w:r w:rsidR="00FB0F9B" w:rsidRPr="00206486">
              <w:rPr>
                <w:color w:val="000000"/>
                <w:sz w:val="20"/>
                <w:szCs w:val="20"/>
                <w:lang w:val="fr-CA"/>
              </w:rPr>
              <w:t>95</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141b</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91</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45</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r w:rsidR="00973255" w:rsidRPr="00206486">
              <w:rPr>
                <w:color w:val="000000"/>
                <w:sz w:val="20"/>
                <w:szCs w:val="20"/>
                <w:lang w:val="fr-CA"/>
              </w:rPr>
              <w:t>0,</w:t>
            </w:r>
            <w:r w:rsidRPr="00206486">
              <w:rPr>
                <w:color w:val="000000"/>
                <w:sz w:val="20"/>
                <w:szCs w:val="20"/>
                <w:lang w:val="fr-CA"/>
              </w:rPr>
              <w:t>64)</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3</w:t>
            </w:r>
            <w:r w:rsidR="00973255" w:rsidRPr="00206486">
              <w:rPr>
                <w:color w:val="000000"/>
                <w:sz w:val="20"/>
                <w:szCs w:val="20"/>
                <w:lang w:val="fr-CA"/>
              </w:rPr>
              <w:t>2,</w:t>
            </w:r>
            <w:r w:rsidRPr="00206486">
              <w:rPr>
                <w:color w:val="000000"/>
                <w:sz w:val="20"/>
                <w:szCs w:val="20"/>
                <w:lang w:val="fr-CA"/>
              </w:rPr>
              <w:t>59</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142b</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91</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67</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45</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14</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14</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6,</w:t>
            </w:r>
            <w:r w:rsidR="00FB0F9B" w:rsidRPr="00206486">
              <w:rPr>
                <w:color w:val="000000"/>
                <w:sz w:val="20"/>
                <w:szCs w:val="20"/>
                <w:lang w:val="fr-CA"/>
              </w:rPr>
              <w:t>17</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HCFC-225ca</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90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HCFC-225cb</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90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FB0F9B" w:rsidRPr="00206486" w:rsidRDefault="0039010B" w:rsidP="0039010B">
            <w:pPr>
              <w:jc w:val="left"/>
              <w:rPr>
                <w:rFonts w:eastAsiaTheme="minorHAnsi"/>
                <w:b/>
                <w:color w:val="000000"/>
                <w:sz w:val="20"/>
                <w:szCs w:val="20"/>
                <w:lang w:val="fr-CA"/>
              </w:rPr>
            </w:pPr>
            <w:r w:rsidRPr="00206486">
              <w:rPr>
                <w:b/>
                <w:color w:val="000000"/>
                <w:sz w:val="20"/>
                <w:szCs w:val="20"/>
                <w:lang w:val="fr-CA"/>
              </w:rPr>
              <w:t>Total partiel</w:t>
            </w:r>
            <w:r w:rsidR="00FB0F9B" w:rsidRPr="00206486">
              <w:rPr>
                <w:b/>
                <w:color w:val="000000"/>
                <w:sz w:val="20"/>
                <w:szCs w:val="20"/>
                <w:lang w:val="fr-CA"/>
              </w:rPr>
              <w:t xml:space="preserve"> </w:t>
            </w:r>
            <w:r w:rsidRPr="00206486">
              <w:rPr>
                <w:b/>
                <w:color w:val="000000"/>
                <w:sz w:val="20"/>
                <w:szCs w:val="20"/>
                <w:lang w:val="fr-CA"/>
              </w:rPr>
              <w:t>(tm)</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20</w:t>
            </w:r>
            <w:r w:rsidR="00973255" w:rsidRPr="00206486">
              <w:rPr>
                <w:b/>
                <w:bCs/>
                <w:color w:val="000000"/>
                <w:sz w:val="20"/>
                <w:szCs w:val="20"/>
                <w:lang w:val="fr-CA"/>
              </w:rPr>
              <w:t>9,</w:t>
            </w:r>
            <w:r w:rsidRPr="00206486">
              <w:rPr>
                <w:b/>
                <w:bCs/>
                <w:color w:val="000000"/>
                <w:sz w:val="20"/>
                <w:szCs w:val="20"/>
                <w:lang w:val="fr-CA"/>
              </w:rPr>
              <w:t>36</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18</w:t>
            </w:r>
            <w:r w:rsidR="00973255" w:rsidRPr="00206486">
              <w:rPr>
                <w:b/>
                <w:bCs/>
                <w:color w:val="000000"/>
                <w:sz w:val="20"/>
                <w:szCs w:val="20"/>
                <w:lang w:val="fr-CA"/>
              </w:rPr>
              <w:t>0,</w:t>
            </w:r>
            <w:r w:rsidRPr="00206486">
              <w:rPr>
                <w:b/>
                <w:bCs/>
                <w:color w:val="000000"/>
                <w:sz w:val="20"/>
                <w:szCs w:val="20"/>
                <w:lang w:val="fr-CA"/>
              </w:rPr>
              <w:t>84</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17</w:t>
            </w:r>
            <w:r w:rsidR="00973255" w:rsidRPr="00206486">
              <w:rPr>
                <w:b/>
                <w:bCs/>
                <w:color w:val="000000"/>
                <w:sz w:val="20"/>
                <w:szCs w:val="20"/>
                <w:lang w:val="fr-CA"/>
              </w:rPr>
              <w:t>7,</w:t>
            </w:r>
            <w:r w:rsidRPr="00206486">
              <w:rPr>
                <w:b/>
                <w:bCs/>
                <w:color w:val="000000"/>
                <w:sz w:val="20"/>
                <w:szCs w:val="20"/>
                <w:lang w:val="fr-CA"/>
              </w:rPr>
              <w:t>65</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16</w:t>
            </w:r>
            <w:r w:rsidR="00973255" w:rsidRPr="00206486">
              <w:rPr>
                <w:b/>
                <w:bCs/>
                <w:color w:val="000000"/>
                <w:sz w:val="20"/>
                <w:szCs w:val="20"/>
                <w:lang w:val="fr-CA"/>
              </w:rPr>
              <w:t>8,</w:t>
            </w:r>
            <w:r w:rsidRPr="00206486">
              <w:rPr>
                <w:b/>
                <w:bCs/>
                <w:color w:val="000000"/>
                <w:sz w:val="20"/>
                <w:szCs w:val="20"/>
                <w:lang w:val="fr-CA"/>
              </w:rPr>
              <w:t>40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14</w:t>
            </w:r>
            <w:r w:rsidR="00973255" w:rsidRPr="00206486">
              <w:rPr>
                <w:b/>
                <w:bCs/>
                <w:color w:val="000000"/>
                <w:sz w:val="20"/>
                <w:szCs w:val="20"/>
                <w:lang w:val="fr-CA"/>
              </w:rPr>
              <w:t>9,</w:t>
            </w:r>
            <w:r w:rsidRPr="00206486">
              <w:rPr>
                <w:b/>
                <w:bCs/>
                <w:color w:val="000000"/>
                <w:sz w:val="20"/>
                <w:szCs w:val="20"/>
                <w:lang w:val="fr-CA"/>
              </w:rPr>
              <w:t>06</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b/>
                <w:color w:val="000000"/>
                <w:sz w:val="20"/>
                <w:szCs w:val="20"/>
                <w:lang w:val="fr-CA"/>
              </w:rPr>
            </w:pPr>
            <w:r w:rsidRPr="00206486">
              <w:rPr>
                <w:b/>
                <w:color w:val="000000"/>
                <w:sz w:val="20"/>
                <w:szCs w:val="20"/>
                <w:lang w:val="fr-CA"/>
              </w:rPr>
              <w:t>22</w:t>
            </w:r>
            <w:r w:rsidR="00973255" w:rsidRPr="00206486">
              <w:rPr>
                <w:b/>
                <w:color w:val="000000"/>
                <w:sz w:val="20"/>
                <w:szCs w:val="20"/>
                <w:lang w:val="fr-CA"/>
              </w:rPr>
              <w:t>4,</w:t>
            </w:r>
            <w:r w:rsidRPr="00206486">
              <w:rPr>
                <w:b/>
                <w:color w:val="000000"/>
                <w:sz w:val="20"/>
                <w:szCs w:val="20"/>
                <w:lang w:val="fr-CA"/>
              </w:rPr>
              <w:t>94</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FB0F9B" w:rsidRPr="00206486" w:rsidRDefault="00FB0F9B" w:rsidP="0039010B">
            <w:pPr>
              <w:jc w:val="left"/>
              <w:rPr>
                <w:b/>
                <w:bCs/>
                <w:color w:val="000000"/>
                <w:sz w:val="20"/>
                <w:szCs w:val="20"/>
                <w:lang w:val="fr-CA"/>
              </w:rPr>
            </w:pPr>
            <w:r w:rsidRPr="00206486">
              <w:rPr>
                <w:color w:val="000000"/>
                <w:sz w:val="20"/>
                <w:szCs w:val="20"/>
                <w:lang w:val="fr-CA"/>
              </w:rPr>
              <w:t>HCFC</w:t>
            </w:r>
            <w:r w:rsidRPr="00206486">
              <w:rPr>
                <w:color w:val="000000"/>
                <w:sz w:val="20"/>
                <w:szCs w:val="20"/>
                <w:lang w:val="fr-CA"/>
              </w:rPr>
              <w:noBreakHyphen/>
              <w:t xml:space="preserve">141b </w:t>
            </w:r>
            <w:r w:rsidR="0039010B" w:rsidRPr="00206486">
              <w:rPr>
                <w:color w:val="000000"/>
                <w:sz w:val="20"/>
                <w:szCs w:val="20"/>
                <w:lang w:val="fr-CA"/>
              </w:rPr>
              <w:t>dans les</w:t>
            </w:r>
            <w:r w:rsidR="0060390D" w:rsidRPr="00206486">
              <w:rPr>
                <w:color w:val="000000"/>
                <w:sz w:val="20"/>
                <w:szCs w:val="20"/>
                <w:lang w:val="fr-CA"/>
              </w:rPr>
              <w:t xml:space="preserve"> polyols prémélangés importés</w:t>
            </w: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1,</w:t>
            </w:r>
            <w:r w:rsidRPr="00206486">
              <w:rPr>
                <w:color w:val="000000"/>
                <w:sz w:val="20"/>
                <w:szCs w:val="20"/>
                <w:lang w:val="fr-CA"/>
              </w:rPr>
              <w:t>14</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00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1,</w:t>
            </w:r>
            <w:r w:rsidRPr="00206486">
              <w:rPr>
                <w:color w:val="000000"/>
                <w:sz w:val="20"/>
                <w:szCs w:val="20"/>
                <w:lang w:val="fr-CA"/>
              </w:rPr>
              <w:t>50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4,</w:t>
            </w:r>
            <w:r w:rsidR="00FB0F9B" w:rsidRPr="00206486">
              <w:rPr>
                <w:color w:val="000000"/>
                <w:sz w:val="20"/>
                <w:szCs w:val="20"/>
                <w:lang w:val="fr-CA"/>
              </w:rPr>
              <w:t>49</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3,</w:t>
            </w:r>
            <w:r w:rsidR="00FB0F9B" w:rsidRPr="00206486">
              <w:rPr>
                <w:color w:val="000000"/>
                <w:sz w:val="20"/>
                <w:szCs w:val="20"/>
                <w:lang w:val="fr-CA"/>
              </w:rPr>
              <w:t>66</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16</w:t>
            </w:r>
            <w:r w:rsidR="00973255" w:rsidRPr="00206486">
              <w:rPr>
                <w:color w:val="000000"/>
                <w:sz w:val="20"/>
                <w:szCs w:val="20"/>
                <w:lang w:val="fr-CA"/>
              </w:rPr>
              <w:t>4,</w:t>
            </w:r>
            <w:r w:rsidRPr="00206486">
              <w:rPr>
                <w:color w:val="000000"/>
                <w:sz w:val="20"/>
                <w:szCs w:val="20"/>
                <w:lang w:val="fr-CA"/>
              </w:rPr>
              <w:t>64*</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FB0F9B" w:rsidRPr="00206486" w:rsidRDefault="00FB0F9B" w:rsidP="00A8388B">
            <w:pPr>
              <w:jc w:val="left"/>
              <w:rPr>
                <w:color w:val="000000"/>
                <w:sz w:val="20"/>
                <w:szCs w:val="20"/>
                <w:lang w:val="fr-CA"/>
              </w:rPr>
            </w:pPr>
            <w:r w:rsidRPr="00206486">
              <w:rPr>
                <w:color w:val="000000"/>
                <w:sz w:val="20"/>
                <w:szCs w:val="20"/>
                <w:lang w:val="fr-CA"/>
              </w:rPr>
              <w:t xml:space="preserve">Total </w:t>
            </w:r>
            <w:r w:rsidR="0039010B" w:rsidRPr="00206486">
              <w:rPr>
                <w:color w:val="000000"/>
                <w:sz w:val="20"/>
                <w:szCs w:val="20"/>
                <w:lang w:val="fr-CA"/>
              </w:rPr>
              <w:t>(tm)</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22</w:t>
            </w:r>
            <w:r w:rsidR="00973255" w:rsidRPr="00206486">
              <w:rPr>
                <w:b/>
                <w:bCs/>
                <w:color w:val="000000"/>
                <w:sz w:val="20"/>
                <w:szCs w:val="20"/>
                <w:lang w:val="fr-CA"/>
              </w:rPr>
              <w:t>0,</w:t>
            </w:r>
            <w:r w:rsidRPr="00206486">
              <w:rPr>
                <w:b/>
                <w:bCs/>
                <w:color w:val="000000"/>
                <w:sz w:val="20"/>
                <w:szCs w:val="20"/>
                <w:lang w:val="fr-CA"/>
              </w:rPr>
              <w:t>50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19</w:t>
            </w:r>
            <w:r w:rsidR="00973255" w:rsidRPr="00206486">
              <w:rPr>
                <w:b/>
                <w:bCs/>
                <w:color w:val="000000"/>
                <w:sz w:val="20"/>
                <w:szCs w:val="20"/>
                <w:lang w:val="fr-CA"/>
              </w:rPr>
              <w:t>0,</w:t>
            </w:r>
            <w:r w:rsidRPr="00206486">
              <w:rPr>
                <w:b/>
                <w:bCs/>
                <w:color w:val="000000"/>
                <w:sz w:val="20"/>
                <w:szCs w:val="20"/>
                <w:lang w:val="fr-CA"/>
              </w:rPr>
              <w:t>84</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18</w:t>
            </w:r>
            <w:r w:rsidR="00973255" w:rsidRPr="00206486">
              <w:rPr>
                <w:b/>
                <w:bCs/>
                <w:color w:val="000000"/>
                <w:sz w:val="20"/>
                <w:szCs w:val="20"/>
                <w:lang w:val="fr-CA"/>
              </w:rPr>
              <w:t>9,</w:t>
            </w:r>
            <w:r w:rsidRPr="00206486">
              <w:rPr>
                <w:b/>
                <w:bCs/>
                <w:color w:val="000000"/>
                <w:sz w:val="20"/>
                <w:szCs w:val="20"/>
                <w:lang w:val="fr-CA"/>
              </w:rPr>
              <w:t>15</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17</w:t>
            </w:r>
            <w:r w:rsidR="00973255" w:rsidRPr="00206486">
              <w:rPr>
                <w:b/>
                <w:bCs/>
                <w:color w:val="000000"/>
                <w:sz w:val="20"/>
                <w:szCs w:val="20"/>
                <w:lang w:val="fr-CA"/>
              </w:rPr>
              <w:t>2,</w:t>
            </w:r>
            <w:r w:rsidRPr="00206486">
              <w:rPr>
                <w:b/>
                <w:bCs/>
                <w:color w:val="000000"/>
                <w:sz w:val="20"/>
                <w:szCs w:val="20"/>
                <w:lang w:val="fr-CA"/>
              </w:rPr>
              <w:t>88</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b/>
                <w:bCs/>
                <w:color w:val="000000"/>
                <w:sz w:val="20"/>
                <w:szCs w:val="20"/>
                <w:lang w:val="fr-CA"/>
              </w:rPr>
              <w:t>15</w:t>
            </w:r>
            <w:r w:rsidR="00973255" w:rsidRPr="00206486">
              <w:rPr>
                <w:b/>
                <w:bCs/>
                <w:color w:val="000000"/>
                <w:sz w:val="20"/>
                <w:szCs w:val="20"/>
                <w:lang w:val="fr-CA"/>
              </w:rPr>
              <w:t>2,</w:t>
            </w:r>
            <w:r w:rsidRPr="00206486">
              <w:rPr>
                <w:b/>
                <w:bCs/>
                <w:color w:val="000000"/>
                <w:sz w:val="20"/>
                <w:szCs w:val="20"/>
                <w:lang w:val="fr-CA"/>
              </w:rPr>
              <w:t>72</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b/>
                <w:color w:val="000000"/>
                <w:sz w:val="20"/>
                <w:szCs w:val="20"/>
                <w:lang w:val="fr-CA"/>
              </w:rPr>
            </w:pPr>
            <w:r w:rsidRPr="00206486">
              <w:rPr>
                <w:b/>
                <w:color w:val="000000"/>
                <w:sz w:val="20"/>
                <w:szCs w:val="20"/>
                <w:lang w:val="fr-CA"/>
              </w:rPr>
              <w:t>38</w:t>
            </w:r>
            <w:r w:rsidR="00973255" w:rsidRPr="00206486">
              <w:rPr>
                <w:b/>
                <w:color w:val="000000"/>
                <w:sz w:val="20"/>
                <w:szCs w:val="20"/>
                <w:lang w:val="fr-CA"/>
              </w:rPr>
              <w:t>9,</w:t>
            </w:r>
            <w:r w:rsidRPr="00206486">
              <w:rPr>
                <w:b/>
                <w:color w:val="000000"/>
                <w:sz w:val="20"/>
                <w:szCs w:val="20"/>
                <w:lang w:val="fr-CA"/>
              </w:rPr>
              <w:t>58</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39010B" w:rsidP="002B0AAE">
            <w:pPr>
              <w:widowControl w:val="0"/>
              <w:jc w:val="left"/>
              <w:rPr>
                <w:b/>
                <w:bCs/>
                <w:color w:val="000000"/>
                <w:sz w:val="20"/>
                <w:szCs w:val="20"/>
                <w:lang w:val="fr-CA"/>
              </w:rPr>
            </w:pPr>
            <w:r w:rsidRPr="00206486">
              <w:rPr>
                <w:b/>
                <w:bCs/>
                <w:color w:val="000000"/>
                <w:sz w:val="20"/>
                <w:szCs w:val="20"/>
                <w:lang w:val="fr-CA"/>
              </w:rPr>
              <w:t>Tonnes PAO</w:t>
            </w:r>
          </w:p>
        </w:tc>
        <w:tc>
          <w:tcPr>
            <w:tcW w:w="491" w:type="pct"/>
            <w:tcBorders>
              <w:top w:val="nil"/>
              <w:left w:val="single" w:sz="4" w:space="0" w:color="auto"/>
              <w:bottom w:val="single" w:sz="4" w:space="0" w:color="auto"/>
              <w:right w:val="single" w:sz="4" w:space="0" w:color="auto"/>
            </w:tcBorders>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 </w:t>
            </w:r>
          </w:p>
        </w:tc>
        <w:tc>
          <w:tcPr>
            <w:tcW w:w="491" w:type="pct"/>
            <w:tcBorders>
              <w:top w:val="nil"/>
              <w:left w:val="single" w:sz="4" w:space="0" w:color="auto"/>
              <w:bottom w:val="single" w:sz="4" w:space="0" w:color="auto"/>
              <w:right w:val="single" w:sz="4" w:space="0" w:color="auto"/>
            </w:tcBorders>
            <w:tcMar>
              <w:left w:w="115" w:type="dxa"/>
              <w:right w:w="144" w:type="dxa"/>
            </w:tcMar>
          </w:tcPr>
          <w:p w:rsidR="00FB0F9B" w:rsidRPr="00206486" w:rsidRDefault="00FB0F9B" w:rsidP="002B0AAE">
            <w:pPr>
              <w:jc w:val="right"/>
              <w:rPr>
                <w:color w:val="000000"/>
                <w:sz w:val="20"/>
                <w:szCs w:val="20"/>
                <w:lang w:val="fr-CA"/>
              </w:rPr>
            </w:pPr>
          </w:p>
        </w:tc>
        <w:tc>
          <w:tcPr>
            <w:tcW w:w="491" w:type="pct"/>
            <w:tcBorders>
              <w:top w:val="nil"/>
              <w:left w:val="single" w:sz="4" w:space="0" w:color="auto"/>
              <w:bottom w:val="single" w:sz="4" w:space="0" w:color="auto"/>
              <w:right w:val="single" w:sz="4" w:space="0" w:color="auto"/>
            </w:tcBorders>
            <w:tcMar>
              <w:left w:w="115" w:type="dxa"/>
              <w:right w:w="144" w:type="dxa"/>
            </w:tcMar>
          </w:tcPr>
          <w:p w:rsidR="00FB0F9B" w:rsidRPr="00206486" w:rsidRDefault="00FB0F9B" w:rsidP="002B0AAE">
            <w:pPr>
              <w:jc w:val="right"/>
              <w:rPr>
                <w:color w:val="000000"/>
                <w:sz w:val="20"/>
                <w:szCs w:val="20"/>
                <w:lang w:val="fr-CA"/>
              </w:rPr>
            </w:pPr>
          </w:p>
        </w:tc>
        <w:tc>
          <w:tcPr>
            <w:tcW w:w="491" w:type="pct"/>
            <w:tcBorders>
              <w:top w:val="nil"/>
              <w:left w:val="single" w:sz="4" w:space="0" w:color="auto"/>
              <w:bottom w:val="single" w:sz="4" w:space="0" w:color="auto"/>
              <w:right w:val="single" w:sz="4" w:space="0" w:color="auto"/>
            </w:tcBorders>
            <w:tcMar>
              <w:left w:w="115" w:type="dxa"/>
              <w:right w:w="144" w:type="dxa"/>
            </w:tcMar>
          </w:tcPr>
          <w:p w:rsidR="00FB0F9B" w:rsidRPr="00206486" w:rsidRDefault="00FB0F9B" w:rsidP="002B0AAE">
            <w:pPr>
              <w:jc w:val="right"/>
              <w:rPr>
                <w:color w:val="000000"/>
                <w:sz w:val="20"/>
                <w:szCs w:val="20"/>
                <w:lang w:val="fr-CA"/>
              </w:rPr>
            </w:pPr>
          </w:p>
        </w:tc>
        <w:tc>
          <w:tcPr>
            <w:tcW w:w="491" w:type="pct"/>
            <w:tcBorders>
              <w:top w:val="nil"/>
              <w:left w:val="single" w:sz="4" w:space="0" w:color="auto"/>
              <w:bottom w:val="single" w:sz="4" w:space="0" w:color="auto"/>
              <w:right w:val="single" w:sz="4" w:space="0" w:color="auto"/>
            </w:tcBorders>
            <w:tcMar>
              <w:left w:w="115" w:type="dxa"/>
              <w:right w:w="144" w:type="dxa"/>
            </w:tcMar>
          </w:tcPr>
          <w:p w:rsidR="00FB0F9B" w:rsidRPr="00206486" w:rsidRDefault="00FB0F9B" w:rsidP="002B0AAE">
            <w:pPr>
              <w:jc w:val="right"/>
              <w:rPr>
                <w:color w:val="000000"/>
                <w:sz w:val="20"/>
                <w:szCs w:val="20"/>
                <w:lang w:val="fr-CA"/>
              </w:rPr>
            </w:pP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 </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22</w:t>
            </w:r>
          </w:p>
        </w:tc>
        <w:tc>
          <w:tcPr>
            <w:tcW w:w="491" w:type="pct"/>
            <w:tcBorders>
              <w:top w:val="single" w:sz="4" w:space="0" w:color="auto"/>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9,</w:t>
            </w:r>
            <w:r w:rsidR="00FB0F9B" w:rsidRPr="00206486">
              <w:rPr>
                <w:color w:val="000000"/>
                <w:sz w:val="20"/>
                <w:szCs w:val="20"/>
                <w:lang w:val="fr-CA"/>
              </w:rPr>
              <w:t>80</w:t>
            </w:r>
          </w:p>
        </w:tc>
        <w:tc>
          <w:tcPr>
            <w:tcW w:w="491" w:type="pct"/>
            <w:tcBorders>
              <w:top w:val="single" w:sz="4" w:space="0" w:color="auto"/>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8,</w:t>
            </w:r>
            <w:r w:rsidR="00FB0F9B" w:rsidRPr="00206486">
              <w:rPr>
                <w:color w:val="000000"/>
                <w:sz w:val="20"/>
                <w:szCs w:val="20"/>
                <w:lang w:val="fr-CA"/>
              </w:rPr>
              <w:t>56</w:t>
            </w:r>
          </w:p>
        </w:tc>
        <w:tc>
          <w:tcPr>
            <w:tcW w:w="491" w:type="pct"/>
            <w:tcBorders>
              <w:top w:val="single" w:sz="4" w:space="0" w:color="auto"/>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8,</w:t>
            </w:r>
            <w:r w:rsidR="00FB0F9B" w:rsidRPr="00206486">
              <w:rPr>
                <w:color w:val="000000"/>
                <w:sz w:val="20"/>
                <w:szCs w:val="20"/>
                <w:lang w:val="fr-CA"/>
              </w:rPr>
              <w:t>55</w:t>
            </w:r>
          </w:p>
        </w:tc>
        <w:tc>
          <w:tcPr>
            <w:tcW w:w="491" w:type="pct"/>
            <w:tcBorders>
              <w:top w:val="single" w:sz="4" w:space="0" w:color="auto"/>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8,</w:t>
            </w:r>
            <w:r w:rsidR="00FB0F9B" w:rsidRPr="00206486">
              <w:rPr>
                <w:color w:val="000000"/>
                <w:sz w:val="20"/>
                <w:szCs w:val="20"/>
                <w:lang w:val="fr-CA"/>
              </w:rPr>
              <w:t>39</w:t>
            </w:r>
          </w:p>
        </w:tc>
        <w:tc>
          <w:tcPr>
            <w:tcW w:w="491" w:type="pct"/>
            <w:tcBorders>
              <w:top w:val="single" w:sz="4" w:space="0" w:color="auto"/>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7,</w:t>
            </w:r>
            <w:r w:rsidR="00FB0F9B" w:rsidRPr="00206486">
              <w:rPr>
                <w:color w:val="000000"/>
                <w:sz w:val="20"/>
                <w:szCs w:val="20"/>
                <w:lang w:val="fr-CA"/>
              </w:rPr>
              <w:t>60</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00</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123</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55</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19</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2,</w:t>
            </w:r>
            <w:r w:rsidR="00FB0F9B" w:rsidRPr="00206486">
              <w:rPr>
                <w:color w:val="000000"/>
                <w:sz w:val="20"/>
                <w:szCs w:val="20"/>
                <w:lang w:val="fr-CA"/>
              </w:rPr>
              <w:t>23</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1,</w:t>
            </w:r>
            <w:r w:rsidR="00FB0F9B" w:rsidRPr="00206486">
              <w:rPr>
                <w:color w:val="000000"/>
                <w:sz w:val="20"/>
                <w:szCs w:val="20"/>
                <w:lang w:val="fr-CA"/>
              </w:rPr>
              <w:t>67</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1,</w:t>
            </w:r>
            <w:r w:rsidR="00FB0F9B" w:rsidRPr="00206486">
              <w:rPr>
                <w:color w:val="000000"/>
                <w:sz w:val="20"/>
                <w:szCs w:val="20"/>
                <w:lang w:val="fr-CA"/>
              </w:rPr>
              <w:t>20</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01</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124</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16</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14</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10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03</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03</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09</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141b</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06</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05</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r w:rsidR="00973255" w:rsidRPr="00206486">
              <w:rPr>
                <w:color w:val="000000"/>
                <w:sz w:val="20"/>
                <w:szCs w:val="20"/>
                <w:lang w:val="fr-CA"/>
              </w:rPr>
              <w:t>0,</w:t>
            </w:r>
            <w:r w:rsidRPr="00206486">
              <w:rPr>
                <w:color w:val="000000"/>
                <w:sz w:val="20"/>
                <w:szCs w:val="20"/>
                <w:lang w:val="fr-CA"/>
              </w:rPr>
              <w:t>01)</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3,</w:t>
            </w:r>
            <w:r w:rsidR="00FB0F9B" w:rsidRPr="00206486">
              <w:rPr>
                <w:color w:val="000000"/>
                <w:sz w:val="20"/>
                <w:szCs w:val="20"/>
                <w:lang w:val="fr-CA"/>
              </w:rPr>
              <w:t>58</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142b</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02</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01</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01</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00</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40</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FB0F9B" w:rsidRPr="00206486" w:rsidRDefault="00FB0F9B" w:rsidP="002B0AAE">
            <w:pPr>
              <w:widowControl w:val="0"/>
              <w:jc w:val="left"/>
              <w:rPr>
                <w:color w:val="000000"/>
                <w:sz w:val="20"/>
                <w:szCs w:val="20"/>
                <w:lang w:val="fr-CA"/>
              </w:rPr>
            </w:pPr>
            <w:r w:rsidRPr="00206486">
              <w:rPr>
                <w:color w:val="000000"/>
                <w:sz w:val="20"/>
                <w:szCs w:val="20"/>
                <w:lang w:val="fr-CA"/>
              </w:rPr>
              <w:lastRenderedPageBreak/>
              <w:t>HCFC-225ca</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02</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r>
      <w:tr w:rsidR="00FB0F9B" w:rsidRPr="00206486" w:rsidTr="00490464">
        <w:tc>
          <w:tcPr>
            <w:tcW w:w="20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FB0F9B" w:rsidRPr="00206486" w:rsidRDefault="00FB0F9B" w:rsidP="002B0AAE">
            <w:pPr>
              <w:widowControl w:val="0"/>
              <w:jc w:val="left"/>
              <w:rPr>
                <w:color w:val="000000"/>
                <w:sz w:val="20"/>
                <w:szCs w:val="20"/>
                <w:lang w:val="fr-CA"/>
              </w:rPr>
            </w:pPr>
            <w:r w:rsidRPr="00206486">
              <w:rPr>
                <w:color w:val="000000"/>
                <w:sz w:val="20"/>
                <w:szCs w:val="20"/>
                <w:lang w:val="fr-CA"/>
              </w:rPr>
              <w:t>HCFC-225cb</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03</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w:t>
            </w:r>
          </w:p>
        </w:tc>
      </w:tr>
      <w:tr w:rsidR="00FB0F9B" w:rsidRPr="00206486" w:rsidTr="00490464">
        <w:tc>
          <w:tcPr>
            <w:tcW w:w="20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FB0F9B" w:rsidRPr="00206486" w:rsidRDefault="00AA3256" w:rsidP="00AA3256">
            <w:pPr>
              <w:jc w:val="left"/>
              <w:rPr>
                <w:rFonts w:eastAsiaTheme="minorHAnsi"/>
                <w:b/>
                <w:sz w:val="20"/>
                <w:szCs w:val="20"/>
                <w:lang w:val="fr-CA"/>
              </w:rPr>
            </w:pPr>
            <w:r w:rsidRPr="00206486">
              <w:rPr>
                <w:b/>
                <w:sz w:val="20"/>
                <w:szCs w:val="20"/>
                <w:lang w:val="fr-CA"/>
              </w:rPr>
              <w:t>Total partiel</w:t>
            </w:r>
            <w:r w:rsidR="00FB0F9B" w:rsidRPr="00206486">
              <w:rPr>
                <w:b/>
                <w:sz w:val="20"/>
                <w:szCs w:val="20"/>
                <w:lang w:val="fr-CA"/>
              </w:rPr>
              <w:t xml:space="preserve"> </w:t>
            </w:r>
            <w:r w:rsidR="00C02492" w:rsidRPr="00206486">
              <w:rPr>
                <w:b/>
                <w:sz w:val="20"/>
                <w:szCs w:val="20"/>
                <w:lang w:val="fr-CA"/>
              </w:rPr>
              <w:t>(tonnes PAO</w:t>
            </w:r>
            <w:r w:rsidR="00FB0F9B" w:rsidRPr="00206486">
              <w:rPr>
                <w:b/>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2,</w:t>
            </w:r>
            <w:r w:rsidRPr="00206486">
              <w:rPr>
                <w:color w:val="000000"/>
                <w:sz w:val="20"/>
                <w:szCs w:val="20"/>
                <w:lang w:val="fr-CA"/>
              </w:rPr>
              <w:t>64</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96</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89</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10</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b/>
                <w:color w:val="000000"/>
                <w:sz w:val="20"/>
                <w:szCs w:val="20"/>
                <w:lang w:val="fr-CA"/>
              </w:rPr>
            </w:pPr>
            <w:r w:rsidRPr="00206486">
              <w:rPr>
                <w:color w:val="000000"/>
                <w:sz w:val="20"/>
                <w:szCs w:val="20"/>
                <w:lang w:val="fr-CA"/>
              </w:rPr>
              <w:t>8,</w:t>
            </w:r>
            <w:r w:rsidR="00FB0F9B" w:rsidRPr="00206486">
              <w:rPr>
                <w:color w:val="000000"/>
                <w:sz w:val="20"/>
                <w:szCs w:val="20"/>
                <w:lang w:val="fr-CA"/>
              </w:rPr>
              <w:t>82</w:t>
            </w:r>
          </w:p>
        </w:tc>
        <w:tc>
          <w:tcPr>
            <w:tcW w:w="49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b/>
                <w:color w:val="000000"/>
                <w:sz w:val="20"/>
                <w:szCs w:val="20"/>
                <w:lang w:val="fr-CA"/>
              </w:rPr>
            </w:pPr>
            <w:r w:rsidRPr="00206486">
              <w:rPr>
                <w:b/>
                <w:color w:val="000000"/>
                <w:sz w:val="20"/>
                <w:szCs w:val="20"/>
                <w:lang w:val="fr-CA"/>
              </w:rPr>
              <w:t>1</w:t>
            </w:r>
            <w:r w:rsidR="00973255" w:rsidRPr="00206486">
              <w:rPr>
                <w:b/>
                <w:color w:val="000000"/>
                <w:sz w:val="20"/>
                <w:szCs w:val="20"/>
                <w:lang w:val="fr-CA"/>
              </w:rPr>
              <w:t>4,</w:t>
            </w:r>
            <w:r w:rsidRPr="00206486">
              <w:rPr>
                <w:b/>
                <w:color w:val="000000"/>
                <w:sz w:val="20"/>
                <w:szCs w:val="20"/>
                <w:lang w:val="fr-CA"/>
              </w:rPr>
              <w:t>10</w:t>
            </w:r>
          </w:p>
        </w:tc>
      </w:tr>
      <w:tr w:rsidR="00FB0F9B" w:rsidRPr="00206486" w:rsidTr="00490464">
        <w:tc>
          <w:tcPr>
            <w:tcW w:w="20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FB0F9B" w:rsidRPr="00206486" w:rsidRDefault="00FB0F9B" w:rsidP="00AA3256">
            <w:pPr>
              <w:jc w:val="left"/>
              <w:rPr>
                <w:color w:val="000000"/>
                <w:sz w:val="20"/>
                <w:szCs w:val="20"/>
                <w:lang w:val="fr-CA"/>
              </w:rPr>
            </w:pPr>
            <w:r w:rsidRPr="00206486">
              <w:rPr>
                <w:color w:val="000000"/>
                <w:sz w:val="20"/>
                <w:szCs w:val="20"/>
                <w:lang w:val="fr-CA"/>
              </w:rPr>
              <w:t>HCFC</w:t>
            </w:r>
            <w:r w:rsidRPr="00206486">
              <w:rPr>
                <w:color w:val="000000"/>
                <w:sz w:val="20"/>
                <w:szCs w:val="20"/>
                <w:lang w:val="fr-CA"/>
              </w:rPr>
              <w:noBreakHyphen/>
              <w:t xml:space="preserve">141b </w:t>
            </w:r>
            <w:r w:rsidR="00AA3256" w:rsidRPr="00206486">
              <w:rPr>
                <w:color w:val="000000"/>
                <w:sz w:val="20"/>
                <w:szCs w:val="20"/>
                <w:lang w:val="fr-CA"/>
              </w:rPr>
              <w:t>dans des</w:t>
            </w:r>
            <w:r w:rsidR="0060390D" w:rsidRPr="00206486">
              <w:rPr>
                <w:color w:val="000000"/>
                <w:sz w:val="20"/>
                <w:szCs w:val="20"/>
                <w:lang w:val="fr-CA"/>
              </w:rPr>
              <w:t xml:space="preserve"> polyols prémélangés importés</w:t>
            </w: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1,</w:t>
            </w:r>
            <w:r w:rsidR="00FB0F9B" w:rsidRPr="00206486">
              <w:rPr>
                <w:color w:val="000000"/>
                <w:sz w:val="20"/>
                <w:szCs w:val="20"/>
                <w:lang w:val="fr-CA"/>
              </w:rPr>
              <w:t>23</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1,</w:t>
            </w:r>
            <w:r w:rsidR="00FB0F9B" w:rsidRPr="00206486">
              <w:rPr>
                <w:color w:val="000000"/>
                <w:sz w:val="20"/>
                <w:szCs w:val="20"/>
                <w:lang w:val="fr-CA"/>
              </w:rPr>
              <w:t>10</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1,</w:t>
            </w:r>
            <w:r w:rsidR="00FB0F9B" w:rsidRPr="00206486">
              <w:rPr>
                <w:color w:val="000000"/>
                <w:sz w:val="20"/>
                <w:szCs w:val="20"/>
                <w:lang w:val="fr-CA"/>
              </w:rPr>
              <w:t>27</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49</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color w:val="000000"/>
                <w:sz w:val="20"/>
                <w:szCs w:val="20"/>
                <w:lang w:val="fr-CA"/>
              </w:rPr>
            </w:pPr>
            <w:r w:rsidRPr="00206486">
              <w:rPr>
                <w:color w:val="000000"/>
                <w:sz w:val="20"/>
                <w:szCs w:val="20"/>
                <w:lang w:val="fr-CA"/>
              </w:rPr>
              <w:t>0,</w:t>
            </w:r>
            <w:r w:rsidR="00FB0F9B" w:rsidRPr="00206486">
              <w:rPr>
                <w:color w:val="000000"/>
                <w:sz w:val="20"/>
                <w:szCs w:val="20"/>
                <w:lang w:val="fr-CA"/>
              </w:rPr>
              <w:t>40</w:t>
            </w:r>
          </w:p>
        </w:tc>
        <w:tc>
          <w:tcPr>
            <w:tcW w:w="49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color w:val="000000"/>
                <w:sz w:val="20"/>
                <w:szCs w:val="20"/>
                <w:lang w:val="fr-CA"/>
              </w:rPr>
            </w:pPr>
            <w:r w:rsidRPr="00206486">
              <w:rPr>
                <w:color w:val="000000"/>
                <w:sz w:val="20"/>
                <w:szCs w:val="20"/>
                <w:lang w:val="fr-CA"/>
              </w:rPr>
              <w:t>1</w:t>
            </w:r>
            <w:r w:rsidR="00973255" w:rsidRPr="00206486">
              <w:rPr>
                <w:color w:val="000000"/>
                <w:sz w:val="20"/>
                <w:szCs w:val="20"/>
                <w:lang w:val="fr-CA"/>
              </w:rPr>
              <w:t>8,</w:t>
            </w:r>
            <w:r w:rsidRPr="00206486">
              <w:rPr>
                <w:color w:val="000000"/>
                <w:sz w:val="20"/>
                <w:szCs w:val="20"/>
                <w:lang w:val="fr-CA"/>
              </w:rPr>
              <w:t>11*</w:t>
            </w:r>
          </w:p>
        </w:tc>
      </w:tr>
      <w:tr w:rsidR="00FB0F9B" w:rsidRPr="00206486" w:rsidTr="00490464">
        <w:tc>
          <w:tcPr>
            <w:tcW w:w="20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rsidR="00FB0F9B" w:rsidRPr="00206486" w:rsidRDefault="00FB0F9B" w:rsidP="002B0AAE">
            <w:pPr>
              <w:jc w:val="left"/>
              <w:rPr>
                <w:color w:val="000000"/>
                <w:sz w:val="20"/>
                <w:szCs w:val="20"/>
                <w:lang w:val="fr-CA"/>
              </w:rPr>
            </w:pPr>
            <w:r w:rsidRPr="00206486">
              <w:rPr>
                <w:color w:val="000000"/>
                <w:sz w:val="20"/>
                <w:szCs w:val="20"/>
                <w:lang w:val="fr-CA"/>
              </w:rPr>
              <w:t xml:space="preserve">Total </w:t>
            </w:r>
            <w:r w:rsidR="00C02492" w:rsidRPr="00206486">
              <w:rPr>
                <w:color w:val="000000"/>
                <w:sz w:val="20"/>
                <w:szCs w:val="20"/>
                <w:lang w:val="fr-CA"/>
              </w:rPr>
              <w:t>(tonnes PAO</w:t>
            </w:r>
            <w:r w:rsidRPr="00206486">
              <w:rPr>
                <w:color w:val="000000"/>
                <w:sz w:val="20"/>
                <w:szCs w:val="20"/>
                <w:lang w:val="fr-CA"/>
              </w:rPr>
              <w:t>)</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3,</w:t>
            </w:r>
            <w:r w:rsidRPr="00206486">
              <w:rPr>
                <w:color w:val="000000"/>
                <w:sz w:val="20"/>
                <w:szCs w:val="20"/>
                <w:lang w:val="fr-CA"/>
              </w:rPr>
              <w:t>86</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2,</w:t>
            </w:r>
            <w:r w:rsidRPr="00206486">
              <w:rPr>
                <w:color w:val="000000"/>
                <w:sz w:val="20"/>
                <w:szCs w:val="20"/>
                <w:lang w:val="fr-CA"/>
              </w:rPr>
              <w:t>06</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2,</w:t>
            </w:r>
            <w:r w:rsidRPr="00206486">
              <w:rPr>
                <w:color w:val="000000"/>
                <w:sz w:val="20"/>
                <w:szCs w:val="20"/>
                <w:lang w:val="fr-CA"/>
              </w:rPr>
              <w:t>15</w:t>
            </w:r>
          </w:p>
        </w:tc>
        <w:tc>
          <w:tcPr>
            <w:tcW w:w="491" w:type="pct"/>
            <w:tcBorders>
              <w:top w:val="nil"/>
              <w:left w:val="nil"/>
              <w:bottom w:val="single" w:sz="4" w:space="0" w:color="auto"/>
              <w:right w:val="single" w:sz="4" w:space="0" w:color="auto"/>
            </w:tcBorders>
            <w:shd w:val="clear" w:color="auto" w:fill="auto"/>
            <w:tcMar>
              <w:left w:w="115" w:type="dxa"/>
              <w:right w:w="144" w:type="dxa"/>
            </w:tcMar>
          </w:tcPr>
          <w:p w:rsidR="00FB0F9B" w:rsidRPr="00206486" w:rsidRDefault="00FB0F9B" w:rsidP="002B0AAE">
            <w:pPr>
              <w:jc w:val="right"/>
              <w:rPr>
                <w:b/>
                <w:color w:val="000000"/>
                <w:sz w:val="20"/>
                <w:szCs w:val="20"/>
                <w:lang w:val="fr-CA"/>
              </w:rPr>
            </w:pPr>
            <w:r w:rsidRPr="00206486">
              <w:rPr>
                <w:color w:val="000000"/>
                <w:sz w:val="20"/>
                <w:szCs w:val="20"/>
                <w:lang w:val="fr-CA"/>
              </w:rPr>
              <w:t>1</w:t>
            </w:r>
            <w:r w:rsidR="00973255" w:rsidRPr="00206486">
              <w:rPr>
                <w:color w:val="000000"/>
                <w:sz w:val="20"/>
                <w:szCs w:val="20"/>
                <w:lang w:val="fr-CA"/>
              </w:rPr>
              <w:t>0,</w:t>
            </w:r>
            <w:r w:rsidRPr="00206486">
              <w:rPr>
                <w:color w:val="000000"/>
                <w:sz w:val="20"/>
                <w:szCs w:val="20"/>
                <w:lang w:val="fr-CA"/>
              </w:rPr>
              <w:t>59</w:t>
            </w:r>
          </w:p>
        </w:tc>
        <w:tc>
          <w:tcPr>
            <w:tcW w:w="491" w:type="pct"/>
            <w:tcBorders>
              <w:top w:val="nil"/>
              <w:left w:val="single" w:sz="4" w:space="0" w:color="auto"/>
              <w:bottom w:val="single" w:sz="4" w:space="0" w:color="auto"/>
              <w:right w:val="single" w:sz="4" w:space="0" w:color="auto"/>
            </w:tcBorders>
            <w:shd w:val="clear" w:color="auto" w:fill="auto"/>
            <w:tcMar>
              <w:left w:w="115" w:type="dxa"/>
              <w:right w:w="144" w:type="dxa"/>
            </w:tcMar>
          </w:tcPr>
          <w:p w:rsidR="00FB0F9B" w:rsidRPr="00206486" w:rsidRDefault="00973255" w:rsidP="002B0AAE">
            <w:pPr>
              <w:jc w:val="right"/>
              <w:rPr>
                <w:b/>
                <w:color w:val="000000"/>
                <w:sz w:val="20"/>
                <w:szCs w:val="20"/>
                <w:lang w:val="fr-CA"/>
              </w:rPr>
            </w:pPr>
            <w:r w:rsidRPr="00206486">
              <w:rPr>
                <w:color w:val="000000"/>
                <w:sz w:val="20"/>
                <w:szCs w:val="20"/>
                <w:lang w:val="fr-CA"/>
              </w:rPr>
              <w:t>9,</w:t>
            </w:r>
            <w:r w:rsidR="00FB0F9B" w:rsidRPr="00206486">
              <w:rPr>
                <w:color w:val="000000"/>
                <w:sz w:val="20"/>
                <w:szCs w:val="20"/>
                <w:lang w:val="fr-CA"/>
              </w:rPr>
              <w:t>22</w:t>
            </w:r>
          </w:p>
        </w:tc>
        <w:tc>
          <w:tcPr>
            <w:tcW w:w="49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rsidR="00FB0F9B" w:rsidRPr="00206486" w:rsidRDefault="00FB0F9B" w:rsidP="002B0AAE">
            <w:pPr>
              <w:jc w:val="right"/>
              <w:rPr>
                <w:b/>
                <w:color w:val="000000"/>
                <w:sz w:val="20"/>
                <w:szCs w:val="20"/>
                <w:lang w:val="fr-CA"/>
              </w:rPr>
            </w:pPr>
            <w:r w:rsidRPr="00206486">
              <w:rPr>
                <w:b/>
                <w:color w:val="000000"/>
                <w:sz w:val="20"/>
                <w:szCs w:val="20"/>
                <w:lang w:val="fr-CA"/>
              </w:rPr>
              <w:t>3</w:t>
            </w:r>
            <w:r w:rsidR="00973255" w:rsidRPr="00206486">
              <w:rPr>
                <w:b/>
                <w:color w:val="000000"/>
                <w:sz w:val="20"/>
                <w:szCs w:val="20"/>
                <w:lang w:val="fr-CA"/>
              </w:rPr>
              <w:t>2,</w:t>
            </w:r>
            <w:r w:rsidRPr="00206486">
              <w:rPr>
                <w:b/>
                <w:color w:val="000000"/>
                <w:sz w:val="20"/>
                <w:szCs w:val="20"/>
                <w:lang w:val="fr-CA"/>
              </w:rPr>
              <w:t>21</w:t>
            </w:r>
          </w:p>
        </w:tc>
      </w:tr>
    </w:tbl>
    <w:p w:rsidR="00FB0F9B" w:rsidRPr="00206486" w:rsidRDefault="00FB0F9B" w:rsidP="00FB0F9B">
      <w:pPr>
        <w:rPr>
          <w:sz w:val="18"/>
          <w:szCs w:val="18"/>
          <w:lang w:val="fr-CA"/>
        </w:rPr>
      </w:pPr>
      <w:r w:rsidRPr="00206486">
        <w:rPr>
          <w:sz w:val="18"/>
          <w:szCs w:val="18"/>
          <w:lang w:val="fr-CA"/>
        </w:rPr>
        <w:t xml:space="preserve">* </w:t>
      </w:r>
      <w:r w:rsidR="00AA3256" w:rsidRPr="00206486">
        <w:rPr>
          <w:sz w:val="18"/>
          <w:szCs w:val="18"/>
          <w:lang w:val="fr-CA"/>
        </w:rPr>
        <w:t>Sur la base du programme de pays, point de départ inclus dans l’accord basé sur la consommation moyenne pour</w:t>
      </w:r>
      <w:r w:rsidRPr="00206486">
        <w:rPr>
          <w:sz w:val="18"/>
          <w:szCs w:val="18"/>
          <w:lang w:val="fr-CA"/>
        </w:rPr>
        <w:t xml:space="preserve"> 2007-2009.</w:t>
      </w:r>
    </w:p>
    <w:p w:rsidR="00FB0F9B" w:rsidRPr="00206486" w:rsidRDefault="00FB0F9B" w:rsidP="00FB0F9B">
      <w:pPr>
        <w:rPr>
          <w:lang w:val="fr-CA"/>
        </w:rPr>
      </w:pPr>
    </w:p>
    <w:p w:rsidR="00FB0F9B" w:rsidRPr="00206486" w:rsidRDefault="00AA3256" w:rsidP="00FB0F9B">
      <w:pPr>
        <w:pStyle w:val="Heading1"/>
        <w:rPr>
          <w:lang w:val="fr-CA"/>
        </w:rPr>
      </w:pPr>
      <w:r w:rsidRPr="00206486">
        <w:rPr>
          <w:lang w:val="fr-CA"/>
        </w:rPr>
        <w:t>La consommation de HCFC</w:t>
      </w:r>
      <w:r w:rsidR="00FB0F9B" w:rsidRPr="00206486">
        <w:rPr>
          <w:lang w:val="fr-CA"/>
        </w:rPr>
        <w:t xml:space="preserve"> </w:t>
      </w:r>
      <w:r w:rsidRPr="00206486">
        <w:rPr>
          <w:lang w:val="fr-CA"/>
        </w:rPr>
        <w:t xml:space="preserve">décline en raison de la </w:t>
      </w:r>
      <w:r w:rsidR="00C306D5" w:rsidRPr="00206486">
        <w:rPr>
          <w:lang w:val="fr-CA"/>
        </w:rPr>
        <w:t>mise en oeuvre de</w:t>
      </w:r>
      <w:r w:rsidRPr="00206486">
        <w:rPr>
          <w:lang w:val="fr-CA"/>
        </w:rPr>
        <w:t>s</w:t>
      </w:r>
      <w:r w:rsidR="00C306D5" w:rsidRPr="00206486">
        <w:rPr>
          <w:lang w:val="fr-CA"/>
        </w:rPr>
        <w:t xml:space="preserve"> </w:t>
      </w:r>
      <w:r w:rsidRPr="00206486">
        <w:rPr>
          <w:lang w:val="fr-CA"/>
        </w:rPr>
        <w:t>activités</w:t>
      </w:r>
      <w:r w:rsidR="00FB0F9B" w:rsidRPr="00206486">
        <w:rPr>
          <w:lang w:val="fr-CA"/>
        </w:rPr>
        <w:t xml:space="preserve"> </w:t>
      </w:r>
      <w:r w:rsidRPr="00206486">
        <w:rPr>
          <w:lang w:val="fr-CA"/>
        </w:rPr>
        <w:t>connexes au </w:t>
      </w:r>
      <w:r w:rsidR="00C306D5" w:rsidRPr="00206486">
        <w:rPr>
          <w:lang w:val="fr-CA"/>
        </w:rPr>
        <w:t>PGEH</w:t>
      </w:r>
      <w:r w:rsidR="00FB0F9B" w:rsidRPr="00206486">
        <w:rPr>
          <w:lang w:val="fr-CA"/>
        </w:rPr>
        <w:t xml:space="preserve">. </w:t>
      </w:r>
      <w:r w:rsidRPr="00206486">
        <w:rPr>
          <w:lang w:val="fr-CA"/>
        </w:rPr>
        <w:t xml:space="preserve"> La mise en oeuvre</w:t>
      </w:r>
      <w:r w:rsidR="00FB0F9B" w:rsidRPr="00206486">
        <w:rPr>
          <w:lang w:val="fr-CA"/>
        </w:rPr>
        <w:t xml:space="preserve"> </w:t>
      </w:r>
      <w:r w:rsidRPr="00206486">
        <w:rPr>
          <w:lang w:val="fr-CA"/>
        </w:rPr>
        <w:t>des activités</w:t>
      </w:r>
      <w:r w:rsidR="00FB0F9B" w:rsidRPr="00206486">
        <w:rPr>
          <w:lang w:val="fr-CA"/>
        </w:rPr>
        <w:t xml:space="preserve"> </w:t>
      </w:r>
      <w:r w:rsidRPr="00206486">
        <w:rPr>
          <w:lang w:val="fr-CA"/>
        </w:rPr>
        <w:t>dans le secteur de l’entretien en réfrigération</w:t>
      </w:r>
      <w:r w:rsidR="00FB0F9B" w:rsidRPr="00206486">
        <w:rPr>
          <w:lang w:val="fr-CA"/>
        </w:rPr>
        <w:t xml:space="preserve">, </w:t>
      </w:r>
      <w:r w:rsidRPr="00206486">
        <w:rPr>
          <w:lang w:val="fr-CA"/>
        </w:rPr>
        <w:t>qui a porté sur la formation de techniciens en réfrigération</w:t>
      </w:r>
      <w:r w:rsidR="00FB0F9B" w:rsidRPr="00206486">
        <w:rPr>
          <w:lang w:val="fr-CA"/>
        </w:rPr>
        <w:t xml:space="preserve">, </w:t>
      </w:r>
      <w:r w:rsidRPr="00206486">
        <w:rPr>
          <w:lang w:val="fr-CA"/>
        </w:rPr>
        <w:t>en même temps que l’</w:t>
      </w:r>
      <w:r w:rsidR="00FB0F9B" w:rsidRPr="00206486">
        <w:rPr>
          <w:lang w:val="fr-CA"/>
        </w:rPr>
        <w:t xml:space="preserve">introduction </w:t>
      </w:r>
      <w:r w:rsidRPr="00206486">
        <w:rPr>
          <w:lang w:val="fr-CA"/>
        </w:rPr>
        <w:t xml:space="preserve">de la réfrigération et de la climatisation individuelle (RAC) sans </w:t>
      </w:r>
      <w:r w:rsidR="00FB0F9B" w:rsidRPr="00206486">
        <w:rPr>
          <w:lang w:val="fr-CA"/>
        </w:rPr>
        <w:t xml:space="preserve">HCFC-22, </w:t>
      </w:r>
      <w:r w:rsidR="00A8388B">
        <w:rPr>
          <w:lang w:val="fr-CA"/>
        </w:rPr>
        <w:t>a</w:t>
      </w:r>
      <w:r w:rsidRPr="00206486">
        <w:rPr>
          <w:lang w:val="fr-CA"/>
        </w:rPr>
        <w:t xml:space="preserve"> contribué à la ré</w:t>
      </w:r>
      <w:r w:rsidR="00FB0F9B" w:rsidRPr="00206486">
        <w:rPr>
          <w:lang w:val="fr-CA"/>
        </w:rPr>
        <w:t>duction</w:t>
      </w:r>
      <w:r w:rsidRPr="00206486">
        <w:rPr>
          <w:lang w:val="fr-CA"/>
        </w:rPr>
        <w:t xml:space="preserve"> de la consommation de </w:t>
      </w:r>
      <w:r w:rsidR="00FB0F9B" w:rsidRPr="00206486">
        <w:rPr>
          <w:lang w:val="fr-CA"/>
        </w:rPr>
        <w:t>HCFC-22.</w:t>
      </w:r>
    </w:p>
    <w:p w:rsidR="00FB0F9B" w:rsidRPr="00206486" w:rsidRDefault="00AA3256" w:rsidP="00FB0F9B">
      <w:pPr>
        <w:pStyle w:val="Heading1"/>
        <w:rPr>
          <w:lang w:val="fr-CA"/>
        </w:rPr>
      </w:pPr>
      <w:r w:rsidRPr="00206486">
        <w:rPr>
          <w:lang w:val="fr-CA"/>
        </w:rPr>
        <w:t xml:space="preserve">La réduction importante de la consommation de HCFC-141b dans des </w:t>
      </w:r>
      <w:r w:rsidR="0060390D" w:rsidRPr="00206486">
        <w:rPr>
          <w:lang w:val="fr-CA"/>
        </w:rPr>
        <w:t>polyols prémélangés importés</w:t>
      </w:r>
      <w:r w:rsidR="00FB0F9B" w:rsidRPr="00206486">
        <w:rPr>
          <w:lang w:val="fr-CA"/>
        </w:rPr>
        <w:t xml:space="preserve"> </w:t>
      </w:r>
      <w:r w:rsidR="00880958">
        <w:rPr>
          <w:lang w:val="fr-CA"/>
        </w:rPr>
        <w:t>a été attribuable à la</w:t>
      </w:r>
      <w:r w:rsidRPr="00206486">
        <w:rPr>
          <w:lang w:val="fr-CA"/>
        </w:rPr>
        <w:t xml:space="preserve"> reconversion</w:t>
      </w:r>
      <w:r w:rsidR="00FB0F9B" w:rsidRPr="00206486">
        <w:rPr>
          <w:lang w:val="fr-CA"/>
        </w:rPr>
        <w:t xml:space="preserve"> </w:t>
      </w:r>
      <w:r w:rsidRPr="00206486">
        <w:rPr>
          <w:lang w:val="fr-CA"/>
        </w:rPr>
        <w:t>du plus grand utilisateur d</w:t>
      </w:r>
      <w:r w:rsidR="00F477F0" w:rsidRPr="00206486">
        <w:rPr>
          <w:lang w:val="fr-CA"/>
        </w:rPr>
        <w:t>’un des polyols</w:t>
      </w:r>
      <w:r w:rsidRPr="00206486">
        <w:rPr>
          <w:lang w:val="fr-CA"/>
        </w:rPr>
        <w:t xml:space="preserve"> </w:t>
      </w:r>
      <w:r w:rsidR="00F477F0" w:rsidRPr="00206486">
        <w:rPr>
          <w:lang w:val="fr-CA"/>
        </w:rPr>
        <w:t>prémélangés au</w:t>
      </w:r>
      <w:r w:rsidR="00A8388B">
        <w:rPr>
          <w:lang w:val="fr-CA"/>
        </w:rPr>
        <w:t> </w:t>
      </w:r>
      <w:r w:rsidR="00F477F0" w:rsidRPr="00206486">
        <w:rPr>
          <w:lang w:val="fr-CA"/>
        </w:rPr>
        <w:t>pays</w:t>
      </w:r>
      <w:r w:rsidR="00FB0F9B" w:rsidRPr="00206486">
        <w:rPr>
          <w:lang w:val="fr-CA"/>
        </w:rPr>
        <w:t xml:space="preserve">; </w:t>
      </w:r>
      <w:r w:rsidR="00F477F0" w:rsidRPr="00206486">
        <w:rPr>
          <w:lang w:val="fr-CA"/>
        </w:rPr>
        <w:t>au remplacement des panneaux locaux fabriqués en discontinu par des produits importés</w:t>
      </w:r>
      <w:r w:rsidR="00FB0F9B" w:rsidRPr="00206486">
        <w:rPr>
          <w:lang w:val="fr-CA"/>
        </w:rPr>
        <w:t xml:space="preserve">; </w:t>
      </w:r>
      <w:r w:rsidR="00F477F0" w:rsidRPr="00206486">
        <w:rPr>
          <w:lang w:val="fr-CA"/>
        </w:rPr>
        <w:t>la</w:t>
      </w:r>
      <w:r w:rsidR="00A8388B">
        <w:rPr>
          <w:lang w:val="fr-CA"/>
        </w:rPr>
        <w:t> </w:t>
      </w:r>
      <w:r w:rsidR="00F477F0" w:rsidRPr="00206486">
        <w:rPr>
          <w:lang w:val="fr-CA"/>
        </w:rPr>
        <w:t xml:space="preserve">fermeture de quelques entreprises de fabrication d’équipements de réfrigération commerciale; </w:t>
      </w:r>
      <w:r w:rsidR="0039010B" w:rsidRPr="00206486">
        <w:rPr>
          <w:lang w:val="fr-CA"/>
        </w:rPr>
        <w:t>et</w:t>
      </w:r>
      <w:r w:rsidR="00A85EC8">
        <w:rPr>
          <w:lang w:val="fr-CA"/>
        </w:rPr>
        <w:t> </w:t>
      </w:r>
      <w:r w:rsidR="00F477F0" w:rsidRPr="00206486">
        <w:rPr>
          <w:lang w:val="fr-CA"/>
        </w:rPr>
        <w:t>l’</w:t>
      </w:r>
      <w:r w:rsidR="00FB0F9B" w:rsidRPr="00206486">
        <w:rPr>
          <w:lang w:val="fr-CA"/>
        </w:rPr>
        <w:t xml:space="preserve">introduction </w:t>
      </w:r>
      <w:r w:rsidR="00F477F0" w:rsidRPr="00206486">
        <w:rPr>
          <w:lang w:val="fr-CA"/>
        </w:rPr>
        <w:t xml:space="preserve">de polyols entièrement formulés basés sur du </w:t>
      </w:r>
      <w:r w:rsidR="00FB0F9B" w:rsidRPr="00206486">
        <w:rPr>
          <w:lang w:val="fr-CA"/>
        </w:rPr>
        <w:t>HFC-365m/HFC</w:t>
      </w:r>
      <w:r w:rsidR="00FB0F9B" w:rsidRPr="00206486">
        <w:rPr>
          <w:lang w:val="fr-CA"/>
        </w:rPr>
        <w:noBreakHyphen/>
        <w:t>227ea.</w:t>
      </w:r>
      <w:r w:rsidR="00F477F0" w:rsidRPr="00206486">
        <w:rPr>
          <w:lang w:val="fr-CA"/>
        </w:rPr>
        <w:t xml:space="preserve"> La consommation restante de </w:t>
      </w:r>
      <w:r w:rsidR="00973255" w:rsidRPr="00206486">
        <w:rPr>
          <w:lang w:val="fr-CA"/>
        </w:rPr>
        <w:t>0,</w:t>
      </w:r>
      <w:r w:rsidR="00FB0F9B" w:rsidRPr="00206486">
        <w:rPr>
          <w:lang w:val="fr-CA"/>
        </w:rPr>
        <w:t>40</w:t>
      </w:r>
      <w:r w:rsidR="00C02492" w:rsidRPr="00206486">
        <w:rPr>
          <w:lang w:val="fr-CA"/>
        </w:rPr>
        <w:t xml:space="preserve"> tonne PAO</w:t>
      </w:r>
      <w:r w:rsidR="00FB0F9B" w:rsidRPr="00206486">
        <w:rPr>
          <w:lang w:val="fr-CA"/>
        </w:rPr>
        <w:t xml:space="preserve"> </w:t>
      </w:r>
      <w:r w:rsidR="00F477F0" w:rsidRPr="00206486">
        <w:rPr>
          <w:lang w:val="fr-CA"/>
        </w:rPr>
        <w:t>est</w:t>
      </w:r>
      <w:r w:rsidR="00FB0F9B" w:rsidRPr="00206486">
        <w:rPr>
          <w:lang w:val="fr-CA"/>
        </w:rPr>
        <w:t xml:space="preserve"> associ</w:t>
      </w:r>
      <w:r w:rsidR="00F477F0" w:rsidRPr="00206486">
        <w:rPr>
          <w:lang w:val="fr-CA"/>
        </w:rPr>
        <w:t>ée</w:t>
      </w:r>
      <w:r w:rsidR="00FB0F9B" w:rsidRPr="00206486">
        <w:rPr>
          <w:lang w:val="fr-CA"/>
        </w:rPr>
        <w:t xml:space="preserve"> </w:t>
      </w:r>
      <w:r w:rsidR="00F477F0" w:rsidRPr="00206486">
        <w:rPr>
          <w:lang w:val="fr-CA"/>
        </w:rPr>
        <w:t xml:space="preserve">à de très petits utilisateurs de mousses et leur </w:t>
      </w:r>
      <w:r w:rsidR="002B0AAE" w:rsidRPr="00206486">
        <w:rPr>
          <w:lang w:val="fr-CA"/>
        </w:rPr>
        <w:t>élimination</w:t>
      </w:r>
      <w:r w:rsidR="00FB0F9B" w:rsidRPr="00206486">
        <w:rPr>
          <w:lang w:val="fr-CA"/>
        </w:rPr>
        <w:t xml:space="preserve"> </w:t>
      </w:r>
      <w:r w:rsidR="00F477F0" w:rsidRPr="00206486">
        <w:rPr>
          <w:lang w:val="fr-CA"/>
        </w:rPr>
        <w:t xml:space="preserve">devrait être traitée à la </w:t>
      </w:r>
      <w:r w:rsidR="0060390D" w:rsidRPr="00206486">
        <w:rPr>
          <w:lang w:val="fr-CA"/>
        </w:rPr>
        <w:t>phase II</w:t>
      </w:r>
      <w:r w:rsidR="00FB0F9B" w:rsidRPr="00206486">
        <w:rPr>
          <w:lang w:val="fr-CA"/>
        </w:rPr>
        <w:t xml:space="preserve">. </w:t>
      </w:r>
    </w:p>
    <w:p w:rsidR="00FB0F9B" w:rsidRPr="00206486" w:rsidRDefault="00F477F0" w:rsidP="00FB0F9B">
      <w:pPr>
        <w:rPr>
          <w:lang w:val="fr-CA"/>
        </w:rPr>
      </w:pPr>
      <w:r w:rsidRPr="00206486">
        <w:rPr>
          <w:i/>
          <w:lang w:val="fr-CA"/>
        </w:rPr>
        <w:t>Mise en oeuvre du programme de pays</w:t>
      </w:r>
    </w:p>
    <w:p w:rsidR="00FB0F9B" w:rsidRPr="00206486" w:rsidRDefault="00FB0F9B" w:rsidP="00FB0F9B">
      <w:pPr>
        <w:rPr>
          <w:lang w:val="fr-CA"/>
        </w:rPr>
      </w:pPr>
    </w:p>
    <w:p w:rsidR="00FB0F9B" w:rsidRPr="00206486" w:rsidRDefault="0039010B" w:rsidP="00FB0F9B">
      <w:pPr>
        <w:pStyle w:val="Heading1"/>
        <w:widowControl w:val="0"/>
        <w:rPr>
          <w:lang w:val="fr-CA"/>
        </w:rPr>
      </w:pPr>
      <w:r w:rsidRPr="00206486">
        <w:rPr>
          <w:lang w:val="fr-CA"/>
        </w:rPr>
        <w:t>Le gouvernement du Costa Rica</w:t>
      </w:r>
      <w:r w:rsidR="00FB0F9B" w:rsidRPr="00206486">
        <w:rPr>
          <w:lang w:val="fr-CA"/>
        </w:rPr>
        <w:t xml:space="preserve"> </w:t>
      </w:r>
      <w:r w:rsidR="00F477F0" w:rsidRPr="00206486">
        <w:rPr>
          <w:lang w:val="fr-CA"/>
        </w:rPr>
        <w:t xml:space="preserve">a déclaré </w:t>
      </w:r>
      <w:r w:rsidR="003B6C77" w:rsidRPr="00206486">
        <w:rPr>
          <w:lang w:val="fr-CA"/>
        </w:rPr>
        <w:t xml:space="preserve">en 2018 </w:t>
      </w:r>
      <w:r w:rsidR="00F477F0" w:rsidRPr="00206486">
        <w:rPr>
          <w:lang w:val="fr-CA"/>
        </w:rPr>
        <w:t xml:space="preserve">une consommation sectorielle de </w:t>
      </w:r>
      <w:r w:rsidR="00FB0F9B" w:rsidRPr="00206486">
        <w:rPr>
          <w:lang w:val="fr-CA"/>
        </w:rPr>
        <w:t>HCFC</w:t>
      </w:r>
      <w:r w:rsidR="00F477F0" w:rsidRPr="00206486">
        <w:rPr>
          <w:lang w:val="fr-CA"/>
        </w:rPr>
        <w:t xml:space="preserve"> dans le cadre du rapport de mise en oeuvre du programme de pays,</w:t>
      </w:r>
      <w:r w:rsidR="00FB0F9B" w:rsidRPr="00206486">
        <w:rPr>
          <w:lang w:val="fr-CA"/>
        </w:rPr>
        <w:t xml:space="preserve"> </w:t>
      </w:r>
      <w:r w:rsidR="003B6C77" w:rsidRPr="00206486">
        <w:rPr>
          <w:lang w:val="fr-CA"/>
        </w:rPr>
        <w:t>qui est cohérente avec les données déclarées en vertu de l’</w:t>
      </w:r>
      <w:r w:rsidR="00FB0F9B" w:rsidRPr="00206486">
        <w:rPr>
          <w:lang w:val="fr-CA"/>
        </w:rPr>
        <w:t xml:space="preserve">Article 7 </w:t>
      </w:r>
      <w:r w:rsidR="003B6C77" w:rsidRPr="00206486">
        <w:rPr>
          <w:lang w:val="fr-CA"/>
        </w:rPr>
        <w:t>du Protocole de Montréal</w:t>
      </w:r>
      <w:r w:rsidR="00FB0F9B" w:rsidRPr="00206486">
        <w:rPr>
          <w:lang w:val="fr-CA"/>
        </w:rPr>
        <w:t xml:space="preserve">.  </w:t>
      </w:r>
    </w:p>
    <w:p w:rsidR="00FB0F9B" w:rsidRPr="00206486" w:rsidRDefault="003B6C77" w:rsidP="00FB0F9B">
      <w:pPr>
        <w:pStyle w:val="Heading1"/>
        <w:numPr>
          <w:ilvl w:val="0"/>
          <w:numId w:val="0"/>
        </w:numPr>
        <w:rPr>
          <w:u w:val="single"/>
          <w:lang w:val="fr-CA"/>
        </w:rPr>
      </w:pPr>
      <w:r w:rsidRPr="00206486">
        <w:rPr>
          <w:u w:val="single"/>
          <w:lang w:val="fr-CA"/>
        </w:rPr>
        <w:t xml:space="preserve">Politique </w:t>
      </w:r>
      <w:r w:rsidR="00A85EC8">
        <w:rPr>
          <w:u w:val="single"/>
          <w:lang w:val="fr-CA"/>
        </w:rPr>
        <w:t xml:space="preserve">et cadre réglementaire </w:t>
      </w:r>
      <w:r w:rsidRPr="00206486">
        <w:rPr>
          <w:u w:val="single"/>
          <w:lang w:val="fr-CA"/>
        </w:rPr>
        <w:t>en matière de SAO</w:t>
      </w:r>
    </w:p>
    <w:p w:rsidR="00FB0F9B" w:rsidRPr="00206486" w:rsidRDefault="003B6C77" w:rsidP="00FB0F9B">
      <w:pPr>
        <w:pStyle w:val="Heading1"/>
        <w:rPr>
          <w:lang w:val="fr-CA"/>
        </w:rPr>
      </w:pPr>
      <w:r w:rsidRPr="00206486">
        <w:rPr>
          <w:lang w:val="fr-CA"/>
        </w:rPr>
        <w:t>Depuis janvier</w:t>
      </w:r>
      <w:r w:rsidR="00FB0F9B" w:rsidRPr="00206486">
        <w:rPr>
          <w:lang w:val="fr-CA"/>
        </w:rPr>
        <w:t xml:space="preserve"> 201</w:t>
      </w:r>
      <w:r w:rsidR="00BD19D4" w:rsidRPr="00206486">
        <w:rPr>
          <w:lang w:val="fr-CA"/>
        </w:rPr>
        <w:t>3</w:t>
      </w:r>
      <w:r w:rsidRPr="00206486">
        <w:rPr>
          <w:lang w:val="fr-CA"/>
        </w:rPr>
        <w:t>,</w:t>
      </w:r>
      <w:r w:rsidR="00FB0F9B" w:rsidRPr="00206486">
        <w:rPr>
          <w:lang w:val="fr-CA"/>
        </w:rPr>
        <w:t xml:space="preserve"> </w:t>
      </w:r>
      <w:r w:rsidR="0039010B" w:rsidRPr="00206486">
        <w:rPr>
          <w:lang w:val="fr-CA"/>
        </w:rPr>
        <w:t>le gouvernement du Costa Rica</w:t>
      </w:r>
      <w:r w:rsidRPr="00206486">
        <w:rPr>
          <w:lang w:val="fr-CA"/>
        </w:rPr>
        <w:t xml:space="preserve"> a établi</w:t>
      </w:r>
      <w:r w:rsidR="0039010B" w:rsidRPr="00206486">
        <w:rPr>
          <w:lang w:val="fr-CA"/>
        </w:rPr>
        <w:t xml:space="preserve"> et</w:t>
      </w:r>
      <w:r w:rsidRPr="00206486">
        <w:rPr>
          <w:lang w:val="fr-CA"/>
        </w:rPr>
        <w:t xml:space="preserve"> applique</w:t>
      </w:r>
      <w:r w:rsidR="00FB0F9B" w:rsidRPr="00206486">
        <w:rPr>
          <w:lang w:val="fr-CA"/>
        </w:rPr>
        <w:t xml:space="preserve"> </w:t>
      </w:r>
      <w:r w:rsidRPr="00206486">
        <w:rPr>
          <w:lang w:val="fr-CA"/>
        </w:rPr>
        <w:t>un</w:t>
      </w:r>
      <w:r w:rsidR="00FB0F9B" w:rsidRPr="00206486">
        <w:rPr>
          <w:lang w:val="fr-CA"/>
        </w:rPr>
        <w:t xml:space="preserve"> </w:t>
      </w:r>
      <w:r w:rsidRPr="00206486">
        <w:rPr>
          <w:lang w:val="fr-CA"/>
        </w:rPr>
        <w:t>système d’autorisation et de contingentement pour</w:t>
      </w:r>
      <w:r w:rsidR="00FB0F9B" w:rsidRPr="00206486">
        <w:rPr>
          <w:lang w:val="fr-CA"/>
        </w:rPr>
        <w:t xml:space="preserve"> </w:t>
      </w:r>
      <w:r w:rsidRPr="00206486">
        <w:rPr>
          <w:lang w:val="fr-CA"/>
        </w:rPr>
        <w:t>les importations et les exportations</w:t>
      </w:r>
      <w:r w:rsidR="00FB0F9B" w:rsidRPr="00206486">
        <w:rPr>
          <w:lang w:val="fr-CA"/>
        </w:rPr>
        <w:t xml:space="preserve"> </w:t>
      </w:r>
      <w:r w:rsidRPr="00206486">
        <w:rPr>
          <w:lang w:val="fr-CA"/>
        </w:rPr>
        <w:t>des SAO</w:t>
      </w:r>
      <w:r w:rsidR="0039010B" w:rsidRPr="00206486">
        <w:rPr>
          <w:lang w:val="fr-CA"/>
        </w:rPr>
        <w:t xml:space="preserve"> et</w:t>
      </w:r>
      <w:r w:rsidRPr="00206486">
        <w:rPr>
          <w:lang w:val="fr-CA"/>
        </w:rPr>
        <w:t xml:space="preserve"> des équipements avec SAO</w:t>
      </w:r>
      <w:r w:rsidR="00FB0F9B" w:rsidRPr="00206486">
        <w:rPr>
          <w:lang w:val="fr-CA"/>
        </w:rPr>
        <w:t xml:space="preserve">, </w:t>
      </w:r>
      <w:r w:rsidRPr="00206486">
        <w:rPr>
          <w:lang w:val="fr-CA"/>
        </w:rPr>
        <w:t>incluant les HCFC</w:t>
      </w:r>
      <w:r w:rsidR="00FB0F9B" w:rsidRPr="00206486">
        <w:rPr>
          <w:lang w:val="fr-CA"/>
        </w:rPr>
        <w:t xml:space="preserve">. </w:t>
      </w:r>
      <w:r w:rsidRPr="00206486">
        <w:rPr>
          <w:lang w:val="fr-CA"/>
        </w:rPr>
        <w:t>L’Unité nationale d’ozone</w:t>
      </w:r>
      <w:r w:rsidR="00FB0F9B" w:rsidRPr="00206486">
        <w:rPr>
          <w:lang w:val="fr-CA"/>
        </w:rPr>
        <w:t xml:space="preserve"> (</w:t>
      </w:r>
      <w:r w:rsidRPr="00206486">
        <w:rPr>
          <w:lang w:val="fr-CA"/>
        </w:rPr>
        <w:t>UNO</w:t>
      </w:r>
      <w:r w:rsidR="00FB0F9B" w:rsidRPr="00206486">
        <w:rPr>
          <w:lang w:val="fr-CA"/>
        </w:rPr>
        <w:t>)</w:t>
      </w:r>
      <w:r w:rsidRPr="00206486">
        <w:rPr>
          <w:lang w:val="fr-CA"/>
        </w:rPr>
        <w:t>,</w:t>
      </w:r>
      <w:r w:rsidR="00FB0F9B" w:rsidRPr="00206486">
        <w:rPr>
          <w:lang w:val="fr-CA"/>
        </w:rPr>
        <w:t xml:space="preserve"> </w:t>
      </w:r>
      <w:r w:rsidRPr="00206486">
        <w:rPr>
          <w:lang w:val="fr-CA"/>
        </w:rPr>
        <w:t>sous l’égide du ministère de l’Environnement et de l’Énergie,</w:t>
      </w:r>
      <w:r w:rsidR="00FB0F9B" w:rsidRPr="00206486">
        <w:rPr>
          <w:lang w:val="fr-CA"/>
        </w:rPr>
        <w:t xml:space="preserve"> </w:t>
      </w:r>
      <w:r w:rsidRPr="00206486">
        <w:rPr>
          <w:lang w:val="fr-CA"/>
        </w:rPr>
        <w:t xml:space="preserve">détermine les contingents d’importation annuels de </w:t>
      </w:r>
      <w:r w:rsidR="0060390D" w:rsidRPr="00206486">
        <w:rPr>
          <w:lang w:val="fr-CA"/>
        </w:rPr>
        <w:t>HCFC</w:t>
      </w:r>
      <w:r w:rsidR="00FB0F9B" w:rsidRPr="00206486">
        <w:rPr>
          <w:lang w:val="fr-CA"/>
        </w:rPr>
        <w:t xml:space="preserve"> </w:t>
      </w:r>
      <w:r w:rsidRPr="00206486">
        <w:rPr>
          <w:lang w:val="fr-CA"/>
        </w:rPr>
        <w:t>sur la base de la consommation maximale admissible</w:t>
      </w:r>
      <w:r w:rsidR="00FB0F9B" w:rsidRPr="00206486">
        <w:rPr>
          <w:lang w:val="fr-CA"/>
        </w:rPr>
        <w:t xml:space="preserve"> </w:t>
      </w:r>
      <w:r w:rsidRPr="00206486">
        <w:rPr>
          <w:lang w:val="fr-CA"/>
        </w:rPr>
        <w:t>dans le cadre du Protocole de Montréal</w:t>
      </w:r>
      <w:r w:rsidR="00FB0F9B" w:rsidRPr="00206486">
        <w:rPr>
          <w:lang w:val="fr-CA"/>
        </w:rPr>
        <w:t>,</w:t>
      </w:r>
      <w:r w:rsidR="0039010B" w:rsidRPr="00206486">
        <w:rPr>
          <w:lang w:val="fr-CA"/>
        </w:rPr>
        <w:t xml:space="preserve"> et </w:t>
      </w:r>
      <w:r w:rsidRPr="00206486">
        <w:rPr>
          <w:lang w:val="fr-CA"/>
        </w:rPr>
        <w:t>le ministère du Commerce extérieur émet les autorisations selon le contingent total établi pour l’UNO</w:t>
      </w:r>
      <w:r w:rsidR="00FB0F9B" w:rsidRPr="00206486">
        <w:rPr>
          <w:lang w:val="fr-CA"/>
        </w:rPr>
        <w:t xml:space="preserve">. </w:t>
      </w:r>
      <w:r w:rsidRPr="00206486">
        <w:rPr>
          <w:lang w:val="fr-CA"/>
        </w:rPr>
        <w:t xml:space="preserve">Un système en ligne </w:t>
      </w:r>
      <w:r w:rsidR="00FB0F9B" w:rsidRPr="00206486">
        <w:rPr>
          <w:lang w:val="fr-CA"/>
        </w:rPr>
        <w:t xml:space="preserve">(TICA) </w:t>
      </w:r>
      <w:r w:rsidRPr="00206486">
        <w:rPr>
          <w:lang w:val="fr-CA"/>
        </w:rPr>
        <w:t>a été établi</w:t>
      </w:r>
      <w:r w:rsidR="00FB0F9B" w:rsidRPr="00206486">
        <w:rPr>
          <w:lang w:val="fr-CA"/>
        </w:rPr>
        <w:t xml:space="preserve"> </w:t>
      </w:r>
      <w:r w:rsidRPr="00206486">
        <w:rPr>
          <w:lang w:val="fr-CA"/>
        </w:rPr>
        <w:t>pour faciliter le suivi des importations de SAO</w:t>
      </w:r>
      <w:r w:rsidR="00FB0F9B" w:rsidRPr="00206486">
        <w:rPr>
          <w:lang w:val="fr-CA"/>
        </w:rPr>
        <w:t xml:space="preserve"> </w:t>
      </w:r>
      <w:r w:rsidR="0039010B" w:rsidRPr="00206486">
        <w:rPr>
          <w:lang w:val="fr-CA"/>
        </w:rPr>
        <w:t xml:space="preserve">et </w:t>
      </w:r>
      <w:r w:rsidRPr="00206486">
        <w:rPr>
          <w:lang w:val="fr-CA"/>
        </w:rPr>
        <w:t>d’autres frigorigènes</w:t>
      </w:r>
      <w:r w:rsidR="00FB0F9B" w:rsidRPr="00206486">
        <w:rPr>
          <w:lang w:val="fr-CA"/>
        </w:rPr>
        <w:t xml:space="preserve"> (</w:t>
      </w:r>
      <w:r w:rsidRPr="00206486">
        <w:rPr>
          <w:lang w:val="fr-CA"/>
        </w:rPr>
        <w:t>incluant les</w:t>
      </w:r>
      <w:r w:rsidR="00FB0F9B" w:rsidRPr="00206486">
        <w:rPr>
          <w:lang w:val="fr-CA"/>
        </w:rPr>
        <w:t xml:space="preserve"> </w:t>
      </w:r>
      <w:r w:rsidRPr="00206486">
        <w:rPr>
          <w:lang w:val="fr-CA"/>
        </w:rPr>
        <w:t>HFC</w:t>
      </w:r>
      <w:r w:rsidR="00FB0F9B" w:rsidRPr="00206486">
        <w:rPr>
          <w:lang w:val="fr-CA"/>
        </w:rPr>
        <w:t>)</w:t>
      </w:r>
      <w:r w:rsidR="0039010B" w:rsidRPr="00206486">
        <w:rPr>
          <w:lang w:val="fr-CA"/>
        </w:rPr>
        <w:t xml:space="preserve"> et </w:t>
      </w:r>
      <w:r w:rsidRPr="00206486">
        <w:rPr>
          <w:lang w:val="fr-CA"/>
        </w:rPr>
        <w:t xml:space="preserve">la contre-vérification </w:t>
      </w:r>
      <w:r w:rsidR="007952D7" w:rsidRPr="00206486">
        <w:rPr>
          <w:lang w:val="fr-CA"/>
        </w:rPr>
        <w:t>des</w:t>
      </w:r>
      <w:r w:rsidR="00FB0F9B" w:rsidRPr="00206486">
        <w:rPr>
          <w:lang w:val="fr-CA"/>
        </w:rPr>
        <w:t xml:space="preserve"> </w:t>
      </w:r>
      <w:r w:rsidR="007952D7" w:rsidRPr="00206486">
        <w:rPr>
          <w:lang w:val="fr-CA"/>
        </w:rPr>
        <w:t>contingents émis</w:t>
      </w:r>
      <w:r w:rsidR="00FB0F9B" w:rsidRPr="00206486">
        <w:rPr>
          <w:lang w:val="fr-CA"/>
        </w:rPr>
        <w:t xml:space="preserve">. </w:t>
      </w:r>
      <w:r w:rsidR="007952D7" w:rsidRPr="00206486">
        <w:rPr>
          <w:lang w:val="fr-CA"/>
        </w:rPr>
        <w:t xml:space="preserve">Pendant la </w:t>
      </w:r>
      <w:r w:rsidR="00D73A31" w:rsidRPr="00206486">
        <w:rPr>
          <w:lang w:val="fr-CA"/>
        </w:rPr>
        <w:t xml:space="preserve">phase </w:t>
      </w:r>
      <w:r w:rsidR="00FB0F9B" w:rsidRPr="00206486">
        <w:rPr>
          <w:lang w:val="fr-CA"/>
        </w:rPr>
        <w:t xml:space="preserve">I, </w:t>
      </w:r>
      <w:r w:rsidR="007952D7" w:rsidRPr="00206486">
        <w:rPr>
          <w:lang w:val="fr-CA"/>
        </w:rPr>
        <w:t xml:space="preserve">on a formé au total </w:t>
      </w:r>
      <w:r w:rsidR="00FB0F9B" w:rsidRPr="00206486">
        <w:rPr>
          <w:lang w:val="fr-CA"/>
        </w:rPr>
        <w:t>342</w:t>
      </w:r>
      <w:r w:rsidR="007952D7" w:rsidRPr="00206486">
        <w:rPr>
          <w:lang w:val="fr-CA"/>
        </w:rPr>
        <w:t xml:space="preserve"> agents des douanes en </w:t>
      </w:r>
      <w:r w:rsidR="00FB0F9B" w:rsidRPr="00206486">
        <w:rPr>
          <w:lang w:val="fr-CA"/>
        </w:rPr>
        <w:t xml:space="preserve">identification </w:t>
      </w:r>
      <w:r w:rsidR="007952D7" w:rsidRPr="00206486">
        <w:rPr>
          <w:lang w:val="fr-CA"/>
        </w:rPr>
        <w:t>des</w:t>
      </w:r>
      <w:r w:rsidRPr="00206486">
        <w:rPr>
          <w:lang w:val="fr-CA"/>
        </w:rPr>
        <w:t xml:space="preserve"> SAO</w:t>
      </w:r>
      <w:r w:rsidR="00FB0F9B" w:rsidRPr="00206486">
        <w:rPr>
          <w:lang w:val="fr-CA"/>
        </w:rPr>
        <w:t>,</w:t>
      </w:r>
      <w:r w:rsidR="0039010B" w:rsidRPr="00206486">
        <w:rPr>
          <w:lang w:val="fr-CA"/>
        </w:rPr>
        <w:t xml:space="preserve"> et </w:t>
      </w:r>
      <w:r w:rsidR="007952D7" w:rsidRPr="00206486">
        <w:rPr>
          <w:lang w:val="fr-CA"/>
        </w:rPr>
        <w:t xml:space="preserve">en suivi et contrôle des </w:t>
      </w:r>
      <w:r w:rsidRPr="00206486">
        <w:rPr>
          <w:lang w:val="fr-CA"/>
        </w:rPr>
        <w:t>importations et exportations</w:t>
      </w:r>
      <w:r w:rsidR="00FB0F9B" w:rsidRPr="00206486">
        <w:rPr>
          <w:lang w:val="fr-CA"/>
        </w:rPr>
        <w:t xml:space="preserve"> </w:t>
      </w:r>
      <w:r w:rsidR="007952D7" w:rsidRPr="00206486">
        <w:rPr>
          <w:lang w:val="fr-CA"/>
        </w:rPr>
        <w:t>de</w:t>
      </w:r>
      <w:r w:rsidRPr="00206486">
        <w:rPr>
          <w:lang w:val="fr-CA"/>
        </w:rPr>
        <w:t xml:space="preserve"> SAO</w:t>
      </w:r>
      <w:r w:rsidR="00FB0F9B" w:rsidRPr="00206486">
        <w:rPr>
          <w:lang w:val="fr-CA"/>
        </w:rPr>
        <w:t xml:space="preserve">. </w:t>
      </w:r>
    </w:p>
    <w:p w:rsidR="00FB0F9B" w:rsidRPr="00206486" w:rsidRDefault="00F8445E" w:rsidP="00FB0F9B">
      <w:pPr>
        <w:pStyle w:val="Heading1"/>
        <w:rPr>
          <w:lang w:val="fr-CA"/>
        </w:rPr>
      </w:pPr>
      <w:r w:rsidRPr="00206486">
        <w:rPr>
          <w:lang w:val="fr-CA"/>
        </w:rPr>
        <w:t>Le gouvernement</w:t>
      </w:r>
      <w:r w:rsidR="00FB0F9B" w:rsidRPr="00206486">
        <w:rPr>
          <w:lang w:val="fr-CA"/>
        </w:rPr>
        <w:t xml:space="preserve"> p</w:t>
      </w:r>
      <w:r w:rsidRPr="00206486">
        <w:rPr>
          <w:lang w:val="fr-CA"/>
        </w:rPr>
        <w:t>révoit interdire les importations</w:t>
      </w:r>
      <w:r w:rsidR="00FB0F9B" w:rsidRPr="00206486">
        <w:rPr>
          <w:lang w:val="fr-CA"/>
        </w:rPr>
        <w:t xml:space="preserve"> </w:t>
      </w:r>
      <w:r w:rsidR="0060390D" w:rsidRPr="00206486">
        <w:rPr>
          <w:lang w:val="fr-CA"/>
        </w:rPr>
        <w:t>d</w:t>
      </w:r>
      <w:r w:rsidRPr="00206486">
        <w:rPr>
          <w:lang w:val="fr-CA"/>
        </w:rPr>
        <w:t>’équipements avec HCFC</w:t>
      </w:r>
      <w:r w:rsidR="00FB0F9B" w:rsidRPr="00206486">
        <w:rPr>
          <w:lang w:val="fr-CA"/>
        </w:rPr>
        <w:t xml:space="preserve"> </w:t>
      </w:r>
      <w:r w:rsidRPr="00206486">
        <w:rPr>
          <w:lang w:val="fr-CA"/>
        </w:rPr>
        <w:t>à compter du </w:t>
      </w:r>
      <w:r w:rsidR="00FB0F9B" w:rsidRPr="00206486">
        <w:rPr>
          <w:lang w:val="fr-CA"/>
        </w:rPr>
        <w:t>1</w:t>
      </w:r>
      <w:r w:rsidRPr="00206486">
        <w:rPr>
          <w:lang w:val="fr-CA"/>
        </w:rPr>
        <w:t> </w:t>
      </w:r>
      <w:r w:rsidR="003B6C77" w:rsidRPr="00206486">
        <w:rPr>
          <w:lang w:val="fr-CA"/>
        </w:rPr>
        <w:t>janvier</w:t>
      </w:r>
      <w:r w:rsidR="00FB0F9B" w:rsidRPr="00206486">
        <w:rPr>
          <w:lang w:val="fr-CA"/>
        </w:rPr>
        <w:t xml:space="preserve"> 202</w:t>
      </w:r>
      <w:r w:rsidR="00973255" w:rsidRPr="00206486">
        <w:rPr>
          <w:lang w:val="fr-CA"/>
        </w:rPr>
        <w:t>0</w:t>
      </w:r>
      <w:r w:rsidRPr="00206486">
        <w:rPr>
          <w:lang w:val="fr-CA"/>
        </w:rPr>
        <w:t>.</w:t>
      </w:r>
      <w:r w:rsidR="00FB0F9B" w:rsidRPr="00206486">
        <w:rPr>
          <w:lang w:val="fr-CA"/>
        </w:rPr>
        <w:t xml:space="preserve"> </w:t>
      </w:r>
      <w:r w:rsidRPr="00206486">
        <w:rPr>
          <w:lang w:val="fr-CA"/>
        </w:rPr>
        <w:t xml:space="preserve">Les règlements nationaux sur la norme de rendement minimale de performance de l’énergie pour l’approvisionnement public de climatiseurs individuels (RAC) </w:t>
      </w:r>
      <w:r w:rsidR="00206486">
        <w:rPr>
          <w:lang w:val="fr-CA"/>
        </w:rPr>
        <w:t>ont</w:t>
      </w:r>
      <w:r w:rsidR="0039010B" w:rsidRPr="00206486">
        <w:rPr>
          <w:lang w:val="fr-CA"/>
        </w:rPr>
        <w:t xml:space="preserve"> été approuvé</w:t>
      </w:r>
      <w:r w:rsidR="00206486">
        <w:rPr>
          <w:lang w:val="fr-CA"/>
        </w:rPr>
        <w:t>s</w:t>
      </w:r>
      <w:r w:rsidR="00FB0F9B" w:rsidRPr="00206486">
        <w:rPr>
          <w:lang w:val="fr-CA"/>
        </w:rPr>
        <w:t xml:space="preserve">. </w:t>
      </w:r>
    </w:p>
    <w:p w:rsidR="00FB0F9B" w:rsidRPr="00206486" w:rsidRDefault="00A85EC8" w:rsidP="00FB0F9B">
      <w:pPr>
        <w:pStyle w:val="Heading1"/>
        <w:rPr>
          <w:lang w:val="fr-CA"/>
        </w:rPr>
      </w:pPr>
      <w:r>
        <w:rPr>
          <w:lang w:val="fr-CA"/>
        </w:rPr>
        <w:t xml:space="preserve">Le </w:t>
      </w:r>
      <w:r w:rsidR="00FB0F9B" w:rsidRPr="00206486">
        <w:rPr>
          <w:lang w:val="fr-CA"/>
        </w:rPr>
        <w:t xml:space="preserve">Costa Rica </w:t>
      </w:r>
      <w:r w:rsidR="00F8445E" w:rsidRPr="00206486">
        <w:rPr>
          <w:lang w:val="fr-CA"/>
        </w:rPr>
        <w:t>a ratifié l’</w:t>
      </w:r>
      <w:r w:rsidR="00FB31BA" w:rsidRPr="00206486">
        <w:rPr>
          <w:lang w:val="fr-CA"/>
        </w:rPr>
        <w:t>A</w:t>
      </w:r>
      <w:r w:rsidR="00F8445E" w:rsidRPr="00206486">
        <w:rPr>
          <w:lang w:val="fr-CA"/>
        </w:rPr>
        <w:t xml:space="preserve">mendement de </w:t>
      </w:r>
      <w:r w:rsidR="00FB0F9B" w:rsidRPr="00206486">
        <w:rPr>
          <w:lang w:val="fr-CA"/>
        </w:rPr>
        <w:t xml:space="preserve">Kigali </w:t>
      </w:r>
      <w:r w:rsidR="003B6C77" w:rsidRPr="00206486">
        <w:rPr>
          <w:lang w:val="fr-CA"/>
        </w:rPr>
        <w:t>du Protocole de Montréal</w:t>
      </w:r>
      <w:r w:rsidR="00FB0F9B" w:rsidRPr="00206486">
        <w:rPr>
          <w:lang w:val="fr-CA"/>
        </w:rPr>
        <w:t xml:space="preserve"> </w:t>
      </w:r>
      <w:r w:rsidR="00F8445E" w:rsidRPr="00206486">
        <w:rPr>
          <w:lang w:val="fr-CA"/>
        </w:rPr>
        <w:t>le</w:t>
      </w:r>
      <w:r w:rsidR="00FB0F9B" w:rsidRPr="00206486">
        <w:rPr>
          <w:lang w:val="fr-CA"/>
        </w:rPr>
        <w:t xml:space="preserve"> 23 </w:t>
      </w:r>
      <w:r w:rsidR="00F8445E" w:rsidRPr="00206486">
        <w:rPr>
          <w:lang w:val="fr-CA"/>
        </w:rPr>
        <w:t>mai</w:t>
      </w:r>
      <w:r w:rsidR="00FB0F9B" w:rsidRPr="00206486">
        <w:rPr>
          <w:lang w:val="fr-CA"/>
        </w:rPr>
        <w:t xml:space="preserve"> 201</w:t>
      </w:r>
      <w:r w:rsidR="00973255" w:rsidRPr="00206486">
        <w:rPr>
          <w:lang w:val="fr-CA"/>
        </w:rPr>
        <w:t>8</w:t>
      </w:r>
      <w:r w:rsidR="00F8445E" w:rsidRPr="00206486">
        <w:rPr>
          <w:lang w:val="fr-CA"/>
        </w:rPr>
        <w:t>.</w:t>
      </w:r>
      <w:r w:rsidR="00FB0F9B" w:rsidRPr="00206486">
        <w:rPr>
          <w:lang w:val="fr-CA"/>
        </w:rPr>
        <w:t xml:space="preserve"> </w:t>
      </w:r>
    </w:p>
    <w:p w:rsidR="00FB0F9B" w:rsidRPr="00206486" w:rsidRDefault="002B0AAE" w:rsidP="00FB0F9B">
      <w:pPr>
        <w:pStyle w:val="Heading1"/>
        <w:keepNext/>
        <w:keepLines/>
        <w:numPr>
          <w:ilvl w:val="0"/>
          <w:numId w:val="0"/>
        </w:numPr>
        <w:rPr>
          <w:u w:val="single"/>
          <w:lang w:val="fr-CA"/>
        </w:rPr>
      </w:pPr>
      <w:r w:rsidRPr="00206486">
        <w:rPr>
          <w:u w:val="single"/>
          <w:lang w:val="fr-CA"/>
        </w:rPr>
        <w:t>Élimination</w:t>
      </w:r>
      <w:r w:rsidR="00FB0F9B" w:rsidRPr="00206486">
        <w:rPr>
          <w:u w:val="single"/>
          <w:lang w:val="fr-CA"/>
        </w:rPr>
        <w:t xml:space="preserve"> </w:t>
      </w:r>
      <w:r w:rsidR="0060390D" w:rsidRPr="00206486">
        <w:rPr>
          <w:u w:val="single"/>
          <w:lang w:val="fr-CA"/>
        </w:rPr>
        <w:t>de</w:t>
      </w:r>
      <w:r w:rsidR="00F8445E" w:rsidRPr="00206486">
        <w:rPr>
          <w:u w:val="single"/>
          <w:lang w:val="fr-CA"/>
        </w:rPr>
        <w:t>s mousses de polyuréthane avec</w:t>
      </w:r>
      <w:r w:rsidR="0060390D" w:rsidRPr="00206486">
        <w:rPr>
          <w:u w:val="single"/>
          <w:lang w:val="fr-CA"/>
        </w:rPr>
        <w:t xml:space="preserve"> HCFC</w:t>
      </w:r>
      <w:r w:rsidR="00FB0F9B" w:rsidRPr="00206486">
        <w:rPr>
          <w:u w:val="single"/>
          <w:lang w:val="fr-CA"/>
        </w:rPr>
        <w:t xml:space="preserve"> </w:t>
      </w:r>
      <w:r w:rsidR="00F8445E" w:rsidRPr="00206486">
        <w:rPr>
          <w:u w:val="single"/>
          <w:lang w:val="fr-CA"/>
        </w:rPr>
        <w:t>dans la fabrication des réfrigérateurs domestiques</w:t>
      </w:r>
    </w:p>
    <w:p w:rsidR="00FB0F9B" w:rsidRPr="00206486" w:rsidRDefault="00F8445E" w:rsidP="00FB0F9B">
      <w:pPr>
        <w:pStyle w:val="Heading1"/>
        <w:rPr>
          <w:lang w:val="fr-CA"/>
        </w:rPr>
      </w:pPr>
      <w:r w:rsidRPr="00206486">
        <w:rPr>
          <w:lang w:val="fr-CA"/>
        </w:rPr>
        <w:t>En juillet</w:t>
      </w:r>
      <w:r w:rsidR="00FB0F9B" w:rsidRPr="00206486">
        <w:rPr>
          <w:lang w:val="fr-CA"/>
        </w:rPr>
        <w:t xml:space="preserve"> 201</w:t>
      </w:r>
      <w:r w:rsidR="00BD19D4" w:rsidRPr="00206486">
        <w:rPr>
          <w:lang w:val="fr-CA"/>
        </w:rPr>
        <w:t>3</w:t>
      </w:r>
      <w:r w:rsidRPr="00206486">
        <w:rPr>
          <w:lang w:val="fr-CA"/>
        </w:rPr>
        <w:t>,</w:t>
      </w:r>
      <w:r w:rsidR="00BD19D4" w:rsidRPr="00206486">
        <w:rPr>
          <w:lang w:val="fr-CA"/>
        </w:rPr>
        <w:t> </w:t>
      </w:r>
      <w:r w:rsidR="00FB0F9B" w:rsidRPr="00206486">
        <w:rPr>
          <w:lang w:val="fr-CA"/>
        </w:rPr>
        <w:t>Atlas Industrial, SA,</w:t>
      </w:r>
      <w:r w:rsidRPr="00206486">
        <w:rPr>
          <w:lang w:val="fr-CA"/>
        </w:rPr>
        <w:t xml:space="preserve"> un fabricant d’équipements de réfrigération domestique, avec une consommation de </w:t>
      </w:r>
      <w:r w:rsidR="00FB0F9B" w:rsidRPr="00206486">
        <w:rPr>
          <w:lang w:val="fr-CA"/>
        </w:rPr>
        <w:t>1</w:t>
      </w:r>
      <w:r w:rsidR="00973255" w:rsidRPr="00206486">
        <w:rPr>
          <w:lang w:val="fr-CA"/>
        </w:rPr>
        <w:t>4,</w:t>
      </w:r>
      <w:r w:rsidR="00FB0F9B" w:rsidRPr="00206486">
        <w:rPr>
          <w:lang w:val="fr-CA"/>
        </w:rPr>
        <w:t>00</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noBreakHyphen/>
        <w:t xml:space="preserve">141b </w:t>
      </w:r>
      <w:r w:rsidR="0039010B" w:rsidRPr="00206486">
        <w:rPr>
          <w:lang w:val="fr-CA"/>
        </w:rPr>
        <w:t>contenu</w:t>
      </w:r>
      <w:r w:rsidR="00FB0F9B" w:rsidRPr="00206486">
        <w:rPr>
          <w:lang w:val="fr-CA"/>
        </w:rPr>
        <w:t xml:space="preserve"> </w:t>
      </w:r>
      <w:r w:rsidRPr="00206486">
        <w:rPr>
          <w:lang w:val="fr-CA"/>
        </w:rPr>
        <w:t>des</w:t>
      </w:r>
      <w:r w:rsidR="0060390D" w:rsidRPr="00206486">
        <w:rPr>
          <w:lang w:val="fr-CA"/>
        </w:rPr>
        <w:t xml:space="preserve"> polyols prémélangés importés</w:t>
      </w:r>
      <w:r w:rsidR="00FB0F9B" w:rsidRPr="00206486">
        <w:rPr>
          <w:lang w:val="fr-CA"/>
        </w:rPr>
        <w:t xml:space="preserve">, </w:t>
      </w:r>
      <w:r w:rsidRPr="00206486">
        <w:rPr>
          <w:lang w:val="fr-CA"/>
        </w:rPr>
        <w:t xml:space="preserve">s’est reconvertie à l’utilisation du </w:t>
      </w:r>
      <w:r w:rsidR="00FB0F9B" w:rsidRPr="00206486">
        <w:rPr>
          <w:lang w:val="fr-CA"/>
        </w:rPr>
        <w:t xml:space="preserve">cyclopentane </w:t>
      </w:r>
      <w:r w:rsidRPr="00206486">
        <w:rPr>
          <w:lang w:val="fr-CA"/>
        </w:rPr>
        <w:t>comme agent de gonflage</w:t>
      </w:r>
      <w:r w:rsidR="00FB0F9B" w:rsidRPr="00206486">
        <w:rPr>
          <w:lang w:val="fr-CA"/>
        </w:rPr>
        <w:t xml:space="preserve">. </w:t>
      </w:r>
    </w:p>
    <w:p w:rsidR="00FB0F9B" w:rsidRPr="00206486" w:rsidRDefault="00FB31BA" w:rsidP="00FB0F9B">
      <w:pPr>
        <w:keepNext/>
        <w:rPr>
          <w:u w:val="single"/>
          <w:lang w:val="fr-CA"/>
        </w:rPr>
      </w:pPr>
      <w:r w:rsidRPr="00206486">
        <w:rPr>
          <w:u w:val="single"/>
          <w:lang w:val="fr-CA"/>
        </w:rPr>
        <w:lastRenderedPageBreak/>
        <w:t>S</w:t>
      </w:r>
      <w:r w:rsidR="00AA3256" w:rsidRPr="00206486">
        <w:rPr>
          <w:u w:val="single"/>
          <w:lang w:val="fr-CA"/>
        </w:rPr>
        <w:t xml:space="preserve">ecteur de l’entretien </w:t>
      </w:r>
      <w:r w:rsidRPr="00206486">
        <w:rPr>
          <w:u w:val="single"/>
          <w:lang w:val="fr-CA"/>
        </w:rPr>
        <w:t>des équipements de</w:t>
      </w:r>
      <w:r w:rsidR="00AA3256" w:rsidRPr="00206486">
        <w:rPr>
          <w:u w:val="single"/>
          <w:lang w:val="fr-CA"/>
        </w:rPr>
        <w:t xml:space="preserve"> réfrigération</w:t>
      </w:r>
    </w:p>
    <w:p w:rsidR="00FB0F9B" w:rsidRPr="00206486" w:rsidRDefault="00FB0F9B" w:rsidP="00FB0F9B">
      <w:pPr>
        <w:keepNext/>
        <w:rPr>
          <w:lang w:val="fr-CA"/>
        </w:rPr>
      </w:pPr>
    </w:p>
    <w:p w:rsidR="00FB0F9B" w:rsidRPr="00206486" w:rsidRDefault="00FB31BA" w:rsidP="00FB0F9B">
      <w:pPr>
        <w:pStyle w:val="Heading1"/>
        <w:rPr>
          <w:lang w:val="fr-CA"/>
        </w:rPr>
      </w:pPr>
      <w:r w:rsidRPr="00206486">
        <w:rPr>
          <w:lang w:val="fr-CA"/>
        </w:rPr>
        <w:t>Les activités menées dans le secteur de l’entretien</w:t>
      </w:r>
      <w:r w:rsidR="00FB0F9B" w:rsidRPr="00206486">
        <w:rPr>
          <w:lang w:val="fr-CA"/>
        </w:rPr>
        <w:t xml:space="preserve">, </w:t>
      </w:r>
      <w:r w:rsidRPr="00206486">
        <w:rPr>
          <w:lang w:val="fr-CA"/>
        </w:rPr>
        <w:t xml:space="preserve">ont entraîné </w:t>
      </w:r>
      <w:r w:rsidR="0039010B" w:rsidRPr="00206486">
        <w:rPr>
          <w:lang w:val="fr-CA"/>
        </w:rPr>
        <w:t xml:space="preserve">l’élimination de </w:t>
      </w:r>
      <w:r w:rsidR="00973255" w:rsidRPr="00206486">
        <w:rPr>
          <w:lang w:val="fr-CA"/>
        </w:rPr>
        <w:t>4,</w:t>
      </w:r>
      <w:r w:rsidR="00FB0F9B" w:rsidRPr="00206486">
        <w:rPr>
          <w:lang w:val="fr-CA"/>
        </w:rPr>
        <w:t>93</w:t>
      </w:r>
      <w:r w:rsidR="00C02492" w:rsidRPr="00206486">
        <w:rPr>
          <w:lang w:val="fr-CA"/>
        </w:rPr>
        <w:t xml:space="preserve"> tonnes PAO</w:t>
      </w:r>
      <w:r w:rsidR="00FB0F9B" w:rsidRPr="00206486">
        <w:rPr>
          <w:lang w:val="fr-CA"/>
        </w:rPr>
        <w:t xml:space="preserve"> </w:t>
      </w:r>
      <w:r w:rsidR="0060390D" w:rsidRPr="00206486">
        <w:rPr>
          <w:lang w:val="fr-CA"/>
        </w:rPr>
        <w:t>de HCFC</w:t>
      </w:r>
      <w:r w:rsidR="0039010B" w:rsidRPr="00206486">
        <w:rPr>
          <w:lang w:val="fr-CA"/>
        </w:rPr>
        <w:t xml:space="preserve"> et </w:t>
      </w:r>
      <w:r w:rsidR="00A85EC8">
        <w:rPr>
          <w:lang w:val="fr-CA"/>
        </w:rPr>
        <w:t>elles incluaient</w:t>
      </w:r>
      <w:r w:rsidRPr="00206486">
        <w:rPr>
          <w:lang w:val="fr-CA"/>
        </w:rPr>
        <w:t xml:space="preserve"> la formation de </w:t>
      </w:r>
      <w:r w:rsidR="00BD19D4" w:rsidRPr="00206486">
        <w:rPr>
          <w:lang w:val="fr-CA"/>
        </w:rPr>
        <w:t>1 </w:t>
      </w:r>
      <w:r w:rsidR="00FB0F9B" w:rsidRPr="00206486">
        <w:rPr>
          <w:lang w:val="fr-CA"/>
        </w:rPr>
        <w:t xml:space="preserve">672 RAC </w:t>
      </w:r>
      <w:r w:rsidR="00AA3256" w:rsidRPr="00206486">
        <w:rPr>
          <w:lang w:val="fr-CA"/>
        </w:rPr>
        <w:t>technicien</w:t>
      </w:r>
      <w:r w:rsidR="00FB0F9B" w:rsidRPr="00206486">
        <w:rPr>
          <w:lang w:val="fr-CA"/>
        </w:rPr>
        <w:t xml:space="preserve">s </w:t>
      </w:r>
      <w:r w:rsidRPr="00206486">
        <w:rPr>
          <w:lang w:val="fr-CA"/>
        </w:rPr>
        <w:t xml:space="preserve">en bonnes pratiques de </w:t>
      </w:r>
      <w:r w:rsidR="00206486" w:rsidRPr="00206486">
        <w:rPr>
          <w:lang w:val="fr-CA"/>
        </w:rPr>
        <w:t>réfrigération</w:t>
      </w:r>
      <w:r w:rsidR="00A85EC8">
        <w:rPr>
          <w:lang w:val="fr-CA"/>
        </w:rPr>
        <w:t xml:space="preserve"> </w:t>
      </w:r>
      <w:r w:rsidR="0039010B" w:rsidRPr="00206486">
        <w:rPr>
          <w:lang w:val="fr-CA"/>
        </w:rPr>
        <w:t xml:space="preserve">et </w:t>
      </w:r>
      <w:r w:rsidRPr="00206486">
        <w:rPr>
          <w:lang w:val="fr-CA"/>
        </w:rPr>
        <w:t xml:space="preserve">la </w:t>
      </w:r>
      <w:r w:rsidR="00FB0F9B" w:rsidRPr="00206486">
        <w:rPr>
          <w:lang w:val="fr-CA"/>
        </w:rPr>
        <w:t xml:space="preserve">certification </w:t>
      </w:r>
      <w:r w:rsidRPr="00206486">
        <w:rPr>
          <w:lang w:val="fr-CA"/>
        </w:rPr>
        <w:t xml:space="preserve">de </w:t>
      </w:r>
      <w:r w:rsidR="00BD19D4" w:rsidRPr="00206486">
        <w:rPr>
          <w:lang w:val="fr-CA"/>
        </w:rPr>
        <w:t>1 </w:t>
      </w:r>
      <w:r w:rsidR="00FB0F9B" w:rsidRPr="00206486">
        <w:rPr>
          <w:lang w:val="fr-CA"/>
        </w:rPr>
        <w:t xml:space="preserve">327 </w:t>
      </w:r>
      <w:r w:rsidR="00AA3256" w:rsidRPr="00206486">
        <w:rPr>
          <w:lang w:val="fr-CA"/>
        </w:rPr>
        <w:t>technicien</w:t>
      </w:r>
      <w:r w:rsidR="00FB0F9B" w:rsidRPr="00206486">
        <w:rPr>
          <w:lang w:val="fr-CA"/>
        </w:rPr>
        <w:t>s</w:t>
      </w:r>
      <w:r w:rsidR="00A85EC8">
        <w:rPr>
          <w:lang w:val="fr-CA"/>
        </w:rPr>
        <w:t>. D</w:t>
      </w:r>
      <w:r w:rsidRPr="00206486">
        <w:rPr>
          <w:lang w:val="fr-CA"/>
        </w:rPr>
        <w:t>es équipements et des outils ont été fournis aux institutions de</w:t>
      </w:r>
      <w:r w:rsidR="00A85EC8">
        <w:rPr>
          <w:lang w:val="fr-CA"/>
        </w:rPr>
        <w:t> </w:t>
      </w:r>
      <w:r w:rsidRPr="00206486">
        <w:rPr>
          <w:lang w:val="fr-CA"/>
        </w:rPr>
        <w:t xml:space="preserve">formation et aux </w:t>
      </w:r>
      <w:r w:rsidR="00AA3256" w:rsidRPr="00206486">
        <w:rPr>
          <w:lang w:val="fr-CA"/>
        </w:rPr>
        <w:t>technicien</w:t>
      </w:r>
      <w:r w:rsidR="00FB0F9B" w:rsidRPr="00206486">
        <w:rPr>
          <w:lang w:val="fr-CA"/>
        </w:rPr>
        <w:t xml:space="preserve">s. </w:t>
      </w:r>
    </w:p>
    <w:p w:rsidR="00FB0F9B" w:rsidRPr="00206486" w:rsidRDefault="00FB31BA" w:rsidP="00FB0F9B">
      <w:pPr>
        <w:pStyle w:val="Heading1"/>
        <w:widowControl w:val="0"/>
        <w:rPr>
          <w:lang w:val="fr-CA"/>
        </w:rPr>
      </w:pPr>
      <w:r w:rsidRPr="00206486">
        <w:rPr>
          <w:lang w:val="fr-CA" w:eastAsia="es-CR"/>
        </w:rPr>
        <w:t xml:space="preserve">Le projet de démonstration visant à remplacer un système de réfrigération avec </w:t>
      </w:r>
      <w:r w:rsidR="00FB0F9B" w:rsidRPr="00206486">
        <w:rPr>
          <w:lang w:val="fr-CA" w:eastAsia="es-CR"/>
        </w:rPr>
        <w:t xml:space="preserve">HCFC-22 </w:t>
      </w:r>
      <w:r w:rsidRPr="00206486">
        <w:rPr>
          <w:lang w:val="fr-CA" w:eastAsia="es-CR"/>
        </w:rPr>
        <w:t xml:space="preserve">par un </w:t>
      </w:r>
      <w:r w:rsidR="00206486" w:rsidRPr="00206486">
        <w:rPr>
          <w:lang w:val="fr-CA" w:eastAsia="es-CR"/>
        </w:rPr>
        <w:t>système</w:t>
      </w:r>
      <w:r w:rsidRPr="00206486">
        <w:rPr>
          <w:lang w:val="fr-CA" w:eastAsia="es-CR"/>
        </w:rPr>
        <w:t xml:space="preserve"> avec </w:t>
      </w:r>
      <w:r w:rsidR="00FB0F9B" w:rsidRPr="00206486">
        <w:rPr>
          <w:lang w:val="fr-CA" w:eastAsia="es-CR"/>
        </w:rPr>
        <w:t>R-717/R-744 (NH</w:t>
      </w:r>
      <w:r w:rsidR="00FB0F9B" w:rsidRPr="00206486">
        <w:rPr>
          <w:vertAlign w:val="subscript"/>
          <w:lang w:val="fr-CA" w:eastAsia="es-CR"/>
        </w:rPr>
        <w:t>3</w:t>
      </w:r>
      <w:r w:rsidR="00FB0F9B" w:rsidRPr="00206486">
        <w:rPr>
          <w:lang w:val="fr-CA" w:eastAsia="es-CR"/>
        </w:rPr>
        <w:t>/CO</w:t>
      </w:r>
      <w:r w:rsidR="00FB0F9B" w:rsidRPr="00206486">
        <w:rPr>
          <w:vertAlign w:val="subscript"/>
          <w:lang w:val="fr-CA" w:eastAsia="es-CR"/>
        </w:rPr>
        <w:t>2</w:t>
      </w:r>
      <w:r w:rsidR="00FB0F9B" w:rsidRPr="00206486">
        <w:rPr>
          <w:lang w:val="fr-CA" w:eastAsia="es-CR"/>
        </w:rPr>
        <w:t xml:space="preserve"> </w:t>
      </w:r>
      <w:r w:rsidRPr="00206486">
        <w:rPr>
          <w:lang w:val="fr-CA" w:eastAsia="es-CR"/>
        </w:rPr>
        <w:t xml:space="preserve">en </w:t>
      </w:r>
      <w:r w:rsidR="00FB0F9B" w:rsidRPr="00206486">
        <w:rPr>
          <w:lang w:val="fr-CA" w:eastAsia="es-CR"/>
        </w:rPr>
        <w:t xml:space="preserve">cascade) </w:t>
      </w:r>
      <w:r w:rsidRPr="00206486">
        <w:rPr>
          <w:lang w:val="fr-CA" w:eastAsia="es-CR"/>
        </w:rPr>
        <w:t xml:space="preserve">dans la chambre froide d’un entrepôt chez </w:t>
      </w:r>
      <w:r w:rsidR="00FB0F9B" w:rsidRPr="00206486">
        <w:rPr>
          <w:lang w:val="fr-CA" w:eastAsia="es-CR"/>
        </w:rPr>
        <w:t>Premezclas Industriales para Panadería S.A.,</w:t>
      </w:r>
      <w:r w:rsidR="00FB0F9B" w:rsidRPr="00206486">
        <w:rPr>
          <w:rStyle w:val="FootnoteReference"/>
          <w:lang w:val="fr-CA" w:eastAsia="es-CR"/>
        </w:rPr>
        <w:footnoteReference w:id="3"/>
      </w:r>
      <w:r w:rsidR="00FB0F9B" w:rsidRPr="00206486">
        <w:rPr>
          <w:lang w:val="fr-CA" w:eastAsia="es-CR"/>
        </w:rPr>
        <w:t xml:space="preserve"> </w:t>
      </w:r>
      <w:r w:rsidR="00945A7A" w:rsidRPr="00206486">
        <w:rPr>
          <w:lang w:val="fr-CA" w:eastAsia="es-CR"/>
        </w:rPr>
        <w:t xml:space="preserve">a été mis en oeuvre en étroite collaboration avec les activités du </w:t>
      </w:r>
      <w:r w:rsidR="00BD19D4" w:rsidRPr="00206486">
        <w:rPr>
          <w:lang w:val="fr-CA" w:eastAsia="es-CR"/>
        </w:rPr>
        <w:t>PGEH</w:t>
      </w:r>
      <w:r w:rsidR="00FB0F9B" w:rsidRPr="00206486">
        <w:rPr>
          <w:lang w:val="fr-CA" w:eastAsia="es-CR"/>
        </w:rPr>
        <w:t xml:space="preserve">. </w:t>
      </w:r>
      <w:r w:rsidR="00945A7A" w:rsidRPr="00206486">
        <w:rPr>
          <w:lang w:val="fr-CA" w:eastAsia="es-CR"/>
        </w:rPr>
        <w:t xml:space="preserve">La technologie de remplacement a amélioré l’efficacité énergétique, et entraîné moins d’interventions pour l’entretien, moins de fuites de </w:t>
      </w:r>
      <w:r w:rsidR="003B6C77" w:rsidRPr="00206486">
        <w:rPr>
          <w:lang w:val="fr-CA"/>
        </w:rPr>
        <w:t>frigorigène</w:t>
      </w:r>
      <w:r w:rsidR="00FB0F9B" w:rsidRPr="00206486">
        <w:rPr>
          <w:lang w:val="fr-CA"/>
        </w:rPr>
        <w:t>s</w:t>
      </w:r>
      <w:r w:rsidR="0039010B" w:rsidRPr="00206486">
        <w:rPr>
          <w:lang w:val="fr-CA"/>
        </w:rPr>
        <w:t xml:space="preserve"> et </w:t>
      </w:r>
      <w:r w:rsidR="00945A7A" w:rsidRPr="00206486">
        <w:rPr>
          <w:lang w:val="fr-CA"/>
        </w:rPr>
        <w:t>un coût moins élevé pour</w:t>
      </w:r>
      <w:r w:rsidR="00FB0F9B" w:rsidRPr="00206486">
        <w:rPr>
          <w:lang w:val="fr-CA"/>
        </w:rPr>
        <w:t xml:space="preserve"> </w:t>
      </w:r>
      <w:r w:rsidR="00945A7A" w:rsidRPr="00206486">
        <w:rPr>
          <w:lang w:val="fr-CA"/>
        </w:rPr>
        <w:t xml:space="preserve">les </w:t>
      </w:r>
      <w:r w:rsidR="003B6C77" w:rsidRPr="00206486">
        <w:rPr>
          <w:lang w:val="fr-CA"/>
        </w:rPr>
        <w:t>frigorigène</w:t>
      </w:r>
      <w:r w:rsidR="00FB0F9B" w:rsidRPr="00206486">
        <w:rPr>
          <w:lang w:val="fr-CA"/>
        </w:rPr>
        <w:t xml:space="preserve">s. </w:t>
      </w:r>
      <w:r w:rsidR="00945A7A" w:rsidRPr="00206486">
        <w:rPr>
          <w:lang w:val="fr-CA"/>
        </w:rPr>
        <w:t>Le projet a</w:t>
      </w:r>
      <w:r w:rsidR="00A85EC8">
        <w:rPr>
          <w:lang w:val="fr-CA"/>
        </w:rPr>
        <w:t> </w:t>
      </w:r>
      <w:r w:rsidR="00945A7A" w:rsidRPr="00206486">
        <w:rPr>
          <w:lang w:val="fr-CA"/>
        </w:rPr>
        <w:t xml:space="preserve">éliminé </w:t>
      </w:r>
      <w:r w:rsidR="00973255" w:rsidRPr="00206486">
        <w:rPr>
          <w:lang w:val="fr-CA"/>
        </w:rPr>
        <w:t>0,</w:t>
      </w:r>
      <w:r w:rsidR="00FB0F9B" w:rsidRPr="00206486">
        <w:rPr>
          <w:lang w:val="fr-CA"/>
        </w:rPr>
        <w:t>64</w:t>
      </w:r>
      <w:r w:rsidR="0039010B" w:rsidRPr="00206486">
        <w:rPr>
          <w:lang w:val="fr-CA"/>
        </w:rPr>
        <w:t xml:space="preserve"> tm </w:t>
      </w:r>
      <w:r w:rsidR="00FB0F9B" w:rsidRPr="00206486">
        <w:rPr>
          <w:lang w:val="fr-CA"/>
        </w:rPr>
        <w:t>(</w:t>
      </w:r>
      <w:r w:rsidR="00973255" w:rsidRPr="00206486">
        <w:rPr>
          <w:lang w:val="fr-CA"/>
        </w:rPr>
        <w:t>0,</w:t>
      </w:r>
      <w:r w:rsidR="00FB0F9B" w:rsidRPr="00206486">
        <w:rPr>
          <w:lang w:val="fr-CA"/>
        </w:rPr>
        <w:t>035</w:t>
      </w:r>
      <w:r w:rsidR="00C02492" w:rsidRPr="00206486">
        <w:rPr>
          <w:lang w:val="fr-CA"/>
        </w:rPr>
        <w:t xml:space="preserve"> tonne PAO</w:t>
      </w:r>
      <w:r w:rsidR="00FB0F9B" w:rsidRPr="00206486">
        <w:rPr>
          <w:lang w:val="fr-CA"/>
        </w:rPr>
        <w:t xml:space="preserve">) </w:t>
      </w:r>
      <w:r w:rsidR="0060390D" w:rsidRPr="00206486">
        <w:rPr>
          <w:lang w:val="fr-CA"/>
        </w:rPr>
        <w:t>de HCFC</w:t>
      </w:r>
      <w:r w:rsidR="00FB0F9B" w:rsidRPr="00206486">
        <w:rPr>
          <w:lang w:val="fr-CA"/>
        </w:rPr>
        <w:t>-2</w:t>
      </w:r>
      <w:r w:rsidR="00973255" w:rsidRPr="00206486">
        <w:rPr>
          <w:lang w:val="fr-CA"/>
        </w:rPr>
        <w:t>2</w:t>
      </w:r>
      <w:r w:rsidR="00945A7A" w:rsidRPr="00206486">
        <w:rPr>
          <w:lang w:val="fr-CA"/>
        </w:rPr>
        <w:t>.</w:t>
      </w:r>
      <w:r w:rsidR="00FB0F9B" w:rsidRPr="00206486">
        <w:rPr>
          <w:lang w:val="fr-CA"/>
        </w:rPr>
        <w:t xml:space="preserve"> </w:t>
      </w:r>
      <w:r w:rsidR="00945A7A" w:rsidRPr="00206486">
        <w:rPr>
          <w:lang w:val="fr-CA"/>
        </w:rPr>
        <w:t>Les résultats du projet de démonstration ont été disséminés à divers intéressés</w:t>
      </w:r>
      <w:r w:rsidR="00FB0F9B" w:rsidRPr="00206486">
        <w:rPr>
          <w:rStyle w:val="ts-alignment-element"/>
          <w:lang w:val="fr-CA"/>
        </w:rPr>
        <w:t xml:space="preserve">. </w:t>
      </w:r>
      <w:r w:rsidR="00945A7A" w:rsidRPr="00206486">
        <w:rPr>
          <w:rStyle w:val="ts-alignment-element"/>
          <w:lang w:val="fr-CA"/>
        </w:rPr>
        <w:t>Bien que la technologie</w:t>
      </w:r>
      <w:r w:rsidR="003B6C77" w:rsidRPr="00206486">
        <w:rPr>
          <w:rStyle w:val="ts-alignment-element"/>
          <w:lang w:val="fr-CA"/>
        </w:rPr>
        <w:t xml:space="preserve"> </w:t>
      </w:r>
      <w:r w:rsidR="00945A7A" w:rsidRPr="00206486">
        <w:rPr>
          <w:rStyle w:val="ts-alignment-element"/>
          <w:lang w:val="fr-CA"/>
        </w:rPr>
        <w:t>n’ait pas entraîné son utilisation chez d’autres</w:t>
      </w:r>
      <w:r w:rsidR="00A85EC8">
        <w:rPr>
          <w:rStyle w:val="ts-alignment-element"/>
          <w:lang w:val="fr-CA"/>
        </w:rPr>
        <w:t> </w:t>
      </w:r>
      <w:r w:rsidR="00945A7A" w:rsidRPr="00206486">
        <w:rPr>
          <w:rStyle w:val="ts-alignment-element"/>
          <w:lang w:val="fr-CA"/>
        </w:rPr>
        <w:t>utilisateurs fin</w:t>
      </w:r>
      <w:r w:rsidR="003B6C77" w:rsidRPr="00206486">
        <w:rPr>
          <w:rStyle w:val="ts-alignment-element"/>
          <w:lang w:val="fr-CA"/>
        </w:rPr>
        <w:t>a</w:t>
      </w:r>
      <w:r w:rsidR="00945A7A" w:rsidRPr="00206486">
        <w:rPr>
          <w:rStyle w:val="ts-alignment-element"/>
          <w:lang w:val="fr-CA"/>
        </w:rPr>
        <w:t>ls en raison de l’investissement requis</w:t>
      </w:r>
      <w:r w:rsidR="00FB0F9B" w:rsidRPr="00206486">
        <w:rPr>
          <w:rStyle w:val="ts-alignment-element"/>
          <w:lang w:val="fr-CA"/>
        </w:rPr>
        <w:t xml:space="preserve">, </w:t>
      </w:r>
      <w:r w:rsidR="00945A7A" w:rsidRPr="00206486">
        <w:rPr>
          <w:rStyle w:val="ts-alignment-element"/>
          <w:lang w:val="fr-CA"/>
        </w:rPr>
        <w:t>le projet a accru la sensibilisation à</w:t>
      </w:r>
      <w:r w:rsidR="00A85EC8">
        <w:rPr>
          <w:rStyle w:val="ts-alignment-element"/>
          <w:lang w:val="fr-CA"/>
        </w:rPr>
        <w:t> </w:t>
      </w:r>
      <w:r w:rsidR="00945A7A" w:rsidRPr="00206486">
        <w:rPr>
          <w:rStyle w:val="ts-alignment-element"/>
          <w:lang w:val="fr-CA"/>
        </w:rPr>
        <w:t>cette</w:t>
      </w:r>
      <w:r w:rsidR="00A85EC8">
        <w:rPr>
          <w:rStyle w:val="ts-alignment-element"/>
          <w:lang w:val="fr-CA"/>
        </w:rPr>
        <w:t> </w:t>
      </w:r>
      <w:r w:rsidR="00945A7A" w:rsidRPr="00206486">
        <w:rPr>
          <w:rStyle w:val="ts-alignment-element"/>
          <w:lang w:val="fr-CA"/>
        </w:rPr>
        <w:t>technologie</w:t>
      </w:r>
      <w:r w:rsidR="00FB0F9B" w:rsidRPr="00206486">
        <w:rPr>
          <w:rStyle w:val="ts-alignment-element"/>
          <w:lang w:val="fr-CA"/>
        </w:rPr>
        <w:t xml:space="preserve"> </w:t>
      </w:r>
      <w:r w:rsidR="00945A7A" w:rsidRPr="00206486">
        <w:rPr>
          <w:rStyle w:val="ts-alignment-element"/>
          <w:lang w:val="fr-CA"/>
        </w:rPr>
        <w:t>au pays</w:t>
      </w:r>
      <w:r w:rsidR="00FB0F9B" w:rsidRPr="00206486">
        <w:rPr>
          <w:rStyle w:val="ts-alignment-element"/>
          <w:lang w:val="fr-CA"/>
        </w:rPr>
        <w:t xml:space="preserve">. </w:t>
      </w:r>
    </w:p>
    <w:p w:rsidR="00FB0F9B" w:rsidRPr="00206486" w:rsidRDefault="00E27DB1" w:rsidP="00FB0F9B">
      <w:pPr>
        <w:pStyle w:val="Heading1"/>
        <w:numPr>
          <w:ilvl w:val="0"/>
          <w:numId w:val="0"/>
        </w:numPr>
        <w:rPr>
          <w:u w:val="single"/>
          <w:lang w:val="fr-CA"/>
        </w:rPr>
      </w:pPr>
      <w:r w:rsidRPr="00206486">
        <w:rPr>
          <w:u w:val="single"/>
          <w:lang w:val="fr-CA"/>
        </w:rPr>
        <w:t>État des décaissements</w:t>
      </w:r>
    </w:p>
    <w:p w:rsidR="00FB0F9B" w:rsidRPr="00206486" w:rsidRDefault="00E27DB1" w:rsidP="00FB0F9B">
      <w:pPr>
        <w:pStyle w:val="Heading1"/>
        <w:rPr>
          <w:lang w:val="fr-CA"/>
        </w:rPr>
      </w:pPr>
      <w:r w:rsidRPr="00206486">
        <w:rPr>
          <w:lang w:val="fr-CA"/>
        </w:rPr>
        <w:t>En date d’août</w:t>
      </w:r>
      <w:r w:rsidR="00FB0F9B" w:rsidRPr="00206486">
        <w:rPr>
          <w:lang w:val="fr-CA"/>
        </w:rPr>
        <w:t xml:space="preserve"> 201</w:t>
      </w:r>
      <w:r w:rsidR="00973255" w:rsidRPr="00206486">
        <w:rPr>
          <w:lang w:val="fr-CA"/>
        </w:rPr>
        <w:t>9</w:t>
      </w:r>
      <w:r w:rsidRPr="00206486">
        <w:rPr>
          <w:lang w:val="fr-CA"/>
        </w:rPr>
        <w:t xml:space="preserve">, des </w:t>
      </w:r>
      <w:r w:rsidR="00BD19D4" w:rsidRPr="00206486">
        <w:rPr>
          <w:lang w:val="fr-CA"/>
        </w:rPr>
        <w:t>1 </w:t>
      </w:r>
      <w:r w:rsidR="00FB0F9B" w:rsidRPr="00206486">
        <w:rPr>
          <w:lang w:val="fr-CA"/>
        </w:rPr>
        <w:t>15</w:t>
      </w:r>
      <w:r w:rsidR="00BD19D4" w:rsidRPr="00206486">
        <w:rPr>
          <w:lang w:val="fr-CA"/>
        </w:rPr>
        <w:t>3 </w:t>
      </w:r>
      <w:r w:rsidR="00FB0F9B" w:rsidRPr="00206486">
        <w:rPr>
          <w:lang w:val="fr-CA"/>
        </w:rPr>
        <w:t>523</w:t>
      </w:r>
      <w:r w:rsidRPr="00206486">
        <w:rPr>
          <w:lang w:val="fr-CA"/>
        </w:rPr>
        <w:t> $US</w:t>
      </w:r>
      <w:r w:rsidR="00FB0F9B" w:rsidRPr="00206486">
        <w:rPr>
          <w:lang w:val="fr-CA"/>
        </w:rPr>
        <w:t xml:space="preserve"> </w:t>
      </w:r>
      <w:r w:rsidR="00206486" w:rsidRPr="00206486">
        <w:rPr>
          <w:lang w:val="fr-CA"/>
        </w:rPr>
        <w:t>approuvés</w:t>
      </w:r>
      <w:r w:rsidR="00FB0F9B" w:rsidRPr="00206486">
        <w:rPr>
          <w:lang w:val="fr-CA"/>
        </w:rPr>
        <w:t>,</w:t>
      </w:r>
      <w:r w:rsidR="00B66DDA">
        <w:rPr>
          <w:lang w:val="fr-CA"/>
        </w:rPr>
        <w:t xml:space="preserve"> </w:t>
      </w:r>
      <w:r w:rsidR="00206486">
        <w:rPr>
          <w:lang w:val="fr-CA"/>
        </w:rPr>
        <w:t>(</w:t>
      </w:r>
      <w:r w:rsidR="00A85EC8">
        <w:rPr>
          <w:lang w:val="fr-CA"/>
        </w:rPr>
        <w:t xml:space="preserve">soit </w:t>
      </w:r>
      <w:r w:rsidR="00FB0F9B" w:rsidRPr="00206486">
        <w:rPr>
          <w:lang w:val="fr-CA"/>
        </w:rPr>
        <w:t>59</w:t>
      </w:r>
      <w:r w:rsidR="00BD19D4" w:rsidRPr="00206486">
        <w:rPr>
          <w:lang w:val="fr-CA"/>
        </w:rPr>
        <w:t>3 </w:t>
      </w:r>
      <w:r w:rsidR="00FB0F9B" w:rsidRPr="00206486">
        <w:rPr>
          <w:lang w:val="fr-CA"/>
        </w:rPr>
        <w:t>523</w:t>
      </w:r>
      <w:r w:rsidRPr="00206486">
        <w:rPr>
          <w:lang w:val="fr-CA"/>
        </w:rPr>
        <w:t> $US</w:t>
      </w:r>
      <w:r w:rsidR="00FB0F9B" w:rsidRPr="00206486">
        <w:rPr>
          <w:lang w:val="fr-CA"/>
        </w:rPr>
        <w:t xml:space="preserve"> </w:t>
      </w:r>
      <w:r w:rsidRPr="00206486">
        <w:rPr>
          <w:lang w:val="fr-CA"/>
        </w:rPr>
        <w:t xml:space="preserve">pour le projet de </w:t>
      </w:r>
      <w:r w:rsidR="00AA3256" w:rsidRPr="00206486">
        <w:rPr>
          <w:lang w:val="fr-CA"/>
        </w:rPr>
        <w:t>reconversion</w:t>
      </w:r>
      <w:r w:rsidR="00FB0F9B" w:rsidRPr="00206486">
        <w:rPr>
          <w:lang w:val="fr-CA"/>
        </w:rPr>
        <w:t xml:space="preserve"> </w:t>
      </w:r>
      <w:r w:rsidR="0039010B" w:rsidRPr="00206486">
        <w:rPr>
          <w:lang w:val="fr-CA"/>
        </w:rPr>
        <w:t xml:space="preserve">et </w:t>
      </w:r>
      <w:r w:rsidR="00FB0F9B" w:rsidRPr="00206486">
        <w:rPr>
          <w:lang w:val="fr-CA"/>
        </w:rPr>
        <w:t>56</w:t>
      </w:r>
      <w:r w:rsidR="00973255" w:rsidRPr="00206486">
        <w:rPr>
          <w:lang w:val="fr-CA"/>
        </w:rPr>
        <w:t>0 </w:t>
      </w:r>
      <w:r w:rsidR="00FB0F9B" w:rsidRPr="00206486">
        <w:rPr>
          <w:lang w:val="fr-CA"/>
        </w:rPr>
        <w:t>000</w:t>
      </w:r>
      <w:r w:rsidRPr="00206486">
        <w:rPr>
          <w:lang w:val="fr-CA"/>
        </w:rPr>
        <w:t> $US</w:t>
      </w:r>
      <w:r w:rsidR="00FB0F9B" w:rsidRPr="00206486">
        <w:rPr>
          <w:lang w:val="fr-CA"/>
        </w:rPr>
        <w:t xml:space="preserve"> </w:t>
      </w:r>
      <w:r w:rsidRPr="00206486">
        <w:rPr>
          <w:lang w:val="fr-CA"/>
        </w:rPr>
        <w:t>pour</w:t>
      </w:r>
      <w:r w:rsidR="00FB0F9B" w:rsidRPr="00206486">
        <w:rPr>
          <w:lang w:val="fr-CA"/>
        </w:rPr>
        <w:t xml:space="preserve"> </w:t>
      </w:r>
      <w:r w:rsidR="00AA3256" w:rsidRPr="00206486">
        <w:rPr>
          <w:lang w:val="fr-CA"/>
        </w:rPr>
        <w:t>les activités</w:t>
      </w:r>
      <w:r w:rsidR="00FB0F9B" w:rsidRPr="00206486">
        <w:rPr>
          <w:lang w:val="fr-CA"/>
        </w:rPr>
        <w:t xml:space="preserve"> </w:t>
      </w:r>
      <w:r w:rsidRPr="00206486">
        <w:rPr>
          <w:lang w:val="fr-CA"/>
        </w:rPr>
        <w:t>du</w:t>
      </w:r>
      <w:r w:rsidR="00FB0F9B" w:rsidRPr="00206486">
        <w:rPr>
          <w:lang w:val="fr-CA"/>
        </w:rPr>
        <w:t xml:space="preserve"> </w:t>
      </w:r>
      <w:r w:rsidRPr="00206486">
        <w:rPr>
          <w:lang w:val="fr-CA"/>
        </w:rPr>
        <w:t>secteur de l’entretien</w:t>
      </w:r>
      <w:r w:rsidR="00FB0F9B" w:rsidRPr="00206486">
        <w:rPr>
          <w:lang w:val="fr-CA"/>
        </w:rPr>
        <w:t xml:space="preserve">), </w:t>
      </w:r>
      <w:r w:rsidRPr="00206486">
        <w:rPr>
          <w:lang w:val="fr-CA"/>
        </w:rPr>
        <w:t>tous les fonds pour le projet des</w:t>
      </w:r>
      <w:r w:rsidR="00A85EC8">
        <w:rPr>
          <w:lang w:val="fr-CA"/>
        </w:rPr>
        <w:t> </w:t>
      </w:r>
      <w:r w:rsidRPr="00206486">
        <w:rPr>
          <w:lang w:val="fr-CA"/>
        </w:rPr>
        <w:t xml:space="preserve">mousses </w:t>
      </w:r>
      <w:r w:rsidR="00206486">
        <w:rPr>
          <w:lang w:val="fr-CA"/>
        </w:rPr>
        <w:t xml:space="preserve">ont </w:t>
      </w:r>
      <w:r w:rsidRPr="00206486">
        <w:rPr>
          <w:lang w:val="fr-CA"/>
        </w:rPr>
        <w:t>été décaissés</w:t>
      </w:r>
      <w:r w:rsidR="00FB0F9B" w:rsidRPr="00206486">
        <w:rPr>
          <w:lang w:val="fr-CA"/>
        </w:rPr>
        <w:t>,</w:t>
      </w:r>
      <w:r w:rsidR="0039010B" w:rsidRPr="00206486">
        <w:rPr>
          <w:lang w:val="fr-CA"/>
        </w:rPr>
        <w:t xml:space="preserve"> et </w:t>
      </w:r>
      <w:r w:rsidR="00FB0F9B" w:rsidRPr="00206486">
        <w:rPr>
          <w:lang w:val="fr-CA"/>
        </w:rPr>
        <w:t>42</w:t>
      </w:r>
      <w:r w:rsidR="00973255" w:rsidRPr="00206486">
        <w:rPr>
          <w:lang w:val="fr-CA"/>
        </w:rPr>
        <w:t>8 </w:t>
      </w:r>
      <w:r w:rsidR="00FB0F9B" w:rsidRPr="00206486">
        <w:rPr>
          <w:lang w:val="fr-CA"/>
        </w:rPr>
        <w:t>220</w:t>
      </w:r>
      <w:r w:rsidR="00751EC0" w:rsidRPr="00206486">
        <w:rPr>
          <w:lang w:val="fr-CA"/>
        </w:rPr>
        <w:t> $US</w:t>
      </w:r>
      <w:r w:rsidR="00FB0F9B" w:rsidRPr="00206486">
        <w:rPr>
          <w:lang w:val="fr-CA"/>
        </w:rPr>
        <w:t xml:space="preserve"> </w:t>
      </w:r>
      <w:r w:rsidR="00751EC0" w:rsidRPr="00206486">
        <w:rPr>
          <w:lang w:val="fr-CA"/>
        </w:rPr>
        <w:t xml:space="preserve">avaient été </w:t>
      </w:r>
      <w:r w:rsidRPr="00206486">
        <w:rPr>
          <w:lang w:val="fr-CA"/>
        </w:rPr>
        <w:t>décaissés</w:t>
      </w:r>
      <w:r w:rsidR="00FB0F9B" w:rsidRPr="00206486">
        <w:rPr>
          <w:lang w:val="fr-CA"/>
        </w:rPr>
        <w:t xml:space="preserve"> </w:t>
      </w:r>
      <w:r w:rsidRPr="00206486">
        <w:rPr>
          <w:lang w:val="fr-CA"/>
        </w:rPr>
        <w:t>pour le secteur de l’entretien</w:t>
      </w:r>
      <w:r w:rsidR="00FB0F9B" w:rsidRPr="00206486">
        <w:rPr>
          <w:lang w:val="fr-CA"/>
        </w:rPr>
        <w:t xml:space="preserve">. </w:t>
      </w:r>
      <w:r w:rsidRPr="00206486">
        <w:rPr>
          <w:lang w:val="fr-CA"/>
        </w:rPr>
        <w:t>Le</w:t>
      </w:r>
      <w:r w:rsidR="00A85EC8">
        <w:rPr>
          <w:lang w:val="fr-CA"/>
        </w:rPr>
        <w:t> </w:t>
      </w:r>
      <w:r w:rsidRPr="00206486">
        <w:rPr>
          <w:lang w:val="fr-CA"/>
        </w:rPr>
        <w:t>solde de</w:t>
      </w:r>
      <w:r w:rsidR="00FB0F9B" w:rsidRPr="00206486">
        <w:rPr>
          <w:lang w:val="fr-CA"/>
        </w:rPr>
        <w:t xml:space="preserve"> 13</w:t>
      </w:r>
      <w:r w:rsidR="00BD19D4" w:rsidRPr="00206486">
        <w:rPr>
          <w:lang w:val="fr-CA"/>
        </w:rPr>
        <w:t>1 </w:t>
      </w:r>
      <w:r w:rsidR="00FB0F9B" w:rsidRPr="00206486">
        <w:rPr>
          <w:lang w:val="fr-CA"/>
        </w:rPr>
        <w:t>78</w:t>
      </w:r>
      <w:r w:rsidR="00973255" w:rsidRPr="00206486">
        <w:rPr>
          <w:lang w:val="fr-CA"/>
        </w:rPr>
        <w:t>0</w:t>
      </w:r>
      <w:r w:rsidRPr="00206486">
        <w:rPr>
          <w:lang w:val="fr-CA"/>
        </w:rPr>
        <w:t> $US,</w:t>
      </w:r>
      <w:r w:rsidR="00973255" w:rsidRPr="00206486">
        <w:rPr>
          <w:lang w:val="fr-CA"/>
        </w:rPr>
        <w:t> </w:t>
      </w:r>
      <w:r w:rsidR="003B6C77" w:rsidRPr="00206486">
        <w:rPr>
          <w:lang w:val="fr-CA"/>
        </w:rPr>
        <w:t>incluant</w:t>
      </w:r>
      <w:r w:rsidR="00FB0F9B" w:rsidRPr="00206486">
        <w:rPr>
          <w:lang w:val="fr-CA"/>
        </w:rPr>
        <w:t xml:space="preserve"> 5</w:t>
      </w:r>
      <w:r w:rsidR="00BD19D4" w:rsidRPr="00206486">
        <w:rPr>
          <w:lang w:val="fr-CA"/>
        </w:rPr>
        <w:t>6 </w:t>
      </w:r>
      <w:r w:rsidR="00FB0F9B" w:rsidRPr="00206486">
        <w:rPr>
          <w:lang w:val="fr-CA"/>
        </w:rPr>
        <w:t>000</w:t>
      </w:r>
      <w:r w:rsidRPr="00206486">
        <w:rPr>
          <w:lang w:val="fr-CA"/>
        </w:rPr>
        <w:t> $US approuvés pour la cinquième</w:t>
      </w:r>
      <w:r w:rsidR="00FB0F9B" w:rsidRPr="00206486">
        <w:rPr>
          <w:lang w:val="fr-CA"/>
        </w:rPr>
        <w:t xml:space="preserve"> tranche, </w:t>
      </w:r>
      <w:r w:rsidRPr="00206486">
        <w:rPr>
          <w:lang w:val="fr-CA"/>
        </w:rPr>
        <w:t>sera</w:t>
      </w:r>
      <w:r w:rsidR="00FB0F9B" w:rsidRPr="00206486">
        <w:rPr>
          <w:lang w:val="fr-CA"/>
        </w:rPr>
        <w:t xml:space="preserve"> </w:t>
      </w:r>
      <w:r w:rsidRPr="00206486">
        <w:rPr>
          <w:lang w:val="fr-CA"/>
        </w:rPr>
        <w:t>décaissé</w:t>
      </w:r>
      <w:r w:rsidR="00FB0F9B" w:rsidRPr="00206486">
        <w:rPr>
          <w:lang w:val="fr-CA"/>
        </w:rPr>
        <w:t xml:space="preserve"> </w:t>
      </w:r>
      <w:r w:rsidR="003B6C77" w:rsidRPr="00206486">
        <w:rPr>
          <w:lang w:val="fr-CA"/>
        </w:rPr>
        <w:t>entre</w:t>
      </w:r>
      <w:r w:rsidR="00A85EC8">
        <w:rPr>
          <w:lang w:val="fr-CA"/>
        </w:rPr>
        <w:t> </w:t>
      </w:r>
      <w:r w:rsidR="00FB0F9B" w:rsidRPr="00206486">
        <w:rPr>
          <w:lang w:val="fr-CA"/>
        </w:rPr>
        <w:t xml:space="preserve">2019 </w:t>
      </w:r>
      <w:r w:rsidRPr="00206486">
        <w:rPr>
          <w:lang w:val="fr-CA"/>
        </w:rPr>
        <w:t>et</w:t>
      </w:r>
      <w:r w:rsidR="00FB0F9B" w:rsidRPr="00206486">
        <w:rPr>
          <w:lang w:val="fr-CA"/>
        </w:rPr>
        <w:t xml:space="preserve"> 202</w:t>
      </w:r>
      <w:r w:rsidR="00973255" w:rsidRPr="00206486">
        <w:rPr>
          <w:lang w:val="fr-CA"/>
        </w:rPr>
        <w:t>2</w:t>
      </w:r>
      <w:r w:rsidRPr="00206486">
        <w:rPr>
          <w:lang w:val="fr-CA"/>
        </w:rPr>
        <w:t>.</w:t>
      </w:r>
      <w:r w:rsidR="00FB0F9B" w:rsidRPr="00206486">
        <w:rPr>
          <w:lang w:val="fr-CA"/>
        </w:rPr>
        <w:t xml:space="preserve"> </w:t>
      </w:r>
    </w:p>
    <w:p w:rsidR="00FB0F9B" w:rsidRPr="00206486" w:rsidRDefault="00751EC0" w:rsidP="00FB0F9B">
      <w:pPr>
        <w:pStyle w:val="Heading1"/>
        <w:rPr>
          <w:lang w:val="fr-CA"/>
        </w:rPr>
      </w:pPr>
      <w:r w:rsidRPr="00206486">
        <w:rPr>
          <w:lang w:val="fr-CA"/>
        </w:rPr>
        <w:t xml:space="preserve">La </w:t>
      </w:r>
      <w:r w:rsidR="00206486" w:rsidRPr="00206486">
        <w:rPr>
          <w:lang w:val="fr-CA"/>
        </w:rPr>
        <w:t>phase</w:t>
      </w:r>
      <w:r w:rsidR="00FB0F9B" w:rsidRPr="00206486">
        <w:rPr>
          <w:lang w:val="fr-CA"/>
        </w:rPr>
        <w:t xml:space="preserve"> I </w:t>
      </w:r>
      <w:r w:rsidR="00C306D5" w:rsidRPr="00206486">
        <w:rPr>
          <w:lang w:val="fr-CA"/>
        </w:rPr>
        <w:t>du PGEH</w:t>
      </w:r>
      <w:r w:rsidR="00FB0F9B" w:rsidRPr="00206486">
        <w:rPr>
          <w:lang w:val="fr-CA"/>
        </w:rPr>
        <w:t xml:space="preserve"> </w:t>
      </w:r>
      <w:r w:rsidRPr="00206486">
        <w:rPr>
          <w:lang w:val="fr-CA"/>
        </w:rPr>
        <w:t xml:space="preserve">sera entièrement terminée au niveau opérationnel d’ici la fin de </w:t>
      </w:r>
      <w:r w:rsidR="00FB0F9B" w:rsidRPr="00206486">
        <w:rPr>
          <w:lang w:val="fr-CA"/>
        </w:rPr>
        <w:t>2021</w:t>
      </w:r>
      <w:r w:rsidR="0039010B" w:rsidRPr="00206486">
        <w:rPr>
          <w:lang w:val="fr-CA"/>
        </w:rPr>
        <w:t xml:space="preserve"> et</w:t>
      </w:r>
      <w:r w:rsidR="00A85EC8">
        <w:rPr>
          <w:lang w:val="fr-CA"/>
        </w:rPr>
        <w:t> </w:t>
      </w:r>
      <w:r w:rsidRPr="00206486">
        <w:rPr>
          <w:lang w:val="fr-CA"/>
        </w:rPr>
        <w:t xml:space="preserve">terminée au niveau financier d’ici le </w:t>
      </w:r>
      <w:r w:rsidR="00FB0F9B" w:rsidRPr="00206486">
        <w:rPr>
          <w:lang w:val="fr-CA"/>
        </w:rPr>
        <w:t xml:space="preserve">31 </w:t>
      </w:r>
      <w:r w:rsidRPr="00206486">
        <w:rPr>
          <w:lang w:val="fr-CA"/>
        </w:rPr>
        <w:t>décembre</w:t>
      </w:r>
      <w:r w:rsidR="00FB0F9B" w:rsidRPr="00206486">
        <w:rPr>
          <w:lang w:val="fr-CA"/>
        </w:rPr>
        <w:t xml:space="preserve"> 202</w:t>
      </w:r>
      <w:r w:rsidR="00973255" w:rsidRPr="00206486">
        <w:rPr>
          <w:lang w:val="fr-CA"/>
        </w:rPr>
        <w:t>2</w:t>
      </w:r>
      <w:r w:rsidRPr="00206486">
        <w:rPr>
          <w:lang w:val="fr-CA"/>
        </w:rPr>
        <w:t>.</w:t>
      </w:r>
      <w:r w:rsidR="00FB0F9B" w:rsidRPr="00206486">
        <w:rPr>
          <w:lang w:val="fr-CA"/>
        </w:rPr>
        <w:t xml:space="preserve"> </w:t>
      </w:r>
      <w:r w:rsidRPr="00206486">
        <w:rPr>
          <w:lang w:val="fr-CA"/>
        </w:rPr>
        <w:t>Un rapport d’achèvement du projet sera</w:t>
      </w:r>
      <w:r w:rsidR="00A85EC8">
        <w:rPr>
          <w:lang w:val="fr-CA"/>
        </w:rPr>
        <w:t> </w:t>
      </w:r>
      <w:r w:rsidRPr="00206486">
        <w:rPr>
          <w:lang w:val="fr-CA"/>
        </w:rPr>
        <w:t xml:space="preserve">présenté à la </w:t>
      </w:r>
      <w:r w:rsidR="0060390D" w:rsidRPr="00206486">
        <w:rPr>
          <w:lang w:val="fr-CA"/>
        </w:rPr>
        <w:t>première</w:t>
      </w:r>
      <w:r w:rsidR="00FB0F9B" w:rsidRPr="00206486">
        <w:rPr>
          <w:lang w:val="fr-CA"/>
        </w:rPr>
        <w:t xml:space="preserve"> </w:t>
      </w:r>
      <w:r w:rsidR="0039010B" w:rsidRPr="00206486">
        <w:rPr>
          <w:lang w:val="fr-CA"/>
        </w:rPr>
        <w:t>réunion</w:t>
      </w:r>
      <w:r w:rsidR="00FB0F9B" w:rsidRPr="00206486">
        <w:rPr>
          <w:lang w:val="fr-CA"/>
        </w:rPr>
        <w:t xml:space="preserve"> </w:t>
      </w:r>
      <w:r w:rsidRPr="00206486">
        <w:rPr>
          <w:lang w:val="fr-CA"/>
        </w:rPr>
        <w:t>de</w:t>
      </w:r>
      <w:r w:rsidR="00FB0F9B" w:rsidRPr="00206486">
        <w:rPr>
          <w:lang w:val="fr-CA"/>
        </w:rPr>
        <w:t xml:space="preserve"> 202</w:t>
      </w:r>
      <w:r w:rsidR="00BD19D4" w:rsidRPr="00206486">
        <w:rPr>
          <w:lang w:val="fr-CA"/>
        </w:rPr>
        <w:t>2</w:t>
      </w:r>
      <w:r w:rsidRPr="00206486">
        <w:rPr>
          <w:lang w:val="fr-CA"/>
        </w:rPr>
        <w:t>,</w:t>
      </w:r>
      <w:r w:rsidR="00BD19D4" w:rsidRPr="00206486">
        <w:rPr>
          <w:lang w:val="fr-CA"/>
        </w:rPr>
        <w:t> </w:t>
      </w:r>
      <w:r w:rsidRPr="00206486">
        <w:rPr>
          <w:lang w:val="fr-CA"/>
        </w:rPr>
        <w:t>conformément à la dé</w:t>
      </w:r>
      <w:r w:rsidR="00FB0F9B" w:rsidRPr="00206486">
        <w:rPr>
          <w:lang w:val="fr-CA"/>
        </w:rPr>
        <w:t>cision 83/49</w:t>
      </w:r>
      <w:r w:rsidRPr="00206486">
        <w:rPr>
          <w:lang w:val="fr-CA"/>
        </w:rPr>
        <w:t> </w:t>
      </w:r>
      <w:r w:rsidR="00FB0F9B" w:rsidRPr="00206486">
        <w:rPr>
          <w:lang w:val="fr-CA"/>
        </w:rPr>
        <w:t>b).</w:t>
      </w:r>
    </w:p>
    <w:p w:rsidR="00FB0F9B" w:rsidRPr="00206486" w:rsidRDefault="00751EC0" w:rsidP="00AD6B81">
      <w:pPr>
        <w:pStyle w:val="Heading1"/>
        <w:numPr>
          <w:ilvl w:val="0"/>
          <w:numId w:val="0"/>
        </w:numPr>
        <w:spacing w:after="120"/>
        <w:rPr>
          <w:b/>
          <w:lang w:val="fr-CA"/>
        </w:rPr>
      </w:pPr>
      <w:r w:rsidRPr="00206486">
        <w:rPr>
          <w:b/>
          <w:lang w:val="fr-CA"/>
        </w:rPr>
        <w:t>Phase</w:t>
      </w:r>
      <w:r w:rsidR="00FB0F9B" w:rsidRPr="00206486">
        <w:rPr>
          <w:b/>
          <w:lang w:val="fr-CA"/>
        </w:rPr>
        <w:t xml:space="preserve"> II </w:t>
      </w:r>
      <w:r w:rsidR="00C306D5" w:rsidRPr="00206486">
        <w:rPr>
          <w:b/>
          <w:lang w:val="fr-CA"/>
        </w:rPr>
        <w:t>du PGEH</w:t>
      </w:r>
    </w:p>
    <w:p w:rsidR="00FB0F9B" w:rsidRPr="00206486" w:rsidRDefault="00751EC0" w:rsidP="00AD6B81">
      <w:pPr>
        <w:pStyle w:val="Heading1"/>
        <w:numPr>
          <w:ilvl w:val="0"/>
          <w:numId w:val="0"/>
        </w:numPr>
        <w:spacing w:after="120"/>
        <w:rPr>
          <w:u w:val="single"/>
          <w:lang w:val="fr-CA"/>
        </w:rPr>
      </w:pPr>
      <w:r w:rsidRPr="00206486">
        <w:rPr>
          <w:u w:val="single"/>
          <w:lang w:val="fr-CA"/>
        </w:rPr>
        <w:t xml:space="preserve">Consommation restante admissible au </w:t>
      </w:r>
      <w:r w:rsidR="00686F8A" w:rsidRPr="00206486">
        <w:rPr>
          <w:u w:val="single"/>
          <w:lang w:val="fr-CA"/>
        </w:rPr>
        <w:t>financement</w:t>
      </w:r>
    </w:p>
    <w:p w:rsidR="00FB0F9B" w:rsidRPr="00206486" w:rsidRDefault="00FB0F9B" w:rsidP="00FB0F9B">
      <w:pPr>
        <w:pStyle w:val="Heading1"/>
        <w:rPr>
          <w:lang w:val="fr-CA"/>
        </w:rPr>
      </w:pPr>
      <w:r w:rsidRPr="00206486">
        <w:rPr>
          <w:lang w:val="fr-CA"/>
        </w:rPr>
        <w:t>A</w:t>
      </w:r>
      <w:r w:rsidR="00751EC0" w:rsidRPr="00206486">
        <w:rPr>
          <w:lang w:val="fr-CA"/>
        </w:rPr>
        <w:t xml:space="preserve">près la déduction de </w:t>
      </w:r>
      <w:r w:rsidR="00973255" w:rsidRPr="00206486">
        <w:rPr>
          <w:lang w:val="fr-CA"/>
        </w:rPr>
        <w:t>4,</w:t>
      </w:r>
      <w:r w:rsidRPr="00206486">
        <w:rPr>
          <w:lang w:val="fr-CA"/>
        </w:rPr>
        <w:t>97</w:t>
      </w:r>
      <w:r w:rsidR="00C02492" w:rsidRPr="00206486">
        <w:rPr>
          <w:lang w:val="fr-CA"/>
        </w:rPr>
        <w:t xml:space="preserve"> tonnes PAO</w:t>
      </w:r>
      <w:r w:rsidRPr="00206486">
        <w:rPr>
          <w:lang w:val="fr-CA"/>
        </w:rPr>
        <w:t xml:space="preserve"> </w:t>
      </w:r>
      <w:r w:rsidR="0060390D" w:rsidRPr="00206486">
        <w:rPr>
          <w:lang w:val="fr-CA"/>
        </w:rPr>
        <w:t>de HCFC</w:t>
      </w:r>
      <w:r w:rsidR="0039010B" w:rsidRPr="00206486">
        <w:rPr>
          <w:lang w:val="fr-CA"/>
        </w:rPr>
        <w:t xml:space="preserve"> et </w:t>
      </w:r>
      <w:r w:rsidRPr="00206486">
        <w:rPr>
          <w:lang w:val="fr-CA"/>
        </w:rPr>
        <w:t>1</w:t>
      </w:r>
      <w:r w:rsidR="00973255" w:rsidRPr="00206486">
        <w:rPr>
          <w:lang w:val="fr-CA"/>
        </w:rPr>
        <w:t>4,</w:t>
      </w:r>
      <w:r w:rsidRPr="00206486">
        <w:rPr>
          <w:lang w:val="fr-CA"/>
        </w:rPr>
        <w:t>00</w:t>
      </w:r>
      <w:r w:rsidR="00C02492" w:rsidRPr="00206486">
        <w:rPr>
          <w:lang w:val="fr-CA"/>
        </w:rPr>
        <w:t xml:space="preserve"> tonnes PAO</w:t>
      </w:r>
      <w:r w:rsidRPr="00206486">
        <w:rPr>
          <w:lang w:val="fr-CA"/>
        </w:rPr>
        <w:t xml:space="preserve"> </w:t>
      </w:r>
      <w:r w:rsidR="0060390D" w:rsidRPr="00206486">
        <w:rPr>
          <w:lang w:val="fr-CA"/>
        </w:rPr>
        <w:t>de HCFC</w:t>
      </w:r>
      <w:r w:rsidRPr="00206486">
        <w:rPr>
          <w:color w:val="000000"/>
          <w:lang w:val="fr-CA" w:eastAsia="en-CA"/>
        </w:rPr>
        <w:t xml:space="preserve">-141b </w:t>
      </w:r>
      <w:r w:rsidR="0039010B" w:rsidRPr="00206486">
        <w:rPr>
          <w:color w:val="000000"/>
          <w:lang w:val="fr-CA" w:eastAsia="en-CA"/>
        </w:rPr>
        <w:t>contenu</w:t>
      </w:r>
      <w:r w:rsidR="00A85EC8">
        <w:rPr>
          <w:color w:val="000000"/>
          <w:lang w:val="fr-CA" w:eastAsia="en-CA"/>
        </w:rPr>
        <w:t xml:space="preserve">es </w:t>
      </w:r>
      <w:r w:rsidR="00751EC0" w:rsidRPr="00206486">
        <w:rPr>
          <w:color w:val="000000"/>
          <w:lang w:val="fr-CA" w:eastAsia="en-CA"/>
        </w:rPr>
        <w:t>dans des</w:t>
      </w:r>
      <w:r w:rsidR="0060390D" w:rsidRPr="00206486">
        <w:rPr>
          <w:color w:val="000000"/>
          <w:lang w:val="fr-CA" w:eastAsia="en-CA"/>
        </w:rPr>
        <w:t xml:space="preserve"> polyols prémélangés importés</w:t>
      </w:r>
      <w:r w:rsidRPr="00206486">
        <w:rPr>
          <w:lang w:val="fr-CA"/>
        </w:rPr>
        <w:t xml:space="preserve"> </w:t>
      </w:r>
      <w:r w:rsidR="00751EC0" w:rsidRPr="00206486">
        <w:rPr>
          <w:lang w:val="fr-CA"/>
        </w:rPr>
        <w:t xml:space="preserve">associés à la </w:t>
      </w:r>
      <w:r w:rsidR="00D73A31" w:rsidRPr="00206486">
        <w:rPr>
          <w:lang w:val="fr-CA"/>
        </w:rPr>
        <w:t xml:space="preserve">phase </w:t>
      </w:r>
      <w:r w:rsidRPr="00206486">
        <w:rPr>
          <w:lang w:val="fr-CA"/>
        </w:rPr>
        <w:t xml:space="preserve">I </w:t>
      </w:r>
      <w:r w:rsidR="00C306D5" w:rsidRPr="00206486">
        <w:rPr>
          <w:lang w:val="fr-CA"/>
        </w:rPr>
        <w:t>du PGEH</w:t>
      </w:r>
      <w:r w:rsidRPr="00206486">
        <w:rPr>
          <w:lang w:val="fr-CA"/>
        </w:rPr>
        <w:t xml:space="preserve">, </w:t>
      </w:r>
      <w:r w:rsidR="00751EC0" w:rsidRPr="00206486">
        <w:rPr>
          <w:lang w:val="fr-CA"/>
        </w:rPr>
        <w:t xml:space="preserve">la consommation restante admissible au </w:t>
      </w:r>
      <w:r w:rsidR="00686F8A" w:rsidRPr="00206486">
        <w:rPr>
          <w:lang w:val="fr-CA"/>
        </w:rPr>
        <w:t>financement</w:t>
      </w:r>
      <w:r w:rsidRPr="00206486">
        <w:rPr>
          <w:lang w:val="fr-CA"/>
        </w:rPr>
        <w:t xml:space="preserve"> </w:t>
      </w:r>
      <w:r w:rsidR="00751EC0" w:rsidRPr="00206486">
        <w:rPr>
          <w:lang w:val="fr-CA"/>
        </w:rPr>
        <w:t>à la</w:t>
      </w:r>
      <w:r w:rsidR="0060390D" w:rsidRPr="00206486">
        <w:rPr>
          <w:lang w:val="fr-CA"/>
        </w:rPr>
        <w:t xml:space="preserve"> phase II</w:t>
      </w:r>
      <w:r w:rsidRPr="00206486">
        <w:rPr>
          <w:lang w:val="fr-CA"/>
        </w:rPr>
        <w:t xml:space="preserve"> </w:t>
      </w:r>
      <w:r w:rsidR="00751EC0" w:rsidRPr="00206486">
        <w:rPr>
          <w:lang w:val="fr-CA"/>
        </w:rPr>
        <w:t xml:space="preserve">totalise </w:t>
      </w:r>
      <w:r w:rsidR="00973255" w:rsidRPr="00206486">
        <w:rPr>
          <w:lang w:val="fr-CA"/>
        </w:rPr>
        <w:t>9,</w:t>
      </w:r>
      <w:r w:rsidRPr="00206486">
        <w:rPr>
          <w:lang w:val="fr-CA"/>
        </w:rPr>
        <w:t>12</w:t>
      </w:r>
      <w:r w:rsidR="00C02492" w:rsidRPr="00206486">
        <w:rPr>
          <w:lang w:val="fr-CA"/>
        </w:rPr>
        <w:t xml:space="preserve"> tonnes PAO</w:t>
      </w:r>
      <w:r w:rsidRPr="00206486">
        <w:rPr>
          <w:lang w:val="fr-CA"/>
        </w:rPr>
        <w:t xml:space="preserve"> </w:t>
      </w:r>
      <w:r w:rsidR="0060390D" w:rsidRPr="00206486">
        <w:rPr>
          <w:lang w:val="fr-CA"/>
        </w:rPr>
        <w:t>de HCFC</w:t>
      </w:r>
      <w:r w:rsidR="0039010B" w:rsidRPr="00206486">
        <w:rPr>
          <w:lang w:val="fr-CA"/>
        </w:rPr>
        <w:t xml:space="preserve"> et </w:t>
      </w:r>
      <w:r w:rsidR="00973255" w:rsidRPr="00206486">
        <w:rPr>
          <w:lang w:val="fr-CA"/>
        </w:rPr>
        <w:t>4,</w:t>
      </w:r>
      <w:r w:rsidRPr="00206486">
        <w:rPr>
          <w:lang w:val="fr-CA"/>
        </w:rPr>
        <w:t>11</w:t>
      </w:r>
      <w:r w:rsidR="00C02492" w:rsidRPr="00206486">
        <w:rPr>
          <w:lang w:val="fr-CA"/>
        </w:rPr>
        <w:t xml:space="preserve"> tonnes PAO</w:t>
      </w:r>
      <w:r w:rsidRPr="00206486">
        <w:rPr>
          <w:lang w:val="fr-CA"/>
        </w:rPr>
        <w:t xml:space="preserve"> </w:t>
      </w:r>
      <w:r w:rsidR="0060390D" w:rsidRPr="00206486">
        <w:rPr>
          <w:lang w:val="fr-CA"/>
        </w:rPr>
        <w:t>de</w:t>
      </w:r>
      <w:r w:rsidR="00A85EC8">
        <w:rPr>
          <w:lang w:val="fr-CA"/>
        </w:rPr>
        <w:t> </w:t>
      </w:r>
      <w:r w:rsidR="0060390D" w:rsidRPr="00206486">
        <w:rPr>
          <w:lang w:val="fr-CA"/>
        </w:rPr>
        <w:t>HCFC</w:t>
      </w:r>
      <w:r w:rsidRPr="00206486">
        <w:rPr>
          <w:lang w:val="fr-CA"/>
        </w:rPr>
        <w:t xml:space="preserve">-141b </w:t>
      </w:r>
      <w:r w:rsidR="0039010B" w:rsidRPr="00206486">
        <w:rPr>
          <w:lang w:val="fr-CA"/>
        </w:rPr>
        <w:t>contenu</w:t>
      </w:r>
      <w:r w:rsidR="00751EC0" w:rsidRPr="00206486">
        <w:rPr>
          <w:lang w:val="fr-CA"/>
        </w:rPr>
        <w:t>es dans des polyols prémélangés</w:t>
      </w:r>
      <w:r w:rsidRPr="00206486">
        <w:rPr>
          <w:lang w:val="fr-CA"/>
        </w:rPr>
        <w:t xml:space="preserve">, </w:t>
      </w:r>
      <w:r w:rsidR="00751EC0" w:rsidRPr="00206486">
        <w:rPr>
          <w:lang w:val="fr-CA"/>
        </w:rPr>
        <w:t xml:space="preserve">avec une fin d’entretien de </w:t>
      </w:r>
      <w:r w:rsidR="00973255" w:rsidRPr="00206486">
        <w:rPr>
          <w:lang w:val="fr-CA"/>
        </w:rPr>
        <w:t>0,</w:t>
      </w:r>
      <w:r w:rsidRPr="00206486">
        <w:rPr>
          <w:lang w:val="fr-CA"/>
        </w:rPr>
        <w:t>35</w:t>
      </w:r>
      <w:r w:rsidR="00C02492" w:rsidRPr="00206486">
        <w:rPr>
          <w:lang w:val="fr-CA"/>
        </w:rPr>
        <w:t xml:space="preserve"> tonne PAO</w:t>
      </w:r>
      <w:r w:rsidRPr="00206486">
        <w:rPr>
          <w:lang w:val="fr-CA"/>
        </w:rPr>
        <w:t xml:space="preserve"> </w:t>
      </w:r>
      <w:r w:rsidR="0060390D" w:rsidRPr="00206486">
        <w:rPr>
          <w:lang w:val="fr-CA"/>
        </w:rPr>
        <w:t>de</w:t>
      </w:r>
      <w:r w:rsidR="00A85EC8">
        <w:rPr>
          <w:lang w:val="fr-CA"/>
        </w:rPr>
        <w:t> </w:t>
      </w:r>
      <w:r w:rsidR="0060390D" w:rsidRPr="00206486">
        <w:rPr>
          <w:lang w:val="fr-CA"/>
        </w:rPr>
        <w:t>HCFC</w:t>
      </w:r>
      <w:r w:rsidRPr="00206486">
        <w:rPr>
          <w:lang w:val="fr-CA"/>
        </w:rPr>
        <w:t xml:space="preserve"> </w:t>
      </w:r>
      <w:r w:rsidR="00206486" w:rsidRPr="00206486">
        <w:rPr>
          <w:lang w:val="fr-CA"/>
        </w:rPr>
        <w:t>représentant</w:t>
      </w:r>
      <w:r w:rsidRPr="00206486">
        <w:rPr>
          <w:lang w:val="fr-CA"/>
        </w:rPr>
        <w:t xml:space="preserve"> </w:t>
      </w:r>
      <w:r w:rsidR="00973255" w:rsidRPr="00206486">
        <w:rPr>
          <w:lang w:val="fr-CA"/>
        </w:rPr>
        <w:t>2,</w:t>
      </w:r>
      <w:r w:rsidRPr="00206486">
        <w:rPr>
          <w:lang w:val="fr-CA"/>
        </w:rPr>
        <w:t xml:space="preserve">5 </w:t>
      </w:r>
      <w:r w:rsidR="0060390D" w:rsidRPr="00206486">
        <w:rPr>
          <w:lang w:val="fr-CA"/>
        </w:rPr>
        <w:t>pour cent</w:t>
      </w:r>
      <w:r w:rsidRPr="00206486">
        <w:rPr>
          <w:lang w:val="fr-CA"/>
        </w:rPr>
        <w:t xml:space="preserve"> </w:t>
      </w:r>
      <w:r w:rsidR="00751EC0" w:rsidRPr="00206486">
        <w:rPr>
          <w:lang w:val="fr-CA"/>
        </w:rPr>
        <w:t xml:space="preserve">de la valeur de référence des </w:t>
      </w:r>
      <w:r w:rsidRPr="00206486">
        <w:rPr>
          <w:lang w:val="fr-CA"/>
        </w:rPr>
        <w:t xml:space="preserve">HCFC </w:t>
      </w:r>
      <w:r w:rsidR="00751EC0" w:rsidRPr="00206486">
        <w:rPr>
          <w:lang w:val="fr-CA"/>
        </w:rPr>
        <w:t>(</w:t>
      </w:r>
      <w:r w:rsidRPr="00206486">
        <w:rPr>
          <w:lang w:val="fr-CA"/>
        </w:rPr>
        <w:t>Table</w:t>
      </w:r>
      <w:r w:rsidR="00751EC0" w:rsidRPr="00206486">
        <w:rPr>
          <w:lang w:val="fr-CA"/>
        </w:rPr>
        <w:t>au</w:t>
      </w:r>
      <w:r w:rsidRPr="00206486">
        <w:rPr>
          <w:lang w:val="fr-CA"/>
        </w:rPr>
        <w:t xml:space="preserve"> </w:t>
      </w:r>
      <w:r w:rsidR="00973255" w:rsidRPr="00206486">
        <w:rPr>
          <w:lang w:val="fr-CA"/>
        </w:rPr>
        <w:t>2</w:t>
      </w:r>
      <w:r w:rsidR="00751EC0" w:rsidRPr="00206486">
        <w:rPr>
          <w:lang w:val="fr-CA"/>
        </w:rPr>
        <w:t>).</w:t>
      </w:r>
    </w:p>
    <w:p w:rsidR="00FB0F9B" w:rsidRPr="00206486" w:rsidRDefault="00EB2126" w:rsidP="00FB0F9B">
      <w:pPr>
        <w:rPr>
          <w:b/>
          <w:bCs/>
          <w:sz w:val="19"/>
          <w:szCs w:val="19"/>
          <w:lang w:val="fr-CA"/>
        </w:rPr>
      </w:pPr>
      <w:r w:rsidRPr="00206486">
        <w:rPr>
          <w:b/>
          <w:bCs/>
          <w:sz w:val="19"/>
          <w:szCs w:val="19"/>
          <w:lang w:val="fr-CA"/>
        </w:rPr>
        <w:t xml:space="preserve">Tableau </w:t>
      </w:r>
      <w:r w:rsidR="00973255" w:rsidRPr="00206486">
        <w:rPr>
          <w:b/>
          <w:bCs/>
          <w:sz w:val="19"/>
          <w:szCs w:val="19"/>
          <w:lang w:val="fr-CA"/>
        </w:rPr>
        <w:t>2</w:t>
      </w:r>
      <w:r w:rsidRPr="00206486">
        <w:rPr>
          <w:b/>
          <w:bCs/>
          <w:sz w:val="19"/>
          <w:szCs w:val="19"/>
          <w:lang w:val="fr-CA"/>
        </w:rPr>
        <w:t>.</w:t>
      </w:r>
      <w:r w:rsidR="00FB0F9B" w:rsidRPr="00206486">
        <w:rPr>
          <w:b/>
          <w:bCs/>
          <w:sz w:val="19"/>
          <w:szCs w:val="19"/>
          <w:lang w:val="fr-CA"/>
        </w:rPr>
        <w:t xml:space="preserve"> </w:t>
      </w:r>
      <w:r w:rsidRPr="00206486">
        <w:rPr>
          <w:b/>
          <w:bCs/>
          <w:sz w:val="19"/>
          <w:szCs w:val="19"/>
          <w:lang w:val="fr-CA"/>
        </w:rPr>
        <w:t xml:space="preserve">Consommation restante admissible au </w:t>
      </w:r>
      <w:r w:rsidR="00686F8A" w:rsidRPr="00206486">
        <w:rPr>
          <w:b/>
          <w:bCs/>
          <w:sz w:val="19"/>
          <w:szCs w:val="19"/>
          <w:lang w:val="fr-CA"/>
        </w:rPr>
        <w:t>financement</w:t>
      </w:r>
      <w:r w:rsidR="00FB0F9B" w:rsidRPr="00206486">
        <w:rPr>
          <w:b/>
          <w:bCs/>
          <w:sz w:val="19"/>
          <w:szCs w:val="19"/>
          <w:lang w:val="fr-CA"/>
        </w:rPr>
        <w:t xml:space="preserve"> </w:t>
      </w:r>
      <w:r w:rsidR="001B242D" w:rsidRPr="00206486">
        <w:rPr>
          <w:b/>
          <w:bCs/>
          <w:sz w:val="19"/>
          <w:szCs w:val="19"/>
          <w:lang w:val="fr-CA"/>
        </w:rPr>
        <w:t>- P</w:t>
      </w:r>
      <w:r w:rsidR="0060390D" w:rsidRPr="00206486">
        <w:rPr>
          <w:b/>
          <w:bCs/>
          <w:sz w:val="19"/>
          <w:szCs w:val="19"/>
          <w:lang w:val="fr-CA"/>
        </w:rPr>
        <w:t>hase II</w:t>
      </w:r>
      <w:r w:rsidR="00FB0F9B" w:rsidRPr="00206486">
        <w:rPr>
          <w:b/>
          <w:bCs/>
          <w:sz w:val="19"/>
          <w:szCs w:val="19"/>
          <w:lang w:val="fr-CA"/>
        </w:rPr>
        <w:t xml:space="preserve"> </w:t>
      </w:r>
      <w:r w:rsidR="00C306D5" w:rsidRPr="00206486">
        <w:rPr>
          <w:b/>
          <w:bCs/>
          <w:sz w:val="19"/>
          <w:szCs w:val="19"/>
          <w:lang w:val="fr-CA"/>
        </w:rPr>
        <w:t>du PGEH</w:t>
      </w:r>
      <w:r w:rsidR="00FB0F9B" w:rsidRPr="00206486">
        <w:rPr>
          <w:b/>
          <w:bCs/>
          <w:sz w:val="19"/>
          <w:szCs w:val="19"/>
          <w:lang w:val="fr-CA"/>
        </w:rPr>
        <w:t xml:space="preserve"> </w:t>
      </w:r>
      <w:r w:rsidR="001B242D" w:rsidRPr="00206486">
        <w:rPr>
          <w:b/>
          <w:bCs/>
          <w:sz w:val="19"/>
          <w:szCs w:val="19"/>
          <w:lang w:val="fr-CA"/>
        </w:rPr>
        <w:t>d</w:t>
      </w:r>
      <w:r w:rsidRPr="00206486">
        <w:rPr>
          <w:b/>
          <w:bCs/>
          <w:sz w:val="19"/>
          <w:szCs w:val="19"/>
          <w:lang w:val="fr-CA"/>
        </w:rPr>
        <w:t>u</w:t>
      </w:r>
      <w:r w:rsidR="00FB0F9B" w:rsidRPr="00206486">
        <w:rPr>
          <w:b/>
          <w:bCs/>
          <w:sz w:val="19"/>
          <w:szCs w:val="19"/>
          <w:lang w:val="fr-CA"/>
        </w:rPr>
        <w:t xml:space="preserve"> Costa Rica </w:t>
      </w:r>
      <w:r w:rsidR="00C02492" w:rsidRPr="00206486">
        <w:rPr>
          <w:b/>
          <w:bCs/>
          <w:sz w:val="19"/>
          <w:szCs w:val="19"/>
          <w:lang w:val="fr-CA"/>
        </w:rPr>
        <w:t>(tonnes PAO</w:t>
      </w:r>
      <w:r w:rsidR="00FB0F9B" w:rsidRPr="00206486">
        <w:rPr>
          <w:b/>
          <w:bCs/>
          <w:sz w:val="19"/>
          <w:szCs w:val="19"/>
          <w:lang w:val="fr-CA"/>
        </w:rPr>
        <w:t>)</w:t>
      </w:r>
    </w:p>
    <w:tbl>
      <w:tblPr>
        <w:tblW w:w="9326" w:type="dxa"/>
        <w:tblInd w:w="29" w:type="dxa"/>
        <w:tblLayout w:type="fixed"/>
        <w:tblLook w:val="04A0" w:firstRow="1" w:lastRow="0" w:firstColumn="1" w:lastColumn="0" w:noHBand="0" w:noVBand="1"/>
      </w:tblPr>
      <w:tblGrid>
        <w:gridCol w:w="3746"/>
        <w:gridCol w:w="1116"/>
        <w:gridCol w:w="1116"/>
        <w:gridCol w:w="1116"/>
        <w:gridCol w:w="1116"/>
        <w:gridCol w:w="1116"/>
      </w:tblGrid>
      <w:tr w:rsidR="00FB0F9B" w:rsidRPr="00206486" w:rsidTr="00AE336E">
        <w:tc>
          <w:tcPr>
            <w:tcW w:w="3746"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rsidR="00FB0F9B" w:rsidRPr="00206486" w:rsidRDefault="00FB0F9B" w:rsidP="002B0AAE">
            <w:pPr>
              <w:jc w:val="left"/>
              <w:rPr>
                <w:b/>
                <w:color w:val="000000"/>
                <w:sz w:val="20"/>
                <w:szCs w:val="20"/>
                <w:lang w:val="fr-CA" w:eastAsia="en-CA"/>
              </w:rPr>
            </w:pPr>
            <w:r w:rsidRPr="00206486">
              <w:rPr>
                <w:b/>
                <w:color w:val="000000"/>
                <w:sz w:val="20"/>
                <w:szCs w:val="20"/>
                <w:lang w:val="fr-CA" w:eastAsia="en-CA"/>
              </w:rPr>
              <w:t>HCFC</w:t>
            </w:r>
          </w:p>
        </w:tc>
        <w:tc>
          <w:tcPr>
            <w:tcW w:w="1116" w:type="dxa"/>
            <w:vMerge w:val="restart"/>
            <w:tcBorders>
              <w:top w:val="single" w:sz="4" w:space="0" w:color="auto"/>
              <w:left w:val="nil"/>
              <w:right w:val="single" w:sz="4" w:space="0" w:color="auto"/>
            </w:tcBorders>
            <w:shd w:val="clear" w:color="auto" w:fill="auto"/>
            <w:noWrap/>
            <w:vAlign w:val="center"/>
            <w:hideMark/>
          </w:tcPr>
          <w:p w:rsidR="00FB0F9B" w:rsidRPr="00206486" w:rsidRDefault="00206486" w:rsidP="00206486">
            <w:pPr>
              <w:jc w:val="center"/>
              <w:rPr>
                <w:b/>
                <w:color w:val="000000"/>
                <w:sz w:val="20"/>
                <w:szCs w:val="20"/>
                <w:lang w:val="fr-CA" w:eastAsia="en-CA"/>
              </w:rPr>
            </w:pPr>
            <w:r>
              <w:rPr>
                <w:b/>
                <w:color w:val="000000"/>
                <w:sz w:val="20"/>
                <w:szCs w:val="20"/>
                <w:lang w:val="fr-CA" w:eastAsia="en-CA"/>
              </w:rPr>
              <w:t>Po</w:t>
            </w:r>
            <w:r w:rsidR="00FB0F9B" w:rsidRPr="00206486">
              <w:rPr>
                <w:b/>
                <w:color w:val="000000"/>
                <w:sz w:val="20"/>
                <w:szCs w:val="20"/>
                <w:lang w:val="fr-CA" w:eastAsia="en-CA"/>
              </w:rPr>
              <w:t>int</w:t>
            </w:r>
            <w:r>
              <w:rPr>
                <w:b/>
                <w:color w:val="000000"/>
                <w:sz w:val="20"/>
                <w:szCs w:val="20"/>
                <w:lang w:val="fr-CA" w:eastAsia="en-CA"/>
              </w:rPr>
              <w:t xml:space="preserve"> de départ</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F9B" w:rsidRPr="00206486" w:rsidRDefault="008904C7" w:rsidP="002B0AAE">
            <w:pPr>
              <w:jc w:val="center"/>
              <w:rPr>
                <w:b/>
                <w:color w:val="000000"/>
                <w:sz w:val="20"/>
                <w:szCs w:val="20"/>
                <w:lang w:val="fr-CA" w:eastAsia="en-CA"/>
              </w:rPr>
            </w:pPr>
            <w:r w:rsidRPr="00206486">
              <w:rPr>
                <w:b/>
                <w:color w:val="000000"/>
                <w:sz w:val="20"/>
                <w:szCs w:val="20"/>
                <w:lang w:val="fr-CA" w:eastAsia="en-CA"/>
              </w:rPr>
              <w:t>Phase</w:t>
            </w:r>
            <w:r w:rsidR="00FB0F9B" w:rsidRPr="00206486">
              <w:rPr>
                <w:b/>
                <w:color w:val="000000"/>
                <w:sz w:val="20"/>
                <w:szCs w:val="20"/>
                <w:lang w:val="fr-CA" w:eastAsia="en-CA"/>
              </w:rPr>
              <w:t xml:space="preserve"> I</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F9B" w:rsidRPr="00206486" w:rsidRDefault="008904C7" w:rsidP="002B0AAE">
            <w:pPr>
              <w:jc w:val="center"/>
              <w:rPr>
                <w:b/>
                <w:color w:val="000000"/>
                <w:sz w:val="20"/>
                <w:szCs w:val="20"/>
                <w:lang w:val="fr-CA" w:eastAsia="en-CA"/>
              </w:rPr>
            </w:pPr>
            <w:r w:rsidRPr="00206486">
              <w:rPr>
                <w:b/>
                <w:color w:val="000000"/>
                <w:sz w:val="20"/>
                <w:szCs w:val="20"/>
                <w:lang w:val="fr-CA" w:eastAsia="en-CA"/>
              </w:rPr>
              <w:t>Phase</w:t>
            </w:r>
            <w:r w:rsidR="00FB0F9B" w:rsidRPr="00206486">
              <w:rPr>
                <w:b/>
                <w:color w:val="000000"/>
                <w:sz w:val="20"/>
                <w:szCs w:val="20"/>
                <w:lang w:val="fr-CA" w:eastAsia="en-CA"/>
              </w:rPr>
              <w:t xml:space="preserve"> II</w:t>
            </w:r>
          </w:p>
        </w:tc>
      </w:tr>
      <w:tr w:rsidR="00FB0F9B" w:rsidRPr="00206486" w:rsidTr="00AE336E">
        <w:tc>
          <w:tcPr>
            <w:tcW w:w="3746" w:type="dxa"/>
            <w:vMerge/>
            <w:tcBorders>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b/>
                <w:color w:val="000000"/>
                <w:sz w:val="20"/>
                <w:szCs w:val="20"/>
                <w:lang w:val="fr-CA" w:eastAsia="en-CA"/>
              </w:rPr>
            </w:pPr>
          </w:p>
        </w:tc>
        <w:tc>
          <w:tcPr>
            <w:tcW w:w="1116" w:type="dxa"/>
            <w:vMerge/>
            <w:tcBorders>
              <w:left w:val="nil"/>
              <w:bottom w:val="single" w:sz="4" w:space="0" w:color="auto"/>
              <w:right w:val="single" w:sz="4" w:space="0" w:color="auto"/>
            </w:tcBorders>
            <w:shd w:val="clear" w:color="auto" w:fill="auto"/>
            <w:noWrap/>
            <w:tcMar>
              <w:left w:w="0" w:type="dxa"/>
              <w:right w:w="0" w:type="dxa"/>
            </w:tcMar>
            <w:vAlign w:val="bottom"/>
            <w:hideMark/>
          </w:tcPr>
          <w:p w:rsidR="00FB0F9B" w:rsidRPr="00206486" w:rsidRDefault="00FB0F9B" w:rsidP="002B0AAE">
            <w:pPr>
              <w:jc w:val="left"/>
              <w:rPr>
                <w:b/>
                <w:color w:val="000000"/>
                <w:sz w:val="20"/>
                <w:szCs w:val="20"/>
                <w:lang w:val="fr-CA" w:eastAsia="en-CA"/>
              </w:rPr>
            </w:pPr>
          </w:p>
        </w:tc>
        <w:tc>
          <w:tcPr>
            <w:tcW w:w="11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B0F9B" w:rsidRPr="00206486" w:rsidRDefault="00EB2126" w:rsidP="002B0AAE">
            <w:pPr>
              <w:jc w:val="center"/>
              <w:rPr>
                <w:b/>
                <w:color w:val="000000"/>
                <w:sz w:val="20"/>
                <w:szCs w:val="20"/>
                <w:lang w:val="fr-CA" w:eastAsia="en-CA"/>
              </w:rPr>
            </w:pPr>
            <w:r w:rsidRPr="00206486">
              <w:rPr>
                <w:b/>
                <w:color w:val="000000"/>
                <w:sz w:val="20"/>
                <w:szCs w:val="20"/>
                <w:lang w:val="fr-CA" w:eastAsia="en-CA"/>
              </w:rPr>
              <w:t>Approuvée</w:t>
            </w:r>
          </w:p>
        </w:tc>
        <w:tc>
          <w:tcPr>
            <w:tcW w:w="11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B0F9B" w:rsidRPr="00206486" w:rsidRDefault="00EB2126" w:rsidP="002B0AAE">
            <w:pPr>
              <w:jc w:val="center"/>
              <w:rPr>
                <w:b/>
                <w:color w:val="000000"/>
                <w:sz w:val="20"/>
                <w:szCs w:val="20"/>
                <w:lang w:val="fr-CA" w:eastAsia="en-CA"/>
              </w:rPr>
            </w:pPr>
            <w:r w:rsidRPr="00206486">
              <w:rPr>
                <w:b/>
                <w:color w:val="000000"/>
                <w:sz w:val="20"/>
                <w:szCs w:val="20"/>
                <w:lang w:val="fr-CA" w:eastAsia="en-CA"/>
              </w:rPr>
              <w:t>Restante</w:t>
            </w:r>
          </w:p>
        </w:tc>
        <w:tc>
          <w:tcPr>
            <w:tcW w:w="11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B0F9B" w:rsidRPr="00206486" w:rsidRDefault="00EB2126" w:rsidP="002B0AAE">
            <w:pPr>
              <w:jc w:val="center"/>
              <w:rPr>
                <w:b/>
                <w:color w:val="000000"/>
                <w:sz w:val="20"/>
                <w:szCs w:val="20"/>
                <w:lang w:val="fr-CA" w:eastAsia="en-CA"/>
              </w:rPr>
            </w:pPr>
            <w:r w:rsidRPr="00206486">
              <w:rPr>
                <w:b/>
                <w:color w:val="000000"/>
                <w:sz w:val="20"/>
                <w:szCs w:val="20"/>
                <w:lang w:val="fr-CA" w:eastAsia="en-CA"/>
              </w:rPr>
              <w:t>Demandée</w:t>
            </w:r>
          </w:p>
        </w:tc>
        <w:tc>
          <w:tcPr>
            <w:tcW w:w="11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B0F9B" w:rsidRPr="00206486" w:rsidRDefault="00EB2126" w:rsidP="002B0AAE">
            <w:pPr>
              <w:jc w:val="center"/>
              <w:rPr>
                <w:b/>
                <w:color w:val="000000"/>
                <w:sz w:val="20"/>
                <w:szCs w:val="20"/>
                <w:lang w:val="fr-CA" w:eastAsia="en-CA"/>
              </w:rPr>
            </w:pPr>
            <w:r w:rsidRPr="00206486">
              <w:rPr>
                <w:b/>
                <w:color w:val="000000"/>
                <w:sz w:val="20"/>
                <w:szCs w:val="20"/>
                <w:lang w:val="fr-CA" w:eastAsia="en-CA"/>
              </w:rPr>
              <w:t>Restante</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HCFC-22</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FB0F9B" w:rsidP="002B0AAE">
            <w:pPr>
              <w:jc w:val="right"/>
              <w:rPr>
                <w:color w:val="000000"/>
                <w:sz w:val="20"/>
                <w:szCs w:val="20"/>
                <w:lang w:val="fr-CA" w:eastAsia="en-CA"/>
              </w:rPr>
            </w:pPr>
            <w:r w:rsidRPr="00206486">
              <w:rPr>
                <w:color w:val="000000"/>
                <w:sz w:val="20"/>
                <w:szCs w:val="20"/>
                <w:lang w:val="fr-CA" w:eastAsia="en-CA"/>
              </w:rPr>
              <w:t>1</w:t>
            </w:r>
            <w:r w:rsidR="00973255" w:rsidRPr="00206486">
              <w:rPr>
                <w:color w:val="000000"/>
                <w:sz w:val="20"/>
                <w:szCs w:val="20"/>
                <w:lang w:val="fr-CA" w:eastAsia="en-CA"/>
              </w:rPr>
              <w:t>0,</w:t>
            </w:r>
            <w:r w:rsidRPr="00206486">
              <w:rPr>
                <w:color w:val="000000"/>
                <w:sz w:val="20"/>
                <w:szCs w:val="20"/>
                <w:lang w:val="fr-CA" w:eastAsia="en-CA"/>
              </w:rPr>
              <w:t>00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2,</w:t>
            </w:r>
            <w:r w:rsidR="00FB0F9B" w:rsidRPr="00206486">
              <w:rPr>
                <w:color w:val="000000"/>
                <w:sz w:val="20"/>
                <w:szCs w:val="20"/>
                <w:lang w:val="fr-CA" w:eastAsia="en-CA"/>
              </w:rPr>
              <w:t>59*</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7,</w:t>
            </w:r>
            <w:r w:rsidR="00FB0F9B" w:rsidRPr="00206486">
              <w:rPr>
                <w:color w:val="000000"/>
                <w:sz w:val="20"/>
                <w:szCs w:val="20"/>
                <w:lang w:val="fr-CA" w:eastAsia="en-CA"/>
              </w:rPr>
              <w:t>42</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7,</w:t>
            </w:r>
            <w:r w:rsidR="00FB0F9B" w:rsidRPr="00206486">
              <w:rPr>
                <w:color w:val="000000"/>
                <w:sz w:val="20"/>
                <w:szCs w:val="20"/>
                <w:lang w:val="fr-CA" w:eastAsia="en-CA"/>
              </w:rPr>
              <w:t>07</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35</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HCFC-141b</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3,</w:t>
            </w:r>
            <w:r w:rsidR="00FB0F9B" w:rsidRPr="00206486">
              <w:rPr>
                <w:color w:val="000000"/>
                <w:sz w:val="20"/>
                <w:szCs w:val="20"/>
                <w:lang w:val="fr-CA" w:eastAsia="en-CA"/>
              </w:rPr>
              <w:t>58</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2,</w:t>
            </w:r>
            <w:r w:rsidR="00FB0F9B" w:rsidRPr="00206486">
              <w:rPr>
                <w:color w:val="000000"/>
                <w:sz w:val="20"/>
                <w:szCs w:val="20"/>
                <w:lang w:val="fr-CA" w:eastAsia="en-CA"/>
              </w:rPr>
              <w:t>38</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1,</w:t>
            </w:r>
            <w:r w:rsidR="00FB0F9B" w:rsidRPr="00206486">
              <w:rPr>
                <w:color w:val="000000"/>
                <w:sz w:val="20"/>
                <w:szCs w:val="20"/>
                <w:lang w:val="fr-CA" w:eastAsia="en-CA"/>
              </w:rPr>
              <w:t>20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1,</w:t>
            </w:r>
            <w:r w:rsidR="00FB0F9B" w:rsidRPr="00206486">
              <w:rPr>
                <w:color w:val="000000"/>
                <w:sz w:val="20"/>
                <w:szCs w:val="20"/>
                <w:lang w:val="fr-CA" w:eastAsia="en-CA"/>
              </w:rPr>
              <w:t>20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HCFC-123</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01</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01</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01</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HCFC-124</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09</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09</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09</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HCFC-142b</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40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40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40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 xml:space="preserve">Total </w:t>
            </w:r>
            <w:r w:rsidR="0060390D" w:rsidRPr="00206486">
              <w:rPr>
                <w:color w:val="000000"/>
                <w:sz w:val="20"/>
                <w:szCs w:val="20"/>
                <w:lang w:val="fr-CA" w:eastAsia="en-CA"/>
              </w:rPr>
              <w:t>HCFC</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FB0F9B" w:rsidP="002B0AAE">
            <w:pPr>
              <w:jc w:val="right"/>
              <w:rPr>
                <w:color w:val="000000"/>
                <w:sz w:val="20"/>
                <w:szCs w:val="20"/>
                <w:lang w:val="fr-CA" w:eastAsia="en-CA"/>
              </w:rPr>
            </w:pPr>
            <w:r w:rsidRPr="00206486">
              <w:rPr>
                <w:color w:val="000000"/>
                <w:sz w:val="20"/>
                <w:szCs w:val="20"/>
                <w:lang w:val="fr-CA" w:eastAsia="en-CA"/>
              </w:rPr>
              <w:t>1</w:t>
            </w:r>
            <w:r w:rsidR="00973255" w:rsidRPr="00206486">
              <w:rPr>
                <w:color w:val="000000"/>
                <w:sz w:val="20"/>
                <w:szCs w:val="20"/>
                <w:lang w:val="fr-CA" w:eastAsia="en-CA"/>
              </w:rPr>
              <w:t>4,</w:t>
            </w:r>
            <w:r w:rsidRPr="00206486">
              <w:rPr>
                <w:color w:val="000000"/>
                <w:sz w:val="20"/>
                <w:szCs w:val="20"/>
                <w:lang w:val="fr-CA" w:eastAsia="en-CA"/>
              </w:rPr>
              <w:t>08</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4,</w:t>
            </w:r>
            <w:r w:rsidR="00FB0F9B" w:rsidRPr="00206486">
              <w:rPr>
                <w:color w:val="000000"/>
                <w:sz w:val="20"/>
                <w:szCs w:val="20"/>
                <w:lang w:val="fr-CA" w:eastAsia="en-CA"/>
              </w:rPr>
              <w:t>97</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9,</w:t>
            </w:r>
            <w:r w:rsidR="00FB0F9B" w:rsidRPr="00206486">
              <w:rPr>
                <w:color w:val="000000"/>
                <w:sz w:val="20"/>
                <w:szCs w:val="20"/>
                <w:lang w:val="fr-CA" w:eastAsia="en-CA"/>
              </w:rPr>
              <w:t>12</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8,</w:t>
            </w:r>
            <w:r w:rsidR="00FB0F9B" w:rsidRPr="00206486">
              <w:rPr>
                <w:color w:val="000000"/>
                <w:sz w:val="20"/>
                <w:szCs w:val="20"/>
                <w:lang w:val="fr-CA" w:eastAsia="en-CA"/>
              </w:rPr>
              <w:t>77</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35</w:t>
            </w:r>
          </w:p>
        </w:tc>
      </w:tr>
      <w:tr w:rsidR="00FB0F9B" w:rsidRPr="00206486" w:rsidTr="00AE336E">
        <w:tc>
          <w:tcPr>
            <w:tcW w:w="3746"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FB0F9B" w:rsidRPr="00206486" w:rsidRDefault="00FB0F9B" w:rsidP="002B0AAE">
            <w:pPr>
              <w:jc w:val="left"/>
              <w:rPr>
                <w:color w:val="000000"/>
                <w:sz w:val="20"/>
                <w:szCs w:val="20"/>
                <w:lang w:val="fr-CA" w:eastAsia="en-CA"/>
              </w:rPr>
            </w:pPr>
            <w:r w:rsidRPr="00206486">
              <w:rPr>
                <w:color w:val="000000"/>
                <w:sz w:val="20"/>
                <w:szCs w:val="20"/>
                <w:lang w:val="fr-CA" w:eastAsia="en-CA"/>
              </w:rPr>
              <w:t xml:space="preserve">HCFC-141b </w:t>
            </w:r>
            <w:r w:rsidR="00EB2126" w:rsidRPr="00206486">
              <w:rPr>
                <w:color w:val="000000"/>
                <w:sz w:val="20"/>
                <w:szCs w:val="20"/>
                <w:lang w:val="fr-CA" w:eastAsia="en-CA"/>
              </w:rPr>
              <w:t>dans des polyols</w:t>
            </w:r>
            <w:r w:rsidR="0060390D" w:rsidRPr="00206486">
              <w:rPr>
                <w:color w:val="000000"/>
                <w:sz w:val="20"/>
                <w:szCs w:val="20"/>
                <w:lang w:val="fr-CA" w:eastAsia="en-CA"/>
              </w:rPr>
              <w:t xml:space="preserve"> prémélangés importés</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FB0F9B" w:rsidP="002B0AAE">
            <w:pPr>
              <w:jc w:val="right"/>
              <w:rPr>
                <w:color w:val="000000"/>
                <w:sz w:val="20"/>
                <w:szCs w:val="20"/>
                <w:lang w:val="fr-CA" w:eastAsia="en-CA"/>
              </w:rPr>
            </w:pPr>
            <w:r w:rsidRPr="00206486">
              <w:rPr>
                <w:color w:val="000000"/>
                <w:sz w:val="20"/>
                <w:szCs w:val="20"/>
                <w:lang w:val="fr-CA" w:eastAsia="en-CA"/>
              </w:rPr>
              <w:t>1</w:t>
            </w:r>
            <w:r w:rsidR="00973255" w:rsidRPr="00206486">
              <w:rPr>
                <w:color w:val="000000"/>
                <w:sz w:val="20"/>
                <w:szCs w:val="20"/>
                <w:lang w:val="fr-CA" w:eastAsia="en-CA"/>
              </w:rPr>
              <w:t>8,</w:t>
            </w:r>
            <w:r w:rsidRPr="00206486">
              <w:rPr>
                <w:color w:val="000000"/>
                <w:sz w:val="20"/>
                <w:szCs w:val="20"/>
                <w:lang w:val="fr-CA" w:eastAsia="en-CA"/>
              </w:rPr>
              <w:t>11</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FB0F9B" w:rsidP="002B0AAE">
            <w:pPr>
              <w:jc w:val="right"/>
              <w:rPr>
                <w:color w:val="000000"/>
                <w:sz w:val="20"/>
                <w:szCs w:val="20"/>
                <w:lang w:val="fr-CA" w:eastAsia="en-CA"/>
              </w:rPr>
            </w:pPr>
            <w:r w:rsidRPr="00206486">
              <w:rPr>
                <w:color w:val="000000"/>
                <w:sz w:val="20"/>
                <w:szCs w:val="20"/>
                <w:lang w:val="fr-CA" w:eastAsia="en-CA"/>
              </w:rPr>
              <w:t>1</w:t>
            </w:r>
            <w:r w:rsidR="00973255" w:rsidRPr="00206486">
              <w:rPr>
                <w:color w:val="000000"/>
                <w:sz w:val="20"/>
                <w:szCs w:val="20"/>
                <w:lang w:val="fr-CA" w:eastAsia="en-CA"/>
              </w:rPr>
              <w:t>4,</w:t>
            </w:r>
            <w:r w:rsidRPr="00206486">
              <w:rPr>
                <w:color w:val="000000"/>
                <w:sz w:val="20"/>
                <w:szCs w:val="20"/>
                <w:lang w:val="fr-CA" w:eastAsia="en-CA"/>
              </w:rPr>
              <w:t>00</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4,</w:t>
            </w:r>
            <w:r w:rsidR="00FB0F9B" w:rsidRPr="00206486">
              <w:rPr>
                <w:color w:val="000000"/>
                <w:sz w:val="20"/>
                <w:szCs w:val="20"/>
                <w:lang w:val="fr-CA" w:eastAsia="en-CA"/>
              </w:rPr>
              <w:t>11</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69**</w:t>
            </w:r>
          </w:p>
        </w:tc>
        <w:tc>
          <w:tcPr>
            <w:tcW w:w="1116" w:type="dxa"/>
            <w:tcBorders>
              <w:top w:val="nil"/>
              <w:left w:val="nil"/>
              <w:bottom w:val="single" w:sz="4" w:space="0" w:color="auto"/>
              <w:right w:val="single" w:sz="4" w:space="0" w:color="auto"/>
            </w:tcBorders>
            <w:shd w:val="clear" w:color="auto" w:fill="auto"/>
            <w:noWrap/>
            <w:tcMar>
              <w:left w:w="144" w:type="dxa"/>
              <w:right w:w="144" w:type="dxa"/>
            </w:tcMar>
            <w:hideMark/>
          </w:tcPr>
          <w:p w:rsidR="00FB0F9B" w:rsidRPr="00206486" w:rsidRDefault="00973255" w:rsidP="002B0AAE">
            <w:pPr>
              <w:jc w:val="right"/>
              <w:rPr>
                <w:color w:val="000000"/>
                <w:sz w:val="20"/>
                <w:szCs w:val="20"/>
                <w:lang w:val="fr-CA" w:eastAsia="en-CA"/>
              </w:rPr>
            </w:pPr>
            <w:r w:rsidRPr="00206486">
              <w:rPr>
                <w:color w:val="000000"/>
                <w:sz w:val="20"/>
                <w:szCs w:val="20"/>
                <w:lang w:val="fr-CA" w:eastAsia="en-CA"/>
              </w:rPr>
              <w:t>0,</w:t>
            </w:r>
            <w:r w:rsidR="00FB0F9B" w:rsidRPr="00206486">
              <w:rPr>
                <w:color w:val="000000"/>
                <w:sz w:val="20"/>
                <w:szCs w:val="20"/>
                <w:lang w:val="fr-CA" w:eastAsia="en-CA"/>
              </w:rPr>
              <w:t>00</w:t>
            </w:r>
          </w:p>
        </w:tc>
      </w:tr>
    </w:tbl>
    <w:p w:rsidR="00FB0F9B" w:rsidRPr="00206486" w:rsidRDefault="00FB0F9B" w:rsidP="00FB0F9B">
      <w:pPr>
        <w:pStyle w:val="Heading1"/>
        <w:numPr>
          <w:ilvl w:val="0"/>
          <w:numId w:val="0"/>
        </w:numPr>
        <w:spacing w:after="0"/>
        <w:rPr>
          <w:sz w:val="19"/>
          <w:szCs w:val="19"/>
          <w:lang w:val="fr-CA"/>
        </w:rPr>
      </w:pPr>
      <w:r w:rsidRPr="00206486">
        <w:rPr>
          <w:sz w:val="19"/>
          <w:szCs w:val="19"/>
          <w:lang w:val="fr-CA"/>
        </w:rPr>
        <w:t xml:space="preserve">(*) </w:t>
      </w:r>
      <w:r w:rsidR="00EB2126" w:rsidRPr="00206486">
        <w:rPr>
          <w:sz w:val="19"/>
          <w:szCs w:val="19"/>
          <w:lang w:val="fr-CA"/>
        </w:rPr>
        <w:t>Comprend</w:t>
      </w:r>
      <w:r w:rsidRPr="00206486">
        <w:rPr>
          <w:sz w:val="19"/>
          <w:szCs w:val="19"/>
          <w:lang w:val="fr-CA"/>
        </w:rPr>
        <w:t xml:space="preserve"> </w:t>
      </w:r>
      <w:r w:rsidR="00973255" w:rsidRPr="00206486">
        <w:rPr>
          <w:sz w:val="19"/>
          <w:szCs w:val="19"/>
          <w:lang w:val="fr-CA"/>
        </w:rPr>
        <w:t>0,</w:t>
      </w:r>
      <w:r w:rsidRPr="00206486">
        <w:rPr>
          <w:sz w:val="19"/>
          <w:szCs w:val="19"/>
          <w:lang w:val="fr-CA"/>
        </w:rPr>
        <w:t>035</w:t>
      </w:r>
      <w:r w:rsidR="00C02492" w:rsidRPr="00206486">
        <w:rPr>
          <w:sz w:val="19"/>
          <w:szCs w:val="19"/>
          <w:lang w:val="fr-CA"/>
        </w:rPr>
        <w:t xml:space="preserve"> tonne PAO</w:t>
      </w:r>
      <w:r w:rsidRPr="00206486">
        <w:rPr>
          <w:sz w:val="19"/>
          <w:szCs w:val="19"/>
          <w:lang w:val="fr-CA"/>
        </w:rPr>
        <w:t xml:space="preserve"> </w:t>
      </w:r>
      <w:r w:rsidR="00EB2126" w:rsidRPr="00206486">
        <w:rPr>
          <w:sz w:val="19"/>
          <w:szCs w:val="19"/>
          <w:lang w:val="fr-CA"/>
        </w:rPr>
        <w:t>associée au projet de démonstration pour remplacer un système de réfrigération avec</w:t>
      </w:r>
      <w:r w:rsidR="00A85EC8">
        <w:rPr>
          <w:sz w:val="19"/>
          <w:szCs w:val="19"/>
          <w:lang w:val="fr-CA"/>
        </w:rPr>
        <w:t> </w:t>
      </w:r>
      <w:r w:rsidRPr="00206486">
        <w:rPr>
          <w:sz w:val="19"/>
          <w:szCs w:val="19"/>
          <w:lang w:val="fr-CA" w:eastAsia="es-CR"/>
        </w:rPr>
        <w:t>R</w:t>
      </w:r>
      <w:r w:rsidR="00A85EC8">
        <w:rPr>
          <w:sz w:val="19"/>
          <w:szCs w:val="19"/>
          <w:lang w:val="fr-CA" w:eastAsia="es-CR"/>
        </w:rPr>
        <w:noBreakHyphen/>
      </w:r>
      <w:r w:rsidRPr="00206486">
        <w:rPr>
          <w:sz w:val="19"/>
          <w:szCs w:val="19"/>
          <w:lang w:val="fr-CA" w:eastAsia="es-CR"/>
        </w:rPr>
        <w:t>717/R-744 (</w:t>
      </w:r>
      <w:r w:rsidR="00EB2126" w:rsidRPr="00206486">
        <w:rPr>
          <w:sz w:val="19"/>
          <w:szCs w:val="19"/>
          <w:lang w:val="fr-CA" w:eastAsia="es-CR"/>
        </w:rPr>
        <w:t xml:space="preserve">cascade </w:t>
      </w:r>
      <w:r w:rsidRPr="00206486">
        <w:rPr>
          <w:sz w:val="19"/>
          <w:szCs w:val="19"/>
          <w:lang w:val="fr-CA" w:eastAsia="es-CR"/>
        </w:rPr>
        <w:t>NH</w:t>
      </w:r>
      <w:r w:rsidRPr="00206486">
        <w:rPr>
          <w:sz w:val="19"/>
          <w:szCs w:val="19"/>
          <w:vertAlign w:val="subscript"/>
          <w:lang w:val="fr-CA" w:eastAsia="es-CR"/>
        </w:rPr>
        <w:t>3</w:t>
      </w:r>
      <w:r w:rsidRPr="00206486">
        <w:rPr>
          <w:sz w:val="19"/>
          <w:szCs w:val="19"/>
          <w:lang w:val="fr-CA" w:eastAsia="es-CR"/>
        </w:rPr>
        <w:t>/CO</w:t>
      </w:r>
      <w:r w:rsidRPr="00206486">
        <w:rPr>
          <w:sz w:val="19"/>
          <w:szCs w:val="19"/>
          <w:vertAlign w:val="subscript"/>
          <w:lang w:val="fr-CA" w:eastAsia="es-CR"/>
        </w:rPr>
        <w:t>2</w:t>
      </w:r>
      <w:r w:rsidRPr="00206486">
        <w:rPr>
          <w:sz w:val="19"/>
          <w:szCs w:val="19"/>
          <w:lang w:val="fr-CA" w:eastAsia="es-CR"/>
        </w:rPr>
        <w:t xml:space="preserve">) </w:t>
      </w:r>
      <w:r w:rsidR="00EB2126" w:rsidRPr="00206486">
        <w:rPr>
          <w:sz w:val="19"/>
          <w:szCs w:val="19"/>
          <w:lang w:val="fr-CA" w:eastAsia="es-CR"/>
        </w:rPr>
        <w:t>dans un entrepôt de stockage frigorifique</w:t>
      </w:r>
      <w:r w:rsidRPr="00206486">
        <w:rPr>
          <w:sz w:val="19"/>
          <w:szCs w:val="19"/>
          <w:lang w:val="fr-CA" w:eastAsia="es-CR"/>
        </w:rPr>
        <w:t xml:space="preserve"> (</w:t>
      </w:r>
      <w:r w:rsidR="00751EC0" w:rsidRPr="00206486">
        <w:rPr>
          <w:sz w:val="19"/>
          <w:szCs w:val="19"/>
          <w:lang w:val="fr-CA" w:eastAsia="es-CR"/>
        </w:rPr>
        <w:t>décision</w:t>
      </w:r>
      <w:r w:rsidRPr="00206486">
        <w:rPr>
          <w:sz w:val="19"/>
          <w:szCs w:val="19"/>
          <w:lang w:val="fr-CA" w:eastAsia="es-CR"/>
        </w:rPr>
        <w:t xml:space="preserve"> </w:t>
      </w:r>
      <w:r w:rsidRPr="00206486">
        <w:rPr>
          <w:sz w:val="19"/>
          <w:szCs w:val="19"/>
          <w:lang w:val="fr-CA"/>
        </w:rPr>
        <w:t>76/23</w:t>
      </w:r>
      <w:r w:rsidR="00A85EC8">
        <w:rPr>
          <w:sz w:val="19"/>
          <w:szCs w:val="19"/>
          <w:lang w:val="fr-CA"/>
        </w:rPr>
        <w:t> </w:t>
      </w:r>
      <w:r w:rsidRPr="00206486">
        <w:rPr>
          <w:sz w:val="19"/>
          <w:szCs w:val="19"/>
          <w:lang w:val="fr-CA"/>
        </w:rPr>
        <w:t>b)).</w:t>
      </w:r>
    </w:p>
    <w:p w:rsidR="00FB0F9B" w:rsidRPr="00206486" w:rsidRDefault="00FB0F9B" w:rsidP="00FB0F9B">
      <w:pPr>
        <w:pStyle w:val="Heading1"/>
        <w:numPr>
          <w:ilvl w:val="0"/>
          <w:numId w:val="0"/>
        </w:numPr>
        <w:spacing w:after="0"/>
        <w:rPr>
          <w:sz w:val="19"/>
          <w:szCs w:val="19"/>
          <w:lang w:val="fr-CA"/>
        </w:rPr>
      </w:pPr>
      <w:r w:rsidRPr="00206486">
        <w:rPr>
          <w:sz w:val="19"/>
          <w:szCs w:val="19"/>
          <w:lang w:val="fr-CA"/>
        </w:rPr>
        <w:t xml:space="preserve">(**) </w:t>
      </w:r>
      <w:r w:rsidR="00EB2126" w:rsidRPr="00206486">
        <w:rPr>
          <w:sz w:val="19"/>
          <w:szCs w:val="19"/>
          <w:lang w:val="fr-CA"/>
        </w:rPr>
        <w:t xml:space="preserve">Consommation totale de </w:t>
      </w:r>
      <w:r w:rsidR="0060390D" w:rsidRPr="00206486">
        <w:rPr>
          <w:sz w:val="19"/>
          <w:szCs w:val="19"/>
          <w:lang w:val="fr-CA"/>
        </w:rPr>
        <w:t>HCFC</w:t>
      </w:r>
      <w:r w:rsidRPr="00206486">
        <w:rPr>
          <w:sz w:val="19"/>
          <w:szCs w:val="19"/>
          <w:lang w:val="fr-CA"/>
        </w:rPr>
        <w:t xml:space="preserve">-141b </w:t>
      </w:r>
      <w:r w:rsidR="0039010B" w:rsidRPr="00206486">
        <w:rPr>
          <w:sz w:val="19"/>
          <w:szCs w:val="19"/>
          <w:lang w:val="fr-CA"/>
        </w:rPr>
        <w:t>contenu</w:t>
      </w:r>
      <w:r w:rsidRPr="00206486">
        <w:rPr>
          <w:sz w:val="19"/>
          <w:szCs w:val="19"/>
          <w:lang w:val="fr-CA"/>
        </w:rPr>
        <w:t xml:space="preserve"> </w:t>
      </w:r>
      <w:r w:rsidR="00EB2126" w:rsidRPr="00206486">
        <w:rPr>
          <w:sz w:val="19"/>
          <w:szCs w:val="19"/>
          <w:lang w:val="fr-CA"/>
        </w:rPr>
        <w:t>dans des polyols prémélangés</w:t>
      </w:r>
      <w:r w:rsidRPr="00206486">
        <w:rPr>
          <w:sz w:val="19"/>
          <w:szCs w:val="19"/>
          <w:lang w:val="fr-CA"/>
        </w:rPr>
        <w:t xml:space="preserve"> </w:t>
      </w:r>
      <w:r w:rsidR="00EB2126" w:rsidRPr="00206486">
        <w:rPr>
          <w:sz w:val="19"/>
          <w:szCs w:val="19"/>
          <w:lang w:val="fr-CA"/>
        </w:rPr>
        <w:t>qui restent actuellement au pays</w:t>
      </w:r>
      <w:r w:rsidRPr="00206486">
        <w:rPr>
          <w:sz w:val="19"/>
          <w:szCs w:val="19"/>
          <w:lang w:val="fr-CA"/>
        </w:rPr>
        <w:t xml:space="preserve">. </w:t>
      </w:r>
    </w:p>
    <w:p w:rsidR="00FB0F9B" w:rsidRPr="00206486" w:rsidRDefault="00EB2126" w:rsidP="00FB0F9B">
      <w:pPr>
        <w:rPr>
          <w:u w:val="single"/>
          <w:lang w:val="fr-CA"/>
        </w:rPr>
      </w:pPr>
      <w:r w:rsidRPr="00206486">
        <w:rPr>
          <w:u w:val="single"/>
          <w:lang w:val="fr-CA"/>
        </w:rPr>
        <w:lastRenderedPageBreak/>
        <w:t xml:space="preserve">Répartition des </w:t>
      </w:r>
      <w:r w:rsidR="0060390D" w:rsidRPr="00206486">
        <w:rPr>
          <w:u w:val="single"/>
          <w:lang w:val="fr-CA"/>
        </w:rPr>
        <w:t>HCFC</w:t>
      </w:r>
      <w:r w:rsidRPr="00206486">
        <w:rPr>
          <w:u w:val="single"/>
          <w:lang w:val="fr-CA"/>
        </w:rPr>
        <w:t xml:space="preserve"> par secteur</w:t>
      </w:r>
    </w:p>
    <w:p w:rsidR="00FB0F9B" w:rsidRPr="00206486" w:rsidRDefault="00FB0F9B" w:rsidP="00FB0F9B">
      <w:pPr>
        <w:rPr>
          <w:lang w:val="fr-CA"/>
        </w:rPr>
      </w:pPr>
    </w:p>
    <w:p w:rsidR="00FB0F9B" w:rsidRPr="00206486" w:rsidRDefault="00EB2126" w:rsidP="00FB0F9B">
      <w:pPr>
        <w:pStyle w:val="Heading1"/>
        <w:spacing w:after="120"/>
        <w:rPr>
          <w:lang w:val="fr-CA"/>
        </w:rPr>
      </w:pPr>
      <w:r w:rsidRPr="00206486">
        <w:rPr>
          <w:lang w:val="fr-CA"/>
        </w:rPr>
        <w:t xml:space="preserve">Actuellement, il existe une seule entreprise </w:t>
      </w:r>
      <w:r w:rsidR="008904C7" w:rsidRPr="00206486">
        <w:rPr>
          <w:lang w:val="fr-CA"/>
        </w:rPr>
        <w:t>et elle</w:t>
      </w:r>
      <w:r w:rsidRPr="00206486">
        <w:rPr>
          <w:lang w:val="fr-CA"/>
        </w:rPr>
        <w:t xml:space="preserve"> consomme </w:t>
      </w:r>
      <w:r w:rsidR="00973255" w:rsidRPr="00206486">
        <w:rPr>
          <w:lang w:val="fr-CA"/>
        </w:rPr>
        <w:t>6,</w:t>
      </w:r>
      <w:r w:rsidR="00FB0F9B" w:rsidRPr="00206486">
        <w:rPr>
          <w:lang w:val="fr-CA"/>
        </w:rPr>
        <w:t>24</w:t>
      </w:r>
      <w:r w:rsidR="0039010B" w:rsidRPr="00206486">
        <w:rPr>
          <w:lang w:val="fr-CA"/>
        </w:rPr>
        <w:t xml:space="preserve"> tm </w:t>
      </w:r>
      <w:r w:rsidR="00FB0F9B" w:rsidRPr="00206486">
        <w:rPr>
          <w:lang w:val="fr-CA"/>
        </w:rPr>
        <w:t>(</w:t>
      </w:r>
      <w:r w:rsidR="00973255" w:rsidRPr="00206486">
        <w:rPr>
          <w:lang w:val="fr-CA"/>
        </w:rPr>
        <w:t>0,</w:t>
      </w:r>
      <w:r w:rsidR="00FB0F9B" w:rsidRPr="00206486">
        <w:rPr>
          <w:lang w:val="fr-CA"/>
        </w:rPr>
        <w:t>69</w:t>
      </w:r>
      <w:r w:rsidR="00C02492" w:rsidRPr="00206486">
        <w:rPr>
          <w:lang w:val="fr-CA"/>
        </w:rPr>
        <w:t xml:space="preserve"> tonne PAO</w:t>
      </w:r>
      <w:r w:rsidR="00FB0F9B" w:rsidRPr="00206486">
        <w:rPr>
          <w:lang w:val="fr-CA"/>
        </w:rPr>
        <w:t>)</w:t>
      </w:r>
      <w:r w:rsidR="00FB0F9B" w:rsidRPr="00206486">
        <w:rPr>
          <w:rStyle w:val="FootnoteReference"/>
          <w:lang w:val="fr-CA"/>
        </w:rPr>
        <w:footnoteReference w:id="4"/>
      </w:r>
      <w:r w:rsidR="00FB0F9B" w:rsidRPr="00206486">
        <w:rPr>
          <w:lang w:val="fr-CA"/>
        </w:rPr>
        <w:t xml:space="preserve"> </w:t>
      </w:r>
      <w:r w:rsidRPr="00206486">
        <w:rPr>
          <w:lang w:val="fr-CA"/>
        </w:rPr>
        <w:t>de</w:t>
      </w:r>
      <w:r w:rsidR="008904C7" w:rsidRPr="00206486">
        <w:rPr>
          <w:lang w:val="fr-CA"/>
        </w:rPr>
        <w:t> </w:t>
      </w:r>
      <w:r w:rsidR="00FB0F9B" w:rsidRPr="00206486">
        <w:rPr>
          <w:lang w:val="fr-CA"/>
        </w:rPr>
        <w:t>HCFC</w:t>
      </w:r>
      <w:r w:rsidRPr="00206486">
        <w:rPr>
          <w:lang w:val="fr-CA"/>
        </w:rPr>
        <w:noBreakHyphen/>
      </w:r>
      <w:r w:rsidR="00FB0F9B" w:rsidRPr="00206486">
        <w:rPr>
          <w:lang w:val="fr-CA"/>
        </w:rPr>
        <w:t xml:space="preserve">141b </w:t>
      </w:r>
      <w:r w:rsidR="0039010B" w:rsidRPr="00206486">
        <w:rPr>
          <w:lang w:val="fr-CA"/>
        </w:rPr>
        <w:t>contenu</w:t>
      </w:r>
      <w:r w:rsidR="00FB0F9B" w:rsidRPr="00206486">
        <w:rPr>
          <w:lang w:val="fr-CA"/>
        </w:rPr>
        <w:t xml:space="preserve"> </w:t>
      </w:r>
      <w:r w:rsidRPr="00206486">
        <w:rPr>
          <w:lang w:val="fr-CA"/>
        </w:rPr>
        <w:t>dans des polyols</w:t>
      </w:r>
      <w:r w:rsidR="0060390D" w:rsidRPr="00206486">
        <w:rPr>
          <w:lang w:val="fr-CA"/>
        </w:rPr>
        <w:t xml:space="preserve"> prémélangés importés</w:t>
      </w:r>
      <w:r w:rsidR="00FB0F9B" w:rsidRPr="00206486">
        <w:rPr>
          <w:lang w:val="fr-CA"/>
        </w:rPr>
        <w:t xml:space="preserve">. </w:t>
      </w:r>
    </w:p>
    <w:p w:rsidR="00FB0F9B" w:rsidRPr="00206486" w:rsidRDefault="008904C7" w:rsidP="00FB0F9B">
      <w:pPr>
        <w:pStyle w:val="Heading1"/>
        <w:spacing w:after="120"/>
        <w:rPr>
          <w:u w:val="single"/>
          <w:lang w:val="fr-CA"/>
        </w:rPr>
      </w:pPr>
      <w:r w:rsidRPr="00206486">
        <w:rPr>
          <w:lang w:val="fr-CA"/>
        </w:rPr>
        <w:t>Sur la base de l’étude effectuée pendant la pré</w:t>
      </w:r>
      <w:r w:rsidR="00FB0F9B" w:rsidRPr="00206486">
        <w:rPr>
          <w:lang w:val="fr-CA"/>
        </w:rPr>
        <w:t xml:space="preserve">paration </w:t>
      </w:r>
      <w:r w:rsidRPr="00206486">
        <w:rPr>
          <w:lang w:val="fr-CA"/>
        </w:rPr>
        <w:t>de la phase</w:t>
      </w:r>
      <w:r w:rsidR="0060390D" w:rsidRPr="00206486">
        <w:rPr>
          <w:lang w:val="fr-CA"/>
        </w:rPr>
        <w:t xml:space="preserve"> II</w:t>
      </w:r>
      <w:r w:rsidR="00FB0F9B" w:rsidRPr="00206486">
        <w:rPr>
          <w:lang w:val="fr-CA"/>
        </w:rPr>
        <w:t xml:space="preserve">, </w:t>
      </w:r>
      <w:r w:rsidRPr="00206486">
        <w:rPr>
          <w:lang w:val="fr-CA"/>
        </w:rPr>
        <w:t xml:space="preserve">il y a environ </w:t>
      </w:r>
      <w:r w:rsidR="00BD19D4" w:rsidRPr="00206486">
        <w:rPr>
          <w:lang w:val="fr-CA"/>
        </w:rPr>
        <w:t>3 </w:t>
      </w:r>
      <w:r w:rsidR="00FB0F9B" w:rsidRPr="00206486">
        <w:rPr>
          <w:lang w:val="fr-CA"/>
        </w:rPr>
        <w:t>000</w:t>
      </w:r>
      <w:r w:rsidRPr="00206486">
        <w:rPr>
          <w:lang w:val="fr-CA"/>
        </w:rPr>
        <w:t> </w:t>
      </w:r>
      <w:r w:rsidR="00AA3256" w:rsidRPr="00206486">
        <w:rPr>
          <w:lang w:val="fr-CA"/>
        </w:rPr>
        <w:t>technicien</w:t>
      </w:r>
      <w:r w:rsidR="00FB0F9B" w:rsidRPr="00206486">
        <w:rPr>
          <w:lang w:val="fr-CA"/>
        </w:rPr>
        <w:t>s</w:t>
      </w:r>
      <w:r w:rsidR="0039010B" w:rsidRPr="00206486">
        <w:rPr>
          <w:lang w:val="fr-CA"/>
        </w:rPr>
        <w:t xml:space="preserve"> et </w:t>
      </w:r>
      <w:r w:rsidR="00FB0F9B" w:rsidRPr="00206486">
        <w:rPr>
          <w:lang w:val="fr-CA"/>
        </w:rPr>
        <w:t xml:space="preserve">600 </w:t>
      </w:r>
      <w:r w:rsidRPr="00206486">
        <w:rPr>
          <w:lang w:val="fr-CA"/>
        </w:rPr>
        <w:t>atelier</w:t>
      </w:r>
      <w:r w:rsidR="00FB0F9B" w:rsidRPr="00206486">
        <w:rPr>
          <w:lang w:val="fr-CA"/>
        </w:rPr>
        <w:t xml:space="preserve">s </w:t>
      </w:r>
      <w:r w:rsidRPr="00206486">
        <w:rPr>
          <w:lang w:val="fr-CA"/>
        </w:rPr>
        <w:t>dans le</w:t>
      </w:r>
      <w:r w:rsidR="00FB0F9B" w:rsidRPr="00206486">
        <w:rPr>
          <w:lang w:val="fr-CA"/>
        </w:rPr>
        <w:t xml:space="preserve"> </w:t>
      </w:r>
      <w:r w:rsidR="00E27DB1" w:rsidRPr="00206486">
        <w:rPr>
          <w:lang w:val="fr-CA"/>
        </w:rPr>
        <w:t>secteur de l’entretien</w:t>
      </w:r>
      <w:r w:rsidR="00FB0F9B" w:rsidRPr="00206486">
        <w:rPr>
          <w:lang w:val="fr-CA"/>
        </w:rPr>
        <w:t xml:space="preserve">, </w:t>
      </w:r>
      <w:r w:rsidRPr="00206486">
        <w:rPr>
          <w:lang w:val="fr-CA"/>
        </w:rPr>
        <w:t>qui consomme</w:t>
      </w:r>
      <w:r w:rsidR="00FB0F9B" w:rsidRPr="00206486">
        <w:rPr>
          <w:lang w:val="fr-CA"/>
        </w:rPr>
        <w:t xml:space="preserve"> </w:t>
      </w:r>
      <w:r w:rsidRPr="00206486">
        <w:rPr>
          <w:lang w:val="fr-CA"/>
        </w:rPr>
        <w:t xml:space="preserve">du </w:t>
      </w:r>
      <w:r w:rsidR="00FB0F9B" w:rsidRPr="00206486">
        <w:rPr>
          <w:lang w:val="fr-CA"/>
        </w:rPr>
        <w:t>HCFC-2</w:t>
      </w:r>
      <w:r w:rsidR="00BD19D4" w:rsidRPr="00206486">
        <w:rPr>
          <w:lang w:val="fr-CA"/>
        </w:rPr>
        <w:t>2 </w:t>
      </w:r>
      <w:r w:rsidRPr="00206486">
        <w:rPr>
          <w:lang w:val="fr-CA"/>
        </w:rPr>
        <w:t>et du </w:t>
      </w:r>
      <w:r w:rsidR="00FB0F9B" w:rsidRPr="00206486">
        <w:rPr>
          <w:lang w:val="fr-CA"/>
        </w:rPr>
        <w:t>HCFC</w:t>
      </w:r>
      <w:r w:rsidR="00FB0F9B" w:rsidRPr="00206486">
        <w:rPr>
          <w:lang w:val="fr-CA"/>
        </w:rPr>
        <w:noBreakHyphen/>
        <w:t>141b</w:t>
      </w:r>
      <w:r w:rsidRPr="00206486">
        <w:rPr>
          <w:lang w:val="fr-CA"/>
        </w:rPr>
        <w:t xml:space="preserve"> utilisé</w:t>
      </w:r>
      <w:r w:rsidR="00FB0F9B" w:rsidRPr="00206486">
        <w:rPr>
          <w:lang w:val="fr-CA"/>
        </w:rPr>
        <w:t xml:space="preserve"> </w:t>
      </w:r>
      <w:r w:rsidRPr="00206486">
        <w:rPr>
          <w:lang w:val="fr-CA"/>
        </w:rPr>
        <w:t xml:space="preserve">pour le rinçage des circuits de </w:t>
      </w:r>
      <w:r w:rsidR="00206486" w:rsidRPr="00206486">
        <w:rPr>
          <w:lang w:val="fr-CA"/>
        </w:rPr>
        <w:t>réfrigération</w:t>
      </w:r>
      <w:r w:rsidRPr="00206486">
        <w:rPr>
          <w:lang w:val="fr-CA"/>
        </w:rPr>
        <w:t xml:space="preserve">, et de petites quantités de </w:t>
      </w:r>
      <w:r w:rsidR="0060390D" w:rsidRPr="00206486">
        <w:rPr>
          <w:lang w:val="fr-CA"/>
        </w:rPr>
        <w:t>HCFC</w:t>
      </w:r>
      <w:r w:rsidR="00FB0F9B" w:rsidRPr="00206486">
        <w:rPr>
          <w:lang w:val="fr-CA"/>
        </w:rPr>
        <w:noBreakHyphen/>
        <w:t>142b, HCFC</w:t>
      </w:r>
      <w:r w:rsidR="00FB0F9B" w:rsidRPr="00206486">
        <w:rPr>
          <w:lang w:val="fr-CA"/>
        </w:rPr>
        <w:noBreakHyphen/>
        <w:t>124</w:t>
      </w:r>
      <w:r w:rsidRPr="00206486">
        <w:rPr>
          <w:lang w:val="fr-CA"/>
        </w:rPr>
        <w:t>,</w:t>
      </w:r>
      <w:r w:rsidR="0039010B" w:rsidRPr="00206486">
        <w:rPr>
          <w:lang w:val="fr-CA"/>
        </w:rPr>
        <w:t xml:space="preserve"> et </w:t>
      </w:r>
      <w:r w:rsidR="00FB0F9B" w:rsidRPr="00206486">
        <w:rPr>
          <w:lang w:val="fr-CA"/>
        </w:rPr>
        <w:t>HCFC</w:t>
      </w:r>
      <w:r w:rsidR="00FB0F9B" w:rsidRPr="00206486">
        <w:rPr>
          <w:lang w:val="fr-CA"/>
        </w:rPr>
        <w:noBreakHyphen/>
        <w:t xml:space="preserve">123 </w:t>
      </w:r>
      <w:r w:rsidR="0039010B" w:rsidRPr="00206486">
        <w:rPr>
          <w:lang w:val="fr-CA"/>
        </w:rPr>
        <w:t>contenu</w:t>
      </w:r>
      <w:r w:rsidR="000F2C18">
        <w:rPr>
          <w:lang w:val="fr-CA"/>
        </w:rPr>
        <w:t>es</w:t>
      </w:r>
      <w:r w:rsidR="00FB0F9B" w:rsidRPr="00206486">
        <w:rPr>
          <w:lang w:val="fr-CA"/>
        </w:rPr>
        <w:t xml:space="preserve"> </w:t>
      </w:r>
      <w:r w:rsidRPr="00206486">
        <w:rPr>
          <w:lang w:val="fr-CA"/>
        </w:rPr>
        <w:t>dans des</w:t>
      </w:r>
      <w:r w:rsidR="00FB0F9B" w:rsidRPr="00206486">
        <w:rPr>
          <w:lang w:val="fr-CA"/>
        </w:rPr>
        <w:t xml:space="preserve"> </w:t>
      </w:r>
      <w:r w:rsidRPr="00206486">
        <w:rPr>
          <w:lang w:val="fr-CA"/>
        </w:rPr>
        <w:t>mélanges de frigorigènes</w:t>
      </w:r>
      <w:r w:rsidR="00FB0F9B" w:rsidRPr="00206486">
        <w:rPr>
          <w:lang w:val="fr-CA"/>
        </w:rPr>
        <w:t xml:space="preserve">. </w:t>
      </w:r>
    </w:p>
    <w:p w:rsidR="00FB0F9B" w:rsidRPr="00206486" w:rsidRDefault="008904C7" w:rsidP="00FB0F9B">
      <w:pPr>
        <w:pStyle w:val="Heading1"/>
        <w:keepNext/>
        <w:numPr>
          <w:ilvl w:val="0"/>
          <w:numId w:val="0"/>
        </w:numPr>
        <w:rPr>
          <w:u w:val="single"/>
          <w:lang w:val="fr-CA"/>
        </w:rPr>
      </w:pPr>
      <w:r w:rsidRPr="00206486">
        <w:rPr>
          <w:u w:val="single"/>
          <w:lang w:val="fr-CA"/>
        </w:rPr>
        <w:t>Stratégie d’é</w:t>
      </w:r>
      <w:r w:rsidR="002B0AAE" w:rsidRPr="00206486">
        <w:rPr>
          <w:u w:val="single"/>
          <w:lang w:val="fr-CA"/>
        </w:rPr>
        <w:t>limination</w:t>
      </w:r>
      <w:r w:rsidR="00FB0F9B" w:rsidRPr="00206486">
        <w:rPr>
          <w:u w:val="single"/>
          <w:lang w:val="fr-CA"/>
        </w:rPr>
        <w:t xml:space="preserve"> </w:t>
      </w:r>
      <w:r w:rsidRPr="00206486">
        <w:rPr>
          <w:u w:val="single"/>
          <w:lang w:val="fr-CA"/>
        </w:rPr>
        <w:t xml:space="preserve">à </w:t>
      </w:r>
      <w:r w:rsidR="0060390D" w:rsidRPr="00206486">
        <w:rPr>
          <w:u w:val="single"/>
          <w:lang w:val="fr-CA"/>
        </w:rPr>
        <w:t>la phase II</w:t>
      </w:r>
    </w:p>
    <w:p w:rsidR="00FB0F9B" w:rsidRPr="00206486" w:rsidRDefault="008904C7" w:rsidP="00FB0F9B">
      <w:pPr>
        <w:pStyle w:val="Heading1"/>
        <w:rPr>
          <w:lang w:val="fr-CA"/>
        </w:rPr>
      </w:pPr>
      <w:r w:rsidRPr="00206486">
        <w:rPr>
          <w:lang w:val="fr-CA"/>
        </w:rPr>
        <w:t>La phase</w:t>
      </w:r>
      <w:r w:rsidR="00FB0F9B" w:rsidRPr="00206486">
        <w:rPr>
          <w:lang w:val="fr-CA"/>
        </w:rPr>
        <w:t xml:space="preserve"> II </w:t>
      </w:r>
      <w:r w:rsidR="00C306D5" w:rsidRPr="00206486">
        <w:rPr>
          <w:lang w:val="fr-CA"/>
        </w:rPr>
        <w:t>du PGEH</w:t>
      </w:r>
      <w:r w:rsidR="00FB0F9B" w:rsidRPr="00206486">
        <w:rPr>
          <w:lang w:val="fr-CA"/>
        </w:rPr>
        <w:t xml:space="preserve"> </w:t>
      </w:r>
      <w:r w:rsidR="0039010B" w:rsidRPr="00206486">
        <w:rPr>
          <w:lang w:val="fr-CA"/>
        </w:rPr>
        <w:t>du Costa Rica</w:t>
      </w:r>
      <w:r w:rsidR="00FB0F9B" w:rsidRPr="00206486">
        <w:rPr>
          <w:lang w:val="fr-CA"/>
        </w:rPr>
        <w:t xml:space="preserve"> </w:t>
      </w:r>
      <w:r w:rsidRPr="00206486">
        <w:rPr>
          <w:lang w:val="fr-CA"/>
        </w:rPr>
        <w:t>couvre un plan de 10 ans selon le calendrier d’élimination du</w:t>
      </w:r>
      <w:r w:rsidR="000F2C18">
        <w:rPr>
          <w:lang w:val="fr-CA"/>
        </w:rPr>
        <w:t> </w:t>
      </w:r>
      <w:r w:rsidR="003B6C77" w:rsidRPr="00206486">
        <w:rPr>
          <w:lang w:val="fr-CA"/>
        </w:rPr>
        <w:t>Protocole de Montréal</w:t>
      </w:r>
      <w:r w:rsidR="00FB0F9B" w:rsidRPr="00206486">
        <w:rPr>
          <w:lang w:val="fr-CA"/>
        </w:rPr>
        <w:t xml:space="preserve"> </w:t>
      </w:r>
      <w:r w:rsidRPr="00206486">
        <w:rPr>
          <w:lang w:val="fr-CA"/>
        </w:rPr>
        <w:t xml:space="preserve">afin de réduire la consommation de </w:t>
      </w:r>
      <w:r w:rsidR="00FB0F9B" w:rsidRPr="00206486">
        <w:rPr>
          <w:lang w:val="fr-CA"/>
        </w:rPr>
        <w:t>6</w:t>
      </w:r>
      <w:r w:rsidR="00973255" w:rsidRPr="00206486">
        <w:rPr>
          <w:lang w:val="fr-CA"/>
        </w:rPr>
        <w:t>7,</w:t>
      </w:r>
      <w:r w:rsidR="00FB0F9B" w:rsidRPr="00206486">
        <w:rPr>
          <w:lang w:val="fr-CA"/>
        </w:rPr>
        <w:t xml:space="preserve">5 </w:t>
      </w:r>
      <w:r w:rsidR="0060390D" w:rsidRPr="00206486">
        <w:rPr>
          <w:lang w:val="fr-CA"/>
        </w:rPr>
        <w:t>pour cent</w:t>
      </w:r>
      <w:r w:rsidR="00FB0F9B" w:rsidRPr="00206486">
        <w:rPr>
          <w:lang w:val="fr-CA"/>
        </w:rPr>
        <w:t xml:space="preserve"> </w:t>
      </w:r>
      <w:r w:rsidRPr="00206486">
        <w:rPr>
          <w:lang w:val="fr-CA"/>
        </w:rPr>
        <w:t xml:space="preserve">de la valeur de référence </w:t>
      </w:r>
      <w:r w:rsidR="0060390D" w:rsidRPr="00206486">
        <w:rPr>
          <w:lang w:val="fr-CA"/>
        </w:rPr>
        <w:t>d’ici</w:t>
      </w:r>
      <w:r w:rsidRPr="00206486">
        <w:rPr>
          <w:lang w:val="fr-CA"/>
        </w:rPr>
        <w:t> </w:t>
      </w:r>
      <w:r w:rsidR="0060390D" w:rsidRPr="00206486">
        <w:rPr>
          <w:lang w:val="fr-CA"/>
        </w:rPr>
        <w:t>20</w:t>
      </w:r>
      <w:r w:rsidR="00FB0F9B" w:rsidRPr="00206486">
        <w:rPr>
          <w:lang w:val="fr-CA"/>
        </w:rPr>
        <w:t>25</w:t>
      </w:r>
      <w:r w:rsidR="0039010B" w:rsidRPr="00206486">
        <w:rPr>
          <w:lang w:val="fr-CA"/>
        </w:rPr>
        <w:t xml:space="preserve"> et </w:t>
      </w:r>
      <w:r w:rsidR="000F2C18">
        <w:rPr>
          <w:lang w:val="fr-CA"/>
        </w:rPr>
        <w:t xml:space="preserve">de </w:t>
      </w:r>
      <w:r w:rsidR="00FB0F9B" w:rsidRPr="00206486">
        <w:rPr>
          <w:lang w:val="fr-CA"/>
        </w:rPr>
        <w:t>9</w:t>
      </w:r>
      <w:r w:rsidR="00973255" w:rsidRPr="00206486">
        <w:rPr>
          <w:lang w:val="fr-CA"/>
        </w:rPr>
        <w:t>7,</w:t>
      </w:r>
      <w:r w:rsidR="00FB0F9B" w:rsidRPr="00206486">
        <w:rPr>
          <w:lang w:val="fr-CA"/>
        </w:rPr>
        <w:t xml:space="preserve">5 </w:t>
      </w:r>
      <w:r w:rsidR="0060390D" w:rsidRPr="00206486">
        <w:rPr>
          <w:lang w:val="fr-CA"/>
        </w:rPr>
        <w:t>pour cent</w:t>
      </w:r>
      <w:r w:rsidR="00FB0F9B" w:rsidRPr="00206486">
        <w:rPr>
          <w:lang w:val="fr-CA"/>
        </w:rPr>
        <w:t xml:space="preserve"> </w:t>
      </w:r>
      <w:r w:rsidR="0060390D" w:rsidRPr="00206486">
        <w:rPr>
          <w:lang w:val="fr-CA"/>
        </w:rPr>
        <w:t>d’ici 20</w:t>
      </w:r>
      <w:r w:rsidR="00FB0F9B" w:rsidRPr="00206486">
        <w:rPr>
          <w:lang w:val="fr-CA"/>
        </w:rPr>
        <w:t>3</w:t>
      </w:r>
      <w:r w:rsidR="00973255" w:rsidRPr="00206486">
        <w:rPr>
          <w:lang w:val="fr-CA"/>
        </w:rPr>
        <w:t>0</w:t>
      </w:r>
      <w:r w:rsidRPr="00206486">
        <w:rPr>
          <w:lang w:val="fr-CA"/>
        </w:rPr>
        <w:t>,</w:t>
      </w:r>
      <w:r w:rsidR="00973255" w:rsidRPr="00206486">
        <w:rPr>
          <w:lang w:val="fr-CA"/>
        </w:rPr>
        <w:t> </w:t>
      </w:r>
      <w:r w:rsidRPr="00206486">
        <w:rPr>
          <w:lang w:val="fr-CA"/>
        </w:rPr>
        <w:t xml:space="preserve">avec un résidu d’entretien de </w:t>
      </w:r>
      <w:r w:rsidR="00973255" w:rsidRPr="00206486">
        <w:rPr>
          <w:lang w:val="fr-CA"/>
        </w:rPr>
        <w:t>2,</w:t>
      </w:r>
      <w:r w:rsidR="00FB0F9B" w:rsidRPr="00206486">
        <w:rPr>
          <w:lang w:val="fr-CA"/>
        </w:rPr>
        <w:t xml:space="preserve">5 </w:t>
      </w:r>
      <w:r w:rsidR="0060390D" w:rsidRPr="00206486">
        <w:rPr>
          <w:lang w:val="fr-CA"/>
        </w:rPr>
        <w:t>pour cent</w:t>
      </w:r>
      <w:r w:rsidR="00FB0F9B" w:rsidRPr="00206486">
        <w:rPr>
          <w:lang w:val="fr-CA"/>
        </w:rPr>
        <w:t xml:space="preserve"> </w:t>
      </w:r>
      <w:r w:rsidRPr="00206486">
        <w:rPr>
          <w:lang w:val="fr-CA"/>
        </w:rPr>
        <w:t xml:space="preserve">jusqu’en </w:t>
      </w:r>
      <w:r w:rsidR="00FB0F9B" w:rsidRPr="00206486">
        <w:rPr>
          <w:lang w:val="fr-CA"/>
        </w:rPr>
        <w:t>204</w:t>
      </w:r>
      <w:r w:rsidR="00973255" w:rsidRPr="00206486">
        <w:rPr>
          <w:lang w:val="fr-CA"/>
        </w:rPr>
        <w:t>0</w:t>
      </w:r>
      <w:r w:rsidRPr="00206486">
        <w:rPr>
          <w:lang w:val="fr-CA"/>
        </w:rPr>
        <w:t>.</w:t>
      </w:r>
      <w:r w:rsidR="00FB0F9B" w:rsidRPr="00206486">
        <w:rPr>
          <w:lang w:val="fr-CA"/>
        </w:rPr>
        <w:t xml:space="preserve"> </w:t>
      </w:r>
    </w:p>
    <w:p w:rsidR="00FB0F9B" w:rsidRPr="00206486" w:rsidRDefault="00F8445E" w:rsidP="00FB0F9B">
      <w:pPr>
        <w:pStyle w:val="Heading1"/>
        <w:rPr>
          <w:lang w:val="fr-CA"/>
        </w:rPr>
      </w:pPr>
      <w:r w:rsidRPr="00206486">
        <w:rPr>
          <w:lang w:val="fr-CA"/>
        </w:rPr>
        <w:t>Le gouvernement</w:t>
      </w:r>
      <w:r w:rsidR="008904C7" w:rsidRPr="00206486">
        <w:rPr>
          <w:lang w:val="fr-CA"/>
        </w:rPr>
        <w:t xml:space="preserve"> s’</w:t>
      </w:r>
      <w:r w:rsidR="003B6C77" w:rsidRPr="00206486">
        <w:rPr>
          <w:lang w:val="fr-CA"/>
        </w:rPr>
        <w:t xml:space="preserve">est </w:t>
      </w:r>
      <w:r w:rsidR="008904C7" w:rsidRPr="00206486">
        <w:rPr>
          <w:lang w:val="fr-CA"/>
        </w:rPr>
        <w:t xml:space="preserve">engagé à réaliser la neutralité carbonique </w:t>
      </w:r>
      <w:r w:rsidR="0060390D" w:rsidRPr="00206486">
        <w:rPr>
          <w:lang w:val="fr-CA"/>
        </w:rPr>
        <w:t>d’ici 20</w:t>
      </w:r>
      <w:r w:rsidR="00FB0F9B" w:rsidRPr="00206486">
        <w:rPr>
          <w:lang w:val="fr-CA"/>
        </w:rPr>
        <w:t>2</w:t>
      </w:r>
      <w:r w:rsidR="00BD19D4" w:rsidRPr="00206486">
        <w:rPr>
          <w:lang w:val="fr-CA"/>
        </w:rPr>
        <w:t>1</w:t>
      </w:r>
      <w:r w:rsidR="008904C7" w:rsidRPr="00206486">
        <w:rPr>
          <w:lang w:val="fr-CA"/>
        </w:rPr>
        <w:t>,</w:t>
      </w:r>
      <w:r w:rsidR="00BD19D4" w:rsidRPr="00206486">
        <w:rPr>
          <w:lang w:val="fr-CA"/>
        </w:rPr>
        <w:t> </w:t>
      </w:r>
      <w:r w:rsidR="0039010B" w:rsidRPr="00206486">
        <w:rPr>
          <w:lang w:val="fr-CA"/>
        </w:rPr>
        <w:t xml:space="preserve">et </w:t>
      </w:r>
      <w:r w:rsidR="008904C7" w:rsidRPr="00206486">
        <w:rPr>
          <w:lang w:val="fr-CA"/>
        </w:rPr>
        <w:t xml:space="preserve">il entend traiter l’élimination des </w:t>
      </w:r>
      <w:r w:rsidR="00FB0F9B" w:rsidRPr="00206486">
        <w:rPr>
          <w:lang w:val="fr-CA"/>
        </w:rPr>
        <w:t xml:space="preserve">HCFC </w:t>
      </w:r>
      <w:r w:rsidR="0039010B" w:rsidRPr="00206486">
        <w:rPr>
          <w:lang w:val="fr-CA"/>
        </w:rPr>
        <w:t xml:space="preserve">et </w:t>
      </w:r>
      <w:r w:rsidR="008904C7" w:rsidRPr="00206486">
        <w:rPr>
          <w:lang w:val="fr-CA"/>
        </w:rPr>
        <w:t xml:space="preserve">la réduction progressive des </w:t>
      </w:r>
      <w:r w:rsidR="00FB0F9B" w:rsidRPr="00206486">
        <w:rPr>
          <w:lang w:val="fr-CA"/>
        </w:rPr>
        <w:t xml:space="preserve">HFC </w:t>
      </w:r>
      <w:r w:rsidR="008904C7" w:rsidRPr="00206486">
        <w:rPr>
          <w:lang w:val="fr-CA"/>
        </w:rPr>
        <w:t>simultanément afin d’optimiser les</w:t>
      </w:r>
      <w:r w:rsidR="000F2C18">
        <w:rPr>
          <w:lang w:val="fr-CA"/>
        </w:rPr>
        <w:t> </w:t>
      </w:r>
      <w:r w:rsidR="008904C7" w:rsidRPr="00206486">
        <w:rPr>
          <w:lang w:val="fr-CA"/>
        </w:rPr>
        <w:t>avantages pour l’environnement</w:t>
      </w:r>
      <w:r w:rsidR="00FB0F9B" w:rsidRPr="00206486">
        <w:rPr>
          <w:lang w:val="fr-CA"/>
        </w:rPr>
        <w:t xml:space="preserve">. </w:t>
      </w:r>
    </w:p>
    <w:p w:rsidR="00FB0F9B" w:rsidRPr="00206486" w:rsidRDefault="008904C7" w:rsidP="00FB0F9B">
      <w:pPr>
        <w:rPr>
          <w:u w:val="single"/>
          <w:lang w:val="fr-CA"/>
        </w:rPr>
      </w:pPr>
      <w:r w:rsidRPr="00206486">
        <w:rPr>
          <w:u w:val="single"/>
          <w:lang w:val="fr-CA"/>
        </w:rPr>
        <w:t xml:space="preserve">Activités proposées à </w:t>
      </w:r>
      <w:r w:rsidR="0060390D" w:rsidRPr="00206486">
        <w:rPr>
          <w:u w:val="single"/>
          <w:lang w:val="fr-CA"/>
        </w:rPr>
        <w:t>la phase II</w:t>
      </w:r>
      <w:r w:rsidR="00FB0F9B" w:rsidRPr="00206486">
        <w:rPr>
          <w:u w:val="single"/>
          <w:lang w:val="fr-CA"/>
        </w:rPr>
        <w:t xml:space="preserve"> </w:t>
      </w:r>
      <w:r w:rsidR="00C306D5" w:rsidRPr="00206486">
        <w:rPr>
          <w:u w:val="single"/>
          <w:lang w:val="fr-CA"/>
        </w:rPr>
        <w:t>du PGEH</w:t>
      </w:r>
    </w:p>
    <w:p w:rsidR="00FB0F9B" w:rsidRPr="00206486" w:rsidRDefault="00FB0F9B" w:rsidP="00FB0F9B">
      <w:pPr>
        <w:rPr>
          <w:lang w:val="fr-CA"/>
        </w:rPr>
      </w:pPr>
    </w:p>
    <w:p w:rsidR="00FB0F9B" w:rsidRPr="00206486" w:rsidRDefault="00F8445E" w:rsidP="00FB0F9B">
      <w:pPr>
        <w:pStyle w:val="Heading1"/>
        <w:rPr>
          <w:lang w:val="fr-CA"/>
        </w:rPr>
      </w:pPr>
      <w:r w:rsidRPr="00206486">
        <w:rPr>
          <w:lang w:val="fr-CA"/>
        </w:rPr>
        <w:t>Le gouvernement</w:t>
      </w:r>
      <w:r w:rsidR="00FB0F9B" w:rsidRPr="00206486">
        <w:rPr>
          <w:lang w:val="fr-CA"/>
        </w:rPr>
        <w:t xml:space="preserve"> </w:t>
      </w:r>
      <w:r w:rsidR="008904C7" w:rsidRPr="00206486">
        <w:rPr>
          <w:lang w:val="fr-CA"/>
        </w:rPr>
        <w:t>renforcera la cadre juridique</w:t>
      </w:r>
      <w:r w:rsidR="00FB0F9B" w:rsidRPr="00206486">
        <w:rPr>
          <w:lang w:val="fr-CA"/>
        </w:rPr>
        <w:t>, continue</w:t>
      </w:r>
      <w:r w:rsidR="008904C7" w:rsidRPr="00206486">
        <w:rPr>
          <w:lang w:val="fr-CA"/>
        </w:rPr>
        <w:t>ra</w:t>
      </w:r>
      <w:r w:rsidR="00FB0F9B" w:rsidRPr="00206486">
        <w:rPr>
          <w:lang w:val="fr-CA"/>
        </w:rPr>
        <w:t xml:space="preserve"> </w:t>
      </w:r>
      <w:r w:rsidR="008904C7" w:rsidRPr="00206486">
        <w:rPr>
          <w:lang w:val="fr-CA"/>
        </w:rPr>
        <w:t xml:space="preserve">d’exécuter le </w:t>
      </w:r>
      <w:r w:rsidR="003B6C77" w:rsidRPr="00206486">
        <w:rPr>
          <w:lang w:val="fr-CA"/>
        </w:rPr>
        <w:t xml:space="preserve">système d’autorisation et de contingentement </w:t>
      </w:r>
      <w:r w:rsidR="008904C7" w:rsidRPr="00206486">
        <w:rPr>
          <w:lang w:val="fr-CA"/>
        </w:rPr>
        <w:t xml:space="preserve">afin de contrôler l’approvisionnement </w:t>
      </w:r>
      <w:r w:rsidR="0060390D" w:rsidRPr="00206486">
        <w:rPr>
          <w:lang w:val="fr-CA"/>
        </w:rPr>
        <w:t>de HCFC</w:t>
      </w:r>
      <w:r w:rsidR="00FB0F9B" w:rsidRPr="00206486">
        <w:rPr>
          <w:lang w:val="fr-CA"/>
        </w:rPr>
        <w:t>,</w:t>
      </w:r>
      <w:r w:rsidR="0039010B" w:rsidRPr="00206486">
        <w:rPr>
          <w:lang w:val="fr-CA"/>
        </w:rPr>
        <w:t xml:space="preserve"> </w:t>
      </w:r>
      <w:r w:rsidR="000F2C18">
        <w:rPr>
          <w:lang w:val="fr-CA"/>
        </w:rPr>
        <w:t>ainsi que</w:t>
      </w:r>
      <w:r w:rsidR="0039010B" w:rsidRPr="00206486">
        <w:rPr>
          <w:lang w:val="fr-CA"/>
        </w:rPr>
        <w:t xml:space="preserve"> </w:t>
      </w:r>
      <w:r w:rsidR="008904C7" w:rsidRPr="00206486">
        <w:rPr>
          <w:lang w:val="fr-CA"/>
        </w:rPr>
        <w:t xml:space="preserve">la capacité de réduire les émissions de </w:t>
      </w:r>
      <w:r w:rsidR="00FB0F9B" w:rsidRPr="00206486">
        <w:rPr>
          <w:lang w:val="fr-CA"/>
        </w:rPr>
        <w:t xml:space="preserve">HCFC </w:t>
      </w:r>
      <w:r w:rsidR="008904C7" w:rsidRPr="00206486">
        <w:rPr>
          <w:lang w:val="fr-CA"/>
        </w:rPr>
        <w:t>lors de l’entretien et de maintenir les équipements de climatisation individuels (</w:t>
      </w:r>
      <w:r w:rsidR="00FB0F9B" w:rsidRPr="00206486">
        <w:rPr>
          <w:lang w:val="fr-CA"/>
        </w:rPr>
        <w:t>RAC</w:t>
      </w:r>
      <w:r w:rsidR="008904C7" w:rsidRPr="00206486">
        <w:rPr>
          <w:lang w:val="fr-CA"/>
        </w:rPr>
        <w:t>)</w:t>
      </w:r>
      <w:r w:rsidR="00FB0F9B" w:rsidRPr="00206486">
        <w:rPr>
          <w:lang w:val="fr-CA"/>
        </w:rPr>
        <w:t xml:space="preserve">. </w:t>
      </w:r>
      <w:r w:rsidR="008904C7" w:rsidRPr="00206486">
        <w:rPr>
          <w:lang w:val="fr-CA"/>
        </w:rPr>
        <w:t xml:space="preserve">Il améliorera aussi la capacité des </w:t>
      </w:r>
      <w:r w:rsidR="00AA3256" w:rsidRPr="00206486">
        <w:rPr>
          <w:lang w:val="fr-CA"/>
        </w:rPr>
        <w:t>techniciens en réfrigération</w:t>
      </w:r>
      <w:r w:rsidR="00FB0F9B" w:rsidRPr="00206486">
        <w:rPr>
          <w:lang w:val="fr-CA"/>
        </w:rPr>
        <w:t xml:space="preserve"> </w:t>
      </w:r>
      <w:r w:rsidR="008904C7" w:rsidRPr="00206486">
        <w:rPr>
          <w:lang w:val="fr-CA"/>
        </w:rPr>
        <w:t>en</w:t>
      </w:r>
      <w:r w:rsidR="00FB0F9B" w:rsidRPr="00206486">
        <w:rPr>
          <w:lang w:val="fr-CA"/>
        </w:rPr>
        <w:t xml:space="preserve"> </w:t>
      </w:r>
      <w:r w:rsidR="008904C7" w:rsidRPr="00206486">
        <w:rPr>
          <w:lang w:val="fr-CA"/>
        </w:rPr>
        <w:t>bonnes pratiques d’entretien</w:t>
      </w:r>
      <w:r w:rsidR="0039010B" w:rsidRPr="00206486">
        <w:rPr>
          <w:lang w:val="fr-CA"/>
        </w:rPr>
        <w:t xml:space="preserve"> et</w:t>
      </w:r>
      <w:r w:rsidR="000F2C18">
        <w:rPr>
          <w:lang w:val="fr-CA"/>
        </w:rPr>
        <w:t> </w:t>
      </w:r>
      <w:r w:rsidR="008904C7" w:rsidRPr="00206486">
        <w:rPr>
          <w:lang w:val="fr-CA"/>
        </w:rPr>
        <w:t xml:space="preserve">favorisera la </w:t>
      </w:r>
      <w:r w:rsidR="00FB0F9B" w:rsidRPr="00206486">
        <w:rPr>
          <w:lang w:val="fr-CA"/>
        </w:rPr>
        <w:t xml:space="preserve">certification </w:t>
      </w:r>
      <w:r w:rsidR="008904C7" w:rsidRPr="00206486">
        <w:rPr>
          <w:lang w:val="fr-CA"/>
        </w:rPr>
        <w:t>des</w:t>
      </w:r>
      <w:r w:rsidR="00FB0F9B" w:rsidRPr="00206486">
        <w:rPr>
          <w:lang w:val="fr-CA"/>
        </w:rPr>
        <w:t xml:space="preserve"> </w:t>
      </w:r>
      <w:r w:rsidR="00AA3256" w:rsidRPr="00206486">
        <w:rPr>
          <w:lang w:val="fr-CA"/>
        </w:rPr>
        <w:t>technicien</w:t>
      </w:r>
      <w:r w:rsidR="00FB0F9B" w:rsidRPr="00206486">
        <w:rPr>
          <w:lang w:val="fr-CA"/>
        </w:rPr>
        <w:t xml:space="preserve">s </w:t>
      </w:r>
      <w:r w:rsidR="008904C7" w:rsidRPr="00206486">
        <w:rPr>
          <w:lang w:val="fr-CA"/>
        </w:rPr>
        <w:t>afin d’assurer la transition sécuritaire vers des solutions de</w:t>
      </w:r>
      <w:r w:rsidR="000F2C18">
        <w:rPr>
          <w:lang w:val="fr-CA"/>
        </w:rPr>
        <w:t> </w:t>
      </w:r>
      <w:r w:rsidR="008904C7" w:rsidRPr="00206486">
        <w:rPr>
          <w:lang w:val="fr-CA"/>
        </w:rPr>
        <w:t xml:space="preserve">remplacement à faible potentiel de réchauffement de la planète (PRG/GWP) </w:t>
      </w:r>
      <w:r w:rsidR="0039010B" w:rsidRPr="00206486">
        <w:rPr>
          <w:lang w:val="fr-CA"/>
        </w:rPr>
        <w:t xml:space="preserve">et </w:t>
      </w:r>
      <w:r w:rsidR="008904C7" w:rsidRPr="00206486">
        <w:rPr>
          <w:lang w:val="fr-CA"/>
        </w:rPr>
        <w:t>des technologies écoénergétiques</w:t>
      </w:r>
      <w:r w:rsidR="000F2C18">
        <w:rPr>
          <w:lang w:val="fr-CA"/>
        </w:rPr>
        <w:t>. I</w:t>
      </w:r>
      <w:r w:rsidR="008904C7" w:rsidRPr="00206486">
        <w:rPr>
          <w:lang w:val="fr-CA"/>
        </w:rPr>
        <w:t xml:space="preserve">l renforcera la récupération des </w:t>
      </w:r>
      <w:r w:rsidR="003B6C77" w:rsidRPr="00206486">
        <w:rPr>
          <w:lang w:val="fr-CA"/>
        </w:rPr>
        <w:t>frigorigène</w:t>
      </w:r>
      <w:r w:rsidR="008904C7" w:rsidRPr="00206486">
        <w:rPr>
          <w:lang w:val="fr-CA"/>
        </w:rPr>
        <w:t>s</w:t>
      </w:r>
      <w:r w:rsidR="00FB0F9B" w:rsidRPr="00206486">
        <w:rPr>
          <w:lang w:val="fr-CA"/>
        </w:rPr>
        <w:t xml:space="preserve">, </w:t>
      </w:r>
      <w:r w:rsidR="008904C7" w:rsidRPr="00206486">
        <w:rPr>
          <w:lang w:val="fr-CA"/>
        </w:rPr>
        <w:t>la réutilisation et la régénération</w:t>
      </w:r>
      <w:r w:rsidR="00FB0F9B" w:rsidRPr="00206486">
        <w:rPr>
          <w:lang w:val="fr-CA"/>
        </w:rPr>
        <w:t>.</w:t>
      </w:r>
      <w:r w:rsidR="0060390D" w:rsidRPr="00206486">
        <w:rPr>
          <w:lang w:val="fr-CA"/>
        </w:rPr>
        <w:t xml:space="preserve"> </w:t>
      </w:r>
      <w:r w:rsidR="008904C7" w:rsidRPr="00206486">
        <w:rPr>
          <w:lang w:val="fr-CA"/>
        </w:rPr>
        <w:t>L</w:t>
      </w:r>
      <w:r w:rsidR="0060390D" w:rsidRPr="00206486">
        <w:rPr>
          <w:lang w:val="fr-CA"/>
        </w:rPr>
        <w:t>a</w:t>
      </w:r>
      <w:r w:rsidR="008904C7" w:rsidRPr="00206486">
        <w:rPr>
          <w:lang w:val="fr-CA"/>
        </w:rPr>
        <w:t> </w:t>
      </w:r>
      <w:r w:rsidR="0060390D" w:rsidRPr="00206486">
        <w:rPr>
          <w:lang w:val="fr-CA"/>
        </w:rPr>
        <w:t>phase</w:t>
      </w:r>
      <w:r w:rsidR="000F2C18">
        <w:rPr>
          <w:lang w:val="fr-CA"/>
        </w:rPr>
        <w:t> </w:t>
      </w:r>
      <w:r w:rsidR="0060390D" w:rsidRPr="00206486">
        <w:rPr>
          <w:lang w:val="fr-CA"/>
        </w:rPr>
        <w:t>II</w:t>
      </w:r>
      <w:r w:rsidR="00FB0F9B" w:rsidRPr="00206486">
        <w:rPr>
          <w:lang w:val="fr-CA"/>
        </w:rPr>
        <w:t xml:space="preserve"> </w:t>
      </w:r>
      <w:r w:rsidR="008904C7" w:rsidRPr="00206486">
        <w:rPr>
          <w:lang w:val="fr-CA"/>
        </w:rPr>
        <w:t xml:space="preserve">éliminera aussi l’utilisation des polyols prémélangés avec </w:t>
      </w:r>
      <w:r w:rsidR="0060390D" w:rsidRPr="00206486">
        <w:rPr>
          <w:lang w:val="fr-CA"/>
        </w:rPr>
        <w:t>HCFC</w:t>
      </w:r>
      <w:r w:rsidR="00FB0F9B" w:rsidRPr="00206486">
        <w:rPr>
          <w:lang w:val="fr-CA"/>
        </w:rPr>
        <w:t xml:space="preserve">-141b. </w:t>
      </w:r>
    </w:p>
    <w:p w:rsidR="00FB0F9B" w:rsidRPr="000F2C18" w:rsidRDefault="00AA3256" w:rsidP="00FB0F9B">
      <w:pPr>
        <w:pStyle w:val="Heading1"/>
        <w:numPr>
          <w:ilvl w:val="0"/>
          <w:numId w:val="0"/>
        </w:numPr>
        <w:rPr>
          <w:lang w:val="fr-CA"/>
        </w:rPr>
      </w:pPr>
      <w:r w:rsidRPr="00206486">
        <w:rPr>
          <w:i/>
          <w:lang w:val="fr-CA"/>
        </w:rPr>
        <w:t>Activités</w:t>
      </w:r>
      <w:r w:rsidR="00FB0F9B" w:rsidRPr="00206486">
        <w:rPr>
          <w:i/>
          <w:lang w:val="fr-CA"/>
        </w:rPr>
        <w:t xml:space="preserve"> </w:t>
      </w:r>
      <w:r w:rsidR="00C323A2" w:rsidRPr="00206486">
        <w:rPr>
          <w:i/>
          <w:lang w:val="fr-CA"/>
        </w:rPr>
        <w:t xml:space="preserve">du secteur des </w:t>
      </w:r>
      <w:r w:rsidR="00206486" w:rsidRPr="00206486">
        <w:rPr>
          <w:i/>
          <w:lang w:val="fr-CA"/>
        </w:rPr>
        <w:t>mousses</w:t>
      </w:r>
      <w:r w:rsidR="00C323A2" w:rsidRPr="00206486">
        <w:rPr>
          <w:i/>
          <w:lang w:val="fr-CA"/>
        </w:rPr>
        <w:t xml:space="preserve"> de polyuréthane (</w:t>
      </w:r>
      <w:r w:rsidR="00FB0F9B" w:rsidRPr="00206486">
        <w:rPr>
          <w:i/>
          <w:lang w:val="fr-CA"/>
        </w:rPr>
        <w:t>PU</w:t>
      </w:r>
      <w:r w:rsidR="00C323A2" w:rsidRPr="00206486">
        <w:rPr>
          <w:i/>
          <w:lang w:val="fr-CA"/>
        </w:rPr>
        <w:t>)</w:t>
      </w:r>
    </w:p>
    <w:p w:rsidR="00FB0F9B" w:rsidRPr="00206486" w:rsidRDefault="00C323A2" w:rsidP="00FB0F9B">
      <w:pPr>
        <w:pStyle w:val="Heading1"/>
        <w:rPr>
          <w:lang w:val="fr-CA"/>
        </w:rPr>
      </w:pPr>
      <w:r w:rsidRPr="00206486">
        <w:rPr>
          <w:lang w:val="fr-CA"/>
        </w:rPr>
        <w:t>La p</w:t>
      </w:r>
      <w:r w:rsidR="008904C7" w:rsidRPr="00206486">
        <w:rPr>
          <w:lang w:val="fr-CA"/>
        </w:rPr>
        <w:t>hase</w:t>
      </w:r>
      <w:r w:rsidR="00FB0F9B" w:rsidRPr="00206486">
        <w:rPr>
          <w:lang w:val="fr-CA"/>
        </w:rPr>
        <w:t xml:space="preserve"> II </w:t>
      </w:r>
      <w:r w:rsidRPr="00206486">
        <w:rPr>
          <w:lang w:val="fr-CA"/>
        </w:rPr>
        <w:t>comprend une proposition de projet visant à remplacer</w:t>
      </w:r>
      <w:r w:rsidR="00FB0F9B" w:rsidRPr="00206486">
        <w:rPr>
          <w:lang w:val="fr-CA"/>
        </w:rPr>
        <w:t xml:space="preserve"> </w:t>
      </w:r>
      <w:r w:rsidR="00973255" w:rsidRPr="00206486">
        <w:rPr>
          <w:lang w:val="fr-CA"/>
        </w:rPr>
        <w:t>6,</w:t>
      </w:r>
      <w:r w:rsidR="00FB0F9B" w:rsidRPr="00206486">
        <w:rPr>
          <w:lang w:val="fr-CA"/>
        </w:rPr>
        <w:t>24</w:t>
      </w:r>
      <w:r w:rsidR="0039010B" w:rsidRPr="00206486">
        <w:rPr>
          <w:lang w:val="fr-CA"/>
        </w:rPr>
        <w:t xml:space="preserve"> tm </w:t>
      </w:r>
      <w:r w:rsidR="00FB0F9B" w:rsidRPr="00206486">
        <w:rPr>
          <w:lang w:val="fr-CA"/>
        </w:rPr>
        <w:t>(</w:t>
      </w:r>
      <w:r w:rsidR="00973255" w:rsidRPr="00206486">
        <w:rPr>
          <w:lang w:val="fr-CA"/>
        </w:rPr>
        <w:t>0,</w:t>
      </w:r>
      <w:r w:rsidR="00FB0F9B" w:rsidRPr="00206486">
        <w:rPr>
          <w:lang w:val="fr-CA"/>
        </w:rPr>
        <w:t>69</w:t>
      </w:r>
      <w:r w:rsidR="00C02492" w:rsidRPr="00206486">
        <w:rPr>
          <w:lang w:val="fr-CA"/>
        </w:rPr>
        <w:t xml:space="preserve"> tonnes PAO</w:t>
      </w:r>
      <w:r w:rsidR="00FB0F9B" w:rsidRPr="00206486">
        <w:rPr>
          <w:lang w:val="fr-CA"/>
        </w:rPr>
        <w:t xml:space="preserve">) </w:t>
      </w:r>
      <w:r w:rsidR="0060390D" w:rsidRPr="00206486">
        <w:rPr>
          <w:lang w:val="fr-CA"/>
        </w:rPr>
        <w:t>de</w:t>
      </w:r>
      <w:r w:rsidR="000F2C18">
        <w:rPr>
          <w:lang w:val="fr-CA"/>
        </w:rPr>
        <w:t> </w:t>
      </w:r>
      <w:r w:rsidR="0060390D" w:rsidRPr="00206486">
        <w:rPr>
          <w:lang w:val="fr-CA"/>
        </w:rPr>
        <w:t>HCFC</w:t>
      </w:r>
      <w:r w:rsidR="00FB0F9B" w:rsidRPr="00206486">
        <w:rPr>
          <w:lang w:val="fr-CA"/>
        </w:rPr>
        <w:noBreakHyphen/>
        <w:t xml:space="preserve">141b </w:t>
      </w:r>
      <w:r w:rsidR="0039010B" w:rsidRPr="00206486">
        <w:rPr>
          <w:lang w:val="fr-CA"/>
        </w:rPr>
        <w:t>contenu</w:t>
      </w:r>
      <w:r w:rsidR="000F2C18">
        <w:rPr>
          <w:lang w:val="fr-CA"/>
        </w:rPr>
        <w:t xml:space="preserve">es </w:t>
      </w:r>
      <w:r w:rsidR="00FB0F9B" w:rsidRPr="00206486">
        <w:rPr>
          <w:lang w:val="fr-CA"/>
        </w:rPr>
        <w:t xml:space="preserve"> </w:t>
      </w:r>
      <w:r w:rsidR="00EB2126" w:rsidRPr="00206486">
        <w:rPr>
          <w:lang w:val="fr-CA"/>
        </w:rPr>
        <w:t xml:space="preserve">dans </w:t>
      </w:r>
      <w:r w:rsidRPr="00206486">
        <w:rPr>
          <w:lang w:val="fr-CA"/>
        </w:rPr>
        <w:t>l</w:t>
      </w:r>
      <w:r w:rsidR="00EB2126" w:rsidRPr="00206486">
        <w:rPr>
          <w:lang w:val="fr-CA"/>
        </w:rPr>
        <w:t>es polyols</w:t>
      </w:r>
      <w:r w:rsidR="0060390D" w:rsidRPr="00206486">
        <w:rPr>
          <w:lang w:val="fr-CA"/>
        </w:rPr>
        <w:t xml:space="preserve"> prémélangés importés</w:t>
      </w:r>
      <w:r w:rsidR="008904C7" w:rsidRPr="00206486">
        <w:rPr>
          <w:lang w:val="fr-CA"/>
        </w:rPr>
        <w:t xml:space="preserve"> utilisé</w:t>
      </w:r>
      <w:r w:rsidRPr="00206486">
        <w:rPr>
          <w:lang w:val="fr-CA"/>
        </w:rPr>
        <w:t>s</w:t>
      </w:r>
      <w:r w:rsidR="00FB0F9B" w:rsidRPr="00206486">
        <w:rPr>
          <w:lang w:val="fr-CA"/>
        </w:rPr>
        <w:t xml:space="preserve"> </w:t>
      </w:r>
      <w:r w:rsidRPr="00206486">
        <w:rPr>
          <w:lang w:val="fr-CA"/>
        </w:rPr>
        <w:t>pour la fabrication des mousses de</w:t>
      </w:r>
      <w:r w:rsidR="000F2C18">
        <w:rPr>
          <w:lang w:val="fr-CA"/>
        </w:rPr>
        <w:t> </w:t>
      </w:r>
      <w:r w:rsidRPr="00206486">
        <w:rPr>
          <w:lang w:val="fr-CA"/>
        </w:rPr>
        <w:t>polyuréthane avec HFO</w:t>
      </w:r>
      <w:r w:rsidRPr="00206486">
        <w:rPr>
          <w:lang w:val="fr-CA"/>
        </w:rPr>
        <w:noBreakHyphen/>
        <w:t xml:space="preserve">1233zd à </w:t>
      </w:r>
      <w:r w:rsidR="00FB0F9B" w:rsidRPr="00206486">
        <w:rPr>
          <w:lang w:val="fr-CA"/>
        </w:rPr>
        <w:t>Refrigeracion Omega</w:t>
      </w:r>
      <w:r w:rsidR="00FB0F9B" w:rsidRPr="00206486">
        <w:rPr>
          <w:rStyle w:val="FootnoteReference"/>
          <w:lang w:val="fr-CA"/>
        </w:rPr>
        <w:footnoteReference w:id="5"/>
      </w:r>
      <w:r w:rsidR="00FB0F9B" w:rsidRPr="00206486">
        <w:rPr>
          <w:lang w:val="fr-CA"/>
        </w:rPr>
        <w:t xml:space="preserve">. Refrigeracion Omega </w:t>
      </w:r>
      <w:r w:rsidRPr="00206486">
        <w:rPr>
          <w:lang w:val="fr-CA"/>
        </w:rPr>
        <w:t xml:space="preserve">a été </w:t>
      </w:r>
      <w:r w:rsidR="003B6C77" w:rsidRPr="00206486">
        <w:rPr>
          <w:lang w:val="fr-CA"/>
        </w:rPr>
        <w:t>établi</w:t>
      </w:r>
      <w:r w:rsidRPr="00206486">
        <w:rPr>
          <w:lang w:val="fr-CA"/>
        </w:rPr>
        <w:t>e</w:t>
      </w:r>
      <w:r w:rsidR="00FB0F9B" w:rsidRPr="00206486">
        <w:rPr>
          <w:lang w:val="fr-CA"/>
        </w:rPr>
        <w:t xml:space="preserve"> </w:t>
      </w:r>
      <w:r w:rsidRPr="00206486">
        <w:rPr>
          <w:lang w:val="fr-CA"/>
        </w:rPr>
        <w:t>e</w:t>
      </w:r>
      <w:r w:rsidR="00FB0F9B" w:rsidRPr="00206486">
        <w:rPr>
          <w:lang w:val="fr-CA"/>
        </w:rPr>
        <w:t>n</w:t>
      </w:r>
      <w:r w:rsidR="000F2C18">
        <w:rPr>
          <w:lang w:val="fr-CA"/>
        </w:rPr>
        <w:t> </w:t>
      </w:r>
      <w:r w:rsidR="00FB0F9B" w:rsidRPr="00206486">
        <w:rPr>
          <w:lang w:val="fr-CA"/>
        </w:rPr>
        <w:t>198</w:t>
      </w:r>
      <w:r w:rsidR="00BD19D4" w:rsidRPr="00206486">
        <w:rPr>
          <w:lang w:val="fr-CA"/>
        </w:rPr>
        <w:t>5</w:t>
      </w:r>
      <w:r w:rsidR="000F2C18">
        <w:rPr>
          <w:lang w:val="fr-CA"/>
        </w:rPr>
        <w:t>;</w:t>
      </w:r>
      <w:r w:rsidR="00BD19D4" w:rsidRPr="00206486">
        <w:rPr>
          <w:lang w:val="fr-CA"/>
        </w:rPr>
        <w:t> </w:t>
      </w:r>
      <w:r w:rsidRPr="00206486">
        <w:rPr>
          <w:lang w:val="fr-CA"/>
        </w:rPr>
        <w:t>elle e</w:t>
      </w:r>
      <w:r w:rsidR="003B6C77" w:rsidRPr="00206486">
        <w:rPr>
          <w:lang w:val="fr-CA"/>
        </w:rPr>
        <w:t xml:space="preserve">st </w:t>
      </w:r>
      <w:r w:rsidRPr="00206486">
        <w:rPr>
          <w:lang w:val="fr-CA"/>
        </w:rPr>
        <w:t xml:space="preserve">détenue nationalement à </w:t>
      </w:r>
      <w:r w:rsidR="00FB0F9B" w:rsidRPr="00206486">
        <w:rPr>
          <w:lang w:val="fr-CA"/>
        </w:rPr>
        <w:t xml:space="preserve">100 </w:t>
      </w:r>
      <w:r w:rsidR="0060390D" w:rsidRPr="00206486">
        <w:rPr>
          <w:lang w:val="fr-CA"/>
        </w:rPr>
        <w:t>pour cent</w:t>
      </w:r>
      <w:r w:rsidR="00FB0F9B" w:rsidRPr="00206486">
        <w:rPr>
          <w:lang w:val="fr-CA"/>
        </w:rPr>
        <w:t xml:space="preserve"> </w:t>
      </w:r>
      <w:r w:rsidR="0039010B" w:rsidRPr="00206486">
        <w:rPr>
          <w:lang w:val="fr-CA"/>
        </w:rPr>
        <w:t xml:space="preserve">et </w:t>
      </w:r>
      <w:r w:rsidR="00FB0F9B" w:rsidRPr="00206486">
        <w:rPr>
          <w:lang w:val="fr-CA"/>
        </w:rPr>
        <w:t>produ</w:t>
      </w:r>
      <w:r w:rsidRPr="00206486">
        <w:rPr>
          <w:lang w:val="fr-CA"/>
        </w:rPr>
        <w:t>it des équipements de réfrigération commerciale, dont des porte-bouteilles, des congélateurs et des présentoirs verticaux et horizontaux</w:t>
      </w:r>
      <w:r w:rsidR="00FB0F9B" w:rsidRPr="00206486">
        <w:rPr>
          <w:lang w:val="fr-CA"/>
        </w:rPr>
        <w:t>,</w:t>
      </w:r>
      <w:r w:rsidR="0039010B" w:rsidRPr="00206486">
        <w:rPr>
          <w:lang w:val="fr-CA"/>
        </w:rPr>
        <w:t xml:space="preserve"> </w:t>
      </w:r>
      <w:r w:rsidR="000F2C18">
        <w:rPr>
          <w:lang w:val="fr-CA"/>
        </w:rPr>
        <w:t>ainsi que</w:t>
      </w:r>
      <w:r w:rsidR="0039010B" w:rsidRPr="00206486">
        <w:rPr>
          <w:lang w:val="fr-CA"/>
        </w:rPr>
        <w:t xml:space="preserve"> </w:t>
      </w:r>
      <w:r w:rsidRPr="00206486">
        <w:rPr>
          <w:lang w:val="fr-CA"/>
        </w:rPr>
        <w:t xml:space="preserve">des chambres froides pour le marché domestique. </w:t>
      </w:r>
    </w:p>
    <w:p w:rsidR="00FB0F9B" w:rsidRPr="00206486" w:rsidRDefault="00C323A2" w:rsidP="00FB0F9B">
      <w:pPr>
        <w:pStyle w:val="Heading1"/>
        <w:rPr>
          <w:lang w:val="fr-CA"/>
        </w:rPr>
      </w:pPr>
      <w:r w:rsidRPr="00206486">
        <w:rPr>
          <w:lang w:val="fr-CA"/>
        </w:rPr>
        <w:t xml:space="preserve">Le </w:t>
      </w:r>
      <w:r w:rsidR="00FB0F9B" w:rsidRPr="00206486">
        <w:rPr>
          <w:lang w:val="fr-CA"/>
        </w:rPr>
        <w:t>HFO-1233zd</w:t>
      </w:r>
      <w:r w:rsidR="003B6C77" w:rsidRPr="00206486">
        <w:rPr>
          <w:lang w:val="fr-CA"/>
        </w:rPr>
        <w:t xml:space="preserve"> a été</w:t>
      </w:r>
      <w:r w:rsidR="00FB0F9B" w:rsidRPr="00206486">
        <w:rPr>
          <w:lang w:val="fr-CA"/>
        </w:rPr>
        <w:t xml:space="preserve"> </w:t>
      </w:r>
      <w:r w:rsidRPr="00206486">
        <w:rPr>
          <w:lang w:val="fr-CA"/>
        </w:rPr>
        <w:t xml:space="preserve">sélectionné comme technologie de remplacement pour la </w:t>
      </w:r>
      <w:r w:rsidR="00AA3256" w:rsidRPr="00206486">
        <w:rPr>
          <w:lang w:val="fr-CA"/>
        </w:rPr>
        <w:t>reconversion</w:t>
      </w:r>
      <w:r w:rsidR="00FB0F9B" w:rsidRPr="00206486">
        <w:rPr>
          <w:lang w:val="fr-CA"/>
        </w:rPr>
        <w:t xml:space="preserve">. </w:t>
      </w:r>
      <w:r w:rsidRPr="00206486">
        <w:rPr>
          <w:lang w:val="fr-CA"/>
        </w:rPr>
        <w:t xml:space="preserve">Une formule </w:t>
      </w:r>
      <w:r w:rsidR="00A60694" w:rsidRPr="00206486">
        <w:rPr>
          <w:lang w:val="fr-CA"/>
        </w:rPr>
        <w:t>de mazout domestique (</w:t>
      </w:r>
      <w:r w:rsidR="00FB0F9B" w:rsidRPr="00206486">
        <w:rPr>
          <w:lang w:val="fr-CA"/>
        </w:rPr>
        <w:t>HFO</w:t>
      </w:r>
      <w:r w:rsidR="00A60694" w:rsidRPr="00206486">
        <w:rPr>
          <w:lang w:val="fr-CA"/>
        </w:rPr>
        <w:t>)</w:t>
      </w:r>
      <w:r w:rsidR="00FB0F9B" w:rsidRPr="00206486">
        <w:rPr>
          <w:lang w:val="fr-CA"/>
        </w:rPr>
        <w:t xml:space="preserve"> </w:t>
      </w:r>
      <w:r w:rsidRPr="00206486">
        <w:rPr>
          <w:lang w:val="fr-CA"/>
        </w:rPr>
        <w:t xml:space="preserve">réduite de cinquante pour cent </w:t>
      </w:r>
      <w:r w:rsidR="00A60694" w:rsidRPr="00206486">
        <w:rPr>
          <w:lang w:val="fr-CA"/>
        </w:rPr>
        <w:t>sur une base molaire a été proposée</w:t>
      </w:r>
      <w:r w:rsidR="00FB0F9B" w:rsidRPr="00206486">
        <w:rPr>
          <w:lang w:val="fr-CA"/>
        </w:rPr>
        <w:t xml:space="preserve">, </w:t>
      </w:r>
      <w:r w:rsidR="00A60694" w:rsidRPr="00206486">
        <w:rPr>
          <w:lang w:val="fr-CA"/>
        </w:rPr>
        <w:t xml:space="preserve">laquelle équivaut à une réduction de </w:t>
      </w:r>
      <w:r w:rsidR="00FB0F9B" w:rsidRPr="00206486">
        <w:rPr>
          <w:lang w:val="fr-CA"/>
        </w:rPr>
        <w:t xml:space="preserve">40 </w:t>
      </w:r>
      <w:r w:rsidR="0060390D" w:rsidRPr="00206486">
        <w:rPr>
          <w:lang w:val="fr-CA"/>
        </w:rPr>
        <w:t>pour cent</w:t>
      </w:r>
      <w:r w:rsidR="00FB0F9B" w:rsidRPr="00206486">
        <w:rPr>
          <w:lang w:val="fr-CA"/>
        </w:rPr>
        <w:t xml:space="preserve"> </w:t>
      </w:r>
      <w:r w:rsidR="00206486" w:rsidRPr="00206486">
        <w:rPr>
          <w:lang w:val="fr-CA"/>
        </w:rPr>
        <w:t>réduction</w:t>
      </w:r>
      <w:r w:rsidR="00FB0F9B" w:rsidRPr="00206486">
        <w:rPr>
          <w:lang w:val="fr-CA"/>
        </w:rPr>
        <w:t xml:space="preserve"> </w:t>
      </w:r>
      <w:r w:rsidR="00A60694" w:rsidRPr="00206486">
        <w:rPr>
          <w:lang w:val="fr-CA"/>
        </w:rPr>
        <w:t>de la fraction molaire de la valeur de référence</w:t>
      </w:r>
      <w:r w:rsidR="00FB0F9B" w:rsidRPr="00206486">
        <w:rPr>
          <w:lang w:val="fr-CA"/>
        </w:rPr>
        <w:t>.</w:t>
      </w:r>
    </w:p>
    <w:p w:rsidR="00FB0F9B" w:rsidRPr="00206486" w:rsidRDefault="00A60694" w:rsidP="00FB0F9B">
      <w:pPr>
        <w:pStyle w:val="Heading1"/>
        <w:rPr>
          <w:lang w:val="fr-CA"/>
        </w:rPr>
      </w:pPr>
      <w:r w:rsidRPr="00206486">
        <w:rPr>
          <w:lang w:val="fr-CA"/>
        </w:rPr>
        <w:t>Les</w:t>
      </w:r>
      <w:r w:rsidR="00FB0F9B" w:rsidRPr="00206486">
        <w:rPr>
          <w:lang w:val="fr-CA"/>
        </w:rPr>
        <w:t xml:space="preserve"> </w:t>
      </w:r>
      <w:r w:rsidRPr="00206486">
        <w:rPr>
          <w:lang w:val="fr-CA"/>
        </w:rPr>
        <w:t>surcoûts</w:t>
      </w:r>
      <w:r w:rsidR="00FB0F9B" w:rsidRPr="00206486">
        <w:rPr>
          <w:lang w:val="fr-CA"/>
        </w:rPr>
        <w:t xml:space="preserve"> </w:t>
      </w:r>
      <w:r w:rsidRPr="00206486">
        <w:rPr>
          <w:lang w:val="fr-CA"/>
        </w:rPr>
        <w:t xml:space="preserve">comprennent les tests, les essais, </w:t>
      </w:r>
      <w:r w:rsidR="0039010B" w:rsidRPr="00206486">
        <w:rPr>
          <w:lang w:val="fr-CA"/>
        </w:rPr>
        <w:t xml:space="preserve">et </w:t>
      </w:r>
      <w:r w:rsidRPr="00206486">
        <w:rPr>
          <w:lang w:val="fr-CA"/>
        </w:rPr>
        <w:t>la formation de personnel technique</w:t>
      </w:r>
      <w:r w:rsidR="00FB0F9B" w:rsidRPr="00206486">
        <w:rPr>
          <w:lang w:val="fr-CA"/>
        </w:rPr>
        <w:t xml:space="preserve"> </w:t>
      </w:r>
      <w:r w:rsidR="0039010B" w:rsidRPr="00206486">
        <w:rPr>
          <w:lang w:val="fr-CA"/>
        </w:rPr>
        <w:t xml:space="preserve">pour un coût total de </w:t>
      </w:r>
      <w:r w:rsidR="00FB0F9B" w:rsidRPr="00206486">
        <w:rPr>
          <w:lang w:val="fr-CA"/>
        </w:rPr>
        <w:t>3</w:t>
      </w:r>
      <w:r w:rsidR="00BD19D4" w:rsidRPr="00206486">
        <w:rPr>
          <w:lang w:val="fr-CA"/>
        </w:rPr>
        <w:t>3 </w:t>
      </w:r>
      <w:r w:rsidR="00FB0F9B" w:rsidRPr="00206486">
        <w:rPr>
          <w:lang w:val="fr-CA"/>
        </w:rPr>
        <w:t>000</w:t>
      </w:r>
      <w:r w:rsidRPr="00206486">
        <w:rPr>
          <w:lang w:val="fr-CA"/>
        </w:rPr>
        <w:t> $US</w:t>
      </w:r>
      <w:r w:rsidR="00FB0F9B" w:rsidRPr="00206486">
        <w:rPr>
          <w:lang w:val="fr-CA"/>
        </w:rPr>
        <w:t>;</w:t>
      </w:r>
      <w:r w:rsidR="0039010B" w:rsidRPr="00206486">
        <w:rPr>
          <w:lang w:val="fr-CA"/>
        </w:rPr>
        <w:t xml:space="preserve"> et </w:t>
      </w:r>
      <w:r w:rsidRPr="00206486">
        <w:rPr>
          <w:lang w:val="fr-CA"/>
        </w:rPr>
        <w:t xml:space="preserve">des surcoûts d’exploitation </w:t>
      </w:r>
      <w:r w:rsidR="00FB0F9B" w:rsidRPr="00206486">
        <w:rPr>
          <w:lang w:val="fr-CA"/>
        </w:rPr>
        <w:t xml:space="preserve">(IOC) </w:t>
      </w:r>
      <w:r w:rsidRPr="00206486">
        <w:rPr>
          <w:lang w:val="fr-CA"/>
        </w:rPr>
        <w:t>de</w:t>
      </w:r>
      <w:r w:rsidR="00FB0F9B" w:rsidRPr="00206486">
        <w:rPr>
          <w:lang w:val="fr-CA"/>
        </w:rPr>
        <w:t xml:space="preserve"> 6</w:t>
      </w:r>
      <w:r w:rsidR="00973255" w:rsidRPr="00206486">
        <w:rPr>
          <w:lang w:val="fr-CA"/>
        </w:rPr>
        <w:t>0 </w:t>
      </w:r>
      <w:r w:rsidR="00FB0F9B" w:rsidRPr="00206486">
        <w:rPr>
          <w:lang w:val="fr-CA"/>
        </w:rPr>
        <w:t>360</w:t>
      </w:r>
      <w:r w:rsidRPr="00206486">
        <w:rPr>
          <w:lang w:val="fr-CA"/>
        </w:rPr>
        <w:t> $US</w:t>
      </w:r>
      <w:r w:rsidR="00FB0F9B" w:rsidRPr="00206486">
        <w:rPr>
          <w:lang w:val="fr-CA"/>
        </w:rPr>
        <w:t xml:space="preserve"> </w:t>
      </w:r>
      <w:r w:rsidRPr="00206486">
        <w:rPr>
          <w:lang w:val="fr-CA"/>
        </w:rPr>
        <w:t xml:space="preserve">basés sur les prix de </w:t>
      </w:r>
      <w:r w:rsidR="00973255" w:rsidRPr="00206486">
        <w:rPr>
          <w:lang w:val="fr-CA"/>
        </w:rPr>
        <w:t>2,</w:t>
      </w:r>
      <w:r w:rsidR="00FB0F9B" w:rsidRPr="00206486">
        <w:rPr>
          <w:lang w:val="fr-CA"/>
        </w:rPr>
        <w:t>20</w:t>
      </w:r>
      <w:r w:rsidRPr="00206486">
        <w:rPr>
          <w:lang w:val="fr-CA"/>
        </w:rPr>
        <w:t> $US</w:t>
      </w:r>
      <w:r w:rsidR="00FB0F9B" w:rsidRPr="00206486">
        <w:rPr>
          <w:lang w:val="fr-CA"/>
        </w:rPr>
        <w:t xml:space="preserve">/kg </w:t>
      </w:r>
      <w:r w:rsidRPr="00206486">
        <w:rPr>
          <w:lang w:val="fr-CA"/>
        </w:rPr>
        <w:t>du</w:t>
      </w:r>
      <w:r w:rsidR="00FB0F9B" w:rsidRPr="00206486">
        <w:rPr>
          <w:lang w:val="fr-CA"/>
        </w:rPr>
        <w:t xml:space="preserve"> HCFC-141b</w:t>
      </w:r>
      <w:r w:rsidR="0039010B" w:rsidRPr="00206486">
        <w:rPr>
          <w:lang w:val="fr-CA"/>
        </w:rPr>
        <w:t xml:space="preserve"> et </w:t>
      </w:r>
      <w:r w:rsidRPr="00206486">
        <w:rPr>
          <w:lang w:val="fr-CA"/>
        </w:rPr>
        <w:t xml:space="preserve">de </w:t>
      </w:r>
      <w:r w:rsidR="00FB0F9B" w:rsidRPr="00206486">
        <w:rPr>
          <w:lang w:val="fr-CA"/>
        </w:rPr>
        <w:t>1</w:t>
      </w:r>
      <w:r w:rsidR="00973255" w:rsidRPr="00206486">
        <w:rPr>
          <w:lang w:val="fr-CA"/>
        </w:rPr>
        <w:t>7,</w:t>
      </w:r>
      <w:r w:rsidR="00FB0F9B" w:rsidRPr="00206486">
        <w:rPr>
          <w:lang w:val="fr-CA"/>
        </w:rPr>
        <w:t>00</w:t>
      </w:r>
      <w:r w:rsidRPr="00206486">
        <w:rPr>
          <w:lang w:val="fr-CA"/>
        </w:rPr>
        <w:t> $US</w:t>
      </w:r>
      <w:r w:rsidR="00FB0F9B" w:rsidRPr="00206486">
        <w:rPr>
          <w:lang w:val="fr-CA"/>
        </w:rPr>
        <w:t xml:space="preserve">/kg </w:t>
      </w:r>
      <w:r w:rsidRPr="00206486">
        <w:rPr>
          <w:lang w:val="fr-CA"/>
        </w:rPr>
        <w:t>du</w:t>
      </w:r>
      <w:r w:rsidR="00FB0F9B" w:rsidRPr="00206486">
        <w:rPr>
          <w:lang w:val="fr-CA"/>
        </w:rPr>
        <w:t xml:space="preserve"> HFO-1233zd. </w:t>
      </w:r>
      <w:r w:rsidRPr="00206486">
        <w:rPr>
          <w:lang w:val="fr-CA"/>
        </w:rPr>
        <w:t xml:space="preserve">Les surcoûts totalisent </w:t>
      </w:r>
      <w:r w:rsidR="00FB0F9B" w:rsidRPr="00206486">
        <w:rPr>
          <w:lang w:val="fr-CA"/>
        </w:rPr>
        <w:t>9</w:t>
      </w:r>
      <w:r w:rsidR="00BD19D4" w:rsidRPr="00206486">
        <w:rPr>
          <w:lang w:val="fr-CA"/>
        </w:rPr>
        <w:t>3 </w:t>
      </w:r>
      <w:r w:rsidR="00FB0F9B" w:rsidRPr="00206486">
        <w:rPr>
          <w:lang w:val="fr-CA"/>
        </w:rPr>
        <w:t>36</w:t>
      </w:r>
      <w:r w:rsidR="00973255" w:rsidRPr="00206486">
        <w:rPr>
          <w:lang w:val="fr-CA"/>
        </w:rPr>
        <w:t>0</w:t>
      </w:r>
      <w:r w:rsidRPr="00206486">
        <w:rPr>
          <w:lang w:val="fr-CA"/>
        </w:rPr>
        <w:t> $US</w:t>
      </w:r>
      <w:r w:rsidR="00973255" w:rsidRPr="00206486">
        <w:rPr>
          <w:lang w:val="fr-CA"/>
        </w:rPr>
        <w:t> </w:t>
      </w:r>
      <w:r w:rsidR="00567FA5">
        <w:rPr>
          <w:lang w:val="fr-CA"/>
        </w:rPr>
        <w:t xml:space="preserve"> </w:t>
      </w:r>
      <w:r w:rsidRPr="00206486">
        <w:rPr>
          <w:lang w:val="fr-CA"/>
        </w:rPr>
        <w:t xml:space="preserve">avec un rapport coût-efficacité de </w:t>
      </w:r>
      <w:r w:rsidR="00FB0F9B" w:rsidRPr="00206486">
        <w:rPr>
          <w:lang w:val="fr-CA"/>
        </w:rPr>
        <w:t>1</w:t>
      </w:r>
      <w:r w:rsidR="00973255" w:rsidRPr="00206486">
        <w:rPr>
          <w:lang w:val="fr-CA"/>
        </w:rPr>
        <w:t>4,</w:t>
      </w:r>
      <w:r w:rsidR="00FB0F9B" w:rsidRPr="00206486">
        <w:rPr>
          <w:lang w:val="fr-CA"/>
        </w:rPr>
        <w:t>97</w:t>
      </w:r>
      <w:r w:rsidRPr="00206486">
        <w:rPr>
          <w:lang w:val="fr-CA"/>
        </w:rPr>
        <w:t> $US</w:t>
      </w:r>
      <w:r w:rsidR="00FB0F9B" w:rsidRPr="00206486">
        <w:rPr>
          <w:lang w:val="fr-CA"/>
        </w:rPr>
        <w:t xml:space="preserve">/kg. </w:t>
      </w:r>
      <w:r w:rsidR="00F8445E" w:rsidRPr="00206486">
        <w:rPr>
          <w:lang w:val="fr-CA"/>
        </w:rPr>
        <w:t>Le gouvernement</w:t>
      </w:r>
      <w:r w:rsidR="003B6C77" w:rsidRPr="00206486">
        <w:rPr>
          <w:lang w:val="fr-CA"/>
        </w:rPr>
        <w:t xml:space="preserve"> </w:t>
      </w:r>
      <w:r w:rsidRPr="00206486">
        <w:rPr>
          <w:lang w:val="fr-CA"/>
        </w:rPr>
        <w:t>demande</w:t>
      </w:r>
      <w:r w:rsidR="00FB0F9B" w:rsidRPr="00206486">
        <w:rPr>
          <w:lang w:val="fr-CA"/>
        </w:rPr>
        <w:t xml:space="preserve"> 6</w:t>
      </w:r>
      <w:r w:rsidR="00973255" w:rsidRPr="00206486">
        <w:rPr>
          <w:lang w:val="fr-CA"/>
        </w:rPr>
        <w:t>8 </w:t>
      </w:r>
      <w:r w:rsidR="00FB0F9B" w:rsidRPr="00206486">
        <w:rPr>
          <w:lang w:val="fr-CA"/>
        </w:rPr>
        <w:t>348</w:t>
      </w:r>
      <w:r w:rsidRPr="00206486">
        <w:rPr>
          <w:lang w:val="fr-CA"/>
        </w:rPr>
        <w:t> $US</w:t>
      </w:r>
      <w:r w:rsidR="00FB0F9B" w:rsidRPr="00206486">
        <w:rPr>
          <w:lang w:val="fr-CA"/>
        </w:rPr>
        <w:t xml:space="preserve"> </w:t>
      </w:r>
      <w:r w:rsidR="000F2C18">
        <w:rPr>
          <w:lang w:val="fr-CA"/>
        </w:rPr>
        <w:t>a</w:t>
      </w:r>
      <w:r w:rsidRPr="00206486">
        <w:rPr>
          <w:lang w:val="fr-CA"/>
        </w:rPr>
        <w:t>u Fonds multilatéral</w:t>
      </w:r>
      <w:r w:rsidR="00FB0F9B" w:rsidRPr="00206486">
        <w:rPr>
          <w:lang w:val="fr-CA"/>
        </w:rPr>
        <w:t xml:space="preserve">, </w:t>
      </w:r>
      <w:r w:rsidRPr="00206486">
        <w:rPr>
          <w:lang w:val="fr-CA"/>
        </w:rPr>
        <w:t xml:space="preserve">avec un rapport coût-efficacité de </w:t>
      </w:r>
      <w:r w:rsidR="00FB0F9B" w:rsidRPr="00206486">
        <w:rPr>
          <w:lang w:val="fr-CA"/>
        </w:rPr>
        <w:t>1</w:t>
      </w:r>
      <w:r w:rsidR="00973255" w:rsidRPr="00206486">
        <w:rPr>
          <w:lang w:val="fr-CA"/>
        </w:rPr>
        <w:t>0,</w:t>
      </w:r>
      <w:r w:rsidR="00FB0F9B" w:rsidRPr="00206486">
        <w:rPr>
          <w:lang w:val="fr-CA"/>
        </w:rPr>
        <w:t>96</w:t>
      </w:r>
      <w:r w:rsidRPr="00206486">
        <w:rPr>
          <w:lang w:val="fr-CA"/>
        </w:rPr>
        <w:t> $US</w:t>
      </w:r>
      <w:r w:rsidR="00FB0F9B" w:rsidRPr="00206486">
        <w:rPr>
          <w:lang w:val="fr-CA"/>
        </w:rPr>
        <w:t xml:space="preserve">/kg, </w:t>
      </w:r>
      <w:r w:rsidRPr="00206486">
        <w:rPr>
          <w:lang w:val="fr-CA"/>
        </w:rPr>
        <w:t xml:space="preserve">ce qui est le seuil maximal </w:t>
      </w:r>
      <w:r w:rsidR="00EB2126" w:rsidRPr="00206486">
        <w:rPr>
          <w:lang w:val="fr-CA"/>
        </w:rPr>
        <w:t>admissible</w:t>
      </w:r>
      <w:r w:rsidR="00FB0F9B" w:rsidRPr="00206486">
        <w:rPr>
          <w:lang w:val="fr-CA"/>
        </w:rPr>
        <w:t xml:space="preserve"> </w:t>
      </w:r>
      <w:r w:rsidRPr="00206486">
        <w:rPr>
          <w:lang w:val="fr-CA"/>
        </w:rPr>
        <w:t xml:space="preserve">pour </w:t>
      </w:r>
      <w:r w:rsidRPr="00206486">
        <w:rPr>
          <w:lang w:val="fr-CA"/>
        </w:rPr>
        <w:lastRenderedPageBreak/>
        <w:t xml:space="preserve">la reconversion </w:t>
      </w:r>
      <w:r w:rsidR="00562770" w:rsidRPr="00206486">
        <w:rPr>
          <w:lang w:val="fr-CA"/>
        </w:rPr>
        <w:t xml:space="preserve">des petites et moyennes entreprises </w:t>
      </w:r>
      <w:r w:rsidRPr="00206486">
        <w:rPr>
          <w:lang w:val="fr-CA"/>
        </w:rPr>
        <w:t>à des solutions de remplacement à faible potentiel de réchauffement de la planète</w:t>
      </w:r>
      <w:r w:rsidR="00FB0F9B" w:rsidRPr="00206486">
        <w:rPr>
          <w:lang w:val="fr-CA"/>
        </w:rPr>
        <w:t xml:space="preserve">. </w:t>
      </w:r>
    </w:p>
    <w:p w:rsidR="00FB0F9B" w:rsidRPr="000C7BB3" w:rsidRDefault="00AA3256" w:rsidP="00FB0F9B">
      <w:pPr>
        <w:keepNext/>
        <w:keepLines/>
        <w:rPr>
          <w:lang w:val="fr-CA"/>
        </w:rPr>
      </w:pPr>
      <w:r w:rsidRPr="00206486">
        <w:rPr>
          <w:i/>
          <w:lang w:val="fr-CA"/>
        </w:rPr>
        <w:t>Activités</w:t>
      </w:r>
      <w:r w:rsidR="00FB0F9B" w:rsidRPr="00206486">
        <w:rPr>
          <w:i/>
          <w:lang w:val="fr-CA"/>
        </w:rPr>
        <w:t xml:space="preserve"> </w:t>
      </w:r>
      <w:r w:rsidRPr="00206486">
        <w:rPr>
          <w:i/>
          <w:lang w:val="fr-CA"/>
        </w:rPr>
        <w:t>d</w:t>
      </w:r>
      <w:r w:rsidR="00562770" w:rsidRPr="00206486">
        <w:rPr>
          <w:i/>
          <w:lang w:val="fr-CA"/>
        </w:rPr>
        <w:t>u</w:t>
      </w:r>
      <w:r w:rsidRPr="00206486">
        <w:rPr>
          <w:i/>
          <w:lang w:val="fr-CA"/>
        </w:rPr>
        <w:t xml:space="preserve"> secteur de l’entretien en réfrigération</w:t>
      </w:r>
      <w:r w:rsidR="00FB0F9B" w:rsidRPr="00206486">
        <w:rPr>
          <w:i/>
          <w:lang w:val="fr-CA"/>
        </w:rPr>
        <w:t xml:space="preserve"> </w:t>
      </w:r>
    </w:p>
    <w:p w:rsidR="00FB0F9B" w:rsidRPr="00206486" w:rsidRDefault="00FB0F9B" w:rsidP="00FB0F9B">
      <w:pPr>
        <w:keepNext/>
        <w:keepLines/>
        <w:rPr>
          <w:lang w:val="fr-CA"/>
        </w:rPr>
      </w:pPr>
    </w:p>
    <w:p w:rsidR="00FB0F9B" w:rsidRPr="00206486" w:rsidRDefault="00562770" w:rsidP="00FB0F9B">
      <w:pPr>
        <w:pStyle w:val="Heading1"/>
        <w:keepNext/>
        <w:keepLines/>
        <w:rPr>
          <w:lang w:val="fr-CA"/>
        </w:rPr>
      </w:pPr>
      <w:r w:rsidRPr="00206486">
        <w:rPr>
          <w:lang w:val="fr-CA"/>
        </w:rPr>
        <w:t>La p</w:t>
      </w:r>
      <w:r w:rsidR="008904C7" w:rsidRPr="00206486">
        <w:rPr>
          <w:lang w:val="fr-CA"/>
        </w:rPr>
        <w:t>hase</w:t>
      </w:r>
      <w:r w:rsidR="00FB0F9B" w:rsidRPr="00206486">
        <w:rPr>
          <w:lang w:val="fr-CA"/>
        </w:rPr>
        <w:t xml:space="preserve"> II propose</w:t>
      </w:r>
      <w:r w:rsidRPr="00206486">
        <w:rPr>
          <w:lang w:val="fr-CA"/>
        </w:rPr>
        <w:t xml:space="preserve"> les activités suivantes</w:t>
      </w:r>
      <w:r w:rsidR="00FB0F9B" w:rsidRPr="00206486">
        <w:rPr>
          <w:lang w:val="fr-CA"/>
        </w:rPr>
        <w:t xml:space="preserve"> </w:t>
      </w:r>
      <w:r w:rsidR="00AA3256" w:rsidRPr="00206486">
        <w:rPr>
          <w:lang w:val="fr-CA"/>
        </w:rPr>
        <w:t>dans le secteur de l’entretien en réfrigération</w:t>
      </w:r>
      <w:r w:rsidRPr="00206486">
        <w:rPr>
          <w:lang w:val="fr-CA"/>
        </w:rPr>
        <w:t>, afin</w:t>
      </w:r>
      <w:r w:rsidR="000C7BB3">
        <w:rPr>
          <w:lang w:val="fr-CA"/>
        </w:rPr>
        <w:t> </w:t>
      </w:r>
      <w:r w:rsidRPr="00206486">
        <w:rPr>
          <w:lang w:val="fr-CA"/>
        </w:rPr>
        <w:t>d’éliminer</w:t>
      </w:r>
      <w:r w:rsidR="00FB0F9B" w:rsidRPr="00206486">
        <w:rPr>
          <w:lang w:val="fr-CA"/>
        </w:rPr>
        <w:t xml:space="preserve"> </w:t>
      </w:r>
      <w:r w:rsidR="00973255" w:rsidRPr="00206486">
        <w:rPr>
          <w:lang w:val="fr-CA"/>
        </w:rPr>
        <w:t>8,</w:t>
      </w:r>
      <w:r w:rsidR="00FB0F9B" w:rsidRPr="00206486">
        <w:rPr>
          <w:lang w:val="fr-CA"/>
        </w:rPr>
        <w:t>77</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t xml:space="preserve">, </w:t>
      </w:r>
      <w:r w:rsidRPr="00206486">
        <w:rPr>
          <w:lang w:val="fr-CA"/>
        </w:rPr>
        <w:t xml:space="preserve">à un coût de </w:t>
      </w:r>
      <w:r w:rsidR="00FB0F9B" w:rsidRPr="00206486">
        <w:rPr>
          <w:lang w:val="fr-CA"/>
        </w:rPr>
        <w:t>87</w:t>
      </w:r>
      <w:r w:rsidR="00973255" w:rsidRPr="00206486">
        <w:rPr>
          <w:lang w:val="fr-CA"/>
        </w:rPr>
        <w:t>0</w:t>
      </w:r>
      <w:r w:rsidR="00A60694" w:rsidRPr="00206486">
        <w:rPr>
          <w:lang w:val="fr-CA"/>
        </w:rPr>
        <w:t xml:space="preserve"> 000 $US</w:t>
      </w:r>
      <w:r w:rsidRPr="00206486">
        <w:rPr>
          <w:lang w:val="fr-CA"/>
        </w:rPr>
        <w:t xml:space="preserve"> </w:t>
      </w:r>
      <w:r w:rsidR="00FB0F9B" w:rsidRPr="00206486">
        <w:rPr>
          <w:lang w:val="fr-CA"/>
        </w:rPr>
        <w:t>(</w:t>
      </w:r>
      <w:r w:rsidR="0039010B" w:rsidRPr="00206486">
        <w:rPr>
          <w:lang w:val="fr-CA"/>
        </w:rPr>
        <w:t>excluant</w:t>
      </w:r>
      <w:r w:rsidR="00FB0F9B" w:rsidRPr="00206486">
        <w:rPr>
          <w:lang w:val="fr-CA"/>
        </w:rPr>
        <w:t xml:space="preserve"> </w:t>
      </w:r>
      <w:r w:rsidRPr="00206486">
        <w:rPr>
          <w:lang w:val="fr-CA"/>
        </w:rPr>
        <w:t>le coût de l’unité de</w:t>
      </w:r>
      <w:r w:rsidR="000C7BB3">
        <w:rPr>
          <w:lang w:val="fr-CA"/>
        </w:rPr>
        <w:t> </w:t>
      </w:r>
      <w:r w:rsidRPr="00206486">
        <w:rPr>
          <w:lang w:val="fr-CA"/>
        </w:rPr>
        <w:t>gestion des projets</w:t>
      </w:r>
      <w:r w:rsidR="00FB0F9B" w:rsidRPr="00206486">
        <w:rPr>
          <w:lang w:val="fr-CA"/>
        </w:rPr>
        <w:t>)</w:t>
      </w:r>
      <w:r w:rsidR="002B0AAE" w:rsidRPr="00206486">
        <w:rPr>
          <w:lang w:val="fr-CA"/>
        </w:rPr>
        <w:t xml:space="preserve"> : </w:t>
      </w:r>
    </w:p>
    <w:p w:rsidR="00FB0F9B" w:rsidRPr="00206486" w:rsidRDefault="00677924" w:rsidP="00FB0F9B">
      <w:pPr>
        <w:pStyle w:val="Heading2"/>
        <w:numPr>
          <w:ilvl w:val="1"/>
          <w:numId w:val="1"/>
        </w:numPr>
        <w:rPr>
          <w:lang w:val="fr-CA"/>
        </w:rPr>
      </w:pPr>
      <w:r w:rsidRPr="00206486">
        <w:rPr>
          <w:lang w:val="fr-CA"/>
        </w:rPr>
        <w:t>R</w:t>
      </w:r>
      <w:r w:rsidR="00562770" w:rsidRPr="00206486">
        <w:rPr>
          <w:lang w:val="fr-CA"/>
        </w:rPr>
        <w:t xml:space="preserve">enforcement du cadre juridique et institutionnel de réglementation des </w:t>
      </w:r>
      <w:r w:rsidR="0060390D" w:rsidRPr="00206486">
        <w:rPr>
          <w:lang w:val="fr-CA"/>
        </w:rPr>
        <w:t>HCFC</w:t>
      </w:r>
      <w:r w:rsidR="00FB0F9B" w:rsidRPr="00206486">
        <w:rPr>
          <w:lang w:val="fr-CA"/>
        </w:rPr>
        <w:t xml:space="preserve">, </w:t>
      </w:r>
      <w:r w:rsidR="003B6C77" w:rsidRPr="00206486">
        <w:rPr>
          <w:lang w:val="fr-CA"/>
        </w:rPr>
        <w:t>incluant</w:t>
      </w:r>
      <w:r w:rsidR="002B0AAE" w:rsidRPr="00206486">
        <w:rPr>
          <w:lang w:val="fr-CA"/>
        </w:rPr>
        <w:t xml:space="preserve"> : </w:t>
      </w:r>
      <w:r w:rsidR="00562770" w:rsidRPr="00206486">
        <w:rPr>
          <w:lang w:val="fr-CA"/>
        </w:rPr>
        <w:t xml:space="preserve">examen et mise à jour du </w:t>
      </w:r>
      <w:r w:rsidR="008904C7" w:rsidRPr="00206486">
        <w:rPr>
          <w:lang w:val="fr-CA"/>
        </w:rPr>
        <w:t>cadre juridique</w:t>
      </w:r>
      <w:r w:rsidR="00FB0F9B" w:rsidRPr="00206486">
        <w:rPr>
          <w:lang w:val="fr-CA"/>
        </w:rPr>
        <w:t xml:space="preserve"> </w:t>
      </w:r>
      <w:r w:rsidR="00562770" w:rsidRPr="00206486">
        <w:rPr>
          <w:lang w:val="fr-CA"/>
        </w:rPr>
        <w:t>afin de soutenir la conformité</w:t>
      </w:r>
      <w:r w:rsidR="00FB0F9B" w:rsidRPr="00206486">
        <w:rPr>
          <w:lang w:val="fr-CA"/>
        </w:rPr>
        <w:t xml:space="preserve">; </w:t>
      </w:r>
      <w:r w:rsidR="00562770" w:rsidRPr="00206486">
        <w:rPr>
          <w:lang w:val="fr-CA"/>
        </w:rPr>
        <w:t>renforcement du</w:t>
      </w:r>
      <w:r w:rsidR="000C7BB3">
        <w:rPr>
          <w:lang w:val="fr-CA"/>
        </w:rPr>
        <w:t> </w:t>
      </w:r>
      <w:r w:rsidR="003B6C77" w:rsidRPr="00206486">
        <w:rPr>
          <w:lang w:val="fr-CA"/>
        </w:rPr>
        <w:t xml:space="preserve">système d’autorisation et de contingentement </w:t>
      </w:r>
      <w:r w:rsidR="00562770" w:rsidRPr="00206486">
        <w:rPr>
          <w:lang w:val="fr-CA"/>
        </w:rPr>
        <w:t>pour le contrôle des importations et</w:t>
      </w:r>
      <w:r w:rsidR="000C7BB3">
        <w:rPr>
          <w:lang w:val="fr-CA"/>
        </w:rPr>
        <w:t> </w:t>
      </w:r>
      <w:r w:rsidR="00562770" w:rsidRPr="00206486">
        <w:rPr>
          <w:lang w:val="fr-CA"/>
        </w:rPr>
        <w:t>d</w:t>
      </w:r>
      <w:r w:rsidR="000C7BB3">
        <w:rPr>
          <w:lang w:val="fr-CA"/>
        </w:rPr>
        <w:t>es </w:t>
      </w:r>
      <w:r w:rsidR="00562770" w:rsidRPr="00206486">
        <w:rPr>
          <w:lang w:val="fr-CA"/>
        </w:rPr>
        <w:t xml:space="preserve">exportations de </w:t>
      </w:r>
      <w:r w:rsidR="003B6C77" w:rsidRPr="00206486">
        <w:rPr>
          <w:lang w:val="fr-CA"/>
        </w:rPr>
        <w:t>SAO</w:t>
      </w:r>
      <w:r w:rsidR="00FB0F9B" w:rsidRPr="00206486">
        <w:rPr>
          <w:lang w:val="fr-CA"/>
        </w:rPr>
        <w:t xml:space="preserve">; </w:t>
      </w:r>
      <w:r w:rsidR="00562770" w:rsidRPr="00206486">
        <w:rPr>
          <w:lang w:val="fr-CA"/>
        </w:rPr>
        <w:t xml:space="preserve">établissement d’un raccord électronique </w:t>
      </w:r>
      <w:r w:rsidR="003B6C77" w:rsidRPr="00206486">
        <w:rPr>
          <w:lang w:val="fr-CA"/>
        </w:rPr>
        <w:t>entre</w:t>
      </w:r>
      <w:r w:rsidR="00FB0F9B" w:rsidRPr="00206486">
        <w:rPr>
          <w:lang w:val="fr-CA"/>
        </w:rPr>
        <w:t xml:space="preserve"> </w:t>
      </w:r>
      <w:r w:rsidR="00562770" w:rsidRPr="00206486">
        <w:rPr>
          <w:lang w:val="fr-CA"/>
        </w:rPr>
        <w:t>l’Unité nationale d’ozone (</w:t>
      </w:r>
      <w:r w:rsidR="003B6C77" w:rsidRPr="00206486">
        <w:rPr>
          <w:lang w:val="fr-CA"/>
        </w:rPr>
        <w:t>UNO</w:t>
      </w:r>
      <w:r w:rsidR="00562770" w:rsidRPr="00206486">
        <w:rPr>
          <w:lang w:val="fr-CA"/>
        </w:rPr>
        <w:t>)</w:t>
      </w:r>
      <w:r w:rsidR="003B6C77" w:rsidRPr="00206486">
        <w:rPr>
          <w:lang w:val="fr-CA"/>
        </w:rPr>
        <w:t xml:space="preserve"> </w:t>
      </w:r>
      <w:r w:rsidR="0039010B" w:rsidRPr="00206486">
        <w:rPr>
          <w:lang w:val="fr-CA"/>
        </w:rPr>
        <w:t xml:space="preserve">et </w:t>
      </w:r>
      <w:r w:rsidR="00562770" w:rsidRPr="00206486">
        <w:rPr>
          <w:lang w:val="fr-CA"/>
        </w:rPr>
        <w:t>les douanes, afin de faciliter le partage instantané des</w:t>
      </w:r>
      <w:r w:rsidR="000C7BB3">
        <w:rPr>
          <w:lang w:val="fr-CA"/>
        </w:rPr>
        <w:t> </w:t>
      </w:r>
      <w:r w:rsidR="00562770" w:rsidRPr="00206486">
        <w:rPr>
          <w:lang w:val="fr-CA"/>
        </w:rPr>
        <w:t>données; et mise en oeuvre du code uniforme des douanes d’Amérique centrale pour</w:t>
      </w:r>
      <w:r w:rsidR="000C7BB3">
        <w:rPr>
          <w:lang w:val="fr-CA"/>
        </w:rPr>
        <w:t> </w:t>
      </w:r>
      <w:r w:rsidR="00562770" w:rsidRPr="00206486">
        <w:rPr>
          <w:lang w:val="fr-CA"/>
        </w:rPr>
        <w:t xml:space="preserve">les </w:t>
      </w:r>
      <w:r w:rsidR="0060390D" w:rsidRPr="00206486">
        <w:rPr>
          <w:lang w:val="fr-CA"/>
        </w:rPr>
        <w:t>HCFC</w:t>
      </w:r>
      <w:r w:rsidR="00FB0F9B" w:rsidRPr="00206486">
        <w:rPr>
          <w:lang w:val="fr-CA"/>
        </w:rPr>
        <w:t>; (6</w:t>
      </w:r>
      <w:r w:rsidR="00BD19D4" w:rsidRPr="00206486">
        <w:rPr>
          <w:lang w:val="fr-CA"/>
        </w:rPr>
        <w:t>5 </w:t>
      </w:r>
      <w:r w:rsidR="00FB0F9B" w:rsidRPr="00206486">
        <w:rPr>
          <w:lang w:val="fr-CA"/>
        </w:rPr>
        <w:t>000</w:t>
      </w:r>
      <w:r w:rsidR="00562770" w:rsidRPr="00206486">
        <w:rPr>
          <w:lang w:val="fr-CA"/>
        </w:rPr>
        <w:t> $US</w:t>
      </w:r>
      <w:r w:rsidR="00FB0F9B" w:rsidRPr="00206486">
        <w:rPr>
          <w:lang w:val="fr-CA"/>
        </w:rPr>
        <w:t>)</w:t>
      </w:r>
    </w:p>
    <w:p w:rsidR="00FB0F9B" w:rsidRPr="00206486" w:rsidRDefault="00562770" w:rsidP="00FB0F9B">
      <w:pPr>
        <w:pStyle w:val="Heading2"/>
        <w:numPr>
          <w:ilvl w:val="1"/>
          <w:numId w:val="1"/>
        </w:numPr>
        <w:rPr>
          <w:lang w:val="fr-CA"/>
        </w:rPr>
      </w:pPr>
      <w:r w:rsidRPr="00206486">
        <w:rPr>
          <w:lang w:val="fr-CA"/>
        </w:rPr>
        <w:t>Renforcement de la capacité</w:t>
      </w:r>
      <w:r w:rsidR="00FB0F9B" w:rsidRPr="00206486">
        <w:rPr>
          <w:lang w:val="fr-CA"/>
        </w:rPr>
        <w:t xml:space="preserve"> </w:t>
      </w:r>
      <w:r w:rsidRPr="00206486">
        <w:rPr>
          <w:lang w:val="fr-CA"/>
        </w:rPr>
        <w:t>du</w:t>
      </w:r>
      <w:r w:rsidR="00FB0F9B" w:rsidRPr="00206486">
        <w:rPr>
          <w:lang w:val="fr-CA"/>
        </w:rPr>
        <w:t xml:space="preserve"> </w:t>
      </w:r>
      <w:r w:rsidR="00E27DB1" w:rsidRPr="00206486">
        <w:rPr>
          <w:lang w:val="fr-CA"/>
        </w:rPr>
        <w:t>secteur de l’entretien</w:t>
      </w:r>
      <w:r w:rsidR="00FB0F9B" w:rsidRPr="00206486">
        <w:rPr>
          <w:lang w:val="fr-CA"/>
        </w:rPr>
        <w:t xml:space="preserve"> (71</w:t>
      </w:r>
      <w:r w:rsidR="00973255" w:rsidRPr="00206486">
        <w:rPr>
          <w:lang w:val="fr-CA"/>
        </w:rPr>
        <w:t>7</w:t>
      </w:r>
      <w:r w:rsidRPr="00206486">
        <w:rPr>
          <w:lang w:val="fr-CA"/>
        </w:rPr>
        <w:t> 000 $US)</w:t>
      </w:r>
      <w:r w:rsidR="00FB0F9B" w:rsidRPr="00206486">
        <w:rPr>
          <w:lang w:val="fr-CA"/>
        </w:rPr>
        <w:t xml:space="preserve">, </w:t>
      </w:r>
      <w:r w:rsidR="003B6C77" w:rsidRPr="00206486">
        <w:rPr>
          <w:lang w:val="fr-CA"/>
        </w:rPr>
        <w:t>incluant</w:t>
      </w:r>
      <w:r w:rsidR="002B0AAE" w:rsidRPr="00206486">
        <w:rPr>
          <w:lang w:val="fr-CA"/>
        </w:rPr>
        <w:t xml:space="preserve"> : </w:t>
      </w:r>
    </w:p>
    <w:p w:rsidR="00FB0F9B" w:rsidRPr="00206486" w:rsidRDefault="00562770" w:rsidP="00FB0F9B">
      <w:pPr>
        <w:pStyle w:val="Heading3"/>
        <w:numPr>
          <w:ilvl w:val="2"/>
          <w:numId w:val="1"/>
        </w:numPr>
        <w:rPr>
          <w:lang w:val="fr-CA"/>
        </w:rPr>
      </w:pPr>
      <w:r w:rsidRPr="00206486">
        <w:rPr>
          <w:lang w:val="fr-CA"/>
        </w:rPr>
        <w:t>Renforcement</w:t>
      </w:r>
      <w:r w:rsidR="00FB0F9B" w:rsidRPr="00206486">
        <w:rPr>
          <w:lang w:val="fr-CA"/>
        </w:rPr>
        <w:t xml:space="preserve"> </w:t>
      </w:r>
      <w:r w:rsidRPr="00206486">
        <w:rPr>
          <w:lang w:val="fr-CA"/>
        </w:rPr>
        <w:t xml:space="preserve">de la récupération des </w:t>
      </w:r>
      <w:r w:rsidR="003B6C77" w:rsidRPr="00206486">
        <w:rPr>
          <w:lang w:val="fr-CA"/>
        </w:rPr>
        <w:t>frigorigène</w:t>
      </w:r>
      <w:r w:rsidRPr="00206486">
        <w:rPr>
          <w:lang w:val="fr-CA"/>
        </w:rPr>
        <w:t>s</w:t>
      </w:r>
      <w:r w:rsidR="00FB0F9B" w:rsidRPr="00206486">
        <w:rPr>
          <w:lang w:val="fr-CA"/>
        </w:rPr>
        <w:t xml:space="preserve">, </w:t>
      </w:r>
      <w:r w:rsidRPr="00206486">
        <w:rPr>
          <w:lang w:val="fr-CA"/>
        </w:rPr>
        <w:t>et réseau de recyclage et</w:t>
      </w:r>
      <w:r w:rsidR="000C7BB3">
        <w:rPr>
          <w:lang w:val="fr-CA"/>
        </w:rPr>
        <w:t> </w:t>
      </w:r>
      <w:r w:rsidRPr="00206486">
        <w:rPr>
          <w:lang w:val="fr-CA"/>
        </w:rPr>
        <w:t>de</w:t>
      </w:r>
      <w:r w:rsidR="000C7BB3">
        <w:rPr>
          <w:lang w:val="fr-CA"/>
        </w:rPr>
        <w:t> </w:t>
      </w:r>
      <w:r w:rsidRPr="00206486">
        <w:rPr>
          <w:lang w:val="fr-CA"/>
        </w:rPr>
        <w:t>régénération</w:t>
      </w:r>
      <w:r w:rsidR="00FB0F9B" w:rsidRPr="00206486">
        <w:rPr>
          <w:lang w:val="fr-CA"/>
        </w:rPr>
        <w:t xml:space="preserve">, </w:t>
      </w:r>
      <w:r w:rsidR="00206486">
        <w:rPr>
          <w:lang w:val="fr-CA"/>
        </w:rPr>
        <w:t xml:space="preserve">formation de </w:t>
      </w:r>
      <w:r w:rsidR="00FB0F9B" w:rsidRPr="00206486">
        <w:rPr>
          <w:lang w:val="fr-CA"/>
        </w:rPr>
        <w:t xml:space="preserve">320 </w:t>
      </w:r>
      <w:r w:rsidR="00AA3256" w:rsidRPr="00206486">
        <w:rPr>
          <w:lang w:val="fr-CA"/>
        </w:rPr>
        <w:t>technicien</w:t>
      </w:r>
      <w:r w:rsidR="00FB0F9B" w:rsidRPr="00206486">
        <w:rPr>
          <w:lang w:val="fr-CA"/>
        </w:rPr>
        <w:t xml:space="preserve">s </w:t>
      </w:r>
      <w:r w:rsidR="00206486">
        <w:rPr>
          <w:lang w:val="fr-CA"/>
        </w:rPr>
        <w:t>en récupération et recyclage des</w:t>
      </w:r>
      <w:r w:rsidR="000C7BB3">
        <w:rPr>
          <w:lang w:val="fr-CA"/>
        </w:rPr>
        <w:t> </w:t>
      </w:r>
      <w:r w:rsidR="003B6C77" w:rsidRPr="00206486">
        <w:rPr>
          <w:lang w:val="fr-CA"/>
        </w:rPr>
        <w:t>frigorigène</w:t>
      </w:r>
      <w:r w:rsidR="00206486">
        <w:rPr>
          <w:lang w:val="fr-CA"/>
        </w:rPr>
        <w:t>s</w:t>
      </w:r>
      <w:r w:rsidR="00FB0F9B" w:rsidRPr="00206486">
        <w:rPr>
          <w:lang w:val="fr-CA"/>
        </w:rPr>
        <w:t xml:space="preserve">, </w:t>
      </w:r>
      <w:r w:rsidRPr="00206486">
        <w:rPr>
          <w:lang w:val="fr-CA"/>
        </w:rPr>
        <w:t>fourniture d’outils et d’équipements pour trois centres de</w:t>
      </w:r>
      <w:r w:rsidR="000C7BB3">
        <w:rPr>
          <w:lang w:val="fr-CA"/>
        </w:rPr>
        <w:t> </w:t>
      </w:r>
      <w:r w:rsidRPr="00206486">
        <w:rPr>
          <w:lang w:val="fr-CA"/>
        </w:rPr>
        <w:t>récupération et de recyclage des frigorigènes</w:t>
      </w:r>
      <w:r w:rsidR="0039010B" w:rsidRPr="00206486">
        <w:rPr>
          <w:lang w:val="fr-CA"/>
        </w:rPr>
        <w:t xml:space="preserve"> et</w:t>
      </w:r>
      <w:r w:rsidRPr="00206486">
        <w:rPr>
          <w:lang w:val="fr-CA"/>
        </w:rPr>
        <w:t xml:space="preserve"> un centre de</w:t>
      </w:r>
      <w:r w:rsidR="00FB0F9B" w:rsidRPr="00206486">
        <w:rPr>
          <w:lang w:val="fr-CA"/>
        </w:rPr>
        <w:t xml:space="preserve"> </w:t>
      </w:r>
      <w:r w:rsidRPr="00206486">
        <w:rPr>
          <w:lang w:val="fr-CA"/>
        </w:rPr>
        <w:t>régénération</w:t>
      </w:r>
      <w:r w:rsidR="00FB0F9B" w:rsidRPr="00206486">
        <w:rPr>
          <w:lang w:val="fr-CA"/>
        </w:rPr>
        <w:t xml:space="preserve"> (22</w:t>
      </w:r>
      <w:r w:rsidR="00BD19D4" w:rsidRPr="00206486">
        <w:rPr>
          <w:lang w:val="fr-CA"/>
        </w:rPr>
        <w:t>5</w:t>
      </w:r>
      <w:r w:rsidRPr="00206486">
        <w:rPr>
          <w:lang w:val="fr-CA"/>
        </w:rPr>
        <w:t> 000 $US)</w:t>
      </w:r>
      <w:r w:rsidR="00FB0F9B" w:rsidRPr="00206486">
        <w:rPr>
          <w:lang w:val="fr-CA"/>
        </w:rPr>
        <w:t xml:space="preserve">; </w:t>
      </w:r>
    </w:p>
    <w:p w:rsidR="00FB0F9B" w:rsidRPr="00206486" w:rsidRDefault="00562770" w:rsidP="00FB0F9B">
      <w:pPr>
        <w:pStyle w:val="Heading3"/>
        <w:numPr>
          <w:ilvl w:val="2"/>
          <w:numId w:val="1"/>
        </w:numPr>
        <w:rPr>
          <w:lang w:val="fr-CA"/>
        </w:rPr>
      </w:pPr>
      <w:r w:rsidRPr="00206486">
        <w:rPr>
          <w:lang w:val="fr-CA"/>
        </w:rPr>
        <w:t xml:space="preserve">Promotion des </w:t>
      </w:r>
      <w:r w:rsidR="008904C7" w:rsidRPr="00206486">
        <w:rPr>
          <w:lang w:val="fr-CA"/>
        </w:rPr>
        <w:t>bonnes pratiques d’entretien</w:t>
      </w:r>
      <w:r w:rsidR="00FB0F9B" w:rsidRPr="00206486">
        <w:rPr>
          <w:lang w:val="fr-CA"/>
        </w:rPr>
        <w:t xml:space="preserve">, </w:t>
      </w:r>
      <w:r w:rsidRPr="00206486">
        <w:rPr>
          <w:lang w:val="fr-CA"/>
        </w:rPr>
        <w:t>dispensation de deux ateliers de</w:t>
      </w:r>
      <w:r w:rsidR="000C7BB3">
        <w:rPr>
          <w:lang w:val="fr-CA"/>
        </w:rPr>
        <w:t> </w:t>
      </w:r>
      <w:r w:rsidRPr="00206486">
        <w:rPr>
          <w:lang w:val="fr-CA"/>
        </w:rPr>
        <w:t xml:space="preserve">formation pour </w:t>
      </w:r>
      <w:r w:rsidR="00FB0F9B" w:rsidRPr="00206486">
        <w:rPr>
          <w:lang w:val="fr-CA"/>
        </w:rPr>
        <w:t>40 </w:t>
      </w:r>
      <w:r w:rsidRPr="00206486">
        <w:rPr>
          <w:lang w:val="fr-CA"/>
        </w:rPr>
        <w:t>formateurs</w:t>
      </w:r>
      <w:r w:rsidR="00FB0F9B" w:rsidRPr="00206486">
        <w:rPr>
          <w:lang w:val="fr-CA"/>
        </w:rPr>
        <w:t xml:space="preserve">, 15 </w:t>
      </w:r>
      <w:r w:rsidRPr="00206486">
        <w:rPr>
          <w:lang w:val="fr-CA"/>
        </w:rPr>
        <w:t>ateliers de formation</w:t>
      </w:r>
      <w:r w:rsidR="00FB0F9B" w:rsidRPr="00206486">
        <w:rPr>
          <w:lang w:val="fr-CA"/>
        </w:rPr>
        <w:t xml:space="preserve"> </w:t>
      </w:r>
      <w:r w:rsidRPr="00206486">
        <w:rPr>
          <w:lang w:val="fr-CA"/>
        </w:rPr>
        <w:t>pou</w:t>
      </w:r>
      <w:r w:rsidR="000C7BB3">
        <w:rPr>
          <w:lang w:val="fr-CA"/>
        </w:rPr>
        <w:t>r</w:t>
      </w:r>
      <w:r w:rsidR="00FB0F9B" w:rsidRPr="00206486">
        <w:rPr>
          <w:lang w:val="fr-CA"/>
        </w:rPr>
        <w:t xml:space="preserve"> 375 </w:t>
      </w:r>
      <w:r w:rsidR="00AA3256" w:rsidRPr="00206486">
        <w:rPr>
          <w:lang w:val="fr-CA"/>
        </w:rPr>
        <w:t>technicien</w:t>
      </w:r>
      <w:r w:rsidR="00FB0F9B" w:rsidRPr="00206486">
        <w:rPr>
          <w:lang w:val="fr-CA"/>
        </w:rPr>
        <w:t>s</w:t>
      </w:r>
      <w:r w:rsidR="0039010B" w:rsidRPr="00206486">
        <w:rPr>
          <w:lang w:val="fr-CA"/>
        </w:rPr>
        <w:t xml:space="preserve"> et</w:t>
      </w:r>
      <w:r w:rsidR="000C7BB3">
        <w:rPr>
          <w:lang w:val="fr-CA"/>
        </w:rPr>
        <w:t> </w:t>
      </w:r>
      <w:r w:rsidRPr="00206486">
        <w:rPr>
          <w:lang w:val="fr-CA"/>
        </w:rPr>
        <w:t>dissémination de matériel d’accroissement de sensibilisation</w:t>
      </w:r>
      <w:r w:rsidR="00FB0F9B" w:rsidRPr="00206486">
        <w:rPr>
          <w:lang w:val="fr-CA"/>
        </w:rPr>
        <w:t xml:space="preserve"> (10</w:t>
      </w:r>
      <w:r w:rsidR="00973255" w:rsidRPr="00206486">
        <w:rPr>
          <w:lang w:val="fr-CA"/>
        </w:rPr>
        <w:t>0</w:t>
      </w:r>
      <w:r w:rsidRPr="00206486">
        <w:rPr>
          <w:lang w:val="fr-CA"/>
        </w:rPr>
        <w:t> 000 $US)</w:t>
      </w:r>
      <w:r w:rsidR="00FB0F9B" w:rsidRPr="00206486">
        <w:rPr>
          <w:lang w:val="fr-CA"/>
        </w:rPr>
        <w:t xml:space="preserve">; </w:t>
      </w:r>
    </w:p>
    <w:p w:rsidR="00FB0F9B" w:rsidRPr="00206486" w:rsidRDefault="004A76B2" w:rsidP="00FB0F9B">
      <w:pPr>
        <w:pStyle w:val="Heading3"/>
        <w:numPr>
          <w:ilvl w:val="2"/>
          <w:numId w:val="1"/>
        </w:numPr>
        <w:rPr>
          <w:lang w:val="fr-CA"/>
        </w:rPr>
      </w:pPr>
      <w:r w:rsidRPr="00206486">
        <w:rPr>
          <w:lang w:val="fr-CA"/>
        </w:rPr>
        <w:t xml:space="preserve">Établissement d’un système de </w:t>
      </w:r>
      <w:r w:rsidR="00FB0F9B" w:rsidRPr="00206486">
        <w:rPr>
          <w:lang w:val="fr-CA"/>
        </w:rPr>
        <w:t xml:space="preserve">certification </w:t>
      </w:r>
      <w:r w:rsidRPr="00206486">
        <w:rPr>
          <w:lang w:val="fr-CA"/>
        </w:rPr>
        <w:t>de techniciens d’entretien</w:t>
      </w:r>
      <w:r w:rsidR="00FB0F9B" w:rsidRPr="00206486">
        <w:rPr>
          <w:lang w:val="fr-CA"/>
        </w:rPr>
        <w:t xml:space="preserve"> </w:t>
      </w:r>
      <w:r w:rsidRPr="00206486">
        <w:rPr>
          <w:lang w:val="fr-CA"/>
        </w:rPr>
        <w:t>en</w:t>
      </w:r>
      <w:r w:rsidR="000C7BB3">
        <w:rPr>
          <w:lang w:val="fr-CA"/>
        </w:rPr>
        <w:t> </w:t>
      </w:r>
      <w:r w:rsidRPr="00206486">
        <w:rPr>
          <w:lang w:val="fr-CA"/>
        </w:rPr>
        <w:t xml:space="preserve">élaborant une procédure pour la </w:t>
      </w:r>
      <w:r w:rsidR="00FB0F9B" w:rsidRPr="00206486">
        <w:rPr>
          <w:lang w:val="fr-CA"/>
        </w:rPr>
        <w:t xml:space="preserve">certification </w:t>
      </w:r>
      <w:r w:rsidRPr="00206486">
        <w:rPr>
          <w:lang w:val="fr-CA"/>
        </w:rPr>
        <w:t>des</w:t>
      </w:r>
      <w:r w:rsidR="00FB0F9B" w:rsidRPr="00206486">
        <w:rPr>
          <w:lang w:val="fr-CA"/>
        </w:rPr>
        <w:t xml:space="preserve"> </w:t>
      </w:r>
      <w:r w:rsidRPr="00206486">
        <w:rPr>
          <w:lang w:val="fr-CA"/>
        </w:rPr>
        <w:t>techniciens d’entretien</w:t>
      </w:r>
      <w:r w:rsidR="00FB0F9B" w:rsidRPr="00206486">
        <w:rPr>
          <w:lang w:val="fr-CA"/>
        </w:rPr>
        <w:t xml:space="preserve"> </w:t>
      </w:r>
      <w:r w:rsidRPr="00206486">
        <w:rPr>
          <w:lang w:val="fr-CA"/>
        </w:rPr>
        <w:t>e</w:t>
      </w:r>
      <w:r w:rsidR="00FB0F9B" w:rsidRPr="00206486">
        <w:rPr>
          <w:lang w:val="fr-CA"/>
        </w:rPr>
        <w:t>n</w:t>
      </w:r>
      <w:r w:rsidR="000C7BB3">
        <w:rPr>
          <w:lang w:val="fr-CA"/>
        </w:rPr>
        <w:t> </w:t>
      </w:r>
      <w:r w:rsidR="00FB0F9B" w:rsidRPr="00206486">
        <w:rPr>
          <w:lang w:val="fr-CA"/>
        </w:rPr>
        <w:t xml:space="preserve">consultation </w:t>
      </w:r>
      <w:r w:rsidRPr="00206486">
        <w:rPr>
          <w:lang w:val="fr-CA"/>
        </w:rPr>
        <w:t>avec les intéressés</w:t>
      </w:r>
      <w:r w:rsidR="00FB0F9B" w:rsidRPr="00206486">
        <w:rPr>
          <w:lang w:val="fr-CA"/>
        </w:rPr>
        <w:t>;</w:t>
      </w:r>
      <w:r w:rsidR="00B75BC4">
        <w:rPr>
          <w:lang w:val="fr-CA"/>
        </w:rPr>
        <w:t xml:space="preserve"> </w:t>
      </w:r>
      <w:r w:rsidR="0039010B" w:rsidRPr="00206486">
        <w:rPr>
          <w:lang w:val="fr-CA"/>
        </w:rPr>
        <w:t xml:space="preserve">et </w:t>
      </w:r>
      <w:r w:rsidRPr="00206486">
        <w:rPr>
          <w:lang w:val="fr-CA"/>
        </w:rPr>
        <w:t>campagnes de sensibilisation</w:t>
      </w:r>
      <w:r w:rsidR="00FB0F9B" w:rsidRPr="00206486">
        <w:rPr>
          <w:lang w:val="fr-CA"/>
        </w:rPr>
        <w:t xml:space="preserve"> </w:t>
      </w:r>
      <w:r w:rsidRPr="00206486">
        <w:rPr>
          <w:lang w:val="fr-CA"/>
        </w:rPr>
        <w:t xml:space="preserve">afin de promouvoir la </w:t>
      </w:r>
      <w:r w:rsidR="00FB0F9B" w:rsidRPr="00206486">
        <w:rPr>
          <w:lang w:val="fr-CA"/>
        </w:rPr>
        <w:t xml:space="preserve">certification </w:t>
      </w:r>
      <w:r w:rsidRPr="00206486">
        <w:rPr>
          <w:lang w:val="fr-CA"/>
        </w:rPr>
        <w:t xml:space="preserve">chez les </w:t>
      </w:r>
      <w:r w:rsidR="00AA3256" w:rsidRPr="00206486">
        <w:rPr>
          <w:lang w:val="fr-CA"/>
        </w:rPr>
        <w:t>technicien</w:t>
      </w:r>
      <w:r w:rsidR="00FB0F9B" w:rsidRPr="00206486">
        <w:rPr>
          <w:lang w:val="fr-CA"/>
        </w:rPr>
        <w:t>s</w:t>
      </w:r>
      <w:r w:rsidR="0039010B" w:rsidRPr="00206486">
        <w:rPr>
          <w:lang w:val="fr-CA"/>
        </w:rPr>
        <w:t xml:space="preserve"> et </w:t>
      </w:r>
      <w:r w:rsidRPr="00206486">
        <w:rPr>
          <w:lang w:val="fr-CA"/>
        </w:rPr>
        <w:t>les utilisateurs finals</w:t>
      </w:r>
      <w:r w:rsidR="00FB0F9B" w:rsidRPr="00206486">
        <w:rPr>
          <w:lang w:val="fr-CA"/>
        </w:rPr>
        <w:t xml:space="preserve"> (11</w:t>
      </w:r>
      <w:r w:rsidR="00BD19D4" w:rsidRPr="00206486">
        <w:rPr>
          <w:lang w:val="fr-CA"/>
        </w:rPr>
        <w:t>3</w:t>
      </w:r>
      <w:r w:rsidR="00562770" w:rsidRPr="00206486">
        <w:rPr>
          <w:lang w:val="fr-CA"/>
        </w:rPr>
        <w:t> 000 $US)</w:t>
      </w:r>
      <w:r w:rsidR="00FB0F9B" w:rsidRPr="00206486">
        <w:rPr>
          <w:lang w:val="fr-CA"/>
        </w:rPr>
        <w:t xml:space="preserve">; </w:t>
      </w:r>
    </w:p>
    <w:p w:rsidR="00FB0F9B" w:rsidRPr="00206486" w:rsidRDefault="00677924" w:rsidP="00FB0F9B">
      <w:pPr>
        <w:pStyle w:val="Heading3"/>
        <w:numPr>
          <w:ilvl w:val="2"/>
          <w:numId w:val="1"/>
        </w:numPr>
        <w:rPr>
          <w:lang w:val="fr-CA"/>
        </w:rPr>
      </w:pPr>
      <w:r w:rsidRPr="00206486">
        <w:rPr>
          <w:lang w:val="fr-CA"/>
        </w:rPr>
        <w:t>Fourniture d’équipements afin de renforcer les instituts techniques de formation</w:t>
      </w:r>
      <w:r w:rsidR="00FB0F9B" w:rsidRPr="00206486">
        <w:rPr>
          <w:lang w:val="fr-CA"/>
        </w:rPr>
        <w:t>,</w:t>
      </w:r>
      <w:r w:rsidR="0039010B" w:rsidRPr="00206486">
        <w:rPr>
          <w:lang w:val="fr-CA"/>
        </w:rPr>
        <w:t xml:space="preserve"> et </w:t>
      </w:r>
      <w:r w:rsidRPr="00206486">
        <w:rPr>
          <w:lang w:val="fr-CA"/>
        </w:rPr>
        <w:t>d’élaborer des sujets</w:t>
      </w:r>
      <w:r w:rsidR="00FB0F9B" w:rsidRPr="00206486">
        <w:rPr>
          <w:lang w:val="fr-CA"/>
        </w:rPr>
        <w:t xml:space="preserve">, </w:t>
      </w:r>
      <w:r w:rsidR="003B6C77" w:rsidRPr="00206486">
        <w:rPr>
          <w:lang w:val="fr-CA"/>
        </w:rPr>
        <w:t>incluant</w:t>
      </w:r>
      <w:r w:rsidR="00FB0F9B" w:rsidRPr="00206486">
        <w:rPr>
          <w:lang w:val="fr-CA"/>
        </w:rPr>
        <w:t xml:space="preserve"> </w:t>
      </w:r>
      <w:r w:rsidRPr="00206486">
        <w:rPr>
          <w:lang w:val="fr-CA"/>
        </w:rPr>
        <w:t xml:space="preserve">les </w:t>
      </w:r>
      <w:r w:rsidR="008904C7" w:rsidRPr="00206486">
        <w:rPr>
          <w:lang w:val="fr-CA"/>
        </w:rPr>
        <w:t>bonnes pratiques d’entretien</w:t>
      </w:r>
      <w:r w:rsidR="00FB0F9B" w:rsidRPr="00206486">
        <w:rPr>
          <w:lang w:val="fr-CA"/>
        </w:rPr>
        <w:t xml:space="preserve">, </w:t>
      </w:r>
      <w:r w:rsidRPr="00206486">
        <w:rPr>
          <w:lang w:val="fr-CA"/>
        </w:rPr>
        <w:t xml:space="preserve">l’efficacité énergétique, la sécurité, et la gestion des </w:t>
      </w:r>
      <w:r w:rsidR="003B6C77" w:rsidRPr="00206486">
        <w:rPr>
          <w:lang w:val="fr-CA"/>
        </w:rPr>
        <w:t>frigorigène</w:t>
      </w:r>
      <w:r w:rsidRPr="00206486">
        <w:rPr>
          <w:lang w:val="fr-CA"/>
        </w:rPr>
        <w:t>s</w:t>
      </w:r>
      <w:r w:rsidR="00FB0F9B" w:rsidRPr="00206486">
        <w:rPr>
          <w:lang w:val="fr-CA"/>
        </w:rPr>
        <w:t xml:space="preserve">, </w:t>
      </w:r>
      <w:r w:rsidRPr="00206486">
        <w:rPr>
          <w:lang w:val="fr-CA"/>
        </w:rPr>
        <w:t>à être incorporés dans le</w:t>
      </w:r>
      <w:r w:rsidR="000C7BB3">
        <w:rPr>
          <w:lang w:val="fr-CA"/>
        </w:rPr>
        <w:t> </w:t>
      </w:r>
      <w:r w:rsidR="00FB0F9B" w:rsidRPr="00206486">
        <w:rPr>
          <w:lang w:val="fr-CA"/>
        </w:rPr>
        <w:t xml:space="preserve">curriculum </w:t>
      </w:r>
      <w:r w:rsidRPr="00206486">
        <w:rPr>
          <w:lang w:val="fr-CA"/>
        </w:rPr>
        <w:t>des</w:t>
      </w:r>
      <w:r w:rsidR="00FB0F9B" w:rsidRPr="00206486">
        <w:rPr>
          <w:lang w:val="fr-CA"/>
        </w:rPr>
        <w:t xml:space="preserve"> instituts (10</w:t>
      </w:r>
      <w:r w:rsidR="00973255" w:rsidRPr="00206486">
        <w:rPr>
          <w:lang w:val="fr-CA"/>
        </w:rPr>
        <w:t>0</w:t>
      </w:r>
      <w:r w:rsidR="00562770" w:rsidRPr="00206486">
        <w:rPr>
          <w:lang w:val="fr-CA"/>
        </w:rPr>
        <w:t> 000 $US)</w:t>
      </w:r>
      <w:r w:rsidR="00FB0F9B" w:rsidRPr="00206486">
        <w:rPr>
          <w:lang w:val="fr-CA"/>
        </w:rPr>
        <w:t xml:space="preserve">; </w:t>
      </w:r>
    </w:p>
    <w:p w:rsidR="00FB0F9B" w:rsidRPr="00206486" w:rsidRDefault="00FB0F9B" w:rsidP="00FB0F9B">
      <w:pPr>
        <w:pStyle w:val="Heading3"/>
        <w:numPr>
          <w:ilvl w:val="2"/>
          <w:numId w:val="1"/>
        </w:numPr>
        <w:rPr>
          <w:lang w:val="fr-CA"/>
        </w:rPr>
      </w:pPr>
      <w:r w:rsidRPr="00206486">
        <w:rPr>
          <w:lang w:val="fr-CA"/>
        </w:rPr>
        <w:t>Promoti</w:t>
      </w:r>
      <w:r w:rsidR="00677924" w:rsidRPr="00206486">
        <w:rPr>
          <w:lang w:val="fr-CA"/>
        </w:rPr>
        <w:t>on de solutions de remplacement à faible potentiel de réchauffement de la planète dans les supermarchés et les hôtels</w:t>
      </w:r>
      <w:r w:rsidR="00A37628">
        <w:rPr>
          <w:lang w:val="fr-CA"/>
        </w:rPr>
        <w:t>,</w:t>
      </w:r>
      <w:r w:rsidRPr="00206486">
        <w:rPr>
          <w:lang w:val="fr-CA"/>
        </w:rPr>
        <w:t xml:space="preserve"> </w:t>
      </w:r>
      <w:r w:rsidR="00677924" w:rsidRPr="00206486">
        <w:rPr>
          <w:lang w:val="fr-CA"/>
        </w:rPr>
        <w:t xml:space="preserve">en dispensant </w:t>
      </w:r>
      <w:r w:rsidRPr="00206486">
        <w:rPr>
          <w:lang w:val="fr-CA"/>
        </w:rPr>
        <w:t>10 </w:t>
      </w:r>
      <w:r w:rsidR="00677924" w:rsidRPr="00206486">
        <w:rPr>
          <w:lang w:val="fr-CA"/>
        </w:rPr>
        <w:t>séminaires de</w:t>
      </w:r>
      <w:r w:rsidR="00A37628">
        <w:rPr>
          <w:lang w:val="fr-CA"/>
        </w:rPr>
        <w:t> </w:t>
      </w:r>
      <w:r w:rsidR="00677924" w:rsidRPr="00206486">
        <w:rPr>
          <w:lang w:val="fr-CA"/>
        </w:rPr>
        <w:t>formation</w:t>
      </w:r>
      <w:r w:rsidRPr="00206486">
        <w:rPr>
          <w:lang w:val="fr-CA"/>
        </w:rPr>
        <w:t xml:space="preserve"> </w:t>
      </w:r>
      <w:r w:rsidR="00677924" w:rsidRPr="00206486">
        <w:rPr>
          <w:lang w:val="fr-CA"/>
        </w:rPr>
        <w:t>pour les</w:t>
      </w:r>
      <w:r w:rsidRPr="00206486">
        <w:rPr>
          <w:lang w:val="fr-CA"/>
        </w:rPr>
        <w:t xml:space="preserve"> </w:t>
      </w:r>
      <w:r w:rsidR="004A76B2" w:rsidRPr="00206486">
        <w:rPr>
          <w:lang w:val="fr-CA"/>
        </w:rPr>
        <w:t>utilisateurs finals</w:t>
      </w:r>
      <w:r w:rsidRPr="00206486">
        <w:rPr>
          <w:lang w:val="fr-CA"/>
        </w:rPr>
        <w:t xml:space="preserve">, </w:t>
      </w:r>
      <w:r w:rsidR="00677924" w:rsidRPr="00206486">
        <w:rPr>
          <w:lang w:val="fr-CA"/>
        </w:rPr>
        <w:t>les supermarché</w:t>
      </w:r>
      <w:r w:rsidRPr="00206486">
        <w:rPr>
          <w:lang w:val="fr-CA"/>
        </w:rPr>
        <w:t>s</w:t>
      </w:r>
      <w:r w:rsidR="0039010B" w:rsidRPr="00206486">
        <w:rPr>
          <w:lang w:val="fr-CA"/>
        </w:rPr>
        <w:t xml:space="preserve"> et </w:t>
      </w:r>
      <w:r w:rsidR="00677924" w:rsidRPr="00206486">
        <w:rPr>
          <w:lang w:val="fr-CA"/>
        </w:rPr>
        <w:t>hôtels</w:t>
      </w:r>
      <w:r w:rsidRPr="00206486">
        <w:rPr>
          <w:lang w:val="fr-CA"/>
        </w:rPr>
        <w:t>;</w:t>
      </w:r>
      <w:r w:rsidR="0039010B" w:rsidRPr="00206486">
        <w:rPr>
          <w:lang w:val="fr-CA"/>
        </w:rPr>
        <w:t xml:space="preserve"> et</w:t>
      </w:r>
      <w:r w:rsidR="00A37628">
        <w:rPr>
          <w:lang w:val="fr-CA"/>
        </w:rPr>
        <w:t> </w:t>
      </w:r>
      <w:r w:rsidR="00677924" w:rsidRPr="00206486">
        <w:rPr>
          <w:lang w:val="fr-CA"/>
        </w:rPr>
        <w:t>développement et dissémination</w:t>
      </w:r>
      <w:r w:rsidRPr="00206486">
        <w:rPr>
          <w:lang w:val="fr-CA"/>
        </w:rPr>
        <w:t xml:space="preserve"> </w:t>
      </w:r>
      <w:r w:rsidR="00677924" w:rsidRPr="00206486">
        <w:rPr>
          <w:lang w:val="fr-CA"/>
        </w:rPr>
        <w:t>de matériels d’accroissement de</w:t>
      </w:r>
      <w:r w:rsidR="00A37628">
        <w:rPr>
          <w:lang w:val="fr-CA"/>
        </w:rPr>
        <w:t> </w:t>
      </w:r>
      <w:r w:rsidR="00677924" w:rsidRPr="00206486">
        <w:rPr>
          <w:lang w:val="fr-CA"/>
        </w:rPr>
        <w:t>la</w:t>
      </w:r>
      <w:r w:rsidR="00A37628">
        <w:rPr>
          <w:lang w:val="fr-CA"/>
        </w:rPr>
        <w:t> </w:t>
      </w:r>
      <w:r w:rsidR="00677924" w:rsidRPr="00206486">
        <w:rPr>
          <w:lang w:val="fr-CA"/>
        </w:rPr>
        <w:t>sensibilisation</w:t>
      </w:r>
      <w:r w:rsidRPr="00206486">
        <w:rPr>
          <w:lang w:val="fr-CA"/>
        </w:rPr>
        <w:t xml:space="preserve"> </w:t>
      </w:r>
      <w:r w:rsidR="00677924" w:rsidRPr="00206486">
        <w:rPr>
          <w:lang w:val="fr-CA"/>
        </w:rPr>
        <w:t xml:space="preserve">afin de soutenir la </w:t>
      </w:r>
      <w:r w:rsidRPr="00206486">
        <w:rPr>
          <w:lang w:val="fr-CA"/>
        </w:rPr>
        <w:t xml:space="preserve">transition </w:t>
      </w:r>
      <w:r w:rsidR="00677924" w:rsidRPr="00206486">
        <w:rPr>
          <w:lang w:val="fr-CA"/>
        </w:rPr>
        <w:t>à des technologies à faible potentiel de réchauffement de la planète</w:t>
      </w:r>
      <w:r w:rsidRPr="00206486">
        <w:rPr>
          <w:lang w:val="fr-CA"/>
        </w:rPr>
        <w:t xml:space="preserve"> (8</w:t>
      </w:r>
      <w:r w:rsidR="00BD19D4" w:rsidRPr="00206486">
        <w:rPr>
          <w:lang w:val="fr-CA"/>
        </w:rPr>
        <w:t>2</w:t>
      </w:r>
      <w:r w:rsidR="00562770" w:rsidRPr="00206486">
        <w:rPr>
          <w:lang w:val="fr-CA"/>
        </w:rPr>
        <w:t> 000 $US)</w:t>
      </w:r>
      <w:r w:rsidR="00677924" w:rsidRPr="00206486">
        <w:rPr>
          <w:lang w:val="fr-CA"/>
        </w:rPr>
        <w:t>; et</w:t>
      </w:r>
    </w:p>
    <w:p w:rsidR="00FB0F9B" w:rsidRDefault="00677924" w:rsidP="00FB0F9B">
      <w:pPr>
        <w:pStyle w:val="Heading3"/>
        <w:numPr>
          <w:ilvl w:val="2"/>
          <w:numId w:val="1"/>
        </w:numPr>
        <w:rPr>
          <w:lang w:val="fr-CA"/>
        </w:rPr>
      </w:pPr>
      <w:r w:rsidRPr="00206486">
        <w:rPr>
          <w:lang w:val="fr-CA"/>
        </w:rPr>
        <w:t xml:space="preserve">Élimination de l’utilisation de </w:t>
      </w:r>
      <w:r w:rsidR="0060390D" w:rsidRPr="00206486">
        <w:rPr>
          <w:lang w:val="fr-CA"/>
        </w:rPr>
        <w:t>HCFC</w:t>
      </w:r>
      <w:r w:rsidR="00FB0F9B" w:rsidRPr="00206486">
        <w:rPr>
          <w:lang w:val="fr-CA"/>
        </w:rPr>
        <w:t xml:space="preserve">-141b </w:t>
      </w:r>
      <w:r w:rsidRPr="00206486">
        <w:rPr>
          <w:lang w:val="fr-CA"/>
        </w:rPr>
        <w:t>pour le nettoyage des climatiseurs individuels (</w:t>
      </w:r>
      <w:r w:rsidR="00FB0F9B" w:rsidRPr="00206486">
        <w:rPr>
          <w:lang w:val="fr-CA"/>
        </w:rPr>
        <w:t>RAC</w:t>
      </w:r>
      <w:r w:rsidRPr="00206486">
        <w:rPr>
          <w:lang w:val="fr-CA"/>
        </w:rPr>
        <w:t>)</w:t>
      </w:r>
      <w:r w:rsidR="00FB0F9B" w:rsidRPr="00206486">
        <w:rPr>
          <w:lang w:val="fr-CA"/>
        </w:rPr>
        <w:t xml:space="preserve"> </w:t>
      </w:r>
      <w:r w:rsidRPr="00206486">
        <w:rPr>
          <w:lang w:val="fr-CA"/>
        </w:rPr>
        <w:t>en dispensant un</w:t>
      </w:r>
      <w:r w:rsidR="00FB0F9B" w:rsidRPr="00206486">
        <w:rPr>
          <w:lang w:val="fr-CA"/>
        </w:rPr>
        <w:t xml:space="preserve"> </w:t>
      </w:r>
      <w:r w:rsidR="008904C7" w:rsidRPr="00206486">
        <w:rPr>
          <w:lang w:val="fr-CA"/>
        </w:rPr>
        <w:t>atelier</w:t>
      </w:r>
      <w:r w:rsidR="00FB0F9B" w:rsidRPr="00206486">
        <w:rPr>
          <w:lang w:val="fr-CA"/>
        </w:rPr>
        <w:t xml:space="preserve"> </w:t>
      </w:r>
      <w:r w:rsidRPr="00206486">
        <w:rPr>
          <w:lang w:val="fr-CA"/>
        </w:rPr>
        <w:t>pour</w:t>
      </w:r>
      <w:r w:rsidR="00FB0F9B" w:rsidRPr="00206486">
        <w:rPr>
          <w:lang w:val="fr-CA"/>
        </w:rPr>
        <w:t xml:space="preserve"> </w:t>
      </w:r>
      <w:r w:rsidR="00562770" w:rsidRPr="00206486">
        <w:rPr>
          <w:lang w:val="fr-CA"/>
        </w:rPr>
        <w:t>formateurs</w:t>
      </w:r>
      <w:r w:rsidR="0039010B" w:rsidRPr="00206486">
        <w:rPr>
          <w:lang w:val="fr-CA"/>
        </w:rPr>
        <w:t xml:space="preserve"> et </w:t>
      </w:r>
      <w:r w:rsidRPr="00206486">
        <w:rPr>
          <w:lang w:val="fr-CA"/>
        </w:rPr>
        <w:t>cinq</w:t>
      </w:r>
      <w:r w:rsidR="00FB0F9B" w:rsidRPr="00206486">
        <w:rPr>
          <w:lang w:val="fr-CA"/>
        </w:rPr>
        <w:t xml:space="preserve"> </w:t>
      </w:r>
      <w:r w:rsidR="008904C7" w:rsidRPr="00206486">
        <w:rPr>
          <w:lang w:val="fr-CA"/>
        </w:rPr>
        <w:t>atelier</w:t>
      </w:r>
      <w:r w:rsidR="00FB0F9B" w:rsidRPr="00206486">
        <w:rPr>
          <w:lang w:val="fr-CA"/>
        </w:rPr>
        <w:t xml:space="preserve">s </w:t>
      </w:r>
      <w:r w:rsidRPr="00206486">
        <w:rPr>
          <w:lang w:val="fr-CA"/>
        </w:rPr>
        <w:t>pour</w:t>
      </w:r>
      <w:r w:rsidR="00FB0F9B" w:rsidRPr="00206486">
        <w:rPr>
          <w:lang w:val="fr-CA"/>
        </w:rPr>
        <w:t xml:space="preserve"> </w:t>
      </w:r>
      <w:r w:rsidR="00AA3256" w:rsidRPr="00206486">
        <w:rPr>
          <w:lang w:val="fr-CA"/>
        </w:rPr>
        <w:t>technicien</w:t>
      </w:r>
      <w:r w:rsidR="00FB0F9B" w:rsidRPr="00206486">
        <w:rPr>
          <w:lang w:val="fr-CA"/>
        </w:rPr>
        <w:t xml:space="preserve">s </w:t>
      </w:r>
      <w:r w:rsidRPr="00206486">
        <w:rPr>
          <w:lang w:val="fr-CA"/>
        </w:rPr>
        <w:t>à l’utilisation des solutions de remplacement, et fourni</w:t>
      </w:r>
      <w:r w:rsidR="00A37628">
        <w:rPr>
          <w:lang w:val="fr-CA"/>
        </w:rPr>
        <w:t>ture</w:t>
      </w:r>
      <w:r w:rsidRPr="00206486">
        <w:rPr>
          <w:lang w:val="fr-CA"/>
        </w:rPr>
        <w:t xml:space="preserve"> de</w:t>
      </w:r>
      <w:r w:rsidR="00A37628">
        <w:rPr>
          <w:lang w:val="fr-CA"/>
        </w:rPr>
        <w:t> </w:t>
      </w:r>
      <w:r w:rsidRPr="00206486">
        <w:rPr>
          <w:lang w:val="fr-CA"/>
        </w:rPr>
        <w:t>trousses d’outils</w:t>
      </w:r>
      <w:r w:rsidR="00FB0F9B" w:rsidRPr="00206486">
        <w:rPr>
          <w:lang w:val="fr-CA"/>
        </w:rPr>
        <w:t xml:space="preserve"> (9</w:t>
      </w:r>
      <w:r w:rsidR="00973255" w:rsidRPr="00206486">
        <w:rPr>
          <w:lang w:val="fr-CA"/>
        </w:rPr>
        <w:t>7</w:t>
      </w:r>
      <w:r w:rsidR="00562770" w:rsidRPr="00206486">
        <w:rPr>
          <w:lang w:val="fr-CA"/>
        </w:rPr>
        <w:t> 000 $US)</w:t>
      </w:r>
      <w:r w:rsidRPr="00206486">
        <w:rPr>
          <w:lang w:val="fr-CA"/>
        </w:rPr>
        <w:t>; et</w:t>
      </w:r>
    </w:p>
    <w:p w:rsidR="00A37628" w:rsidRPr="00A37628" w:rsidRDefault="00A37628" w:rsidP="00A37628">
      <w:pPr>
        <w:rPr>
          <w:lang w:val="fr-CA"/>
        </w:rPr>
      </w:pPr>
    </w:p>
    <w:p w:rsidR="00FB0F9B" w:rsidRPr="00206486" w:rsidRDefault="00677924" w:rsidP="00FB0F9B">
      <w:pPr>
        <w:pStyle w:val="Heading2"/>
        <w:numPr>
          <w:ilvl w:val="1"/>
          <w:numId w:val="1"/>
        </w:numPr>
        <w:rPr>
          <w:lang w:val="fr-CA"/>
        </w:rPr>
      </w:pPr>
      <w:r w:rsidRPr="00206486">
        <w:rPr>
          <w:lang w:val="fr-CA"/>
        </w:rPr>
        <w:lastRenderedPageBreak/>
        <w:t>Activités d’accroissement de la sensibilisation du public à l’élimination des</w:t>
      </w:r>
      <w:r w:rsidR="00FB0F9B" w:rsidRPr="00206486">
        <w:rPr>
          <w:lang w:val="fr-CA"/>
        </w:rPr>
        <w:t xml:space="preserve"> HCFC</w:t>
      </w:r>
      <w:r w:rsidRPr="00206486">
        <w:rPr>
          <w:lang w:val="fr-CA"/>
        </w:rPr>
        <w:t> : campagne de sensibilisation annuelle,</w:t>
      </w:r>
      <w:r w:rsidR="00FB0F9B" w:rsidRPr="00206486">
        <w:rPr>
          <w:lang w:val="fr-CA"/>
        </w:rPr>
        <w:t xml:space="preserve"> </w:t>
      </w:r>
      <w:r w:rsidRPr="00206486">
        <w:rPr>
          <w:lang w:val="fr-CA"/>
        </w:rPr>
        <w:t>élaboration et dissémination</w:t>
      </w:r>
      <w:r w:rsidR="00FB0F9B" w:rsidRPr="00206486">
        <w:rPr>
          <w:lang w:val="fr-CA"/>
        </w:rPr>
        <w:t xml:space="preserve"> </w:t>
      </w:r>
      <w:r w:rsidRPr="00206486">
        <w:rPr>
          <w:lang w:val="fr-CA"/>
        </w:rPr>
        <w:t>de matériels d’accroissement de la sensibilisation</w:t>
      </w:r>
      <w:r w:rsidR="00FB0F9B" w:rsidRPr="00206486">
        <w:rPr>
          <w:lang w:val="fr-CA"/>
        </w:rPr>
        <w:t xml:space="preserve"> </w:t>
      </w:r>
      <w:r w:rsidRPr="00206486">
        <w:rPr>
          <w:lang w:val="fr-CA"/>
        </w:rPr>
        <w:t>aux institutions du gou</w:t>
      </w:r>
      <w:r w:rsidR="00F8445E" w:rsidRPr="00206486">
        <w:rPr>
          <w:lang w:val="fr-CA"/>
        </w:rPr>
        <w:t>vernement</w:t>
      </w:r>
      <w:r w:rsidR="00FB0F9B" w:rsidRPr="00206486">
        <w:rPr>
          <w:lang w:val="fr-CA"/>
        </w:rPr>
        <w:t xml:space="preserve">, </w:t>
      </w:r>
      <w:r w:rsidRPr="00206486">
        <w:rPr>
          <w:lang w:val="fr-CA"/>
        </w:rPr>
        <w:t>décideurs</w:t>
      </w:r>
      <w:r w:rsidR="00FB0F9B" w:rsidRPr="00206486">
        <w:rPr>
          <w:lang w:val="fr-CA"/>
        </w:rPr>
        <w:t xml:space="preserve">, </w:t>
      </w:r>
      <w:r w:rsidR="004A76B2" w:rsidRPr="00206486">
        <w:rPr>
          <w:lang w:val="fr-CA"/>
        </w:rPr>
        <w:t>utilisateurs finals</w:t>
      </w:r>
      <w:r w:rsidR="0039010B" w:rsidRPr="00206486">
        <w:rPr>
          <w:lang w:val="fr-CA"/>
        </w:rPr>
        <w:t xml:space="preserve"> et </w:t>
      </w:r>
      <w:r w:rsidRPr="00206486">
        <w:rPr>
          <w:lang w:val="fr-CA"/>
        </w:rPr>
        <w:t>distributeurs d’équipements et détaillants</w:t>
      </w:r>
      <w:r w:rsidR="00FB0F9B" w:rsidRPr="00206486">
        <w:rPr>
          <w:lang w:val="fr-CA"/>
        </w:rPr>
        <w:t xml:space="preserve"> (8</w:t>
      </w:r>
      <w:r w:rsidR="00973255" w:rsidRPr="00206486">
        <w:rPr>
          <w:lang w:val="fr-CA"/>
        </w:rPr>
        <w:t>8</w:t>
      </w:r>
      <w:r w:rsidR="00562770" w:rsidRPr="00206486">
        <w:rPr>
          <w:lang w:val="fr-CA"/>
        </w:rPr>
        <w:t> 000 $US)</w:t>
      </w:r>
      <w:r w:rsidR="00FB0F9B" w:rsidRPr="00206486">
        <w:rPr>
          <w:lang w:val="fr-CA"/>
        </w:rPr>
        <w:t>.</w:t>
      </w:r>
    </w:p>
    <w:p w:rsidR="00FB0F9B" w:rsidRPr="00206486" w:rsidRDefault="00395AAE" w:rsidP="00FB0F9B">
      <w:pPr>
        <w:spacing w:after="240"/>
        <w:rPr>
          <w:i/>
          <w:lang w:val="fr-CA"/>
        </w:rPr>
      </w:pPr>
      <w:r w:rsidRPr="00206486">
        <w:rPr>
          <w:i/>
          <w:lang w:val="fr-CA"/>
        </w:rPr>
        <w:t>Groupe de mise en oeuvre, de surveillance et de rapport des projets</w:t>
      </w:r>
      <w:r w:rsidR="00FB0F9B" w:rsidRPr="00206486">
        <w:rPr>
          <w:i/>
          <w:lang w:val="fr-CA"/>
        </w:rPr>
        <w:t xml:space="preserve"> (PMU)</w:t>
      </w:r>
    </w:p>
    <w:p w:rsidR="00FB0F9B" w:rsidRPr="00206486" w:rsidRDefault="00395AAE" w:rsidP="00FB0F9B">
      <w:pPr>
        <w:pStyle w:val="Heading1"/>
        <w:rPr>
          <w:lang w:val="fr-CA"/>
        </w:rPr>
      </w:pPr>
      <w:r w:rsidRPr="00206486">
        <w:rPr>
          <w:lang w:val="fr-CA"/>
        </w:rPr>
        <w:t>Un</w:t>
      </w:r>
      <w:r w:rsidR="00FB0F9B" w:rsidRPr="00206486">
        <w:rPr>
          <w:lang w:val="fr-CA"/>
        </w:rPr>
        <w:t xml:space="preserve"> </w:t>
      </w:r>
      <w:r w:rsidRPr="00206486">
        <w:rPr>
          <w:lang w:val="fr-CA"/>
        </w:rPr>
        <w:t>groupe de gestion des projets (</w:t>
      </w:r>
      <w:r w:rsidR="00FB0F9B" w:rsidRPr="00206486">
        <w:rPr>
          <w:lang w:val="fr-CA"/>
        </w:rPr>
        <w:t>PMU</w:t>
      </w:r>
      <w:r w:rsidRPr="00206486">
        <w:rPr>
          <w:lang w:val="fr-CA"/>
        </w:rPr>
        <w:t>)</w:t>
      </w:r>
      <w:r w:rsidR="00FB0F9B" w:rsidRPr="00206486">
        <w:rPr>
          <w:lang w:val="fr-CA"/>
        </w:rPr>
        <w:t xml:space="preserve"> </w:t>
      </w:r>
      <w:r w:rsidRPr="00206486">
        <w:rPr>
          <w:lang w:val="fr-CA"/>
        </w:rPr>
        <w:t>sera</w:t>
      </w:r>
      <w:r w:rsidR="00FB0F9B" w:rsidRPr="00206486">
        <w:rPr>
          <w:lang w:val="fr-CA"/>
        </w:rPr>
        <w:t xml:space="preserve"> </w:t>
      </w:r>
      <w:r w:rsidR="003B6C77" w:rsidRPr="00206486">
        <w:rPr>
          <w:lang w:val="fr-CA"/>
        </w:rPr>
        <w:t>établi</w:t>
      </w:r>
      <w:r w:rsidR="00FB0F9B" w:rsidRPr="00206486">
        <w:rPr>
          <w:lang w:val="fr-CA"/>
        </w:rPr>
        <w:t xml:space="preserve"> </w:t>
      </w:r>
      <w:r w:rsidRPr="00206486">
        <w:rPr>
          <w:lang w:val="fr-CA"/>
        </w:rPr>
        <w:t>sous l’égide de l’Unité nationale d’ozone (</w:t>
      </w:r>
      <w:r w:rsidR="003B6C77" w:rsidRPr="00206486">
        <w:rPr>
          <w:lang w:val="fr-CA"/>
        </w:rPr>
        <w:t>UNO</w:t>
      </w:r>
      <w:r w:rsidRPr="00206486">
        <w:rPr>
          <w:lang w:val="fr-CA"/>
        </w:rPr>
        <w:t>)</w:t>
      </w:r>
      <w:r w:rsidR="003B6C77" w:rsidRPr="00206486">
        <w:rPr>
          <w:lang w:val="fr-CA"/>
        </w:rPr>
        <w:t xml:space="preserve"> </w:t>
      </w:r>
      <w:r w:rsidRPr="00206486">
        <w:rPr>
          <w:lang w:val="fr-CA"/>
        </w:rPr>
        <w:t>afin de mettre en oeuvre et d’assurer le suivi des activités, et de présenter des rapports sur les progrès</w:t>
      </w:r>
      <w:r w:rsidR="00FB0F9B" w:rsidRPr="00206486">
        <w:rPr>
          <w:lang w:val="fr-CA"/>
        </w:rPr>
        <w:t xml:space="preserve">. </w:t>
      </w:r>
      <w:r w:rsidRPr="00206486">
        <w:rPr>
          <w:lang w:val="fr-CA"/>
        </w:rPr>
        <w:t>Il procédera aux activités suivantes :</w:t>
      </w:r>
      <w:r w:rsidR="002B0AAE" w:rsidRPr="00206486">
        <w:rPr>
          <w:lang w:val="fr-CA"/>
        </w:rPr>
        <w:t xml:space="preserve"> </w:t>
      </w:r>
      <w:r w:rsidRPr="00206486">
        <w:rPr>
          <w:lang w:val="fr-CA"/>
        </w:rPr>
        <w:t xml:space="preserve">conception détaillée des </w:t>
      </w:r>
      <w:r w:rsidR="00AA3256" w:rsidRPr="00206486">
        <w:rPr>
          <w:lang w:val="fr-CA"/>
        </w:rPr>
        <w:t>activités</w:t>
      </w:r>
      <w:r w:rsidR="00FB0F9B" w:rsidRPr="00206486">
        <w:rPr>
          <w:lang w:val="fr-CA"/>
        </w:rPr>
        <w:t>; liais</w:t>
      </w:r>
      <w:r w:rsidRPr="00206486">
        <w:rPr>
          <w:lang w:val="fr-CA"/>
        </w:rPr>
        <w:t xml:space="preserve">on avec les </w:t>
      </w:r>
      <w:r w:rsidR="004A76B2" w:rsidRPr="00206486">
        <w:rPr>
          <w:lang w:val="fr-CA"/>
        </w:rPr>
        <w:t>intéressés</w:t>
      </w:r>
      <w:r w:rsidR="0039010B" w:rsidRPr="00206486">
        <w:rPr>
          <w:lang w:val="fr-CA"/>
        </w:rPr>
        <w:t xml:space="preserve"> et </w:t>
      </w:r>
      <w:r w:rsidRPr="00206486">
        <w:rPr>
          <w:lang w:val="fr-CA"/>
        </w:rPr>
        <w:t>coordination de la mise en oeuvre</w:t>
      </w:r>
      <w:r w:rsidR="00FB0F9B" w:rsidRPr="00206486">
        <w:rPr>
          <w:lang w:val="fr-CA"/>
        </w:rPr>
        <w:t xml:space="preserve">; </w:t>
      </w:r>
      <w:r w:rsidRPr="00206486">
        <w:rPr>
          <w:lang w:val="fr-CA"/>
        </w:rPr>
        <w:t>identification des bénéficiaires</w:t>
      </w:r>
      <w:r w:rsidR="00FB0F9B" w:rsidRPr="00206486">
        <w:rPr>
          <w:lang w:val="fr-CA"/>
        </w:rPr>
        <w:t xml:space="preserve">; </w:t>
      </w:r>
      <w:r w:rsidRPr="00206486">
        <w:rPr>
          <w:lang w:val="fr-CA"/>
        </w:rPr>
        <w:t>achat de biens et services</w:t>
      </w:r>
      <w:r w:rsidR="00FB0F9B" w:rsidRPr="00206486">
        <w:rPr>
          <w:lang w:val="fr-CA"/>
        </w:rPr>
        <w:t xml:space="preserve">; </w:t>
      </w:r>
      <w:r w:rsidRPr="00206486">
        <w:rPr>
          <w:lang w:val="fr-CA"/>
        </w:rPr>
        <w:t xml:space="preserve">suivi des </w:t>
      </w:r>
      <w:r w:rsidR="00AA3256" w:rsidRPr="00206486">
        <w:rPr>
          <w:lang w:val="fr-CA"/>
        </w:rPr>
        <w:t>activités</w:t>
      </w:r>
      <w:r w:rsidR="00FB0F9B" w:rsidRPr="00206486">
        <w:rPr>
          <w:lang w:val="fr-CA"/>
        </w:rPr>
        <w:t xml:space="preserve">, </w:t>
      </w:r>
      <w:r w:rsidRPr="00206486">
        <w:rPr>
          <w:lang w:val="fr-CA"/>
        </w:rPr>
        <w:t>collecte de données et mise en oeuvre de mesures de correction au besoin</w:t>
      </w:r>
      <w:r w:rsidR="00FB0F9B" w:rsidRPr="00206486">
        <w:rPr>
          <w:lang w:val="fr-CA"/>
        </w:rPr>
        <w:t xml:space="preserve">; </w:t>
      </w:r>
      <w:r w:rsidRPr="00206486">
        <w:rPr>
          <w:lang w:val="fr-CA"/>
        </w:rPr>
        <w:t xml:space="preserve">suivi des progrès technologiques en matière de remplacement des </w:t>
      </w:r>
      <w:r w:rsidR="0060390D" w:rsidRPr="00206486">
        <w:rPr>
          <w:lang w:val="fr-CA"/>
        </w:rPr>
        <w:t>HCFC</w:t>
      </w:r>
      <w:r w:rsidR="0039010B" w:rsidRPr="00206486">
        <w:rPr>
          <w:lang w:val="fr-CA"/>
        </w:rPr>
        <w:t xml:space="preserve"> et </w:t>
      </w:r>
      <w:r w:rsidRPr="00206486">
        <w:rPr>
          <w:lang w:val="fr-CA"/>
        </w:rPr>
        <w:t>assistance à des réunions pour mise à jour technique</w:t>
      </w:r>
      <w:r w:rsidR="00FB0F9B" w:rsidRPr="00206486">
        <w:rPr>
          <w:lang w:val="fr-CA"/>
        </w:rPr>
        <w:t>; pr</w:t>
      </w:r>
      <w:r w:rsidRPr="00206486">
        <w:rPr>
          <w:lang w:val="fr-CA"/>
        </w:rPr>
        <w:t>éparation d’un rapport trimestriel pour le Bureau technique de l’ozone du ministère de</w:t>
      </w:r>
      <w:r w:rsidR="00A37628">
        <w:rPr>
          <w:lang w:val="fr-CA"/>
        </w:rPr>
        <w:t> </w:t>
      </w:r>
      <w:r w:rsidRPr="00206486">
        <w:rPr>
          <w:lang w:val="fr-CA"/>
        </w:rPr>
        <w:t>l’Environnement</w:t>
      </w:r>
      <w:r w:rsidR="00FB0F9B" w:rsidRPr="00206486">
        <w:rPr>
          <w:lang w:val="fr-CA"/>
        </w:rPr>
        <w:t>;</w:t>
      </w:r>
      <w:r w:rsidR="0039010B" w:rsidRPr="00206486">
        <w:rPr>
          <w:lang w:val="fr-CA"/>
        </w:rPr>
        <w:t xml:space="preserve"> et </w:t>
      </w:r>
      <w:r w:rsidRPr="00206486">
        <w:rPr>
          <w:lang w:val="fr-CA"/>
        </w:rPr>
        <w:t xml:space="preserve">préparation de rapports périodiques pour le </w:t>
      </w:r>
      <w:r w:rsidR="002B0AAE" w:rsidRPr="00206486">
        <w:rPr>
          <w:lang w:val="fr-CA"/>
        </w:rPr>
        <w:t>PNUD</w:t>
      </w:r>
      <w:r w:rsidR="0039010B" w:rsidRPr="00206486">
        <w:rPr>
          <w:lang w:val="fr-CA"/>
        </w:rPr>
        <w:t xml:space="preserve"> et </w:t>
      </w:r>
      <w:r w:rsidRPr="00206486">
        <w:rPr>
          <w:lang w:val="fr-CA"/>
        </w:rPr>
        <w:t>le Comité exécutif</w:t>
      </w:r>
      <w:r w:rsidR="00FB0F9B" w:rsidRPr="00206486">
        <w:rPr>
          <w:lang w:val="fr-CA"/>
        </w:rPr>
        <w:t xml:space="preserve">. </w:t>
      </w:r>
    </w:p>
    <w:p w:rsidR="00FB0F9B" w:rsidRPr="00206486" w:rsidRDefault="00395AAE" w:rsidP="00FB0F9B">
      <w:pPr>
        <w:pStyle w:val="Heading1"/>
        <w:rPr>
          <w:lang w:val="fr-CA"/>
        </w:rPr>
      </w:pPr>
      <w:r w:rsidRPr="00206486">
        <w:rPr>
          <w:lang w:val="fr-CA"/>
        </w:rPr>
        <w:t xml:space="preserve">Le coût estimatif du </w:t>
      </w:r>
      <w:r w:rsidR="00FB0F9B" w:rsidRPr="00206486">
        <w:rPr>
          <w:lang w:val="fr-CA"/>
        </w:rPr>
        <w:t xml:space="preserve">PMU </w:t>
      </w:r>
      <w:r w:rsidRPr="00206486">
        <w:rPr>
          <w:lang w:val="fr-CA"/>
        </w:rPr>
        <w:t xml:space="preserve">se situe à </w:t>
      </w:r>
      <w:r w:rsidR="00FB0F9B" w:rsidRPr="00206486">
        <w:rPr>
          <w:lang w:val="fr-CA"/>
        </w:rPr>
        <w:t>17</w:t>
      </w:r>
      <w:r w:rsidR="00973255" w:rsidRPr="00206486">
        <w:rPr>
          <w:lang w:val="fr-CA"/>
        </w:rPr>
        <w:t>0</w:t>
      </w:r>
      <w:r w:rsidR="00A60694" w:rsidRPr="00206486">
        <w:rPr>
          <w:lang w:val="fr-CA"/>
        </w:rPr>
        <w:t xml:space="preserve"> 000 $US</w:t>
      </w:r>
      <w:r w:rsidR="0070671A" w:rsidRPr="00206486">
        <w:rPr>
          <w:lang w:val="fr-CA"/>
        </w:rPr>
        <w:t>, ventilé comme suit</w:t>
      </w:r>
      <w:r w:rsidR="002B0AAE" w:rsidRPr="00206486">
        <w:rPr>
          <w:lang w:val="fr-CA"/>
        </w:rPr>
        <w:t> :</w:t>
      </w:r>
      <w:r w:rsidR="0070671A" w:rsidRPr="00206486">
        <w:rPr>
          <w:lang w:val="fr-CA"/>
        </w:rPr>
        <w:t xml:space="preserve"> consultant national employé pour assister l’</w:t>
      </w:r>
      <w:r w:rsidR="003B6C77" w:rsidRPr="00206486">
        <w:rPr>
          <w:lang w:val="fr-CA"/>
        </w:rPr>
        <w:t xml:space="preserve">UNO </w:t>
      </w:r>
      <w:r w:rsidR="0070671A" w:rsidRPr="00206486">
        <w:rPr>
          <w:lang w:val="fr-CA"/>
        </w:rPr>
        <w:t xml:space="preserve">à effectuer la </w:t>
      </w:r>
      <w:r w:rsidRPr="00206486">
        <w:rPr>
          <w:lang w:val="fr-CA"/>
        </w:rPr>
        <w:t>mise en oeuvre</w:t>
      </w:r>
      <w:r w:rsidR="00FB0F9B" w:rsidRPr="00206486">
        <w:rPr>
          <w:lang w:val="fr-CA"/>
        </w:rPr>
        <w:t xml:space="preserve">, </w:t>
      </w:r>
      <w:r w:rsidR="0070671A" w:rsidRPr="00206486">
        <w:rPr>
          <w:lang w:val="fr-CA"/>
        </w:rPr>
        <w:t>le suivi et la présentation de rapports pour la</w:t>
      </w:r>
      <w:r w:rsidR="00321F68">
        <w:rPr>
          <w:lang w:val="fr-CA"/>
        </w:rPr>
        <w:t> </w:t>
      </w:r>
      <w:r w:rsidR="0070671A" w:rsidRPr="00206486">
        <w:rPr>
          <w:lang w:val="fr-CA"/>
        </w:rPr>
        <w:t xml:space="preserve">période </w:t>
      </w:r>
      <w:r w:rsidR="00FB0F9B" w:rsidRPr="00206486">
        <w:rPr>
          <w:lang w:val="fr-CA"/>
        </w:rPr>
        <w:t>2019</w:t>
      </w:r>
      <w:r w:rsidR="00FB0F9B" w:rsidRPr="00206486">
        <w:rPr>
          <w:lang w:val="fr-CA"/>
        </w:rPr>
        <w:noBreakHyphen/>
        <w:t>2030 (13</w:t>
      </w:r>
      <w:r w:rsidR="00BD19D4" w:rsidRPr="00206486">
        <w:rPr>
          <w:lang w:val="fr-CA"/>
        </w:rPr>
        <w:t>2</w:t>
      </w:r>
      <w:r w:rsidR="00562770" w:rsidRPr="00206486">
        <w:rPr>
          <w:lang w:val="fr-CA"/>
        </w:rPr>
        <w:t> 000 $US)</w:t>
      </w:r>
      <w:r w:rsidR="00FB0F9B" w:rsidRPr="00206486">
        <w:rPr>
          <w:lang w:val="fr-CA"/>
        </w:rPr>
        <w:t xml:space="preserve">; </w:t>
      </w:r>
      <w:r w:rsidR="0070671A" w:rsidRPr="00206486">
        <w:rPr>
          <w:lang w:val="fr-CA"/>
        </w:rPr>
        <w:t xml:space="preserve">réunions de </w:t>
      </w:r>
      <w:r w:rsidR="00FB0F9B" w:rsidRPr="00206486">
        <w:rPr>
          <w:lang w:val="fr-CA"/>
        </w:rPr>
        <w:t xml:space="preserve">coordination </w:t>
      </w:r>
      <w:r w:rsidR="0070671A" w:rsidRPr="00206486">
        <w:rPr>
          <w:lang w:val="fr-CA"/>
        </w:rPr>
        <w:t xml:space="preserve">avec les </w:t>
      </w:r>
      <w:r w:rsidR="004A76B2" w:rsidRPr="00206486">
        <w:rPr>
          <w:lang w:val="fr-CA"/>
        </w:rPr>
        <w:t>intéressés</w:t>
      </w:r>
      <w:r w:rsidR="00FB0F9B" w:rsidRPr="00206486">
        <w:rPr>
          <w:lang w:val="fr-CA"/>
        </w:rPr>
        <w:t xml:space="preserve"> (2</w:t>
      </w:r>
      <w:r w:rsidR="00BD19D4" w:rsidRPr="00206486">
        <w:rPr>
          <w:lang w:val="fr-CA"/>
        </w:rPr>
        <w:t>5</w:t>
      </w:r>
      <w:r w:rsidR="00562770" w:rsidRPr="00206486">
        <w:rPr>
          <w:lang w:val="fr-CA"/>
        </w:rPr>
        <w:t> 000 $US)</w:t>
      </w:r>
      <w:r w:rsidR="00FB0F9B" w:rsidRPr="00206486">
        <w:rPr>
          <w:lang w:val="fr-CA"/>
        </w:rPr>
        <w:t>;</w:t>
      </w:r>
      <w:r w:rsidR="0039010B" w:rsidRPr="00206486">
        <w:rPr>
          <w:lang w:val="fr-CA"/>
        </w:rPr>
        <w:t xml:space="preserve"> et </w:t>
      </w:r>
      <w:r w:rsidR="0070671A" w:rsidRPr="00206486">
        <w:rPr>
          <w:lang w:val="fr-CA"/>
        </w:rPr>
        <w:t>visites locales, soutien technique et imprévus</w:t>
      </w:r>
      <w:r w:rsidR="00FB0F9B" w:rsidRPr="00206486">
        <w:rPr>
          <w:lang w:val="fr-CA"/>
        </w:rPr>
        <w:t xml:space="preserve"> (1</w:t>
      </w:r>
      <w:r w:rsidR="00BD19D4" w:rsidRPr="00206486">
        <w:rPr>
          <w:lang w:val="fr-CA"/>
        </w:rPr>
        <w:t>3</w:t>
      </w:r>
      <w:r w:rsidR="00562770" w:rsidRPr="00206486">
        <w:rPr>
          <w:lang w:val="fr-CA"/>
        </w:rPr>
        <w:t> 000 $US)</w:t>
      </w:r>
      <w:r w:rsidR="00FB0F9B" w:rsidRPr="00206486">
        <w:rPr>
          <w:lang w:val="fr-CA"/>
        </w:rPr>
        <w:t xml:space="preserve">. </w:t>
      </w:r>
    </w:p>
    <w:p w:rsidR="00FB0F9B" w:rsidRPr="00206486" w:rsidRDefault="0070671A" w:rsidP="00FB0F9B">
      <w:pPr>
        <w:pStyle w:val="Heading1"/>
        <w:numPr>
          <w:ilvl w:val="0"/>
          <w:numId w:val="0"/>
        </w:numPr>
        <w:rPr>
          <w:u w:val="single"/>
          <w:lang w:val="fr-CA"/>
        </w:rPr>
      </w:pPr>
      <w:r w:rsidRPr="00206486">
        <w:rPr>
          <w:u w:val="single"/>
          <w:lang w:val="fr-CA"/>
        </w:rPr>
        <w:t xml:space="preserve">Coût total </w:t>
      </w:r>
      <w:r w:rsidR="008904C7" w:rsidRPr="00206486">
        <w:rPr>
          <w:u w:val="single"/>
          <w:lang w:val="fr-CA"/>
        </w:rPr>
        <w:t>de la phase</w:t>
      </w:r>
      <w:r w:rsidR="0060390D" w:rsidRPr="00206486">
        <w:rPr>
          <w:u w:val="single"/>
          <w:lang w:val="fr-CA"/>
        </w:rPr>
        <w:t xml:space="preserve"> II</w:t>
      </w:r>
      <w:r w:rsidR="00FB0F9B" w:rsidRPr="00206486">
        <w:rPr>
          <w:u w:val="single"/>
          <w:lang w:val="fr-CA"/>
        </w:rPr>
        <w:t xml:space="preserve"> </w:t>
      </w:r>
      <w:r w:rsidR="00C306D5" w:rsidRPr="00206486">
        <w:rPr>
          <w:u w:val="single"/>
          <w:lang w:val="fr-CA"/>
        </w:rPr>
        <w:t>du PGEH</w:t>
      </w:r>
    </w:p>
    <w:p w:rsidR="00FB0F9B" w:rsidRPr="00206486" w:rsidRDefault="0070671A" w:rsidP="00FB0F9B">
      <w:pPr>
        <w:pStyle w:val="Heading1"/>
        <w:rPr>
          <w:lang w:val="fr-CA"/>
        </w:rPr>
      </w:pPr>
      <w:r w:rsidRPr="00206486">
        <w:rPr>
          <w:lang w:val="fr-CA"/>
        </w:rPr>
        <w:t xml:space="preserve">Le coût total </w:t>
      </w:r>
      <w:r w:rsidR="008904C7" w:rsidRPr="00206486">
        <w:rPr>
          <w:lang w:val="fr-CA"/>
        </w:rPr>
        <w:t>de la phase</w:t>
      </w:r>
      <w:r w:rsidR="0060390D" w:rsidRPr="00206486">
        <w:rPr>
          <w:lang w:val="fr-CA"/>
        </w:rPr>
        <w:t xml:space="preserve"> II</w:t>
      </w:r>
      <w:r w:rsidR="00FB0F9B" w:rsidRPr="00206486">
        <w:rPr>
          <w:lang w:val="fr-CA"/>
        </w:rPr>
        <w:t xml:space="preserve"> </w:t>
      </w:r>
      <w:r w:rsidR="00C306D5" w:rsidRPr="00206486">
        <w:rPr>
          <w:lang w:val="fr-CA"/>
        </w:rPr>
        <w:t>du PGEH</w:t>
      </w:r>
      <w:r w:rsidR="00FB0F9B" w:rsidRPr="00206486">
        <w:rPr>
          <w:lang w:val="fr-CA"/>
        </w:rPr>
        <w:t xml:space="preserve"> </w:t>
      </w:r>
      <w:r w:rsidR="0039010B" w:rsidRPr="00206486">
        <w:rPr>
          <w:lang w:val="fr-CA"/>
        </w:rPr>
        <w:t>du Costa Rica</w:t>
      </w:r>
      <w:r w:rsidR="003B6C77" w:rsidRPr="00206486">
        <w:rPr>
          <w:lang w:val="fr-CA"/>
        </w:rPr>
        <w:t xml:space="preserve"> a été</w:t>
      </w:r>
      <w:r w:rsidR="00FB0F9B" w:rsidRPr="00206486">
        <w:rPr>
          <w:lang w:val="fr-CA"/>
        </w:rPr>
        <w:t xml:space="preserve"> </w:t>
      </w:r>
      <w:r w:rsidRPr="00206486">
        <w:rPr>
          <w:lang w:val="fr-CA"/>
        </w:rPr>
        <w:t xml:space="preserve">évalué à </w:t>
      </w:r>
      <w:r w:rsidR="00BD19D4" w:rsidRPr="00206486">
        <w:rPr>
          <w:lang w:val="fr-CA"/>
        </w:rPr>
        <w:t>1 </w:t>
      </w:r>
      <w:r w:rsidR="00FB0F9B" w:rsidRPr="00206486">
        <w:rPr>
          <w:lang w:val="fr-CA"/>
        </w:rPr>
        <w:t>10</w:t>
      </w:r>
      <w:r w:rsidR="00973255" w:rsidRPr="00206486">
        <w:rPr>
          <w:lang w:val="fr-CA"/>
        </w:rPr>
        <w:t>8 </w:t>
      </w:r>
      <w:r w:rsidR="00FB0F9B" w:rsidRPr="00206486">
        <w:rPr>
          <w:lang w:val="fr-CA"/>
        </w:rPr>
        <w:t>34</w:t>
      </w:r>
      <w:r w:rsidR="00973255" w:rsidRPr="00206486">
        <w:rPr>
          <w:lang w:val="fr-CA"/>
        </w:rPr>
        <w:t>8</w:t>
      </w:r>
      <w:r w:rsidRPr="00206486">
        <w:rPr>
          <w:lang w:val="fr-CA"/>
        </w:rPr>
        <w:t> $US,</w:t>
      </w:r>
      <w:r w:rsidR="00973255" w:rsidRPr="00206486">
        <w:rPr>
          <w:lang w:val="fr-CA"/>
        </w:rPr>
        <w:t> </w:t>
      </w:r>
      <w:r w:rsidR="00FB0F9B" w:rsidRPr="00206486">
        <w:rPr>
          <w:lang w:val="fr-CA"/>
        </w:rPr>
        <w:t xml:space="preserve">plus </w:t>
      </w:r>
      <w:r w:rsidRPr="00206486">
        <w:rPr>
          <w:lang w:val="fr-CA"/>
        </w:rPr>
        <w:t xml:space="preserve">les </w:t>
      </w:r>
      <w:r w:rsidR="00C306D5" w:rsidRPr="00206486">
        <w:rPr>
          <w:lang w:val="fr-CA"/>
        </w:rPr>
        <w:t>coûts d’appui d’agence</w:t>
      </w:r>
      <w:r w:rsidR="00FB0F9B" w:rsidRPr="00206486">
        <w:rPr>
          <w:lang w:val="fr-CA"/>
        </w:rPr>
        <w:t xml:space="preserve">. </w:t>
      </w:r>
      <w:r w:rsidRPr="00206486">
        <w:rPr>
          <w:lang w:val="fr-CA"/>
        </w:rPr>
        <w:t xml:space="preserve">Les activités proposées entraîneront </w:t>
      </w:r>
      <w:r w:rsidR="0039010B" w:rsidRPr="00206486">
        <w:rPr>
          <w:lang w:val="fr-CA"/>
        </w:rPr>
        <w:t xml:space="preserve">l’élimination de </w:t>
      </w:r>
      <w:r w:rsidR="00973255" w:rsidRPr="00206486">
        <w:rPr>
          <w:lang w:val="fr-CA"/>
        </w:rPr>
        <w:t>9,</w:t>
      </w:r>
      <w:r w:rsidR="00FB0F9B" w:rsidRPr="00206486">
        <w:rPr>
          <w:lang w:val="fr-CA"/>
        </w:rPr>
        <w:t>46</w:t>
      </w:r>
      <w:r w:rsidR="00C02492" w:rsidRPr="00206486">
        <w:rPr>
          <w:lang w:val="fr-CA"/>
        </w:rPr>
        <w:t xml:space="preserve"> tonnes PAO</w:t>
      </w:r>
      <w:r w:rsidR="00FB0F9B" w:rsidRPr="00206486">
        <w:rPr>
          <w:lang w:val="fr-CA"/>
        </w:rPr>
        <w:t xml:space="preserve"> (</w:t>
      </w:r>
      <w:r w:rsidRPr="00206486">
        <w:rPr>
          <w:lang w:val="fr-CA"/>
        </w:rPr>
        <w:t>soit</w:t>
      </w:r>
      <w:r w:rsidR="00FB0F9B" w:rsidRPr="00206486">
        <w:rPr>
          <w:lang w:val="fr-CA"/>
        </w:rPr>
        <w:t xml:space="preserve"> </w:t>
      </w:r>
      <w:r w:rsidR="00973255" w:rsidRPr="00206486">
        <w:rPr>
          <w:lang w:val="fr-CA"/>
        </w:rPr>
        <w:t>7,</w:t>
      </w:r>
      <w:r w:rsidR="00FB0F9B" w:rsidRPr="00206486">
        <w:rPr>
          <w:lang w:val="fr-CA"/>
        </w:rPr>
        <w:t>07</w:t>
      </w:r>
      <w:r w:rsidR="00321F68">
        <w:rPr>
          <w:lang w:val="fr-CA"/>
        </w:rPr>
        <w:t> </w:t>
      </w:r>
      <w:r w:rsidR="00C02492" w:rsidRPr="00206486">
        <w:rPr>
          <w:lang w:val="fr-CA"/>
        </w:rPr>
        <w:t>tonnes</w:t>
      </w:r>
      <w:r w:rsidR="00321F68">
        <w:rPr>
          <w:lang w:val="fr-CA"/>
        </w:rPr>
        <w:t> </w:t>
      </w:r>
      <w:r w:rsidR="00C02492" w:rsidRPr="00206486">
        <w:rPr>
          <w:lang w:val="fr-CA"/>
        </w:rPr>
        <w:t>PAO</w:t>
      </w:r>
      <w:r w:rsidR="00FB0F9B" w:rsidRPr="00206486">
        <w:rPr>
          <w:lang w:val="fr-CA"/>
        </w:rPr>
        <w:t xml:space="preserve"> </w:t>
      </w:r>
      <w:r w:rsidR="0060390D" w:rsidRPr="00206486">
        <w:rPr>
          <w:lang w:val="fr-CA"/>
        </w:rPr>
        <w:t>de HCFC</w:t>
      </w:r>
      <w:r w:rsidR="00FB0F9B" w:rsidRPr="00206486">
        <w:rPr>
          <w:lang w:val="fr-CA"/>
        </w:rPr>
        <w:t xml:space="preserve">-22; </w:t>
      </w:r>
      <w:r w:rsidR="00973255" w:rsidRPr="00206486">
        <w:rPr>
          <w:lang w:val="fr-CA"/>
        </w:rPr>
        <w:t>1,</w:t>
      </w:r>
      <w:r w:rsidR="00FB0F9B" w:rsidRPr="00206486">
        <w:rPr>
          <w:lang w:val="fr-CA"/>
        </w:rPr>
        <w:t>70</w:t>
      </w:r>
      <w:r w:rsidR="00C02492" w:rsidRPr="00206486">
        <w:rPr>
          <w:lang w:val="fr-CA"/>
        </w:rPr>
        <w:t xml:space="preserve"> tonne PAO</w:t>
      </w:r>
      <w:r w:rsidR="00FB0F9B" w:rsidRPr="00206486">
        <w:rPr>
          <w:lang w:val="fr-CA"/>
        </w:rPr>
        <w:t xml:space="preserve"> </w:t>
      </w:r>
      <w:r w:rsidR="0060390D" w:rsidRPr="00206486">
        <w:rPr>
          <w:lang w:val="fr-CA"/>
        </w:rPr>
        <w:t>de HCFC</w:t>
      </w:r>
      <w:r w:rsidR="00FB0F9B" w:rsidRPr="00206486">
        <w:rPr>
          <w:lang w:val="fr-CA"/>
        </w:rPr>
        <w:t>-141b, HCFC-142b, HCFC-123</w:t>
      </w:r>
      <w:r w:rsidR="0039010B" w:rsidRPr="00206486">
        <w:rPr>
          <w:lang w:val="fr-CA"/>
        </w:rPr>
        <w:t xml:space="preserve"> et </w:t>
      </w:r>
      <w:r w:rsidR="00FB0F9B" w:rsidRPr="00206486">
        <w:rPr>
          <w:lang w:val="fr-CA"/>
        </w:rPr>
        <w:t>HCFC-124;</w:t>
      </w:r>
      <w:r w:rsidR="0039010B" w:rsidRPr="00206486">
        <w:rPr>
          <w:lang w:val="fr-CA"/>
        </w:rPr>
        <w:t xml:space="preserve"> et </w:t>
      </w:r>
      <w:r w:rsidR="00973255" w:rsidRPr="00206486">
        <w:rPr>
          <w:lang w:val="fr-CA"/>
        </w:rPr>
        <w:t>0,</w:t>
      </w:r>
      <w:r w:rsidR="00FB0F9B" w:rsidRPr="00206486">
        <w:rPr>
          <w:lang w:val="fr-CA"/>
        </w:rPr>
        <w:t>69</w:t>
      </w:r>
      <w:r w:rsidRPr="00206486">
        <w:rPr>
          <w:lang w:val="fr-CA"/>
        </w:rPr>
        <w:t> </w:t>
      </w:r>
      <w:r w:rsidR="00C02492" w:rsidRPr="00206486">
        <w:rPr>
          <w:lang w:val="fr-CA"/>
        </w:rPr>
        <w:t>tonne PAO</w:t>
      </w:r>
      <w:r w:rsidR="00FB0F9B" w:rsidRPr="00206486">
        <w:rPr>
          <w:lang w:val="fr-CA"/>
        </w:rPr>
        <w:t xml:space="preserve"> </w:t>
      </w:r>
      <w:r w:rsidR="0060390D" w:rsidRPr="00206486">
        <w:rPr>
          <w:lang w:val="fr-CA"/>
        </w:rPr>
        <w:t>de HCFC</w:t>
      </w:r>
      <w:r w:rsidR="00FB0F9B" w:rsidRPr="00206486">
        <w:rPr>
          <w:lang w:val="fr-CA"/>
        </w:rPr>
        <w:t xml:space="preserve">-141b </w:t>
      </w:r>
      <w:r w:rsidR="0039010B" w:rsidRPr="00206486">
        <w:rPr>
          <w:lang w:val="fr-CA"/>
        </w:rPr>
        <w:t>contenu</w:t>
      </w:r>
      <w:r w:rsidR="00FB0F9B" w:rsidRPr="00206486">
        <w:rPr>
          <w:lang w:val="fr-CA"/>
        </w:rPr>
        <w:t xml:space="preserve"> </w:t>
      </w:r>
      <w:r w:rsidR="00EB2126" w:rsidRPr="00206486">
        <w:rPr>
          <w:lang w:val="fr-CA"/>
        </w:rPr>
        <w:t>dans des polyols</w:t>
      </w:r>
      <w:r w:rsidR="0060390D" w:rsidRPr="00206486">
        <w:rPr>
          <w:lang w:val="fr-CA"/>
        </w:rPr>
        <w:t xml:space="preserve"> prémélangés importés</w:t>
      </w:r>
      <w:r w:rsidR="00FB0F9B" w:rsidRPr="00206486">
        <w:rPr>
          <w:lang w:val="fr-CA"/>
        </w:rPr>
        <w:t xml:space="preserve">) </w:t>
      </w:r>
      <w:r w:rsidRPr="00206486">
        <w:rPr>
          <w:lang w:val="fr-CA"/>
        </w:rPr>
        <w:t>avec un rapport coût</w:t>
      </w:r>
      <w:r w:rsidRPr="00206486">
        <w:rPr>
          <w:lang w:val="fr-CA"/>
        </w:rPr>
        <w:noBreakHyphen/>
        <w:t xml:space="preserve">efficacité global de </w:t>
      </w:r>
      <w:r w:rsidR="00973255" w:rsidRPr="00206486">
        <w:rPr>
          <w:lang w:val="fr-CA"/>
        </w:rPr>
        <w:t>7,</w:t>
      </w:r>
      <w:r w:rsidR="00FB0F9B" w:rsidRPr="00206486">
        <w:rPr>
          <w:lang w:val="fr-CA"/>
        </w:rPr>
        <w:t>08</w:t>
      </w:r>
      <w:r w:rsidRPr="00206486">
        <w:rPr>
          <w:lang w:val="fr-CA"/>
        </w:rPr>
        <w:t> $US/</w:t>
      </w:r>
      <w:r w:rsidR="00FB0F9B" w:rsidRPr="00206486">
        <w:rPr>
          <w:lang w:val="fr-CA"/>
        </w:rPr>
        <w:t>kg</w:t>
      </w:r>
      <w:r w:rsidRPr="00206486">
        <w:rPr>
          <w:lang w:val="fr-CA"/>
        </w:rPr>
        <w:t xml:space="preserve"> (</w:t>
      </w:r>
      <w:r w:rsidR="00EB2126" w:rsidRPr="00206486">
        <w:rPr>
          <w:lang w:val="fr-CA"/>
        </w:rPr>
        <w:t xml:space="preserve">Tableau </w:t>
      </w:r>
      <w:r w:rsidR="00973255" w:rsidRPr="00206486">
        <w:rPr>
          <w:lang w:val="fr-CA"/>
        </w:rPr>
        <w:t>3</w:t>
      </w:r>
      <w:r w:rsidRPr="00206486">
        <w:rPr>
          <w:lang w:val="fr-CA"/>
        </w:rPr>
        <w:t>).</w:t>
      </w:r>
    </w:p>
    <w:p w:rsidR="00FB0F9B" w:rsidRPr="00206486" w:rsidRDefault="00EB2126" w:rsidP="00FB0F9B">
      <w:pPr>
        <w:keepNext/>
        <w:rPr>
          <w:b/>
          <w:lang w:val="fr-CA"/>
        </w:rPr>
      </w:pPr>
      <w:r w:rsidRPr="00206486">
        <w:rPr>
          <w:b/>
          <w:lang w:val="fr-CA"/>
        </w:rPr>
        <w:t xml:space="preserve">Tableau </w:t>
      </w:r>
      <w:r w:rsidR="00973255" w:rsidRPr="00206486">
        <w:rPr>
          <w:b/>
          <w:lang w:val="fr-CA"/>
        </w:rPr>
        <w:t>3</w:t>
      </w:r>
      <w:r w:rsidR="00EC07A9" w:rsidRPr="00206486">
        <w:rPr>
          <w:b/>
          <w:lang w:val="fr-CA"/>
        </w:rPr>
        <w:t>.</w:t>
      </w:r>
      <w:r w:rsidR="00FB0F9B" w:rsidRPr="00206486">
        <w:rPr>
          <w:b/>
          <w:lang w:val="fr-CA"/>
        </w:rPr>
        <w:t xml:space="preserve"> </w:t>
      </w:r>
      <w:r w:rsidR="0070671A" w:rsidRPr="00206486">
        <w:rPr>
          <w:b/>
          <w:lang w:val="fr-CA"/>
        </w:rPr>
        <w:t>Coût total</w:t>
      </w:r>
      <w:r w:rsidR="00FB0F9B" w:rsidRPr="00206486">
        <w:rPr>
          <w:b/>
          <w:lang w:val="fr-CA"/>
        </w:rPr>
        <w:t xml:space="preserve"> </w:t>
      </w:r>
      <w:r w:rsidR="008904C7" w:rsidRPr="00206486">
        <w:rPr>
          <w:b/>
          <w:lang w:val="fr-CA"/>
        </w:rPr>
        <w:t>de la phase</w:t>
      </w:r>
      <w:r w:rsidR="0060390D" w:rsidRPr="00206486">
        <w:rPr>
          <w:b/>
          <w:lang w:val="fr-CA"/>
        </w:rPr>
        <w:t xml:space="preserve"> II</w:t>
      </w:r>
      <w:r w:rsidR="00FB0F9B" w:rsidRPr="00206486">
        <w:rPr>
          <w:b/>
          <w:lang w:val="fr-CA"/>
        </w:rPr>
        <w:t xml:space="preserve"> </w:t>
      </w:r>
      <w:r w:rsidR="00C306D5" w:rsidRPr="00206486">
        <w:rPr>
          <w:b/>
          <w:lang w:val="fr-CA"/>
        </w:rPr>
        <w:t>du PGEH</w:t>
      </w:r>
      <w:r w:rsidR="00FB0F9B" w:rsidRPr="00206486">
        <w:rPr>
          <w:b/>
          <w:lang w:val="fr-CA"/>
        </w:rPr>
        <w:t xml:space="preserve"> </w:t>
      </w:r>
      <w:r w:rsidR="0039010B" w:rsidRPr="00206486">
        <w:rPr>
          <w:b/>
          <w:lang w:val="fr-CA"/>
        </w:rPr>
        <w:t>du Costa Rica</w:t>
      </w:r>
      <w:r w:rsidR="00FB0F9B" w:rsidRPr="00206486">
        <w:rPr>
          <w:b/>
          <w:lang w:val="fr-CA"/>
        </w:rPr>
        <w:t xml:space="preserve"> </w:t>
      </w:r>
      <w:r w:rsidR="0070671A" w:rsidRPr="00206486">
        <w:rPr>
          <w:b/>
          <w:lang w:val="fr-CA"/>
        </w:rPr>
        <w:t>tel que présenté</w:t>
      </w:r>
    </w:p>
    <w:tbl>
      <w:tblPr>
        <w:tblW w:w="49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1"/>
        <w:gridCol w:w="1118"/>
        <w:gridCol w:w="1134"/>
        <w:gridCol w:w="1336"/>
      </w:tblGrid>
      <w:tr w:rsidR="00FB0F9B" w:rsidRPr="00206486" w:rsidTr="00AD6B81">
        <w:trPr>
          <w:trHeight w:val="285"/>
          <w:tblHeader/>
        </w:trPr>
        <w:tc>
          <w:tcPr>
            <w:tcW w:w="3123" w:type="pct"/>
            <w:vMerge w:val="restart"/>
            <w:shd w:val="clear" w:color="auto" w:fill="auto"/>
            <w:vAlign w:val="center"/>
            <w:hideMark/>
          </w:tcPr>
          <w:p w:rsidR="00FB0F9B" w:rsidRPr="00206486" w:rsidRDefault="0070671A" w:rsidP="002B0AAE">
            <w:pPr>
              <w:jc w:val="left"/>
              <w:rPr>
                <w:b/>
                <w:bCs/>
                <w:color w:val="000000"/>
                <w:sz w:val="20"/>
                <w:szCs w:val="20"/>
                <w:lang w:val="fr-CA" w:eastAsia="zh-CN"/>
              </w:rPr>
            </w:pPr>
            <w:r w:rsidRPr="00206486">
              <w:rPr>
                <w:b/>
                <w:bCs/>
                <w:color w:val="000000"/>
                <w:sz w:val="20"/>
                <w:szCs w:val="20"/>
                <w:lang w:val="fr-CA" w:eastAsia="zh-CN"/>
              </w:rPr>
              <w:t>Activité</w:t>
            </w:r>
            <w:r w:rsidR="00FB0F9B" w:rsidRPr="00206486">
              <w:rPr>
                <w:b/>
                <w:bCs/>
                <w:color w:val="000000"/>
                <w:sz w:val="20"/>
                <w:szCs w:val="20"/>
                <w:lang w:val="fr-CA" w:eastAsia="zh-CN"/>
              </w:rPr>
              <w:t xml:space="preserve">/HCFC </w:t>
            </w:r>
            <w:r w:rsidRPr="00206486">
              <w:rPr>
                <w:b/>
                <w:bCs/>
                <w:color w:val="000000"/>
                <w:sz w:val="20"/>
                <w:szCs w:val="20"/>
                <w:lang w:val="fr-CA" w:eastAsia="zh-CN"/>
              </w:rPr>
              <w:t>à éliminer</w:t>
            </w:r>
          </w:p>
        </w:tc>
        <w:tc>
          <w:tcPr>
            <w:tcW w:w="1178" w:type="pct"/>
            <w:gridSpan w:val="2"/>
            <w:shd w:val="clear" w:color="auto" w:fill="auto"/>
            <w:vAlign w:val="center"/>
            <w:hideMark/>
          </w:tcPr>
          <w:p w:rsidR="00FB0F9B" w:rsidRPr="00206486" w:rsidRDefault="0039010B" w:rsidP="002B0AAE">
            <w:pPr>
              <w:jc w:val="center"/>
              <w:rPr>
                <w:b/>
                <w:bCs/>
                <w:color w:val="000000"/>
                <w:sz w:val="20"/>
                <w:szCs w:val="20"/>
                <w:lang w:val="fr-CA" w:eastAsia="zh-CN"/>
              </w:rPr>
            </w:pPr>
            <w:r w:rsidRPr="00206486">
              <w:rPr>
                <w:b/>
                <w:bCs/>
                <w:color w:val="000000"/>
                <w:sz w:val="20"/>
                <w:szCs w:val="20"/>
                <w:lang w:val="fr-CA" w:eastAsia="zh-CN"/>
              </w:rPr>
              <w:t>Consommation</w:t>
            </w:r>
          </w:p>
        </w:tc>
        <w:tc>
          <w:tcPr>
            <w:tcW w:w="699" w:type="pct"/>
            <w:shd w:val="clear" w:color="auto" w:fill="auto"/>
            <w:vAlign w:val="center"/>
            <w:hideMark/>
          </w:tcPr>
          <w:p w:rsidR="00FB0F9B" w:rsidRPr="00206486" w:rsidRDefault="0070671A" w:rsidP="002B0AAE">
            <w:pPr>
              <w:jc w:val="center"/>
              <w:rPr>
                <w:b/>
                <w:bCs/>
                <w:color w:val="000000"/>
                <w:sz w:val="20"/>
                <w:szCs w:val="20"/>
                <w:lang w:val="fr-CA" w:eastAsia="zh-CN"/>
              </w:rPr>
            </w:pPr>
            <w:r w:rsidRPr="00206486">
              <w:rPr>
                <w:b/>
                <w:bCs/>
                <w:color w:val="000000"/>
                <w:sz w:val="20"/>
                <w:szCs w:val="20"/>
                <w:lang w:val="fr-CA" w:eastAsia="zh-CN"/>
              </w:rPr>
              <w:t xml:space="preserve">Coût </w:t>
            </w:r>
            <w:r w:rsidR="00FB0F9B" w:rsidRPr="00206486">
              <w:rPr>
                <w:b/>
                <w:bCs/>
                <w:color w:val="000000"/>
                <w:sz w:val="20"/>
                <w:szCs w:val="20"/>
                <w:lang w:val="fr-CA" w:eastAsia="zh-CN"/>
              </w:rPr>
              <w:t>(</w:t>
            </w:r>
            <w:r w:rsidR="00686F8A" w:rsidRPr="00206486">
              <w:rPr>
                <w:b/>
                <w:bCs/>
                <w:color w:val="000000"/>
                <w:sz w:val="20"/>
                <w:szCs w:val="20"/>
                <w:lang w:val="fr-CA" w:eastAsia="zh-CN"/>
              </w:rPr>
              <w:t>$US</w:t>
            </w:r>
            <w:r w:rsidR="00FB0F9B" w:rsidRPr="00206486">
              <w:rPr>
                <w:b/>
                <w:bCs/>
                <w:color w:val="000000"/>
                <w:sz w:val="20"/>
                <w:szCs w:val="20"/>
                <w:lang w:val="fr-CA" w:eastAsia="zh-CN"/>
              </w:rPr>
              <w:t>)</w:t>
            </w:r>
          </w:p>
        </w:tc>
      </w:tr>
      <w:tr w:rsidR="00FB0F9B" w:rsidRPr="00206486" w:rsidTr="00AD6B81">
        <w:trPr>
          <w:trHeight w:val="285"/>
          <w:tblHeader/>
        </w:trPr>
        <w:tc>
          <w:tcPr>
            <w:tcW w:w="3123" w:type="pct"/>
            <w:vMerge/>
            <w:vAlign w:val="center"/>
            <w:hideMark/>
          </w:tcPr>
          <w:p w:rsidR="00FB0F9B" w:rsidRPr="00206486" w:rsidRDefault="00FB0F9B" w:rsidP="002B0AAE">
            <w:pPr>
              <w:jc w:val="left"/>
              <w:rPr>
                <w:b/>
                <w:bCs/>
                <w:color w:val="000000"/>
                <w:sz w:val="20"/>
                <w:szCs w:val="20"/>
                <w:lang w:val="fr-CA" w:eastAsia="zh-CN"/>
              </w:rPr>
            </w:pPr>
          </w:p>
        </w:tc>
        <w:tc>
          <w:tcPr>
            <w:tcW w:w="585" w:type="pct"/>
            <w:shd w:val="clear" w:color="auto" w:fill="auto"/>
            <w:vAlign w:val="center"/>
            <w:hideMark/>
          </w:tcPr>
          <w:p w:rsidR="00FB0F9B" w:rsidRPr="00206486" w:rsidRDefault="0070671A" w:rsidP="0070671A">
            <w:pPr>
              <w:jc w:val="center"/>
              <w:rPr>
                <w:b/>
                <w:bCs/>
                <w:color w:val="000000"/>
                <w:sz w:val="20"/>
                <w:szCs w:val="20"/>
                <w:lang w:val="fr-CA" w:eastAsia="zh-CN"/>
              </w:rPr>
            </w:pPr>
            <w:r w:rsidRPr="00206486">
              <w:rPr>
                <w:b/>
                <w:bCs/>
                <w:color w:val="000000"/>
                <w:sz w:val="20"/>
                <w:szCs w:val="20"/>
                <w:lang w:val="fr-CA" w:eastAsia="zh-CN"/>
              </w:rPr>
              <w:t>Tonnes métriques</w:t>
            </w:r>
          </w:p>
        </w:tc>
        <w:tc>
          <w:tcPr>
            <w:tcW w:w="593" w:type="pct"/>
            <w:shd w:val="clear" w:color="auto" w:fill="auto"/>
            <w:vAlign w:val="center"/>
            <w:hideMark/>
          </w:tcPr>
          <w:p w:rsidR="00FB0F9B" w:rsidRPr="00206486" w:rsidRDefault="0070671A" w:rsidP="002B0AAE">
            <w:pPr>
              <w:jc w:val="center"/>
              <w:rPr>
                <w:b/>
                <w:bCs/>
                <w:color w:val="000000"/>
                <w:sz w:val="20"/>
                <w:szCs w:val="20"/>
                <w:lang w:val="fr-CA" w:eastAsia="zh-CN"/>
              </w:rPr>
            </w:pPr>
            <w:r w:rsidRPr="00206486">
              <w:rPr>
                <w:b/>
                <w:bCs/>
                <w:color w:val="000000"/>
                <w:sz w:val="20"/>
                <w:szCs w:val="20"/>
                <w:lang w:val="fr-CA" w:eastAsia="zh-CN"/>
              </w:rPr>
              <w:t>Tonnes PAO</w:t>
            </w:r>
          </w:p>
        </w:tc>
        <w:tc>
          <w:tcPr>
            <w:tcW w:w="699" w:type="pct"/>
            <w:vAlign w:val="center"/>
            <w:hideMark/>
          </w:tcPr>
          <w:p w:rsidR="00FB0F9B" w:rsidRPr="00206486" w:rsidRDefault="00FB0F9B" w:rsidP="002B0AAE">
            <w:pPr>
              <w:jc w:val="left"/>
              <w:rPr>
                <w:b/>
                <w:bCs/>
                <w:color w:val="000000"/>
                <w:sz w:val="20"/>
                <w:szCs w:val="20"/>
                <w:lang w:val="fr-CA" w:eastAsia="zh-CN"/>
              </w:rPr>
            </w:pPr>
          </w:p>
        </w:tc>
      </w:tr>
      <w:tr w:rsidR="00FB0F9B" w:rsidRPr="00AD6B81" w:rsidTr="00B75BC4">
        <w:tc>
          <w:tcPr>
            <w:tcW w:w="3123" w:type="pct"/>
            <w:shd w:val="clear" w:color="auto" w:fill="auto"/>
            <w:noWrap/>
          </w:tcPr>
          <w:p w:rsidR="00FB0F9B" w:rsidRPr="00206486" w:rsidRDefault="0070671A" w:rsidP="002B0AAE">
            <w:pPr>
              <w:jc w:val="left"/>
              <w:rPr>
                <w:b/>
                <w:color w:val="000000"/>
                <w:sz w:val="20"/>
                <w:szCs w:val="20"/>
                <w:lang w:val="fr-CA" w:eastAsia="zh-CN"/>
              </w:rPr>
            </w:pPr>
            <w:r w:rsidRPr="00206486">
              <w:rPr>
                <w:b/>
                <w:color w:val="000000"/>
                <w:sz w:val="20"/>
                <w:szCs w:val="20"/>
                <w:lang w:val="fr-CA" w:eastAsia="zh-CN"/>
              </w:rPr>
              <w:t>Secteur des mousses</w:t>
            </w:r>
            <w:r w:rsidR="00FB0F9B" w:rsidRPr="00206486">
              <w:rPr>
                <w:b/>
                <w:color w:val="000000"/>
                <w:sz w:val="20"/>
                <w:szCs w:val="20"/>
                <w:lang w:val="fr-CA" w:eastAsia="zh-CN"/>
              </w:rPr>
              <w:t xml:space="preserve"> </w:t>
            </w:r>
            <w:r w:rsidR="00FB0F9B" w:rsidRPr="00206486">
              <w:rPr>
                <w:color w:val="000000"/>
                <w:sz w:val="20"/>
                <w:szCs w:val="20"/>
                <w:lang w:val="fr-CA" w:eastAsia="zh-CN"/>
              </w:rPr>
              <w:t xml:space="preserve">(HCFC-141b </w:t>
            </w:r>
            <w:r w:rsidRPr="00206486">
              <w:rPr>
                <w:color w:val="000000"/>
                <w:sz w:val="20"/>
                <w:szCs w:val="20"/>
                <w:lang w:val="fr-CA" w:eastAsia="zh-CN"/>
              </w:rPr>
              <w:t>dans du polyol importé</w:t>
            </w:r>
            <w:r w:rsidR="00FB0F9B" w:rsidRPr="00206486">
              <w:rPr>
                <w:color w:val="000000"/>
                <w:sz w:val="20"/>
                <w:szCs w:val="20"/>
                <w:lang w:val="fr-CA" w:eastAsia="zh-CN"/>
              </w:rPr>
              <w:t>)</w:t>
            </w:r>
          </w:p>
        </w:tc>
        <w:tc>
          <w:tcPr>
            <w:tcW w:w="585" w:type="pct"/>
            <w:shd w:val="clear" w:color="auto" w:fill="auto"/>
          </w:tcPr>
          <w:p w:rsidR="00FB0F9B" w:rsidRPr="00206486" w:rsidRDefault="00FB0F9B" w:rsidP="002B0AAE">
            <w:pPr>
              <w:jc w:val="right"/>
              <w:rPr>
                <w:color w:val="000000"/>
                <w:sz w:val="20"/>
                <w:szCs w:val="20"/>
                <w:lang w:val="fr-CA" w:eastAsia="zh-CN"/>
              </w:rPr>
            </w:pPr>
          </w:p>
        </w:tc>
        <w:tc>
          <w:tcPr>
            <w:tcW w:w="593" w:type="pct"/>
            <w:shd w:val="clear" w:color="auto" w:fill="auto"/>
          </w:tcPr>
          <w:p w:rsidR="00FB0F9B" w:rsidRPr="00206486" w:rsidRDefault="00FB0F9B" w:rsidP="002B0AAE">
            <w:pPr>
              <w:jc w:val="right"/>
              <w:rPr>
                <w:color w:val="000000"/>
                <w:sz w:val="20"/>
                <w:szCs w:val="20"/>
                <w:lang w:val="fr-CA" w:eastAsia="zh-CN"/>
              </w:rPr>
            </w:pPr>
          </w:p>
        </w:tc>
        <w:tc>
          <w:tcPr>
            <w:tcW w:w="699" w:type="pct"/>
            <w:shd w:val="clear" w:color="auto" w:fill="auto"/>
          </w:tcPr>
          <w:p w:rsidR="00FB0F9B" w:rsidRPr="00206486" w:rsidRDefault="00FB0F9B" w:rsidP="002B0AAE">
            <w:pPr>
              <w:jc w:val="right"/>
              <w:rPr>
                <w:color w:val="000000"/>
                <w:sz w:val="20"/>
                <w:szCs w:val="20"/>
                <w:lang w:val="fr-CA" w:eastAsia="zh-CN"/>
              </w:rPr>
            </w:pPr>
          </w:p>
        </w:tc>
      </w:tr>
      <w:tr w:rsidR="00FB0F9B" w:rsidRPr="00206486" w:rsidTr="00B75BC4">
        <w:trPr>
          <w:trHeight w:val="188"/>
        </w:trPr>
        <w:tc>
          <w:tcPr>
            <w:tcW w:w="3123" w:type="pct"/>
            <w:shd w:val="clear" w:color="auto" w:fill="auto"/>
            <w:noWrap/>
          </w:tcPr>
          <w:p w:rsidR="00FB0F9B" w:rsidRPr="00206486" w:rsidRDefault="0070671A" w:rsidP="0070671A">
            <w:pPr>
              <w:jc w:val="left"/>
              <w:rPr>
                <w:color w:val="000000"/>
                <w:sz w:val="20"/>
                <w:szCs w:val="20"/>
                <w:lang w:val="fr-CA" w:eastAsia="zh-CN"/>
              </w:rPr>
            </w:pPr>
            <w:r w:rsidRPr="00206486">
              <w:rPr>
                <w:color w:val="000000"/>
                <w:sz w:val="20"/>
                <w:szCs w:val="20"/>
                <w:lang w:val="fr-CA" w:eastAsia="zh-CN"/>
              </w:rPr>
              <w:t>Rec</w:t>
            </w:r>
            <w:r w:rsidR="00FB0F9B" w:rsidRPr="00206486">
              <w:rPr>
                <w:color w:val="000000"/>
                <w:sz w:val="20"/>
                <w:szCs w:val="20"/>
                <w:lang w:val="fr-CA" w:eastAsia="zh-CN"/>
              </w:rPr>
              <w:t xml:space="preserve">onversion </w:t>
            </w:r>
            <w:r w:rsidRPr="00206486">
              <w:rPr>
                <w:color w:val="000000"/>
                <w:sz w:val="20"/>
                <w:szCs w:val="20"/>
                <w:lang w:val="fr-CA" w:eastAsia="zh-CN"/>
              </w:rPr>
              <w:t>de</w:t>
            </w:r>
            <w:r w:rsidR="00FB0F9B" w:rsidRPr="00206486">
              <w:rPr>
                <w:color w:val="000000"/>
                <w:sz w:val="20"/>
                <w:szCs w:val="20"/>
                <w:lang w:val="fr-CA" w:eastAsia="zh-CN"/>
              </w:rPr>
              <w:t xml:space="preserve"> Refrigeracion Omega </w:t>
            </w:r>
            <w:r w:rsidRPr="00206486">
              <w:rPr>
                <w:color w:val="000000"/>
                <w:sz w:val="20"/>
                <w:szCs w:val="20"/>
                <w:lang w:val="fr-CA" w:eastAsia="zh-CN"/>
              </w:rPr>
              <w:t>du</w:t>
            </w:r>
            <w:r w:rsidR="00FB0F9B" w:rsidRPr="00206486">
              <w:rPr>
                <w:color w:val="000000"/>
                <w:sz w:val="20"/>
                <w:szCs w:val="20"/>
                <w:lang w:val="fr-CA" w:eastAsia="zh-CN"/>
              </w:rPr>
              <w:t xml:space="preserve"> HCFC-141b </w:t>
            </w:r>
            <w:r w:rsidR="00EB2126" w:rsidRPr="00206486">
              <w:rPr>
                <w:color w:val="000000"/>
                <w:sz w:val="20"/>
                <w:szCs w:val="20"/>
                <w:lang w:val="fr-CA" w:eastAsia="zh-CN"/>
              </w:rPr>
              <w:t>dans des polyols</w:t>
            </w:r>
            <w:r w:rsidR="0060390D" w:rsidRPr="00206486">
              <w:rPr>
                <w:color w:val="000000"/>
                <w:sz w:val="20"/>
                <w:szCs w:val="20"/>
                <w:lang w:val="fr-CA" w:eastAsia="zh-CN"/>
              </w:rPr>
              <w:t xml:space="preserve"> prémélangés importés</w:t>
            </w:r>
            <w:r w:rsidR="00FB0F9B" w:rsidRPr="00206486">
              <w:rPr>
                <w:color w:val="000000"/>
                <w:sz w:val="20"/>
                <w:szCs w:val="20"/>
                <w:lang w:val="fr-CA" w:eastAsia="zh-CN"/>
              </w:rPr>
              <w:t xml:space="preserve"> </w:t>
            </w:r>
            <w:r w:rsidRPr="00206486">
              <w:rPr>
                <w:color w:val="000000"/>
                <w:sz w:val="20"/>
                <w:szCs w:val="20"/>
                <w:lang w:val="fr-CA" w:eastAsia="zh-CN"/>
              </w:rPr>
              <w:t>au</w:t>
            </w:r>
            <w:r w:rsidR="00FB0F9B" w:rsidRPr="00206486">
              <w:rPr>
                <w:color w:val="000000"/>
                <w:sz w:val="20"/>
                <w:szCs w:val="20"/>
                <w:lang w:val="fr-CA" w:eastAsia="zh-CN"/>
              </w:rPr>
              <w:t xml:space="preserve"> HFO-123zd</w:t>
            </w:r>
          </w:p>
        </w:tc>
        <w:tc>
          <w:tcPr>
            <w:tcW w:w="585" w:type="pct"/>
            <w:shd w:val="clear" w:color="auto" w:fill="auto"/>
            <w:tcMar>
              <w:left w:w="115" w:type="dxa"/>
              <w:right w:w="144" w:type="dxa"/>
            </w:tcMar>
            <w:hideMark/>
          </w:tcPr>
          <w:p w:rsidR="00FB0F9B" w:rsidRPr="00206486" w:rsidRDefault="00973255" w:rsidP="002B0AAE">
            <w:pPr>
              <w:jc w:val="right"/>
              <w:rPr>
                <w:color w:val="000000"/>
                <w:sz w:val="20"/>
                <w:szCs w:val="20"/>
                <w:lang w:val="fr-CA" w:eastAsia="zh-CN"/>
              </w:rPr>
            </w:pPr>
            <w:r w:rsidRPr="00206486">
              <w:rPr>
                <w:color w:val="000000"/>
                <w:sz w:val="20"/>
                <w:szCs w:val="20"/>
                <w:lang w:val="fr-CA" w:eastAsia="zh-CN"/>
              </w:rPr>
              <w:t>6,</w:t>
            </w:r>
            <w:r w:rsidR="00FB0F9B" w:rsidRPr="00206486">
              <w:rPr>
                <w:color w:val="000000"/>
                <w:sz w:val="20"/>
                <w:szCs w:val="20"/>
                <w:lang w:val="fr-CA" w:eastAsia="zh-CN"/>
              </w:rPr>
              <w:t>24</w:t>
            </w:r>
          </w:p>
        </w:tc>
        <w:tc>
          <w:tcPr>
            <w:tcW w:w="593" w:type="pct"/>
            <w:shd w:val="clear" w:color="auto" w:fill="auto"/>
            <w:tcMar>
              <w:left w:w="115" w:type="dxa"/>
              <w:right w:w="144" w:type="dxa"/>
            </w:tcMar>
            <w:hideMark/>
          </w:tcPr>
          <w:p w:rsidR="00FB0F9B" w:rsidRPr="00206486" w:rsidRDefault="00973255" w:rsidP="002B0AAE">
            <w:pPr>
              <w:jc w:val="right"/>
              <w:rPr>
                <w:color w:val="000000"/>
                <w:sz w:val="20"/>
                <w:szCs w:val="20"/>
                <w:lang w:val="fr-CA" w:eastAsia="zh-CN"/>
              </w:rPr>
            </w:pPr>
            <w:r w:rsidRPr="00206486">
              <w:rPr>
                <w:color w:val="000000"/>
                <w:sz w:val="20"/>
                <w:szCs w:val="20"/>
                <w:lang w:val="fr-CA" w:eastAsia="zh-CN"/>
              </w:rPr>
              <w:t>0,</w:t>
            </w:r>
            <w:r w:rsidR="00FB0F9B" w:rsidRPr="00206486">
              <w:rPr>
                <w:color w:val="000000"/>
                <w:sz w:val="20"/>
                <w:szCs w:val="20"/>
                <w:lang w:val="fr-CA" w:eastAsia="zh-CN"/>
              </w:rPr>
              <w:t>69</w:t>
            </w: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6</w:t>
            </w:r>
            <w:r w:rsidR="00973255" w:rsidRPr="00206486">
              <w:rPr>
                <w:color w:val="000000"/>
                <w:sz w:val="20"/>
                <w:szCs w:val="20"/>
                <w:lang w:val="fr-CA" w:eastAsia="zh-CN"/>
              </w:rPr>
              <w:t>8 </w:t>
            </w:r>
            <w:r w:rsidRPr="00206486">
              <w:rPr>
                <w:color w:val="000000"/>
                <w:sz w:val="20"/>
                <w:szCs w:val="20"/>
                <w:lang w:val="fr-CA" w:eastAsia="zh-CN"/>
              </w:rPr>
              <w:t>348</w:t>
            </w:r>
          </w:p>
        </w:tc>
      </w:tr>
      <w:tr w:rsidR="00FB0F9B" w:rsidRPr="00AD6B81" w:rsidTr="00B75BC4">
        <w:trPr>
          <w:trHeight w:val="188"/>
        </w:trPr>
        <w:tc>
          <w:tcPr>
            <w:tcW w:w="3123" w:type="pct"/>
            <w:shd w:val="clear" w:color="auto" w:fill="auto"/>
            <w:noWrap/>
          </w:tcPr>
          <w:p w:rsidR="00FB0F9B" w:rsidRPr="00206486" w:rsidRDefault="0070671A" w:rsidP="00321F68">
            <w:pPr>
              <w:jc w:val="left"/>
              <w:rPr>
                <w:color w:val="000000"/>
                <w:sz w:val="20"/>
                <w:szCs w:val="20"/>
                <w:lang w:val="fr-CA" w:eastAsia="zh-CN"/>
              </w:rPr>
            </w:pPr>
            <w:r w:rsidRPr="00206486">
              <w:rPr>
                <w:b/>
                <w:color w:val="000000"/>
                <w:sz w:val="20"/>
                <w:szCs w:val="20"/>
                <w:lang w:val="fr-CA" w:eastAsia="zh-CN"/>
              </w:rPr>
              <w:t>Entretien en réfrigération</w:t>
            </w:r>
            <w:r w:rsidR="00FB0F9B" w:rsidRPr="00206486">
              <w:rPr>
                <w:color w:val="000000"/>
                <w:sz w:val="20"/>
                <w:szCs w:val="20"/>
                <w:lang w:val="fr-CA" w:eastAsia="zh-CN"/>
              </w:rPr>
              <w:t xml:space="preserve"> (HCFC-22</w:t>
            </w:r>
            <w:r w:rsidRPr="00206486">
              <w:rPr>
                <w:color w:val="000000"/>
                <w:sz w:val="20"/>
                <w:szCs w:val="20"/>
                <w:lang w:val="fr-CA" w:eastAsia="zh-CN"/>
              </w:rPr>
              <w:t>,</w:t>
            </w:r>
            <w:r w:rsidR="00FB0F9B" w:rsidRPr="00206486">
              <w:rPr>
                <w:color w:val="000000"/>
                <w:sz w:val="20"/>
                <w:szCs w:val="20"/>
                <w:lang w:val="fr-CA" w:eastAsia="zh-CN"/>
              </w:rPr>
              <w:t xml:space="preserve"> HCFC-141b</w:t>
            </w:r>
            <w:r w:rsidRPr="00206486">
              <w:rPr>
                <w:color w:val="000000"/>
                <w:sz w:val="20"/>
                <w:szCs w:val="20"/>
                <w:lang w:val="fr-CA" w:eastAsia="zh-CN"/>
              </w:rPr>
              <w:t>,</w:t>
            </w:r>
            <w:r w:rsidR="00FB0F9B" w:rsidRPr="00206486">
              <w:rPr>
                <w:color w:val="000000"/>
                <w:sz w:val="20"/>
                <w:szCs w:val="20"/>
                <w:lang w:val="fr-CA" w:eastAsia="zh-CN"/>
              </w:rPr>
              <w:t xml:space="preserve"> HCFC-142b</w:t>
            </w:r>
            <w:r w:rsidRPr="00206486">
              <w:rPr>
                <w:color w:val="000000"/>
                <w:sz w:val="20"/>
                <w:szCs w:val="20"/>
                <w:lang w:val="fr-CA" w:eastAsia="zh-CN"/>
              </w:rPr>
              <w:t>,</w:t>
            </w:r>
            <w:r w:rsidR="00FB0F9B" w:rsidRPr="00206486">
              <w:rPr>
                <w:color w:val="000000"/>
                <w:sz w:val="20"/>
                <w:szCs w:val="20"/>
                <w:lang w:val="fr-CA" w:eastAsia="zh-CN"/>
              </w:rPr>
              <w:t xml:space="preserve"> HCFC</w:t>
            </w:r>
            <w:r w:rsidR="00321F68">
              <w:rPr>
                <w:color w:val="000000"/>
                <w:sz w:val="20"/>
                <w:szCs w:val="20"/>
                <w:lang w:val="fr-CA" w:eastAsia="zh-CN"/>
              </w:rPr>
              <w:noBreakHyphen/>
            </w:r>
            <w:r w:rsidR="00FB0F9B" w:rsidRPr="00206486">
              <w:rPr>
                <w:color w:val="000000"/>
                <w:sz w:val="20"/>
                <w:szCs w:val="20"/>
                <w:lang w:val="fr-CA" w:eastAsia="zh-CN"/>
              </w:rPr>
              <w:t>123</w:t>
            </w:r>
            <w:r w:rsidRPr="00206486">
              <w:rPr>
                <w:color w:val="000000"/>
                <w:sz w:val="20"/>
                <w:szCs w:val="20"/>
                <w:lang w:val="fr-CA" w:eastAsia="zh-CN"/>
              </w:rPr>
              <w:t>,</w:t>
            </w:r>
            <w:r w:rsidR="00FB0F9B" w:rsidRPr="00206486">
              <w:rPr>
                <w:color w:val="000000"/>
                <w:sz w:val="20"/>
                <w:szCs w:val="20"/>
                <w:lang w:val="fr-CA" w:eastAsia="zh-CN"/>
              </w:rPr>
              <w:t xml:space="preserve"> HCFC-124)</w:t>
            </w:r>
          </w:p>
        </w:tc>
        <w:tc>
          <w:tcPr>
            <w:tcW w:w="585" w:type="pct"/>
            <w:shd w:val="clear" w:color="auto" w:fill="auto"/>
            <w:noWrap/>
            <w:tcMar>
              <w:left w:w="115" w:type="dxa"/>
              <w:right w:w="144" w:type="dxa"/>
            </w:tcMar>
          </w:tcPr>
          <w:p w:rsidR="00FB0F9B" w:rsidRPr="00206486" w:rsidRDefault="00FB0F9B" w:rsidP="002B0AAE">
            <w:pPr>
              <w:jc w:val="right"/>
              <w:rPr>
                <w:color w:val="000000"/>
                <w:sz w:val="20"/>
                <w:szCs w:val="20"/>
                <w:lang w:val="fr-CA" w:eastAsia="zh-CN"/>
              </w:rPr>
            </w:pPr>
          </w:p>
        </w:tc>
        <w:tc>
          <w:tcPr>
            <w:tcW w:w="593" w:type="pct"/>
            <w:shd w:val="clear" w:color="auto" w:fill="auto"/>
            <w:noWrap/>
            <w:tcMar>
              <w:left w:w="115" w:type="dxa"/>
              <w:right w:w="144" w:type="dxa"/>
            </w:tcMar>
          </w:tcPr>
          <w:p w:rsidR="00FB0F9B" w:rsidRPr="00206486" w:rsidRDefault="00FB0F9B" w:rsidP="002B0AAE">
            <w:pPr>
              <w:jc w:val="right"/>
              <w:rPr>
                <w:color w:val="000000"/>
                <w:sz w:val="20"/>
                <w:szCs w:val="20"/>
                <w:lang w:val="fr-CA" w:eastAsia="zh-CN"/>
              </w:rPr>
            </w:pPr>
          </w:p>
        </w:tc>
        <w:tc>
          <w:tcPr>
            <w:tcW w:w="699" w:type="pct"/>
            <w:shd w:val="clear" w:color="auto" w:fill="auto"/>
            <w:noWrap/>
            <w:tcMar>
              <w:left w:w="115" w:type="dxa"/>
              <w:right w:w="144" w:type="dxa"/>
            </w:tcMar>
          </w:tcPr>
          <w:p w:rsidR="00FB0F9B" w:rsidRPr="00206486" w:rsidRDefault="00FB0F9B" w:rsidP="002B0AAE">
            <w:pPr>
              <w:jc w:val="right"/>
              <w:rPr>
                <w:color w:val="000000"/>
                <w:sz w:val="20"/>
                <w:szCs w:val="20"/>
                <w:lang w:val="fr-CA" w:eastAsia="zh-CN"/>
              </w:rPr>
            </w:pPr>
          </w:p>
        </w:tc>
      </w:tr>
      <w:tr w:rsidR="00FB0F9B" w:rsidRPr="00206486" w:rsidTr="00B75BC4">
        <w:trPr>
          <w:trHeight w:val="188"/>
        </w:trPr>
        <w:tc>
          <w:tcPr>
            <w:tcW w:w="3123" w:type="pct"/>
            <w:shd w:val="clear" w:color="auto" w:fill="auto"/>
            <w:noWrap/>
          </w:tcPr>
          <w:p w:rsidR="00FB0F9B" w:rsidRPr="00206486" w:rsidRDefault="00562770" w:rsidP="00321F68">
            <w:pPr>
              <w:jc w:val="left"/>
              <w:rPr>
                <w:color w:val="000000"/>
                <w:sz w:val="20"/>
                <w:szCs w:val="20"/>
                <w:lang w:val="fr-CA" w:eastAsia="zh-CN"/>
              </w:rPr>
            </w:pPr>
            <w:r w:rsidRPr="00206486">
              <w:rPr>
                <w:color w:val="000000"/>
                <w:sz w:val="20"/>
                <w:szCs w:val="20"/>
                <w:lang w:val="fr-CA" w:eastAsia="zh-CN"/>
              </w:rPr>
              <w:t>Renforcement</w:t>
            </w:r>
            <w:r w:rsidR="00FB0F9B" w:rsidRPr="00206486">
              <w:rPr>
                <w:color w:val="000000"/>
                <w:sz w:val="20"/>
                <w:szCs w:val="20"/>
                <w:lang w:val="fr-CA" w:eastAsia="zh-CN"/>
              </w:rPr>
              <w:t xml:space="preserve"> </w:t>
            </w:r>
            <w:r w:rsidR="0070671A" w:rsidRPr="00206486">
              <w:rPr>
                <w:color w:val="000000"/>
                <w:sz w:val="20"/>
                <w:szCs w:val="20"/>
                <w:lang w:val="fr-CA" w:eastAsia="zh-CN"/>
              </w:rPr>
              <w:t>du cadre juridique et institutionnel afin de contrôler les</w:t>
            </w:r>
            <w:r w:rsidR="00321F68">
              <w:rPr>
                <w:color w:val="000000"/>
                <w:sz w:val="20"/>
                <w:szCs w:val="20"/>
                <w:lang w:val="fr-CA" w:eastAsia="zh-CN"/>
              </w:rPr>
              <w:t> </w:t>
            </w:r>
            <w:r w:rsidR="0060390D" w:rsidRPr="00206486">
              <w:rPr>
                <w:color w:val="000000"/>
                <w:sz w:val="20"/>
                <w:szCs w:val="20"/>
                <w:lang w:val="fr-CA" w:eastAsia="zh-CN"/>
              </w:rPr>
              <w:t>HCFC</w:t>
            </w:r>
          </w:p>
        </w:tc>
        <w:tc>
          <w:tcPr>
            <w:tcW w:w="585" w:type="pct"/>
            <w:shd w:val="clear" w:color="auto" w:fill="auto"/>
            <w:noWrap/>
            <w:tcMar>
              <w:left w:w="115" w:type="dxa"/>
              <w:right w:w="144" w:type="dxa"/>
            </w:tcMar>
          </w:tcPr>
          <w:p w:rsidR="00FB0F9B" w:rsidRPr="00206486" w:rsidRDefault="00FB0F9B" w:rsidP="002B0AAE">
            <w:pPr>
              <w:jc w:val="right"/>
              <w:rPr>
                <w:color w:val="000000"/>
                <w:sz w:val="20"/>
                <w:szCs w:val="20"/>
                <w:lang w:val="fr-CA" w:eastAsia="zh-CN"/>
              </w:rPr>
            </w:pPr>
          </w:p>
        </w:tc>
        <w:tc>
          <w:tcPr>
            <w:tcW w:w="593" w:type="pct"/>
            <w:shd w:val="clear" w:color="auto" w:fill="auto"/>
            <w:noWrap/>
            <w:tcMar>
              <w:left w:w="115" w:type="dxa"/>
              <w:right w:w="144" w:type="dxa"/>
            </w:tcMar>
          </w:tcPr>
          <w:p w:rsidR="00FB0F9B" w:rsidRPr="00206486" w:rsidRDefault="00FB0F9B" w:rsidP="002B0AAE">
            <w:pPr>
              <w:jc w:val="right"/>
              <w:rPr>
                <w:color w:val="000000"/>
                <w:sz w:val="20"/>
                <w:szCs w:val="20"/>
                <w:lang w:val="fr-CA" w:eastAsia="zh-CN"/>
              </w:rPr>
            </w:pPr>
          </w:p>
        </w:tc>
        <w:tc>
          <w:tcPr>
            <w:tcW w:w="699"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6</w:t>
            </w:r>
            <w:r w:rsidR="00BD19D4" w:rsidRPr="00206486">
              <w:rPr>
                <w:color w:val="000000"/>
                <w:sz w:val="20"/>
                <w:szCs w:val="20"/>
                <w:lang w:val="fr-CA" w:eastAsia="zh-CN"/>
              </w:rPr>
              <w:t>5 </w:t>
            </w:r>
            <w:r w:rsidRPr="00206486">
              <w:rPr>
                <w:color w:val="000000"/>
                <w:sz w:val="20"/>
                <w:szCs w:val="20"/>
                <w:lang w:val="fr-CA" w:eastAsia="zh-CN"/>
              </w:rPr>
              <w:t>000</w:t>
            </w:r>
          </w:p>
        </w:tc>
      </w:tr>
      <w:tr w:rsidR="00FB0F9B" w:rsidRPr="00206486" w:rsidTr="00B75BC4">
        <w:trPr>
          <w:trHeight w:val="218"/>
        </w:trPr>
        <w:tc>
          <w:tcPr>
            <w:tcW w:w="3123" w:type="pct"/>
            <w:shd w:val="clear" w:color="auto" w:fill="auto"/>
            <w:noWrap/>
            <w:vAlign w:val="center"/>
            <w:hideMark/>
          </w:tcPr>
          <w:p w:rsidR="00FB0F9B" w:rsidRPr="00206486" w:rsidRDefault="00562770" w:rsidP="0070671A">
            <w:pPr>
              <w:jc w:val="left"/>
              <w:rPr>
                <w:color w:val="000000"/>
                <w:sz w:val="20"/>
                <w:szCs w:val="20"/>
                <w:lang w:val="fr-CA" w:eastAsia="zh-CN"/>
              </w:rPr>
            </w:pPr>
            <w:r w:rsidRPr="00206486">
              <w:rPr>
                <w:color w:val="000000"/>
                <w:sz w:val="20"/>
                <w:szCs w:val="20"/>
                <w:lang w:val="fr-CA" w:eastAsia="zh-CN"/>
              </w:rPr>
              <w:t>Renforcement</w:t>
            </w:r>
            <w:r w:rsidR="00FB0F9B" w:rsidRPr="00206486">
              <w:rPr>
                <w:color w:val="000000"/>
                <w:sz w:val="20"/>
                <w:szCs w:val="20"/>
                <w:lang w:val="fr-CA" w:eastAsia="zh-CN"/>
              </w:rPr>
              <w:t xml:space="preserve"> </w:t>
            </w:r>
            <w:r w:rsidR="0070671A" w:rsidRPr="00206486">
              <w:rPr>
                <w:color w:val="000000"/>
                <w:sz w:val="20"/>
                <w:szCs w:val="20"/>
                <w:lang w:val="fr-CA" w:eastAsia="zh-CN"/>
              </w:rPr>
              <w:t>du réseau de récupération, de recyclage et de régénération des frigorigènes</w:t>
            </w:r>
            <w:r w:rsidR="00FB0F9B" w:rsidRPr="00206486">
              <w:rPr>
                <w:color w:val="000000"/>
                <w:sz w:val="20"/>
                <w:szCs w:val="20"/>
                <w:lang w:val="fr-CA" w:eastAsia="zh-CN"/>
              </w:rPr>
              <w:t>;</w:t>
            </w:r>
          </w:p>
        </w:tc>
        <w:tc>
          <w:tcPr>
            <w:tcW w:w="585" w:type="pct"/>
            <w:vMerge w:val="restart"/>
            <w:shd w:val="clear" w:color="auto" w:fill="auto"/>
            <w:tcMar>
              <w:left w:w="115" w:type="dxa"/>
              <w:right w:w="144" w:type="dxa"/>
            </w:tcMar>
            <w:vAlign w:val="cente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13</w:t>
            </w:r>
            <w:r w:rsidR="00973255" w:rsidRPr="00206486">
              <w:rPr>
                <w:color w:val="000000"/>
                <w:sz w:val="20"/>
                <w:szCs w:val="20"/>
                <w:lang w:val="fr-CA" w:eastAsia="zh-CN"/>
              </w:rPr>
              <w:t>9,</w:t>
            </w:r>
            <w:r w:rsidRPr="00206486">
              <w:rPr>
                <w:color w:val="000000"/>
                <w:sz w:val="20"/>
                <w:szCs w:val="20"/>
                <w:lang w:val="fr-CA" w:eastAsia="zh-CN"/>
              </w:rPr>
              <w:t>47</w:t>
            </w:r>
          </w:p>
        </w:tc>
        <w:tc>
          <w:tcPr>
            <w:tcW w:w="593" w:type="pct"/>
            <w:vMerge w:val="restart"/>
            <w:shd w:val="clear" w:color="auto" w:fill="auto"/>
            <w:tcMar>
              <w:left w:w="115" w:type="dxa"/>
              <w:right w:w="144" w:type="dxa"/>
            </w:tcMar>
            <w:vAlign w:val="center"/>
            <w:hideMark/>
          </w:tcPr>
          <w:p w:rsidR="00FB0F9B" w:rsidRPr="00206486" w:rsidRDefault="00973255" w:rsidP="002B0AAE">
            <w:pPr>
              <w:jc w:val="right"/>
              <w:rPr>
                <w:color w:val="000000"/>
                <w:sz w:val="20"/>
                <w:szCs w:val="20"/>
                <w:lang w:val="fr-CA" w:eastAsia="zh-CN"/>
              </w:rPr>
            </w:pPr>
            <w:r w:rsidRPr="00206486">
              <w:rPr>
                <w:color w:val="000000"/>
                <w:sz w:val="20"/>
                <w:szCs w:val="20"/>
                <w:lang w:val="fr-CA" w:eastAsia="zh-CN"/>
              </w:rPr>
              <w:t>7,</w:t>
            </w:r>
            <w:r w:rsidR="00FB0F9B" w:rsidRPr="00206486">
              <w:rPr>
                <w:color w:val="000000"/>
                <w:sz w:val="20"/>
                <w:szCs w:val="20"/>
                <w:lang w:val="fr-CA" w:eastAsia="zh-CN"/>
              </w:rPr>
              <w:t>57</w:t>
            </w: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22</w:t>
            </w:r>
            <w:r w:rsidR="00BD19D4" w:rsidRPr="00206486">
              <w:rPr>
                <w:color w:val="000000"/>
                <w:sz w:val="20"/>
                <w:szCs w:val="20"/>
                <w:lang w:val="fr-CA" w:eastAsia="zh-CN"/>
              </w:rPr>
              <w:t>5 </w:t>
            </w:r>
            <w:r w:rsidRPr="00206486">
              <w:rPr>
                <w:color w:val="000000"/>
                <w:sz w:val="20"/>
                <w:szCs w:val="20"/>
                <w:lang w:val="fr-CA" w:eastAsia="zh-CN"/>
              </w:rPr>
              <w:t>000</w:t>
            </w:r>
          </w:p>
        </w:tc>
      </w:tr>
      <w:tr w:rsidR="00FB0F9B" w:rsidRPr="00206486" w:rsidTr="00B75BC4">
        <w:trPr>
          <w:trHeight w:val="218"/>
        </w:trPr>
        <w:tc>
          <w:tcPr>
            <w:tcW w:w="3123" w:type="pct"/>
            <w:shd w:val="clear" w:color="auto" w:fill="auto"/>
            <w:noWrap/>
            <w:vAlign w:val="center"/>
          </w:tcPr>
          <w:p w:rsidR="00FB0F9B" w:rsidRPr="00206486" w:rsidRDefault="00206486" w:rsidP="00321F68">
            <w:pPr>
              <w:jc w:val="left"/>
              <w:rPr>
                <w:color w:val="000000"/>
                <w:sz w:val="20"/>
                <w:szCs w:val="20"/>
                <w:lang w:val="fr-CA" w:eastAsia="zh-CN"/>
              </w:rPr>
            </w:pPr>
            <w:r w:rsidRPr="00206486">
              <w:rPr>
                <w:color w:val="000000"/>
                <w:sz w:val="20"/>
                <w:szCs w:val="20"/>
                <w:lang w:val="fr-CA" w:eastAsia="zh-CN"/>
              </w:rPr>
              <w:t>Promotion</w:t>
            </w:r>
            <w:r w:rsidR="0070671A" w:rsidRPr="00206486">
              <w:rPr>
                <w:color w:val="000000"/>
                <w:sz w:val="20"/>
                <w:szCs w:val="20"/>
                <w:lang w:val="fr-CA" w:eastAsia="zh-CN"/>
              </w:rPr>
              <w:t xml:space="preserve"> des</w:t>
            </w:r>
            <w:r w:rsidR="00FB0F9B" w:rsidRPr="00206486">
              <w:rPr>
                <w:color w:val="000000"/>
                <w:sz w:val="20"/>
                <w:szCs w:val="20"/>
                <w:lang w:val="fr-CA" w:eastAsia="zh-CN"/>
              </w:rPr>
              <w:t xml:space="preserve"> </w:t>
            </w:r>
            <w:r w:rsidR="008904C7" w:rsidRPr="00206486">
              <w:rPr>
                <w:color w:val="000000"/>
                <w:sz w:val="20"/>
                <w:szCs w:val="20"/>
                <w:lang w:val="fr-CA" w:eastAsia="zh-CN"/>
              </w:rPr>
              <w:t>bonnes pratiques d’entretien</w:t>
            </w:r>
            <w:r w:rsidR="00FB0F9B" w:rsidRPr="00206486">
              <w:rPr>
                <w:color w:val="000000"/>
                <w:sz w:val="20"/>
                <w:szCs w:val="20"/>
                <w:lang w:val="fr-CA" w:eastAsia="zh-CN"/>
              </w:rPr>
              <w:t xml:space="preserve"> </w:t>
            </w:r>
            <w:r w:rsidR="0070671A" w:rsidRPr="00206486">
              <w:rPr>
                <w:color w:val="000000"/>
                <w:sz w:val="20"/>
                <w:szCs w:val="20"/>
                <w:lang w:val="fr-CA" w:eastAsia="zh-CN"/>
              </w:rPr>
              <w:t>par la formation de</w:t>
            </w:r>
            <w:r w:rsidR="00321F68" w:rsidRPr="008F78B0">
              <w:rPr>
                <w:color w:val="000000"/>
                <w:sz w:val="20"/>
                <w:szCs w:val="20"/>
                <w:lang w:val="fr-FR" w:eastAsia="zh-CN"/>
              </w:rPr>
              <w:t> </w:t>
            </w:r>
            <w:r w:rsidR="00AA3256" w:rsidRPr="00206486">
              <w:rPr>
                <w:color w:val="000000"/>
                <w:sz w:val="20"/>
                <w:szCs w:val="20"/>
                <w:lang w:val="fr-CA" w:eastAsia="zh-CN"/>
              </w:rPr>
              <w:t>technicien</w:t>
            </w:r>
            <w:r w:rsidR="00FB0F9B" w:rsidRPr="00206486">
              <w:rPr>
                <w:color w:val="000000"/>
                <w:sz w:val="20"/>
                <w:szCs w:val="20"/>
                <w:lang w:val="fr-CA" w:eastAsia="zh-CN"/>
              </w:rPr>
              <w:t xml:space="preserve">s; </w:t>
            </w:r>
          </w:p>
        </w:tc>
        <w:tc>
          <w:tcPr>
            <w:tcW w:w="585"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593"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10</w:t>
            </w:r>
            <w:r w:rsidR="00973255" w:rsidRPr="00206486">
              <w:rPr>
                <w:color w:val="000000"/>
                <w:sz w:val="20"/>
                <w:szCs w:val="20"/>
                <w:lang w:val="fr-CA" w:eastAsia="zh-CN"/>
              </w:rPr>
              <w:t>0 </w:t>
            </w:r>
            <w:r w:rsidRPr="00206486">
              <w:rPr>
                <w:color w:val="000000"/>
                <w:sz w:val="20"/>
                <w:szCs w:val="20"/>
                <w:lang w:val="fr-CA" w:eastAsia="zh-CN"/>
              </w:rPr>
              <w:t>000</w:t>
            </w:r>
          </w:p>
        </w:tc>
      </w:tr>
      <w:tr w:rsidR="00FB0F9B" w:rsidRPr="00206486" w:rsidTr="00B75BC4">
        <w:trPr>
          <w:trHeight w:val="218"/>
        </w:trPr>
        <w:tc>
          <w:tcPr>
            <w:tcW w:w="3123" w:type="pct"/>
            <w:shd w:val="clear" w:color="auto" w:fill="auto"/>
            <w:noWrap/>
            <w:vAlign w:val="center"/>
          </w:tcPr>
          <w:p w:rsidR="00FB0F9B" w:rsidRPr="00206486" w:rsidRDefault="00206486" w:rsidP="0070671A">
            <w:pPr>
              <w:jc w:val="left"/>
              <w:rPr>
                <w:color w:val="000000"/>
                <w:sz w:val="20"/>
                <w:szCs w:val="20"/>
                <w:lang w:val="fr-CA" w:eastAsia="zh-CN"/>
              </w:rPr>
            </w:pPr>
            <w:r w:rsidRPr="00206486">
              <w:rPr>
                <w:color w:val="000000"/>
                <w:sz w:val="20"/>
                <w:szCs w:val="20"/>
                <w:lang w:val="fr-CA" w:eastAsia="zh-CN"/>
              </w:rPr>
              <w:t>Établissement</w:t>
            </w:r>
            <w:r w:rsidR="0070671A" w:rsidRPr="00206486">
              <w:rPr>
                <w:color w:val="000000"/>
                <w:sz w:val="20"/>
                <w:szCs w:val="20"/>
                <w:lang w:val="fr-CA" w:eastAsia="zh-CN"/>
              </w:rPr>
              <w:t xml:space="preserve"> d’un système de </w:t>
            </w:r>
            <w:r w:rsidR="00FB0F9B" w:rsidRPr="00206486">
              <w:rPr>
                <w:color w:val="000000"/>
                <w:sz w:val="20"/>
                <w:szCs w:val="20"/>
                <w:lang w:val="fr-CA" w:eastAsia="zh-CN"/>
              </w:rPr>
              <w:t>certification</w:t>
            </w:r>
            <w:r w:rsidR="0070671A" w:rsidRPr="00206486">
              <w:rPr>
                <w:color w:val="000000"/>
                <w:sz w:val="20"/>
                <w:szCs w:val="20"/>
                <w:lang w:val="fr-CA" w:eastAsia="zh-CN"/>
              </w:rPr>
              <w:t xml:space="preserve"> pour les</w:t>
            </w:r>
            <w:r w:rsidR="00FB0F9B" w:rsidRPr="00206486">
              <w:rPr>
                <w:color w:val="000000"/>
                <w:sz w:val="20"/>
                <w:szCs w:val="20"/>
                <w:lang w:val="fr-CA" w:eastAsia="zh-CN"/>
              </w:rPr>
              <w:t xml:space="preserve"> </w:t>
            </w:r>
            <w:r w:rsidR="004A76B2" w:rsidRPr="00206486">
              <w:rPr>
                <w:color w:val="000000"/>
                <w:sz w:val="20"/>
                <w:szCs w:val="20"/>
                <w:lang w:val="fr-CA" w:eastAsia="zh-CN"/>
              </w:rPr>
              <w:t>techniciens d’entretien</w:t>
            </w:r>
            <w:r w:rsidR="00FB0F9B" w:rsidRPr="00206486">
              <w:rPr>
                <w:color w:val="000000"/>
                <w:sz w:val="20"/>
                <w:szCs w:val="20"/>
                <w:lang w:val="fr-CA" w:eastAsia="zh-CN"/>
              </w:rPr>
              <w:t>;</w:t>
            </w:r>
          </w:p>
        </w:tc>
        <w:tc>
          <w:tcPr>
            <w:tcW w:w="585"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593"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11</w:t>
            </w:r>
            <w:r w:rsidR="00BD19D4" w:rsidRPr="00206486">
              <w:rPr>
                <w:color w:val="000000"/>
                <w:sz w:val="20"/>
                <w:szCs w:val="20"/>
                <w:lang w:val="fr-CA" w:eastAsia="zh-CN"/>
              </w:rPr>
              <w:t>3 </w:t>
            </w:r>
            <w:r w:rsidRPr="00206486">
              <w:rPr>
                <w:color w:val="000000"/>
                <w:sz w:val="20"/>
                <w:szCs w:val="20"/>
                <w:lang w:val="fr-CA" w:eastAsia="zh-CN"/>
              </w:rPr>
              <w:t>000</w:t>
            </w:r>
          </w:p>
        </w:tc>
      </w:tr>
      <w:tr w:rsidR="00FB0F9B" w:rsidRPr="00206486" w:rsidTr="00B75BC4">
        <w:trPr>
          <w:trHeight w:val="510"/>
        </w:trPr>
        <w:tc>
          <w:tcPr>
            <w:tcW w:w="3123" w:type="pct"/>
            <w:shd w:val="clear" w:color="auto" w:fill="auto"/>
            <w:noWrap/>
            <w:vAlign w:val="center"/>
          </w:tcPr>
          <w:p w:rsidR="00FB0F9B" w:rsidRPr="00206486" w:rsidRDefault="00206486" w:rsidP="0070671A">
            <w:pPr>
              <w:jc w:val="left"/>
              <w:rPr>
                <w:color w:val="000000"/>
                <w:sz w:val="20"/>
                <w:szCs w:val="20"/>
                <w:lang w:val="fr-CA" w:eastAsia="zh-CN"/>
              </w:rPr>
            </w:pPr>
            <w:r w:rsidRPr="00206486">
              <w:rPr>
                <w:color w:val="000000"/>
                <w:sz w:val="20"/>
                <w:szCs w:val="20"/>
                <w:lang w:val="fr-CA" w:eastAsia="zh-CN"/>
              </w:rPr>
              <w:t>Fourniture</w:t>
            </w:r>
            <w:r w:rsidR="0070671A" w:rsidRPr="00206486">
              <w:rPr>
                <w:color w:val="000000"/>
                <w:sz w:val="20"/>
                <w:szCs w:val="20"/>
                <w:lang w:val="fr-CA" w:eastAsia="zh-CN"/>
              </w:rPr>
              <w:t xml:space="preserve"> d’équipements visant à renforcer les instituts d’éducation professionnelle</w:t>
            </w:r>
            <w:r w:rsidR="00FB0F9B" w:rsidRPr="00206486">
              <w:rPr>
                <w:color w:val="000000"/>
                <w:sz w:val="20"/>
                <w:szCs w:val="20"/>
                <w:lang w:val="fr-CA" w:eastAsia="zh-CN"/>
              </w:rPr>
              <w:t>; incorporati</w:t>
            </w:r>
            <w:r w:rsidR="0070671A" w:rsidRPr="00206486">
              <w:rPr>
                <w:color w:val="000000"/>
                <w:sz w:val="20"/>
                <w:szCs w:val="20"/>
                <w:lang w:val="fr-CA" w:eastAsia="zh-CN"/>
              </w:rPr>
              <w:t>on et maintien des</w:t>
            </w:r>
            <w:r w:rsidR="00FB0F9B" w:rsidRPr="00206486">
              <w:rPr>
                <w:color w:val="000000"/>
                <w:sz w:val="20"/>
                <w:szCs w:val="20"/>
                <w:lang w:val="fr-CA" w:eastAsia="zh-CN"/>
              </w:rPr>
              <w:t xml:space="preserve"> </w:t>
            </w:r>
            <w:r w:rsidR="008904C7" w:rsidRPr="00206486">
              <w:rPr>
                <w:color w:val="000000"/>
                <w:sz w:val="20"/>
                <w:szCs w:val="20"/>
                <w:lang w:val="fr-CA" w:eastAsia="zh-CN"/>
              </w:rPr>
              <w:t>bonnes pratiques d’entretien</w:t>
            </w:r>
            <w:r w:rsidR="00FB0F9B" w:rsidRPr="00206486">
              <w:rPr>
                <w:color w:val="000000"/>
                <w:sz w:val="20"/>
                <w:szCs w:val="20"/>
                <w:lang w:val="fr-CA" w:eastAsia="zh-CN"/>
              </w:rPr>
              <w:t xml:space="preserve"> </w:t>
            </w:r>
            <w:r w:rsidR="0070671A" w:rsidRPr="00206486">
              <w:rPr>
                <w:color w:val="000000"/>
                <w:sz w:val="20"/>
                <w:szCs w:val="20"/>
                <w:lang w:val="fr-CA" w:eastAsia="zh-CN"/>
              </w:rPr>
              <w:t xml:space="preserve">dans le </w:t>
            </w:r>
            <w:r w:rsidR="00FB0F9B" w:rsidRPr="00206486">
              <w:rPr>
                <w:color w:val="000000"/>
                <w:sz w:val="20"/>
                <w:szCs w:val="20"/>
                <w:lang w:val="fr-CA" w:eastAsia="zh-CN"/>
              </w:rPr>
              <w:t xml:space="preserve">curriculum </w:t>
            </w:r>
            <w:r w:rsidR="0070671A" w:rsidRPr="00206486">
              <w:rPr>
                <w:color w:val="000000"/>
                <w:sz w:val="20"/>
                <w:szCs w:val="20"/>
                <w:lang w:val="fr-CA" w:eastAsia="zh-CN"/>
              </w:rPr>
              <w:t>des instituts d’éducation professionnelle</w:t>
            </w:r>
          </w:p>
        </w:tc>
        <w:tc>
          <w:tcPr>
            <w:tcW w:w="585"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593"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10</w:t>
            </w:r>
            <w:r w:rsidR="00973255" w:rsidRPr="00206486">
              <w:rPr>
                <w:color w:val="000000"/>
                <w:sz w:val="20"/>
                <w:szCs w:val="20"/>
                <w:lang w:val="fr-CA" w:eastAsia="zh-CN"/>
              </w:rPr>
              <w:t>0 </w:t>
            </w:r>
            <w:r w:rsidRPr="00206486">
              <w:rPr>
                <w:color w:val="000000"/>
                <w:sz w:val="20"/>
                <w:szCs w:val="20"/>
                <w:lang w:val="fr-CA" w:eastAsia="zh-CN"/>
              </w:rPr>
              <w:t>000</w:t>
            </w:r>
          </w:p>
        </w:tc>
      </w:tr>
      <w:tr w:rsidR="00FB0F9B" w:rsidRPr="00206486" w:rsidTr="00B75BC4">
        <w:trPr>
          <w:trHeight w:val="43"/>
        </w:trPr>
        <w:tc>
          <w:tcPr>
            <w:tcW w:w="3123" w:type="pct"/>
            <w:shd w:val="clear" w:color="auto" w:fill="auto"/>
            <w:noWrap/>
            <w:vAlign w:val="center"/>
          </w:tcPr>
          <w:p w:rsidR="00FB0F9B" w:rsidRPr="00206486" w:rsidRDefault="00FB0F9B" w:rsidP="00321F68">
            <w:pPr>
              <w:jc w:val="left"/>
              <w:rPr>
                <w:color w:val="000000"/>
                <w:sz w:val="20"/>
                <w:szCs w:val="20"/>
                <w:lang w:val="fr-CA" w:eastAsia="zh-CN"/>
              </w:rPr>
            </w:pPr>
            <w:r w:rsidRPr="00206486">
              <w:rPr>
                <w:color w:val="000000"/>
                <w:sz w:val="20"/>
                <w:szCs w:val="20"/>
                <w:lang w:val="fr-CA" w:eastAsia="zh-CN"/>
              </w:rPr>
              <w:t>Promoti</w:t>
            </w:r>
            <w:r w:rsidR="0070671A" w:rsidRPr="00206486">
              <w:rPr>
                <w:color w:val="000000"/>
                <w:sz w:val="20"/>
                <w:szCs w:val="20"/>
                <w:lang w:val="fr-CA" w:eastAsia="zh-CN"/>
              </w:rPr>
              <w:t xml:space="preserve">on de solutions de remplacement </w:t>
            </w:r>
            <w:r w:rsidR="00677924" w:rsidRPr="00206486">
              <w:rPr>
                <w:color w:val="000000"/>
                <w:sz w:val="20"/>
                <w:szCs w:val="20"/>
                <w:lang w:val="fr-CA" w:eastAsia="zh-CN"/>
              </w:rPr>
              <w:t>à faible potentiel de réchauffement de la planète</w:t>
            </w:r>
            <w:r w:rsidR="0070671A" w:rsidRPr="00206486">
              <w:rPr>
                <w:color w:val="000000"/>
                <w:sz w:val="20"/>
                <w:szCs w:val="20"/>
                <w:lang w:val="fr-CA" w:eastAsia="zh-CN"/>
              </w:rPr>
              <w:t xml:space="preserve"> dans les</w:t>
            </w:r>
            <w:r w:rsidRPr="00206486">
              <w:rPr>
                <w:color w:val="000000"/>
                <w:sz w:val="20"/>
                <w:szCs w:val="20"/>
                <w:lang w:val="fr-CA" w:eastAsia="zh-CN"/>
              </w:rPr>
              <w:t xml:space="preserve"> </w:t>
            </w:r>
            <w:r w:rsidR="00677924" w:rsidRPr="00206486">
              <w:rPr>
                <w:color w:val="000000"/>
                <w:sz w:val="20"/>
                <w:szCs w:val="20"/>
                <w:lang w:val="fr-CA" w:eastAsia="zh-CN"/>
              </w:rPr>
              <w:t>supermarché</w:t>
            </w:r>
            <w:r w:rsidRPr="00206486">
              <w:rPr>
                <w:color w:val="000000"/>
                <w:sz w:val="20"/>
                <w:szCs w:val="20"/>
                <w:lang w:val="fr-CA" w:eastAsia="zh-CN"/>
              </w:rPr>
              <w:t>s</w:t>
            </w:r>
            <w:r w:rsidR="0039010B" w:rsidRPr="00206486">
              <w:rPr>
                <w:color w:val="000000"/>
                <w:sz w:val="20"/>
                <w:szCs w:val="20"/>
                <w:lang w:val="fr-CA" w:eastAsia="zh-CN"/>
              </w:rPr>
              <w:t xml:space="preserve"> et </w:t>
            </w:r>
            <w:r w:rsidR="0070671A" w:rsidRPr="00206486">
              <w:rPr>
                <w:color w:val="000000"/>
                <w:sz w:val="20"/>
                <w:szCs w:val="20"/>
                <w:lang w:val="fr-CA" w:eastAsia="zh-CN"/>
              </w:rPr>
              <w:t xml:space="preserve">les </w:t>
            </w:r>
            <w:r w:rsidR="00677924" w:rsidRPr="00206486">
              <w:rPr>
                <w:color w:val="000000"/>
                <w:sz w:val="20"/>
                <w:szCs w:val="20"/>
                <w:lang w:val="fr-CA" w:eastAsia="zh-CN"/>
              </w:rPr>
              <w:t>hôtels</w:t>
            </w:r>
            <w:r w:rsidRPr="00206486">
              <w:rPr>
                <w:color w:val="000000"/>
                <w:sz w:val="20"/>
                <w:szCs w:val="20"/>
                <w:lang w:val="fr-CA" w:eastAsia="zh-CN"/>
              </w:rPr>
              <w:t xml:space="preserve"> </w:t>
            </w:r>
            <w:r w:rsidR="0070671A" w:rsidRPr="00206486">
              <w:rPr>
                <w:color w:val="000000"/>
                <w:sz w:val="20"/>
                <w:szCs w:val="20"/>
                <w:lang w:val="fr-CA" w:eastAsia="zh-CN"/>
              </w:rPr>
              <w:t>par</w:t>
            </w:r>
            <w:r w:rsidR="00321F68">
              <w:rPr>
                <w:color w:val="000000"/>
                <w:sz w:val="20"/>
                <w:szCs w:val="20"/>
                <w:lang w:val="fr-CA" w:eastAsia="zh-CN"/>
              </w:rPr>
              <w:t> </w:t>
            </w:r>
            <w:r w:rsidR="0070671A" w:rsidRPr="00206486">
              <w:rPr>
                <w:color w:val="000000"/>
                <w:sz w:val="20"/>
                <w:szCs w:val="20"/>
                <w:lang w:val="fr-CA" w:eastAsia="zh-CN"/>
              </w:rPr>
              <w:t>des</w:t>
            </w:r>
            <w:r w:rsidR="00321F68">
              <w:rPr>
                <w:color w:val="000000"/>
                <w:sz w:val="20"/>
                <w:szCs w:val="20"/>
                <w:lang w:val="fr-CA" w:eastAsia="zh-CN"/>
              </w:rPr>
              <w:t> </w:t>
            </w:r>
            <w:r w:rsidR="0070671A" w:rsidRPr="00206486">
              <w:rPr>
                <w:color w:val="000000"/>
                <w:sz w:val="20"/>
                <w:szCs w:val="20"/>
                <w:lang w:val="fr-CA" w:eastAsia="zh-CN"/>
              </w:rPr>
              <w:t>activités de formation et d’accroissement de la sensibilisation</w:t>
            </w:r>
          </w:p>
        </w:tc>
        <w:tc>
          <w:tcPr>
            <w:tcW w:w="585"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593" w:type="pct"/>
            <w:vMerge/>
            <w:tcMar>
              <w:left w:w="115" w:type="dxa"/>
              <w:right w:w="144" w:type="dxa"/>
            </w:tcMar>
            <w:hideMark/>
          </w:tcPr>
          <w:p w:rsidR="00FB0F9B" w:rsidRPr="00206486" w:rsidRDefault="00FB0F9B" w:rsidP="002B0AAE">
            <w:pPr>
              <w:jc w:val="right"/>
              <w:rPr>
                <w:color w:val="000000"/>
                <w:sz w:val="20"/>
                <w:szCs w:val="20"/>
                <w:lang w:val="fr-CA" w:eastAsia="zh-CN"/>
              </w:rPr>
            </w:pP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8</w:t>
            </w:r>
            <w:r w:rsidR="00BD19D4" w:rsidRPr="00206486">
              <w:rPr>
                <w:color w:val="000000"/>
                <w:sz w:val="20"/>
                <w:szCs w:val="20"/>
                <w:lang w:val="fr-CA" w:eastAsia="zh-CN"/>
              </w:rPr>
              <w:t>2 </w:t>
            </w:r>
            <w:r w:rsidRPr="00206486">
              <w:rPr>
                <w:color w:val="000000"/>
                <w:sz w:val="20"/>
                <w:szCs w:val="20"/>
                <w:lang w:val="fr-CA" w:eastAsia="zh-CN"/>
              </w:rPr>
              <w:t>000</w:t>
            </w:r>
          </w:p>
        </w:tc>
      </w:tr>
      <w:tr w:rsidR="00FB0F9B" w:rsidRPr="00206486" w:rsidTr="00B75BC4">
        <w:trPr>
          <w:trHeight w:val="227"/>
        </w:trPr>
        <w:tc>
          <w:tcPr>
            <w:tcW w:w="3123" w:type="pct"/>
            <w:shd w:val="clear" w:color="auto" w:fill="auto"/>
            <w:noWrap/>
            <w:vAlign w:val="center"/>
          </w:tcPr>
          <w:p w:rsidR="00FB0F9B" w:rsidRPr="00206486" w:rsidRDefault="0070671A" w:rsidP="00321F68">
            <w:pPr>
              <w:jc w:val="left"/>
              <w:rPr>
                <w:color w:val="000000"/>
                <w:sz w:val="20"/>
                <w:szCs w:val="20"/>
                <w:lang w:val="fr-CA" w:eastAsia="zh-CN"/>
              </w:rPr>
            </w:pPr>
            <w:r w:rsidRPr="00206486">
              <w:rPr>
                <w:color w:val="000000"/>
                <w:sz w:val="20"/>
                <w:szCs w:val="20"/>
                <w:lang w:val="fr-CA" w:eastAsia="zh-CN"/>
              </w:rPr>
              <w:t>Élimination de l’utilisation du</w:t>
            </w:r>
            <w:r w:rsidR="0060390D" w:rsidRPr="00206486">
              <w:rPr>
                <w:color w:val="000000"/>
                <w:sz w:val="20"/>
                <w:szCs w:val="20"/>
                <w:lang w:val="fr-CA" w:eastAsia="zh-CN"/>
              </w:rPr>
              <w:t xml:space="preserve"> HCFC</w:t>
            </w:r>
            <w:r w:rsidR="00FB0F9B" w:rsidRPr="00206486">
              <w:rPr>
                <w:color w:val="000000"/>
                <w:sz w:val="20"/>
                <w:szCs w:val="20"/>
                <w:lang w:val="fr-CA" w:eastAsia="zh-CN"/>
              </w:rPr>
              <w:t xml:space="preserve">-141b </w:t>
            </w:r>
            <w:r w:rsidRPr="00206486">
              <w:rPr>
                <w:color w:val="000000"/>
                <w:sz w:val="20"/>
                <w:szCs w:val="20"/>
                <w:lang w:val="fr-CA" w:eastAsia="zh-CN"/>
              </w:rPr>
              <w:t>dans le nettoyage des équipements de climatisation individuels (</w:t>
            </w:r>
            <w:r w:rsidR="00FB0F9B" w:rsidRPr="00206486">
              <w:rPr>
                <w:color w:val="000000"/>
                <w:sz w:val="20"/>
                <w:szCs w:val="20"/>
                <w:lang w:val="fr-CA" w:eastAsia="zh-CN"/>
              </w:rPr>
              <w:t>RAC</w:t>
            </w:r>
            <w:r w:rsidRPr="00206486">
              <w:rPr>
                <w:color w:val="000000"/>
                <w:sz w:val="20"/>
                <w:szCs w:val="20"/>
                <w:lang w:val="fr-CA" w:eastAsia="zh-CN"/>
              </w:rPr>
              <w:t>)</w:t>
            </w:r>
            <w:r w:rsidR="00FB0F9B" w:rsidRPr="00206486">
              <w:rPr>
                <w:color w:val="000000"/>
                <w:sz w:val="20"/>
                <w:szCs w:val="20"/>
                <w:lang w:val="fr-CA" w:eastAsia="zh-CN"/>
              </w:rPr>
              <w:t xml:space="preserve"> </w:t>
            </w:r>
            <w:r w:rsidRPr="00206486">
              <w:rPr>
                <w:color w:val="000000"/>
                <w:sz w:val="20"/>
                <w:szCs w:val="20"/>
                <w:lang w:val="fr-CA" w:eastAsia="zh-CN"/>
              </w:rPr>
              <w:t>par la formation et la</w:t>
            </w:r>
            <w:r w:rsidR="00321F68">
              <w:rPr>
                <w:color w:val="000000"/>
                <w:sz w:val="20"/>
                <w:szCs w:val="20"/>
                <w:lang w:val="fr-CA" w:eastAsia="zh-CN"/>
              </w:rPr>
              <w:t> fourniture</w:t>
            </w:r>
            <w:r w:rsidRPr="00206486">
              <w:rPr>
                <w:color w:val="000000"/>
                <w:sz w:val="20"/>
                <w:szCs w:val="20"/>
                <w:lang w:val="fr-CA" w:eastAsia="zh-CN"/>
              </w:rPr>
              <w:t xml:space="preserve"> d’équipements</w:t>
            </w:r>
          </w:p>
        </w:tc>
        <w:tc>
          <w:tcPr>
            <w:tcW w:w="585"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1</w:t>
            </w:r>
            <w:r w:rsidR="00973255" w:rsidRPr="00206486">
              <w:rPr>
                <w:color w:val="000000"/>
                <w:sz w:val="20"/>
                <w:szCs w:val="20"/>
                <w:lang w:val="fr-CA" w:eastAsia="zh-CN"/>
              </w:rPr>
              <w:t>0,</w:t>
            </w:r>
            <w:r w:rsidRPr="00206486">
              <w:rPr>
                <w:color w:val="000000"/>
                <w:sz w:val="20"/>
                <w:szCs w:val="20"/>
                <w:lang w:val="fr-CA" w:eastAsia="zh-CN"/>
              </w:rPr>
              <w:t>91</w:t>
            </w:r>
          </w:p>
        </w:tc>
        <w:tc>
          <w:tcPr>
            <w:tcW w:w="593" w:type="pct"/>
            <w:shd w:val="clear" w:color="auto" w:fill="auto"/>
            <w:noWrap/>
            <w:tcMar>
              <w:left w:w="115" w:type="dxa"/>
              <w:right w:w="144" w:type="dxa"/>
            </w:tcMar>
            <w:hideMark/>
          </w:tcPr>
          <w:p w:rsidR="00FB0F9B" w:rsidRPr="00206486" w:rsidRDefault="00973255" w:rsidP="002B0AAE">
            <w:pPr>
              <w:jc w:val="right"/>
              <w:rPr>
                <w:color w:val="000000"/>
                <w:sz w:val="20"/>
                <w:szCs w:val="20"/>
                <w:lang w:val="fr-CA" w:eastAsia="zh-CN"/>
              </w:rPr>
            </w:pPr>
            <w:r w:rsidRPr="00206486">
              <w:rPr>
                <w:color w:val="000000"/>
                <w:sz w:val="20"/>
                <w:szCs w:val="20"/>
                <w:lang w:val="fr-CA" w:eastAsia="zh-CN"/>
              </w:rPr>
              <w:t>1,</w:t>
            </w:r>
            <w:r w:rsidR="00FB0F9B" w:rsidRPr="00206486">
              <w:rPr>
                <w:color w:val="000000"/>
                <w:sz w:val="20"/>
                <w:szCs w:val="20"/>
                <w:lang w:val="fr-CA" w:eastAsia="zh-CN"/>
              </w:rPr>
              <w:t>20</w:t>
            </w:r>
          </w:p>
        </w:tc>
        <w:tc>
          <w:tcPr>
            <w:tcW w:w="699" w:type="pct"/>
            <w:shd w:val="clear" w:color="auto" w:fill="auto"/>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9</w:t>
            </w:r>
            <w:r w:rsidR="00973255" w:rsidRPr="00206486">
              <w:rPr>
                <w:color w:val="000000"/>
                <w:sz w:val="20"/>
                <w:szCs w:val="20"/>
                <w:lang w:val="fr-CA" w:eastAsia="zh-CN"/>
              </w:rPr>
              <w:t>7 </w:t>
            </w:r>
            <w:r w:rsidRPr="00206486">
              <w:rPr>
                <w:color w:val="000000"/>
                <w:sz w:val="20"/>
                <w:szCs w:val="20"/>
                <w:lang w:val="fr-CA" w:eastAsia="zh-CN"/>
              </w:rPr>
              <w:t>000</w:t>
            </w:r>
          </w:p>
        </w:tc>
      </w:tr>
      <w:tr w:rsidR="00FB0F9B" w:rsidRPr="00206486" w:rsidTr="00B75BC4">
        <w:trPr>
          <w:trHeight w:val="422"/>
        </w:trPr>
        <w:tc>
          <w:tcPr>
            <w:tcW w:w="3123" w:type="pct"/>
            <w:shd w:val="clear" w:color="auto" w:fill="auto"/>
            <w:noWrap/>
          </w:tcPr>
          <w:p w:rsidR="00FB0F9B" w:rsidRPr="00206486" w:rsidRDefault="0070671A" w:rsidP="0070671A">
            <w:pPr>
              <w:jc w:val="left"/>
              <w:rPr>
                <w:color w:val="000000"/>
                <w:sz w:val="20"/>
                <w:szCs w:val="20"/>
                <w:lang w:val="fr-CA" w:eastAsia="zh-CN"/>
              </w:rPr>
            </w:pPr>
            <w:r w:rsidRPr="00206486">
              <w:rPr>
                <w:color w:val="000000"/>
                <w:sz w:val="20"/>
                <w:szCs w:val="20"/>
                <w:lang w:val="fr-CA" w:eastAsia="zh-CN"/>
              </w:rPr>
              <w:lastRenderedPageBreak/>
              <w:t>Activités d’accroissement de la sensibilisation du p</w:t>
            </w:r>
            <w:r w:rsidR="00FB0F9B" w:rsidRPr="00206486">
              <w:rPr>
                <w:color w:val="000000"/>
                <w:sz w:val="20"/>
                <w:szCs w:val="20"/>
                <w:lang w:val="fr-CA" w:eastAsia="zh-CN"/>
              </w:rPr>
              <w:t xml:space="preserve">ublic </w:t>
            </w:r>
            <w:r w:rsidRPr="00206486">
              <w:rPr>
                <w:color w:val="000000"/>
                <w:sz w:val="20"/>
                <w:szCs w:val="20"/>
                <w:lang w:val="fr-CA" w:eastAsia="zh-CN"/>
              </w:rPr>
              <w:t>pour l’élimination des</w:t>
            </w:r>
            <w:r w:rsidR="00FB0F9B" w:rsidRPr="00206486">
              <w:rPr>
                <w:color w:val="000000"/>
                <w:sz w:val="20"/>
                <w:szCs w:val="20"/>
                <w:lang w:val="fr-CA" w:eastAsia="zh-CN"/>
              </w:rPr>
              <w:t xml:space="preserve"> HCFC</w:t>
            </w:r>
            <w:r w:rsidR="002B0AAE" w:rsidRPr="00206486">
              <w:rPr>
                <w:color w:val="000000"/>
                <w:sz w:val="20"/>
                <w:szCs w:val="20"/>
                <w:lang w:val="fr-CA" w:eastAsia="zh-CN"/>
              </w:rPr>
              <w:t xml:space="preserve"> : </w:t>
            </w:r>
            <w:r w:rsidRPr="00206486">
              <w:rPr>
                <w:color w:val="000000"/>
                <w:sz w:val="20"/>
                <w:szCs w:val="20"/>
                <w:lang w:val="fr-CA" w:eastAsia="zh-CN"/>
              </w:rPr>
              <w:t>campagne de sensibilisation annuelle</w:t>
            </w:r>
            <w:r w:rsidR="00FB0F9B" w:rsidRPr="00206486">
              <w:rPr>
                <w:color w:val="000000"/>
                <w:sz w:val="20"/>
                <w:szCs w:val="20"/>
                <w:lang w:val="fr-CA" w:eastAsia="zh-CN"/>
              </w:rPr>
              <w:t xml:space="preserve">, </w:t>
            </w:r>
            <w:r w:rsidRPr="00206486">
              <w:rPr>
                <w:color w:val="000000"/>
                <w:sz w:val="20"/>
                <w:szCs w:val="20"/>
                <w:lang w:val="fr-CA" w:eastAsia="zh-CN"/>
              </w:rPr>
              <w:t xml:space="preserve">développement et </w:t>
            </w:r>
            <w:r w:rsidR="00677924" w:rsidRPr="00206486">
              <w:rPr>
                <w:color w:val="000000"/>
                <w:sz w:val="20"/>
                <w:szCs w:val="20"/>
                <w:lang w:val="fr-CA" w:eastAsia="zh-CN"/>
              </w:rPr>
              <w:t>dissémination</w:t>
            </w:r>
            <w:r w:rsidR="00FB0F9B" w:rsidRPr="00206486">
              <w:rPr>
                <w:color w:val="000000"/>
                <w:sz w:val="20"/>
                <w:szCs w:val="20"/>
                <w:lang w:val="fr-CA" w:eastAsia="zh-CN"/>
              </w:rPr>
              <w:t xml:space="preserve"> </w:t>
            </w:r>
            <w:r w:rsidR="00677924" w:rsidRPr="00206486">
              <w:rPr>
                <w:color w:val="000000"/>
                <w:sz w:val="20"/>
                <w:szCs w:val="20"/>
                <w:lang w:val="fr-CA" w:eastAsia="zh-CN"/>
              </w:rPr>
              <w:t>de matériels d’accroissement de la sensibilisation</w:t>
            </w:r>
            <w:r w:rsidR="00FB0F9B" w:rsidRPr="00206486">
              <w:rPr>
                <w:color w:val="000000"/>
                <w:sz w:val="20"/>
                <w:szCs w:val="20"/>
                <w:lang w:val="fr-CA" w:eastAsia="zh-CN"/>
              </w:rPr>
              <w:t xml:space="preserve"> </w:t>
            </w:r>
          </w:p>
        </w:tc>
        <w:tc>
          <w:tcPr>
            <w:tcW w:w="585"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0</w:t>
            </w:r>
          </w:p>
        </w:tc>
        <w:tc>
          <w:tcPr>
            <w:tcW w:w="593"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0</w:t>
            </w:r>
          </w:p>
        </w:tc>
        <w:tc>
          <w:tcPr>
            <w:tcW w:w="699"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8</w:t>
            </w:r>
            <w:r w:rsidR="00973255" w:rsidRPr="00206486">
              <w:rPr>
                <w:color w:val="000000"/>
                <w:sz w:val="20"/>
                <w:szCs w:val="20"/>
                <w:lang w:val="fr-CA" w:eastAsia="zh-CN"/>
              </w:rPr>
              <w:t>8 </w:t>
            </w:r>
            <w:r w:rsidRPr="00206486">
              <w:rPr>
                <w:color w:val="000000"/>
                <w:sz w:val="20"/>
                <w:szCs w:val="20"/>
                <w:lang w:val="fr-CA" w:eastAsia="zh-CN"/>
              </w:rPr>
              <w:t>000</w:t>
            </w:r>
          </w:p>
        </w:tc>
      </w:tr>
      <w:tr w:rsidR="00FB0F9B" w:rsidRPr="00206486" w:rsidTr="00B75BC4">
        <w:trPr>
          <w:trHeight w:val="43"/>
        </w:trPr>
        <w:tc>
          <w:tcPr>
            <w:tcW w:w="3123" w:type="pct"/>
            <w:shd w:val="clear" w:color="auto" w:fill="auto"/>
            <w:noWrap/>
          </w:tcPr>
          <w:p w:rsidR="00FB0F9B" w:rsidRPr="00206486" w:rsidRDefault="0070671A" w:rsidP="0070671A">
            <w:pPr>
              <w:jc w:val="left"/>
              <w:rPr>
                <w:b/>
                <w:color w:val="000000"/>
                <w:sz w:val="20"/>
                <w:szCs w:val="20"/>
                <w:lang w:val="fr-CA" w:eastAsia="zh-CN"/>
              </w:rPr>
            </w:pPr>
            <w:r w:rsidRPr="00206486">
              <w:rPr>
                <w:b/>
                <w:color w:val="000000"/>
                <w:sz w:val="20"/>
                <w:szCs w:val="20"/>
                <w:lang w:val="fr-CA" w:eastAsia="zh-CN"/>
              </w:rPr>
              <w:t>Mise en oeuvre des projets, suivi et présentation de rapports</w:t>
            </w:r>
          </w:p>
        </w:tc>
        <w:tc>
          <w:tcPr>
            <w:tcW w:w="585"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0</w:t>
            </w:r>
          </w:p>
        </w:tc>
        <w:tc>
          <w:tcPr>
            <w:tcW w:w="593"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0</w:t>
            </w:r>
          </w:p>
        </w:tc>
        <w:tc>
          <w:tcPr>
            <w:tcW w:w="699" w:type="pct"/>
            <w:shd w:val="clear" w:color="auto" w:fill="auto"/>
            <w:noWrap/>
            <w:tcMar>
              <w:left w:w="115" w:type="dxa"/>
              <w:right w:w="144" w:type="dxa"/>
            </w:tcMar>
            <w:hideMark/>
          </w:tcPr>
          <w:p w:rsidR="00FB0F9B" w:rsidRPr="00206486" w:rsidRDefault="00FB0F9B" w:rsidP="002B0AAE">
            <w:pPr>
              <w:jc w:val="right"/>
              <w:rPr>
                <w:color w:val="000000"/>
                <w:sz w:val="20"/>
                <w:szCs w:val="20"/>
                <w:lang w:val="fr-CA" w:eastAsia="zh-CN"/>
              </w:rPr>
            </w:pPr>
            <w:r w:rsidRPr="00206486">
              <w:rPr>
                <w:color w:val="000000"/>
                <w:sz w:val="20"/>
                <w:szCs w:val="20"/>
                <w:lang w:val="fr-CA" w:eastAsia="zh-CN"/>
              </w:rPr>
              <w:t>17</w:t>
            </w:r>
            <w:r w:rsidR="00973255" w:rsidRPr="00206486">
              <w:rPr>
                <w:color w:val="000000"/>
                <w:sz w:val="20"/>
                <w:szCs w:val="20"/>
                <w:lang w:val="fr-CA" w:eastAsia="zh-CN"/>
              </w:rPr>
              <w:t>0 </w:t>
            </w:r>
            <w:r w:rsidRPr="00206486">
              <w:rPr>
                <w:color w:val="000000"/>
                <w:sz w:val="20"/>
                <w:szCs w:val="20"/>
                <w:lang w:val="fr-CA" w:eastAsia="zh-CN"/>
              </w:rPr>
              <w:t>000</w:t>
            </w:r>
          </w:p>
        </w:tc>
      </w:tr>
      <w:tr w:rsidR="00FB0F9B" w:rsidRPr="00206486" w:rsidTr="00B75BC4">
        <w:trPr>
          <w:trHeight w:val="43"/>
        </w:trPr>
        <w:tc>
          <w:tcPr>
            <w:tcW w:w="3123" w:type="pct"/>
            <w:shd w:val="clear" w:color="auto" w:fill="auto"/>
            <w:noWrap/>
            <w:vAlign w:val="center"/>
            <w:hideMark/>
          </w:tcPr>
          <w:p w:rsidR="00FB0F9B" w:rsidRPr="00206486" w:rsidRDefault="00FB0F9B" w:rsidP="002B0AAE">
            <w:pPr>
              <w:jc w:val="left"/>
              <w:rPr>
                <w:b/>
                <w:bCs/>
                <w:color w:val="000000"/>
                <w:sz w:val="20"/>
                <w:szCs w:val="20"/>
                <w:lang w:val="fr-CA" w:eastAsia="zh-CN"/>
              </w:rPr>
            </w:pPr>
            <w:r w:rsidRPr="00206486">
              <w:rPr>
                <w:b/>
                <w:bCs/>
                <w:color w:val="000000"/>
                <w:sz w:val="20"/>
                <w:szCs w:val="20"/>
                <w:lang w:val="fr-CA" w:eastAsia="zh-CN"/>
              </w:rPr>
              <w:t xml:space="preserve">Total </w:t>
            </w:r>
            <w:r w:rsidR="0070671A" w:rsidRPr="00206486">
              <w:rPr>
                <w:b/>
                <w:bCs/>
                <w:color w:val="000000"/>
                <w:sz w:val="20"/>
                <w:szCs w:val="20"/>
                <w:lang w:val="fr-CA" w:eastAsia="zh-CN"/>
              </w:rPr>
              <w:t xml:space="preserve"> global</w:t>
            </w:r>
          </w:p>
        </w:tc>
        <w:tc>
          <w:tcPr>
            <w:tcW w:w="585" w:type="pct"/>
            <w:shd w:val="clear" w:color="auto" w:fill="auto"/>
            <w:tcMar>
              <w:left w:w="115" w:type="dxa"/>
              <w:right w:w="144" w:type="dxa"/>
            </w:tcMar>
            <w:hideMark/>
          </w:tcPr>
          <w:p w:rsidR="00FB0F9B" w:rsidRPr="00206486" w:rsidRDefault="00FB0F9B" w:rsidP="002B0AAE">
            <w:pPr>
              <w:jc w:val="right"/>
              <w:rPr>
                <w:b/>
                <w:bCs/>
                <w:color w:val="000000"/>
                <w:sz w:val="20"/>
                <w:szCs w:val="20"/>
                <w:lang w:val="fr-CA" w:eastAsia="zh-CN"/>
              </w:rPr>
            </w:pPr>
            <w:r w:rsidRPr="00206486">
              <w:rPr>
                <w:b/>
                <w:bCs/>
                <w:color w:val="000000"/>
                <w:sz w:val="20"/>
                <w:szCs w:val="20"/>
                <w:lang w:val="fr-CA" w:eastAsia="zh-CN"/>
              </w:rPr>
              <w:t>15</w:t>
            </w:r>
            <w:r w:rsidR="00973255" w:rsidRPr="00206486">
              <w:rPr>
                <w:b/>
                <w:bCs/>
                <w:color w:val="000000"/>
                <w:sz w:val="20"/>
                <w:szCs w:val="20"/>
                <w:lang w:val="fr-CA" w:eastAsia="zh-CN"/>
              </w:rPr>
              <w:t>6,</w:t>
            </w:r>
            <w:r w:rsidRPr="00206486">
              <w:rPr>
                <w:b/>
                <w:bCs/>
                <w:color w:val="000000"/>
                <w:sz w:val="20"/>
                <w:szCs w:val="20"/>
                <w:lang w:val="fr-CA" w:eastAsia="zh-CN"/>
              </w:rPr>
              <w:t>62</w:t>
            </w:r>
          </w:p>
        </w:tc>
        <w:tc>
          <w:tcPr>
            <w:tcW w:w="593" w:type="pct"/>
            <w:shd w:val="clear" w:color="auto" w:fill="auto"/>
            <w:tcMar>
              <w:left w:w="115" w:type="dxa"/>
              <w:right w:w="144" w:type="dxa"/>
            </w:tcMar>
            <w:hideMark/>
          </w:tcPr>
          <w:p w:rsidR="00FB0F9B" w:rsidRPr="00206486" w:rsidRDefault="00973255" w:rsidP="002B0AAE">
            <w:pPr>
              <w:jc w:val="right"/>
              <w:rPr>
                <w:b/>
                <w:bCs/>
                <w:color w:val="000000"/>
                <w:sz w:val="20"/>
                <w:szCs w:val="20"/>
                <w:lang w:val="fr-CA" w:eastAsia="zh-CN"/>
              </w:rPr>
            </w:pPr>
            <w:r w:rsidRPr="00206486">
              <w:rPr>
                <w:b/>
                <w:bCs/>
                <w:color w:val="000000"/>
                <w:sz w:val="20"/>
                <w:szCs w:val="20"/>
                <w:lang w:val="fr-CA" w:eastAsia="zh-CN"/>
              </w:rPr>
              <w:t>9,</w:t>
            </w:r>
            <w:r w:rsidR="00FB0F9B" w:rsidRPr="00206486">
              <w:rPr>
                <w:b/>
                <w:bCs/>
                <w:color w:val="000000"/>
                <w:sz w:val="20"/>
                <w:szCs w:val="20"/>
                <w:lang w:val="fr-CA" w:eastAsia="zh-CN"/>
              </w:rPr>
              <w:t>46</w:t>
            </w:r>
          </w:p>
        </w:tc>
        <w:tc>
          <w:tcPr>
            <w:tcW w:w="699" w:type="pct"/>
            <w:shd w:val="clear" w:color="auto" w:fill="auto"/>
            <w:tcMar>
              <w:left w:w="115" w:type="dxa"/>
              <w:right w:w="144" w:type="dxa"/>
            </w:tcMar>
            <w:hideMark/>
          </w:tcPr>
          <w:p w:rsidR="00FB0F9B" w:rsidRPr="00206486" w:rsidRDefault="00BD19D4" w:rsidP="002B0AAE">
            <w:pPr>
              <w:jc w:val="right"/>
              <w:rPr>
                <w:b/>
                <w:bCs/>
                <w:color w:val="000000"/>
                <w:sz w:val="20"/>
                <w:szCs w:val="20"/>
                <w:lang w:val="fr-CA" w:eastAsia="zh-CN"/>
              </w:rPr>
            </w:pPr>
            <w:r w:rsidRPr="00206486">
              <w:rPr>
                <w:b/>
                <w:bCs/>
                <w:color w:val="000000"/>
                <w:sz w:val="20"/>
                <w:szCs w:val="20"/>
                <w:lang w:val="fr-CA" w:eastAsia="zh-CN"/>
              </w:rPr>
              <w:t>1 </w:t>
            </w:r>
            <w:r w:rsidR="00FB0F9B" w:rsidRPr="00206486">
              <w:rPr>
                <w:b/>
                <w:bCs/>
                <w:color w:val="000000"/>
                <w:sz w:val="20"/>
                <w:szCs w:val="20"/>
                <w:lang w:val="fr-CA" w:eastAsia="zh-CN"/>
              </w:rPr>
              <w:t>10</w:t>
            </w:r>
            <w:r w:rsidR="00973255" w:rsidRPr="00206486">
              <w:rPr>
                <w:b/>
                <w:bCs/>
                <w:color w:val="000000"/>
                <w:sz w:val="20"/>
                <w:szCs w:val="20"/>
                <w:lang w:val="fr-CA" w:eastAsia="zh-CN"/>
              </w:rPr>
              <w:t>8 </w:t>
            </w:r>
            <w:r w:rsidR="00FB0F9B" w:rsidRPr="00206486">
              <w:rPr>
                <w:b/>
                <w:bCs/>
                <w:color w:val="000000"/>
                <w:sz w:val="20"/>
                <w:szCs w:val="20"/>
                <w:lang w:val="fr-CA" w:eastAsia="zh-CN"/>
              </w:rPr>
              <w:t>348</w:t>
            </w:r>
          </w:p>
        </w:tc>
      </w:tr>
    </w:tbl>
    <w:p w:rsidR="00FB0F9B" w:rsidRPr="00206486" w:rsidRDefault="00FB0F9B" w:rsidP="00FB0F9B">
      <w:pPr>
        <w:keepNext/>
        <w:rPr>
          <w:b/>
          <w:lang w:val="fr-CA"/>
        </w:rPr>
      </w:pPr>
    </w:p>
    <w:p w:rsidR="00FB0F9B" w:rsidRPr="00206486" w:rsidRDefault="00AA3256" w:rsidP="00FB0F9B">
      <w:pPr>
        <w:spacing w:after="240"/>
        <w:rPr>
          <w:u w:val="single"/>
          <w:lang w:val="fr-CA"/>
        </w:rPr>
      </w:pPr>
      <w:r w:rsidRPr="00206486">
        <w:rPr>
          <w:u w:val="single"/>
          <w:lang w:val="fr-CA"/>
        </w:rPr>
        <w:t>Activités</w:t>
      </w:r>
      <w:r w:rsidR="0070671A" w:rsidRPr="00206486">
        <w:rPr>
          <w:u w:val="single"/>
          <w:lang w:val="fr-CA"/>
        </w:rPr>
        <w:t xml:space="preserve"> prévues pour </w:t>
      </w:r>
      <w:r w:rsidR="0060390D" w:rsidRPr="00206486">
        <w:rPr>
          <w:u w:val="single"/>
          <w:lang w:val="fr-CA"/>
        </w:rPr>
        <w:t>la première tranche</w:t>
      </w:r>
      <w:r w:rsidR="00FB0F9B" w:rsidRPr="00206486">
        <w:rPr>
          <w:u w:val="single"/>
          <w:lang w:val="fr-CA"/>
        </w:rPr>
        <w:t xml:space="preserve"> </w:t>
      </w:r>
      <w:r w:rsidR="008904C7" w:rsidRPr="00206486">
        <w:rPr>
          <w:u w:val="single"/>
          <w:lang w:val="fr-CA"/>
        </w:rPr>
        <w:t>de la phase</w:t>
      </w:r>
      <w:r w:rsidR="0060390D" w:rsidRPr="00206486">
        <w:rPr>
          <w:u w:val="single"/>
          <w:lang w:val="fr-CA"/>
        </w:rPr>
        <w:t xml:space="preserve"> II</w:t>
      </w:r>
      <w:r w:rsidR="00FB0F9B" w:rsidRPr="00206486">
        <w:rPr>
          <w:u w:val="single"/>
          <w:lang w:val="fr-CA"/>
        </w:rPr>
        <w:t xml:space="preserve"> </w:t>
      </w:r>
    </w:p>
    <w:p w:rsidR="00FB0F9B" w:rsidRPr="00206486" w:rsidRDefault="0070671A" w:rsidP="00FB0F9B">
      <w:pPr>
        <w:pStyle w:val="Heading1"/>
        <w:rPr>
          <w:lang w:val="fr-CA"/>
        </w:rPr>
      </w:pPr>
      <w:r w:rsidRPr="00206486">
        <w:rPr>
          <w:lang w:val="fr-CA"/>
        </w:rPr>
        <w:t>La première tranche de</w:t>
      </w:r>
      <w:r w:rsidR="00FB0F9B" w:rsidRPr="00206486">
        <w:rPr>
          <w:lang w:val="fr-CA"/>
        </w:rPr>
        <w:t xml:space="preserve"> </w:t>
      </w:r>
      <w:r w:rsidR="00686F8A" w:rsidRPr="00206486">
        <w:rPr>
          <w:lang w:val="fr-CA"/>
        </w:rPr>
        <w:t>financement</w:t>
      </w:r>
      <w:r w:rsidR="00FB0F9B" w:rsidRPr="00206486">
        <w:rPr>
          <w:lang w:val="fr-CA"/>
        </w:rPr>
        <w:t xml:space="preserve"> </w:t>
      </w:r>
      <w:r w:rsidRPr="00206486">
        <w:rPr>
          <w:lang w:val="fr-CA"/>
        </w:rPr>
        <w:t xml:space="preserve">de </w:t>
      </w:r>
      <w:r w:rsidR="008904C7" w:rsidRPr="00206486">
        <w:rPr>
          <w:lang w:val="fr-CA"/>
        </w:rPr>
        <w:t>la phase</w:t>
      </w:r>
      <w:r w:rsidR="0060390D" w:rsidRPr="00206486">
        <w:rPr>
          <w:lang w:val="fr-CA"/>
        </w:rPr>
        <w:t xml:space="preserve"> II</w:t>
      </w:r>
      <w:r w:rsidR="00FB0F9B" w:rsidRPr="00206486">
        <w:rPr>
          <w:lang w:val="fr-CA"/>
        </w:rPr>
        <w:t xml:space="preserve"> </w:t>
      </w:r>
      <w:r w:rsidR="00C306D5" w:rsidRPr="00206486">
        <w:rPr>
          <w:lang w:val="fr-CA"/>
        </w:rPr>
        <w:t>du PGEH</w:t>
      </w:r>
      <w:r w:rsidR="00FB0F9B" w:rsidRPr="00206486">
        <w:rPr>
          <w:lang w:val="fr-CA"/>
        </w:rPr>
        <w:t xml:space="preserve">, </w:t>
      </w:r>
      <w:r w:rsidRPr="00206486">
        <w:rPr>
          <w:lang w:val="fr-CA"/>
        </w:rPr>
        <w:t>pour un montant total de</w:t>
      </w:r>
      <w:r w:rsidR="0036336C">
        <w:rPr>
          <w:lang w:val="fr-CA"/>
        </w:rPr>
        <w:t> </w:t>
      </w:r>
      <w:r w:rsidR="00FB0F9B" w:rsidRPr="00206486">
        <w:rPr>
          <w:lang w:val="fr-CA"/>
        </w:rPr>
        <w:t>19</w:t>
      </w:r>
      <w:r w:rsidR="00BD19D4" w:rsidRPr="00206486">
        <w:rPr>
          <w:lang w:val="fr-CA"/>
        </w:rPr>
        <w:t>5 </w:t>
      </w:r>
      <w:r w:rsidR="00FB0F9B" w:rsidRPr="00206486">
        <w:rPr>
          <w:lang w:val="fr-CA"/>
        </w:rPr>
        <w:t>94</w:t>
      </w:r>
      <w:r w:rsidR="00973255" w:rsidRPr="00206486">
        <w:rPr>
          <w:lang w:val="fr-CA"/>
        </w:rPr>
        <w:t>8</w:t>
      </w:r>
      <w:r w:rsidRPr="00206486">
        <w:rPr>
          <w:lang w:val="fr-CA"/>
        </w:rPr>
        <w:t> $US sera mise en oeuvre de décembre</w:t>
      </w:r>
      <w:r w:rsidR="00FB0F9B" w:rsidRPr="00206486">
        <w:rPr>
          <w:lang w:val="fr-CA"/>
        </w:rPr>
        <w:t xml:space="preserve"> 2019 </w:t>
      </w:r>
      <w:r w:rsidRPr="00206486">
        <w:rPr>
          <w:lang w:val="fr-CA"/>
        </w:rPr>
        <w:t>à décembre</w:t>
      </w:r>
      <w:r w:rsidR="00FB0F9B" w:rsidRPr="00206486">
        <w:rPr>
          <w:lang w:val="fr-CA"/>
        </w:rPr>
        <w:t xml:space="preserve"> 2021</w:t>
      </w:r>
      <w:r w:rsidRPr="00206486">
        <w:rPr>
          <w:lang w:val="fr-CA"/>
        </w:rPr>
        <w:t>, et comprendra les activités suivantes</w:t>
      </w:r>
      <w:r w:rsidR="002B0AAE" w:rsidRPr="00206486">
        <w:rPr>
          <w:lang w:val="fr-CA"/>
        </w:rPr>
        <w:t xml:space="preserve"> : </w:t>
      </w:r>
    </w:p>
    <w:p w:rsidR="00FB0F9B" w:rsidRPr="00206486" w:rsidRDefault="0070671A" w:rsidP="00FB0F9B">
      <w:pPr>
        <w:pStyle w:val="Heading2"/>
        <w:numPr>
          <w:ilvl w:val="1"/>
          <w:numId w:val="1"/>
        </w:numPr>
        <w:rPr>
          <w:lang w:val="fr-CA"/>
        </w:rPr>
      </w:pPr>
      <w:r w:rsidRPr="00206486">
        <w:rPr>
          <w:lang w:val="fr-CA"/>
        </w:rPr>
        <w:t>Reconversion</w:t>
      </w:r>
      <w:r w:rsidR="00FB0F9B" w:rsidRPr="00206486">
        <w:rPr>
          <w:lang w:val="fr-CA"/>
        </w:rPr>
        <w:t xml:space="preserve"> </w:t>
      </w:r>
      <w:r w:rsidRPr="00206486">
        <w:rPr>
          <w:lang w:val="fr-CA"/>
        </w:rPr>
        <w:t>de</w:t>
      </w:r>
      <w:r w:rsidR="00FB0F9B" w:rsidRPr="00206486">
        <w:rPr>
          <w:lang w:val="fr-CA"/>
        </w:rPr>
        <w:t xml:space="preserve"> Refrigeracion Omega </w:t>
      </w:r>
      <w:r w:rsidRPr="00206486">
        <w:rPr>
          <w:lang w:val="fr-CA"/>
        </w:rPr>
        <w:t>afin de remplacer par du HFO</w:t>
      </w:r>
      <w:r w:rsidRPr="00206486">
        <w:rPr>
          <w:lang w:val="fr-CA"/>
        </w:rPr>
        <w:noBreakHyphen/>
        <w:t xml:space="preserve">1233zd (68 348 $US) la </w:t>
      </w:r>
      <w:r w:rsidR="0039010B" w:rsidRPr="00206486">
        <w:rPr>
          <w:lang w:val="fr-CA"/>
        </w:rPr>
        <w:t>consommation</w:t>
      </w:r>
      <w:r w:rsidR="00FB0F9B" w:rsidRPr="00206486">
        <w:rPr>
          <w:lang w:val="fr-CA"/>
        </w:rPr>
        <w:t xml:space="preserve"> </w:t>
      </w:r>
      <w:r w:rsidRPr="00206486">
        <w:rPr>
          <w:lang w:val="fr-CA"/>
        </w:rPr>
        <w:t>de</w:t>
      </w:r>
      <w:r w:rsidR="00FB0F9B" w:rsidRPr="00206486">
        <w:rPr>
          <w:lang w:val="fr-CA"/>
        </w:rPr>
        <w:t xml:space="preserve"> </w:t>
      </w:r>
      <w:r w:rsidR="00973255" w:rsidRPr="00206486">
        <w:rPr>
          <w:lang w:val="fr-CA"/>
        </w:rPr>
        <w:t>6,</w:t>
      </w:r>
      <w:r w:rsidR="00FB0F9B" w:rsidRPr="00206486">
        <w:rPr>
          <w:lang w:val="fr-CA"/>
        </w:rPr>
        <w:t>24</w:t>
      </w:r>
      <w:r w:rsidR="0039010B" w:rsidRPr="00206486">
        <w:rPr>
          <w:lang w:val="fr-CA"/>
        </w:rPr>
        <w:t xml:space="preserve"> tm </w:t>
      </w:r>
      <w:r w:rsidR="00FB0F9B" w:rsidRPr="00206486">
        <w:rPr>
          <w:lang w:val="fr-CA"/>
        </w:rPr>
        <w:t>(</w:t>
      </w:r>
      <w:r w:rsidR="00973255" w:rsidRPr="00206486">
        <w:rPr>
          <w:lang w:val="fr-CA"/>
        </w:rPr>
        <w:t>0,</w:t>
      </w:r>
      <w:r w:rsidR="00FB0F9B" w:rsidRPr="00206486">
        <w:rPr>
          <w:lang w:val="fr-CA"/>
        </w:rPr>
        <w:t>69</w:t>
      </w:r>
      <w:r w:rsidR="00C02492" w:rsidRPr="00206486">
        <w:rPr>
          <w:lang w:val="fr-CA"/>
        </w:rPr>
        <w:t xml:space="preserve"> tonne PAO</w:t>
      </w:r>
      <w:r w:rsidR="00FB0F9B" w:rsidRPr="00206486">
        <w:rPr>
          <w:lang w:val="fr-CA"/>
        </w:rPr>
        <w:t xml:space="preserve">) </w:t>
      </w:r>
      <w:r w:rsidR="0060390D" w:rsidRPr="00206486">
        <w:rPr>
          <w:lang w:val="fr-CA"/>
        </w:rPr>
        <w:t>de HCFC</w:t>
      </w:r>
      <w:r w:rsidR="00FB0F9B" w:rsidRPr="00206486">
        <w:rPr>
          <w:lang w:val="fr-CA"/>
        </w:rPr>
        <w:noBreakHyphen/>
        <w:t xml:space="preserve">141b </w:t>
      </w:r>
      <w:r w:rsidR="0039010B" w:rsidRPr="00206486">
        <w:rPr>
          <w:lang w:val="fr-CA"/>
        </w:rPr>
        <w:t>contenu</w:t>
      </w:r>
      <w:r w:rsidRPr="00206486">
        <w:rPr>
          <w:lang w:val="fr-CA"/>
        </w:rPr>
        <w:t>e</w:t>
      </w:r>
      <w:r w:rsidR="00FB0F9B" w:rsidRPr="00206486">
        <w:rPr>
          <w:lang w:val="fr-CA"/>
        </w:rPr>
        <w:t xml:space="preserve"> </w:t>
      </w:r>
      <w:r w:rsidR="00EB2126" w:rsidRPr="00206486">
        <w:rPr>
          <w:lang w:val="fr-CA"/>
        </w:rPr>
        <w:t>dans des polyols</w:t>
      </w:r>
      <w:r w:rsidR="0060390D" w:rsidRPr="00206486">
        <w:rPr>
          <w:lang w:val="fr-CA"/>
        </w:rPr>
        <w:t xml:space="preserve"> prémélangés importés</w:t>
      </w:r>
      <w:r w:rsidR="00FB0F9B" w:rsidRPr="00206486">
        <w:rPr>
          <w:lang w:val="fr-CA"/>
        </w:rPr>
        <w:t xml:space="preserve">; </w:t>
      </w:r>
    </w:p>
    <w:p w:rsidR="00FB0F9B" w:rsidRPr="00206486" w:rsidRDefault="0070671A" w:rsidP="00FB0F9B">
      <w:pPr>
        <w:pStyle w:val="Heading2"/>
        <w:numPr>
          <w:ilvl w:val="1"/>
          <w:numId w:val="1"/>
        </w:numPr>
        <w:rPr>
          <w:lang w:val="fr-CA"/>
        </w:rPr>
      </w:pPr>
      <w:r w:rsidRPr="00206486">
        <w:rPr>
          <w:lang w:val="fr-CA"/>
        </w:rPr>
        <w:t xml:space="preserve">Renforcement des politiques et des </w:t>
      </w:r>
      <w:r w:rsidR="008904C7" w:rsidRPr="00206486">
        <w:rPr>
          <w:lang w:val="fr-CA"/>
        </w:rPr>
        <w:t>cadre juridique</w:t>
      </w:r>
      <w:r w:rsidR="00FB0F9B" w:rsidRPr="00206486">
        <w:rPr>
          <w:lang w:val="fr-CA"/>
        </w:rPr>
        <w:t xml:space="preserve">s </w:t>
      </w:r>
      <w:r w:rsidRPr="00206486">
        <w:rPr>
          <w:lang w:val="fr-CA"/>
        </w:rPr>
        <w:t>afin de contrôler l</w:t>
      </w:r>
      <w:r w:rsidR="00AA3256" w:rsidRPr="00206486">
        <w:rPr>
          <w:lang w:val="fr-CA"/>
        </w:rPr>
        <w:t>a consommation de</w:t>
      </w:r>
      <w:r w:rsidRPr="00206486">
        <w:rPr>
          <w:lang w:val="fr-CA"/>
        </w:rPr>
        <w:t> </w:t>
      </w:r>
      <w:r w:rsidR="00AA3256" w:rsidRPr="00206486">
        <w:rPr>
          <w:lang w:val="fr-CA"/>
        </w:rPr>
        <w:t>HCFC</w:t>
      </w:r>
      <w:r w:rsidR="002B0AAE" w:rsidRPr="00206486">
        <w:rPr>
          <w:lang w:val="fr-CA"/>
        </w:rPr>
        <w:t xml:space="preserve"> : </w:t>
      </w:r>
      <w:r w:rsidRPr="00206486">
        <w:rPr>
          <w:lang w:val="fr-CA"/>
        </w:rPr>
        <w:t xml:space="preserve">procéder à une consultation nationale, coordination avec les </w:t>
      </w:r>
      <w:r w:rsidR="004A76B2" w:rsidRPr="00206486">
        <w:rPr>
          <w:lang w:val="fr-CA"/>
        </w:rPr>
        <w:t>intéressés</w:t>
      </w:r>
      <w:r w:rsidR="00FB0F9B" w:rsidRPr="00206486">
        <w:rPr>
          <w:lang w:val="fr-CA"/>
        </w:rPr>
        <w:t>,</w:t>
      </w:r>
      <w:r w:rsidR="0039010B" w:rsidRPr="00206486">
        <w:rPr>
          <w:lang w:val="fr-CA"/>
        </w:rPr>
        <w:t xml:space="preserve"> et</w:t>
      </w:r>
      <w:r w:rsidR="0036336C">
        <w:rPr>
          <w:lang w:val="fr-CA"/>
        </w:rPr>
        <w:t> </w:t>
      </w:r>
      <w:r w:rsidRPr="00206486">
        <w:rPr>
          <w:lang w:val="fr-CA"/>
        </w:rPr>
        <w:t xml:space="preserve">conception et impression de matériels </w:t>
      </w:r>
      <w:r w:rsidR="00D05C56" w:rsidRPr="00206486">
        <w:rPr>
          <w:lang w:val="fr-CA"/>
        </w:rPr>
        <w:t>de vulgarisation</w:t>
      </w:r>
      <w:r w:rsidR="00FB0F9B" w:rsidRPr="00206486">
        <w:rPr>
          <w:lang w:val="fr-CA"/>
        </w:rPr>
        <w:t xml:space="preserve"> (</w:t>
      </w:r>
      <w:r w:rsidR="00973255" w:rsidRPr="00206486">
        <w:rPr>
          <w:lang w:val="fr-CA"/>
        </w:rPr>
        <w:t>9</w:t>
      </w:r>
      <w:r w:rsidR="00562770" w:rsidRPr="00206486">
        <w:rPr>
          <w:lang w:val="fr-CA"/>
        </w:rPr>
        <w:t> 000 $US)</w:t>
      </w:r>
      <w:r w:rsidR="00FB0F9B" w:rsidRPr="00206486">
        <w:rPr>
          <w:lang w:val="fr-CA"/>
        </w:rPr>
        <w:t xml:space="preserve">; </w:t>
      </w:r>
    </w:p>
    <w:p w:rsidR="00FB0F9B" w:rsidRPr="00206486" w:rsidRDefault="00562770" w:rsidP="00FB0F9B">
      <w:pPr>
        <w:pStyle w:val="Heading2"/>
        <w:numPr>
          <w:ilvl w:val="1"/>
          <w:numId w:val="1"/>
        </w:numPr>
        <w:rPr>
          <w:lang w:val="fr-CA"/>
        </w:rPr>
      </w:pPr>
      <w:r w:rsidRPr="00206486">
        <w:rPr>
          <w:lang w:val="fr-CA"/>
        </w:rPr>
        <w:t>Renforcement de la capacité</w:t>
      </w:r>
      <w:r w:rsidR="00FB0F9B" w:rsidRPr="00206486">
        <w:rPr>
          <w:lang w:val="fr-CA"/>
        </w:rPr>
        <w:t xml:space="preserve"> </w:t>
      </w:r>
      <w:r w:rsidR="00D05C56" w:rsidRPr="00206486">
        <w:rPr>
          <w:lang w:val="fr-CA"/>
        </w:rPr>
        <w:t>du</w:t>
      </w:r>
      <w:r w:rsidR="00FB0F9B" w:rsidRPr="00206486">
        <w:rPr>
          <w:lang w:val="fr-CA"/>
        </w:rPr>
        <w:t xml:space="preserve"> </w:t>
      </w:r>
      <w:r w:rsidR="00E27DB1" w:rsidRPr="00206486">
        <w:rPr>
          <w:lang w:val="fr-CA"/>
        </w:rPr>
        <w:t>secteur de l’entretien</w:t>
      </w:r>
      <w:r w:rsidR="00FB0F9B" w:rsidRPr="00206486">
        <w:rPr>
          <w:lang w:val="fr-CA"/>
        </w:rPr>
        <w:t xml:space="preserve"> (10</w:t>
      </w:r>
      <w:r w:rsidR="00973255" w:rsidRPr="00206486">
        <w:rPr>
          <w:lang w:val="fr-CA"/>
        </w:rPr>
        <w:t>0 </w:t>
      </w:r>
      <w:r w:rsidR="00FB0F9B" w:rsidRPr="00206486">
        <w:rPr>
          <w:lang w:val="fr-CA"/>
        </w:rPr>
        <w:t>400</w:t>
      </w:r>
      <w:r w:rsidR="00D05C56" w:rsidRPr="00206486">
        <w:rPr>
          <w:lang w:val="fr-CA"/>
        </w:rPr>
        <w:t> $US</w:t>
      </w:r>
      <w:r w:rsidR="00FB0F9B" w:rsidRPr="00206486">
        <w:rPr>
          <w:lang w:val="fr-CA"/>
        </w:rPr>
        <w:t xml:space="preserve">), </w:t>
      </w:r>
      <w:r w:rsidR="003B6C77" w:rsidRPr="00206486">
        <w:rPr>
          <w:lang w:val="fr-CA"/>
        </w:rPr>
        <w:t>incluant</w:t>
      </w:r>
      <w:r w:rsidR="002B0AAE" w:rsidRPr="00206486">
        <w:rPr>
          <w:lang w:val="fr-CA"/>
        </w:rPr>
        <w:t xml:space="preserve"> : </w:t>
      </w:r>
    </w:p>
    <w:p w:rsidR="00FB0F9B" w:rsidRPr="00206486" w:rsidRDefault="00562770" w:rsidP="00FB0F9B">
      <w:pPr>
        <w:pStyle w:val="Heading3"/>
        <w:numPr>
          <w:ilvl w:val="2"/>
          <w:numId w:val="1"/>
        </w:numPr>
        <w:rPr>
          <w:lang w:val="fr-CA"/>
        </w:rPr>
      </w:pPr>
      <w:r w:rsidRPr="00206486">
        <w:rPr>
          <w:lang w:val="fr-CA"/>
        </w:rPr>
        <w:t>Renforcement</w:t>
      </w:r>
      <w:r w:rsidR="00FB0F9B" w:rsidRPr="00206486">
        <w:rPr>
          <w:lang w:val="fr-CA"/>
        </w:rPr>
        <w:t xml:space="preserve"> </w:t>
      </w:r>
      <w:r w:rsidR="00D05C56" w:rsidRPr="00206486">
        <w:rPr>
          <w:lang w:val="fr-CA"/>
        </w:rPr>
        <w:t>du réseau de récupération, de recyclage et de régénération des</w:t>
      </w:r>
      <w:r w:rsidR="0036336C">
        <w:rPr>
          <w:lang w:val="fr-CA"/>
        </w:rPr>
        <w:t> </w:t>
      </w:r>
      <w:r w:rsidR="003B6C77" w:rsidRPr="00206486">
        <w:rPr>
          <w:lang w:val="fr-CA"/>
        </w:rPr>
        <w:t>frigorigène</w:t>
      </w:r>
      <w:r w:rsidR="00D05C56" w:rsidRPr="00206486">
        <w:rPr>
          <w:lang w:val="fr-CA"/>
        </w:rPr>
        <w:t>s</w:t>
      </w:r>
      <w:r w:rsidR="002B0AAE" w:rsidRPr="00206486">
        <w:rPr>
          <w:lang w:val="fr-CA"/>
        </w:rPr>
        <w:t xml:space="preserve"> : </w:t>
      </w:r>
      <w:r w:rsidR="00D05C56" w:rsidRPr="00206486">
        <w:rPr>
          <w:lang w:val="fr-CA"/>
        </w:rPr>
        <w:t xml:space="preserve">préparation d’un manuel de formation pour les </w:t>
      </w:r>
      <w:r w:rsidR="008904C7" w:rsidRPr="00206486">
        <w:rPr>
          <w:lang w:val="fr-CA"/>
        </w:rPr>
        <w:t>atelier</w:t>
      </w:r>
      <w:r w:rsidR="00FB0F9B" w:rsidRPr="00206486">
        <w:rPr>
          <w:lang w:val="fr-CA"/>
        </w:rPr>
        <w:t>s</w:t>
      </w:r>
      <w:r w:rsidR="0039010B" w:rsidRPr="00206486">
        <w:rPr>
          <w:lang w:val="fr-CA"/>
        </w:rPr>
        <w:t xml:space="preserve"> et </w:t>
      </w:r>
      <w:r w:rsidR="00D05C56" w:rsidRPr="00206486">
        <w:rPr>
          <w:lang w:val="fr-CA"/>
        </w:rPr>
        <w:t xml:space="preserve">dispensation d’un atelier sur la récupération, le recyclage et la </w:t>
      </w:r>
      <w:r w:rsidRPr="00206486">
        <w:rPr>
          <w:lang w:val="fr-CA"/>
        </w:rPr>
        <w:t>régénération</w:t>
      </w:r>
      <w:r w:rsidR="00FB0F9B" w:rsidRPr="00206486">
        <w:rPr>
          <w:lang w:val="fr-CA"/>
        </w:rPr>
        <w:t xml:space="preserve"> (</w:t>
      </w:r>
      <w:r w:rsidR="00973255" w:rsidRPr="00206486">
        <w:rPr>
          <w:lang w:val="fr-CA"/>
        </w:rPr>
        <w:t>9 </w:t>
      </w:r>
      <w:r w:rsidR="00FB0F9B" w:rsidRPr="00206486">
        <w:rPr>
          <w:lang w:val="fr-CA"/>
        </w:rPr>
        <w:t>500</w:t>
      </w:r>
      <w:r w:rsidR="00D05C56" w:rsidRPr="00206486">
        <w:rPr>
          <w:lang w:val="fr-CA"/>
        </w:rPr>
        <w:t> $US</w:t>
      </w:r>
      <w:r w:rsidR="00FB0F9B" w:rsidRPr="00206486">
        <w:rPr>
          <w:lang w:val="fr-CA"/>
        </w:rPr>
        <w:t xml:space="preserve">); </w:t>
      </w:r>
    </w:p>
    <w:p w:rsidR="00FB0F9B" w:rsidRPr="00206486" w:rsidRDefault="00FB0F9B" w:rsidP="00FB0F9B">
      <w:pPr>
        <w:pStyle w:val="Heading3"/>
        <w:numPr>
          <w:ilvl w:val="2"/>
          <w:numId w:val="1"/>
        </w:numPr>
        <w:rPr>
          <w:lang w:val="fr-CA"/>
        </w:rPr>
      </w:pPr>
      <w:r w:rsidRPr="00206486">
        <w:rPr>
          <w:lang w:val="fr-CA"/>
        </w:rPr>
        <w:t>Promoti</w:t>
      </w:r>
      <w:r w:rsidR="00D05C56" w:rsidRPr="00206486">
        <w:rPr>
          <w:lang w:val="fr-CA"/>
        </w:rPr>
        <w:t>on des</w:t>
      </w:r>
      <w:r w:rsidRPr="00206486">
        <w:rPr>
          <w:lang w:val="fr-CA"/>
        </w:rPr>
        <w:t xml:space="preserve"> </w:t>
      </w:r>
      <w:r w:rsidR="008904C7" w:rsidRPr="00206486">
        <w:rPr>
          <w:lang w:val="fr-CA"/>
        </w:rPr>
        <w:t>bonnes pratiques d’entretien</w:t>
      </w:r>
      <w:r w:rsidR="002B0AAE" w:rsidRPr="00206486">
        <w:rPr>
          <w:lang w:val="fr-CA"/>
        </w:rPr>
        <w:t xml:space="preserve"> : </w:t>
      </w:r>
      <w:r w:rsidRPr="00206486">
        <w:rPr>
          <w:lang w:val="fr-CA"/>
        </w:rPr>
        <w:t>employ</w:t>
      </w:r>
      <w:r w:rsidR="00D05C56" w:rsidRPr="00206486">
        <w:rPr>
          <w:lang w:val="fr-CA"/>
        </w:rPr>
        <w:t>er un consultant international et un consultant national pour dispenser un atelier de formation des formateurs pour</w:t>
      </w:r>
      <w:r w:rsidRPr="00206486">
        <w:rPr>
          <w:lang w:val="fr-CA"/>
        </w:rPr>
        <w:t xml:space="preserve"> 20 </w:t>
      </w:r>
      <w:r w:rsidR="00562770" w:rsidRPr="00206486">
        <w:rPr>
          <w:lang w:val="fr-CA"/>
        </w:rPr>
        <w:t>formateurs</w:t>
      </w:r>
      <w:r w:rsidR="0039010B" w:rsidRPr="00206486">
        <w:rPr>
          <w:lang w:val="fr-CA"/>
        </w:rPr>
        <w:t xml:space="preserve"> et </w:t>
      </w:r>
      <w:r w:rsidR="00D05C56" w:rsidRPr="00206486">
        <w:rPr>
          <w:lang w:val="fr-CA"/>
        </w:rPr>
        <w:t>une session de formation pour</w:t>
      </w:r>
      <w:r w:rsidRPr="00206486">
        <w:rPr>
          <w:lang w:val="fr-CA"/>
        </w:rPr>
        <w:t xml:space="preserve"> 25 </w:t>
      </w:r>
      <w:r w:rsidR="00AA3256" w:rsidRPr="00206486">
        <w:rPr>
          <w:lang w:val="fr-CA"/>
        </w:rPr>
        <w:t>technicien</w:t>
      </w:r>
      <w:r w:rsidRPr="00206486">
        <w:rPr>
          <w:lang w:val="fr-CA"/>
        </w:rPr>
        <w:t>s (2</w:t>
      </w:r>
      <w:r w:rsidR="00973255" w:rsidRPr="00206486">
        <w:rPr>
          <w:lang w:val="fr-CA"/>
        </w:rPr>
        <w:t>9</w:t>
      </w:r>
      <w:r w:rsidR="00562770" w:rsidRPr="00206486">
        <w:rPr>
          <w:lang w:val="fr-CA"/>
        </w:rPr>
        <w:t> 000 $US)</w:t>
      </w:r>
      <w:r w:rsidRPr="00206486">
        <w:rPr>
          <w:lang w:val="fr-CA"/>
        </w:rPr>
        <w:t xml:space="preserve">; </w:t>
      </w:r>
    </w:p>
    <w:p w:rsidR="00FB0F9B" w:rsidRPr="00206486" w:rsidRDefault="00997125" w:rsidP="00FB0F9B">
      <w:pPr>
        <w:pStyle w:val="Heading3"/>
        <w:numPr>
          <w:ilvl w:val="2"/>
          <w:numId w:val="1"/>
        </w:numPr>
        <w:rPr>
          <w:lang w:val="fr-CA"/>
        </w:rPr>
      </w:pPr>
      <w:r w:rsidRPr="00206486">
        <w:rPr>
          <w:lang w:val="fr-CA"/>
        </w:rPr>
        <w:t xml:space="preserve">Établissement d’un système de </w:t>
      </w:r>
      <w:r w:rsidR="00FB0F9B" w:rsidRPr="00206486">
        <w:rPr>
          <w:lang w:val="fr-CA"/>
        </w:rPr>
        <w:t xml:space="preserve">certification </w:t>
      </w:r>
      <w:r w:rsidRPr="00206486">
        <w:rPr>
          <w:lang w:val="fr-CA"/>
        </w:rPr>
        <w:t xml:space="preserve">pour les </w:t>
      </w:r>
      <w:r w:rsidR="004A76B2" w:rsidRPr="00206486">
        <w:rPr>
          <w:lang w:val="fr-CA"/>
        </w:rPr>
        <w:t>techniciens d’entretien</w:t>
      </w:r>
      <w:r w:rsidR="002B0AAE" w:rsidRPr="00206486">
        <w:rPr>
          <w:lang w:val="fr-CA"/>
        </w:rPr>
        <w:t xml:space="preserve"> : </w:t>
      </w:r>
      <w:r w:rsidRPr="00206486">
        <w:rPr>
          <w:lang w:val="fr-CA"/>
        </w:rPr>
        <w:t>emploi d’un consultant international et d’un consultant national</w:t>
      </w:r>
      <w:r w:rsidR="00FB0F9B" w:rsidRPr="00206486">
        <w:rPr>
          <w:lang w:val="fr-CA"/>
        </w:rPr>
        <w:t>, organi</w:t>
      </w:r>
      <w:r w:rsidRPr="00206486">
        <w:rPr>
          <w:lang w:val="fr-CA"/>
        </w:rPr>
        <w:t>sation de</w:t>
      </w:r>
      <w:r w:rsidR="0036336C">
        <w:rPr>
          <w:lang w:val="fr-CA"/>
        </w:rPr>
        <w:t> </w:t>
      </w:r>
      <w:r w:rsidRPr="00206486">
        <w:rPr>
          <w:lang w:val="fr-CA"/>
        </w:rPr>
        <w:t xml:space="preserve">réunions de </w:t>
      </w:r>
      <w:r w:rsidR="00FB0F9B" w:rsidRPr="00206486">
        <w:rPr>
          <w:lang w:val="fr-CA"/>
        </w:rPr>
        <w:t xml:space="preserve">coordination </w:t>
      </w:r>
      <w:r w:rsidRPr="00206486">
        <w:rPr>
          <w:lang w:val="fr-CA"/>
        </w:rPr>
        <w:t>et d’une campagne de sensibilisation</w:t>
      </w:r>
      <w:r w:rsidR="00FB0F9B" w:rsidRPr="00206486">
        <w:rPr>
          <w:lang w:val="fr-CA"/>
        </w:rPr>
        <w:t xml:space="preserve"> (</w:t>
      </w:r>
      <w:r w:rsidR="00BD19D4" w:rsidRPr="00206486">
        <w:rPr>
          <w:lang w:val="fr-CA"/>
        </w:rPr>
        <w:t>6 </w:t>
      </w:r>
      <w:r w:rsidR="00FB0F9B" w:rsidRPr="00206486">
        <w:rPr>
          <w:lang w:val="fr-CA"/>
        </w:rPr>
        <w:t>500</w:t>
      </w:r>
      <w:r w:rsidRPr="00206486">
        <w:rPr>
          <w:lang w:val="fr-CA"/>
        </w:rPr>
        <w:t> $US</w:t>
      </w:r>
      <w:r w:rsidR="00FB0F9B" w:rsidRPr="00206486">
        <w:rPr>
          <w:lang w:val="fr-CA"/>
        </w:rPr>
        <w:t xml:space="preserve">); </w:t>
      </w:r>
    </w:p>
    <w:p w:rsidR="00FB0F9B" w:rsidRPr="00206486" w:rsidRDefault="00997125" w:rsidP="00FB0F9B">
      <w:pPr>
        <w:pStyle w:val="Heading3"/>
        <w:keepNext/>
        <w:widowControl/>
        <w:numPr>
          <w:ilvl w:val="2"/>
          <w:numId w:val="1"/>
        </w:numPr>
        <w:rPr>
          <w:lang w:val="fr-CA"/>
        </w:rPr>
      </w:pPr>
      <w:r w:rsidRPr="00206486">
        <w:rPr>
          <w:lang w:val="fr-CA"/>
        </w:rPr>
        <w:t xml:space="preserve">Emploi d’un consultant national pour visiter les centres éducatifs et élaborer des spécifications techniques pour les </w:t>
      </w:r>
      <w:r w:rsidR="00FB0F9B" w:rsidRPr="00206486">
        <w:rPr>
          <w:lang w:val="fr-CA"/>
        </w:rPr>
        <w:t xml:space="preserve">instruments, </w:t>
      </w:r>
      <w:r w:rsidRPr="00206486">
        <w:rPr>
          <w:lang w:val="fr-CA"/>
        </w:rPr>
        <w:t xml:space="preserve">les </w:t>
      </w:r>
      <w:r w:rsidR="0070671A" w:rsidRPr="00206486">
        <w:rPr>
          <w:lang w:val="fr-CA"/>
        </w:rPr>
        <w:t xml:space="preserve">équipements </w:t>
      </w:r>
      <w:r w:rsidR="0039010B" w:rsidRPr="00206486">
        <w:rPr>
          <w:lang w:val="fr-CA"/>
        </w:rPr>
        <w:t xml:space="preserve">et </w:t>
      </w:r>
      <w:r w:rsidRPr="00206486">
        <w:rPr>
          <w:lang w:val="fr-CA"/>
        </w:rPr>
        <w:t>les outils</w:t>
      </w:r>
      <w:r w:rsidR="00FB0F9B" w:rsidRPr="00206486">
        <w:rPr>
          <w:lang w:val="fr-CA"/>
        </w:rPr>
        <w:t xml:space="preserve"> (1</w:t>
      </w:r>
      <w:r w:rsidR="00BD19D4" w:rsidRPr="00206486">
        <w:rPr>
          <w:lang w:val="fr-CA"/>
        </w:rPr>
        <w:t>4</w:t>
      </w:r>
      <w:r w:rsidR="00562770" w:rsidRPr="00206486">
        <w:rPr>
          <w:lang w:val="fr-CA"/>
        </w:rPr>
        <w:t> 000 $US)</w:t>
      </w:r>
      <w:r w:rsidR="00FB0F9B" w:rsidRPr="00206486">
        <w:rPr>
          <w:lang w:val="fr-CA"/>
        </w:rPr>
        <w:t>;</w:t>
      </w:r>
    </w:p>
    <w:p w:rsidR="00FB0F9B" w:rsidRPr="00206486" w:rsidRDefault="00997125" w:rsidP="00FB0F9B">
      <w:pPr>
        <w:pStyle w:val="Heading3"/>
        <w:numPr>
          <w:ilvl w:val="2"/>
          <w:numId w:val="1"/>
        </w:numPr>
        <w:rPr>
          <w:lang w:val="fr-CA"/>
        </w:rPr>
      </w:pPr>
      <w:r w:rsidRPr="00206486">
        <w:rPr>
          <w:lang w:val="fr-CA"/>
        </w:rPr>
        <w:t xml:space="preserve">Promotion de solutions de remplacement </w:t>
      </w:r>
      <w:r w:rsidR="00677924" w:rsidRPr="00206486">
        <w:rPr>
          <w:lang w:val="fr-CA"/>
        </w:rPr>
        <w:t>à faible potentiel de réchauffement de la planète</w:t>
      </w:r>
      <w:r w:rsidR="00FB0F9B" w:rsidRPr="00206486">
        <w:rPr>
          <w:lang w:val="fr-CA"/>
        </w:rPr>
        <w:t xml:space="preserve"> </w:t>
      </w:r>
      <w:r w:rsidRPr="00206486">
        <w:rPr>
          <w:lang w:val="fr-CA"/>
        </w:rPr>
        <w:t xml:space="preserve">pour les </w:t>
      </w:r>
      <w:r w:rsidR="00677924" w:rsidRPr="00206486">
        <w:rPr>
          <w:lang w:val="fr-CA"/>
        </w:rPr>
        <w:t>supermarché</w:t>
      </w:r>
      <w:r w:rsidR="00FB0F9B" w:rsidRPr="00206486">
        <w:rPr>
          <w:lang w:val="fr-CA"/>
        </w:rPr>
        <w:t>s</w:t>
      </w:r>
      <w:r w:rsidR="0039010B" w:rsidRPr="00206486">
        <w:rPr>
          <w:lang w:val="fr-CA"/>
        </w:rPr>
        <w:t xml:space="preserve"> et </w:t>
      </w:r>
      <w:r w:rsidRPr="00206486">
        <w:rPr>
          <w:lang w:val="fr-CA"/>
        </w:rPr>
        <w:t xml:space="preserve">les </w:t>
      </w:r>
      <w:r w:rsidR="00677924" w:rsidRPr="00206486">
        <w:rPr>
          <w:lang w:val="fr-CA"/>
        </w:rPr>
        <w:t>hôtels</w:t>
      </w:r>
      <w:r w:rsidR="002B0AAE" w:rsidRPr="00206486">
        <w:rPr>
          <w:lang w:val="fr-CA"/>
        </w:rPr>
        <w:t xml:space="preserve"> : </w:t>
      </w:r>
      <w:r w:rsidRPr="00206486">
        <w:rPr>
          <w:lang w:val="fr-CA"/>
        </w:rPr>
        <w:t xml:space="preserve">procéder à une consultation nationale, à des visites et à la sélection des </w:t>
      </w:r>
      <w:r w:rsidR="004A76B2" w:rsidRPr="00206486">
        <w:rPr>
          <w:lang w:val="fr-CA"/>
        </w:rPr>
        <w:t>intéressés</w:t>
      </w:r>
      <w:r w:rsidR="00FB0F9B" w:rsidRPr="00206486">
        <w:rPr>
          <w:lang w:val="fr-CA"/>
        </w:rPr>
        <w:t xml:space="preserve">, </w:t>
      </w:r>
      <w:r w:rsidRPr="00206486">
        <w:rPr>
          <w:lang w:val="fr-CA"/>
        </w:rPr>
        <w:t>préparer le manuel de</w:t>
      </w:r>
      <w:r w:rsidR="0036336C">
        <w:rPr>
          <w:lang w:val="fr-CA"/>
        </w:rPr>
        <w:t> </w:t>
      </w:r>
      <w:r w:rsidRPr="00206486">
        <w:rPr>
          <w:lang w:val="fr-CA"/>
        </w:rPr>
        <w:t>formation et dispenser un séminaire sur la transition à des technologies</w:t>
      </w:r>
      <w:r w:rsidR="00FB0F9B" w:rsidRPr="00206486">
        <w:rPr>
          <w:lang w:val="fr-CA"/>
        </w:rPr>
        <w:t xml:space="preserve"> </w:t>
      </w:r>
      <w:r w:rsidR="00677924" w:rsidRPr="00206486">
        <w:rPr>
          <w:lang w:val="fr-CA"/>
        </w:rPr>
        <w:t>à</w:t>
      </w:r>
      <w:r w:rsidR="0036336C">
        <w:rPr>
          <w:lang w:val="fr-CA"/>
        </w:rPr>
        <w:t> </w:t>
      </w:r>
      <w:r w:rsidR="00677924" w:rsidRPr="00206486">
        <w:rPr>
          <w:lang w:val="fr-CA"/>
        </w:rPr>
        <w:t>faible potentiel de réchauffement de la planète</w:t>
      </w:r>
      <w:r w:rsidR="00FB0F9B" w:rsidRPr="00206486">
        <w:rPr>
          <w:lang w:val="fr-CA"/>
        </w:rPr>
        <w:t xml:space="preserve"> (</w:t>
      </w:r>
      <w:r w:rsidR="00BD19D4" w:rsidRPr="00206486">
        <w:rPr>
          <w:lang w:val="fr-CA"/>
        </w:rPr>
        <w:t>6 </w:t>
      </w:r>
      <w:r w:rsidR="00FB0F9B" w:rsidRPr="00206486">
        <w:rPr>
          <w:lang w:val="fr-CA"/>
        </w:rPr>
        <w:t>400</w:t>
      </w:r>
      <w:r w:rsidRPr="00206486">
        <w:rPr>
          <w:lang w:val="fr-CA"/>
        </w:rPr>
        <w:t> $US</w:t>
      </w:r>
      <w:r w:rsidR="00FB0F9B" w:rsidRPr="00206486">
        <w:rPr>
          <w:lang w:val="fr-CA"/>
        </w:rPr>
        <w:t xml:space="preserve">); </w:t>
      </w:r>
    </w:p>
    <w:p w:rsidR="00FB0F9B" w:rsidRDefault="00997125" w:rsidP="00FB0F9B">
      <w:pPr>
        <w:pStyle w:val="Heading3"/>
        <w:keepNext/>
        <w:widowControl/>
        <w:numPr>
          <w:ilvl w:val="2"/>
          <w:numId w:val="1"/>
        </w:numPr>
        <w:rPr>
          <w:lang w:val="fr-CA"/>
        </w:rPr>
      </w:pPr>
      <w:r w:rsidRPr="00206486">
        <w:rPr>
          <w:lang w:val="fr-CA"/>
        </w:rPr>
        <w:t xml:space="preserve">Élimination de l’utilisation du </w:t>
      </w:r>
      <w:r w:rsidR="0060390D" w:rsidRPr="00206486">
        <w:rPr>
          <w:lang w:val="fr-CA"/>
        </w:rPr>
        <w:t>HCFC</w:t>
      </w:r>
      <w:r w:rsidR="00FB0F9B" w:rsidRPr="00206486">
        <w:rPr>
          <w:lang w:val="fr-CA"/>
        </w:rPr>
        <w:t xml:space="preserve">-141b </w:t>
      </w:r>
      <w:r w:rsidRPr="00206486">
        <w:rPr>
          <w:lang w:val="fr-CA"/>
        </w:rPr>
        <w:t>dans le nettoyage des équipements de</w:t>
      </w:r>
      <w:r w:rsidR="0036336C">
        <w:rPr>
          <w:lang w:val="fr-CA"/>
        </w:rPr>
        <w:t> </w:t>
      </w:r>
      <w:r w:rsidRPr="00206486">
        <w:rPr>
          <w:lang w:val="fr-CA"/>
        </w:rPr>
        <w:t xml:space="preserve">climatisation individuels (RAC) </w:t>
      </w:r>
      <w:r w:rsidR="002B0AAE" w:rsidRPr="00206486">
        <w:rPr>
          <w:lang w:val="fr-CA"/>
        </w:rPr>
        <w:t xml:space="preserve">: </w:t>
      </w:r>
      <w:r w:rsidRPr="00206486">
        <w:rPr>
          <w:lang w:val="fr-CA"/>
        </w:rPr>
        <w:t>emploi d’un consultant international et d’un</w:t>
      </w:r>
      <w:r w:rsidR="0036336C">
        <w:rPr>
          <w:lang w:val="fr-CA"/>
        </w:rPr>
        <w:t> </w:t>
      </w:r>
      <w:r w:rsidRPr="00206486">
        <w:rPr>
          <w:lang w:val="fr-CA"/>
        </w:rPr>
        <w:t>consultant national</w:t>
      </w:r>
      <w:r w:rsidR="0039010B" w:rsidRPr="00206486">
        <w:rPr>
          <w:lang w:val="fr-CA"/>
        </w:rPr>
        <w:t xml:space="preserve"> et </w:t>
      </w:r>
      <w:r w:rsidRPr="00206486">
        <w:rPr>
          <w:lang w:val="fr-CA"/>
        </w:rPr>
        <w:t>dispensation d’un atelier de formation des</w:t>
      </w:r>
      <w:r w:rsidR="00FB0F9B" w:rsidRPr="00206486">
        <w:rPr>
          <w:lang w:val="fr-CA"/>
        </w:rPr>
        <w:t xml:space="preserve"> </w:t>
      </w:r>
      <w:r w:rsidR="00562770" w:rsidRPr="00206486">
        <w:rPr>
          <w:lang w:val="fr-CA"/>
        </w:rPr>
        <w:t>formateurs</w:t>
      </w:r>
      <w:r w:rsidR="00FB0F9B" w:rsidRPr="00206486">
        <w:rPr>
          <w:lang w:val="fr-CA"/>
        </w:rPr>
        <w:t xml:space="preserve"> </w:t>
      </w:r>
      <w:r w:rsidRPr="00206486">
        <w:rPr>
          <w:lang w:val="fr-CA"/>
        </w:rPr>
        <w:lastRenderedPageBreak/>
        <w:t xml:space="preserve">sur l’utilisation de solutions de remplacement pour le nettoyage d’équipements  </w:t>
      </w:r>
      <w:r w:rsidR="00FB0F9B" w:rsidRPr="00206486">
        <w:rPr>
          <w:lang w:val="fr-CA"/>
        </w:rPr>
        <w:t>RAC (2</w:t>
      </w:r>
      <w:r w:rsidR="00BD19D4" w:rsidRPr="00206486">
        <w:rPr>
          <w:lang w:val="fr-CA"/>
        </w:rPr>
        <w:t>6</w:t>
      </w:r>
      <w:r w:rsidR="00562770" w:rsidRPr="00206486">
        <w:rPr>
          <w:lang w:val="fr-CA"/>
        </w:rPr>
        <w:t> 000 $US)</w:t>
      </w:r>
      <w:r w:rsidR="00677924" w:rsidRPr="00206486">
        <w:rPr>
          <w:lang w:val="fr-CA"/>
        </w:rPr>
        <w:t>; et</w:t>
      </w:r>
    </w:p>
    <w:p w:rsidR="0036336C" w:rsidRPr="0036336C" w:rsidRDefault="0036336C" w:rsidP="0036336C">
      <w:pPr>
        <w:rPr>
          <w:lang w:val="fr-CA"/>
        </w:rPr>
      </w:pPr>
    </w:p>
    <w:p w:rsidR="00FB0F9B" w:rsidRPr="00206486" w:rsidRDefault="00997125" w:rsidP="00FB0F9B">
      <w:pPr>
        <w:pStyle w:val="Heading2"/>
        <w:numPr>
          <w:ilvl w:val="1"/>
          <w:numId w:val="1"/>
        </w:numPr>
        <w:rPr>
          <w:lang w:val="fr-CA"/>
        </w:rPr>
      </w:pPr>
      <w:r w:rsidRPr="00206486">
        <w:rPr>
          <w:lang w:val="fr-CA"/>
        </w:rPr>
        <w:t>Activités de sensibilisation du p</w:t>
      </w:r>
      <w:r w:rsidR="00FB0F9B" w:rsidRPr="00206486">
        <w:rPr>
          <w:lang w:val="fr-CA"/>
        </w:rPr>
        <w:t>ublic</w:t>
      </w:r>
      <w:r w:rsidRPr="00206486">
        <w:rPr>
          <w:lang w:val="fr-CA"/>
        </w:rPr>
        <w:t xml:space="preserve"> sur l’élimination des</w:t>
      </w:r>
      <w:r w:rsidR="00FB0F9B" w:rsidRPr="00206486">
        <w:rPr>
          <w:lang w:val="fr-CA"/>
        </w:rPr>
        <w:t xml:space="preserve"> HCFC</w:t>
      </w:r>
      <w:r w:rsidR="002B0AAE" w:rsidRPr="00206486">
        <w:rPr>
          <w:lang w:val="fr-CA"/>
        </w:rPr>
        <w:t> :</w:t>
      </w:r>
      <w:r w:rsidRPr="00206486">
        <w:rPr>
          <w:lang w:val="fr-CA"/>
        </w:rPr>
        <w:t xml:space="preserve"> emploi d’un</w:t>
      </w:r>
      <w:r w:rsidR="0036336C">
        <w:rPr>
          <w:lang w:val="fr-CA"/>
        </w:rPr>
        <w:t> </w:t>
      </w:r>
      <w:r w:rsidRPr="00206486">
        <w:rPr>
          <w:lang w:val="fr-CA"/>
        </w:rPr>
        <w:t xml:space="preserve">consultant national pour une campagne d’accroissement de la sensibilisation </w:t>
      </w:r>
      <w:r w:rsidR="0036336C" w:rsidRPr="008F78B0">
        <w:rPr>
          <w:lang w:val="fr-FR"/>
        </w:rPr>
        <w:t>à </w:t>
      </w:r>
      <w:r w:rsidRPr="00206486">
        <w:rPr>
          <w:lang w:val="fr-CA"/>
        </w:rPr>
        <w:t xml:space="preserve">l’élimination des </w:t>
      </w:r>
      <w:r w:rsidR="00FB0F9B" w:rsidRPr="00206486">
        <w:rPr>
          <w:lang w:val="fr-CA"/>
        </w:rPr>
        <w:t>HCFC (</w:t>
      </w:r>
      <w:r w:rsidR="00973255" w:rsidRPr="00206486">
        <w:rPr>
          <w:lang w:val="fr-CA"/>
        </w:rPr>
        <w:t>9</w:t>
      </w:r>
      <w:r w:rsidR="00562770" w:rsidRPr="00206486">
        <w:rPr>
          <w:lang w:val="fr-CA"/>
        </w:rPr>
        <w:t> 000 $US)</w:t>
      </w:r>
      <w:r w:rsidR="00FB0F9B" w:rsidRPr="00206486">
        <w:rPr>
          <w:lang w:val="fr-CA"/>
        </w:rPr>
        <w:t xml:space="preserve">. </w:t>
      </w:r>
    </w:p>
    <w:p w:rsidR="00FB0F9B" w:rsidRPr="00206486" w:rsidRDefault="00997125" w:rsidP="00FB0F9B">
      <w:pPr>
        <w:spacing w:after="240"/>
        <w:rPr>
          <w:u w:val="single"/>
          <w:lang w:val="fr-CA"/>
        </w:rPr>
      </w:pPr>
      <w:r w:rsidRPr="00206486">
        <w:rPr>
          <w:u w:val="single"/>
          <w:lang w:val="fr-CA"/>
        </w:rPr>
        <w:t>Groupe de gestion des projets (</w:t>
      </w:r>
      <w:r w:rsidR="00FB0F9B" w:rsidRPr="00206486">
        <w:rPr>
          <w:u w:val="single"/>
          <w:lang w:val="fr-CA"/>
        </w:rPr>
        <w:t>PMU</w:t>
      </w:r>
      <w:r w:rsidRPr="00206486">
        <w:rPr>
          <w:u w:val="single"/>
          <w:lang w:val="fr-CA"/>
        </w:rPr>
        <w:t>)</w:t>
      </w:r>
    </w:p>
    <w:p w:rsidR="008F0E2B" w:rsidRPr="00DC3E5B" w:rsidRDefault="00AA3256" w:rsidP="008F0E2B">
      <w:pPr>
        <w:pStyle w:val="Heading1"/>
        <w:tabs>
          <w:tab w:val="clear" w:pos="0"/>
        </w:tabs>
        <w:rPr>
          <w:lang w:val="fr-CA"/>
        </w:rPr>
      </w:pPr>
      <w:r w:rsidRPr="00206486">
        <w:rPr>
          <w:lang w:val="fr-CA"/>
        </w:rPr>
        <w:t>Les activités</w:t>
      </w:r>
      <w:r w:rsidR="00FB0F9B" w:rsidRPr="00206486">
        <w:rPr>
          <w:lang w:val="fr-CA"/>
        </w:rPr>
        <w:t xml:space="preserve"> </w:t>
      </w:r>
      <w:r w:rsidR="00997125" w:rsidRPr="00206486">
        <w:rPr>
          <w:lang w:val="fr-CA"/>
        </w:rPr>
        <w:t xml:space="preserve">effectuées par le </w:t>
      </w:r>
      <w:r w:rsidR="00FB0F9B" w:rsidRPr="00206486">
        <w:rPr>
          <w:lang w:val="fr-CA"/>
        </w:rPr>
        <w:t xml:space="preserve">PMU </w:t>
      </w:r>
      <w:r w:rsidR="00997125" w:rsidRPr="00206486">
        <w:rPr>
          <w:lang w:val="fr-CA"/>
        </w:rPr>
        <w:t xml:space="preserve">comprennent l’emploi d’un </w:t>
      </w:r>
      <w:r w:rsidR="00FB0F9B" w:rsidRPr="00206486">
        <w:rPr>
          <w:lang w:val="fr-CA"/>
        </w:rPr>
        <w:t>consultant (1</w:t>
      </w:r>
      <w:r w:rsidR="00BD19D4" w:rsidRPr="00206486">
        <w:rPr>
          <w:lang w:val="fr-CA"/>
        </w:rPr>
        <w:t>3 </w:t>
      </w:r>
      <w:r w:rsidR="00FB0F9B" w:rsidRPr="00206486">
        <w:rPr>
          <w:lang w:val="fr-CA"/>
        </w:rPr>
        <w:t>200</w:t>
      </w:r>
      <w:r w:rsidR="00997125" w:rsidRPr="00206486">
        <w:rPr>
          <w:lang w:val="fr-CA"/>
        </w:rPr>
        <w:t> $US</w:t>
      </w:r>
      <w:r w:rsidR="00FB0F9B" w:rsidRPr="00206486">
        <w:rPr>
          <w:lang w:val="fr-CA"/>
        </w:rPr>
        <w:t xml:space="preserve">), </w:t>
      </w:r>
      <w:r w:rsidR="00997125" w:rsidRPr="00206486">
        <w:rPr>
          <w:lang w:val="fr-CA"/>
        </w:rPr>
        <w:t xml:space="preserve">la tenue de </w:t>
      </w:r>
      <w:r w:rsidR="0039010B" w:rsidRPr="00206486">
        <w:rPr>
          <w:lang w:val="fr-CA"/>
        </w:rPr>
        <w:t>réunion</w:t>
      </w:r>
      <w:r w:rsidR="00FB0F9B" w:rsidRPr="00206486">
        <w:rPr>
          <w:lang w:val="fr-CA"/>
        </w:rPr>
        <w:t xml:space="preserve">s </w:t>
      </w:r>
      <w:r w:rsidR="00997125" w:rsidRPr="00206486">
        <w:rPr>
          <w:lang w:val="fr-CA"/>
        </w:rPr>
        <w:t>avec les</w:t>
      </w:r>
      <w:r w:rsidR="00FB0F9B" w:rsidRPr="00206486">
        <w:rPr>
          <w:lang w:val="fr-CA"/>
        </w:rPr>
        <w:t xml:space="preserve"> </w:t>
      </w:r>
      <w:r w:rsidR="004A76B2" w:rsidRPr="00206486">
        <w:rPr>
          <w:lang w:val="fr-CA"/>
        </w:rPr>
        <w:t>intéressés</w:t>
      </w:r>
      <w:r w:rsidR="00FB0F9B" w:rsidRPr="00206486">
        <w:rPr>
          <w:lang w:val="fr-CA"/>
        </w:rPr>
        <w:t xml:space="preserve"> (</w:t>
      </w:r>
      <w:r w:rsidR="00BD19D4" w:rsidRPr="00206486">
        <w:rPr>
          <w:lang w:val="fr-CA"/>
        </w:rPr>
        <w:t>2 </w:t>
      </w:r>
      <w:r w:rsidR="00FB0F9B" w:rsidRPr="00206486">
        <w:rPr>
          <w:lang w:val="fr-CA"/>
        </w:rPr>
        <w:t>500</w:t>
      </w:r>
      <w:r w:rsidR="00997125" w:rsidRPr="00206486">
        <w:rPr>
          <w:lang w:val="fr-CA"/>
        </w:rPr>
        <w:t> $US</w:t>
      </w:r>
      <w:r w:rsidR="00FB0F9B" w:rsidRPr="00206486">
        <w:rPr>
          <w:lang w:val="fr-CA"/>
        </w:rPr>
        <w:t>),</w:t>
      </w:r>
      <w:r w:rsidR="0039010B" w:rsidRPr="00206486">
        <w:rPr>
          <w:lang w:val="fr-CA"/>
        </w:rPr>
        <w:t xml:space="preserve"> et</w:t>
      </w:r>
      <w:r w:rsidR="00997125" w:rsidRPr="00206486">
        <w:rPr>
          <w:lang w:val="fr-CA"/>
        </w:rPr>
        <w:t xml:space="preserve"> la préparation du rapport annuel de </w:t>
      </w:r>
      <w:r w:rsidR="00395AAE" w:rsidRPr="00206486">
        <w:rPr>
          <w:lang w:val="fr-CA"/>
        </w:rPr>
        <w:t>mise en oeuvre</w:t>
      </w:r>
      <w:r w:rsidR="00CC6054">
        <w:rPr>
          <w:lang w:val="fr-CA"/>
        </w:rPr>
        <w:t xml:space="preserve"> e</w:t>
      </w:r>
      <w:r w:rsidR="00997125" w:rsidRPr="00206486">
        <w:rPr>
          <w:lang w:val="fr-CA"/>
        </w:rPr>
        <w:t>t</w:t>
      </w:r>
      <w:r w:rsidR="00CC6054">
        <w:rPr>
          <w:lang w:val="fr-CA"/>
        </w:rPr>
        <w:t xml:space="preserve"> l</w:t>
      </w:r>
      <w:r w:rsidR="00997125" w:rsidRPr="00206486">
        <w:rPr>
          <w:lang w:val="fr-CA"/>
        </w:rPr>
        <w:t>e</w:t>
      </w:r>
      <w:r w:rsidR="0036336C">
        <w:rPr>
          <w:lang w:val="fr-CA"/>
        </w:rPr>
        <w:t> </w:t>
      </w:r>
      <w:r w:rsidR="00997125" w:rsidRPr="00206486">
        <w:rPr>
          <w:lang w:val="fr-CA"/>
        </w:rPr>
        <w:t xml:space="preserve">rapport de la mise en oeuvre de la </w:t>
      </w:r>
      <w:r w:rsidR="00FB0F9B" w:rsidRPr="00206486">
        <w:rPr>
          <w:lang w:val="fr-CA"/>
        </w:rPr>
        <w:t xml:space="preserve">tranche </w:t>
      </w:r>
      <w:r w:rsidR="0039010B" w:rsidRPr="00206486">
        <w:rPr>
          <w:lang w:val="fr-CA"/>
        </w:rPr>
        <w:t xml:space="preserve">et </w:t>
      </w:r>
      <w:r w:rsidR="00997125" w:rsidRPr="00206486">
        <w:rPr>
          <w:lang w:val="fr-CA"/>
        </w:rPr>
        <w:t>autres imprévus</w:t>
      </w:r>
      <w:r w:rsidR="00FB0F9B" w:rsidRPr="00206486">
        <w:rPr>
          <w:lang w:val="fr-CA"/>
        </w:rPr>
        <w:t xml:space="preserve"> (</w:t>
      </w:r>
      <w:r w:rsidR="00BD19D4" w:rsidRPr="00206486">
        <w:rPr>
          <w:lang w:val="fr-CA"/>
        </w:rPr>
        <w:t>2 </w:t>
      </w:r>
      <w:r w:rsidR="00FB0F9B" w:rsidRPr="00206486">
        <w:rPr>
          <w:lang w:val="fr-CA"/>
        </w:rPr>
        <w:t>500</w:t>
      </w:r>
      <w:r w:rsidR="00997125" w:rsidRPr="00206486">
        <w:rPr>
          <w:lang w:val="fr-CA"/>
        </w:rPr>
        <w:t> $US</w:t>
      </w:r>
      <w:r w:rsidR="00FB0F9B" w:rsidRPr="00206486">
        <w:rPr>
          <w:lang w:val="fr-CA"/>
        </w:rPr>
        <w:t>).</w:t>
      </w:r>
    </w:p>
    <w:p w:rsidR="00FB0F9B" w:rsidRPr="00206486" w:rsidRDefault="001B242D" w:rsidP="00FB0F9B">
      <w:pPr>
        <w:spacing w:after="240"/>
        <w:jc w:val="center"/>
        <w:rPr>
          <w:b/>
          <w:lang w:val="fr-CA"/>
        </w:rPr>
      </w:pPr>
      <w:r w:rsidRPr="00206486">
        <w:rPr>
          <w:b/>
          <w:lang w:val="fr-CA"/>
        </w:rPr>
        <w:t>OBSERVATIONS</w:t>
      </w:r>
      <w:r w:rsidR="0039010B" w:rsidRPr="00206486">
        <w:rPr>
          <w:b/>
          <w:lang w:val="fr-CA"/>
        </w:rPr>
        <w:t xml:space="preserve"> </w:t>
      </w:r>
      <w:r w:rsidRPr="00206486">
        <w:rPr>
          <w:b/>
          <w:lang w:val="fr-CA"/>
        </w:rPr>
        <w:t>ET</w:t>
      </w:r>
      <w:r w:rsidR="0039010B" w:rsidRPr="00206486">
        <w:rPr>
          <w:b/>
          <w:lang w:val="fr-CA"/>
        </w:rPr>
        <w:t xml:space="preserve"> </w:t>
      </w:r>
      <w:r w:rsidR="00FB0F9B" w:rsidRPr="00206486">
        <w:rPr>
          <w:b/>
          <w:lang w:val="fr-CA"/>
        </w:rPr>
        <w:t>RECOMM</w:t>
      </w:r>
      <w:r w:rsidRPr="00206486">
        <w:rPr>
          <w:b/>
          <w:lang w:val="fr-CA"/>
        </w:rPr>
        <w:t>A</w:t>
      </w:r>
      <w:r w:rsidR="00FB0F9B" w:rsidRPr="00206486">
        <w:rPr>
          <w:b/>
          <w:lang w:val="fr-CA"/>
        </w:rPr>
        <w:t>NDATION</w:t>
      </w:r>
      <w:r w:rsidRPr="00206486">
        <w:rPr>
          <w:b/>
          <w:lang w:val="fr-CA"/>
        </w:rPr>
        <w:t xml:space="preserve"> DU SECRÉTARIAT</w:t>
      </w:r>
    </w:p>
    <w:p w:rsidR="00FB0F9B" w:rsidRPr="00206486" w:rsidRDefault="001B242D" w:rsidP="00FB0F9B">
      <w:pPr>
        <w:spacing w:after="240"/>
        <w:rPr>
          <w:b/>
          <w:lang w:val="fr-CA"/>
        </w:rPr>
      </w:pPr>
      <w:r w:rsidRPr="00206486">
        <w:rPr>
          <w:b/>
          <w:lang w:val="fr-CA"/>
        </w:rPr>
        <w:t>OBSERVATIONS</w:t>
      </w:r>
    </w:p>
    <w:p w:rsidR="00FB0F9B" w:rsidRPr="00206486" w:rsidRDefault="00FB0F9B" w:rsidP="00FB0F9B">
      <w:pPr>
        <w:spacing w:after="240"/>
        <w:rPr>
          <w:u w:val="single"/>
          <w:lang w:val="fr-CA"/>
        </w:rPr>
      </w:pPr>
      <w:r w:rsidRPr="00206486">
        <w:rPr>
          <w:u w:val="single"/>
          <w:lang w:val="fr-CA"/>
        </w:rPr>
        <w:t>R</w:t>
      </w:r>
      <w:r w:rsidR="00C4290D" w:rsidRPr="00206486">
        <w:rPr>
          <w:u w:val="single"/>
          <w:lang w:val="fr-CA"/>
        </w:rPr>
        <w:t xml:space="preserve">églementation pour le soutien de l’élimination des </w:t>
      </w:r>
      <w:r w:rsidRPr="00206486">
        <w:rPr>
          <w:u w:val="single"/>
          <w:lang w:val="fr-CA"/>
        </w:rPr>
        <w:t xml:space="preserve">HCFC </w:t>
      </w:r>
    </w:p>
    <w:p w:rsidR="00FB0F9B" w:rsidRPr="00206486" w:rsidRDefault="0039010B" w:rsidP="00FB0F9B">
      <w:pPr>
        <w:pStyle w:val="Heading1"/>
        <w:rPr>
          <w:lang w:val="fr-CA"/>
        </w:rPr>
      </w:pPr>
      <w:r w:rsidRPr="00206486">
        <w:rPr>
          <w:color w:val="000000" w:themeColor="text1"/>
          <w:lang w:val="fr-CA"/>
        </w:rPr>
        <w:t>Le gouvernement du Costa Rica</w:t>
      </w:r>
      <w:r w:rsidR="003B6C77" w:rsidRPr="00206486">
        <w:rPr>
          <w:color w:val="000000" w:themeColor="text1"/>
          <w:lang w:val="fr-CA"/>
        </w:rPr>
        <w:t xml:space="preserve"> a établi</w:t>
      </w:r>
      <w:r w:rsidR="00FB0F9B" w:rsidRPr="00206486">
        <w:rPr>
          <w:color w:val="000000" w:themeColor="text1"/>
          <w:lang w:val="fr-CA"/>
        </w:rPr>
        <w:t xml:space="preserve"> </w:t>
      </w:r>
      <w:r w:rsidR="00C4290D" w:rsidRPr="00206486">
        <w:rPr>
          <w:color w:val="000000" w:themeColor="text1"/>
          <w:lang w:val="fr-CA"/>
        </w:rPr>
        <w:t>des règlements visant à interdire l’importation d’</w:t>
      </w:r>
      <w:r w:rsidR="00F8445E" w:rsidRPr="00206486">
        <w:rPr>
          <w:color w:val="000000" w:themeColor="text1"/>
          <w:lang w:val="fr-CA"/>
        </w:rPr>
        <w:t>équipements avec HCFC</w:t>
      </w:r>
      <w:r w:rsidR="00FB0F9B" w:rsidRPr="00206486">
        <w:rPr>
          <w:color w:val="000000" w:themeColor="text1"/>
          <w:lang w:val="fr-CA"/>
        </w:rPr>
        <w:t xml:space="preserve"> </w:t>
      </w:r>
      <w:r w:rsidR="00C4290D" w:rsidRPr="00206486">
        <w:rPr>
          <w:color w:val="000000" w:themeColor="text1"/>
          <w:lang w:val="fr-CA"/>
        </w:rPr>
        <w:t xml:space="preserve">à compter du </w:t>
      </w:r>
      <w:r w:rsidR="00FB0F9B" w:rsidRPr="00206486">
        <w:rPr>
          <w:color w:val="000000" w:themeColor="text1"/>
          <w:lang w:val="fr-CA"/>
        </w:rPr>
        <w:t>1</w:t>
      </w:r>
      <w:r w:rsidR="003B6C77" w:rsidRPr="00206486">
        <w:rPr>
          <w:color w:val="000000" w:themeColor="text1"/>
          <w:lang w:val="fr-CA"/>
        </w:rPr>
        <w:t xml:space="preserve"> janvier</w:t>
      </w:r>
      <w:r w:rsidR="00FB0F9B" w:rsidRPr="00206486">
        <w:rPr>
          <w:color w:val="000000" w:themeColor="text1"/>
          <w:lang w:val="fr-CA"/>
        </w:rPr>
        <w:t xml:space="preserve"> 202</w:t>
      </w:r>
      <w:r w:rsidR="00973255" w:rsidRPr="00206486">
        <w:rPr>
          <w:color w:val="000000" w:themeColor="text1"/>
          <w:lang w:val="fr-CA"/>
        </w:rPr>
        <w:t>0</w:t>
      </w:r>
      <w:r w:rsidR="00C4290D" w:rsidRPr="00206486">
        <w:rPr>
          <w:color w:val="000000" w:themeColor="text1"/>
          <w:lang w:val="fr-CA"/>
        </w:rPr>
        <w:t>.</w:t>
      </w:r>
      <w:r w:rsidR="00FB0F9B" w:rsidRPr="00206486">
        <w:rPr>
          <w:color w:val="000000" w:themeColor="text1"/>
          <w:lang w:val="fr-CA"/>
        </w:rPr>
        <w:t xml:space="preserve"> </w:t>
      </w:r>
      <w:r w:rsidR="00F8445E" w:rsidRPr="00206486">
        <w:rPr>
          <w:color w:val="000000" w:themeColor="text1"/>
          <w:lang w:val="fr-CA"/>
        </w:rPr>
        <w:t>Le gouvernement</w:t>
      </w:r>
      <w:r w:rsidR="003B6C77" w:rsidRPr="00206486">
        <w:rPr>
          <w:color w:val="000000" w:themeColor="text1"/>
          <w:lang w:val="fr-CA"/>
        </w:rPr>
        <w:t xml:space="preserve"> </w:t>
      </w:r>
      <w:r w:rsidR="00C4290D" w:rsidRPr="00206486">
        <w:rPr>
          <w:color w:val="000000" w:themeColor="text1"/>
          <w:lang w:val="fr-CA"/>
        </w:rPr>
        <w:t xml:space="preserve">propose aussi l’interdiction des </w:t>
      </w:r>
      <w:r w:rsidR="00F8445E" w:rsidRPr="00206486">
        <w:rPr>
          <w:lang w:val="fr-CA"/>
        </w:rPr>
        <w:t>importations</w:t>
      </w:r>
      <w:r w:rsidR="00FB0F9B" w:rsidRPr="00206486">
        <w:rPr>
          <w:lang w:val="fr-CA"/>
        </w:rPr>
        <w:t xml:space="preserve"> </w:t>
      </w:r>
      <w:r w:rsidR="0060390D" w:rsidRPr="00206486">
        <w:rPr>
          <w:lang w:val="fr-CA"/>
        </w:rPr>
        <w:t>de HCFC</w:t>
      </w:r>
      <w:r w:rsidR="00FB0F9B" w:rsidRPr="00206486">
        <w:rPr>
          <w:lang w:val="fr-CA"/>
        </w:rPr>
        <w:noBreakHyphen/>
        <w:t xml:space="preserve">141b </w:t>
      </w:r>
      <w:r w:rsidRPr="00206486">
        <w:rPr>
          <w:lang w:val="fr-CA"/>
        </w:rPr>
        <w:t>contenu</w:t>
      </w:r>
      <w:r w:rsidR="00FB0F9B" w:rsidRPr="00206486">
        <w:rPr>
          <w:lang w:val="fr-CA"/>
        </w:rPr>
        <w:t xml:space="preserve"> </w:t>
      </w:r>
      <w:r w:rsidR="00C4290D" w:rsidRPr="00206486">
        <w:rPr>
          <w:lang w:val="fr-CA"/>
        </w:rPr>
        <w:t>dans les endroits où se retrouvent des</w:t>
      </w:r>
      <w:r w:rsidR="00FB0F9B" w:rsidRPr="00206486">
        <w:rPr>
          <w:lang w:val="fr-CA"/>
        </w:rPr>
        <w:t xml:space="preserve"> </w:t>
      </w:r>
      <w:r w:rsidR="00EB2126" w:rsidRPr="00206486">
        <w:rPr>
          <w:lang w:val="fr-CA"/>
        </w:rPr>
        <w:t>polyols prémélangés</w:t>
      </w:r>
      <w:r w:rsidR="00FB0F9B" w:rsidRPr="00206486">
        <w:rPr>
          <w:lang w:val="fr-CA"/>
        </w:rPr>
        <w:t xml:space="preserve"> </w:t>
      </w:r>
      <w:r w:rsidR="00C4290D" w:rsidRPr="00206486">
        <w:rPr>
          <w:lang w:val="fr-CA"/>
        </w:rPr>
        <w:t>dès</w:t>
      </w:r>
      <w:r w:rsidR="00CC6054">
        <w:rPr>
          <w:lang w:val="fr-CA"/>
        </w:rPr>
        <w:t> </w:t>
      </w:r>
      <w:r w:rsidR="00C4290D" w:rsidRPr="00206486">
        <w:rPr>
          <w:lang w:val="fr-CA"/>
        </w:rPr>
        <w:t xml:space="preserve">que la </w:t>
      </w:r>
      <w:r w:rsidR="00AA3256" w:rsidRPr="00206486">
        <w:rPr>
          <w:lang w:val="fr-CA"/>
        </w:rPr>
        <w:t>reconversion</w:t>
      </w:r>
      <w:r w:rsidR="00FB0F9B" w:rsidRPr="00206486">
        <w:rPr>
          <w:lang w:val="fr-CA"/>
        </w:rPr>
        <w:t xml:space="preserve"> </w:t>
      </w:r>
      <w:r w:rsidR="00C4290D" w:rsidRPr="00206486">
        <w:rPr>
          <w:lang w:val="fr-CA"/>
        </w:rPr>
        <w:t>de</w:t>
      </w:r>
      <w:r w:rsidR="00FB0F9B" w:rsidRPr="00206486">
        <w:rPr>
          <w:lang w:val="fr-CA"/>
        </w:rPr>
        <w:t xml:space="preserve"> Refrigeracion Omega</w:t>
      </w:r>
      <w:r w:rsidR="003B6C77" w:rsidRPr="00206486">
        <w:rPr>
          <w:lang w:val="fr-CA"/>
        </w:rPr>
        <w:t xml:space="preserve"> </w:t>
      </w:r>
      <w:r w:rsidR="00C4290D" w:rsidRPr="00206486">
        <w:rPr>
          <w:lang w:val="fr-CA"/>
        </w:rPr>
        <w:t>sera terminée</w:t>
      </w:r>
      <w:r w:rsidR="00FB0F9B" w:rsidRPr="00206486">
        <w:rPr>
          <w:lang w:val="fr-CA"/>
        </w:rPr>
        <w:t>.</w:t>
      </w:r>
    </w:p>
    <w:p w:rsidR="00FB0F9B" w:rsidRPr="00206486" w:rsidRDefault="00C4290D" w:rsidP="00FB0F9B">
      <w:pPr>
        <w:pStyle w:val="Heading1"/>
        <w:rPr>
          <w:sz w:val="21"/>
          <w:szCs w:val="21"/>
          <w:lang w:val="fr-CA" w:eastAsia="es-CO"/>
        </w:rPr>
      </w:pPr>
      <w:r w:rsidRPr="00206486">
        <w:rPr>
          <w:lang w:val="fr-CA"/>
        </w:rPr>
        <w:t>Le</w:t>
      </w:r>
      <w:r w:rsidR="00FB0F9B" w:rsidRPr="00206486">
        <w:rPr>
          <w:lang w:val="fr-CA"/>
        </w:rPr>
        <w:t xml:space="preserve"> </w:t>
      </w:r>
      <w:r w:rsidRPr="00206486">
        <w:rPr>
          <w:lang w:val="fr-CA"/>
        </w:rPr>
        <w:t>Secrétariat</w:t>
      </w:r>
      <w:r w:rsidR="00FB0F9B" w:rsidRPr="00206486">
        <w:rPr>
          <w:lang w:val="fr-CA"/>
        </w:rPr>
        <w:t xml:space="preserve"> </w:t>
      </w:r>
      <w:r w:rsidRPr="00206486">
        <w:rPr>
          <w:lang w:val="fr-CA"/>
        </w:rPr>
        <w:t xml:space="preserve">a souligné que </w:t>
      </w:r>
      <w:r w:rsidR="0060390D" w:rsidRPr="00206486">
        <w:rPr>
          <w:lang w:val="fr-CA"/>
        </w:rPr>
        <w:t>la phase II</w:t>
      </w:r>
      <w:r w:rsidR="00FB0F9B" w:rsidRPr="00206486">
        <w:rPr>
          <w:lang w:val="fr-CA"/>
        </w:rPr>
        <w:t xml:space="preserve"> propose</w:t>
      </w:r>
      <w:r w:rsidRPr="00206486">
        <w:rPr>
          <w:lang w:val="fr-CA"/>
        </w:rPr>
        <w:t xml:space="preserve"> de renforcer le </w:t>
      </w:r>
      <w:r w:rsidR="008904C7" w:rsidRPr="00206486">
        <w:rPr>
          <w:lang w:val="fr-CA"/>
        </w:rPr>
        <w:t>cadre juridique</w:t>
      </w:r>
      <w:r w:rsidR="00FB0F9B" w:rsidRPr="00206486">
        <w:rPr>
          <w:lang w:val="fr-CA"/>
        </w:rPr>
        <w:t xml:space="preserve">, </w:t>
      </w:r>
      <w:r w:rsidRPr="00206486">
        <w:rPr>
          <w:lang w:val="fr-CA"/>
        </w:rPr>
        <w:t>mais ne</w:t>
      </w:r>
      <w:r w:rsidR="00CC6054">
        <w:rPr>
          <w:lang w:val="fr-CA"/>
        </w:rPr>
        <w:t> </w:t>
      </w:r>
      <w:r w:rsidRPr="00206486">
        <w:rPr>
          <w:lang w:val="fr-CA"/>
        </w:rPr>
        <w:t>comprend pas la formation d’agents de douanes, et il a</w:t>
      </w:r>
      <w:r w:rsidR="00206486">
        <w:rPr>
          <w:lang w:val="fr-CA"/>
        </w:rPr>
        <w:t xml:space="preserve"> </w:t>
      </w:r>
      <w:r w:rsidRPr="00206486">
        <w:rPr>
          <w:lang w:val="fr-CA"/>
        </w:rPr>
        <w:t xml:space="preserve">demandé de quelle façon on pourrait renforcer la capacité des douanes pour réglementer l’importation des </w:t>
      </w:r>
      <w:r w:rsidR="00FB0F9B" w:rsidRPr="00206486">
        <w:rPr>
          <w:lang w:val="fr-CA"/>
        </w:rPr>
        <w:t xml:space="preserve">HCFC </w:t>
      </w:r>
      <w:r w:rsidR="0039010B" w:rsidRPr="00206486">
        <w:rPr>
          <w:lang w:val="fr-CA"/>
        </w:rPr>
        <w:t>et</w:t>
      </w:r>
      <w:r w:rsidRPr="00206486">
        <w:rPr>
          <w:lang w:val="fr-CA"/>
        </w:rPr>
        <w:t xml:space="preserve"> pour</w:t>
      </w:r>
      <w:r w:rsidR="00FB0F9B" w:rsidRPr="00206486">
        <w:rPr>
          <w:lang w:val="fr-CA"/>
        </w:rPr>
        <w:t xml:space="preserve"> </w:t>
      </w:r>
      <w:r w:rsidR="00C306D5" w:rsidRPr="00206486">
        <w:rPr>
          <w:lang w:val="fr-CA"/>
        </w:rPr>
        <w:t>la mise en oeuvre de</w:t>
      </w:r>
      <w:r w:rsidRPr="00206486">
        <w:rPr>
          <w:lang w:val="fr-CA"/>
        </w:rPr>
        <w:t>s</w:t>
      </w:r>
      <w:r w:rsidR="00CC6054">
        <w:rPr>
          <w:lang w:val="fr-CA"/>
        </w:rPr>
        <w:t> </w:t>
      </w:r>
      <w:r w:rsidRPr="00206486">
        <w:rPr>
          <w:lang w:val="fr-CA"/>
        </w:rPr>
        <w:t>interdictions pour réaliser les objectifs prévus</w:t>
      </w:r>
      <w:r w:rsidR="00FB0F9B" w:rsidRPr="00206486">
        <w:rPr>
          <w:lang w:val="fr-CA"/>
        </w:rPr>
        <w:t xml:space="preserve">. </w:t>
      </w:r>
      <w:r w:rsidRPr="00206486">
        <w:rPr>
          <w:lang w:val="fr-CA"/>
        </w:rPr>
        <w:t xml:space="preserve">Le </w:t>
      </w:r>
      <w:r w:rsidR="002B0AAE" w:rsidRPr="00206486">
        <w:rPr>
          <w:lang w:val="fr-CA"/>
        </w:rPr>
        <w:t>PNUD</w:t>
      </w:r>
      <w:r w:rsidR="00FB0F9B" w:rsidRPr="00206486">
        <w:rPr>
          <w:lang w:val="fr-CA"/>
        </w:rPr>
        <w:t xml:space="preserve"> </w:t>
      </w:r>
      <w:r w:rsidRPr="00206486">
        <w:rPr>
          <w:lang w:val="fr-CA"/>
        </w:rPr>
        <w:t>a déclaré que, en raison du financement limité, le financement du</w:t>
      </w:r>
      <w:r w:rsidR="00C306D5" w:rsidRPr="00206486">
        <w:rPr>
          <w:lang w:val="fr-CA"/>
        </w:rPr>
        <w:t xml:space="preserve"> PGEH</w:t>
      </w:r>
      <w:r w:rsidR="00FB0F9B" w:rsidRPr="00206486">
        <w:rPr>
          <w:lang w:val="fr-CA"/>
        </w:rPr>
        <w:t xml:space="preserve"> </w:t>
      </w:r>
      <w:r w:rsidRPr="00206486">
        <w:rPr>
          <w:lang w:val="fr-CA"/>
        </w:rPr>
        <w:t>serait affecté à d’autres activités prioritaires. Au besoin, la formation en</w:t>
      </w:r>
      <w:r w:rsidR="00CC6054">
        <w:rPr>
          <w:lang w:val="fr-CA"/>
        </w:rPr>
        <w:t> </w:t>
      </w:r>
      <w:r w:rsidRPr="00206486">
        <w:rPr>
          <w:lang w:val="fr-CA"/>
        </w:rPr>
        <w:t>douanes pourrait être effectuée en utilisant d’autres ressources financières</w:t>
      </w:r>
      <w:r w:rsidR="00FB0F9B" w:rsidRPr="00206486">
        <w:rPr>
          <w:lang w:val="fr-CA"/>
        </w:rPr>
        <w:t xml:space="preserve">. </w:t>
      </w:r>
    </w:p>
    <w:p w:rsidR="00FB0F9B" w:rsidRPr="00206486" w:rsidRDefault="00594DA2" w:rsidP="00FB0F9B">
      <w:pPr>
        <w:keepNext/>
        <w:spacing w:after="240"/>
        <w:rPr>
          <w:u w:val="single"/>
          <w:lang w:val="fr-CA"/>
        </w:rPr>
      </w:pPr>
      <w:r w:rsidRPr="00206486">
        <w:rPr>
          <w:u w:val="single"/>
          <w:lang w:val="fr-CA"/>
        </w:rPr>
        <w:t>Questions techniques et liées aux coûts</w:t>
      </w:r>
    </w:p>
    <w:p w:rsidR="00FB0F9B" w:rsidRPr="00206486" w:rsidRDefault="00594DA2" w:rsidP="00FB0F9B">
      <w:pPr>
        <w:pStyle w:val="Heading1"/>
        <w:rPr>
          <w:lang w:val="fr-CA"/>
        </w:rPr>
      </w:pPr>
      <w:r w:rsidRPr="00206486">
        <w:rPr>
          <w:lang w:val="fr-CA"/>
        </w:rPr>
        <w:t xml:space="preserve">Lors d’une demande de renseignements sur la disponibilité des systèmes avec </w:t>
      </w:r>
      <w:r w:rsidR="00FB0F9B" w:rsidRPr="00206486">
        <w:rPr>
          <w:lang w:val="fr-CA"/>
        </w:rPr>
        <w:t xml:space="preserve">HFO-1233zd, </w:t>
      </w:r>
      <w:r w:rsidRPr="00206486">
        <w:rPr>
          <w:lang w:val="fr-CA"/>
        </w:rPr>
        <w:t>le</w:t>
      </w:r>
      <w:r w:rsidR="00CC6054">
        <w:rPr>
          <w:lang w:val="fr-CA"/>
        </w:rPr>
        <w:t> </w:t>
      </w:r>
      <w:r w:rsidR="002B0AAE" w:rsidRPr="00206486">
        <w:rPr>
          <w:lang w:val="fr-CA"/>
        </w:rPr>
        <w:t>PNUD</w:t>
      </w:r>
      <w:r w:rsidR="00FB0F9B" w:rsidRPr="00206486">
        <w:rPr>
          <w:lang w:val="fr-CA"/>
        </w:rPr>
        <w:t xml:space="preserve"> </w:t>
      </w:r>
      <w:r w:rsidRPr="00206486">
        <w:rPr>
          <w:lang w:val="fr-CA"/>
        </w:rPr>
        <w:t>a confirmé qu’on peut s’approvisionner en cette matière auprès de</w:t>
      </w:r>
      <w:r w:rsidR="00FB0F9B" w:rsidRPr="00206486">
        <w:rPr>
          <w:lang w:val="fr-CA"/>
        </w:rPr>
        <w:t xml:space="preserve"> Synthesia Panama. </w:t>
      </w:r>
    </w:p>
    <w:p w:rsidR="00FB0F9B" w:rsidRPr="00206486" w:rsidRDefault="00594DA2" w:rsidP="00FB0F9B">
      <w:pPr>
        <w:pStyle w:val="Heading1"/>
        <w:rPr>
          <w:lang w:val="fr-CA"/>
        </w:rPr>
      </w:pPr>
      <w:r w:rsidRPr="00206486">
        <w:rPr>
          <w:lang w:val="fr-CA"/>
        </w:rPr>
        <w:t>Le</w:t>
      </w:r>
      <w:r w:rsidR="00FB0F9B" w:rsidRPr="00206486">
        <w:rPr>
          <w:lang w:val="fr-CA"/>
        </w:rPr>
        <w:t xml:space="preserve"> </w:t>
      </w:r>
      <w:r w:rsidR="00C4290D" w:rsidRPr="00206486">
        <w:rPr>
          <w:lang w:val="fr-CA"/>
        </w:rPr>
        <w:t>Secrétariat</w:t>
      </w:r>
      <w:r w:rsidR="0039010B" w:rsidRPr="00206486">
        <w:rPr>
          <w:lang w:val="fr-CA"/>
        </w:rPr>
        <w:t xml:space="preserve"> et</w:t>
      </w:r>
      <w:r w:rsidRPr="00206486">
        <w:rPr>
          <w:lang w:val="fr-CA"/>
        </w:rPr>
        <w:t xml:space="preserve"> le</w:t>
      </w:r>
      <w:r w:rsidR="0039010B" w:rsidRPr="00206486">
        <w:rPr>
          <w:lang w:val="fr-CA"/>
        </w:rPr>
        <w:t xml:space="preserve"> </w:t>
      </w:r>
      <w:r w:rsidR="002B0AAE" w:rsidRPr="00206486">
        <w:rPr>
          <w:lang w:val="fr-CA"/>
        </w:rPr>
        <w:t>PNUD</w:t>
      </w:r>
      <w:r w:rsidRPr="00206486">
        <w:rPr>
          <w:lang w:val="fr-CA"/>
        </w:rPr>
        <w:t xml:space="preserve"> ont eu une longue discussion sur le calcul des coûts pour les essais et</w:t>
      </w:r>
      <w:r w:rsidR="00CC6054">
        <w:rPr>
          <w:lang w:val="fr-CA"/>
        </w:rPr>
        <w:t> </w:t>
      </w:r>
      <w:r w:rsidRPr="00206486">
        <w:rPr>
          <w:lang w:val="fr-CA"/>
        </w:rPr>
        <w:t>les tests pour la taille de l’entreprise</w:t>
      </w:r>
      <w:r w:rsidR="00FB0F9B" w:rsidRPr="00206486">
        <w:rPr>
          <w:lang w:val="fr-CA"/>
        </w:rPr>
        <w:t xml:space="preserve">, </w:t>
      </w:r>
      <w:r w:rsidRPr="00206486">
        <w:rPr>
          <w:lang w:val="fr-CA"/>
        </w:rPr>
        <w:t xml:space="preserve">la nouvelle formulation </w:t>
      </w:r>
      <w:r w:rsidR="00FB0F9B" w:rsidRPr="00206486">
        <w:rPr>
          <w:lang w:val="fr-CA"/>
        </w:rPr>
        <w:t>HFO</w:t>
      </w:r>
      <w:r w:rsidRPr="00206486">
        <w:rPr>
          <w:lang w:val="fr-CA"/>
        </w:rPr>
        <w:t xml:space="preserve"> (hydrofluoroléfine), la </w:t>
      </w:r>
      <w:r w:rsidR="00FB0F9B" w:rsidRPr="00206486">
        <w:rPr>
          <w:lang w:val="fr-CA"/>
        </w:rPr>
        <w:t>formulation</w:t>
      </w:r>
      <w:r w:rsidRPr="00206486">
        <w:rPr>
          <w:lang w:val="fr-CA"/>
        </w:rPr>
        <w:t xml:space="preserve"> </w:t>
      </w:r>
      <w:r w:rsidR="008904C7" w:rsidRPr="00206486">
        <w:rPr>
          <w:lang w:val="fr-CA"/>
        </w:rPr>
        <w:t>utilisé</w:t>
      </w:r>
      <w:r w:rsidRPr="00206486">
        <w:rPr>
          <w:lang w:val="fr-CA"/>
        </w:rPr>
        <w:t>e</w:t>
      </w:r>
      <w:r w:rsidR="00FB0F9B" w:rsidRPr="00206486">
        <w:rPr>
          <w:lang w:val="fr-CA"/>
        </w:rPr>
        <w:t xml:space="preserve"> </w:t>
      </w:r>
      <w:r w:rsidRPr="00206486">
        <w:rPr>
          <w:lang w:val="fr-CA"/>
        </w:rPr>
        <w:t xml:space="preserve">pour les systèmes </w:t>
      </w:r>
      <w:r w:rsidR="00FB0F9B" w:rsidRPr="00206486">
        <w:rPr>
          <w:lang w:val="fr-CA"/>
        </w:rPr>
        <w:t>HFO-polyol</w:t>
      </w:r>
      <w:r w:rsidRPr="00206486">
        <w:rPr>
          <w:lang w:val="fr-CA"/>
        </w:rPr>
        <w:t>s</w:t>
      </w:r>
      <w:r w:rsidR="00FB0F9B" w:rsidRPr="00206486">
        <w:rPr>
          <w:lang w:val="fr-CA"/>
        </w:rPr>
        <w:t>,</w:t>
      </w:r>
      <w:r w:rsidR="0039010B" w:rsidRPr="00206486">
        <w:rPr>
          <w:lang w:val="fr-CA"/>
        </w:rPr>
        <w:t xml:space="preserve"> et </w:t>
      </w:r>
      <w:r w:rsidRPr="00206486">
        <w:rPr>
          <w:lang w:val="fr-CA"/>
        </w:rPr>
        <w:t>les</w:t>
      </w:r>
      <w:r w:rsidR="00FB0F9B" w:rsidRPr="00206486">
        <w:rPr>
          <w:lang w:val="fr-CA"/>
        </w:rPr>
        <w:t xml:space="preserve"> pri</w:t>
      </w:r>
      <w:r w:rsidR="00206486">
        <w:rPr>
          <w:lang w:val="fr-CA"/>
        </w:rPr>
        <w:t>x</w:t>
      </w:r>
      <w:r w:rsidR="00FB0F9B" w:rsidRPr="00206486">
        <w:rPr>
          <w:lang w:val="fr-CA"/>
        </w:rPr>
        <w:t xml:space="preserve"> </w:t>
      </w:r>
      <w:r w:rsidRPr="00206486">
        <w:rPr>
          <w:lang w:val="fr-CA"/>
        </w:rPr>
        <w:t xml:space="preserve">des matières premières et des agents </w:t>
      </w:r>
      <w:r w:rsidR="00F8445E" w:rsidRPr="00206486">
        <w:rPr>
          <w:lang w:val="fr-CA"/>
        </w:rPr>
        <w:t>de gonflage</w:t>
      </w:r>
      <w:r w:rsidR="00FB0F9B" w:rsidRPr="00206486">
        <w:rPr>
          <w:lang w:val="fr-CA"/>
        </w:rPr>
        <w:t xml:space="preserve">. </w:t>
      </w:r>
      <w:r w:rsidRPr="00206486">
        <w:rPr>
          <w:lang w:val="fr-CA"/>
        </w:rPr>
        <w:t>On</w:t>
      </w:r>
      <w:r w:rsidR="00CC6054">
        <w:rPr>
          <w:lang w:val="fr-CA"/>
        </w:rPr>
        <w:t> </w:t>
      </w:r>
      <w:r w:rsidRPr="00206486">
        <w:rPr>
          <w:lang w:val="fr-CA"/>
        </w:rPr>
        <w:t>a</w:t>
      </w:r>
      <w:r w:rsidR="00CC6054">
        <w:rPr>
          <w:lang w:val="fr-CA"/>
        </w:rPr>
        <w:t> </w:t>
      </w:r>
      <w:r w:rsidRPr="00206486">
        <w:rPr>
          <w:lang w:val="fr-CA"/>
        </w:rPr>
        <w:t xml:space="preserve">donc convenu de rajuster le coût du projet de </w:t>
      </w:r>
      <w:r w:rsidR="00973255" w:rsidRPr="00206486">
        <w:rPr>
          <w:lang w:val="fr-CA"/>
        </w:rPr>
        <w:t>9 </w:t>
      </w:r>
      <w:r w:rsidR="00FB0F9B" w:rsidRPr="00206486">
        <w:rPr>
          <w:lang w:val="fr-CA"/>
        </w:rPr>
        <w:t>17</w:t>
      </w:r>
      <w:r w:rsidR="00973255" w:rsidRPr="00206486">
        <w:rPr>
          <w:lang w:val="fr-CA"/>
        </w:rPr>
        <w:t>1</w:t>
      </w:r>
      <w:r w:rsidRPr="00206486">
        <w:rPr>
          <w:lang w:val="fr-CA"/>
        </w:rPr>
        <w:t> $US.</w:t>
      </w:r>
      <w:r w:rsidR="00FB0F9B" w:rsidRPr="00206486">
        <w:rPr>
          <w:lang w:val="fr-CA"/>
        </w:rPr>
        <w:t xml:space="preserve"> </w:t>
      </w:r>
      <w:r w:rsidRPr="00206486">
        <w:rPr>
          <w:lang w:val="fr-CA"/>
        </w:rPr>
        <w:t>Les surcoûts convenus pour la</w:t>
      </w:r>
      <w:r w:rsidR="00CC6054">
        <w:rPr>
          <w:lang w:val="fr-CA"/>
        </w:rPr>
        <w:t> </w:t>
      </w:r>
      <w:r w:rsidR="00AA3256" w:rsidRPr="00206486">
        <w:rPr>
          <w:lang w:val="fr-CA"/>
        </w:rPr>
        <w:t>reconversion</w:t>
      </w:r>
      <w:r w:rsidR="00FB0F9B" w:rsidRPr="00206486">
        <w:rPr>
          <w:lang w:val="fr-CA"/>
        </w:rPr>
        <w:t xml:space="preserve"> </w:t>
      </w:r>
      <w:r w:rsidRPr="00206486">
        <w:rPr>
          <w:lang w:val="fr-CA"/>
        </w:rPr>
        <w:t>de</w:t>
      </w:r>
      <w:r w:rsidR="00FB0F9B" w:rsidRPr="00206486">
        <w:rPr>
          <w:lang w:val="fr-CA"/>
        </w:rPr>
        <w:t xml:space="preserve"> Refrigeracion Omega </w:t>
      </w:r>
      <w:r w:rsidRPr="00206486">
        <w:rPr>
          <w:lang w:val="fr-CA"/>
        </w:rPr>
        <w:t xml:space="preserve">totalisent </w:t>
      </w:r>
      <w:r w:rsidR="00FB0F9B" w:rsidRPr="00206486">
        <w:rPr>
          <w:lang w:val="fr-CA"/>
        </w:rPr>
        <w:t>5</w:t>
      </w:r>
      <w:r w:rsidR="00973255" w:rsidRPr="00206486">
        <w:rPr>
          <w:lang w:val="fr-CA"/>
        </w:rPr>
        <w:t>9 </w:t>
      </w:r>
      <w:r w:rsidR="00FB0F9B" w:rsidRPr="00206486">
        <w:rPr>
          <w:lang w:val="fr-CA"/>
        </w:rPr>
        <w:t>177</w:t>
      </w:r>
      <w:r w:rsidRPr="00206486">
        <w:rPr>
          <w:lang w:val="fr-CA"/>
        </w:rPr>
        <w:t> $US avec un rapport coût-efficacité de</w:t>
      </w:r>
      <w:r w:rsidR="00CC6054">
        <w:rPr>
          <w:lang w:val="fr-CA"/>
        </w:rPr>
        <w:t> </w:t>
      </w:r>
      <w:r w:rsidR="00973255" w:rsidRPr="00206486">
        <w:rPr>
          <w:lang w:val="fr-CA"/>
        </w:rPr>
        <w:t>9,</w:t>
      </w:r>
      <w:r w:rsidR="00FB0F9B" w:rsidRPr="00206486">
        <w:rPr>
          <w:lang w:val="fr-CA"/>
        </w:rPr>
        <w:t>49</w:t>
      </w:r>
      <w:r w:rsidRPr="00206486">
        <w:rPr>
          <w:lang w:val="fr-CA"/>
        </w:rPr>
        <w:t> $US</w:t>
      </w:r>
      <w:r w:rsidR="00FB0F9B" w:rsidRPr="00206486">
        <w:rPr>
          <w:lang w:val="fr-CA"/>
        </w:rPr>
        <w:t xml:space="preserve">/kg, </w:t>
      </w:r>
      <w:r w:rsidRPr="00206486">
        <w:rPr>
          <w:lang w:val="fr-CA"/>
        </w:rPr>
        <w:t>soit </w:t>
      </w:r>
      <w:r w:rsidR="00FB0F9B" w:rsidRPr="00206486">
        <w:rPr>
          <w:lang w:val="fr-CA"/>
        </w:rPr>
        <w:t>1</w:t>
      </w:r>
      <w:r w:rsidR="00973255" w:rsidRPr="00206486">
        <w:rPr>
          <w:lang w:val="fr-CA"/>
        </w:rPr>
        <w:t>9</w:t>
      </w:r>
      <w:r w:rsidRPr="00206486">
        <w:rPr>
          <w:lang w:val="fr-CA"/>
        </w:rPr>
        <w:t> </w:t>
      </w:r>
      <w:r w:rsidR="00A60694" w:rsidRPr="00206486">
        <w:rPr>
          <w:lang w:val="fr-CA"/>
        </w:rPr>
        <w:t>000 $US</w:t>
      </w:r>
      <w:r w:rsidRPr="00206486">
        <w:rPr>
          <w:lang w:val="fr-CA"/>
        </w:rPr>
        <w:t xml:space="preserve"> pour le test, les essais, la formation et l’assistance technique</w:t>
      </w:r>
      <w:r w:rsidR="00FB0F9B" w:rsidRPr="00206486">
        <w:rPr>
          <w:lang w:val="fr-CA"/>
        </w:rPr>
        <w:t>,</w:t>
      </w:r>
      <w:r w:rsidR="0039010B" w:rsidRPr="00206486">
        <w:rPr>
          <w:lang w:val="fr-CA"/>
        </w:rPr>
        <w:t xml:space="preserve"> et</w:t>
      </w:r>
      <w:r w:rsidR="00CC6054">
        <w:rPr>
          <w:lang w:val="fr-CA"/>
        </w:rPr>
        <w:t> </w:t>
      </w:r>
      <w:r w:rsidR="00FB0F9B" w:rsidRPr="00206486">
        <w:rPr>
          <w:lang w:val="fr-CA"/>
        </w:rPr>
        <w:t>4</w:t>
      </w:r>
      <w:r w:rsidR="00973255" w:rsidRPr="00206486">
        <w:rPr>
          <w:lang w:val="fr-CA"/>
        </w:rPr>
        <w:t>0 </w:t>
      </w:r>
      <w:r w:rsidR="00FB0F9B" w:rsidRPr="00206486">
        <w:rPr>
          <w:lang w:val="fr-CA"/>
        </w:rPr>
        <w:t>177</w:t>
      </w:r>
      <w:r w:rsidRPr="00206486">
        <w:rPr>
          <w:lang w:val="fr-CA"/>
        </w:rPr>
        <w:t> $US pour les surcoûts d’exploitation d’une année</w:t>
      </w:r>
      <w:r w:rsidR="00FB0F9B" w:rsidRPr="00206486">
        <w:rPr>
          <w:lang w:val="fr-CA"/>
        </w:rPr>
        <w:t xml:space="preserve">. </w:t>
      </w:r>
    </w:p>
    <w:p w:rsidR="00FB0F9B" w:rsidRPr="00206486" w:rsidRDefault="00594DA2" w:rsidP="00FB0F9B">
      <w:pPr>
        <w:pStyle w:val="Heading1"/>
        <w:keepNext/>
        <w:numPr>
          <w:ilvl w:val="0"/>
          <w:numId w:val="0"/>
        </w:numPr>
        <w:rPr>
          <w:u w:val="single"/>
          <w:lang w:val="fr-CA"/>
        </w:rPr>
      </w:pPr>
      <w:r w:rsidRPr="00206486">
        <w:rPr>
          <w:u w:val="single"/>
          <w:lang w:val="fr-CA"/>
        </w:rPr>
        <w:t>Coût total du projet</w:t>
      </w:r>
    </w:p>
    <w:p w:rsidR="00FB0F9B" w:rsidRPr="00206486" w:rsidRDefault="00594DA2" w:rsidP="00FB0F9B">
      <w:pPr>
        <w:pStyle w:val="Heading1"/>
        <w:rPr>
          <w:lang w:val="fr-CA"/>
        </w:rPr>
      </w:pPr>
      <w:r w:rsidRPr="00206486">
        <w:rPr>
          <w:lang w:val="fr-CA"/>
        </w:rPr>
        <w:t>Sur la base du coût révisé du projet de reconversion des mousses</w:t>
      </w:r>
      <w:r w:rsidR="00FB0F9B" w:rsidRPr="00206486">
        <w:rPr>
          <w:lang w:val="fr-CA"/>
        </w:rPr>
        <w:t xml:space="preserve">, </w:t>
      </w:r>
      <w:r w:rsidRPr="00206486">
        <w:rPr>
          <w:lang w:val="fr-CA"/>
        </w:rPr>
        <w:t>le</w:t>
      </w:r>
      <w:r w:rsidR="00FB0F9B" w:rsidRPr="00206486">
        <w:rPr>
          <w:lang w:val="fr-CA"/>
        </w:rPr>
        <w:t xml:space="preserve"> </w:t>
      </w:r>
      <w:r w:rsidR="0070671A" w:rsidRPr="00206486">
        <w:rPr>
          <w:lang w:val="fr-CA"/>
        </w:rPr>
        <w:t>coût total</w:t>
      </w:r>
      <w:r w:rsidRPr="00206486">
        <w:rPr>
          <w:lang w:val="fr-CA"/>
        </w:rPr>
        <w:t xml:space="preserve"> pour</w:t>
      </w:r>
      <w:r w:rsidR="0060390D" w:rsidRPr="00206486">
        <w:rPr>
          <w:lang w:val="fr-CA"/>
        </w:rPr>
        <w:t xml:space="preserve"> la phase II</w:t>
      </w:r>
      <w:r w:rsidR="00FB0F9B" w:rsidRPr="00206486">
        <w:rPr>
          <w:lang w:val="fr-CA"/>
        </w:rPr>
        <w:t xml:space="preserve"> </w:t>
      </w:r>
      <w:r w:rsidR="00C306D5" w:rsidRPr="00206486">
        <w:rPr>
          <w:lang w:val="fr-CA"/>
        </w:rPr>
        <w:t>du</w:t>
      </w:r>
      <w:r w:rsidR="00CC6054">
        <w:rPr>
          <w:lang w:val="fr-CA"/>
        </w:rPr>
        <w:t> </w:t>
      </w:r>
      <w:r w:rsidR="00C306D5" w:rsidRPr="00206486">
        <w:rPr>
          <w:lang w:val="fr-CA"/>
        </w:rPr>
        <w:t>PGEH</w:t>
      </w:r>
      <w:r w:rsidR="00FB0F9B" w:rsidRPr="00206486">
        <w:rPr>
          <w:lang w:val="fr-CA"/>
        </w:rPr>
        <w:t xml:space="preserve"> </w:t>
      </w:r>
      <w:r w:rsidR="0039010B" w:rsidRPr="00206486">
        <w:rPr>
          <w:lang w:val="fr-CA"/>
        </w:rPr>
        <w:t>du Costa Rica</w:t>
      </w:r>
      <w:r w:rsidR="00FB0F9B" w:rsidRPr="00206486">
        <w:rPr>
          <w:lang w:val="fr-CA"/>
        </w:rPr>
        <w:t xml:space="preserve"> </w:t>
      </w:r>
      <w:r w:rsidRPr="00206486">
        <w:rPr>
          <w:lang w:val="fr-CA"/>
        </w:rPr>
        <w:t xml:space="preserve">se situe à </w:t>
      </w:r>
      <w:r w:rsidR="00BD19D4" w:rsidRPr="00206486">
        <w:rPr>
          <w:lang w:val="fr-CA"/>
        </w:rPr>
        <w:t>1 </w:t>
      </w:r>
      <w:r w:rsidR="00FB0F9B" w:rsidRPr="00206486">
        <w:rPr>
          <w:lang w:val="fr-CA"/>
        </w:rPr>
        <w:t>09</w:t>
      </w:r>
      <w:r w:rsidR="00973255" w:rsidRPr="00206486">
        <w:rPr>
          <w:lang w:val="fr-CA"/>
        </w:rPr>
        <w:t>9 </w:t>
      </w:r>
      <w:r w:rsidR="00FB0F9B" w:rsidRPr="00206486">
        <w:rPr>
          <w:lang w:val="fr-CA"/>
        </w:rPr>
        <w:t>17</w:t>
      </w:r>
      <w:r w:rsidR="00973255" w:rsidRPr="00206486">
        <w:rPr>
          <w:lang w:val="fr-CA"/>
        </w:rPr>
        <w:t>7</w:t>
      </w:r>
      <w:r w:rsidRPr="00206486">
        <w:rPr>
          <w:lang w:val="fr-CA"/>
        </w:rPr>
        <w:t> $US</w:t>
      </w:r>
      <w:r w:rsidR="00973255" w:rsidRPr="00206486">
        <w:rPr>
          <w:lang w:val="fr-CA"/>
        </w:rPr>
        <w:t> </w:t>
      </w:r>
      <w:r w:rsidRPr="00206486">
        <w:rPr>
          <w:lang w:val="fr-CA"/>
        </w:rPr>
        <w:t xml:space="preserve">pour éliminer la </w:t>
      </w:r>
      <w:r w:rsidR="0039010B" w:rsidRPr="00206486">
        <w:rPr>
          <w:lang w:val="fr-CA"/>
        </w:rPr>
        <w:t>consommation</w:t>
      </w:r>
      <w:r w:rsidR="00FB0F9B" w:rsidRPr="00206486">
        <w:rPr>
          <w:lang w:val="fr-CA"/>
        </w:rPr>
        <w:t xml:space="preserve"> </w:t>
      </w:r>
      <w:r w:rsidRPr="00206486">
        <w:rPr>
          <w:lang w:val="fr-CA"/>
        </w:rPr>
        <w:t>de</w:t>
      </w:r>
      <w:r w:rsidR="00FB0F9B" w:rsidRPr="00206486">
        <w:rPr>
          <w:lang w:val="fr-CA"/>
        </w:rPr>
        <w:t xml:space="preserve"> 15</w:t>
      </w:r>
      <w:r w:rsidR="00973255" w:rsidRPr="00206486">
        <w:rPr>
          <w:lang w:val="fr-CA"/>
        </w:rPr>
        <w:t>6,</w:t>
      </w:r>
      <w:r w:rsidR="00FB0F9B" w:rsidRPr="00206486">
        <w:rPr>
          <w:lang w:val="fr-CA"/>
        </w:rPr>
        <w:t>39</w:t>
      </w:r>
      <w:r w:rsidR="0039010B" w:rsidRPr="00206486">
        <w:rPr>
          <w:lang w:val="fr-CA"/>
        </w:rPr>
        <w:t xml:space="preserve"> tm </w:t>
      </w:r>
      <w:r w:rsidR="00FB0F9B" w:rsidRPr="00206486">
        <w:rPr>
          <w:lang w:val="fr-CA"/>
        </w:rPr>
        <w:t>(</w:t>
      </w:r>
      <w:r w:rsidR="00973255" w:rsidRPr="00206486">
        <w:rPr>
          <w:lang w:val="fr-CA"/>
        </w:rPr>
        <w:t>8,</w:t>
      </w:r>
      <w:r w:rsidR="00FB0F9B" w:rsidRPr="00206486">
        <w:rPr>
          <w:lang w:val="fr-CA"/>
        </w:rPr>
        <w:t>77</w:t>
      </w:r>
      <w:r w:rsidR="00CC6054">
        <w:rPr>
          <w:lang w:val="fr-CA"/>
        </w:rPr>
        <w:t> </w:t>
      </w:r>
      <w:r w:rsidR="00C02492" w:rsidRPr="00206486">
        <w:rPr>
          <w:lang w:val="fr-CA"/>
        </w:rPr>
        <w:t>tonnes PAO</w:t>
      </w:r>
      <w:r w:rsidR="00FB0F9B" w:rsidRPr="00206486">
        <w:rPr>
          <w:lang w:val="fr-CA"/>
        </w:rPr>
        <w:t xml:space="preserve">) </w:t>
      </w:r>
      <w:r w:rsidR="0060390D" w:rsidRPr="00206486">
        <w:rPr>
          <w:lang w:val="fr-CA"/>
        </w:rPr>
        <w:t>de HCFC</w:t>
      </w:r>
      <w:r w:rsidR="0039010B" w:rsidRPr="00206486">
        <w:rPr>
          <w:lang w:val="fr-CA"/>
        </w:rPr>
        <w:t xml:space="preserve"> et </w:t>
      </w:r>
      <w:r w:rsidRPr="00206486">
        <w:rPr>
          <w:lang w:val="fr-CA"/>
        </w:rPr>
        <w:t xml:space="preserve">l’utilisation de </w:t>
      </w:r>
      <w:r w:rsidR="00973255" w:rsidRPr="00206486">
        <w:rPr>
          <w:lang w:val="fr-CA"/>
        </w:rPr>
        <w:t>6,</w:t>
      </w:r>
      <w:r w:rsidR="00FB0F9B" w:rsidRPr="00206486">
        <w:rPr>
          <w:lang w:val="fr-CA"/>
        </w:rPr>
        <w:t>24</w:t>
      </w:r>
      <w:r w:rsidR="0039010B" w:rsidRPr="00206486">
        <w:rPr>
          <w:lang w:val="fr-CA"/>
        </w:rPr>
        <w:t xml:space="preserve"> tm </w:t>
      </w:r>
      <w:r w:rsidR="00FB0F9B" w:rsidRPr="00206486">
        <w:rPr>
          <w:lang w:val="fr-CA"/>
        </w:rPr>
        <w:t>(</w:t>
      </w:r>
      <w:r w:rsidR="00973255" w:rsidRPr="00206486">
        <w:rPr>
          <w:lang w:val="fr-CA"/>
        </w:rPr>
        <w:t>0,</w:t>
      </w:r>
      <w:r w:rsidR="00FB0F9B" w:rsidRPr="00206486">
        <w:rPr>
          <w:lang w:val="fr-CA"/>
        </w:rPr>
        <w:t>69</w:t>
      </w:r>
      <w:r w:rsidR="00C02492" w:rsidRPr="00206486">
        <w:rPr>
          <w:lang w:val="fr-CA"/>
        </w:rPr>
        <w:t xml:space="preserve"> tonne PAO</w:t>
      </w:r>
      <w:r w:rsidR="00FB0F9B" w:rsidRPr="00206486">
        <w:rPr>
          <w:lang w:val="fr-CA"/>
        </w:rPr>
        <w:t xml:space="preserve">) </w:t>
      </w:r>
      <w:r w:rsidR="0060390D" w:rsidRPr="00206486">
        <w:rPr>
          <w:lang w:val="fr-CA"/>
        </w:rPr>
        <w:t>de HCFC</w:t>
      </w:r>
      <w:r w:rsidR="00FB0F9B" w:rsidRPr="00206486">
        <w:rPr>
          <w:lang w:val="fr-CA"/>
        </w:rPr>
        <w:t xml:space="preserve">-141b </w:t>
      </w:r>
      <w:r w:rsidR="0039010B" w:rsidRPr="00206486">
        <w:rPr>
          <w:lang w:val="fr-CA"/>
        </w:rPr>
        <w:t>contenu</w:t>
      </w:r>
      <w:r w:rsidRPr="00206486">
        <w:rPr>
          <w:lang w:val="fr-CA"/>
        </w:rPr>
        <w:t>s dans</w:t>
      </w:r>
      <w:r w:rsidR="00CC6054">
        <w:rPr>
          <w:lang w:val="fr-CA"/>
        </w:rPr>
        <w:t> </w:t>
      </w:r>
      <w:r w:rsidRPr="00206486">
        <w:rPr>
          <w:lang w:val="fr-CA"/>
        </w:rPr>
        <w:t xml:space="preserve">des </w:t>
      </w:r>
      <w:r w:rsidR="00EB2126" w:rsidRPr="00206486">
        <w:rPr>
          <w:lang w:val="fr-CA"/>
        </w:rPr>
        <w:t>polyols prémélangés</w:t>
      </w:r>
      <w:r w:rsidR="00FB0F9B" w:rsidRPr="00206486">
        <w:rPr>
          <w:lang w:val="fr-CA"/>
        </w:rPr>
        <w:t xml:space="preserve">, </w:t>
      </w:r>
      <w:r w:rsidRPr="00206486">
        <w:rPr>
          <w:lang w:val="fr-CA"/>
        </w:rPr>
        <w:t xml:space="preserve">pour obtenir une réduction de </w:t>
      </w:r>
      <w:r w:rsidR="00FB0F9B" w:rsidRPr="00206486">
        <w:rPr>
          <w:lang w:val="fr-CA"/>
        </w:rPr>
        <w:t>9</w:t>
      </w:r>
      <w:r w:rsidR="00973255" w:rsidRPr="00206486">
        <w:rPr>
          <w:lang w:val="fr-CA"/>
        </w:rPr>
        <w:t>7,</w:t>
      </w:r>
      <w:r w:rsidR="00FB0F9B" w:rsidRPr="00206486">
        <w:rPr>
          <w:lang w:val="fr-CA"/>
        </w:rPr>
        <w:t xml:space="preserve">5 </w:t>
      </w:r>
      <w:r w:rsidR="0060390D" w:rsidRPr="00206486">
        <w:rPr>
          <w:lang w:val="fr-CA"/>
        </w:rPr>
        <w:t>pour cent</w:t>
      </w:r>
      <w:r w:rsidR="00FB0F9B" w:rsidRPr="00206486">
        <w:rPr>
          <w:lang w:val="fr-CA"/>
        </w:rPr>
        <w:t xml:space="preserve"> </w:t>
      </w:r>
      <w:r w:rsidRPr="00206486">
        <w:rPr>
          <w:lang w:val="fr-CA"/>
        </w:rPr>
        <w:t xml:space="preserve">de la valeur de référence d’ici le </w:t>
      </w:r>
      <w:r w:rsidR="00FB0F9B" w:rsidRPr="00206486">
        <w:rPr>
          <w:lang w:val="fr-CA"/>
        </w:rPr>
        <w:t>1</w:t>
      </w:r>
      <w:r w:rsidRPr="00206486">
        <w:rPr>
          <w:lang w:val="fr-CA"/>
        </w:rPr>
        <w:t> </w:t>
      </w:r>
      <w:r w:rsidR="003B6C77" w:rsidRPr="00206486">
        <w:rPr>
          <w:lang w:val="fr-CA"/>
        </w:rPr>
        <w:t>janvier</w:t>
      </w:r>
      <w:r w:rsidRPr="00206486">
        <w:rPr>
          <w:lang w:val="fr-CA"/>
        </w:rPr>
        <w:t> </w:t>
      </w:r>
      <w:r w:rsidR="00FB0F9B" w:rsidRPr="00206486">
        <w:rPr>
          <w:lang w:val="fr-CA"/>
        </w:rPr>
        <w:t>203</w:t>
      </w:r>
      <w:r w:rsidR="00973255" w:rsidRPr="00206486">
        <w:rPr>
          <w:lang w:val="fr-CA"/>
        </w:rPr>
        <w:t>0</w:t>
      </w:r>
      <w:r w:rsidRPr="00206486">
        <w:rPr>
          <w:lang w:val="fr-CA"/>
        </w:rPr>
        <w:t>.</w:t>
      </w:r>
      <w:r w:rsidR="00FB0F9B" w:rsidRPr="00206486">
        <w:rPr>
          <w:lang w:val="fr-CA"/>
        </w:rPr>
        <w:t xml:space="preserve"> </w:t>
      </w:r>
      <w:r w:rsidRPr="00206486">
        <w:rPr>
          <w:lang w:val="fr-CA"/>
        </w:rPr>
        <w:t>Le</w:t>
      </w:r>
      <w:r w:rsidR="00FB0F9B" w:rsidRPr="00206486">
        <w:rPr>
          <w:lang w:val="fr-CA"/>
        </w:rPr>
        <w:t xml:space="preserve"> </w:t>
      </w:r>
      <w:r w:rsidR="00686F8A" w:rsidRPr="00206486">
        <w:rPr>
          <w:lang w:val="fr-CA"/>
        </w:rPr>
        <w:t>financement</w:t>
      </w:r>
      <w:r w:rsidR="00FB0F9B" w:rsidRPr="00206486">
        <w:rPr>
          <w:lang w:val="fr-CA"/>
        </w:rPr>
        <w:t xml:space="preserve"> </w:t>
      </w:r>
      <w:r w:rsidRPr="00206486">
        <w:rPr>
          <w:lang w:val="fr-CA"/>
        </w:rPr>
        <w:t xml:space="preserve">de la </w:t>
      </w:r>
      <w:r w:rsidR="0060390D" w:rsidRPr="00206486">
        <w:rPr>
          <w:lang w:val="fr-CA"/>
        </w:rPr>
        <w:t>première tranche</w:t>
      </w:r>
      <w:r w:rsidR="00FB0F9B" w:rsidRPr="00206486">
        <w:rPr>
          <w:lang w:val="fr-CA"/>
        </w:rPr>
        <w:t xml:space="preserve"> </w:t>
      </w:r>
      <w:r w:rsidRPr="00206486">
        <w:rPr>
          <w:lang w:val="fr-CA"/>
        </w:rPr>
        <w:t xml:space="preserve">a été rajusté à </w:t>
      </w:r>
      <w:r w:rsidR="00FB0F9B" w:rsidRPr="00206486">
        <w:rPr>
          <w:lang w:val="fr-CA"/>
        </w:rPr>
        <w:t>18</w:t>
      </w:r>
      <w:r w:rsidR="00973255" w:rsidRPr="00206486">
        <w:rPr>
          <w:lang w:val="fr-CA"/>
        </w:rPr>
        <w:t>7 </w:t>
      </w:r>
      <w:r w:rsidR="00FB0F9B" w:rsidRPr="00206486">
        <w:rPr>
          <w:lang w:val="fr-CA"/>
        </w:rPr>
        <w:t>77</w:t>
      </w:r>
      <w:r w:rsidR="00973255" w:rsidRPr="00206486">
        <w:rPr>
          <w:lang w:val="fr-CA"/>
        </w:rPr>
        <w:t>7</w:t>
      </w:r>
      <w:r w:rsidRPr="00206486">
        <w:rPr>
          <w:lang w:val="fr-CA"/>
        </w:rPr>
        <w:t> $US.</w:t>
      </w:r>
      <w:r w:rsidR="00FB0F9B" w:rsidRPr="00206486">
        <w:rPr>
          <w:lang w:val="fr-CA"/>
        </w:rPr>
        <w:t xml:space="preserve"> </w:t>
      </w:r>
    </w:p>
    <w:p w:rsidR="00FB0F9B" w:rsidRPr="00206486" w:rsidRDefault="00FB0F9B" w:rsidP="00FB0F9B">
      <w:pPr>
        <w:keepNext/>
        <w:spacing w:after="240"/>
        <w:rPr>
          <w:u w:val="single"/>
          <w:lang w:val="fr-CA"/>
        </w:rPr>
      </w:pPr>
      <w:r w:rsidRPr="00206486">
        <w:rPr>
          <w:u w:val="single"/>
          <w:lang w:val="fr-CA"/>
        </w:rPr>
        <w:lastRenderedPageBreak/>
        <w:t>Impact</w:t>
      </w:r>
      <w:r w:rsidR="00594DA2" w:rsidRPr="00206486">
        <w:rPr>
          <w:u w:val="single"/>
          <w:lang w:val="fr-CA"/>
        </w:rPr>
        <w:t xml:space="preserve"> sur le</w:t>
      </w:r>
      <w:r w:rsidRPr="00206486">
        <w:rPr>
          <w:u w:val="single"/>
          <w:lang w:val="fr-CA"/>
        </w:rPr>
        <w:t xml:space="preserve"> climat</w:t>
      </w:r>
    </w:p>
    <w:p w:rsidR="009A1BE2" w:rsidRPr="0053347D" w:rsidRDefault="00594DA2" w:rsidP="009A1BE2">
      <w:pPr>
        <w:pStyle w:val="Heading1"/>
        <w:keepNext/>
        <w:rPr>
          <w:lang w:val="fr-CA"/>
        </w:rPr>
      </w:pPr>
      <w:r w:rsidRPr="00206486">
        <w:rPr>
          <w:lang w:val="fr-CA"/>
        </w:rPr>
        <w:t xml:space="preserve">La </w:t>
      </w:r>
      <w:r w:rsidR="00AA3256" w:rsidRPr="00206486">
        <w:rPr>
          <w:lang w:val="fr-CA"/>
        </w:rPr>
        <w:t>reconversion</w:t>
      </w:r>
      <w:r w:rsidR="00FB0F9B" w:rsidRPr="00206486">
        <w:rPr>
          <w:lang w:val="fr-CA"/>
        </w:rPr>
        <w:t xml:space="preserve"> </w:t>
      </w:r>
      <w:r w:rsidRPr="00206486">
        <w:rPr>
          <w:lang w:val="fr-CA"/>
        </w:rPr>
        <w:t>de</w:t>
      </w:r>
      <w:r w:rsidR="00FB0F9B" w:rsidRPr="00206486">
        <w:rPr>
          <w:lang w:val="fr-CA"/>
        </w:rPr>
        <w:t xml:space="preserve"> Refrigeracion Omega </w:t>
      </w:r>
      <w:r w:rsidRPr="00206486">
        <w:rPr>
          <w:lang w:val="fr-CA"/>
        </w:rPr>
        <w:t>permettrait d’éviter l’é</w:t>
      </w:r>
      <w:r w:rsidR="00FB0F9B" w:rsidRPr="00206486">
        <w:rPr>
          <w:lang w:val="fr-CA"/>
        </w:rPr>
        <w:t xml:space="preserve">mission </w:t>
      </w:r>
      <w:r w:rsidRPr="00206486">
        <w:rPr>
          <w:lang w:val="fr-CA"/>
        </w:rPr>
        <w:t>dans l’</w:t>
      </w:r>
      <w:r w:rsidR="00FB0F9B" w:rsidRPr="00206486">
        <w:rPr>
          <w:lang w:val="fr-CA"/>
        </w:rPr>
        <w:t>atmosph</w:t>
      </w:r>
      <w:r w:rsidRPr="00206486">
        <w:rPr>
          <w:lang w:val="fr-CA"/>
        </w:rPr>
        <w:t>è</w:t>
      </w:r>
      <w:r w:rsidR="00FB0F9B" w:rsidRPr="00206486">
        <w:rPr>
          <w:lang w:val="fr-CA"/>
        </w:rPr>
        <w:t xml:space="preserve">re </w:t>
      </w:r>
      <w:r w:rsidRPr="00206486">
        <w:rPr>
          <w:lang w:val="fr-CA"/>
        </w:rPr>
        <w:t>d</w:t>
      </w:r>
      <w:r w:rsidR="00B8744D" w:rsidRPr="00206486">
        <w:rPr>
          <w:lang w:val="fr-CA"/>
        </w:rPr>
        <w:t>’environ</w:t>
      </w:r>
      <w:r w:rsidRPr="00206486">
        <w:rPr>
          <w:lang w:val="fr-CA"/>
        </w:rPr>
        <w:t xml:space="preserve"> </w:t>
      </w:r>
      <w:r w:rsidR="00BD19D4" w:rsidRPr="00206486">
        <w:rPr>
          <w:lang w:val="fr-CA"/>
        </w:rPr>
        <w:t>4 </w:t>
      </w:r>
      <w:r w:rsidR="00FB0F9B" w:rsidRPr="00206486">
        <w:rPr>
          <w:lang w:val="fr-CA"/>
        </w:rPr>
        <w:t xml:space="preserve">510 tonnes </w:t>
      </w:r>
      <w:r w:rsidRPr="00206486">
        <w:rPr>
          <w:lang w:val="fr-CA"/>
        </w:rPr>
        <w:t>de</w:t>
      </w:r>
      <w:r w:rsidR="00FB0F9B" w:rsidRPr="00206486">
        <w:rPr>
          <w:lang w:val="fr-CA"/>
        </w:rPr>
        <w:t xml:space="preserve"> CO</w:t>
      </w:r>
      <w:r w:rsidR="00FB0F9B" w:rsidRPr="00206486">
        <w:rPr>
          <w:vertAlign w:val="subscript"/>
          <w:lang w:val="fr-CA"/>
        </w:rPr>
        <w:t>2-</w:t>
      </w:r>
      <w:r w:rsidR="00FB0F9B" w:rsidRPr="00206486">
        <w:rPr>
          <w:lang w:val="fr-CA"/>
        </w:rPr>
        <w:t>eq p</w:t>
      </w:r>
      <w:r w:rsidRPr="00206486">
        <w:rPr>
          <w:lang w:val="fr-CA"/>
        </w:rPr>
        <w:t>a</w:t>
      </w:r>
      <w:r w:rsidR="00FB0F9B" w:rsidRPr="00206486">
        <w:rPr>
          <w:lang w:val="fr-CA"/>
        </w:rPr>
        <w:t xml:space="preserve">r </w:t>
      </w:r>
      <w:r w:rsidR="00D73A31" w:rsidRPr="00206486">
        <w:rPr>
          <w:lang w:val="fr-CA"/>
        </w:rPr>
        <w:t>année</w:t>
      </w:r>
      <w:r w:rsidRPr="00206486">
        <w:rPr>
          <w:lang w:val="fr-CA"/>
        </w:rPr>
        <w:t xml:space="preserve"> (</w:t>
      </w:r>
      <w:r w:rsidR="00EB2126" w:rsidRPr="00206486">
        <w:rPr>
          <w:lang w:val="fr-CA"/>
        </w:rPr>
        <w:t xml:space="preserve">Tableau </w:t>
      </w:r>
      <w:r w:rsidR="00973255" w:rsidRPr="00206486">
        <w:rPr>
          <w:lang w:val="fr-CA"/>
        </w:rPr>
        <w:t>4</w:t>
      </w:r>
      <w:r w:rsidRPr="00206486">
        <w:rPr>
          <w:lang w:val="fr-CA"/>
        </w:rPr>
        <w:t>)</w:t>
      </w:r>
      <w:r w:rsidR="009A1BE2" w:rsidRPr="00206486">
        <w:rPr>
          <w:lang w:val="fr-CA"/>
        </w:rPr>
        <w:t>.</w:t>
      </w:r>
    </w:p>
    <w:p w:rsidR="00FB0F9B" w:rsidRPr="00206486" w:rsidRDefault="00EB2126" w:rsidP="00FB0F9B">
      <w:pPr>
        <w:keepNext/>
        <w:outlineLvl w:val="0"/>
        <w:rPr>
          <w:b/>
          <w:lang w:val="fr-CA"/>
        </w:rPr>
      </w:pPr>
      <w:r w:rsidRPr="00206486">
        <w:rPr>
          <w:b/>
          <w:lang w:val="fr-CA"/>
        </w:rPr>
        <w:t xml:space="preserve">Tableau </w:t>
      </w:r>
      <w:r w:rsidR="00973255" w:rsidRPr="00206486">
        <w:rPr>
          <w:b/>
          <w:lang w:val="fr-CA"/>
        </w:rPr>
        <w:t>4</w:t>
      </w:r>
      <w:r w:rsidR="00EC07A9" w:rsidRPr="00206486">
        <w:rPr>
          <w:b/>
          <w:lang w:val="fr-CA"/>
        </w:rPr>
        <w:t>.</w:t>
      </w:r>
      <w:r w:rsidR="00FB0F9B" w:rsidRPr="00206486">
        <w:rPr>
          <w:b/>
          <w:lang w:val="fr-CA"/>
        </w:rPr>
        <w:t xml:space="preserve"> Impact </w:t>
      </w:r>
      <w:r w:rsidR="009A1BE2" w:rsidRPr="00206486">
        <w:rPr>
          <w:b/>
          <w:lang w:val="fr-CA"/>
        </w:rPr>
        <w:t>sur le climat du projet de reconversion</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2"/>
        <w:gridCol w:w="2366"/>
        <w:gridCol w:w="2366"/>
        <w:gridCol w:w="2366"/>
      </w:tblGrid>
      <w:tr w:rsidR="00FB0F9B" w:rsidRPr="00206486" w:rsidTr="0053347D">
        <w:trPr>
          <w:trHeight w:val="187"/>
          <w:jc w:val="center"/>
        </w:trPr>
        <w:tc>
          <w:tcPr>
            <w:tcW w:w="1184" w:type="pct"/>
            <w:noWrap/>
            <w:tcMar>
              <w:top w:w="0" w:type="dxa"/>
              <w:left w:w="108" w:type="dxa"/>
              <w:bottom w:w="0" w:type="dxa"/>
              <w:right w:w="108" w:type="dxa"/>
            </w:tcMar>
          </w:tcPr>
          <w:p w:rsidR="00FB0F9B" w:rsidRPr="00206486" w:rsidRDefault="00FB0F9B" w:rsidP="002B0AAE">
            <w:pPr>
              <w:keepNext/>
              <w:rPr>
                <w:b/>
                <w:sz w:val="21"/>
                <w:szCs w:val="21"/>
                <w:lang w:val="fr-CA"/>
              </w:rPr>
            </w:pPr>
            <w:r w:rsidRPr="00206486">
              <w:rPr>
                <w:b/>
                <w:sz w:val="21"/>
                <w:szCs w:val="21"/>
                <w:lang w:val="fr-CA"/>
              </w:rPr>
              <w:t>Substance</w:t>
            </w:r>
          </w:p>
        </w:tc>
        <w:tc>
          <w:tcPr>
            <w:tcW w:w="1272" w:type="pct"/>
            <w:tcMar>
              <w:top w:w="0" w:type="dxa"/>
              <w:left w:w="108" w:type="dxa"/>
              <w:bottom w:w="0" w:type="dxa"/>
              <w:right w:w="108" w:type="dxa"/>
            </w:tcMar>
          </w:tcPr>
          <w:p w:rsidR="00FB0F9B" w:rsidRPr="00206486" w:rsidRDefault="00FB0F9B" w:rsidP="002B0AAE">
            <w:pPr>
              <w:keepNext/>
              <w:jc w:val="center"/>
              <w:rPr>
                <w:b/>
                <w:sz w:val="21"/>
                <w:szCs w:val="21"/>
                <w:lang w:val="fr-CA"/>
              </w:rPr>
            </w:pPr>
            <w:r w:rsidRPr="00206486">
              <w:rPr>
                <w:b/>
                <w:sz w:val="21"/>
                <w:szCs w:val="21"/>
                <w:lang w:val="fr-CA"/>
              </w:rPr>
              <w:t>GWP</w:t>
            </w:r>
          </w:p>
        </w:tc>
        <w:tc>
          <w:tcPr>
            <w:tcW w:w="1272" w:type="pct"/>
            <w:noWrap/>
            <w:tcMar>
              <w:top w:w="0" w:type="dxa"/>
              <w:left w:w="108" w:type="dxa"/>
              <w:bottom w:w="0" w:type="dxa"/>
              <w:right w:w="108" w:type="dxa"/>
            </w:tcMar>
          </w:tcPr>
          <w:p w:rsidR="00FB0F9B" w:rsidRPr="00206486" w:rsidRDefault="00FB0F9B" w:rsidP="002B0AAE">
            <w:pPr>
              <w:keepNext/>
              <w:jc w:val="center"/>
              <w:rPr>
                <w:b/>
                <w:sz w:val="21"/>
                <w:szCs w:val="21"/>
                <w:lang w:val="fr-CA"/>
              </w:rPr>
            </w:pPr>
            <w:r w:rsidRPr="00206486">
              <w:rPr>
                <w:b/>
                <w:sz w:val="21"/>
                <w:szCs w:val="21"/>
                <w:lang w:val="fr-CA"/>
              </w:rPr>
              <w:t>Tonnes/</w:t>
            </w:r>
            <w:r w:rsidR="00D73A31" w:rsidRPr="00206486">
              <w:rPr>
                <w:b/>
                <w:sz w:val="21"/>
                <w:szCs w:val="21"/>
                <w:lang w:val="fr-CA"/>
              </w:rPr>
              <w:t>année</w:t>
            </w:r>
          </w:p>
        </w:tc>
        <w:tc>
          <w:tcPr>
            <w:tcW w:w="1272" w:type="pct"/>
            <w:noWrap/>
            <w:tcMar>
              <w:top w:w="0" w:type="dxa"/>
              <w:left w:w="108" w:type="dxa"/>
              <w:bottom w:w="0" w:type="dxa"/>
              <w:right w:w="108" w:type="dxa"/>
            </w:tcMar>
            <w:vAlign w:val="bottom"/>
          </w:tcPr>
          <w:p w:rsidR="00FB0F9B" w:rsidRPr="00206486" w:rsidRDefault="00FB0F9B" w:rsidP="002B0AAE">
            <w:pPr>
              <w:keepNext/>
              <w:jc w:val="center"/>
              <w:rPr>
                <w:b/>
                <w:sz w:val="21"/>
                <w:szCs w:val="21"/>
                <w:lang w:val="fr-CA"/>
              </w:rPr>
            </w:pPr>
            <w:r w:rsidRPr="00206486">
              <w:rPr>
                <w:sz w:val="21"/>
                <w:szCs w:val="21"/>
                <w:lang w:val="fr-CA"/>
              </w:rPr>
              <w:t>CO</w:t>
            </w:r>
            <w:r w:rsidRPr="00206486">
              <w:rPr>
                <w:sz w:val="21"/>
                <w:szCs w:val="21"/>
                <w:vertAlign w:val="subscript"/>
                <w:lang w:val="fr-CA"/>
              </w:rPr>
              <w:t>2</w:t>
            </w:r>
            <w:r w:rsidRPr="00206486">
              <w:rPr>
                <w:b/>
                <w:sz w:val="21"/>
                <w:szCs w:val="21"/>
                <w:lang w:val="fr-CA"/>
              </w:rPr>
              <w:t>-eq (tonnes/</w:t>
            </w:r>
            <w:r w:rsidR="00D73A31" w:rsidRPr="00206486">
              <w:rPr>
                <w:b/>
                <w:sz w:val="21"/>
                <w:szCs w:val="21"/>
                <w:lang w:val="fr-CA"/>
              </w:rPr>
              <w:t>année</w:t>
            </w:r>
            <w:r w:rsidRPr="00206486">
              <w:rPr>
                <w:b/>
                <w:sz w:val="21"/>
                <w:szCs w:val="21"/>
                <w:lang w:val="fr-CA"/>
              </w:rPr>
              <w:t>)</w:t>
            </w:r>
          </w:p>
        </w:tc>
      </w:tr>
      <w:tr w:rsidR="00FB0F9B" w:rsidRPr="00206486" w:rsidTr="0053347D">
        <w:trPr>
          <w:trHeight w:val="232"/>
          <w:jc w:val="center"/>
        </w:trPr>
        <w:tc>
          <w:tcPr>
            <w:tcW w:w="1184" w:type="pct"/>
            <w:noWrap/>
            <w:tcMar>
              <w:top w:w="0" w:type="dxa"/>
              <w:left w:w="108" w:type="dxa"/>
              <w:bottom w:w="0" w:type="dxa"/>
              <w:right w:w="108" w:type="dxa"/>
            </w:tcMar>
            <w:vAlign w:val="bottom"/>
          </w:tcPr>
          <w:p w:rsidR="00FB0F9B" w:rsidRPr="00206486" w:rsidRDefault="009A1BE2" w:rsidP="002B0AAE">
            <w:pPr>
              <w:widowControl w:val="0"/>
              <w:rPr>
                <w:b/>
                <w:sz w:val="21"/>
                <w:szCs w:val="21"/>
                <w:lang w:val="fr-CA"/>
              </w:rPr>
            </w:pPr>
            <w:r w:rsidRPr="00206486">
              <w:rPr>
                <w:b/>
                <w:sz w:val="21"/>
                <w:szCs w:val="21"/>
                <w:lang w:val="fr-CA"/>
              </w:rPr>
              <w:t>Avant la</w:t>
            </w:r>
            <w:r w:rsidR="00AA3256" w:rsidRPr="00206486">
              <w:rPr>
                <w:b/>
                <w:sz w:val="21"/>
                <w:szCs w:val="21"/>
                <w:lang w:val="fr-CA"/>
              </w:rPr>
              <w:t xml:space="preserve"> reconversion</w:t>
            </w:r>
          </w:p>
        </w:tc>
        <w:tc>
          <w:tcPr>
            <w:tcW w:w="1272" w:type="pct"/>
            <w:tcMar>
              <w:top w:w="0" w:type="dxa"/>
              <w:left w:w="108" w:type="dxa"/>
              <w:bottom w:w="0" w:type="dxa"/>
              <w:right w:w="108" w:type="dxa"/>
            </w:tcMar>
            <w:vAlign w:val="bottom"/>
          </w:tcPr>
          <w:p w:rsidR="00FB0F9B" w:rsidRPr="00206486" w:rsidRDefault="00FB0F9B" w:rsidP="002B0AAE">
            <w:pPr>
              <w:widowControl w:val="0"/>
              <w:jc w:val="center"/>
              <w:rPr>
                <w:b/>
                <w:sz w:val="21"/>
                <w:szCs w:val="21"/>
                <w:lang w:val="fr-CA"/>
              </w:rPr>
            </w:pPr>
          </w:p>
        </w:tc>
        <w:tc>
          <w:tcPr>
            <w:tcW w:w="1272" w:type="pct"/>
            <w:noWrap/>
            <w:tcMar>
              <w:top w:w="0" w:type="dxa"/>
              <w:left w:w="108" w:type="dxa"/>
              <w:bottom w:w="0" w:type="dxa"/>
              <w:right w:w="108" w:type="dxa"/>
            </w:tcMar>
            <w:vAlign w:val="bottom"/>
          </w:tcPr>
          <w:p w:rsidR="00FB0F9B" w:rsidRPr="00206486" w:rsidRDefault="00FB0F9B" w:rsidP="002B0AAE">
            <w:pPr>
              <w:widowControl w:val="0"/>
              <w:jc w:val="center"/>
              <w:rPr>
                <w:b/>
                <w:sz w:val="21"/>
                <w:szCs w:val="21"/>
                <w:lang w:val="fr-CA"/>
              </w:rPr>
            </w:pPr>
          </w:p>
        </w:tc>
        <w:tc>
          <w:tcPr>
            <w:tcW w:w="1272" w:type="pct"/>
            <w:tcMar>
              <w:top w:w="0" w:type="dxa"/>
              <w:left w:w="108" w:type="dxa"/>
              <w:bottom w:w="0" w:type="dxa"/>
              <w:right w:w="108" w:type="dxa"/>
            </w:tcMar>
            <w:vAlign w:val="bottom"/>
          </w:tcPr>
          <w:p w:rsidR="00FB0F9B" w:rsidRPr="00206486" w:rsidRDefault="00FB0F9B" w:rsidP="002B0AAE">
            <w:pPr>
              <w:widowControl w:val="0"/>
              <w:jc w:val="right"/>
              <w:rPr>
                <w:b/>
                <w:sz w:val="21"/>
                <w:szCs w:val="21"/>
                <w:lang w:val="fr-CA"/>
              </w:rPr>
            </w:pPr>
          </w:p>
        </w:tc>
      </w:tr>
      <w:tr w:rsidR="00FB0F9B" w:rsidRPr="00206486" w:rsidTr="0053347D">
        <w:trPr>
          <w:trHeight w:val="187"/>
          <w:jc w:val="center"/>
        </w:trPr>
        <w:tc>
          <w:tcPr>
            <w:tcW w:w="1184" w:type="pct"/>
            <w:noWrap/>
            <w:tcMar>
              <w:top w:w="0" w:type="dxa"/>
              <w:left w:w="108" w:type="dxa"/>
              <w:bottom w:w="0" w:type="dxa"/>
              <w:right w:w="108" w:type="dxa"/>
            </w:tcMar>
            <w:vAlign w:val="bottom"/>
          </w:tcPr>
          <w:p w:rsidR="00FB0F9B" w:rsidRPr="00206486" w:rsidRDefault="00FB0F9B" w:rsidP="002B0AAE">
            <w:pPr>
              <w:widowControl w:val="0"/>
              <w:rPr>
                <w:sz w:val="21"/>
                <w:szCs w:val="21"/>
                <w:lang w:val="fr-CA"/>
              </w:rPr>
            </w:pPr>
            <w:r w:rsidRPr="00206486">
              <w:rPr>
                <w:sz w:val="21"/>
                <w:szCs w:val="21"/>
                <w:lang w:val="fr-CA"/>
              </w:rPr>
              <w:t>HCFC-141b</w:t>
            </w:r>
          </w:p>
        </w:tc>
        <w:tc>
          <w:tcPr>
            <w:tcW w:w="1272" w:type="pct"/>
            <w:tcMar>
              <w:top w:w="0" w:type="dxa"/>
              <w:left w:w="115" w:type="dxa"/>
              <w:bottom w:w="0" w:type="dxa"/>
              <w:right w:w="360" w:type="dxa"/>
            </w:tcMar>
            <w:vAlign w:val="bottom"/>
          </w:tcPr>
          <w:p w:rsidR="00FB0F9B" w:rsidRPr="00206486" w:rsidRDefault="00FB0F9B" w:rsidP="002B0AAE">
            <w:pPr>
              <w:widowControl w:val="0"/>
              <w:jc w:val="right"/>
              <w:rPr>
                <w:sz w:val="21"/>
                <w:szCs w:val="21"/>
                <w:lang w:val="fr-CA"/>
              </w:rPr>
            </w:pPr>
            <w:r w:rsidRPr="00206486">
              <w:rPr>
                <w:sz w:val="21"/>
                <w:szCs w:val="21"/>
                <w:lang w:val="fr-CA"/>
              </w:rPr>
              <w:t>725</w:t>
            </w:r>
          </w:p>
        </w:tc>
        <w:tc>
          <w:tcPr>
            <w:tcW w:w="1272" w:type="pct"/>
            <w:noWrap/>
            <w:tcMar>
              <w:top w:w="0" w:type="dxa"/>
              <w:left w:w="115" w:type="dxa"/>
              <w:bottom w:w="0" w:type="dxa"/>
              <w:right w:w="360" w:type="dxa"/>
            </w:tcMar>
            <w:vAlign w:val="bottom"/>
          </w:tcPr>
          <w:p w:rsidR="00FB0F9B" w:rsidRPr="00206486" w:rsidRDefault="00973255" w:rsidP="002B0AAE">
            <w:pPr>
              <w:widowControl w:val="0"/>
              <w:jc w:val="right"/>
              <w:rPr>
                <w:sz w:val="21"/>
                <w:szCs w:val="21"/>
                <w:lang w:val="fr-CA"/>
              </w:rPr>
            </w:pPr>
            <w:r w:rsidRPr="00206486">
              <w:rPr>
                <w:sz w:val="21"/>
                <w:szCs w:val="21"/>
                <w:lang w:val="fr-CA"/>
              </w:rPr>
              <w:t>6,</w:t>
            </w:r>
            <w:r w:rsidR="00FB0F9B" w:rsidRPr="00206486">
              <w:rPr>
                <w:sz w:val="21"/>
                <w:szCs w:val="21"/>
                <w:lang w:val="fr-CA"/>
              </w:rPr>
              <w:t>24</w:t>
            </w:r>
          </w:p>
        </w:tc>
        <w:tc>
          <w:tcPr>
            <w:tcW w:w="1272" w:type="pct"/>
            <w:tcMar>
              <w:top w:w="0" w:type="dxa"/>
              <w:left w:w="115" w:type="dxa"/>
              <w:bottom w:w="0" w:type="dxa"/>
              <w:right w:w="360" w:type="dxa"/>
            </w:tcMar>
            <w:vAlign w:val="bottom"/>
          </w:tcPr>
          <w:p w:rsidR="00FB0F9B" w:rsidRPr="00206486" w:rsidRDefault="00BD19D4" w:rsidP="002B0AAE">
            <w:pPr>
              <w:widowControl w:val="0"/>
              <w:jc w:val="right"/>
              <w:rPr>
                <w:sz w:val="21"/>
                <w:szCs w:val="21"/>
                <w:lang w:val="fr-CA"/>
              </w:rPr>
            </w:pPr>
            <w:r w:rsidRPr="00206486">
              <w:rPr>
                <w:sz w:val="21"/>
                <w:szCs w:val="21"/>
                <w:lang w:val="fr-CA"/>
              </w:rPr>
              <w:t>4 </w:t>
            </w:r>
            <w:r w:rsidR="00FB0F9B" w:rsidRPr="00206486">
              <w:rPr>
                <w:sz w:val="21"/>
                <w:szCs w:val="21"/>
                <w:lang w:val="fr-CA"/>
              </w:rPr>
              <w:t>520</w:t>
            </w:r>
          </w:p>
        </w:tc>
      </w:tr>
      <w:tr w:rsidR="00FB0F9B" w:rsidRPr="00206486" w:rsidTr="0053347D">
        <w:trPr>
          <w:trHeight w:val="187"/>
          <w:jc w:val="center"/>
        </w:trPr>
        <w:tc>
          <w:tcPr>
            <w:tcW w:w="1184" w:type="pct"/>
            <w:noWrap/>
            <w:tcMar>
              <w:top w:w="0" w:type="dxa"/>
              <w:left w:w="108" w:type="dxa"/>
              <w:bottom w:w="0" w:type="dxa"/>
              <w:right w:w="108" w:type="dxa"/>
            </w:tcMar>
            <w:vAlign w:val="bottom"/>
          </w:tcPr>
          <w:p w:rsidR="00FB0F9B" w:rsidRPr="00206486" w:rsidRDefault="00FB0F9B" w:rsidP="009A1BE2">
            <w:pPr>
              <w:widowControl w:val="0"/>
              <w:rPr>
                <w:b/>
                <w:sz w:val="21"/>
                <w:szCs w:val="21"/>
                <w:lang w:val="fr-CA"/>
              </w:rPr>
            </w:pPr>
            <w:r w:rsidRPr="00206486">
              <w:rPr>
                <w:b/>
                <w:sz w:val="21"/>
                <w:szCs w:val="21"/>
                <w:lang w:val="fr-CA"/>
              </w:rPr>
              <w:t>A</w:t>
            </w:r>
            <w:r w:rsidR="009A1BE2" w:rsidRPr="00206486">
              <w:rPr>
                <w:b/>
                <w:sz w:val="21"/>
                <w:szCs w:val="21"/>
                <w:lang w:val="fr-CA"/>
              </w:rPr>
              <w:t>près la</w:t>
            </w:r>
            <w:r w:rsidR="00AA3256" w:rsidRPr="00206486">
              <w:rPr>
                <w:b/>
                <w:sz w:val="21"/>
                <w:szCs w:val="21"/>
                <w:lang w:val="fr-CA"/>
              </w:rPr>
              <w:t xml:space="preserve"> reconversion</w:t>
            </w:r>
          </w:p>
        </w:tc>
        <w:tc>
          <w:tcPr>
            <w:tcW w:w="1272" w:type="pct"/>
            <w:tcMar>
              <w:top w:w="0" w:type="dxa"/>
              <w:left w:w="115" w:type="dxa"/>
              <w:bottom w:w="0" w:type="dxa"/>
              <w:right w:w="360" w:type="dxa"/>
            </w:tcMar>
            <w:vAlign w:val="bottom"/>
          </w:tcPr>
          <w:p w:rsidR="00FB0F9B" w:rsidRPr="00206486" w:rsidRDefault="00FB0F9B" w:rsidP="002B0AAE">
            <w:pPr>
              <w:widowControl w:val="0"/>
              <w:jc w:val="right"/>
              <w:rPr>
                <w:b/>
                <w:sz w:val="21"/>
                <w:szCs w:val="21"/>
                <w:lang w:val="fr-CA"/>
              </w:rPr>
            </w:pPr>
          </w:p>
        </w:tc>
        <w:tc>
          <w:tcPr>
            <w:tcW w:w="1272" w:type="pct"/>
            <w:noWrap/>
            <w:tcMar>
              <w:top w:w="0" w:type="dxa"/>
              <w:left w:w="115" w:type="dxa"/>
              <w:bottom w:w="0" w:type="dxa"/>
              <w:right w:w="360" w:type="dxa"/>
            </w:tcMar>
            <w:vAlign w:val="bottom"/>
          </w:tcPr>
          <w:p w:rsidR="00FB0F9B" w:rsidRPr="00206486" w:rsidRDefault="00FB0F9B" w:rsidP="002B0AAE">
            <w:pPr>
              <w:widowControl w:val="0"/>
              <w:jc w:val="right"/>
              <w:rPr>
                <w:b/>
                <w:sz w:val="21"/>
                <w:szCs w:val="21"/>
                <w:lang w:val="fr-CA"/>
              </w:rPr>
            </w:pPr>
          </w:p>
        </w:tc>
        <w:tc>
          <w:tcPr>
            <w:tcW w:w="1272" w:type="pct"/>
            <w:tcMar>
              <w:top w:w="0" w:type="dxa"/>
              <w:left w:w="115" w:type="dxa"/>
              <w:bottom w:w="0" w:type="dxa"/>
              <w:right w:w="360" w:type="dxa"/>
            </w:tcMar>
            <w:vAlign w:val="bottom"/>
          </w:tcPr>
          <w:p w:rsidR="00FB0F9B" w:rsidRPr="00206486" w:rsidRDefault="00FB0F9B" w:rsidP="002B0AAE">
            <w:pPr>
              <w:widowControl w:val="0"/>
              <w:jc w:val="right"/>
              <w:rPr>
                <w:b/>
                <w:sz w:val="21"/>
                <w:szCs w:val="21"/>
                <w:lang w:val="fr-CA"/>
              </w:rPr>
            </w:pPr>
          </w:p>
        </w:tc>
      </w:tr>
      <w:tr w:rsidR="00FB0F9B" w:rsidRPr="00206486" w:rsidTr="0053347D">
        <w:trPr>
          <w:trHeight w:val="187"/>
          <w:jc w:val="center"/>
        </w:trPr>
        <w:tc>
          <w:tcPr>
            <w:tcW w:w="1184" w:type="pct"/>
            <w:noWrap/>
            <w:tcMar>
              <w:top w:w="0" w:type="dxa"/>
              <w:left w:w="108" w:type="dxa"/>
              <w:bottom w:w="0" w:type="dxa"/>
              <w:right w:w="108" w:type="dxa"/>
            </w:tcMar>
            <w:vAlign w:val="bottom"/>
          </w:tcPr>
          <w:p w:rsidR="00FB0F9B" w:rsidRPr="00206486" w:rsidRDefault="009A1BE2" w:rsidP="009A1BE2">
            <w:pPr>
              <w:widowControl w:val="0"/>
              <w:rPr>
                <w:sz w:val="21"/>
                <w:szCs w:val="21"/>
                <w:lang w:val="fr-CA"/>
              </w:rPr>
            </w:pPr>
            <w:r w:rsidRPr="00206486">
              <w:rPr>
                <w:sz w:val="21"/>
                <w:szCs w:val="21"/>
                <w:lang w:val="fr-CA"/>
              </w:rPr>
              <w:t xml:space="preserve">Formulations avec </w:t>
            </w:r>
            <w:r w:rsidR="00FB0F9B" w:rsidRPr="00206486">
              <w:rPr>
                <w:sz w:val="21"/>
                <w:szCs w:val="21"/>
                <w:lang w:val="fr-CA"/>
              </w:rPr>
              <w:t>HFO</w:t>
            </w:r>
          </w:p>
        </w:tc>
        <w:tc>
          <w:tcPr>
            <w:tcW w:w="1272" w:type="pct"/>
            <w:tcMar>
              <w:top w:w="0" w:type="dxa"/>
              <w:left w:w="115" w:type="dxa"/>
              <w:bottom w:w="0" w:type="dxa"/>
              <w:right w:w="360" w:type="dxa"/>
            </w:tcMar>
            <w:vAlign w:val="bottom"/>
          </w:tcPr>
          <w:p w:rsidR="00FB0F9B" w:rsidRPr="00206486" w:rsidRDefault="00FB0F9B" w:rsidP="002B0AAE">
            <w:pPr>
              <w:widowControl w:val="0"/>
              <w:jc w:val="right"/>
              <w:rPr>
                <w:sz w:val="21"/>
                <w:szCs w:val="21"/>
                <w:lang w:val="fr-CA"/>
              </w:rPr>
            </w:pPr>
            <w:r w:rsidRPr="00206486">
              <w:rPr>
                <w:sz w:val="21"/>
                <w:szCs w:val="21"/>
                <w:lang w:val="fr-CA"/>
              </w:rPr>
              <w:t>3</w:t>
            </w:r>
          </w:p>
        </w:tc>
        <w:tc>
          <w:tcPr>
            <w:tcW w:w="1272" w:type="pct"/>
            <w:noWrap/>
            <w:tcMar>
              <w:top w:w="0" w:type="dxa"/>
              <w:left w:w="115" w:type="dxa"/>
              <w:bottom w:w="0" w:type="dxa"/>
              <w:right w:w="360" w:type="dxa"/>
            </w:tcMar>
            <w:vAlign w:val="bottom"/>
          </w:tcPr>
          <w:p w:rsidR="00FB0F9B" w:rsidRPr="00206486" w:rsidRDefault="00973255" w:rsidP="002B0AAE">
            <w:pPr>
              <w:widowControl w:val="0"/>
              <w:jc w:val="right"/>
              <w:rPr>
                <w:sz w:val="21"/>
                <w:szCs w:val="21"/>
                <w:lang w:val="fr-CA"/>
              </w:rPr>
            </w:pPr>
            <w:r w:rsidRPr="00206486">
              <w:rPr>
                <w:sz w:val="21"/>
                <w:szCs w:val="21"/>
                <w:lang w:val="fr-CA"/>
              </w:rPr>
              <w:t>3,</w:t>
            </w:r>
            <w:r w:rsidR="00FB0F9B" w:rsidRPr="00206486">
              <w:rPr>
                <w:sz w:val="21"/>
                <w:szCs w:val="21"/>
                <w:lang w:val="fr-CA"/>
              </w:rPr>
              <w:t>48</w:t>
            </w:r>
          </w:p>
        </w:tc>
        <w:tc>
          <w:tcPr>
            <w:tcW w:w="1272" w:type="pct"/>
            <w:tcMar>
              <w:top w:w="0" w:type="dxa"/>
              <w:left w:w="115" w:type="dxa"/>
              <w:bottom w:w="0" w:type="dxa"/>
              <w:right w:w="360" w:type="dxa"/>
            </w:tcMar>
            <w:vAlign w:val="bottom"/>
          </w:tcPr>
          <w:p w:rsidR="00FB0F9B" w:rsidRPr="00206486" w:rsidRDefault="00FB0F9B" w:rsidP="002B0AAE">
            <w:pPr>
              <w:widowControl w:val="0"/>
              <w:jc w:val="right"/>
              <w:rPr>
                <w:sz w:val="21"/>
                <w:szCs w:val="21"/>
                <w:lang w:val="fr-CA"/>
              </w:rPr>
            </w:pPr>
            <w:r w:rsidRPr="00206486">
              <w:rPr>
                <w:sz w:val="21"/>
                <w:szCs w:val="21"/>
                <w:lang w:val="fr-CA"/>
              </w:rPr>
              <w:t>10</w:t>
            </w:r>
          </w:p>
        </w:tc>
      </w:tr>
      <w:tr w:rsidR="00FB0F9B" w:rsidRPr="00206486" w:rsidTr="0053347D">
        <w:trPr>
          <w:trHeight w:val="187"/>
          <w:jc w:val="center"/>
        </w:trPr>
        <w:tc>
          <w:tcPr>
            <w:tcW w:w="1184" w:type="pct"/>
            <w:noWrap/>
            <w:tcMar>
              <w:top w:w="0" w:type="dxa"/>
              <w:left w:w="108" w:type="dxa"/>
              <w:bottom w:w="0" w:type="dxa"/>
              <w:right w:w="108" w:type="dxa"/>
            </w:tcMar>
            <w:vAlign w:val="bottom"/>
          </w:tcPr>
          <w:p w:rsidR="00FB0F9B" w:rsidRPr="00206486" w:rsidRDefault="00FB0F9B" w:rsidP="002B0AAE">
            <w:pPr>
              <w:widowControl w:val="0"/>
              <w:rPr>
                <w:b/>
                <w:sz w:val="21"/>
                <w:szCs w:val="21"/>
                <w:lang w:val="fr-CA"/>
              </w:rPr>
            </w:pPr>
            <w:r w:rsidRPr="00206486">
              <w:rPr>
                <w:b/>
                <w:sz w:val="21"/>
                <w:szCs w:val="21"/>
                <w:lang w:val="fr-CA"/>
              </w:rPr>
              <w:t>Impact</w:t>
            </w:r>
          </w:p>
        </w:tc>
        <w:tc>
          <w:tcPr>
            <w:tcW w:w="1272" w:type="pct"/>
            <w:tcMar>
              <w:top w:w="0" w:type="dxa"/>
              <w:left w:w="115" w:type="dxa"/>
              <w:bottom w:w="0" w:type="dxa"/>
              <w:right w:w="360" w:type="dxa"/>
            </w:tcMar>
            <w:vAlign w:val="bottom"/>
          </w:tcPr>
          <w:p w:rsidR="00FB0F9B" w:rsidRPr="00206486" w:rsidRDefault="00FB0F9B" w:rsidP="002B0AAE">
            <w:pPr>
              <w:widowControl w:val="0"/>
              <w:jc w:val="right"/>
              <w:rPr>
                <w:b/>
                <w:sz w:val="21"/>
                <w:szCs w:val="21"/>
                <w:lang w:val="fr-CA"/>
              </w:rPr>
            </w:pPr>
          </w:p>
        </w:tc>
        <w:tc>
          <w:tcPr>
            <w:tcW w:w="1272" w:type="pct"/>
            <w:noWrap/>
            <w:tcMar>
              <w:top w:w="0" w:type="dxa"/>
              <w:left w:w="115" w:type="dxa"/>
              <w:bottom w:w="0" w:type="dxa"/>
              <w:right w:w="360" w:type="dxa"/>
            </w:tcMar>
            <w:vAlign w:val="bottom"/>
          </w:tcPr>
          <w:p w:rsidR="00FB0F9B" w:rsidRPr="00206486" w:rsidRDefault="00FB0F9B" w:rsidP="002B0AAE">
            <w:pPr>
              <w:widowControl w:val="0"/>
              <w:jc w:val="right"/>
              <w:rPr>
                <w:b/>
                <w:sz w:val="21"/>
                <w:szCs w:val="21"/>
                <w:highlight w:val="yellow"/>
                <w:lang w:val="fr-CA"/>
              </w:rPr>
            </w:pPr>
          </w:p>
        </w:tc>
        <w:tc>
          <w:tcPr>
            <w:tcW w:w="1272" w:type="pct"/>
            <w:tcMar>
              <w:top w:w="0" w:type="dxa"/>
              <w:left w:w="115" w:type="dxa"/>
              <w:bottom w:w="0" w:type="dxa"/>
              <w:right w:w="360" w:type="dxa"/>
            </w:tcMar>
            <w:vAlign w:val="bottom"/>
          </w:tcPr>
          <w:p w:rsidR="00FB0F9B" w:rsidRPr="00206486" w:rsidRDefault="00BD19D4" w:rsidP="002B0AAE">
            <w:pPr>
              <w:widowControl w:val="0"/>
              <w:jc w:val="right"/>
              <w:rPr>
                <w:b/>
                <w:sz w:val="21"/>
                <w:szCs w:val="21"/>
                <w:lang w:val="fr-CA"/>
              </w:rPr>
            </w:pPr>
            <w:r w:rsidRPr="00206486">
              <w:rPr>
                <w:b/>
                <w:sz w:val="21"/>
                <w:szCs w:val="21"/>
                <w:lang w:val="fr-CA"/>
              </w:rPr>
              <w:t>4 </w:t>
            </w:r>
            <w:r w:rsidR="00FB0F9B" w:rsidRPr="00206486">
              <w:rPr>
                <w:b/>
                <w:sz w:val="21"/>
                <w:szCs w:val="21"/>
                <w:lang w:val="fr-CA"/>
              </w:rPr>
              <w:t>510</w:t>
            </w:r>
          </w:p>
        </w:tc>
      </w:tr>
    </w:tbl>
    <w:p w:rsidR="00FB0F9B" w:rsidRPr="00206486" w:rsidRDefault="00FB0F9B" w:rsidP="00FB0F9B">
      <w:pPr>
        <w:pStyle w:val="Heading1"/>
        <w:numPr>
          <w:ilvl w:val="0"/>
          <w:numId w:val="0"/>
        </w:numPr>
        <w:spacing w:after="0"/>
        <w:rPr>
          <w:lang w:val="fr-CA"/>
        </w:rPr>
      </w:pPr>
    </w:p>
    <w:p w:rsidR="00FB0F9B" w:rsidRPr="00206486" w:rsidRDefault="00512280" w:rsidP="00FB0F9B">
      <w:pPr>
        <w:pStyle w:val="Heading1"/>
        <w:rPr>
          <w:lang w:val="fr-CA"/>
        </w:rPr>
      </w:pPr>
      <w:r w:rsidRPr="00206486">
        <w:rPr>
          <w:lang w:val="fr-CA"/>
        </w:rPr>
        <w:t xml:space="preserve">Les activités proposées dans le </w:t>
      </w:r>
      <w:r w:rsidR="00E27DB1" w:rsidRPr="00206486">
        <w:rPr>
          <w:lang w:val="fr-CA"/>
        </w:rPr>
        <w:t>secteur de l’entretien</w:t>
      </w:r>
      <w:r w:rsidR="00FB0F9B" w:rsidRPr="00206486">
        <w:rPr>
          <w:lang w:val="fr-CA"/>
        </w:rPr>
        <w:t xml:space="preserve">, </w:t>
      </w:r>
      <w:r w:rsidRPr="00206486">
        <w:rPr>
          <w:lang w:val="fr-CA"/>
        </w:rPr>
        <w:t xml:space="preserve">qui comprennent un meilleur confinement des </w:t>
      </w:r>
      <w:r w:rsidR="003B6C77" w:rsidRPr="00206486">
        <w:rPr>
          <w:lang w:val="fr-CA"/>
        </w:rPr>
        <w:t>frigorigène</w:t>
      </w:r>
      <w:r w:rsidR="00FB0F9B" w:rsidRPr="00206486">
        <w:rPr>
          <w:lang w:val="fr-CA"/>
        </w:rPr>
        <w:t xml:space="preserve">s </w:t>
      </w:r>
      <w:r w:rsidRPr="00206486">
        <w:rPr>
          <w:lang w:val="fr-CA"/>
        </w:rPr>
        <w:t>par la formation et la provision d’équipements</w:t>
      </w:r>
      <w:r w:rsidR="00FB0F9B" w:rsidRPr="00206486">
        <w:rPr>
          <w:lang w:val="fr-CA"/>
        </w:rPr>
        <w:t xml:space="preserve">, </w:t>
      </w:r>
      <w:r w:rsidRPr="00206486">
        <w:rPr>
          <w:lang w:val="fr-CA"/>
        </w:rPr>
        <w:t>permettront de réduire davantage la</w:t>
      </w:r>
      <w:r w:rsidR="00CC6054">
        <w:rPr>
          <w:lang w:val="fr-CA"/>
        </w:rPr>
        <w:t> </w:t>
      </w:r>
      <w:r w:rsidRPr="00206486">
        <w:rPr>
          <w:lang w:val="fr-CA"/>
        </w:rPr>
        <w:t xml:space="preserve">quantité de </w:t>
      </w:r>
      <w:r w:rsidR="0060390D" w:rsidRPr="00206486">
        <w:rPr>
          <w:lang w:val="fr-CA"/>
        </w:rPr>
        <w:t>HCFC</w:t>
      </w:r>
      <w:r w:rsidR="00FB0F9B" w:rsidRPr="00206486">
        <w:rPr>
          <w:lang w:val="fr-CA"/>
        </w:rPr>
        <w:noBreakHyphen/>
        <w:t>22</w:t>
      </w:r>
      <w:r w:rsidR="008904C7" w:rsidRPr="00206486">
        <w:rPr>
          <w:lang w:val="fr-CA"/>
        </w:rPr>
        <w:t xml:space="preserve"> utilisé</w:t>
      </w:r>
      <w:r w:rsidR="00CC6054">
        <w:rPr>
          <w:lang w:val="fr-CA"/>
        </w:rPr>
        <w:t>e</w:t>
      </w:r>
      <w:r w:rsidR="00FB0F9B" w:rsidRPr="00206486">
        <w:rPr>
          <w:lang w:val="fr-CA"/>
        </w:rPr>
        <w:t xml:space="preserve"> </w:t>
      </w:r>
      <w:r w:rsidRPr="00206486">
        <w:rPr>
          <w:lang w:val="fr-CA"/>
        </w:rPr>
        <w:t>pour l’</w:t>
      </w:r>
      <w:r w:rsidR="0070671A" w:rsidRPr="00206486">
        <w:rPr>
          <w:lang w:val="fr-CA"/>
        </w:rPr>
        <w:t>entretien en réfrigération</w:t>
      </w:r>
      <w:r w:rsidR="00FB0F9B" w:rsidRPr="00206486">
        <w:rPr>
          <w:lang w:val="fr-CA"/>
        </w:rPr>
        <w:t xml:space="preserve">. </w:t>
      </w:r>
      <w:r w:rsidRPr="00206486">
        <w:rPr>
          <w:lang w:val="fr-CA"/>
        </w:rPr>
        <w:t>Chaque</w:t>
      </w:r>
      <w:r w:rsidR="00FB0F9B" w:rsidRPr="00206486">
        <w:rPr>
          <w:lang w:val="fr-CA"/>
        </w:rPr>
        <w:t xml:space="preserve"> kilogramme </w:t>
      </w:r>
      <w:r w:rsidR="0060390D" w:rsidRPr="00206486">
        <w:rPr>
          <w:lang w:val="fr-CA"/>
        </w:rPr>
        <w:t>de HCFC</w:t>
      </w:r>
      <w:r w:rsidR="00FB0F9B" w:rsidRPr="00206486">
        <w:rPr>
          <w:lang w:val="fr-CA"/>
        </w:rPr>
        <w:t xml:space="preserve">-22 </w:t>
      </w:r>
      <w:r w:rsidRPr="00206486">
        <w:rPr>
          <w:lang w:val="fr-CA"/>
        </w:rPr>
        <w:t>non</w:t>
      </w:r>
      <w:r w:rsidR="00CC6054">
        <w:rPr>
          <w:lang w:val="fr-CA"/>
        </w:rPr>
        <w:t> </w:t>
      </w:r>
      <w:r w:rsidRPr="00206486">
        <w:rPr>
          <w:lang w:val="fr-CA"/>
        </w:rPr>
        <w:t>émis en raison des meilleures pratiques en réfrigération permettr</w:t>
      </w:r>
      <w:r w:rsidR="00206486">
        <w:rPr>
          <w:lang w:val="fr-CA"/>
        </w:rPr>
        <w:t>a</w:t>
      </w:r>
      <w:r w:rsidRPr="00206486">
        <w:rPr>
          <w:lang w:val="fr-CA"/>
        </w:rPr>
        <w:t xml:space="preserve"> d’économiser environ </w:t>
      </w:r>
      <w:r w:rsidR="00973255" w:rsidRPr="00206486">
        <w:rPr>
          <w:lang w:val="fr-CA"/>
        </w:rPr>
        <w:t>1,</w:t>
      </w:r>
      <w:r w:rsidR="00FB0F9B" w:rsidRPr="00206486">
        <w:rPr>
          <w:lang w:val="fr-CA"/>
        </w:rPr>
        <w:t>82</w:t>
      </w:r>
      <w:r w:rsidRPr="00206486">
        <w:rPr>
          <w:lang w:val="fr-CA"/>
        </w:rPr>
        <w:t xml:space="preserve"> tonne de</w:t>
      </w:r>
      <w:r w:rsidR="00FB0F9B" w:rsidRPr="00206486">
        <w:rPr>
          <w:lang w:val="fr-CA"/>
        </w:rPr>
        <w:t xml:space="preserve"> CO</w:t>
      </w:r>
      <w:r w:rsidR="00FB0F9B" w:rsidRPr="00206486">
        <w:rPr>
          <w:vertAlign w:val="subscript"/>
          <w:lang w:val="fr-CA"/>
        </w:rPr>
        <w:t>2</w:t>
      </w:r>
      <w:r w:rsidRPr="00206486">
        <w:rPr>
          <w:vertAlign w:val="subscript"/>
          <w:lang w:val="fr-CA"/>
        </w:rPr>
        <w:noBreakHyphen/>
      </w:r>
      <w:r w:rsidR="00FB0F9B" w:rsidRPr="00206486">
        <w:rPr>
          <w:lang w:val="fr-CA"/>
        </w:rPr>
        <w:t xml:space="preserve">eq. </w:t>
      </w:r>
      <w:r w:rsidRPr="00206486">
        <w:rPr>
          <w:lang w:val="fr-CA"/>
        </w:rPr>
        <w:t>Bien qu’un calcul de l’</w:t>
      </w:r>
      <w:r w:rsidR="00FB0F9B" w:rsidRPr="00206486">
        <w:rPr>
          <w:lang w:val="fr-CA"/>
        </w:rPr>
        <w:t xml:space="preserve">impact </w:t>
      </w:r>
      <w:r w:rsidRPr="00206486">
        <w:rPr>
          <w:lang w:val="fr-CA"/>
        </w:rPr>
        <w:t xml:space="preserve">sur le climat ne faisait pas partie du </w:t>
      </w:r>
      <w:r w:rsidR="00C306D5" w:rsidRPr="00206486">
        <w:rPr>
          <w:lang w:val="fr-CA"/>
        </w:rPr>
        <w:t>PGEH</w:t>
      </w:r>
      <w:r w:rsidR="00FB0F9B" w:rsidRPr="00206486">
        <w:rPr>
          <w:lang w:val="fr-CA"/>
        </w:rPr>
        <w:t xml:space="preserve">, </w:t>
      </w:r>
      <w:r w:rsidR="00AA3256" w:rsidRPr="00206486">
        <w:rPr>
          <w:lang w:val="fr-CA"/>
        </w:rPr>
        <w:t>les activités</w:t>
      </w:r>
      <w:r w:rsidR="00FB0F9B" w:rsidRPr="00206486">
        <w:rPr>
          <w:lang w:val="fr-CA"/>
        </w:rPr>
        <w:t xml:space="preserve"> </w:t>
      </w:r>
      <w:r w:rsidRPr="00206486">
        <w:rPr>
          <w:lang w:val="fr-CA"/>
        </w:rPr>
        <w:t xml:space="preserve">prévues par le </w:t>
      </w:r>
      <w:r w:rsidR="00FB0F9B" w:rsidRPr="00206486">
        <w:rPr>
          <w:lang w:val="fr-CA"/>
        </w:rPr>
        <w:t xml:space="preserve">Costa Rica, </w:t>
      </w:r>
      <w:r w:rsidRPr="00206486">
        <w:rPr>
          <w:lang w:val="fr-CA"/>
        </w:rPr>
        <w:t xml:space="preserve">en particulier ses efforts pour promouvoir des solutions de remplacement </w:t>
      </w:r>
      <w:r w:rsidR="00677924" w:rsidRPr="00206486">
        <w:rPr>
          <w:lang w:val="fr-CA"/>
        </w:rPr>
        <w:t>à faible potentiel de réchauffement de la planète</w:t>
      </w:r>
      <w:r w:rsidR="00FB0F9B" w:rsidRPr="00206486">
        <w:rPr>
          <w:lang w:val="fr-CA"/>
        </w:rPr>
        <w:t>,</w:t>
      </w:r>
      <w:r w:rsidRPr="00206486">
        <w:rPr>
          <w:lang w:val="fr-CA"/>
        </w:rPr>
        <w:t xml:space="preserve"> ainsi que la récupération et la réutilisation des </w:t>
      </w:r>
      <w:r w:rsidR="003B6C77" w:rsidRPr="00206486">
        <w:rPr>
          <w:lang w:val="fr-CA"/>
        </w:rPr>
        <w:t>frigorigène</w:t>
      </w:r>
      <w:r w:rsidRPr="00206486">
        <w:rPr>
          <w:lang w:val="fr-CA"/>
        </w:rPr>
        <w:t>s</w:t>
      </w:r>
      <w:r w:rsidR="00FB0F9B" w:rsidRPr="00206486">
        <w:rPr>
          <w:lang w:val="fr-CA"/>
        </w:rPr>
        <w:t xml:space="preserve">, </w:t>
      </w:r>
      <w:r w:rsidRPr="00206486">
        <w:rPr>
          <w:lang w:val="fr-CA"/>
        </w:rPr>
        <w:t xml:space="preserve">indiquent que </w:t>
      </w:r>
      <w:r w:rsidR="00C306D5" w:rsidRPr="00206486">
        <w:rPr>
          <w:lang w:val="fr-CA"/>
        </w:rPr>
        <w:t xml:space="preserve">la mise en oeuvre </w:t>
      </w:r>
      <w:r w:rsidRPr="00206486">
        <w:rPr>
          <w:lang w:val="fr-CA"/>
        </w:rPr>
        <w:t>du</w:t>
      </w:r>
      <w:r w:rsidR="00C306D5" w:rsidRPr="00206486">
        <w:rPr>
          <w:lang w:val="fr-CA"/>
        </w:rPr>
        <w:t xml:space="preserve"> PGEH</w:t>
      </w:r>
      <w:r w:rsidR="00FB0F9B" w:rsidRPr="00206486">
        <w:rPr>
          <w:lang w:val="fr-CA"/>
        </w:rPr>
        <w:t xml:space="preserve"> </w:t>
      </w:r>
      <w:r w:rsidRPr="00206486">
        <w:rPr>
          <w:lang w:val="fr-CA"/>
        </w:rPr>
        <w:t>réduira les émissions de</w:t>
      </w:r>
      <w:r w:rsidR="00FB0F9B" w:rsidRPr="00206486">
        <w:rPr>
          <w:lang w:val="fr-CA"/>
        </w:rPr>
        <w:t xml:space="preserve"> </w:t>
      </w:r>
      <w:r w:rsidR="003B6C77" w:rsidRPr="00206486">
        <w:rPr>
          <w:lang w:val="fr-CA"/>
        </w:rPr>
        <w:t>frigorigène</w:t>
      </w:r>
      <w:r w:rsidR="00FB0F9B" w:rsidRPr="00206486">
        <w:rPr>
          <w:lang w:val="fr-CA"/>
        </w:rPr>
        <w:t xml:space="preserve">s </w:t>
      </w:r>
      <w:r w:rsidRPr="00206486">
        <w:rPr>
          <w:lang w:val="fr-CA"/>
        </w:rPr>
        <w:t>dans l’</w:t>
      </w:r>
      <w:r w:rsidR="00FB0F9B" w:rsidRPr="00206486">
        <w:rPr>
          <w:lang w:val="fr-CA"/>
        </w:rPr>
        <w:t>atmosph</w:t>
      </w:r>
      <w:r w:rsidRPr="00206486">
        <w:rPr>
          <w:lang w:val="fr-CA"/>
        </w:rPr>
        <w:t>è</w:t>
      </w:r>
      <w:r w:rsidR="00FB0F9B" w:rsidRPr="00206486">
        <w:rPr>
          <w:lang w:val="fr-CA"/>
        </w:rPr>
        <w:t xml:space="preserve">re, </w:t>
      </w:r>
      <w:r w:rsidRPr="00206486">
        <w:rPr>
          <w:lang w:val="fr-CA"/>
        </w:rPr>
        <w:t>et</w:t>
      </w:r>
      <w:r w:rsidR="00CC6054">
        <w:rPr>
          <w:lang w:val="fr-CA"/>
        </w:rPr>
        <w:t> </w:t>
      </w:r>
      <w:r w:rsidRPr="00206486">
        <w:rPr>
          <w:lang w:val="fr-CA"/>
        </w:rPr>
        <w:t>entraîner</w:t>
      </w:r>
      <w:r w:rsidR="00CC6054">
        <w:rPr>
          <w:lang w:val="fr-CA"/>
        </w:rPr>
        <w:t>a</w:t>
      </w:r>
      <w:r w:rsidRPr="00206486">
        <w:rPr>
          <w:lang w:val="fr-CA"/>
        </w:rPr>
        <w:t xml:space="preserve"> donc des avantages pour le climat.</w:t>
      </w:r>
    </w:p>
    <w:p w:rsidR="00FB0F9B" w:rsidRPr="00206486" w:rsidRDefault="00FB0F9B" w:rsidP="00FB0F9B">
      <w:pPr>
        <w:keepNext/>
        <w:spacing w:after="240"/>
        <w:rPr>
          <w:b/>
          <w:lang w:val="fr-CA"/>
        </w:rPr>
      </w:pPr>
      <w:r w:rsidRPr="00206486">
        <w:rPr>
          <w:b/>
          <w:lang w:val="fr-CA"/>
        </w:rPr>
        <w:t>Co-</w:t>
      </w:r>
      <w:r w:rsidR="00512280" w:rsidRPr="00206486">
        <w:rPr>
          <w:b/>
          <w:lang w:val="fr-CA"/>
        </w:rPr>
        <w:t>financement</w:t>
      </w:r>
    </w:p>
    <w:p w:rsidR="00FB0F9B" w:rsidRPr="00206486" w:rsidRDefault="00512280" w:rsidP="00FB0F9B">
      <w:pPr>
        <w:pStyle w:val="Heading1"/>
        <w:rPr>
          <w:lang w:val="fr-CA"/>
        </w:rPr>
      </w:pPr>
      <w:r w:rsidRPr="00206486">
        <w:rPr>
          <w:lang w:val="fr-CA"/>
        </w:rPr>
        <w:t xml:space="preserve">Le </w:t>
      </w:r>
      <w:r w:rsidR="002B0AAE" w:rsidRPr="00206486">
        <w:rPr>
          <w:lang w:val="fr-CA"/>
        </w:rPr>
        <w:t>PNUD</w:t>
      </w:r>
      <w:r w:rsidR="00FB0F9B" w:rsidRPr="00206486">
        <w:rPr>
          <w:lang w:val="fr-CA"/>
        </w:rPr>
        <w:t xml:space="preserve"> </w:t>
      </w:r>
      <w:r w:rsidRPr="00206486">
        <w:rPr>
          <w:lang w:val="fr-CA"/>
        </w:rPr>
        <w:t xml:space="preserve">a déclaré que </w:t>
      </w:r>
      <w:r w:rsidR="00FB0F9B" w:rsidRPr="00206486">
        <w:rPr>
          <w:lang w:val="fr-CA"/>
        </w:rPr>
        <w:t xml:space="preserve">Refrigeracion Omega </w:t>
      </w:r>
      <w:r w:rsidR="00206486" w:rsidRPr="00206486">
        <w:rPr>
          <w:lang w:val="fr-CA"/>
        </w:rPr>
        <w:t>cofinancera</w:t>
      </w:r>
      <w:r w:rsidRPr="00206486">
        <w:rPr>
          <w:lang w:val="fr-CA"/>
        </w:rPr>
        <w:t xml:space="preserve"> les surcoûts d’investissement de</w:t>
      </w:r>
      <w:r w:rsidR="00CC6054">
        <w:rPr>
          <w:lang w:val="fr-CA"/>
        </w:rPr>
        <w:t> </w:t>
      </w:r>
      <w:r w:rsidR="00FB0F9B" w:rsidRPr="00206486">
        <w:rPr>
          <w:lang w:val="fr-CA"/>
        </w:rPr>
        <w:t>3</w:t>
      </w:r>
      <w:r w:rsidR="00BD19D4" w:rsidRPr="00206486">
        <w:rPr>
          <w:lang w:val="fr-CA"/>
        </w:rPr>
        <w:t>3</w:t>
      </w:r>
      <w:r w:rsidRPr="00206486">
        <w:rPr>
          <w:lang w:val="fr-CA"/>
        </w:rPr>
        <w:t> </w:t>
      </w:r>
      <w:r w:rsidR="00A60694" w:rsidRPr="00206486">
        <w:rPr>
          <w:lang w:val="fr-CA"/>
        </w:rPr>
        <w:t>000 $US</w:t>
      </w:r>
      <w:r w:rsidRPr="00206486">
        <w:rPr>
          <w:lang w:val="fr-CA"/>
        </w:rPr>
        <w:t xml:space="preserve"> pour la </w:t>
      </w:r>
      <w:r w:rsidR="00AA3256" w:rsidRPr="00206486">
        <w:rPr>
          <w:lang w:val="fr-CA"/>
        </w:rPr>
        <w:t>reconversion</w:t>
      </w:r>
      <w:r w:rsidR="00FB0F9B" w:rsidRPr="00206486">
        <w:rPr>
          <w:lang w:val="fr-CA"/>
        </w:rPr>
        <w:t xml:space="preserve"> </w:t>
      </w:r>
      <w:r w:rsidRPr="00206486">
        <w:rPr>
          <w:lang w:val="fr-CA"/>
        </w:rPr>
        <w:t xml:space="preserve">à la solution de remplacement sélectionnée </w:t>
      </w:r>
      <w:r w:rsidR="00677924" w:rsidRPr="00206486">
        <w:rPr>
          <w:lang w:val="fr-CA"/>
        </w:rPr>
        <w:t>à faible potentiel de</w:t>
      </w:r>
      <w:r w:rsidR="00CC6054">
        <w:rPr>
          <w:lang w:val="fr-CA"/>
        </w:rPr>
        <w:t> </w:t>
      </w:r>
      <w:r w:rsidR="00677924" w:rsidRPr="00206486">
        <w:rPr>
          <w:lang w:val="fr-CA"/>
        </w:rPr>
        <w:t>réchauffement de la planète</w:t>
      </w:r>
      <w:r w:rsidR="00FB0F9B" w:rsidRPr="00206486">
        <w:rPr>
          <w:lang w:val="fr-CA"/>
        </w:rPr>
        <w:t xml:space="preserve">. </w:t>
      </w:r>
      <w:r w:rsidRPr="00206486">
        <w:rPr>
          <w:lang w:val="fr-CA"/>
        </w:rPr>
        <w:t xml:space="preserve">En ce qui a trait aux </w:t>
      </w:r>
      <w:r w:rsidR="00AA3256" w:rsidRPr="00206486">
        <w:rPr>
          <w:lang w:val="fr-CA"/>
        </w:rPr>
        <w:t>activités</w:t>
      </w:r>
      <w:r w:rsidR="00FB0F9B" w:rsidRPr="00206486">
        <w:rPr>
          <w:lang w:val="fr-CA"/>
        </w:rPr>
        <w:t xml:space="preserve"> </w:t>
      </w:r>
      <w:r w:rsidRPr="00206486">
        <w:rPr>
          <w:lang w:val="fr-CA"/>
        </w:rPr>
        <w:t xml:space="preserve">en rapport avec le </w:t>
      </w:r>
      <w:r w:rsidR="00E27DB1" w:rsidRPr="00206486">
        <w:rPr>
          <w:lang w:val="fr-CA"/>
        </w:rPr>
        <w:t>secteur de l’entretien</w:t>
      </w:r>
      <w:r w:rsidR="00FB0F9B" w:rsidRPr="00206486">
        <w:rPr>
          <w:lang w:val="fr-CA"/>
        </w:rPr>
        <w:t xml:space="preserve">, </w:t>
      </w:r>
      <w:r w:rsidR="00F8445E" w:rsidRPr="00206486">
        <w:rPr>
          <w:lang w:val="fr-CA"/>
        </w:rPr>
        <w:t>le</w:t>
      </w:r>
      <w:r w:rsidR="00CC6054">
        <w:rPr>
          <w:lang w:val="fr-CA"/>
        </w:rPr>
        <w:t> </w:t>
      </w:r>
      <w:r w:rsidR="00F8445E" w:rsidRPr="00206486">
        <w:rPr>
          <w:lang w:val="fr-CA"/>
        </w:rPr>
        <w:t>gouvernement</w:t>
      </w:r>
      <w:r w:rsidR="0039010B" w:rsidRPr="00206486">
        <w:rPr>
          <w:lang w:val="fr-CA"/>
        </w:rPr>
        <w:t xml:space="preserve"> et </w:t>
      </w:r>
      <w:r w:rsidRPr="00206486">
        <w:rPr>
          <w:lang w:val="fr-CA"/>
        </w:rPr>
        <w:t xml:space="preserve">les </w:t>
      </w:r>
      <w:r w:rsidR="004A76B2" w:rsidRPr="00206486">
        <w:rPr>
          <w:lang w:val="fr-CA"/>
        </w:rPr>
        <w:t>intéressés</w:t>
      </w:r>
      <w:r w:rsidR="00FB0F9B" w:rsidRPr="00206486">
        <w:rPr>
          <w:lang w:val="fr-CA"/>
        </w:rPr>
        <w:t xml:space="preserve"> </w:t>
      </w:r>
      <w:r w:rsidRPr="00206486">
        <w:rPr>
          <w:lang w:val="fr-CA"/>
        </w:rPr>
        <w:t xml:space="preserve">viendront soutenir l’élaboration de </w:t>
      </w:r>
      <w:r w:rsidR="00FB0F9B" w:rsidRPr="00206486">
        <w:rPr>
          <w:lang w:val="fr-CA"/>
        </w:rPr>
        <w:t>programmes</w:t>
      </w:r>
      <w:r w:rsidR="0039010B" w:rsidRPr="00206486">
        <w:rPr>
          <w:lang w:val="fr-CA"/>
        </w:rPr>
        <w:t xml:space="preserve"> et </w:t>
      </w:r>
      <w:r w:rsidRPr="00206486">
        <w:rPr>
          <w:lang w:val="fr-CA"/>
        </w:rPr>
        <w:t xml:space="preserve">de </w:t>
      </w:r>
      <w:r w:rsidR="00594DA2" w:rsidRPr="00206486">
        <w:rPr>
          <w:lang w:val="fr-CA"/>
        </w:rPr>
        <w:t>projet</w:t>
      </w:r>
      <w:r w:rsidR="00FB0F9B" w:rsidRPr="00206486">
        <w:rPr>
          <w:lang w:val="fr-CA"/>
        </w:rPr>
        <w:t xml:space="preserve">s </w:t>
      </w:r>
      <w:r w:rsidRPr="00206486">
        <w:rPr>
          <w:lang w:val="fr-CA"/>
        </w:rPr>
        <w:t>à l’aide de</w:t>
      </w:r>
      <w:r w:rsidR="00CC6054">
        <w:rPr>
          <w:lang w:val="fr-CA"/>
        </w:rPr>
        <w:t> </w:t>
      </w:r>
      <w:r w:rsidRPr="00206486">
        <w:rPr>
          <w:lang w:val="fr-CA"/>
        </w:rPr>
        <w:t>leurs capacités techniques et logistiques</w:t>
      </w:r>
      <w:r w:rsidR="00FB0F9B" w:rsidRPr="00206486">
        <w:rPr>
          <w:lang w:val="fr-CA"/>
        </w:rPr>
        <w:t>.</w:t>
      </w:r>
    </w:p>
    <w:p w:rsidR="00FB0F9B" w:rsidRPr="00206486" w:rsidRDefault="0045323D" w:rsidP="00FB0F9B">
      <w:pPr>
        <w:pStyle w:val="Heading1"/>
        <w:keepNext/>
        <w:widowControl w:val="0"/>
        <w:numPr>
          <w:ilvl w:val="0"/>
          <w:numId w:val="0"/>
        </w:numPr>
        <w:rPr>
          <w:b/>
          <w:lang w:val="fr-CA"/>
        </w:rPr>
      </w:pPr>
      <w:r w:rsidRPr="00206486">
        <w:rPr>
          <w:b/>
          <w:lang w:val="fr-CA"/>
        </w:rPr>
        <w:t>Projet de p</w:t>
      </w:r>
      <w:r w:rsidR="00512280" w:rsidRPr="00206486">
        <w:rPr>
          <w:b/>
          <w:lang w:val="fr-CA"/>
        </w:rPr>
        <w:t xml:space="preserve">lan d’activités </w:t>
      </w:r>
      <w:r w:rsidR="00FB0F9B" w:rsidRPr="00206486">
        <w:rPr>
          <w:b/>
          <w:lang w:val="fr-CA"/>
        </w:rPr>
        <w:t xml:space="preserve">2018-2020 </w:t>
      </w:r>
      <w:r w:rsidRPr="00206486">
        <w:rPr>
          <w:b/>
          <w:lang w:val="fr-CA"/>
        </w:rPr>
        <w:t>du Fonds multilatéral</w:t>
      </w:r>
      <w:r w:rsidR="00FB0F9B" w:rsidRPr="00206486">
        <w:rPr>
          <w:b/>
          <w:lang w:val="fr-CA"/>
        </w:rPr>
        <w:t xml:space="preserve"> </w:t>
      </w:r>
    </w:p>
    <w:p w:rsidR="00FB0F9B" w:rsidRPr="00206486" w:rsidRDefault="0045323D" w:rsidP="00FB0F9B">
      <w:pPr>
        <w:pStyle w:val="Heading1"/>
        <w:keepNext/>
        <w:rPr>
          <w:lang w:val="fr-CA"/>
        </w:rPr>
      </w:pPr>
      <w:r w:rsidRPr="00206486">
        <w:rPr>
          <w:lang w:val="fr-CA"/>
        </w:rPr>
        <w:t xml:space="preserve">Le </w:t>
      </w:r>
      <w:r w:rsidR="002B0AAE" w:rsidRPr="00206486">
        <w:rPr>
          <w:lang w:val="fr-CA"/>
        </w:rPr>
        <w:t>PNUD</w:t>
      </w:r>
      <w:r w:rsidR="003B6C77" w:rsidRPr="00206486">
        <w:rPr>
          <w:lang w:val="fr-CA"/>
        </w:rPr>
        <w:t xml:space="preserve"> </w:t>
      </w:r>
      <w:r w:rsidRPr="00206486">
        <w:rPr>
          <w:lang w:val="fr-CA"/>
        </w:rPr>
        <w:t>demande</w:t>
      </w:r>
      <w:r w:rsidR="00206486">
        <w:rPr>
          <w:lang w:val="fr-CA"/>
        </w:rPr>
        <w:t xml:space="preserve"> </w:t>
      </w:r>
      <w:r w:rsidR="00BD19D4" w:rsidRPr="00206486">
        <w:rPr>
          <w:lang w:val="fr-CA"/>
        </w:rPr>
        <w:t>1 </w:t>
      </w:r>
      <w:r w:rsidR="00FB0F9B" w:rsidRPr="00206486">
        <w:rPr>
          <w:lang w:val="fr-CA"/>
        </w:rPr>
        <w:t>09</w:t>
      </w:r>
      <w:r w:rsidR="00973255" w:rsidRPr="00206486">
        <w:rPr>
          <w:lang w:val="fr-CA"/>
        </w:rPr>
        <w:t>9 </w:t>
      </w:r>
      <w:r w:rsidR="00FB0F9B" w:rsidRPr="00206486">
        <w:rPr>
          <w:lang w:val="fr-CA"/>
        </w:rPr>
        <w:t>17</w:t>
      </w:r>
      <w:r w:rsidR="00973255" w:rsidRPr="00206486">
        <w:rPr>
          <w:lang w:val="fr-CA"/>
        </w:rPr>
        <w:t>7</w:t>
      </w:r>
      <w:r w:rsidRPr="00206486">
        <w:rPr>
          <w:lang w:val="fr-CA"/>
        </w:rPr>
        <w:t> $US</w:t>
      </w:r>
      <w:r w:rsidR="00973255" w:rsidRPr="00206486">
        <w:rPr>
          <w:lang w:val="fr-CA"/>
        </w:rPr>
        <w:t> </w:t>
      </w:r>
      <w:r w:rsidR="00FB0F9B" w:rsidRPr="00206486">
        <w:rPr>
          <w:lang w:val="fr-CA"/>
        </w:rPr>
        <w:t xml:space="preserve">plus </w:t>
      </w:r>
      <w:r w:rsidRPr="00206486">
        <w:rPr>
          <w:lang w:val="fr-CA"/>
        </w:rPr>
        <w:t xml:space="preserve">des </w:t>
      </w:r>
      <w:r w:rsidR="00C306D5" w:rsidRPr="00206486">
        <w:rPr>
          <w:lang w:val="fr-CA"/>
        </w:rPr>
        <w:t>coûts d’appui d’agence</w:t>
      </w:r>
      <w:r w:rsidR="00FB0F9B" w:rsidRPr="00206486">
        <w:rPr>
          <w:lang w:val="fr-CA"/>
        </w:rPr>
        <w:t xml:space="preserve"> </w:t>
      </w:r>
      <w:r w:rsidRPr="00206486">
        <w:rPr>
          <w:lang w:val="fr-CA"/>
        </w:rPr>
        <w:t>pour</w:t>
      </w:r>
      <w:r w:rsidR="00FB0F9B" w:rsidRPr="00206486">
        <w:rPr>
          <w:lang w:val="fr-CA"/>
        </w:rPr>
        <w:t xml:space="preserve"> </w:t>
      </w:r>
      <w:r w:rsidR="00C306D5" w:rsidRPr="00206486">
        <w:rPr>
          <w:lang w:val="fr-CA"/>
        </w:rPr>
        <w:t>la mise en oeuvre de</w:t>
      </w:r>
      <w:r w:rsidR="00CC6054">
        <w:rPr>
          <w:lang w:val="fr-CA"/>
        </w:rPr>
        <w:t> </w:t>
      </w:r>
      <w:r w:rsidR="00AA3256" w:rsidRPr="00206486">
        <w:rPr>
          <w:lang w:val="fr-CA"/>
        </w:rPr>
        <w:t>la</w:t>
      </w:r>
      <w:r w:rsidR="00CC6054">
        <w:rPr>
          <w:lang w:val="fr-CA"/>
        </w:rPr>
        <w:t> </w:t>
      </w:r>
      <w:r w:rsidR="0060390D" w:rsidRPr="00206486">
        <w:rPr>
          <w:lang w:val="fr-CA"/>
        </w:rPr>
        <w:t>phase II</w:t>
      </w:r>
      <w:r w:rsidR="00FB0F9B" w:rsidRPr="00206486">
        <w:rPr>
          <w:lang w:val="fr-CA"/>
        </w:rPr>
        <w:t xml:space="preserve"> </w:t>
      </w:r>
      <w:r w:rsidR="00C306D5" w:rsidRPr="00206486">
        <w:rPr>
          <w:lang w:val="fr-CA"/>
        </w:rPr>
        <w:t>du PGEH</w:t>
      </w:r>
      <w:r w:rsidR="00FB0F9B" w:rsidRPr="00206486">
        <w:rPr>
          <w:lang w:val="fr-CA"/>
        </w:rPr>
        <w:t xml:space="preserve"> </w:t>
      </w:r>
      <w:r w:rsidR="0039010B" w:rsidRPr="00206486">
        <w:rPr>
          <w:lang w:val="fr-CA"/>
        </w:rPr>
        <w:t>du Costa Rica</w:t>
      </w:r>
      <w:r w:rsidR="00FB0F9B" w:rsidRPr="00206486">
        <w:rPr>
          <w:lang w:val="fr-CA"/>
        </w:rPr>
        <w:t xml:space="preserve">. </w:t>
      </w:r>
      <w:r w:rsidRPr="00206486">
        <w:rPr>
          <w:lang w:val="fr-CA"/>
        </w:rPr>
        <w:t>La valeur total</w:t>
      </w:r>
      <w:r w:rsidR="00206486">
        <w:rPr>
          <w:lang w:val="fr-CA"/>
        </w:rPr>
        <w:t>e</w:t>
      </w:r>
      <w:r w:rsidRPr="00206486">
        <w:rPr>
          <w:lang w:val="fr-CA"/>
        </w:rPr>
        <w:t xml:space="preserve"> demandée de </w:t>
      </w:r>
      <w:r w:rsidR="00FB0F9B" w:rsidRPr="00206486">
        <w:rPr>
          <w:lang w:val="fr-CA"/>
        </w:rPr>
        <w:t>20</w:t>
      </w:r>
      <w:r w:rsidR="00BD19D4" w:rsidRPr="00206486">
        <w:rPr>
          <w:lang w:val="fr-CA"/>
        </w:rPr>
        <w:t>1 </w:t>
      </w:r>
      <w:r w:rsidR="00FB0F9B" w:rsidRPr="00206486">
        <w:rPr>
          <w:lang w:val="fr-CA"/>
        </w:rPr>
        <w:t>860</w:t>
      </w:r>
      <w:r w:rsidRPr="00206486">
        <w:rPr>
          <w:lang w:val="fr-CA"/>
        </w:rPr>
        <w:t xml:space="preserve"> $US, incluant les coûts d’appui pour la période </w:t>
      </w:r>
      <w:r w:rsidR="00FB0F9B" w:rsidRPr="00206486">
        <w:rPr>
          <w:lang w:val="fr-CA"/>
        </w:rPr>
        <w:t>2018–202</w:t>
      </w:r>
      <w:r w:rsidR="00973255" w:rsidRPr="00206486">
        <w:rPr>
          <w:lang w:val="fr-CA"/>
        </w:rPr>
        <w:t>0</w:t>
      </w:r>
      <w:r w:rsidRPr="00206486">
        <w:rPr>
          <w:lang w:val="fr-CA"/>
        </w:rPr>
        <w:t>,</w:t>
      </w:r>
      <w:r w:rsidR="00973255" w:rsidRPr="00206486">
        <w:rPr>
          <w:lang w:val="fr-CA"/>
        </w:rPr>
        <w:t> </w:t>
      </w:r>
      <w:r w:rsidR="003B6C77" w:rsidRPr="00206486">
        <w:rPr>
          <w:lang w:val="fr-CA"/>
        </w:rPr>
        <w:t xml:space="preserve">est </w:t>
      </w:r>
      <w:r w:rsidRPr="00206486">
        <w:rPr>
          <w:lang w:val="fr-CA"/>
        </w:rPr>
        <w:t xml:space="preserve">de </w:t>
      </w:r>
      <w:r w:rsidR="00FB0F9B" w:rsidRPr="00206486">
        <w:rPr>
          <w:lang w:val="fr-CA"/>
        </w:rPr>
        <w:t>9</w:t>
      </w:r>
      <w:r w:rsidR="00973255" w:rsidRPr="00206486">
        <w:rPr>
          <w:lang w:val="fr-CA"/>
        </w:rPr>
        <w:t>0 </w:t>
      </w:r>
      <w:r w:rsidR="00FB0F9B" w:rsidRPr="00206486">
        <w:rPr>
          <w:lang w:val="fr-CA"/>
        </w:rPr>
        <w:t>250</w:t>
      </w:r>
      <w:r w:rsidRPr="00206486">
        <w:rPr>
          <w:lang w:val="fr-CA"/>
        </w:rPr>
        <w:t> $US</w:t>
      </w:r>
      <w:r w:rsidR="00FB0F9B" w:rsidRPr="00206486">
        <w:rPr>
          <w:lang w:val="fr-CA"/>
        </w:rPr>
        <w:t xml:space="preserve"> </w:t>
      </w:r>
      <w:r w:rsidRPr="00206486">
        <w:rPr>
          <w:lang w:val="fr-CA"/>
        </w:rPr>
        <w:t>inférieure au montant dans le plan d’activités</w:t>
      </w:r>
      <w:r w:rsidR="00FB0F9B" w:rsidRPr="00206486">
        <w:rPr>
          <w:lang w:val="fr-CA"/>
        </w:rPr>
        <w:t xml:space="preserve">. </w:t>
      </w:r>
    </w:p>
    <w:p w:rsidR="00FB0F9B" w:rsidRPr="00206486" w:rsidRDefault="0045323D" w:rsidP="00FB0F9B">
      <w:pPr>
        <w:pStyle w:val="Heading1"/>
        <w:numPr>
          <w:ilvl w:val="0"/>
          <w:numId w:val="0"/>
        </w:numPr>
        <w:rPr>
          <w:b/>
          <w:lang w:val="fr-CA"/>
        </w:rPr>
      </w:pPr>
      <w:r w:rsidRPr="00206486">
        <w:rPr>
          <w:b/>
          <w:lang w:val="fr-CA"/>
        </w:rPr>
        <w:t>Projet d’accord</w:t>
      </w:r>
      <w:r w:rsidR="00FB0F9B" w:rsidRPr="00206486">
        <w:rPr>
          <w:b/>
          <w:lang w:val="fr-CA"/>
        </w:rPr>
        <w:t xml:space="preserve"> </w:t>
      </w:r>
    </w:p>
    <w:p w:rsidR="00FB0F9B" w:rsidRPr="00206486" w:rsidRDefault="0045323D" w:rsidP="00FB0F9B">
      <w:pPr>
        <w:pStyle w:val="Heading1"/>
        <w:rPr>
          <w:lang w:val="fr-CA"/>
        </w:rPr>
      </w:pPr>
      <w:r w:rsidRPr="00206486">
        <w:rPr>
          <w:lang w:val="fr-CA"/>
        </w:rPr>
        <w:t xml:space="preserve">Un projet d’accord </w:t>
      </w:r>
      <w:r w:rsidR="003B6C77" w:rsidRPr="00206486">
        <w:rPr>
          <w:lang w:val="fr-CA"/>
        </w:rPr>
        <w:t>entre</w:t>
      </w:r>
      <w:r w:rsidR="00FB0F9B" w:rsidRPr="00206486">
        <w:rPr>
          <w:lang w:val="fr-CA"/>
        </w:rPr>
        <w:t xml:space="preserve"> </w:t>
      </w:r>
      <w:r w:rsidR="0039010B" w:rsidRPr="00206486">
        <w:rPr>
          <w:lang w:val="fr-CA"/>
        </w:rPr>
        <w:t xml:space="preserve">le gouvernement du Costa Rica et </w:t>
      </w:r>
      <w:r w:rsidR="00395AAE" w:rsidRPr="00206486">
        <w:rPr>
          <w:lang w:val="fr-CA"/>
        </w:rPr>
        <w:t>le Comité exécutif</w:t>
      </w:r>
      <w:r w:rsidRPr="00206486">
        <w:rPr>
          <w:lang w:val="fr-CA"/>
        </w:rPr>
        <w:t xml:space="preserve"> pour</w:t>
      </w:r>
      <w:r w:rsidR="00FB0F9B" w:rsidRPr="00206486">
        <w:rPr>
          <w:lang w:val="fr-CA"/>
        </w:rPr>
        <w:t xml:space="preserve"> </w:t>
      </w:r>
      <w:r w:rsidR="0039010B" w:rsidRPr="00206486">
        <w:rPr>
          <w:lang w:val="fr-CA"/>
        </w:rPr>
        <w:t>l’élimination</w:t>
      </w:r>
      <w:r w:rsidR="00FB0F9B" w:rsidRPr="00206486">
        <w:rPr>
          <w:lang w:val="fr-CA"/>
        </w:rPr>
        <w:t xml:space="preserve"> </w:t>
      </w:r>
      <w:r w:rsidR="0060390D" w:rsidRPr="00206486">
        <w:rPr>
          <w:lang w:val="fr-CA"/>
        </w:rPr>
        <w:t>de</w:t>
      </w:r>
      <w:r w:rsidRPr="00206486">
        <w:rPr>
          <w:lang w:val="fr-CA"/>
        </w:rPr>
        <w:t>s</w:t>
      </w:r>
      <w:r w:rsidR="0060390D" w:rsidRPr="00206486">
        <w:rPr>
          <w:lang w:val="fr-CA"/>
        </w:rPr>
        <w:t xml:space="preserve"> HCFC</w:t>
      </w:r>
      <w:r w:rsidR="00FB0F9B" w:rsidRPr="00206486">
        <w:rPr>
          <w:lang w:val="fr-CA"/>
        </w:rPr>
        <w:t xml:space="preserve"> </w:t>
      </w:r>
      <w:r w:rsidRPr="00206486">
        <w:rPr>
          <w:lang w:val="fr-CA"/>
        </w:rPr>
        <w:t xml:space="preserve">à </w:t>
      </w:r>
      <w:r w:rsidR="0060390D" w:rsidRPr="00206486">
        <w:rPr>
          <w:lang w:val="fr-CA"/>
        </w:rPr>
        <w:t>la phase II</w:t>
      </w:r>
      <w:r w:rsidR="00FB0F9B" w:rsidRPr="00206486">
        <w:rPr>
          <w:lang w:val="fr-CA"/>
        </w:rPr>
        <w:t xml:space="preserve"> </w:t>
      </w:r>
      <w:r w:rsidR="00C306D5" w:rsidRPr="00206486">
        <w:rPr>
          <w:lang w:val="fr-CA"/>
        </w:rPr>
        <w:t>du PGEH</w:t>
      </w:r>
      <w:r w:rsidR="003B6C77" w:rsidRPr="00206486">
        <w:rPr>
          <w:lang w:val="fr-CA"/>
        </w:rPr>
        <w:t xml:space="preserve"> est </w:t>
      </w:r>
      <w:r w:rsidR="0039010B" w:rsidRPr="00206486">
        <w:rPr>
          <w:lang w:val="fr-CA"/>
        </w:rPr>
        <w:t>contenu</w:t>
      </w:r>
      <w:r w:rsidR="00FB0F9B" w:rsidRPr="00206486">
        <w:rPr>
          <w:lang w:val="fr-CA"/>
        </w:rPr>
        <w:t xml:space="preserve"> </w:t>
      </w:r>
      <w:r w:rsidRPr="00206486">
        <w:rPr>
          <w:lang w:val="fr-CA"/>
        </w:rPr>
        <w:t>à l’annexe</w:t>
      </w:r>
      <w:r w:rsidR="00FB0F9B" w:rsidRPr="00206486">
        <w:rPr>
          <w:lang w:val="fr-CA"/>
        </w:rPr>
        <w:t xml:space="preserve"> I </w:t>
      </w:r>
      <w:r w:rsidRPr="00206486">
        <w:rPr>
          <w:lang w:val="fr-CA"/>
        </w:rPr>
        <w:t>du présent</w:t>
      </w:r>
      <w:r w:rsidR="00FB0F9B" w:rsidRPr="00206486">
        <w:rPr>
          <w:lang w:val="fr-CA"/>
        </w:rPr>
        <w:t xml:space="preserve"> document.</w:t>
      </w:r>
    </w:p>
    <w:p w:rsidR="00FB0F9B" w:rsidRPr="00206486" w:rsidRDefault="00FB0F9B" w:rsidP="00FB0F9B">
      <w:pPr>
        <w:pStyle w:val="Heading1"/>
        <w:numPr>
          <w:ilvl w:val="0"/>
          <w:numId w:val="0"/>
        </w:numPr>
        <w:rPr>
          <w:u w:val="single"/>
          <w:lang w:val="fr-CA"/>
        </w:rPr>
      </w:pPr>
      <w:r w:rsidRPr="00206486">
        <w:rPr>
          <w:u w:val="single"/>
          <w:lang w:val="fr-CA"/>
        </w:rPr>
        <w:t xml:space="preserve">Conclusion </w:t>
      </w:r>
    </w:p>
    <w:p w:rsidR="00FB0F9B" w:rsidRPr="00206486" w:rsidRDefault="0045323D" w:rsidP="00FB0F9B">
      <w:pPr>
        <w:pStyle w:val="Heading1"/>
        <w:rPr>
          <w:lang w:val="fr-CA"/>
        </w:rPr>
      </w:pPr>
      <w:r w:rsidRPr="00206486">
        <w:rPr>
          <w:lang w:val="fr-CA"/>
        </w:rPr>
        <w:t>La p</w:t>
      </w:r>
      <w:r w:rsidR="008904C7" w:rsidRPr="00206486">
        <w:rPr>
          <w:lang w:val="fr-CA"/>
        </w:rPr>
        <w:t>hase</w:t>
      </w:r>
      <w:r w:rsidR="00FB0F9B" w:rsidRPr="00206486">
        <w:rPr>
          <w:lang w:val="fr-CA"/>
        </w:rPr>
        <w:t xml:space="preserve"> I </w:t>
      </w:r>
      <w:r w:rsidR="00C306D5" w:rsidRPr="00206486">
        <w:rPr>
          <w:lang w:val="fr-CA"/>
        </w:rPr>
        <w:t>du PGEH</w:t>
      </w:r>
      <w:r w:rsidR="00FB0F9B" w:rsidRPr="00206486">
        <w:rPr>
          <w:lang w:val="fr-CA"/>
        </w:rPr>
        <w:t xml:space="preserve"> </w:t>
      </w:r>
      <w:r w:rsidR="0039010B" w:rsidRPr="00206486">
        <w:rPr>
          <w:lang w:val="fr-CA"/>
        </w:rPr>
        <w:t>du Costa Rica</w:t>
      </w:r>
      <w:r w:rsidR="003B6C77" w:rsidRPr="00206486">
        <w:rPr>
          <w:lang w:val="fr-CA"/>
        </w:rPr>
        <w:t xml:space="preserve"> a été</w:t>
      </w:r>
      <w:r w:rsidR="00FB0F9B" w:rsidRPr="00206486">
        <w:rPr>
          <w:lang w:val="fr-CA"/>
        </w:rPr>
        <w:t xml:space="preserve"> </w:t>
      </w:r>
      <w:r w:rsidRPr="00206486">
        <w:rPr>
          <w:lang w:val="fr-CA"/>
        </w:rPr>
        <w:t xml:space="preserve">mise en oeuvre et sera terminée en </w:t>
      </w:r>
      <w:r w:rsidR="00FB0F9B" w:rsidRPr="00206486">
        <w:rPr>
          <w:lang w:val="fr-CA"/>
        </w:rPr>
        <w:t>202</w:t>
      </w:r>
      <w:r w:rsidR="00973255" w:rsidRPr="00206486">
        <w:rPr>
          <w:lang w:val="fr-CA"/>
        </w:rPr>
        <w:t>1</w:t>
      </w:r>
      <w:r w:rsidRPr="00206486">
        <w:rPr>
          <w:lang w:val="fr-CA"/>
        </w:rPr>
        <w:t>.</w:t>
      </w:r>
      <w:r w:rsidR="00FB0F9B" w:rsidRPr="00206486">
        <w:rPr>
          <w:lang w:val="fr-CA"/>
        </w:rPr>
        <w:t xml:space="preserve"> </w:t>
      </w:r>
      <w:r w:rsidRPr="00206486">
        <w:rPr>
          <w:lang w:val="fr-CA"/>
        </w:rPr>
        <w:t xml:space="preserve">La consommation de </w:t>
      </w:r>
      <w:r w:rsidR="00AA3256" w:rsidRPr="00206486">
        <w:rPr>
          <w:lang w:val="fr-CA"/>
        </w:rPr>
        <w:t>HCFC</w:t>
      </w:r>
      <w:r w:rsidR="00FB0F9B" w:rsidRPr="00206486">
        <w:rPr>
          <w:lang w:val="fr-CA"/>
        </w:rPr>
        <w:t xml:space="preserve"> </w:t>
      </w:r>
      <w:r w:rsidRPr="00206486">
        <w:rPr>
          <w:lang w:val="fr-CA"/>
        </w:rPr>
        <w:t>de</w:t>
      </w:r>
      <w:r w:rsidR="00FB0F9B" w:rsidRPr="00206486">
        <w:rPr>
          <w:lang w:val="fr-CA"/>
        </w:rPr>
        <w:t xml:space="preserve"> </w:t>
      </w:r>
      <w:r w:rsidR="00973255" w:rsidRPr="00206486">
        <w:rPr>
          <w:lang w:val="fr-CA"/>
        </w:rPr>
        <w:t>8,</w:t>
      </w:r>
      <w:r w:rsidR="00FB0F9B" w:rsidRPr="00206486">
        <w:rPr>
          <w:lang w:val="fr-CA"/>
        </w:rPr>
        <w:t>87</w:t>
      </w:r>
      <w:r w:rsidR="00C02492" w:rsidRPr="00206486">
        <w:rPr>
          <w:lang w:val="fr-CA"/>
        </w:rPr>
        <w:t xml:space="preserve"> tonnes PAO</w:t>
      </w:r>
      <w:r w:rsidR="00FB0F9B" w:rsidRPr="00206486">
        <w:rPr>
          <w:lang w:val="fr-CA"/>
        </w:rPr>
        <w:t xml:space="preserve"> </w:t>
      </w:r>
      <w:r w:rsidRPr="00206486">
        <w:rPr>
          <w:lang w:val="fr-CA"/>
        </w:rPr>
        <w:t xml:space="preserve">en 2018 était de </w:t>
      </w:r>
      <w:r w:rsidR="00FB0F9B" w:rsidRPr="00206486">
        <w:rPr>
          <w:lang w:val="fr-CA"/>
        </w:rPr>
        <w:t xml:space="preserve">30 </w:t>
      </w:r>
      <w:r w:rsidR="0060390D" w:rsidRPr="00206486">
        <w:rPr>
          <w:lang w:val="fr-CA"/>
        </w:rPr>
        <w:t>pour cent</w:t>
      </w:r>
      <w:r w:rsidR="00FB0F9B" w:rsidRPr="00206486">
        <w:rPr>
          <w:lang w:val="fr-CA"/>
        </w:rPr>
        <w:t xml:space="preserve"> </w:t>
      </w:r>
      <w:r w:rsidRPr="00206486">
        <w:rPr>
          <w:lang w:val="fr-CA"/>
        </w:rPr>
        <w:t>inférieure aux limites établies dans l’accord pour cette année</w:t>
      </w:r>
      <w:r w:rsidR="0039010B" w:rsidRPr="00206486">
        <w:rPr>
          <w:lang w:val="fr-CA"/>
        </w:rPr>
        <w:t xml:space="preserve"> et </w:t>
      </w:r>
      <w:r w:rsidRPr="00206486">
        <w:rPr>
          <w:lang w:val="fr-CA"/>
        </w:rPr>
        <w:t xml:space="preserve">de </w:t>
      </w:r>
      <w:r w:rsidR="00FB0F9B" w:rsidRPr="00206486">
        <w:rPr>
          <w:lang w:val="fr-CA"/>
        </w:rPr>
        <w:t xml:space="preserve">37 </w:t>
      </w:r>
      <w:r w:rsidR="0060390D" w:rsidRPr="00206486">
        <w:rPr>
          <w:lang w:val="fr-CA"/>
        </w:rPr>
        <w:t>pour cent</w:t>
      </w:r>
      <w:r w:rsidR="00FB0F9B" w:rsidRPr="00206486">
        <w:rPr>
          <w:lang w:val="fr-CA"/>
        </w:rPr>
        <w:t xml:space="preserve"> </w:t>
      </w:r>
      <w:r w:rsidRPr="00206486">
        <w:rPr>
          <w:lang w:val="fr-CA"/>
        </w:rPr>
        <w:t>inférieure à la valeur de référence</w:t>
      </w:r>
      <w:r w:rsidR="00FB0F9B" w:rsidRPr="00206486">
        <w:rPr>
          <w:lang w:val="fr-CA"/>
        </w:rPr>
        <w:t xml:space="preserve">. </w:t>
      </w:r>
      <w:r w:rsidR="00F8445E" w:rsidRPr="00206486">
        <w:rPr>
          <w:lang w:val="fr-CA"/>
        </w:rPr>
        <w:t>Le</w:t>
      </w:r>
      <w:r w:rsidRPr="00206486">
        <w:rPr>
          <w:lang w:val="fr-CA"/>
        </w:rPr>
        <w:t> </w:t>
      </w:r>
      <w:r w:rsidR="00F8445E" w:rsidRPr="00206486">
        <w:rPr>
          <w:lang w:val="fr-CA"/>
        </w:rPr>
        <w:t>gouvernement</w:t>
      </w:r>
      <w:r w:rsidR="00FB0F9B" w:rsidRPr="00206486">
        <w:rPr>
          <w:lang w:val="fr-CA"/>
        </w:rPr>
        <w:t xml:space="preserve"> propose </w:t>
      </w:r>
      <w:r w:rsidRPr="00206486">
        <w:rPr>
          <w:lang w:val="fr-CA"/>
        </w:rPr>
        <w:t xml:space="preserve">de réaliser une réduction de </w:t>
      </w:r>
      <w:r w:rsidR="00FB0F9B" w:rsidRPr="00206486">
        <w:rPr>
          <w:lang w:val="fr-CA"/>
        </w:rPr>
        <w:t>9</w:t>
      </w:r>
      <w:r w:rsidR="00973255" w:rsidRPr="00206486">
        <w:rPr>
          <w:lang w:val="fr-CA"/>
        </w:rPr>
        <w:t>7,</w:t>
      </w:r>
      <w:r w:rsidR="00FB0F9B" w:rsidRPr="00206486">
        <w:rPr>
          <w:lang w:val="fr-CA"/>
        </w:rPr>
        <w:t xml:space="preserve">5 </w:t>
      </w:r>
      <w:r w:rsidR="0060390D" w:rsidRPr="00206486">
        <w:rPr>
          <w:lang w:val="fr-CA"/>
        </w:rPr>
        <w:t>pour cent</w:t>
      </w:r>
      <w:r w:rsidR="00FB0F9B" w:rsidRPr="00206486">
        <w:rPr>
          <w:lang w:val="fr-CA"/>
        </w:rPr>
        <w:t xml:space="preserve"> </w:t>
      </w:r>
      <w:r w:rsidRPr="00206486">
        <w:rPr>
          <w:lang w:val="fr-CA"/>
        </w:rPr>
        <w:t>de l</w:t>
      </w:r>
      <w:r w:rsidR="00AA3256" w:rsidRPr="00206486">
        <w:rPr>
          <w:lang w:val="fr-CA"/>
        </w:rPr>
        <w:t>a consommation de HCFC</w:t>
      </w:r>
      <w:r w:rsidR="00FB0F9B" w:rsidRPr="00206486">
        <w:rPr>
          <w:lang w:val="fr-CA"/>
        </w:rPr>
        <w:t xml:space="preserve"> </w:t>
      </w:r>
      <w:r w:rsidR="0060390D" w:rsidRPr="00206486">
        <w:rPr>
          <w:lang w:val="fr-CA"/>
        </w:rPr>
        <w:t>d’ici</w:t>
      </w:r>
      <w:r w:rsidR="00CC6054">
        <w:rPr>
          <w:lang w:val="fr-CA"/>
        </w:rPr>
        <w:t> </w:t>
      </w:r>
      <w:r w:rsidR="0060390D" w:rsidRPr="00206486">
        <w:rPr>
          <w:lang w:val="fr-CA"/>
        </w:rPr>
        <w:t>20</w:t>
      </w:r>
      <w:r w:rsidR="00FB0F9B" w:rsidRPr="00206486">
        <w:rPr>
          <w:lang w:val="fr-CA"/>
        </w:rPr>
        <w:t xml:space="preserve">30; </w:t>
      </w:r>
      <w:r w:rsidRPr="00206486">
        <w:rPr>
          <w:lang w:val="fr-CA"/>
        </w:rPr>
        <w:t>il poursuivra l’exécution du</w:t>
      </w:r>
      <w:r w:rsidR="00FB0F9B" w:rsidRPr="00206486">
        <w:rPr>
          <w:lang w:val="fr-CA"/>
        </w:rPr>
        <w:t xml:space="preserve"> </w:t>
      </w:r>
      <w:r w:rsidR="003B6C77" w:rsidRPr="00206486">
        <w:rPr>
          <w:lang w:val="fr-CA"/>
        </w:rPr>
        <w:t xml:space="preserve">système d’autorisation et de contingentement </w:t>
      </w:r>
      <w:r w:rsidRPr="00206486">
        <w:rPr>
          <w:lang w:val="fr-CA"/>
        </w:rPr>
        <w:t>visant à réglementer les importations de</w:t>
      </w:r>
      <w:r w:rsidR="00FB0F9B" w:rsidRPr="00206486">
        <w:rPr>
          <w:lang w:val="fr-CA"/>
        </w:rPr>
        <w:t xml:space="preserve"> HCFC. </w:t>
      </w:r>
      <w:r w:rsidR="00AA3256" w:rsidRPr="00206486">
        <w:rPr>
          <w:lang w:val="fr-CA"/>
        </w:rPr>
        <w:t>Les activités</w:t>
      </w:r>
      <w:r w:rsidR="00FB0F9B" w:rsidRPr="00206486">
        <w:rPr>
          <w:lang w:val="fr-CA"/>
        </w:rPr>
        <w:t xml:space="preserve"> </w:t>
      </w:r>
      <w:r w:rsidRPr="00206486">
        <w:rPr>
          <w:lang w:val="fr-CA"/>
        </w:rPr>
        <w:t>prévues pour le</w:t>
      </w:r>
      <w:r w:rsidR="00FB0F9B" w:rsidRPr="00206486">
        <w:rPr>
          <w:lang w:val="fr-CA"/>
        </w:rPr>
        <w:t xml:space="preserve"> </w:t>
      </w:r>
      <w:r w:rsidR="00E27DB1" w:rsidRPr="00206486">
        <w:rPr>
          <w:lang w:val="fr-CA"/>
        </w:rPr>
        <w:t>secteur de l’entretien</w:t>
      </w:r>
      <w:r w:rsidR="00FB0F9B" w:rsidRPr="00206486">
        <w:rPr>
          <w:lang w:val="fr-CA"/>
        </w:rPr>
        <w:t xml:space="preserve"> </w:t>
      </w:r>
      <w:r w:rsidRPr="00206486">
        <w:rPr>
          <w:lang w:val="fr-CA"/>
        </w:rPr>
        <w:t>permettront au pays de</w:t>
      </w:r>
      <w:r w:rsidR="00CC6054">
        <w:rPr>
          <w:lang w:val="fr-CA"/>
        </w:rPr>
        <w:t> </w:t>
      </w:r>
      <w:r w:rsidRPr="00206486">
        <w:rPr>
          <w:lang w:val="fr-CA"/>
        </w:rPr>
        <w:t xml:space="preserve">réduire les </w:t>
      </w:r>
      <w:r w:rsidR="0060390D" w:rsidRPr="00206486">
        <w:rPr>
          <w:lang w:val="fr-CA"/>
        </w:rPr>
        <w:t>HCFC</w:t>
      </w:r>
      <w:r w:rsidR="008904C7" w:rsidRPr="00206486">
        <w:rPr>
          <w:lang w:val="fr-CA"/>
        </w:rPr>
        <w:t xml:space="preserve"> utilisé</w:t>
      </w:r>
      <w:r w:rsidRPr="00206486">
        <w:rPr>
          <w:lang w:val="fr-CA"/>
        </w:rPr>
        <w:t>s</w:t>
      </w:r>
      <w:r w:rsidR="00FB0F9B" w:rsidRPr="00206486">
        <w:rPr>
          <w:lang w:val="fr-CA"/>
        </w:rPr>
        <w:t xml:space="preserve"> </w:t>
      </w:r>
      <w:r w:rsidRPr="00206486">
        <w:rPr>
          <w:lang w:val="fr-CA"/>
        </w:rPr>
        <w:t>pour les équipements d’entretien</w:t>
      </w:r>
      <w:r w:rsidR="00FB0F9B" w:rsidRPr="00206486">
        <w:rPr>
          <w:lang w:val="fr-CA"/>
        </w:rPr>
        <w:t xml:space="preserve">. </w:t>
      </w:r>
      <w:r w:rsidRPr="00206486">
        <w:rPr>
          <w:lang w:val="fr-CA"/>
        </w:rPr>
        <w:t>La</w:t>
      </w:r>
      <w:r w:rsidR="00AA3256" w:rsidRPr="00206486">
        <w:rPr>
          <w:lang w:val="fr-CA"/>
        </w:rPr>
        <w:t xml:space="preserve"> reconversion</w:t>
      </w:r>
      <w:r w:rsidR="00FB0F9B" w:rsidRPr="00206486">
        <w:rPr>
          <w:lang w:val="fr-CA"/>
        </w:rPr>
        <w:t xml:space="preserve"> </w:t>
      </w:r>
      <w:r w:rsidRPr="00206486">
        <w:rPr>
          <w:lang w:val="fr-CA"/>
        </w:rPr>
        <w:t>de</w:t>
      </w:r>
      <w:r w:rsidR="00FB0F9B" w:rsidRPr="00206486">
        <w:rPr>
          <w:lang w:val="fr-CA"/>
        </w:rPr>
        <w:t xml:space="preserve"> Refrigeracion Omega</w:t>
      </w:r>
      <w:r w:rsidRPr="00206486">
        <w:rPr>
          <w:lang w:val="fr-CA"/>
        </w:rPr>
        <w:t xml:space="preserve"> éliminera </w:t>
      </w:r>
      <w:r w:rsidR="00973255" w:rsidRPr="00206486">
        <w:rPr>
          <w:lang w:val="fr-CA"/>
        </w:rPr>
        <w:t>6,</w:t>
      </w:r>
      <w:r w:rsidR="00FB0F9B" w:rsidRPr="00206486">
        <w:rPr>
          <w:lang w:val="fr-CA"/>
        </w:rPr>
        <w:t>24</w:t>
      </w:r>
      <w:r w:rsidR="0039010B" w:rsidRPr="00206486">
        <w:rPr>
          <w:lang w:val="fr-CA"/>
        </w:rPr>
        <w:t xml:space="preserve"> tm </w:t>
      </w:r>
      <w:r w:rsidR="00FB0F9B" w:rsidRPr="00206486">
        <w:rPr>
          <w:lang w:val="fr-CA"/>
        </w:rPr>
        <w:t>(</w:t>
      </w:r>
      <w:r w:rsidR="00973255" w:rsidRPr="00206486">
        <w:rPr>
          <w:lang w:val="fr-CA"/>
        </w:rPr>
        <w:t>0,</w:t>
      </w:r>
      <w:r w:rsidR="00FB0F9B" w:rsidRPr="00206486">
        <w:rPr>
          <w:lang w:val="fr-CA"/>
        </w:rPr>
        <w:t>69</w:t>
      </w:r>
      <w:r w:rsidR="00C02492" w:rsidRPr="00206486">
        <w:rPr>
          <w:lang w:val="fr-CA"/>
        </w:rPr>
        <w:t xml:space="preserve"> tonne PAO</w:t>
      </w:r>
      <w:r w:rsidR="00FB0F9B" w:rsidRPr="00206486">
        <w:rPr>
          <w:lang w:val="fr-CA"/>
        </w:rPr>
        <w:t xml:space="preserve">) </w:t>
      </w:r>
      <w:r w:rsidR="0060390D" w:rsidRPr="00206486">
        <w:rPr>
          <w:lang w:val="fr-CA"/>
        </w:rPr>
        <w:t>de HCFC</w:t>
      </w:r>
      <w:r w:rsidR="00FB0F9B" w:rsidRPr="00206486">
        <w:rPr>
          <w:lang w:val="fr-CA"/>
        </w:rPr>
        <w:t xml:space="preserve">-141b </w:t>
      </w:r>
      <w:r w:rsidR="0039010B" w:rsidRPr="00206486">
        <w:rPr>
          <w:lang w:val="fr-CA"/>
        </w:rPr>
        <w:t>contenu</w:t>
      </w:r>
      <w:r w:rsidR="00FB0F9B" w:rsidRPr="00206486">
        <w:rPr>
          <w:lang w:val="fr-CA"/>
        </w:rPr>
        <w:t xml:space="preserve"> </w:t>
      </w:r>
      <w:r w:rsidRPr="00206486">
        <w:rPr>
          <w:lang w:val="fr-CA"/>
        </w:rPr>
        <w:t>dans des</w:t>
      </w:r>
      <w:r w:rsidR="00FB0F9B" w:rsidRPr="00206486">
        <w:rPr>
          <w:lang w:val="fr-CA"/>
        </w:rPr>
        <w:t xml:space="preserve"> </w:t>
      </w:r>
      <w:r w:rsidR="00EB2126" w:rsidRPr="00206486">
        <w:rPr>
          <w:lang w:val="fr-CA"/>
        </w:rPr>
        <w:t>polyols prémélangés</w:t>
      </w:r>
      <w:r w:rsidR="00FB0F9B" w:rsidRPr="00206486">
        <w:rPr>
          <w:lang w:val="fr-CA"/>
        </w:rPr>
        <w:t>,</w:t>
      </w:r>
      <w:r w:rsidR="0039010B" w:rsidRPr="00206486">
        <w:rPr>
          <w:lang w:val="fr-CA"/>
        </w:rPr>
        <w:t xml:space="preserve"> et</w:t>
      </w:r>
      <w:r w:rsidR="00CC6054">
        <w:rPr>
          <w:lang w:val="fr-CA"/>
        </w:rPr>
        <w:t xml:space="preserve"> l’émission </w:t>
      </w:r>
      <w:r w:rsidR="00CC6054">
        <w:rPr>
          <w:lang w:val="fr-CA"/>
        </w:rPr>
        <w:lastRenderedPageBreak/>
        <w:t>d’</w:t>
      </w:r>
      <w:r w:rsidRPr="00206486">
        <w:rPr>
          <w:lang w:val="fr-CA"/>
        </w:rPr>
        <w:t>une</w:t>
      </w:r>
      <w:r w:rsidR="00CC6054">
        <w:rPr>
          <w:lang w:val="fr-CA"/>
        </w:rPr>
        <w:t> </w:t>
      </w:r>
      <w:r w:rsidRPr="00206486">
        <w:rPr>
          <w:lang w:val="fr-CA"/>
        </w:rPr>
        <w:t>interdiction sur cette importation a été prévue après l’achèvement du projet</w:t>
      </w:r>
      <w:r w:rsidR="00FB0F9B" w:rsidRPr="00206486">
        <w:rPr>
          <w:lang w:val="fr-CA"/>
        </w:rPr>
        <w:t xml:space="preserve">. </w:t>
      </w:r>
      <w:r w:rsidRPr="00206486">
        <w:rPr>
          <w:lang w:val="fr-CA"/>
        </w:rPr>
        <w:t>La c</w:t>
      </w:r>
      <w:r w:rsidR="00FB0F9B" w:rsidRPr="00206486">
        <w:rPr>
          <w:lang w:val="fr-CA"/>
        </w:rPr>
        <w:t xml:space="preserve">ertification </w:t>
      </w:r>
      <w:r w:rsidRPr="00206486">
        <w:rPr>
          <w:lang w:val="fr-CA"/>
        </w:rPr>
        <w:t>de</w:t>
      </w:r>
      <w:r w:rsidR="00CC6054">
        <w:rPr>
          <w:lang w:val="fr-CA"/>
        </w:rPr>
        <w:t> </w:t>
      </w:r>
      <w:r w:rsidRPr="00206486">
        <w:rPr>
          <w:lang w:val="fr-CA"/>
        </w:rPr>
        <w:t>t</w:t>
      </w:r>
      <w:r w:rsidR="00AA3256" w:rsidRPr="00206486">
        <w:rPr>
          <w:lang w:val="fr-CA"/>
        </w:rPr>
        <w:t>echnicien</w:t>
      </w:r>
      <w:r w:rsidR="00FB0F9B" w:rsidRPr="00206486">
        <w:rPr>
          <w:lang w:val="fr-CA"/>
        </w:rPr>
        <w:t xml:space="preserve">s </w:t>
      </w:r>
      <w:r w:rsidRPr="00206486">
        <w:rPr>
          <w:lang w:val="fr-CA"/>
        </w:rPr>
        <w:t xml:space="preserve">sera mise en oeuvre afin de soutenir la formation des </w:t>
      </w:r>
      <w:r w:rsidR="00AA3256" w:rsidRPr="00206486">
        <w:rPr>
          <w:lang w:val="fr-CA"/>
        </w:rPr>
        <w:t>technicien</w:t>
      </w:r>
      <w:r w:rsidR="00FB0F9B" w:rsidRPr="00206486">
        <w:rPr>
          <w:lang w:val="fr-CA"/>
        </w:rPr>
        <w:t xml:space="preserve">s. </w:t>
      </w:r>
      <w:r w:rsidRPr="00206486">
        <w:rPr>
          <w:lang w:val="fr-CA"/>
        </w:rPr>
        <w:t>La poursuite du</w:t>
      </w:r>
      <w:r w:rsidR="00CC6054">
        <w:rPr>
          <w:lang w:val="fr-CA"/>
        </w:rPr>
        <w:t> </w:t>
      </w:r>
      <w:r w:rsidR="00562770" w:rsidRPr="00206486">
        <w:rPr>
          <w:lang w:val="fr-CA"/>
        </w:rPr>
        <w:t>renforcement</w:t>
      </w:r>
      <w:r w:rsidR="00FB0F9B" w:rsidRPr="00206486">
        <w:rPr>
          <w:lang w:val="fr-CA"/>
        </w:rPr>
        <w:t xml:space="preserve"> </w:t>
      </w:r>
      <w:r w:rsidRPr="00206486">
        <w:rPr>
          <w:lang w:val="fr-CA"/>
        </w:rPr>
        <w:t xml:space="preserve">du </w:t>
      </w:r>
      <w:r w:rsidR="003B6C77" w:rsidRPr="00206486">
        <w:rPr>
          <w:lang w:val="fr-CA"/>
        </w:rPr>
        <w:t>cadre réglementaire</w:t>
      </w:r>
      <w:r w:rsidR="0039010B" w:rsidRPr="00206486">
        <w:rPr>
          <w:lang w:val="fr-CA"/>
        </w:rPr>
        <w:t xml:space="preserve"> et </w:t>
      </w:r>
      <w:r w:rsidRPr="00206486">
        <w:rPr>
          <w:lang w:val="fr-CA"/>
        </w:rPr>
        <w:t xml:space="preserve">la </w:t>
      </w:r>
      <w:r w:rsidR="00FB0F9B" w:rsidRPr="00206486">
        <w:rPr>
          <w:lang w:val="fr-CA"/>
        </w:rPr>
        <w:t xml:space="preserve">promotion </w:t>
      </w:r>
      <w:r w:rsidRPr="00206486">
        <w:rPr>
          <w:lang w:val="fr-CA"/>
        </w:rPr>
        <w:t xml:space="preserve">de solutions de remplacement </w:t>
      </w:r>
      <w:r w:rsidR="00677924" w:rsidRPr="00206486">
        <w:rPr>
          <w:lang w:val="fr-CA"/>
        </w:rPr>
        <w:t>à faible potentiel de réchauffement de la planète</w:t>
      </w:r>
      <w:r w:rsidR="00FB0F9B" w:rsidRPr="00206486">
        <w:rPr>
          <w:lang w:val="fr-CA"/>
        </w:rPr>
        <w:t xml:space="preserve"> </w:t>
      </w:r>
      <w:r w:rsidRPr="00206486">
        <w:rPr>
          <w:lang w:val="fr-CA"/>
        </w:rPr>
        <w:t xml:space="preserve">aideront le pays à réaliser l’élimination durable des </w:t>
      </w:r>
      <w:r w:rsidR="00FB0F9B" w:rsidRPr="00206486">
        <w:rPr>
          <w:lang w:val="fr-CA"/>
        </w:rPr>
        <w:t xml:space="preserve">HCFC. </w:t>
      </w:r>
    </w:p>
    <w:p w:rsidR="00FB0F9B" w:rsidRPr="00206486" w:rsidRDefault="00FB0F9B" w:rsidP="00FB0F9B">
      <w:pPr>
        <w:keepNext/>
        <w:spacing w:after="240"/>
        <w:rPr>
          <w:b/>
          <w:lang w:val="fr-CA"/>
        </w:rPr>
      </w:pPr>
      <w:r w:rsidRPr="00206486">
        <w:rPr>
          <w:b/>
          <w:lang w:val="fr-CA"/>
        </w:rPr>
        <w:t>RECOMM</w:t>
      </w:r>
      <w:r w:rsidR="00BF042B" w:rsidRPr="00206486">
        <w:rPr>
          <w:b/>
          <w:lang w:val="fr-CA"/>
        </w:rPr>
        <w:t>A</w:t>
      </w:r>
      <w:r w:rsidRPr="00206486">
        <w:rPr>
          <w:b/>
          <w:lang w:val="fr-CA"/>
        </w:rPr>
        <w:t xml:space="preserve">NDATION </w:t>
      </w:r>
    </w:p>
    <w:p w:rsidR="00FB0F9B" w:rsidRPr="00206486" w:rsidRDefault="00395AAE" w:rsidP="00FB0F9B">
      <w:pPr>
        <w:pStyle w:val="Heading1"/>
        <w:keepNext/>
        <w:rPr>
          <w:u w:val="single"/>
          <w:lang w:val="fr-CA"/>
        </w:rPr>
      </w:pPr>
      <w:r w:rsidRPr="00206486">
        <w:rPr>
          <w:lang w:val="fr-CA"/>
        </w:rPr>
        <w:t>Le Comité exécutif</w:t>
      </w:r>
      <w:r w:rsidR="00FB0F9B" w:rsidRPr="00206486">
        <w:rPr>
          <w:lang w:val="fr-CA"/>
        </w:rPr>
        <w:t xml:space="preserve"> </w:t>
      </w:r>
      <w:r w:rsidR="0045323D" w:rsidRPr="00206486">
        <w:rPr>
          <w:lang w:val="fr-CA"/>
        </w:rPr>
        <w:t>peut souhaiter</w:t>
      </w:r>
      <w:r w:rsidR="002B0AAE" w:rsidRPr="00206486">
        <w:rPr>
          <w:lang w:val="fr-CA"/>
        </w:rPr>
        <w:t xml:space="preserve"> : </w:t>
      </w:r>
    </w:p>
    <w:p w:rsidR="00FB0F9B" w:rsidRPr="00206486" w:rsidRDefault="00DC6C3D" w:rsidP="00FB0F9B">
      <w:pPr>
        <w:pStyle w:val="Heading2"/>
        <w:numPr>
          <w:ilvl w:val="1"/>
          <w:numId w:val="1"/>
        </w:numPr>
        <w:rPr>
          <w:lang w:val="fr-CA"/>
        </w:rPr>
      </w:pPr>
      <w:r w:rsidRPr="00206486">
        <w:rPr>
          <w:lang w:val="fr-CA"/>
        </w:rPr>
        <w:t xml:space="preserve">Approuver, en principe, </w:t>
      </w:r>
      <w:r w:rsidR="0060390D" w:rsidRPr="00206486">
        <w:rPr>
          <w:lang w:val="fr-CA"/>
        </w:rPr>
        <w:t>la phase II</w:t>
      </w:r>
      <w:r w:rsidR="00FB0F9B" w:rsidRPr="00206486">
        <w:rPr>
          <w:lang w:val="fr-CA"/>
        </w:rPr>
        <w:t xml:space="preserve"> </w:t>
      </w:r>
      <w:r w:rsidRPr="00206486">
        <w:rPr>
          <w:lang w:val="fr-CA"/>
        </w:rPr>
        <w:t xml:space="preserve">du plan </w:t>
      </w:r>
      <w:r w:rsidR="00BD19D4" w:rsidRPr="00206486">
        <w:rPr>
          <w:lang w:val="fr-CA"/>
        </w:rPr>
        <w:t>de gestion de l’élimination des HCFC</w:t>
      </w:r>
      <w:r w:rsidR="00FB0F9B" w:rsidRPr="00206486">
        <w:rPr>
          <w:lang w:val="fr-CA"/>
        </w:rPr>
        <w:t xml:space="preserve"> (</w:t>
      </w:r>
      <w:r w:rsidR="00BD19D4" w:rsidRPr="00206486">
        <w:rPr>
          <w:lang w:val="fr-CA"/>
        </w:rPr>
        <w:t>PGEH</w:t>
      </w:r>
      <w:r w:rsidR="00FB0F9B" w:rsidRPr="00206486">
        <w:rPr>
          <w:lang w:val="fr-CA"/>
        </w:rPr>
        <w:t xml:space="preserve">) </w:t>
      </w:r>
      <w:r w:rsidR="0039010B" w:rsidRPr="00206486">
        <w:rPr>
          <w:lang w:val="fr-CA"/>
        </w:rPr>
        <w:t>du Costa Rica</w:t>
      </w:r>
      <w:r w:rsidR="00FB0F9B" w:rsidRPr="00206486">
        <w:rPr>
          <w:lang w:val="fr-CA"/>
        </w:rPr>
        <w:t xml:space="preserve"> </w:t>
      </w:r>
      <w:r w:rsidRPr="00206486">
        <w:rPr>
          <w:lang w:val="fr-CA"/>
        </w:rPr>
        <w:t xml:space="preserve">pour la période </w:t>
      </w:r>
      <w:r w:rsidR="00FB0F9B" w:rsidRPr="00206486">
        <w:rPr>
          <w:lang w:val="fr-CA"/>
        </w:rPr>
        <w:t>2019</w:t>
      </w:r>
      <w:r w:rsidRPr="00206486">
        <w:rPr>
          <w:lang w:val="fr-CA"/>
        </w:rPr>
        <w:t>-</w:t>
      </w:r>
      <w:r w:rsidR="00FB0F9B" w:rsidRPr="00206486">
        <w:rPr>
          <w:lang w:val="fr-CA"/>
        </w:rPr>
        <w:t xml:space="preserve">2030 </w:t>
      </w:r>
      <w:r w:rsidRPr="00206486">
        <w:rPr>
          <w:lang w:val="fr-CA"/>
        </w:rPr>
        <w:t xml:space="preserve">afin de réduire la </w:t>
      </w:r>
      <w:r w:rsidR="00AA3256" w:rsidRPr="00206486">
        <w:rPr>
          <w:lang w:val="fr-CA"/>
        </w:rPr>
        <w:t>consommation de</w:t>
      </w:r>
      <w:r w:rsidR="007166EB">
        <w:rPr>
          <w:lang w:val="fr-CA"/>
        </w:rPr>
        <w:t> </w:t>
      </w:r>
      <w:r w:rsidR="00AA3256" w:rsidRPr="00206486">
        <w:rPr>
          <w:lang w:val="fr-CA"/>
        </w:rPr>
        <w:t>HCFC</w:t>
      </w:r>
      <w:r w:rsidR="00FB0F9B" w:rsidRPr="00206486">
        <w:rPr>
          <w:lang w:val="fr-CA"/>
        </w:rPr>
        <w:t xml:space="preserve"> </w:t>
      </w:r>
      <w:r w:rsidRPr="00206486">
        <w:rPr>
          <w:lang w:val="fr-CA"/>
        </w:rPr>
        <w:t xml:space="preserve">de </w:t>
      </w:r>
      <w:r w:rsidR="00FB0F9B" w:rsidRPr="00206486">
        <w:rPr>
          <w:lang w:val="fr-CA"/>
        </w:rPr>
        <w:t>9</w:t>
      </w:r>
      <w:r w:rsidR="00973255" w:rsidRPr="00206486">
        <w:rPr>
          <w:lang w:val="fr-CA"/>
        </w:rPr>
        <w:t>7,</w:t>
      </w:r>
      <w:r w:rsidR="00FB0F9B" w:rsidRPr="00206486">
        <w:rPr>
          <w:lang w:val="fr-CA"/>
        </w:rPr>
        <w:t>5 </w:t>
      </w:r>
      <w:r w:rsidR="0060390D" w:rsidRPr="00206486">
        <w:rPr>
          <w:lang w:val="fr-CA"/>
        </w:rPr>
        <w:t>pour cent</w:t>
      </w:r>
      <w:r w:rsidR="00FB0F9B" w:rsidRPr="00206486">
        <w:rPr>
          <w:lang w:val="fr-CA"/>
        </w:rPr>
        <w:t xml:space="preserve"> </w:t>
      </w:r>
      <w:r w:rsidRPr="00206486">
        <w:rPr>
          <w:lang w:val="fr-CA"/>
        </w:rPr>
        <w:t>de la valeur de référence du pays, pour un montant de</w:t>
      </w:r>
      <w:r w:rsidR="007166EB">
        <w:rPr>
          <w:lang w:val="fr-CA"/>
        </w:rPr>
        <w:t> </w:t>
      </w:r>
      <w:r w:rsidR="00BD19D4" w:rsidRPr="00206486">
        <w:rPr>
          <w:lang w:val="fr-CA"/>
        </w:rPr>
        <w:t>1 </w:t>
      </w:r>
      <w:r w:rsidR="00FB0F9B" w:rsidRPr="00206486">
        <w:rPr>
          <w:lang w:val="fr-CA"/>
        </w:rPr>
        <w:t>09</w:t>
      </w:r>
      <w:r w:rsidR="00973255" w:rsidRPr="00206486">
        <w:rPr>
          <w:lang w:val="fr-CA"/>
        </w:rPr>
        <w:t>9 </w:t>
      </w:r>
      <w:r w:rsidR="00FB0F9B" w:rsidRPr="00206486">
        <w:rPr>
          <w:lang w:val="fr-CA"/>
        </w:rPr>
        <w:t>17</w:t>
      </w:r>
      <w:r w:rsidR="00973255" w:rsidRPr="00206486">
        <w:rPr>
          <w:lang w:val="fr-CA"/>
        </w:rPr>
        <w:t>7</w:t>
      </w:r>
      <w:r w:rsidRPr="00206486">
        <w:rPr>
          <w:lang w:val="fr-CA"/>
        </w:rPr>
        <w:t> US,</w:t>
      </w:r>
      <w:r w:rsidR="00973255" w:rsidRPr="00206486">
        <w:rPr>
          <w:lang w:val="fr-CA"/>
        </w:rPr>
        <w:t> </w:t>
      </w:r>
      <w:r w:rsidR="00C306D5" w:rsidRPr="00206486">
        <w:rPr>
          <w:lang w:val="fr-CA"/>
        </w:rPr>
        <w:t xml:space="preserve">plus des coûts d’appui d’agence de </w:t>
      </w:r>
      <w:r w:rsidR="00FB0F9B" w:rsidRPr="00206486">
        <w:rPr>
          <w:lang w:val="fr-CA"/>
        </w:rPr>
        <w:t>7</w:t>
      </w:r>
      <w:r w:rsidR="00BD19D4" w:rsidRPr="00206486">
        <w:rPr>
          <w:lang w:val="fr-CA"/>
        </w:rPr>
        <w:t>6 </w:t>
      </w:r>
      <w:r w:rsidR="00FB0F9B" w:rsidRPr="00206486">
        <w:rPr>
          <w:lang w:val="fr-CA"/>
        </w:rPr>
        <w:t>942</w:t>
      </w:r>
      <w:r w:rsidRPr="00206486">
        <w:rPr>
          <w:lang w:val="fr-CA"/>
        </w:rPr>
        <w:t> $US</w:t>
      </w:r>
      <w:r w:rsidR="00FB0F9B" w:rsidRPr="00206486">
        <w:rPr>
          <w:lang w:val="fr-CA"/>
        </w:rPr>
        <w:t xml:space="preserve"> </w:t>
      </w:r>
      <w:r w:rsidRPr="00206486">
        <w:rPr>
          <w:lang w:val="fr-CA"/>
        </w:rPr>
        <w:t>pour le</w:t>
      </w:r>
      <w:r w:rsidR="00FB0F9B" w:rsidRPr="00206486">
        <w:rPr>
          <w:lang w:val="fr-CA"/>
        </w:rPr>
        <w:t xml:space="preserve"> </w:t>
      </w:r>
      <w:r w:rsidR="002B0AAE" w:rsidRPr="00206486">
        <w:rPr>
          <w:lang w:val="fr-CA"/>
        </w:rPr>
        <w:t>PNUD</w:t>
      </w:r>
      <w:r w:rsidR="00FB0F9B" w:rsidRPr="00206486">
        <w:rPr>
          <w:lang w:val="fr-CA"/>
        </w:rPr>
        <w:t xml:space="preserve">, </w:t>
      </w:r>
      <w:r w:rsidRPr="00206486">
        <w:rPr>
          <w:lang w:val="fr-CA"/>
        </w:rPr>
        <w:t xml:space="preserve">en étant entendu qu’aucun autre financement ne serait accordé par le </w:t>
      </w:r>
      <w:r w:rsidR="0045323D" w:rsidRPr="00206486">
        <w:rPr>
          <w:lang w:val="fr-CA"/>
        </w:rPr>
        <w:t>Fonds multilatéral</w:t>
      </w:r>
      <w:r w:rsidR="00FB0F9B" w:rsidRPr="00206486">
        <w:rPr>
          <w:lang w:val="fr-CA"/>
        </w:rPr>
        <w:t xml:space="preserve"> </w:t>
      </w:r>
      <w:r w:rsidRPr="00206486">
        <w:rPr>
          <w:lang w:val="fr-CA"/>
        </w:rPr>
        <w:t>pour</w:t>
      </w:r>
      <w:r w:rsidR="007166EB">
        <w:rPr>
          <w:lang w:val="fr-CA"/>
        </w:rPr>
        <w:t> </w:t>
      </w:r>
      <w:r w:rsidR="0039010B" w:rsidRPr="00206486">
        <w:rPr>
          <w:lang w:val="fr-CA"/>
        </w:rPr>
        <w:t>l’élimination</w:t>
      </w:r>
      <w:r w:rsidR="00FB0F9B" w:rsidRPr="00206486">
        <w:rPr>
          <w:lang w:val="fr-CA"/>
        </w:rPr>
        <w:t xml:space="preserve"> </w:t>
      </w:r>
      <w:r w:rsidR="0060390D" w:rsidRPr="00206486">
        <w:rPr>
          <w:lang w:val="fr-CA"/>
        </w:rPr>
        <w:t>de</w:t>
      </w:r>
      <w:r w:rsidRPr="00206486">
        <w:rPr>
          <w:lang w:val="fr-CA"/>
        </w:rPr>
        <w:t>s</w:t>
      </w:r>
      <w:r w:rsidR="0060390D" w:rsidRPr="00206486">
        <w:rPr>
          <w:lang w:val="fr-CA"/>
        </w:rPr>
        <w:t xml:space="preserve"> HCFC</w:t>
      </w:r>
      <w:r w:rsidR="00FB0F9B" w:rsidRPr="00206486">
        <w:rPr>
          <w:lang w:val="fr-CA"/>
        </w:rPr>
        <w:t xml:space="preserve">; </w:t>
      </w:r>
    </w:p>
    <w:p w:rsidR="00FB0F9B" w:rsidRPr="00206486" w:rsidRDefault="00DC6C3D" w:rsidP="00FB0F9B">
      <w:pPr>
        <w:pStyle w:val="Heading2"/>
        <w:numPr>
          <w:ilvl w:val="1"/>
          <w:numId w:val="1"/>
        </w:numPr>
        <w:rPr>
          <w:lang w:val="fr-CA"/>
        </w:rPr>
      </w:pPr>
      <w:r w:rsidRPr="00206486">
        <w:rPr>
          <w:lang w:val="fr-CA"/>
        </w:rPr>
        <w:t xml:space="preserve">Prendre note de l’engagement </w:t>
      </w:r>
      <w:r w:rsidR="00AA3256" w:rsidRPr="00206486">
        <w:rPr>
          <w:lang w:val="fr-CA"/>
        </w:rPr>
        <w:t xml:space="preserve">du </w:t>
      </w:r>
      <w:r w:rsidR="0039010B" w:rsidRPr="00206486">
        <w:rPr>
          <w:lang w:val="fr-CA"/>
        </w:rPr>
        <w:t>gouvernement du Costa Rica</w:t>
      </w:r>
      <w:r w:rsidR="002B0AAE" w:rsidRPr="00206486">
        <w:rPr>
          <w:lang w:val="fr-CA"/>
        </w:rPr>
        <w:t xml:space="preserve"> : </w:t>
      </w:r>
    </w:p>
    <w:p w:rsidR="00FB0F9B" w:rsidRPr="00206486" w:rsidRDefault="00DC6C3D" w:rsidP="00FB0F9B">
      <w:pPr>
        <w:pStyle w:val="Heading3"/>
        <w:numPr>
          <w:ilvl w:val="2"/>
          <w:numId w:val="1"/>
        </w:numPr>
        <w:rPr>
          <w:lang w:val="fr-CA"/>
        </w:rPr>
      </w:pPr>
      <w:r w:rsidRPr="00206486">
        <w:rPr>
          <w:lang w:val="fr-CA"/>
        </w:rPr>
        <w:t>À réduire l</w:t>
      </w:r>
      <w:r w:rsidR="00AA3256" w:rsidRPr="00206486">
        <w:rPr>
          <w:lang w:val="fr-CA"/>
        </w:rPr>
        <w:t>a consommation de HCFC</w:t>
      </w:r>
      <w:r w:rsidR="00FB0F9B" w:rsidRPr="00206486">
        <w:rPr>
          <w:lang w:val="fr-CA"/>
        </w:rPr>
        <w:t xml:space="preserve"> </w:t>
      </w:r>
      <w:r w:rsidRPr="00206486">
        <w:rPr>
          <w:lang w:val="fr-CA"/>
        </w:rPr>
        <w:t>de</w:t>
      </w:r>
      <w:r w:rsidR="00FB0F9B" w:rsidRPr="00206486">
        <w:rPr>
          <w:lang w:val="fr-CA"/>
        </w:rPr>
        <w:t xml:space="preserve"> 9</w:t>
      </w:r>
      <w:r w:rsidR="00973255" w:rsidRPr="00206486">
        <w:rPr>
          <w:lang w:val="fr-CA"/>
        </w:rPr>
        <w:t>7,</w:t>
      </w:r>
      <w:r w:rsidR="00FB0F9B" w:rsidRPr="00206486">
        <w:rPr>
          <w:lang w:val="fr-CA"/>
        </w:rPr>
        <w:t>5 </w:t>
      </w:r>
      <w:r w:rsidR="0060390D" w:rsidRPr="00206486">
        <w:rPr>
          <w:lang w:val="fr-CA"/>
        </w:rPr>
        <w:t>pour cent</w:t>
      </w:r>
      <w:r w:rsidR="00FB0F9B" w:rsidRPr="00206486">
        <w:rPr>
          <w:lang w:val="fr-CA"/>
        </w:rPr>
        <w:t xml:space="preserve"> </w:t>
      </w:r>
      <w:r w:rsidRPr="00206486">
        <w:rPr>
          <w:lang w:val="fr-CA"/>
        </w:rPr>
        <w:t>de la valeur de référence du pays</w:t>
      </w:r>
      <w:r w:rsidR="00FB0F9B" w:rsidRPr="00206486">
        <w:rPr>
          <w:lang w:val="fr-CA"/>
        </w:rPr>
        <w:t xml:space="preserve"> </w:t>
      </w:r>
      <w:r w:rsidR="0060390D" w:rsidRPr="00206486">
        <w:rPr>
          <w:lang w:val="fr-CA"/>
        </w:rPr>
        <w:t>d’ici 20</w:t>
      </w:r>
      <w:r w:rsidR="00FB0F9B" w:rsidRPr="00206486">
        <w:rPr>
          <w:lang w:val="fr-CA"/>
        </w:rPr>
        <w:t xml:space="preserve">30 </w:t>
      </w:r>
      <w:r w:rsidRPr="00206486">
        <w:rPr>
          <w:lang w:val="fr-CA"/>
        </w:rPr>
        <w:t xml:space="preserve">selon le calendrier d’élimination du </w:t>
      </w:r>
      <w:r w:rsidR="003B6C77" w:rsidRPr="00206486">
        <w:rPr>
          <w:lang w:val="fr-CA"/>
        </w:rPr>
        <w:t>Protocole de Montréal</w:t>
      </w:r>
      <w:r w:rsidR="00FB0F9B" w:rsidRPr="00206486">
        <w:rPr>
          <w:lang w:val="fr-CA"/>
        </w:rPr>
        <w:t xml:space="preserve">; </w:t>
      </w:r>
    </w:p>
    <w:p w:rsidR="00FB0F9B" w:rsidRPr="00206486" w:rsidRDefault="000562D2" w:rsidP="00FB0F9B">
      <w:pPr>
        <w:pStyle w:val="Heading3"/>
        <w:numPr>
          <w:ilvl w:val="2"/>
          <w:numId w:val="1"/>
        </w:numPr>
        <w:rPr>
          <w:lang w:val="fr-CA"/>
        </w:rPr>
      </w:pPr>
      <w:r w:rsidRPr="00206486">
        <w:rPr>
          <w:lang w:val="fr-CA"/>
        </w:rPr>
        <w:t xml:space="preserve">À émettre une interdiction sur les </w:t>
      </w:r>
      <w:r w:rsidR="00F8445E" w:rsidRPr="00206486">
        <w:rPr>
          <w:lang w:val="fr-CA"/>
        </w:rPr>
        <w:t>importations</w:t>
      </w:r>
      <w:r w:rsidR="00FB0F9B" w:rsidRPr="00206486">
        <w:rPr>
          <w:lang w:val="fr-CA"/>
        </w:rPr>
        <w:t xml:space="preserve"> </w:t>
      </w:r>
      <w:r w:rsidR="0060390D" w:rsidRPr="00206486">
        <w:rPr>
          <w:lang w:val="fr-CA"/>
        </w:rPr>
        <w:t>de HCFC</w:t>
      </w:r>
      <w:r w:rsidR="00FB0F9B" w:rsidRPr="00206486">
        <w:rPr>
          <w:lang w:val="fr-CA"/>
        </w:rPr>
        <w:noBreakHyphen/>
        <w:t xml:space="preserve">141b </w:t>
      </w:r>
      <w:r w:rsidR="0039010B" w:rsidRPr="00206486">
        <w:rPr>
          <w:lang w:val="fr-CA"/>
        </w:rPr>
        <w:t>contenu</w:t>
      </w:r>
      <w:r w:rsidR="00FB0F9B" w:rsidRPr="00206486">
        <w:rPr>
          <w:lang w:val="fr-CA"/>
        </w:rPr>
        <w:t xml:space="preserve"> </w:t>
      </w:r>
      <w:r w:rsidRPr="00206486">
        <w:rPr>
          <w:lang w:val="fr-CA"/>
        </w:rPr>
        <w:t>dans des</w:t>
      </w:r>
      <w:r w:rsidR="007166EB">
        <w:rPr>
          <w:lang w:val="fr-CA"/>
        </w:rPr>
        <w:t> </w:t>
      </w:r>
      <w:r w:rsidR="00EB2126" w:rsidRPr="00206486">
        <w:rPr>
          <w:lang w:val="fr-CA"/>
        </w:rPr>
        <w:t>polyols prémélangés</w:t>
      </w:r>
      <w:r w:rsidR="00FB0F9B" w:rsidRPr="00206486">
        <w:rPr>
          <w:lang w:val="fr-CA"/>
        </w:rPr>
        <w:t xml:space="preserve"> </w:t>
      </w:r>
      <w:r w:rsidRPr="00206486">
        <w:rPr>
          <w:lang w:val="fr-CA"/>
        </w:rPr>
        <w:t xml:space="preserve">lorsque </w:t>
      </w:r>
      <w:r w:rsidR="007166EB">
        <w:rPr>
          <w:lang w:val="fr-CA"/>
        </w:rPr>
        <w:t xml:space="preserve">sera terminée </w:t>
      </w:r>
      <w:r w:rsidRPr="00206486">
        <w:rPr>
          <w:lang w:val="fr-CA"/>
        </w:rPr>
        <w:t xml:space="preserve">la </w:t>
      </w:r>
      <w:r w:rsidR="00AA3256" w:rsidRPr="00206486">
        <w:rPr>
          <w:lang w:val="fr-CA"/>
        </w:rPr>
        <w:t>reconversion</w:t>
      </w:r>
      <w:r w:rsidR="00FB0F9B" w:rsidRPr="00206486">
        <w:rPr>
          <w:lang w:val="fr-CA"/>
        </w:rPr>
        <w:t xml:space="preserve"> </w:t>
      </w:r>
      <w:r w:rsidRPr="00206486">
        <w:rPr>
          <w:lang w:val="fr-CA"/>
        </w:rPr>
        <w:t>de</w:t>
      </w:r>
      <w:r w:rsidR="00FB0F9B" w:rsidRPr="00206486">
        <w:rPr>
          <w:lang w:val="fr-CA"/>
        </w:rPr>
        <w:t xml:space="preserve"> Refrigeracion Omega </w:t>
      </w:r>
      <w:r w:rsidRPr="00206486">
        <w:rPr>
          <w:lang w:val="fr-CA"/>
        </w:rPr>
        <w:t>pour éliminer</w:t>
      </w:r>
      <w:r w:rsidR="00FB0F9B" w:rsidRPr="00206486">
        <w:rPr>
          <w:lang w:val="fr-CA"/>
        </w:rPr>
        <w:t xml:space="preserve"> </w:t>
      </w:r>
      <w:r w:rsidR="00973255" w:rsidRPr="00206486">
        <w:rPr>
          <w:lang w:val="fr-CA"/>
        </w:rPr>
        <w:t>0,</w:t>
      </w:r>
      <w:r w:rsidR="00FB0F9B" w:rsidRPr="00206486">
        <w:rPr>
          <w:lang w:val="fr-CA"/>
        </w:rPr>
        <w:t>69</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noBreakHyphen/>
        <w:t xml:space="preserve">141b </w:t>
      </w:r>
      <w:r w:rsidRPr="00206486">
        <w:rPr>
          <w:lang w:val="fr-CA"/>
        </w:rPr>
        <w:t>dans des</w:t>
      </w:r>
      <w:r w:rsidR="00FB0F9B" w:rsidRPr="00206486">
        <w:rPr>
          <w:lang w:val="fr-CA"/>
        </w:rPr>
        <w:t xml:space="preserve"> </w:t>
      </w:r>
      <w:r w:rsidR="00EB2126" w:rsidRPr="00206486">
        <w:rPr>
          <w:lang w:val="fr-CA"/>
        </w:rPr>
        <w:t>polyols prémélangés</w:t>
      </w:r>
      <w:r w:rsidR="00FB0F9B" w:rsidRPr="00206486">
        <w:rPr>
          <w:lang w:val="fr-CA"/>
        </w:rPr>
        <w:t>;</w:t>
      </w:r>
    </w:p>
    <w:p w:rsidR="00FB0F9B" w:rsidRPr="00206486" w:rsidRDefault="000562D2" w:rsidP="00FB0F9B">
      <w:pPr>
        <w:pStyle w:val="Heading2"/>
        <w:numPr>
          <w:ilvl w:val="1"/>
          <w:numId w:val="1"/>
        </w:numPr>
        <w:rPr>
          <w:lang w:val="fr-CA"/>
        </w:rPr>
      </w:pPr>
      <w:r w:rsidRPr="00206486">
        <w:rPr>
          <w:lang w:val="fr-CA"/>
        </w:rPr>
        <w:t xml:space="preserve">Déduire </w:t>
      </w:r>
      <w:r w:rsidR="00973255" w:rsidRPr="00206486">
        <w:rPr>
          <w:lang w:val="fr-CA"/>
        </w:rPr>
        <w:t>9,</w:t>
      </w:r>
      <w:r w:rsidR="00FB0F9B" w:rsidRPr="00206486">
        <w:rPr>
          <w:lang w:val="fr-CA"/>
        </w:rPr>
        <w:t>46</w:t>
      </w:r>
      <w:r w:rsidR="00C02492" w:rsidRPr="00206486">
        <w:rPr>
          <w:lang w:val="fr-CA"/>
        </w:rPr>
        <w:t xml:space="preserve"> tonnes PAO</w:t>
      </w:r>
      <w:r w:rsidR="00FB0F9B" w:rsidRPr="00206486">
        <w:rPr>
          <w:lang w:val="fr-CA"/>
        </w:rPr>
        <w:t xml:space="preserve"> </w:t>
      </w:r>
      <w:r w:rsidR="0060390D" w:rsidRPr="00206486">
        <w:rPr>
          <w:lang w:val="fr-CA"/>
        </w:rPr>
        <w:t>de HCFC</w:t>
      </w:r>
      <w:r w:rsidR="00FB0F9B" w:rsidRPr="00206486">
        <w:rPr>
          <w:lang w:val="fr-CA"/>
        </w:rPr>
        <w:t xml:space="preserve"> </w:t>
      </w:r>
      <w:r w:rsidRPr="00206486">
        <w:rPr>
          <w:lang w:val="fr-CA"/>
        </w:rPr>
        <w:t xml:space="preserve">de la consommation de HCFC admissible restante pour le </w:t>
      </w:r>
      <w:r w:rsidR="00686F8A" w:rsidRPr="00206486">
        <w:rPr>
          <w:lang w:val="fr-CA"/>
        </w:rPr>
        <w:t>financement</w:t>
      </w:r>
      <w:r w:rsidR="00FB0F9B" w:rsidRPr="00206486">
        <w:rPr>
          <w:lang w:val="fr-CA"/>
        </w:rPr>
        <w:t xml:space="preserve">; </w:t>
      </w:r>
    </w:p>
    <w:p w:rsidR="00FB0F9B" w:rsidRPr="00206486" w:rsidRDefault="000562D2" w:rsidP="00FB0F9B">
      <w:pPr>
        <w:pStyle w:val="Heading2"/>
        <w:numPr>
          <w:ilvl w:val="1"/>
          <w:numId w:val="1"/>
        </w:numPr>
        <w:rPr>
          <w:lang w:val="fr-CA"/>
        </w:rPr>
      </w:pPr>
      <w:r w:rsidRPr="00206486">
        <w:rPr>
          <w:lang w:val="fr-CA"/>
        </w:rPr>
        <w:t xml:space="preserve">Approuver le projet d’entente </w:t>
      </w:r>
      <w:r w:rsidR="003B6C77" w:rsidRPr="00206486">
        <w:rPr>
          <w:lang w:val="fr-CA"/>
        </w:rPr>
        <w:t>entre</w:t>
      </w:r>
      <w:r w:rsidR="00FB0F9B" w:rsidRPr="00206486">
        <w:rPr>
          <w:lang w:val="fr-CA"/>
        </w:rPr>
        <w:t xml:space="preserve"> </w:t>
      </w:r>
      <w:r w:rsidR="0039010B" w:rsidRPr="00206486">
        <w:rPr>
          <w:lang w:val="fr-CA"/>
        </w:rPr>
        <w:t xml:space="preserve">le gouvernement du Costa Rica et </w:t>
      </w:r>
      <w:r w:rsidR="00395AAE" w:rsidRPr="00206486">
        <w:rPr>
          <w:lang w:val="fr-CA"/>
        </w:rPr>
        <w:t>le Comité exécutif</w:t>
      </w:r>
      <w:r w:rsidR="00FB0F9B" w:rsidRPr="00206486">
        <w:rPr>
          <w:lang w:val="fr-CA"/>
        </w:rPr>
        <w:t xml:space="preserve"> </w:t>
      </w:r>
      <w:r w:rsidRPr="00206486">
        <w:rPr>
          <w:lang w:val="fr-CA"/>
        </w:rPr>
        <w:t xml:space="preserve">pour la réduction de la </w:t>
      </w:r>
      <w:r w:rsidR="0039010B" w:rsidRPr="00206486">
        <w:rPr>
          <w:lang w:val="fr-CA"/>
        </w:rPr>
        <w:t>consommation</w:t>
      </w:r>
      <w:r w:rsidR="00FB0F9B" w:rsidRPr="00206486">
        <w:rPr>
          <w:lang w:val="fr-CA"/>
        </w:rPr>
        <w:t xml:space="preserve"> </w:t>
      </w:r>
      <w:r w:rsidR="0060390D" w:rsidRPr="00206486">
        <w:rPr>
          <w:lang w:val="fr-CA"/>
        </w:rPr>
        <w:t>de HCFC</w:t>
      </w:r>
      <w:r w:rsidR="00FB0F9B" w:rsidRPr="00206486">
        <w:rPr>
          <w:lang w:val="fr-CA"/>
        </w:rPr>
        <w:t xml:space="preserve">, </w:t>
      </w:r>
      <w:r w:rsidRPr="00206486">
        <w:rPr>
          <w:lang w:val="fr-CA"/>
        </w:rPr>
        <w:t xml:space="preserve">conformément à la </w:t>
      </w:r>
      <w:r w:rsidR="0060390D" w:rsidRPr="00206486">
        <w:rPr>
          <w:lang w:val="fr-CA"/>
        </w:rPr>
        <w:t>phase II</w:t>
      </w:r>
      <w:r w:rsidR="00FB0F9B" w:rsidRPr="00206486">
        <w:rPr>
          <w:lang w:val="fr-CA"/>
        </w:rPr>
        <w:t xml:space="preserve"> </w:t>
      </w:r>
      <w:r w:rsidR="00C306D5" w:rsidRPr="00206486">
        <w:rPr>
          <w:lang w:val="fr-CA"/>
        </w:rPr>
        <w:t>du PGEH</w:t>
      </w:r>
      <w:r w:rsidR="00FB0F9B" w:rsidRPr="00206486">
        <w:rPr>
          <w:lang w:val="fr-CA"/>
        </w:rPr>
        <w:t xml:space="preserve">, </w:t>
      </w:r>
      <w:r w:rsidRPr="00206486">
        <w:rPr>
          <w:lang w:val="fr-CA"/>
        </w:rPr>
        <w:t>figurant à l’annexe I du présent</w:t>
      </w:r>
      <w:r w:rsidR="00FB0F9B" w:rsidRPr="00206486">
        <w:rPr>
          <w:lang w:val="fr-CA"/>
        </w:rPr>
        <w:t xml:space="preserve"> document</w:t>
      </w:r>
      <w:r w:rsidR="00677924" w:rsidRPr="00206486">
        <w:rPr>
          <w:lang w:val="fr-CA"/>
        </w:rPr>
        <w:t>; et</w:t>
      </w:r>
    </w:p>
    <w:p w:rsidR="00FB0F9B" w:rsidRPr="00206486" w:rsidRDefault="000562D2" w:rsidP="00FB0F9B">
      <w:pPr>
        <w:pStyle w:val="Heading2"/>
        <w:numPr>
          <w:ilvl w:val="1"/>
          <w:numId w:val="1"/>
        </w:numPr>
        <w:rPr>
          <w:lang w:val="fr-CA"/>
        </w:rPr>
      </w:pPr>
      <w:r w:rsidRPr="00206486">
        <w:rPr>
          <w:lang w:val="fr-CA"/>
        </w:rPr>
        <w:t xml:space="preserve">Approuver </w:t>
      </w:r>
      <w:r w:rsidR="0060390D" w:rsidRPr="00206486">
        <w:rPr>
          <w:lang w:val="fr-CA"/>
        </w:rPr>
        <w:t>la première tranche</w:t>
      </w:r>
      <w:r w:rsidR="00FB0F9B" w:rsidRPr="00206486">
        <w:rPr>
          <w:lang w:val="fr-CA"/>
        </w:rPr>
        <w:t xml:space="preserve"> </w:t>
      </w:r>
      <w:r w:rsidR="008904C7" w:rsidRPr="00206486">
        <w:rPr>
          <w:lang w:val="fr-CA"/>
        </w:rPr>
        <w:t>de la phase</w:t>
      </w:r>
      <w:r w:rsidR="0060390D" w:rsidRPr="00206486">
        <w:rPr>
          <w:lang w:val="fr-CA"/>
        </w:rPr>
        <w:t xml:space="preserve"> II</w:t>
      </w:r>
      <w:r w:rsidR="00FB0F9B" w:rsidRPr="00206486">
        <w:rPr>
          <w:lang w:val="fr-CA"/>
        </w:rPr>
        <w:t xml:space="preserve"> </w:t>
      </w:r>
      <w:r w:rsidR="00C306D5" w:rsidRPr="00206486">
        <w:rPr>
          <w:lang w:val="fr-CA"/>
        </w:rPr>
        <w:t>du PGEH</w:t>
      </w:r>
      <w:r w:rsidR="00FB0F9B" w:rsidRPr="00206486">
        <w:rPr>
          <w:lang w:val="fr-CA"/>
        </w:rPr>
        <w:t xml:space="preserve"> </w:t>
      </w:r>
      <w:r w:rsidR="0039010B" w:rsidRPr="00206486">
        <w:rPr>
          <w:lang w:val="fr-CA"/>
        </w:rPr>
        <w:t>du Costa Rica</w:t>
      </w:r>
      <w:r w:rsidR="00FB0F9B" w:rsidRPr="00206486">
        <w:rPr>
          <w:lang w:val="fr-CA"/>
        </w:rPr>
        <w:t>,</w:t>
      </w:r>
      <w:r w:rsidR="0039010B" w:rsidRPr="00206486">
        <w:rPr>
          <w:lang w:val="fr-CA"/>
        </w:rPr>
        <w:t xml:space="preserve"> et </w:t>
      </w:r>
      <w:r w:rsidRPr="00206486">
        <w:rPr>
          <w:lang w:val="fr-CA"/>
        </w:rPr>
        <w:t>le plan correspondant de mise en oeuvre de la tranche</w:t>
      </w:r>
      <w:r w:rsidR="00FB0F9B" w:rsidRPr="00206486">
        <w:rPr>
          <w:lang w:val="fr-CA"/>
        </w:rPr>
        <w:t xml:space="preserve">, </w:t>
      </w:r>
      <w:r w:rsidRPr="00206486">
        <w:rPr>
          <w:lang w:val="fr-CA"/>
        </w:rPr>
        <w:t xml:space="preserve">au montant de </w:t>
      </w:r>
      <w:r w:rsidR="00FB0F9B" w:rsidRPr="00206486">
        <w:rPr>
          <w:lang w:val="fr-CA"/>
        </w:rPr>
        <w:t>18</w:t>
      </w:r>
      <w:r w:rsidR="00973255" w:rsidRPr="00206486">
        <w:rPr>
          <w:lang w:val="fr-CA"/>
        </w:rPr>
        <w:t>7 </w:t>
      </w:r>
      <w:r w:rsidR="00FB0F9B" w:rsidRPr="00206486">
        <w:rPr>
          <w:lang w:val="fr-CA"/>
        </w:rPr>
        <w:t>77</w:t>
      </w:r>
      <w:r w:rsidR="00973255" w:rsidRPr="00206486">
        <w:rPr>
          <w:lang w:val="fr-CA"/>
        </w:rPr>
        <w:t>7</w:t>
      </w:r>
      <w:r w:rsidRPr="00206486">
        <w:rPr>
          <w:lang w:val="fr-CA"/>
        </w:rPr>
        <w:t> $US</w:t>
      </w:r>
      <w:r w:rsidR="00973255" w:rsidRPr="00206486">
        <w:rPr>
          <w:lang w:val="fr-CA"/>
        </w:rPr>
        <w:t> </w:t>
      </w:r>
      <w:r w:rsidR="007166EB">
        <w:rPr>
          <w:lang w:val="fr-CA"/>
        </w:rPr>
        <w:t xml:space="preserve"> </w:t>
      </w:r>
      <w:r w:rsidR="00C306D5" w:rsidRPr="00206486">
        <w:rPr>
          <w:lang w:val="fr-CA"/>
        </w:rPr>
        <w:t>plus</w:t>
      </w:r>
      <w:r w:rsidR="007166EB">
        <w:rPr>
          <w:lang w:val="fr-CA"/>
        </w:rPr>
        <w:t> </w:t>
      </w:r>
      <w:r w:rsidR="00C306D5" w:rsidRPr="00206486">
        <w:rPr>
          <w:lang w:val="fr-CA"/>
        </w:rPr>
        <w:t>des</w:t>
      </w:r>
      <w:r w:rsidR="007166EB">
        <w:rPr>
          <w:lang w:val="fr-CA"/>
        </w:rPr>
        <w:t> </w:t>
      </w:r>
      <w:r w:rsidR="00C306D5" w:rsidRPr="00206486">
        <w:rPr>
          <w:lang w:val="fr-CA"/>
        </w:rPr>
        <w:t xml:space="preserve">coûts d’appui d’agence de </w:t>
      </w:r>
      <w:r w:rsidR="00FB0F9B" w:rsidRPr="00206486">
        <w:rPr>
          <w:lang w:val="fr-CA"/>
        </w:rPr>
        <w:t>1</w:t>
      </w:r>
      <w:r w:rsidR="00BD19D4" w:rsidRPr="00206486">
        <w:rPr>
          <w:lang w:val="fr-CA"/>
        </w:rPr>
        <w:t>3 </w:t>
      </w:r>
      <w:r w:rsidR="00FB0F9B" w:rsidRPr="00206486">
        <w:rPr>
          <w:lang w:val="fr-CA"/>
        </w:rPr>
        <w:t>144</w:t>
      </w:r>
      <w:r w:rsidR="00EC07A9" w:rsidRPr="00206486">
        <w:rPr>
          <w:lang w:val="fr-CA"/>
        </w:rPr>
        <w:t> $US</w:t>
      </w:r>
      <w:r w:rsidR="00FB0F9B" w:rsidRPr="00206486">
        <w:rPr>
          <w:lang w:val="fr-CA"/>
        </w:rPr>
        <w:t xml:space="preserve"> </w:t>
      </w:r>
      <w:r w:rsidR="00EC07A9" w:rsidRPr="00206486">
        <w:rPr>
          <w:lang w:val="fr-CA"/>
        </w:rPr>
        <w:t>pour le</w:t>
      </w:r>
      <w:r w:rsidR="00FB0F9B" w:rsidRPr="00206486">
        <w:rPr>
          <w:lang w:val="fr-CA"/>
        </w:rPr>
        <w:t xml:space="preserve"> </w:t>
      </w:r>
      <w:r w:rsidR="002B0AAE" w:rsidRPr="00206486">
        <w:rPr>
          <w:lang w:val="fr-CA"/>
        </w:rPr>
        <w:t>PNUD</w:t>
      </w:r>
      <w:r w:rsidR="00FB0F9B" w:rsidRPr="00206486">
        <w:rPr>
          <w:lang w:val="fr-CA"/>
        </w:rPr>
        <w:t>.</w:t>
      </w:r>
    </w:p>
    <w:p w:rsidR="00FB0F9B" w:rsidRPr="00206486" w:rsidRDefault="00FB0F9B" w:rsidP="00FB0F9B">
      <w:pPr>
        <w:rPr>
          <w:lang w:val="fr-CA"/>
        </w:rPr>
      </w:pPr>
    </w:p>
    <w:p w:rsidR="00FB0F9B" w:rsidRPr="00206486" w:rsidRDefault="00FB0F9B" w:rsidP="00FB0F9B">
      <w:pPr>
        <w:rPr>
          <w:lang w:val="fr-CA"/>
        </w:rPr>
        <w:sectPr w:rsidR="00FB0F9B" w:rsidRPr="00206486" w:rsidSect="002B0AAE">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FB0F9B" w:rsidRPr="00206486" w:rsidRDefault="00FB0F9B" w:rsidP="00FB0F9B">
      <w:pPr>
        <w:jc w:val="center"/>
        <w:rPr>
          <w:b/>
          <w:lang w:val="fr-CA"/>
        </w:rPr>
      </w:pPr>
      <w:r w:rsidRPr="00206486">
        <w:rPr>
          <w:b/>
          <w:lang w:val="fr-CA"/>
        </w:rPr>
        <w:lastRenderedPageBreak/>
        <w:t>Annex</w:t>
      </w:r>
      <w:r w:rsidR="00EC07A9" w:rsidRPr="00206486">
        <w:rPr>
          <w:b/>
          <w:lang w:val="fr-CA"/>
        </w:rPr>
        <w:t>e</w:t>
      </w:r>
      <w:r w:rsidRPr="00206486">
        <w:rPr>
          <w:b/>
          <w:lang w:val="fr-CA"/>
        </w:rPr>
        <w:t xml:space="preserve"> I</w:t>
      </w:r>
    </w:p>
    <w:p w:rsidR="00FB0F9B" w:rsidRPr="00206486" w:rsidRDefault="00FB0F9B" w:rsidP="00FB0F9B">
      <w:pPr>
        <w:jc w:val="center"/>
        <w:rPr>
          <w:b/>
          <w:lang w:val="fr-CA"/>
        </w:rPr>
      </w:pPr>
    </w:p>
    <w:p w:rsidR="00FB0F9B" w:rsidRPr="00206486" w:rsidRDefault="0063601E" w:rsidP="00C03E65">
      <w:pPr>
        <w:spacing w:after="240"/>
        <w:jc w:val="center"/>
        <w:rPr>
          <w:b/>
          <w:lang w:val="fr-CA"/>
        </w:rPr>
      </w:pPr>
      <w:r w:rsidRPr="00206486">
        <w:rPr>
          <w:b/>
          <w:lang w:val="fr-CA"/>
        </w:rPr>
        <w:t xml:space="preserve">PROJET D’ACCORD </w:t>
      </w:r>
      <w:r w:rsidR="003B6C77" w:rsidRPr="00206486">
        <w:rPr>
          <w:b/>
          <w:lang w:val="fr-CA"/>
        </w:rPr>
        <w:t>ENTRE</w:t>
      </w:r>
      <w:r w:rsidR="00FB0F9B" w:rsidRPr="00206486">
        <w:rPr>
          <w:b/>
          <w:lang w:val="fr-CA"/>
        </w:rPr>
        <w:t xml:space="preserve"> </w:t>
      </w:r>
      <w:r w:rsidR="0039010B" w:rsidRPr="00206486">
        <w:rPr>
          <w:b/>
          <w:lang w:val="fr-CA"/>
        </w:rPr>
        <w:t xml:space="preserve">LE GOUVERNEMENT DU COSTA RICA </w:t>
      </w:r>
      <w:r w:rsidRPr="00206486">
        <w:rPr>
          <w:b/>
          <w:lang w:val="fr-CA"/>
        </w:rPr>
        <w:t>ET</w:t>
      </w:r>
      <w:r w:rsidR="0039010B" w:rsidRPr="00206486">
        <w:rPr>
          <w:b/>
          <w:lang w:val="fr-CA"/>
        </w:rPr>
        <w:t xml:space="preserve"> </w:t>
      </w:r>
      <w:r w:rsidR="00395AAE" w:rsidRPr="00206486">
        <w:rPr>
          <w:b/>
          <w:lang w:val="fr-CA"/>
        </w:rPr>
        <w:t>LE COMITÉ EXÉCUTIF</w:t>
      </w:r>
      <w:r w:rsidR="00FB0F9B" w:rsidRPr="00206486">
        <w:rPr>
          <w:b/>
          <w:lang w:val="fr-CA"/>
        </w:rPr>
        <w:t xml:space="preserve"> </w:t>
      </w:r>
      <w:r w:rsidRPr="00206486">
        <w:rPr>
          <w:b/>
          <w:lang w:val="fr-CA"/>
        </w:rPr>
        <w:t xml:space="preserve">DU FONDS MULTILATÉRAL POUR LA RÉDUCTION DE LA </w:t>
      </w:r>
      <w:r w:rsidR="0039010B" w:rsidRPr="00206486">
        <w:rPr>
          <w:b/>
          <w:lang w:val="fr-CA"/>
        </w:rPr>
        <w:t>CONSOMMATION</w:t>
      </w:r>
      <w:r w:rsidR="00FB0F9B" w:rsidRPr="00206486">
        <w:rPr>
          <w:b/>
          <w:lang w:val="fr-CA"/>
        </w:rPr>
        <w:t xml:space="preserve"> </w:t>
      </w:r>
      <w:r w:rsidRPr="00206486">
        <w:rPr>
          <w:b/>
          <w:lang w:val="fr-CA"/>
        </w:rPr>
        <w:t>D’</w:t>
      </w:r>
      <w:r w:rsidR="00FB0F9B" w:rsidRPr="00206486">
        <w:rPr>
          <w:b/>
          <w:lang w:val="fr-CA"/>
        </w:rPr>
        <w:t>HYDROCHLOROFLUOROCARBON</w:t>
      </w:r>
      <w:r w:rsidRPr="00206486">
        <w:rPr>
          <w:b/>
          <w:lang w:val="fr-CA"/>
        </w:rPr>
        <w:t>E</w:t>
      </w:r>
      <w:r w:rsidR="00FB0F9B" w:rsidRPr="00206486">
        <w:rPr>
          <w:b/>
          <w:lang w:val="fr-CA"/>
        </w:rPr>
        <w:t xml:space="preserve">S </w:t>
      </w:r>
      <w:r w:rsidRPr="00206486">
        <w:rPr>
          <w:b/>
          <w:lang w:val="fr-CA"/>
        </w:rPr>
        <w:t>CONFORMÉMENT À LA PHASE II DU PLAN DE</w:t>
      </w:r>
      <w:r w:rsidR="000562D2" w:rsidRPr="00206486">
        <w:rPr>
          <w:b/>
          <w:lang w:val="fr-CA"/>
        </w:rPr>
        <w:t> </w:t>
      </w:r>
      <w:r w:rsidRPr="00206486">
        <w:rPr>
          <w:b/>
          <w:lang w:val="fr-CA"/>
        </w:rPr>
        <w:t>G</w:t>
      </w:r>
      <w:r w:rsidR="00BD19D4" w:rsidRPr="00206486">
        <w:rPr>
          <w:b/>
          <w:lang w:val="fr-CA"/>
        </w:rPr>
        <w:t>ESTION DE L’ÉLIMINATION DES HCFC</w:t>
      </w:r>
    </w:p>
    <w:p w:rsidR="00C03E65" w:rsidRPr="00C03E65" w:rsidRDefault="00C03E65" w:rsidP="00C03E65">
      <w:pPr>
        <w:rPr>
          <w:b/>
          <w:lang w:val="fr-CA"/>
        </w:rPr>
      </w:pPr>
      <w:r w:rsidRPr="00C03E65">
        <w:rPr>
          <w:b/>
          <w:lang w:val="fr-CA"/>
        </w:rPr>
        <w:t>Objectif</w:t>
      </w:r>
    </w:p>
    <w:p w:rsidR="00C03E65" w:rsidRPr="00C03E65" w:rsidRDefault="00C03E65" w:rsidP="00C03E65">
      <w:pPr>
        <w:rPr>
          <w:b/>
          <w:lang w:val="fr-CA"/>
        </w:rPr>
      </w:pPr>
    </w:p>
    <w:p w:rsidR="00C03E65" w:rsidRPr="00C03E65" w:rsidRDefault="00C03E65" w:rsidP="00C03E65">
      <w:pPr>
        <w:pStyle w:val="Heading1"/>
        <w:numPr>
          <w:ilvl w:val="0"/>
          <w:numId w:val="33"/>
        </w:numPr>
        <w:rPr>
          <w:lang w:val="fr-CA"/>
        </w:rPr>
      </w:pPr>
      <w:r w:rsidRPr="00C03E65">
        <w:rPr>
          <w:lang w:val="fr-CA"/>
        </w:rPr>
        <w:t>Le présent accord représente l’entente conclue entre le gouvernement du Costa Rica (le « Pays ») et le Comité exécutif en ce qui a trait à la réduction de l’usage réglementé des substances appauvrissant la couche d’ozone (SAO) indiquées à l’appendice 1-A (les « Substances ») à un niveau durable de 0,35 tonne PAO d’ici le 1</w:t>
      </w:r>
      <w:r w:rsidRPr="00C03E65">
        <w:rPr>
          <w:vertAlign w:val="superscript"/>
          <w:lang w:val="fr-CA"/>
        </w:rPr>
        <w:t>er</w:t>
      </w:r>
      <w:r w:rsidRPr="00C03E65">
        <w:rPr>
          <w:lang w:val="fr-CA"/>
        </w:rPr>
        <w:t xml:space="preserve"> janvier 2030, conformément au calendrier de réduction du Protocole Montréal.</w:t>
      </w:r>
    </w:p>
    <w:p w:rsidR="00C03E65" w:rsidRPr="00C03E65" w:rsidRDefault="00C03E65" w:rsidP="00C03E65">
      <w:pPr>
        <w:numPr>
          <w:ilvl w:val="0"/>
          <w:numId w:val="1"/>
        </w:numPr>
        <w:spacing w:after="240"/>
        <w:outlineLvl w:val="0"/>
        <w:rPr>
          <w:lang w:val="fr-CA"/>
        </w:rPr>
      </w:pPr>
      <w:r w:rsidRPr="00C03E65">
        <w:rPr>
          <w:lang w:val="fr-CA"/>
        </w:rPr>
        <w:t>Le pays convient de respecter les limites de consommation annuelle des Substances définies à la ligne 1.2 de l’Appendice 2-A (« Objectifs et financement ») du présent accord, ainsi que les limites de consommation annuelle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constituant la phase finale de réduction en vertu du présent accord pour toutes les substances spécifiées à l’Appendice 1-A, et pour toute consommation de chacune des substances dépassant le niveau défini aux lignes 4.1.3, 4.2.3, 4.3.3, 4.4.3, 4.5.3 et 4.6.3. (consommation restante admissible au financement).</w:t>
      </w:r>
    </w:p>
    <w:p w:rsidR="00C03E65" w:rsidRPr="00C03E65" w:rsidRDefault="00C03E65" w:rsidP="00C03E65">
      <w:pPr>
        <w:numPr>
          <w:ilvl w:val="0"/>
          <w:numId w:val="1"/>
        </w:numPr>
        <w:spacing w:after="240"/>
        <w:outlineLvl w:val="0"/>
        <w:rPr>
          <w:lang w:val="fr-CA"/>
        </w:rPr>
      </w:pPr>
      <w:r w:rsidRPr="00C03E65">
        <w:rPr>
          <w:lang w:val="fr-CA"/>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w:t>
      </w:r>
    </w:p>
    <w:p w:rsidR="00C03E65" w:rsidRPr="00C03E65" w:rsidRDefault="00C03E65" w:rsidP="00C03E65">
      <w:pPr>
        <w:numPr>
          <w:ilvl w:val="0"/>
          <w:numId w:val="1"/>
        </w:numPr>
        <w:spacing w:after="240"/>
        <w:outlineLvl w:val="0"/>
        <w:rPr>
          <w:lang w:val="fr-CA"/>
        </w:rPr>
      </w:pPr>
      <w:r w:rsidRPr="00C03E65">
        <w:rPr>
          <w:lang w:val="fr-CA"/>
        </w:rPr>
        <w:t>Le pays accepte de mettre en œuvre cet accord conformément à la deuxième phase du plan de gestion de l'élimination des HCFC (PGEH) approuvé (le «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rsidR="00C03E65" w:rsidRPr="00C03E65" w:rsidRDefault="00C03E65" w:rsidP="00C03E65">
      <w:pPr>
        <w:rPr>
          <w:b/>
          <w:lang w:val="fr-CA"/>
        </w:rPr>
      </w:pPr>
      <w:r w:rsidRPr="00C03E65">
        <w:rPr>
          <w:b/>
          <w:lang w:val="fr-CA"/>
        </w:rPr>
        <w:t>Conditions du déblocage de fonds</w:t>
      </w:r>
    </w:p>
    <w:p w:rsidR="00C03E65" w:rsidRPr="00C03E65" w:rsidRDefault="00C03E65" w:rsidP="00C03E65">
      <w:pPr>
        <w:rPr>
          <w:b/>
          <w:lang w:val="fr-CA"/>
        </w:rPr>
      </w:pPr>
    </w:p>
    <w:p w:rsidR="00C03E65" w:rsidRPr="00C03E65" w:rsidRDefault="00C03E65" w:rsidP="00C03E65">
      <w:pPr>
        <w:numPr>
          <w:ilvl w:val="0"/>
          <w:numId w:val="1"/>
        </w:numPr>
        <w:spacing w:after="240"/>
        <w:outlineLvl w:val="0"/>
        <w:rPr>
          <w:lang w:val="fr-CA"/>
        </w:rPr>
      </w:pPr>
      <w:r w:rsidRPr="00C03E65">
        <w:rPr>
          <w:lang w:val="fr-CA"/>
        </w:rPr>
        <w:t>Le Comité exécutif n’accordera le financement prévu au calendrier de financement approuvé que si le Pays satisfait aux conditions suivantes au moins huit semaines avant la réunion du Comité exécutif indiquée dans le calendrier de financement approuvé:</w:t>
      </w:r>
    </w:p>
    <w:p w:rsidR="00C03E65" w:rsidRPr="00C03E65" w:rsidRDefault="00C03E65" w:rsidP="00C03E65">
      <w:pPr>
        <w:widowControl w:val="0"/>
        <w:numPr>
          <w:ilvl w:val="1"/>
          <w:numId w:val="1"/>
        </w:numPr>
        <w:tabs>
          <w:tab w:val="clear" w:pos="0"/>
          <w:tab w:val="num" w:pos="-1134"/>
        </w:tabs>
        <w:spacing w:after="240"/>
        <w:ind w:left="1560"/>
        <w:outlineLvl w:val="1"/>
        <w:rPr>
          <w:lang w:val="fr-CA"/>
        </w:rPr>
      </w:pPr>
      <w:r w:rsidRPr="00C03E65">
        <w:rPr>
          <w:lang w:val="fr-CA"/>
        </w:rPr>
        <w:t xml:space="preserve">Le Pays a respecté les objectifs fixés à la ligne 1.2 de l’Appendice 2-A pour toutes les années concernées. Les années concernées sont toutes celles qui se sont écoulées depuis l’année d’approbation du présent accord. Les années auxquelles aucun rapport des données relatives au programme de pays n’est dû à la date de la réunion du Comité à laquelle la demande de financement est soumise, font exception; </w:t>
      </w:r>
    </w:p>
    <w:p w:rsidR="00C03E65" w:rsidRPr="00C03E65" w:rsidRDefault="00C03E65" w:rsidP="00C03E65">
      <w:pPr>
        <w:widowControl w:val="0"/>
        <w:numPr>
          <w:ilvl w:val="1"/>
          <w:numId w:val="1"/>
        </w:numPr>
        <w:tabs>
          <w:tab w:val="clear" w:pos="0"/>
          <w:tab w:val="num" w:pos="-1134"/>
        </w:tabs>
        <w:spacing w:after="240"/>
        <w:ind w:left="1560"/>
        <w:outlineLvl w:val="1"/>
        <w:rPr>
          <w:lang w:val="fr-CA"/>
        </w:rPr>
      </w:pPr>
      <w:r w:rsidRPr="00C03E65">
        <w:rPr>
          <w:lang w:val="fr-CA"/>
        </w:rPr>
        <w:t>Le respect de ces objectifs a été vérifié de manière indépendante pour toutes les années concernées, à moins que le Comité exécutif n’ait décidé que cette vérification n’était pas nécessaire;</w:t>
      </w:r>
    </w:p>
    <w:p w:rsidR="00C03E65" w:rsidRPr="00C03E65" w:rsidRDefault="00C03E65" w:rsidP="00C03E65">
      <w:pPr>
        <w:keepNext/>
        <w:keepLines/>
        <w:widowControl w:val="0"/>
        <w:numPr>
          <w:ilvl w:val="1"/>
          <w:numId w:val="1"/>
        </w:numPr>
        <w:tabs>
          <w:tab w:val="clear" w:pos="0"/>
          <w:tab w:val="num" w:pos="-1134"/>
        </w:tabs>
        <w:spacing w:after="240"/>
        <w:ind w:left="1560"/>
        <w:outlineLvl w:val="1"/>
        <w:rPr>
          <w:lang w:val="fr-CA"/>
        </w:rPr>
      </w:pPr>
      <w:r w:rsidRPr="00C03E65">
        <w:rPr>
          <w:lang w:val="fr-CA"/>
        </w:rPr>
        <w:lastRenderedPageBreak/>
        <w:t>Le Pays a soumis un plan annuel de mise en œuvre de la tranche, sous la forme indiquée à l’Appendice 4-A, pour chaque année civile, y compris l’année au cours de laquelle le calendrier de financement prévoit la soumission de la tranche suivante, ou, dans le cas de la tranche finale, jusqu’à l’achèvement de toutes les activités prévues. Et</w:t>
      </w:r>
    </w:p>
    <w:p w:rsidR="00C03E65" w:rsidRPr="00C03E65" w:rsidRDefault="00C03E65" w:rsidP="00C03E65">
      <w:pPr>
        <w:widowControl w:val="0"/>
        <w:numPr>
          <w:ilvl w:val="1"/>
          <w:numId w:val="1"/>
        </w:numPr>
        <w:tabs>
          <w:tab w:val="clear" w:pos="0"/>
          <w:tab w:val="num" w:pos="-1134"/>
        </w:tabs>
        <w:spacing w:after="240"/>
        <w:ind w:left="1560"/>
        <w:outlineLvl w:val="1"/>
        <w:rPr>
          <w:lang w:val="fr-CA"/>
        </w:rPr>
      </w:pPr>
      <w:r w:rsidRPr="00C03E65">
        <w:rPr>
          <w:lang w:val="fr-CA"/>
        </w:rPr>
        <w:t>Le Pays a soumis un plan annuel de mise en œuvre de la tranche,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rsidR="00C03E65" w:rsidRPr="00C03E65" w:rsidRDefault="00C03E65" w:rsidP="00C03E65">
      <w:pPr>
        <w:keepNext/>
        <w:rPr>
          <w:b/>
          <w:lang w:val="fr-CA"/>
        </w:rPr>
      </w:pPr>
      <w:r w:rsidRPr="00C03E65">
        <w:rPr>
          <w:b/>
          <w:lang w:val="fr-CA"/>
        </w:rPr>
        <w:t>Surveillance</w:t>
      </w:r>
    </w:p>
    <w:p w:rsidR="00C03E65" w:rsidRPr="00C03E65" w:rsidRDefault="00C03E65" w:rsidP="00C03E65">
      <w:pPr>
        <w:keepNext/>
        <w:rPr>
          <w:lang w:val="fr-CA"/>
        </w:rPr>
      </w:pPr>
    </w:p>
    <w:p w:rsidR="00C03E65" w:rsidRPr="00C03E65" w:rsidRDefault="00C03E65" w:rsidP="00C03E65">
      <w:pPr>
        <w:numPr>
          <w:ilvl w:val="0"/>
          <w:numId w:val="1"/>
        </w:numPr>
        <w:spacing w:after="240"/>
        <w:outlineLvl w:val="0"/>
        <w:rPr>
          <w:lang w:val="fr-CA"/>
        </w:rPr>
      </w:pPr>
      <w:r w:rsidRPr="00C03E65">
        <w:rPr>
          <w:lang w:val="fr-CA"/>
        </w:rPr>
        <w:t>Le Pays veillera à effectuer une surveillance rigoureuse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au même appendice.</w:t>
      </w:r>
    </w:p>
    <w:p w:rsidR="00C03E65" w:rsidRPr="00C03E65" w:rsidRDefault="00C03E65" w:rsidP="00C03E65">
      <w:pPr>
        <w:rPr>
          <w:b/>
          <w:lang w:val="fr-CA"/>
        </w:rPr>
      </w:pPr>
      <w:r w:rsidRPr="00C03E65">
        <w:rPr>
          <w:b/>
          <w:lang w:val="fr-CA"/>
        </w:rPr>
        <w:t xml:space="preserve">Souplesse dans la réaffectation des fonds </w:t>
      </w:r>
    </w:p>
    <w:p w:rsidR="00C03E65" w:rsidRPr="00C03E65" w:rsidRDefault="00C03E65" w:rsidP="00C03E65">
      <w:pPr>
        <w:rPr>
          <w:lang w:val="fr-CA"/>
        </w:rPr>
      </w:pPr>
    </w:p>
    <w:p w:rsidR="00C03E65" w:rsidRPr="00C03E65" w:rsidRDefault="00C03E65" w:rsidP="00C03E65">
      <w:pPr>
        <w:numPr>
          <w:ilvl w:val="0"/>
          <w:numId w:val="1"/>
        </w:numPr>
        <w:spacing w:after="240"/>
        <w:outlineLvl w:val="0"/>
        <w:rPr>
          <w:lang w:val="fr-CA"/>
        </w:rPr>
      </w:pPr>
      <w:r w:rsidRPr="00C03E65">
        <w:rPr>
          <w:lang w:val="fr-CA"/>
        </w:rPr>
        <w:t>Le Comité exécutif accepte que le Pays bénéficie d’une certaine marge de manœuvre lui permettant de réaffecter une partie ou la totalité des fonds approuvés, en fonction de l’évolution de la situation, afin d’assurer une réduction de la consommation et une élimination fluides des substances précisées à l’Appendice 1-A :</w:t>
      </w:r>
    </w:p>
    <w:p w:rsidR="00C03E65" w:rsidRPr="00C03E65" w:rsidRDefault="00C03E65" w:rsidP="00C03E65">
      <w:pPr>
        <w:widowControl w:val="0"/>
        <w:numPr>
          <w:ilvl w:val="1"/>
          <w:numId w:val="1"/>
        </w:numPr>
        <w:tabs>
          <w:tab w:val="clear" w:pos="0"/>
          <w:tab w:val="num" w:pos="-1134"/>
        </w:tabs>
        <w:spacing w:after="240"/>
        <w:ind w:left="1418"/>
        <w:outlineLvl w:val="1"/>
        <w:rPr>
          <w:lang w:val="fr-CA"/>
        </w:rPr>
      </w:pPr>
      <w:r w:rsidRPr="00C03E65">
        <w:rPr>
          <w:lang w:val="fr-CA"/>
        </w:rPr>
        <w:t>Les réaffectations classées comme changements importants doivent être répertoriées à / l’avance, dans un plan annuel de mise en œuvre de la tranche, ainsi qu’il est prévu au paragraphe 5 (d) ci-dessus, ou bien dans une révision d’un plan de mise en œuvre de la tranche existant, à remettre huit semaines avant toute réunion du Comité exécutif, pour approbation. Une réaffectation est dite importante lorsqu’elle vise:</w:t>
      </w:r>
    </w:p>
    <w:p w:rsidR="00C03E65" w:rsidRPr="00C03E65" w:rsidRDefault="00C03E65" w:rsidP="00C03E65">
      <w:pPr>
        <w:widowControl w:val="0"/>
        <w:numPr>
          <w:ilvl w:val="2"/>
          <w:numId w:val="1"/>
        </w:numPr>
        <w:tabs>
          <w:tab w:val="clear" w:pos="0"/>
          <w:tab w:val="num" w:pos="-1134"/>
        </w:tabs>
        <w:spacing w:after="240"/>
        <w:ind w:left="2127"/>
        <w:outlineLvl w:val="2"/>
        <w:rPr>
          <w:lang w:val="fr-CA"/>
        </w:rPr>
      </w:pPr>
      <w:r w:rsidRPr="00C03E65">
        <w:rPr>
          <w:lang w:val="fr-CA"/>
        </w:rPr>
        <w:t xml:space="preserve">Des enjeux qui pourraient concerner les règles et politiques du Fonds multilatéral; </w:t>
      </w:r>
    </w:p>
    <w:p w:rsidR="00C03E65" w:rsidRPr="00C03E65" w:rsidRDefault="00C03E65" w:rsidP="00C03E65">
      <w:pPr>
        <w:widowControl w:val="0"/>
        <w:numPr>
          <w:ilvl w:val="2"/>
          <w:numId w:val="1"/>
        </w:numPr>
        <w:tabs>
          <w:tab w:val="clear" w:pos="0"/>
          <w:tab w:val="num" w:pos="-1134"/>
        </w:tabs>
        <w:spacing w:after="240"/>
        <w:ind w:left="2127"/>
        <w:outlineLvl w:val="2"/>
        <w:rPr>
          <w:lang w:val="fr-CA"/>
        </w:rPr>
      </w:pPr>
      <w:r w:rsidRPr="00C03E65">
        <w:rPr>
          <w:lang w:val="fr-CA"/>
        </w:rPr>
        <w:t xml:space="preserve">Des changements qui pourraient modifier une clause quelconque du présent accord; </w:t>
      </w:r>
    </w:p>
    <w:p w:rsidR="00C03E65" w:rsidRPr="00C03E65" w:rsidRDefault="00C03E65" w:rsidP="00C03E65">
      <w:pPr>
        <w:widowControl w:val="0"/>
        <w:numPr>
          <w:ilvl w:val="2"/>
          <w:numId w:val="1"/>
        </w:numPr>
        <w:tabs>
          <w:tab w:val="clear" w:pos="0"/>
          <w:tab w:val="num" w:pos="-1134"/>
        </w:tabs>
        <w:spacing w:after="240"/>
        <w:ind w:left="2127"/>
        <w:outlineLvl w:val="2"/>
        <w:rPr>
          <w:lang w:val="fr-CA"/>
        </w:rPr>
      </w:pPr>
      <w:r w:rsidRPr="00C03E65">
        <w:rPr>
          <w:lang w:val="fr-CA"/>
        </w:rPr>
        <w:t xml:space="preserve">Des changements dans les montants annuels de financement alloués aux agences bilatérales individuelles ou d’exécution pour les différentes tranches; </w:t>
      </w:r>
    </w:p>
    <w:p w:rsidR="00C03E65" w:rsidRPr="00C03E65" w:rsidRDefault="00C03E65" w:rsidP="00C03E65">
      <w:pPr>
        <w:widowControl w:val="0"/>
        <w:numPr>
          <w:ilvl w:val="2"/>
          <w:numId w:val="1"/>
        </w:numPr>
        <w:tabs>
          <w:tab w:val="clear" w:pos="0"/>
          <w:tab w:val="num" w:pos="-1134"/>
        </w:tabs>
        <w:spacing w:after="240"/>
        <w:ind w:left="2127"/>
        <w:outlineLvl w:val="2"/>
        <w:rPr>
          <w:lang w:val="fr-CA"/>
        </w:rPr>
      </w:pPr>
      <w:r w:rsidRPr="00C03E65">
        <w:rPr>
          <w:lang w:val="fr-CA"/>
        </w:rPr>
        <w:t>La fourniture de fonds pour des activités qui ne sont pas incluses dans le plan de mise en œuvre de la tranche en cours approuvée ou le retrait d’une activité du plan annuel de mise en œuvre de la tranche, représentant un coût supérieur à 30 pour cent du coût total de la dernière tranche approuvée; et</w:t>
      </w:r>
    </w:p>
    <w:p w:rsidR="00C03E65" w:rsidRPr="00C03E65" w:rsidRDefault="00C03E65" w:rsidP="00C03E65">
      <w:pPr>
        <w:widowControl w:val="0"/>
        <w:numPr>
          <w:ilvl w:val="2"/>
          <w:numId w:val="1"/>
        </w:numPr>
        <w:tabs>
          <w:tab w:val="clear" w:pos="0"/>
          <w:tab w:val="num" w:pos="-1134"/>
        </w:tabs>
        <w:spacing w:after="240"/>
        <w:ind w:left="2127"/>
        <w:outlineLvl w:val="2"/>
        <w:rPr>
          <w:lang w:val="fr-CA"/>
        </w:rPr>
      </w:pPr>
      <w:r w:rsidRPr="00C03E65">
        <w:rPr>
          <w:lang w:val="fr-CA"/>
        </w:rPr>
        <w:t xml:space="preserve">Les changements relatifs aux technologies de remplacement, étant entendu que toute soumission de ce type de demande déterminerait les surcoûts associés, l’impact potentiel sur le climat et toutes les différences  en termes de tonnes PAO à éliminer le cas échéant, et confirmerait également que le pays  convient que les économies potentielles liées au changement de technologie entraîneraient en conséquence la baisse du niveau global de financement en vertu de l’Accord ; </w:t>
      </w:r>
    </w:p>
    <w:p w:rsidR="00C03E65" w:rsidRPr="00C03E65" w:rsidRDefault="00C03E65" w:rsidP="00C03E65">
      <w:pPr>
        <w:widowControl w:val="0"/>
        <w:numPr>
          <w:ilvl w:val="1"/>
          <w:numId w:val="1"/>
        </w:numPr>
        <w:tabs>
          <w:tab w:val="clear" w:pos="0"/>
          <w:tab w:val="num" w:pos="-1134"/>
        </w:tabs>
        <w:spacing w:after="240"/>
        <w:ind w:left="1560"/>
        <w:outlineLvl w:val="1"/>
        <w:rPr>
          <w:lang w:val="fr-CA"/>
        </w:rPr>
      </w:pPr>
      <w:r w:rsidRPr="00C03E65">
        <w:rPr>
          <w:lang w:val="fr-CA"/>
        </w:rPr>
        <w:t>Les réaffectations qui ne sont pas classées comme changements importants peuvent être   intégrées au plan de mise en œuvre de la tranche approuvée</w:t>
      </w:r>
      <w:r>
        <w:rPr>
          <w:lang w:val="fr-CA"/>
        </w:rPr>
        <w:t xml:space="preserve">, </w:t>
      </w:r>
      <w:r w:rsidRPr="00C03E65">
        <w:rPr>
          <w:lang w:val="fr-CA"/>
        </w:rPr>
        <w:t xml:space="preserve">en cours d’application à ce </w:t>
      </w:r>
      <w:r w:rsidRPr="00C03E65">
        <w:rPr>
          <w:lang w:val="fr-CA"/>
        </w:rPr>
        <w:lastRenderedPageBreak/>
        <w:t>moment, et communiquées au Comité exécutif dans le rapport annuel de mise en œuvre de la tranche suivante ;</w:t>
      </w:r>
    </w:p>
    <w:p w:rsidR="00C03E65" w:rsidRPr="00C03E65" w:rsidRDefault="00C03E65" w:rsidP="00C03E65">
      <w:pPr>
        <w:widowControl w:val="0"/>
        <w:numPr>
          <w:ilvl w:val="1"/>
          <w:numId w:val="1"/>
        </w:numPr>
        <w:tabs>
          <w:tab w:val="clear" w:pos="0"/>
          <w:tab w:val="num" w:pos="-1134"/>
        </w:tabs>
        <w:spacing w:after="240"/>
        <w:ind w:left="1560"/>
        <w:outlineLvl w:val="1"/>
        <w:rPr>
          <w:lang w:val="fr-CA"/>
        </w:rPr>
      </w:pPr>
      <w:r w:rsidRPr="00C03E65">
        <w:rPr>
          <w:lang w:val="fr-CA"/>
        </w:rPr>
        <w:t xml:space="preserve">Tous les fonds restants détenus par les agences d’exécution ou le Pays dans le cadre du plan seront restitués au Fonds multilatéral lors de l’achèvement de la dernière tranche prévue selon le présent accord. </w:t>
      </w:r>
    </w:p>
    <w:p w:rsidR="00C03E65" w:rsidRPr="00C03E65" w:rsidRDefault="00C03E65" w:rsidP="00C03E65">
      <w:pPr>
        <w:rPr>
          <w:b/>
          <w:lang w:val="fr-CA"/>
        </w:rPr>
      </w:pPr>
      <w:r w:rsidRPr="00C03E65">
        <w:rPr>
          <w:b/>
          <w:lang w:val="fr-CA"/>
        </w:rPr>
        <w:t xml:space="preserve">Considérations relatives au secteur de l’entretien de l’équipement de réfrigération </w:t>
      </w:r>
    </w:p>
    <w:p w:rsidR="00C03E65" w:rsidRPr="00C03E65" w:rsidRDefault="00C03E65" w:rsidP="00C03E65">
      <w:pPr>
        <w:rPr>
          <w:lang w:val="fr-CA"/>
        </w:rPr>
      </w:pPr>
    </w:p>
    <w:p w:rsidR="00C03E65" w:rsidRPr="00C03E65" w:rsidRDefault="00C03E65" w:rsidP="00C03E65">
      <w:pPr>
        <w:numPr>
          <w:ilvl w:val="0"/>
          <w:numId w:val="1"/>
        </w:numPr>
        <w:spacing w:after="240"/>
        <w:outlineLvl w:val="0"/>
        <w:rPr>
          <w:lang w:val="fr-CA"/>
        </w:rPr>
      </w:pPr>
      <w:r w:rsidRPr="00C03E65">
        <w:rPr>
          <w:lang w:val="fr-CA"/>
        </w:rPr>
        <w:t>La réalisation des activités dans le secteur de l’entretien de l’équipement de réfrigération fera l’objet d’une attention particulière, notamment sur les points suivants: </w:t>
      </w:r>
    </w:p>
    <w:p w:rsidR="00C03E65" w:rsidRPr="00C03E65" w:rsidRDefault="00C03E65" w:rsidP="00C03E65">
      <w:pPr>
        <w:widowControl w:val="0"/>
        <w:numPr>
          <w:ilvl w:val="1"/>
          <w:numId w:val="1"/>
        </w:numPr>
        <w:tabs>
          <w:tab w:val="clear" w:pos="0"/>
          <w:tab w:val="num" w:pos="-1134"/>
        </w:tabs>
        <w:spacing w:after="240"/>
        <w:ind w:left="1418"/>
        <w:outlineLvl w:val="1"/>
        <w:rPr>
          <w:lang w:val="fr-CA"/>
        </w:rPr>
      </w:pPr>
      <w:r w:rsidRPr="00C03E65">
        <w:rPr>
          <w:lang w:val="fr-CA"/>
        </w:rPr>
        <w:t>Le Pays utilisera la marge de manœuvre offerte en vertu du présent accord pour répondre aux besoins spécifiques qui pourraient survenir lors de la mise en œuvre du projet; et</w:t>
      </w:r>
    </w:p>
    <w:p w:rsidR="00C03E65" w:rsidRPr="00C03E65" w:rsidRDefault="00C03E65" w:rsidP="00C03E65">
      <w:pPr>
        <w:widowControl w:val="0"/>
        <w:numPr>
          <w:ilvl w:val="1"/>
          <w:numId w:val="1"/>
        </w:numPr>
        <w:tabs>
          <w:tab w:val="clear" w:pos="0"/>
          <w:tab w:val="num" w:pos="-1134"/>
        </w:tabs>
        <w:spacing w:after="240"/>
        <w:ind w:left="1418"/>
        <w:outlineLvl w:val="1"/>
        <w:rPr>
          <w:lang w:val="fr-CA"/>
        </w:rPr>
      </w:pPr>
      <w:r w:rsidRPr="00C03E65">
        <w:rPr>
          <w:lang w:val="fr-CA"/>
        </w:rPr>
        <w:t>Le Pays et les agences bilatérales et (ou) d’exécution concernées tiendront compte des décisions pertinentes sur le secteur de l’entretien de l’équipement de réfrigération au cours de la mise en œuvre du Plan.</w:t>
      </w:r>
    </w:p>
    <w:p w:rsidR="00C03E65" w:rsidRPr="00C03E65" w:rsidRDefault="00C03E65" w:rsidP="00C03E65">
      <w:pPr>
        <w:rPr>
          <w:b/>
          <w:lang w:val="fr-CA"/>
        </w:rPr>
      </w:pPr>
      <w:r w:rsidRPr="00C03E65">
        <w:rPr>
          <w:b/>
          <w:lang w:val="fr-CA"/>
        </w:rPr>
        <w:t>Agences bilatérales et d’exécution</w:t>
      </w:r>
    </w:p>
    <w:p w:rsidR="00C03E65" w:rsidRPr="00C03E65" w:rsidRDefault="00C03E65" w:rsidP="00C03E65">
      <w:pPr>
        <w:rPr>
          <w:lang w:val="fr-CA"/>
        </w:rPr>
      </w:pPr>
    </w:p>
    <w:p w:rsidR="00C03E65" w:rsidRPr="00C03E65" w:rsidRDefault="00C03E65" w:rsidP="00C03E65">
      <w:pPr>
        <w:numPr>
          <w:ilvl w:val="0"/>
          <w:numId w:val="1"/>
        </w:numPr>
        <w:spacing w:after="240"/>
        <w:outlineLvl w:val="0"/>
        <w:rPr>
          <w:lang w:val="fr-CA"/>
        </w:rPr>
      </w:pPr>
      <w:r w:rsidRPr="00C03E65">
        <w:rPr>
          <w:lang w:val="fr-CA"/>
        </w:rPr>
        <w:t>Le Pays s’engage à assumer l’entière responsabilité de la gestion et de la mise en œuvre du présent accord et de toutes les activités entreprises qu’il engagera ou qui seront engagées en son nom afin de remplir les obligations prévues par le présent. Le PNUD a accepté d’être l’agence principale d’exécution (« Agence principale”) dans le cadre des activités du Pays prévues par le présent accord. Le Pays s’engage à procéder à des évaluations qui pourraient être menées d’après les programmes de travail de suivi et d’évaluation du Fonds multilatéral ou au titre du programme d’évaluation de l’Agence principale parties au présent accord.</w:t>
      </w:r>
    </w:p>
    <w:p w:rsidR="00C03E65" w:rsidRPr="00C03E65" w:rsidRDefault="00C03E65" w:rsidP="00C03E65">
      <w:pPr>
        <w:numPr>
          <w:ilvl w:val="0"/>
          <w:numId w:val="1"/>
        </w:numPr>
        <w:spacing w:after="240"/>
        <w:outlineLvl w:val="0"/>
        <w:rPr>
          <w:lang w:val="fr-CA"/>
        </w:rPr>
      </w:pPr>
      <w:r w:rsidRPr="00C03E65">
        <w:rPr>
          <w:lang w:val="fr-CA"/>
        </w:rPr>
        <w:t>L’Agence principale sera tenue d’assurer la coordination de la planification, de la mise en œuvre et du compte-rendu de toutes les activités prévues aux termes du présent accord, y compris mais sans s’y limiter, de procéder à une vérification indépendante conformément au paragraphe 5 (b). Le rôle de l’Agence principale se trouve à l’Appendice 6-A. Le Comité exécutif s’engage en principe à fournir à l’Agence principale les frais indiqués à la ligne 2.2 de l’Appendice 2</w:t>
      </w:r>
      <w:r w:rsidRPr="00C03E65">
        <w:rPr>
          <w:lang w:val="fr-CA"/>
        </w:rPr>
        <w:noBreakHyphen/>
        <w:t xml:space="preserve">A. </w:t>
      </w:r>
    </w:p>
    <w:p w:rsidR="00C03E65" w:rsidRPr="00C03E65" w:rsidRDefault="00C03E65" w:rsidP="00C03E65">
      <w:pPr>
        <w:keepNext/>
        <w:spacing w:after="240"/>
        <w:outlineLvl w:val="0"/>
        <w:rPr>
          <w:lang w:val="fr-CA"/>
        </w:rPr>
      </w:pPr>
      <w:r w:rsidRPr="00C03E65">
        <w:rPr>
          <w:b/>
          <w:lang w:val="fr-CA"/>
        </w:rPr>
        <w:t xml:space="preserve">Non-conformité avec l’Accord </w:t>
      </w:r>
    </w:p>
    <w:p w:rsidR="00C03E65" w:rsidRPr="00C03E65" w:rsidRDefault="00C03E65" w:rsidP="00C03E65">
      <w:pPr>
        <w:numPr>
          <w:ilvl w:val="0"/>
          <w:numId w:val="1"/>
        </w:numPr>
        <w:spacing w:after="240"/>
        <w:outlineLvl w:val="0"/>
        <w:rPr>
          <w:lang w:val="fr-CA"/>
        </w:rPr>
      </w:pPr>
      <w:r w:rsidRPr="00C03E65">
        <w:rPr>
          <w:lang w:val="fr-CA"/>
        </w:rPr>
        <w:t>Si, pour quelque raison que ce soit, le Pays ne respecte pas les Objectifs d’élimination des substances figurant à la ligne 1.2. de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de PAO dont la consommation n’aura pas été réduite au cours d’une même année. Le Comité exécutif étudiera chaque cas spécifique de non-conformité du Pays au présent accord et prendra des décisions en conséquence. Une fois ces décisions prises, ce cas spécifique de non-conformité avec l’Accord ne constituera plus un empêchement de</w:t>
      </w:r>
      <w:r>
        <w:rPr>
          <w:lang w:val="fr-CA"/>
        </w:rPr>
        <w:t xml:space="preserve"> l’octroi d’un financement des </w:t>
      </w:r>
      <w:r w:rsidRPr="00C03E65">
        <w:rPr>
          <w:lang w:val="fr-CA"/>
        </w:rPr>
        <w:t xml:space="preserve">futures tranches indiquées au paragraphe 5 ci-dessus.  </w:t>
      </w:r>
    </w:p>
    <w:p w:rsidR="00C03E65" w:rsidRPr="00C03E65" w:rsidRDefault="00C03E65" w:rsidP="00C03E65">
      <w:pPr>
        <w:numPr>
          <w:ilvl w:val="0"/>
          <w:numId w:val="1"/>
        </w:numPr>
        <w:spacing w:after="240"/>
        <w:outlineLvl w:val="0"/>
        <w:rPr>
          <w:lang w:val="fr-CA"/>
        </w:rPr>
      </w:pPr>
      <w:r w:rsidRPr="00C03E65">
        <w:rPr>
          <w:lang w:val="fr-CA"/>
        </w:rPr>
        <w:lastRenderedPageBreak/>
        <w:t xml:space="preserve">Le financement du présent accord ne sera pas modifié en raison d’une décision future du Comité exécutif qui pourrait avoir une incidence sur le financement de tout autre projet de consommation sectorielle ou sur toute autre activité connexe dans le pays. </w:t>
      </w:r>
    </w:p>
    <w:p w:rsidR="00C03E65" w:rsidRPr="00C03E65" w:rsidRDefault="00C03E65" w:rsidP="00C03E65">
      <w:pPr>
        <w:numPr>
          <w:ilvl w:val="0"/>
          <w:numId w:val="1"/>
        </w:numPr>
        <w:spacing w:after="240"/>
        <w:outlineLvl w:val="0"/>
        <w:rPr>
          <w:lang w:val="fr-CA"/>
        </w:rPr>
      </w:pPr>
      <w:r w:rsidRPr="00C03E65">
        <w:rPr>
          <w:lang w:val="fr-CA"/>
        </w:rPr>
        <w:t xml:space="preserve">Le pays se conformera à toute demande raisonnable du Comité exécutif et de l’Agence principale en vue de faciliter la mise en œuvre du présent accord. En particulier, il permettra à l’Agence principale d’accéder aux renseignements nécessaires pour vérifier la conformité à cet accord.  </w:t>
      </w:r>
    </w:p>
    <w:p w:rsidR="00C03E65" w:rsidRPr="00C03E65" w:rsidRDefault="00C03E65" w:rsidP="00C03E65">
      <w:pPr>
        <w:keepNext/>
        <w:tabs>
          <w:tab w:val="num" w:pos="0"/>
        </w:tabs>
        <w:spacing w:after="240"/>
        <w:outlineLvl w:val="0"/>
        <w:rPr>
          <w:b/>
          <w:lang w:val="fr-CA"/>
        </w:rPr>
      </w:pPr>
      <w:r w:rsidRPr="00C03E65">
        <w:rPr>
          <w:b/>
          <w:lang w:val="fr-CA"/>
        </w:rPr>
        <w:t xml:space="preserve">Date d’achèvement </w:t>
      </w:r>
    </w:p>
    <w:p w:rsidR="00C03E65" w:rsidRPr="00C03E65" w:rsidRDefault="00C03E65" w:rsidP="00C03E65">
      <w:pPr>
        <w:numPr>
          <w:ilvl w:val="0"/>
          <w:numId w:val="1"/>
        </w:numPr>
        <w:spacing w:after="240"/>
        <w:outlineLvl w:val="0"/>
        <w:rPr>
          <w:lang w:val="fr-CA"/>
        </w:rPr>
      </w:pPr>
      <w:r w:rsidRPr="00C03E65">
        <w:rPr>
          <w:lang w:val="fr-CA"/>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5(d) et 7 se trouvaient encore en souffrance à ce moment-là, l’achèvement du plan serait reporté à la fin de l’année suivant la mise en œuvre des activités restantes. Les exigences de remise de rapport selon les paragraphes 1(a), 1(b), 1(d) et 1(e) de l’Appendice 4-A seront maintenues jusqu’à l’achèvement du plan à moins d’indication contraire de la part du Comité exécutif.</w:t>
      </w:r>
    </w:p>
    <w:p w:rsidR="00C03E65" w:rsidRPr="00C03E65" w:rsidRDefault="00C03E65" w:rsidP="00C03E65">
      <w:pPr>
        <w:rPr>
          <w:b/>
          <w:lang w:val="fr-CA"/>
        </w:rPr>
      </w:pPr>
      <w:r w:rsidRPr="00C03E65">
        <w:rPr>
          <w:b/>
          <w:lang w:val="fr-CA"/>
        </w:rPr>
        <w:t>Validité</w:t>
      </w:r>
    </w:p>
    <w:p w:rsidR="00C03E65" w:rsidRPr="00C03E65" w:rsidRDefault="00C03E65" w:rsidP="00C03E65">
      <w:pPr>
        <w:rPr>
          <w:lang w:val="fr-CA"/>
        </w:rPr>
      </w:pPr>
    </w:p>
    <w:p w:rsidR="00C03E65" w:rsidRPr="00C03E65" w:rsidRDefault="00C03E65" w:rsidP="00C03E65">
      <w:pPr>
        <w:numPr>
          <w:ilvl w:val="0"/>
          <w:numId w:val="1"/>
        </w:numPr>
        <w:spacing w:after="240"/>
        <w:outlineLvl w:val="0"/>
        <w:rPr>
          <w:lang w:val="fr-CA"/>
        </w:rPr>
      </w:pPr>
      <w:r w:rsidRPr="00C03E65">
        <w:rPr>
          <w:lang w:val="fr-CA"/>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rsidR="00C03E65" w:rsidRPr="00C03E65" w:rsidRDefault="00C03E65" w:rsidP="00C03E65">
      <w:pPr>
        <w:numPr>
          <w:ilvl w:val="0"/>
          <w:numId w:val="1"/>
        </w:numPr>
        <w:spacing w:after="240"/>
        <w:outlineLvl w:val="0"/>
        <w:rPr>
          <w:lang w:val="fr-CA"/>
        </w:rPr>
      </w:pPr>
      <w:r w:rsidRPr="00C03E65">
        <w:rPr>
          <w:lang w:val="fr-CA"/>
        </w:rPr>
        <w:t>Le présent accord peut être modifié ou achevé uniquement par un accord mutuel écrit du Pays et du Comité exécutif du Fonds multilatéral.</w:t>
      </w:r>
    </w:p>
    <w:p w:rsidR="00C03E65" w:rsidRPr="00C03E65" w:rsidRDefault="00C03E65" w:rsidP="00C03E65">
      <w:pPr>
        <w:jc w:val="left"/>
        <w:rPr>
          <w:b/>
          <w:lang w:val="fr-CA"/>
        </w:rPr>
      </w:pPr>
    </w:p>
    <w:p w:rsidR="00396C33" w:rsidRDefault="00396C33">
      <w:pPr>
        <w:jc w:val="left"/>
        <w:rPr>
          <w:b/>
          <w:lang w:val="fr-CA"/>
        </w:rPr>
      </w:pPr>
      <w:r>
        <w:rPr>
          <w:b/>
          <w:lang w:val="fr-CA"/>
        </w:rPr>
        <w:br w:type="page"/>
      </w:r>
    </w:p>
    <w:p w:rsidR="00C03E65" w:rsidRPr="00C03E65" w:rsidRDefault="00C03E65" w:rsidP="00C03E65">
      <w:pPr>
        <w:keepNext/>
        <w:spacing w:after="240"/>
        <w:outlineLvl w:val="0"/>
        <w:rPr>
          <w:b/>
          <w:lang w:val="fr-CA"/>
        </w:rPr>
      </w:pPr>
      <w:r w:rsidRPr="00C03E65">
        <w:rPr>
          <w:b/>
          <w:lang w:val="fr-CA"/>
        </w:rPr>
        <w:lastRenderedPageBreak/>
        <w:t xml:space="preserve">APPENDICES </w:t>
      </w:r>
    </w:p>
    <w:p w:rsidR="00C03E65" w:rsidRPr="00C03E65" w:rsidRDefault="00C03E65" w:rsidP="00C03E65">
      <w:pPr>
        <w:keepNext/>
        <w:spacing w:after="240"/>
        <w:outlineLvl w:val="0"/>
        <w:rPr>
          <w:b/>
          <w:lang w:val="fr-CA"/>
        </w:rPr>
      </w:pPr>
      <w:r w:rsidRPr="00C03E65">
        <w:rPr>
          <w:b/>
          <w:lang w:val="fr-CA"/>
        </w:rPr>
        <w:t>APPENDICE 1-A :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395"/>
        <w:gridCol w:w="1394"/>
        <w:gridCol w:w="3708"/>
      </w:tblGrid>
      <w:tr w:rsidR="00C03E65" w:rsidRPr="00AD6B81" w:rsidTr="00C03E65">
        <w:trPr>
          <w:trHeight w:val="413"/>
        </w:trPr>
        <w:tc>
          <w:tcPr>
            <w:tcW w:w="1607" w:type="pct"/>
            <w:shd w:val="clear" w:color="auto" w:fill="auto"/>
          </w:tcPr>
          <w:p w:rsidR="00C03E65" w:rsidRPr="00C03E65" w:rsidRDefault="00C03E65" w:rsidP="00C03E65">
            <w:pPr>
              <w:keepNext/>
              <w:jc w:val="center"/>
              <w:rPr>
                <w:sz w:val="20"/>
                <w:szCs w:val="20"/>
                <w:lang w:val="fr-CA"/>
              </w:rPr>
            </w:pPr>
            <w:r w:rsidRPr="00C03E65">
              <w:rPr>
                <w:sz w:val="20"/>
                <w:szCs w:val="20"/>
                <w:lang w:val="fr-CA"/>
              </w:rPr>
              <w:t>Substance</w:t>
            </w:r>
          </w:p>
        </w:tc>
        <w:tc>
          <w:tcPr>
            <w:tcW w:w="728" w:type="pct"/>
            <w:shd w:val="clear" w:color="auto" w:fill="auto"/>
          </w:tcPr>
          <w:p w:rsidR="00C03E65" w:rsidRPr="00C03E65" w:rsidRDefault="00C03E65" w:rsidP="00C03E65">
            <w:pPr>
              <w:keepNext/>
              <w:jc w:val="center"/>
              <w:rPr>
                <w:sz w:val="20"/>
                <w:szCs w:val="20"/>
                <w:lang w:val="fr-CA"/>
              </w:rPr>
            </w:pPr>
            <w:r w:rsidRPr="00C03E65">
              <w:rPr>
                <w:sz w:val="20"/>
                <w:szCs w:val="20"/>
                <w:lang w:val="fr-CA"/>
              </w:rPr>
              <w:t>Annexe</w:t>
            </w:r>
          </w:p>
        </w:tc>
        <w:tc>
          <w:tcPr>
            <w:tcW w:w="728" w:type="pct"/>
            <w:shd w:val="clear" w:color="auto" w:fill="auto"/>
          </w:tcPr>
          <w:p w:rsidR="00C03E65" w:rsidRPr="00C03E65" w:rsidRDefault="00C03E65" w:rsidP="00C03E65">
            <w:pPr>
              <w:keepNext/>
              <w:jc w:val="center"/>
              <w:rPr>
                <w:sz w:val="20"/>
                <w:szCs w:val="20"/>
                <w:lang w:val="fr-CA"/>
              </w:rPr>
            </w:pPr>
            <w:r w:rsidRPr="00C03E65">
              <w:rPr>
                <w:sz w:val="20"/>
                <w:szCs w:val="20"/>
                <w:lang w:val="fr-CA"/>
              </w:rPr>
              <w:t>Groupe</w:t>
            </w:r>
          </w:p>
        </w:tc>
        <w:tc>
          <w:tcPr>
            <w:tcW w:w="1936" w:type="pct"/>
            <w:shd w:val="clear" w:color="auto" w:fill="auto"/>
          </w:tcPr>
          <w:p w:rsidR="00C03E65" w:rsidRPr="00C03E65" w:rsidRDefault="00C03E65" w:rsidP="00C03E65">
            <w:pPr>
              <w:keepNext/>
              <w:jc w:val="center"/>
              <w:rPr>
                <w:sz w:val="20"/>
                <w:szCs w:val="20"/>
                <w:lang w:val="fr-CA"/>
              </w:rPr>
            </w:pPr>
            <w:r w:rsidRPr="00C03E65">
              <w:rPr>
                <w:sz w:val="20"/>
                <w:szCs w:val="20"/>
                <w:lang w:val="fr-CA"/>
              </w:rPr>
              <w:t xml:space="preserve">Point de départ des réductions globales de la consommation (tonnes PAO) </w:t>
            </w:r>
          </w:p>
        </w:tc>
      </w:tr>
      <w:tr w:rsidR="00C03E65" w:rsidRPr="00C03E65" w:rsidTr="00C03E65">
        <w:tc>
          <w:tcPr>
            <w:tcW w:w="1607" w:type="pct"/>
            <w:shd w:val="clear" w:color="auto" w:fill="auto"/>
          </w:tcPr>
          <w:p w:rsidR="00C03E65" w:rsidRPr="00C03E65" w:rsidRDefault="00C03E65" w:rsidP="00C03E65">
            <w:pPr>
              <w:keepNext/>
              <w:rPr>
                <w:sz w:val="20"/>
                <w:szCs w:val="20"/>
                <w:lang w:val="fr-CA"/>
              </w:rPr>
            </w:pPr>
            <w:r w:rsidRPr="00C03E65">
              <w:rPr>
                <w:sz w:val="20"/>
                <w:szCs w:val="20"/>
                <w:lang w:val="fr-CA"/>
              </w:rPr>
              <w:t>HCFC-22</w:t>
            </w:r>
          </w:p>
        </w:tc>
        <w:tc>
          <w:tcPr>
            <w:tcW w:w="728" w:type="pct"/>
            <w:shd w:val="clear" w:color="auto" w:fill="auto"/>
          </w:tcPr>
          <w:p w:rsidR="00C03E65" w:rsidRPr="00C03E65" w:rsidRDefault="00C03E65" w:rsidP="00C03E65">
            <w:pPr>
              <w:keepNext/>
              <w:rPr>
                <w:sz w:val="20"/>
                <w:szCs w:val="20"/>
                <w:lang w:val="fr-CA"/>
              </w:rPr>
            </w:pPr>
            <w:r w:rsidRPr="00C03E65">
              <w:rPr>
                <w:sz w:val="20"/>
                <w:szCs w:val="20"/>
                <w:lang w:val="fr-CA"/>
              </w:rPr>
              <w:t>C</w:t>
            </w:r>
          </w:p>
        </w:tc>
        <w:tc>
          <w:tcPr>
            <w:tcW w:w="728" w:type="pct"/>
            <w:shd w:val="clear" w:color="auto" w:fill="auto"/>
          </w:tcPr>
          <w:p w:rsidR="00C03E65" w:rsidRPr="00C03E65" w:rsidRDefault="00C03E65" w:rsidP="00C03E65">
            <w:pPr>
              <w:keepNext/>
              <w:rPr>
                <w:sz w:val="20"/>
                <w:szCs w:val="20"/>
                <w:lang w:val="fr-CA"/>
              </w:rPr>
            </w:pPr>
            <w:r w:rsidRPr="00C03E65">
              <w:rPr>
                <w:sz w:val="20"/>
                <w:szCs w:val="20"/>
                <w:lang w:val="fr-CA"/>
              </w:rPr>
              <w:t>I</w:t>
            </w:r>
          </w:p>
        </w:tc>
        <w:tc>
          <w:tcPr>
            <w:tcW w:w="1936" w:type="pct"/>
            <w:shd w:val="clear" w:color="auto" w:fill="auto"/>
          </w:tcPr>
          <w:p w:rsidR="00C03E65" w:rsidRPr="00C03E65" w:rsidRDefault="00C03E65" w:rsidP="00C03E65">
            <w:pPr>
              <w:keepNext/>
              <w:jc w:val="right"/>
              <w:rPr>
                <w:sz w:val="20"/>
                <w:szCs w:val="20"/>
                <w:lang w:val="fr-CA"/>
              </w:rPr>
            </w:pPr>
            <w:r w:rsidRPr="00C03E65">
              <w:rPr>
                <w:sz w:val="20"/>
                <w:szCs w:val="20"/>
                <w:lang w:val="fr-CA"/>
              </w:rPr>
              <w:t>10,00</w:t>
            </w:r>
          </w:p>
        </w:tc>
      </w:tr>
      <w:tr w:rsidR="00C03E65" w:rsidRPr="00C03E65" w:rsidTr="00C03E65">
        <w:tc>
          <w:tcPr>
            <w:tcW w:w="1607" w:type="pct"/>
            <w:shd w:val="clear" w:color="auto" w:fill="auto"/>
          </w:tcPr>
          <w:p w:rsidR="00C03E65" w:rsidRPr="00C03E65" w:rsidRDefault="00C03E65" w:rsidP="00C03E65">
            <w:pPr>
              <w:autoSpaceDE w:val="0"/>
              <w:autoSpaceDN w:val="0"/>
              <w:adjustRightInd w:val="0"/>
              <w:jc w:val="left"/>
              <w:rPr>
                <w:rFonts w:eastAsiaTheme="minorHAnsi"/>
                <w:color w:val="000000"/>
                <w:sz w:val="20"/>
                <w:szCs w:val="20"/>
                <w:lang w:val="fr-CA"/>
              </w:rPr>
            </w:pPr>
            <w:r w:rsidRPr="00C03E65">
              <w:rPr>
                <w:rFonts w:eastAsiaTheme="minorHAnsi"/>
                <w:color w:val="000000"/>
                <w:sz w:val="20"/>
                <w:szCs w:val="20"/>
                <w:lang w:val="fr-CA"/>
              </w:rPr>
              <w:t>Total</w:t>
            </w:r>
          </w:p>
        </w:tc>
        <w:tc>
          <w:tcPr>
            <w:tcW w:w="728" w:type="pct"/>
            <w:shd w:val="clear" w:color="auto" w:fill="auto"/>
          </w:tcPr>
          <w:p w:rsidR="00C03E65" w:rsidRPr="00C03E65" w:rsidRDefault="00C03E65" w:rsidP="00C03E65">
            <w:pPr>
              <w:autoSpaceDE w:val="0"/>
              <w:autoSpaceDN w:val="0"/>
              <w:adjustRightInd w:val="0"/>
              <w:jc w:val="left"/>
              <w:rPr>
                <w:rFonts w:eastAsiaTheme="minorHAnsi"/>
                <w:color w:val="000000"/>
                <w:sz w:val="20"/>
                <w:szCs w:val="20"/>
                <w:lang w:val="fr-CA"/>
              </w:rPr>
            </w:pPr>
            <w:r w:rsidRPr="00C03E65">
              <w:rPr>
                <w:rFonts w:eastAsiaTheme="minorHAnsi"/>
                <w:color w:val="000000"/>
                <w:sz w:val="20"/>
                <w:szCs w:val="20"/>
                <w:lang w:val="fr-CA"/>
              </w:rPr>
              <w:t>C</w:t>
            </w:r>
          </w:p>
        </w:tc>
        <w:tc>
          <w:tcPr>
            <w:tcW w:w="728" w:type="pct"/>
            <w:shd w:val="clear" w:color="auto" w:fill="auto"/>
          </w:tcPr>
          <w:p w:rsidR="00C03E65" w:rsidRPr="00C03E65" w:rsidRDefault="00C03E65" w:rsidP="00C03E65">
            <w:pPr>
              <w:autoSpaceDE w:val="0"/>
              <w:autoSpaceDN w:val="0"/>
              <w:adjustRightInd w:val="0"/>
              <w:jc w:val="left"/>
              <w:rPr>
                <w:rFonts w:eastAsiaTheme="minorHAnsi"/>
                <w:color w:val="000000"/>
                <w:sz w:val="20"/>
                <w:szCs w:val="20"/>
                <w:lang w:val="fr-CA"/>
              </w:rPr>
            </w:pPr>
            <w:r w:rsidRPr="00C03E65">
              <w:rPr>
                <w:rFonts w:eastAsiaTheme="minorHAnsi"/>
                <w:color w:val="000000"/>
                <w:sz w:val="20"/>
                <w:szCs w:val="20"/>
                <w:lang w:val="fr-CA"/>
              </w:rPr>
              <w:t>I</w:t>
            </w:r>
          </w:p>
        </w:tc>
        <w:tc>
          <w:tcPr>
            <w:tcW w:w="1936" w:type="pct"/>
            <w:shd w:val="clear" w:color="auto" w:fill="auto"/>
          </w:tcPr>
          <w:p w:rsidR="00C03E65" w:rsidRPr="00C03E65" w:rsidRDefault="00C03E65" w:rsidP="00C03E65">
            <w:pPr>
              <w:autoSpaceDE w:val="0"/>
              <w:autoSpaceDN w:val="0"/>
              <w:adjustRightInd w:val="0"/>
              <w:jc w:val="right"/>
              <w:rPr>
                <w:rFonts w:eastAsiaTheme="minorHAnsi"/>
                <w:color w:val="000000"/>
                <w:sz w:val="20"/>
                <w:szCs w:val="20"/>
                <w:lang w:val="fr-CA"/>
              </w:rPr>
            </w:pPr>
            <w:r w:rsidRPr="00C03E65">
              <w:rPr>
                <w:rFonts w:eastAsiaTheme="minorHAnsi"/>
                <w:color w:val="000000"/>
                <w:sz w:val="20"/>
                <w:szCs w:val="20"/>
                <w:lang w:val="fr-CA"/>
              </w:rPr>
              <w:t>32,19</w:t>
            </w:r>
          </w:p>
        </w:tc>
      </w:tr>
    </w:tbl>
    <w:p w:rsidR="00C03E65" w:rsidRPr="00C03E65" w:rsidRDefault="00C03E65" w:rsidP="00C03E65">
      <w:pPr>
        <w:rPr>
          <w:lang w:val="fr-CA"/>
        </w:rPr>
      </w:pPr>
    </w:p>
    <w:p w:rsidR="00C03E65" w:rsidRPr="00C03E65" w:rsidRDefault="00C03E65" w:rsidP="00C03E65">
      <w:pPr>
        <w:outlineLvl w:val="0"/>
        <w:rPr>
          <w:lang w:val="fr-CA"/>
        </w:rPr>
      </w:pPr>
    </w:p>
    <w:p w:rsidR="00C03E65" w:rsidRPr="00C03E65" w:rsidRDefault="00C03E65" w:rsidP="00C03E65">
      <w:pPr>
        <w:spacing w:after="240"/>
        <w:outlineLvl w:val="0"/>
        <w:rPr>
          <w:b/>
          <w:lang w:val="fr-CA"/>
        </w:rPr>
      </w:pPr>
      <w:r w:rsidRPr="00C03E65">
        <w:rPr>
          <w:b/>
          <w:lang w:val="fr-CA"/>
        </w:rPr>
        <w:t xml:space="preserve">APPENDICE 2-A : OBJECTIFS ET FINANCEMENT </w:t>
      </w:r>
    </w:p>
    <w:tbl>
      <w:tblPr>
        <w:tblW w:w="5779" w:type="pct"/>
        <w:jc w:val="center"/>
        <w:tblLayout w:type="fixed"/>
        <w:tblLook w:val="04A0" w:firstRow="1" w:lastRow="0" w:firstColumn="1" w:lastColumn="0" w:noHBand="0" w:noVBand="1"/>
      </w:tblPr>
      <w:tblGrid>
        <w:gridCol w:w="714"/>
        <w:gridCol w:w="2163"/>
        <w:gridCol w:w="722"/>
        <w:gridCol w:w="631"/>
        <w:gridCol w:w="722"/>
        <w:gridCol w:w="629"/>
        <w:gridCol w:w="540"/>
        <w:gridCol w:w="717"/>
        <w:gridCol w:w="631"/>
        <w:gridCol w:w="540"/>
        <w:gridCol w:w="500"/>
        <w:gridCol w:w="848"/>
        <w:gridCol w:w="724"/>
        <w:gridCol w:w="987"/>
      </w:tblGrid>
      <w:tr w:rsidR="00C03E65" w:rsidRPr="00C03E65" w:rsidTr="00C03E65">
        <w:trPr>
          <w:trHeight w:val="98"/>
          <w:tblHeader/>
          <w:jc w:val="center"/>
        </w:trPr>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Ligne</w:t>
            </w:r>
          </w:p>
        </w:tc>
        <w:tc>
          <w:tcPr>
            <w:tcW w:w="977" w:type="pct"/>
            <w:tcBorders>
              <w:top w:val="single" w:sz="4" w:space="0" w:color="auto"/>
              <w:left w:val="nil"/>
              <w:bottom w:val="single" w:sz="4" w:space="0" w:color="auto"/>
              <w:right w:val="single" w:sz="4" w:space="0" w:color="auto"/>
            </w:tcBorders>
            <w:shd w:val="clear" w:color="auto" w:fill="auto"/>
            <w:hideMark/>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Paramètres</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hideMark/>
          </w:tcPr>
          <w:p w:rsidR="00C03E65" w:rsidRPr="00C03E65" w:rsidRDefault="00C03E65" w:rsidP="00C03E65">
            <w:pPr>
              <w:keepNext/>
              <w:keepLines/>
              <w:jc w:val="center"/>
              <w:rPr>
                <w:b/>
                <w:bCs/>
                <w:color w:val="000000"/>
                <w:sz w:val="18"/>
                <w:szCs w:val="18"/>
                <w:lang w:val="fr-CA" w:eastAsia="en-CA"/>
              </w:rPr>
            </w:pPr>
          </w:p>
        </w:tc>
        <w:tc>
          <w:tcPr>
            <w:tcW w:w="285" w:type="pct"/>
            <w:tcBorders>
              <w:top w:val="single" w:sz="4" w:space="0" w:color="auto"/>
              <w:left w:val="nil"/>
              <w:bottom w:val="single" w:sz="4" w:space="0" w:color="auto"/>
              <w:right w:val="single" w:sz="4" w:space="0" w:color="auto"/>
            </w:tcBorders>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2019</w:t>
            </w:r>
          </w:p>
        </w:tc>
        <w:tc>
          <w:tcPr>
            <w:tcW w:w="326" w:type="pct"/>
            <w:tcBorders>
              <w:top w:val="single" w:sz="4" w:space="0" w:color="auto"/>
              <w:left w:val="nil"/>
              <w:bottom w:val="single" w:sz="4" w:space="0" w:color="auto"/>
              <w:right w:val="single" w:sz="4" w:space="0" w:color="auto"/>
            </w:tcBorders>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2020</w:t>
            </w:r>
          </w:p>
        </w:tc>
        <w:tc>
          <w:tcPr>
            <w:tcW w:w="284" w:type="pct"/>
            <w:tcBorders>
              <w:top w:val="single" w:sz="4" w:space="0" w:color="auto"/>
              <w:left w:val="nil"/>
              <w:bottom w:val="single" w:sz="4" w:space="0" w:color="auto"/>
              <w:right w:val="single" w:sz="4" w:space="0" w:color="auto"/>
            </w:tcBorders>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2021</w:t>
            </w:r>
          </w:p>
        </w:tc>
        <w:tc>
          <w:tcPr>
            <w:tcW w:w="244" w:type="pct"/>
            <w:tcBorders>
              <w:top w:val="single" w:sz="4" w:space="0" w:color="auto"/>
              <w:left w:val="nil"/>
              <w:bottom w:val="single" w:sz="4" w:space="0" w:color="auto"/>
              <w:right w:val="single" w:sz="4" w:space="0" w:color="auto"/>
            </w:tcBorders>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2022</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hideMark/>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2023</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2024</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2025</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2026</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2027</w:t>
            </w:r>
          </w:p>
        </w:tc>
        <w:tc>
          <w:tcPr>
            <w:tcW w:w="326" w:type="pct"/>
            <w:tcBorders>
              <w:top w:val="single" w:sz="4" w:space="0" w:color="auto"/>
              <w:left w:val="single" w:sz="4" w:space="0" w:color="auto"/>
              <w:bottom w:val="single" w:sz="4" w:space="0" w:color="auto"/>
              <w:right w:val="single" w:sz="4" w:space="0" w:color="auto"/>
            </w:tcBorders>
            <w:tcMar>
              <w:left w:w="14" w:type="dxa"/>
              <w:right w:w="14" w:type="dxa"/>
            </w:tcMar>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2030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C03E65" w:rsidRPr="00C03E65" w:rsidRDefault="00C03E65" w:rsidP="00C03E65">
            <w:pPr>
              <w:keepNext/>
              <w:keepLines/>
              <w:jc w:val="center"/>
              <w:rPr>
                <w:b/>
                <w:bCs/>
                <w:color w:val="000000"/>
                <w:sz w:val="18"/>
                <w:szCs w:val="18"/>
                <w:lang w:val="fr-CA" w:eastAsia="en-CA"/>
              </w:rPr>
            </w:pPr>
            <w:r w:rsidRPr="00C03E65">
              <w:rPr>
                <w:b/>
                <w:bCs/>
                <w:color w:val="000000"/>
                <w:sz w:val="18"/>
                <w:szCs w:val="18"/>
                <w:lang w:val="fr-CA" w:eastAsia="en-CA"/>
              </w:rPr>
              <w:t>Total</w:t>
            </w:r>
          </w:p>
        </w:tc>
      </w:tr>
      <w:tr w:rsidR="00C03E65" w:rsidRPr="00C03E65" w:rsidTr="00C03E65">
        <w:trPr>
          <w:trHeight w:val="408"/>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keepNext/>
              <w:keepLines/>
              <w:jc w:val="left"/>
              <w:rPr>
                <w:color w:val="000000"/>
                <w:sz w:val="18"/>
                <w:szCs w:val="18"/>
                <w:lang w:val="fr-CA" w:eastAsia="en-CA"/>
              </w:rPr>
            </w:pPr>
            <w:r w:rsidRPr="00C03E65">
              <w:rPr>
                <w:color w:val="000000"/>
                <w:sz w:val="18"/>
                <w:szCs w:val="18"/>
                <w:lang w:val="fr-CA" w:eastAsia="en-CA"/>
              </w:rPr>
              <w:t>1.1</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keepNext/>
              <w:keepLines/>
              <w:jc w:val="left"/>
              <w:rPr>
                <w:color w:val="000000"/>
                <w:sz w:val="18"/>
                <w:szCs w:val="18"/>
                <w:lang w:val="fr-CA" w:eastAsia="en-CA"/>
              </w:rPr>
            </w:pPr>
            <w:r w:rsidRPr="00C03E65">
              <w:rPr>
                <w:color w:val="000000"/>
                <w:sz w:val="18"/>
                <w:szCs w:val="18"/>
                <w:lang w:val="fr-CA" w:eastAsia="zh-CN"/>
              </w:rPr>
              <w:t xml:space="preserve">Calendrier de réduction des substances du Groupe I de l’annexe C du Protocole de Montréal (tonnes PAO) </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12,69</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4,58</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4,58</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16,96</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1,31</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s.o</w:t>
            </w:r>
          </w:p>
        </w:tc>
      </w:tr>
      <w:tr w:rsidR="00C03E65" w:rsidRPr="00C03E65" w:rsidTr="00C03E65">
        <w:trPr>
          <w:trHeight w:val="408"/>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1.2</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zh-CN"/>
              </w:rPr>
              <w:t>Consommation maximale admissible des substances du Groupe I de l’annexe C (tonnes PAO)</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12,69</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32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9,17</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4,58</w:t>
            </w:r>
          </w:p>
        </w:tc>
        <w:tc>
          <w:tcPr>
            <w:tcW w:w="2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4,58</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4,58</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keepNext/>
              <w:keepLines/>
              <w:jc w:val="right"/>
              <w:rPr>
                <w:color w:val="000000"/>
                <w:sz w:val="18"/>
                <w:szCs w:val="18"/>
                <w:lang w:val="fr-CA" w:eastAsia="en-CA"/>
              </w:rPr>
            </w:pPr>
            <w:r w:rsidRPr="00C03E65">
              <w:rPr>
                <w:color w:val="000000"/>
                <w:sz w:val="18"/>
                <w:szCs w:val="18"/>
                <w:lang w:val="fr-CA" w:eastAsia="en-CA"/>
              </w:rPr>
              <w:t>s.o</w:t>
            </w:r>
          </w:p>
        </w:tc>
      </w:tr>
      <w:tr w:rsidR="00C03E65" w:rsidRPr="00C03E65" w:rsidTr="00C03E65">
        <w:trPr>
          <w:trHeight w:val="116"/>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2.1</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zh-CN"/>
              </w:rPr>
              <w:t xml:space="preserve">Financement convenu pour l’agence d’exécution principale </w:t>
            </w:r>
            <w:r w:rsidRPr="00C03E65">
              <w:rPr>
                <w:color w:val="000000"/>
                <w:sz w:val="18"/>
                <w:szCs w:val="18"/>
                <w:lang w:val="fr-CA" w:eastAsia="en-CA"/>
              </w:rPr>
              <w:t>(Gouvernement de la France) ($US)</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385 750</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295 200</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126 450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89 350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1 763 850</w:t>
            </w:r>
          </w:p>
        </w:tc>
      </w:tr>
      <w:tr w:rsidR="00C03E65" w:rsidRPr="00C03E65" w:rsidTr="00C03E65">
        <w:trPr>
          <w:trHeight w:val="56"/>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2.2</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Coûts d’appui convenus pour l’agence d’exécution principale ($ US)</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13 144</w:t>
            </w: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27 003</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20  664</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8,852</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10 335</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204 023</w:t>
            </w:r>
          </w:p>
        </w:tc>
      </w:tr>
      <w:tr w:rsidR="00C03E65" w:rsidRPr="00C03E65" w:rsidTr="00C03E65">
        <w:trPr>
          <w:trHeight w:val="62"/>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3.1</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Financement total convenu ($US )</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187 777</w:t>
            </w: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385 750</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295 200</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126 450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89 350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1 763 850</w:t>
            </w:r>
          </w:p>
        </w:tc>
      </w:tr>
      <w:tr w:rsidR="00C03E65" w:rsidRPr="00C03E65" w:rsidTr="00C03E65">
        <w:trPr>
          <w:trHeight w:val="62"/>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3.2</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Total des coûts d’appui  ($US)</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13 144</w:t>
            </w: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27 003</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20 664</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8 852</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10 335</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204 023</w:t>
            </w:r>
          </w:p>
        </w:tc>
      </w:tr>
      <w:tr w:rsidR="00C03E65" w:rsidRPr="00C03E65" w:rsidTr="00C03E65">
        <w:trPr>
          <w:trHeight w:val="53"/>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3.3</w:t>
            </w:r>
          </w:p>
        </w:tc>
        <w:tc>
          <w:tcPr>
            <w:tcW w:w="977" w:type="pct"/>
            <w:tcBorders>
              <w:top w:val="nil"/>
              <w:left w:val="nil"/>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Total des coûts convenus ($US )</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200 921</w:t>
            </w:r>
          </w:p>
        </w:tc>
        <w:tc>
          <w:tcPr>
            <w:tcW w:w="285"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6"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412 753</w:t>
            </w:r>
          </w:p>
        </w:tc>
        <w:tc>
          <w:tcPr>
            <w:tcW w:w="28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nil"/>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315 864</w:t>
            </w: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2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w:t>
            </w:r>
          </w:p>
        </w:tc>
        <w:tc>
          <w:tcPr>
            <w:tcW w:w="383" w:type="pct"/>
            <w:tcBorders>
              <w:top w:val="single" w:sz="4" w:space="0" w:color="auto"/>
              <w:left w:val="nil"/>
              <w:bottom w:val="single" w:sz="4" w:space="0" w:color="auto"/>
              <w:right w:val="single" w:sz="4" w:space="0" w:color="auto"/>
            </w:tcBorders>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135 302</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99 685</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 xml:space="preserve"> 1 967 873</w:t>
            </w:r>
          </w:p>
        </w:tc>
      </w:tr>
      <w:tr w:rsidR="00C03E65" w:rsidRPr="00C03E65" w:rsidTr="00C03E65">
        <w:trPr>
          <w:trHeight w:val="53"/>
          <w:jc w:val="center"/>
        </w:trPr>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4.1.1</w:t>
            </w:r>
          </w:p>
        </w:tc>
        <w:tc>
          <w:tcPr>
            <w:tcW w:w="4231" w:type="pct"/>
            <w:gridSpan w:val="12"/>
            <w:tcBorders>
              <w:top w:val="single" w:sz="4" w:space="0" w:color="auto"/>
              <w:left w:val="nil"/>
              <w:bottom w:val="single" w:sz="4" w:space="0" w:color="auto"/>
              <w:right w:val="single" w:sz="4" w:space="0" w:color="auto"/>
            </w:tcBorders>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 xml:space="preserve">Élimination totale du HCFC-22  convenue à réaliser en vertu de l’accord (tonnes PAO)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21,78</w:t>
            </w:r>
          </w:p>
        </w:tc>
      </w:tr>
      <w:tr w:rsidR="00C03E65" w:rsidRPr="00C03E65" w:rsidTr="00C03E65">
        <w:trPr>
          <w:trHeight w:val="116"/>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4.1.2</w:t>
            </w:r>
          </w:p>
        </w:tc>
        <w:tc>
          <w:tcPr>
            <w:tcW w:w="4231" w:type="pct"/>
            <w:gridSpan w:val="12"/>
            <w:tcBorders>
              <w:top w:val="single" w:sz="4" w:space="0" w:color="auto"/>
              <w:left w:val="nil"/>
              <w:bottom w:val="single" w:sz="4" w:space="0" w:color="auto"/>
              <w:right w:val="single" w:sz="4" w:space="0" w:color="auto"/>
            </w:tcBorders>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 xml:space="preserve">Élimination du HCFC-22 à réaliser lors de la phase antérieure (tonnes PAO) </w:t>
            </w:r>
          </w:p>
        </w:tc>
        <w:tc>
          <w:tcPr>
            <w:tcW w:w="447" w:type="pct"/>
            <w:tcBorders>
              <w:top w:val="nil"/>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11,63</w:t>
            </w:r>
          </w:p>
        </w:tc>
      </w:tr>
      <w:tr w:rsidR="00C03E65" w:rsidRPr="00C03E65" w:rsidTr="00C03E65">
        <w:trPr>
          <w:trHeight w:val="98"/>
          <w:jc w:val="center"/>
        </w:trPr>
        <w:tc>
          <w:tcPr>
            <w:tcW w:w="323" w:type="pct"/>
            <w:tcBorders>
              <w:top w:val="nil"/>
              <w:left w:val="single" w:sz="4" w:space="0" w:color="auto"/>
              <w:bottom w:val="single" w:sz="4" w:space="0" w:color="auto"/>
              <w:right w:val="single" w:sz="4" w:space="0" w:color="auto"/>
            </w:tcBorders>
            <w:shd w:val="clear" w:color="auto" w:fill="auto"/>
            <w:hideMark/>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4.1.3</w:t>
            </w:r>
          </w:p>
        </w:tc>
        <w:tc>
          <w:tcPr>
            <w:tcW w:w="4231" w:type="pct"/>
            <w:gridSpan w:val="12"/>
            <w:tcBorders>
              <w:top w:val="single" w:sz="4" w:space="0" w:color="auto"/>
              <w:left w:val="nil"/>
              <w:bottom w:val="single" w:sz="4" w:space="0" w:color="auto"/>
              <w:right w:val="single" w:sz="4" w:space="0" w:color="auto"/>
            </w:tcBorders>
          </w:tcPr>
          <w:p w:rsidR="00C03E65" w:rsidRPr="00C03E65" w:rsidRDefault="00C03E65" w:rsidP="00C03E65">
            <w:pPr>
              <w:jc w:val="left"/>
              <w:rPr>
                <w:color w:val="000000"/>
                <w:sz w:val="18"/>
                <w:szCs w:val="18"/>
                <w:lang w:val="fr-CA" w:eastAsia="en-CA"/>
              </w:rPr>
            </w:pPr>
            <w:r w:rsidRPr="00C03E65">
              <w:rPr>
                <w:color w:val="000000"/>
                <w:sz w:val="18"/>
                <w:szCs w:val="18"/>
                <w:lang w:val="fr-CA" w:eastAsia="en-CA"/>
              </w:rPr>
              <w:t>Consommation admissible restante de HCFC-123 (tonnes PAO)</w:t>
            </w:r>
          </w:p>
        </w:tc>
        <w:tc>
          <w:tcPr>
            <w:tcW w:w="447" w:type="pct"/>
            <w:tcBorders>
              <w:top w:val="nil"/>
              <w:left w:val="single" w:sz="4" w:space="0" w:color="auto"/>
              <w:bottom w:val="single" w:sz="4" w:space="0" w:color="auto"/>
              <w:right w:val="single" w:sz="4" w:space="0" w:color="auto"/>
            </w:tcBorders>
            <w:shd w:val="clear" w:color="auto" w:fill="auto"/>
          </w:tcPr>
          <w:p w:rsidR="00C03E65" w:rsidRPr="00C03E65" w:rsidRDefault="00C03E65" w:rsidP="00C03E65">
            <w:pPr>
              <w:jc w:val="right"/>
              <w:rPr>
                <w:color w:val="000000"/>
                <w:sz w:val="18"/>
                <w:szCs w:val="18"/>
                <w:lang w:val="fr-CA" w:eastAsia="en-CA"/>
              </w:rPr>
            </w:pPr>
            <w:r w:rsidRPr="00C03E65">
              <w:rPr>
                <w:color w:val="000000"/>
                <w:sz w:val="18"/>
                <w:szCs w:val="18"/>
                <w:lang w:val="fr-CA" w:eastAsia="en-CA"/>
              </w:rPr>
              <w:t>0,00</w:t>
            </w:r>
          </w:p>
        </w:tc>
      </w:tr>
    </w:tbl>
    <w:p w:rsidR="00C03E65" w:rsidRPr="00C03E65" w:rsidRDefault="00C03E65" w:rsidP="00C03E65">
      <w:pPr>
        <w:spacing w:after="240"/>
        <w:ind w:left="-851"/>
        <w:jc w:val="left"/>
        <w:outlineLvl w:val="0"/>
        <w:rPr>
          <w:sz w:val="16"/>
          <w:szCs w:val="16"/>
          <w:lang w:val="fr-CA"/>
        </w:rPr>
      </w:pPr>
      <w:r w:rsidRPr="00C03E65">
        <w:rPr>
          <w:sz w:val="16"/>
          <w:szCs w:val="16"/>
          <w:lang w:val="fr-CA"/>
        </w:rPr>
        <w:t>*Date d’achèvement de la phase I en vertu de l’Accord du 31/12/2021</w:t>
      </w:r>
    </w:p>
    <w:p w:rsidR="00C03E65" w:rsidRPr="00C03E65" w:rsidRDefault="00C03E65" w:rsidP="00C03E65">
      <w:pPr>
        <w:keepNext/>
        <w:keepLines/>
        <w:rPr>
          <w:b/>
          <w:lang w:val="fr-CA"/>
        </w:rPr>
      </w:pPr>
      <w:r w:rsidRPr="00C03E65">
        <w:rPr>
          <w:b/>
          <w:lang w:val="fr-CA"/>
        </w:rPr>
        <w:t>APPENDICE 3-A : CALENDRIER D’APPROBATION DU FINANCEMENT</w:t>
      </w:r>
    </w:p>
    <w:p w:rsidR="00C03E65" w:rsidRPr="00C03E65" w:rsidRDefault="00C03E65" w:rsidP="00C03E65">
      <w:pPr>
        <w:keepNext/>
        <w:keepLines/>
        <w:rPr>
          <w:lang w:val="fr-CA"/>
        </w:rPr>
      </w:pPr>
    </w:p>
    <w:p w:rsidR="00C03E65" w:rsidRPr="00C03E65" w:rsidRDefault="00C03E65" w:rsidP="00C03E65">
      <w:pPr>
        <w:numPr>
          <w:ilvl w:val="0"/>
          <w:numId w:val="27"/>
        </w:numPr>
        <w:spacing w:after="240"/>
        <w:outlineLvl w:val="0"/>
        <w:rPr>
          <w:lang w:val="fr-CA"/>
        </w:rPr>
      </w:pPr>
      <w:r w:rsidRPr="00C03E65">
        <w:rPr>
          <w:lang w:val="fr-CA"/>
        </w:rPr>
        <w:t>Le financement des futures tranches sera examiné pour approbation lors de la deuxième réunion de l’année spécifiée à l’Appendice 2-A.</w:t>
      </w:r>
    </w:p>
    <w:p w:rsidR="00C03E65" w:rsidRPr="00C03E65" w:rsidRDefault="00C03E65" w:rsidP="00C03E65">
      <w:pPr>
        <w:keepNext/>
        <w:keepLines/>
        <w:rPr>
          <w:b/>
          <w:lang w:val="fr-CA"/>
        </w:rPr>
      </w:pPr>
      <w:r w:rsidRPr="00C03E65">
        <w:rPr>
          <w:b/>
          <w:lang w:val="fr-CA"/>
        </w:rPr>
        <w:lastRenderedPageBreak/>
        <w:t xml:space="preserve">APPENDICE 4-A : FORMAT DES RAPPORTS ET DES PLANS DE MISE EN OEUVRE DE LA TRANCHE </w:t>
      </w:r>
    </w:p>
    <w:p w:rsidR="00C03E65" w:rsidRPr="00C03E65" w:rsidRDefault="00C03E65" w:rsidP="00C03E65">
      <w:pPr>
        <w:keepNext/>
        <w:keepLines/>
        <w:rPr>
          <w:lang w:val="fr-CA"/>
        </w:rPr>
      </w:pPr>
    </w:p>
    <w:p w:rsidR="00C03E65" w:rsidRPr="00C03E65" w:rsidRDefault="00C03E65" w:rsidP="00C03E65">
      <w:pPr>
        <w:keepNext/>
        <w:keepLines/>
        <w:numPr>
          <w:ilvl w:val="0"/>
          <w:numId w:val="27"/>
        </w:numPr>
        <w:spacing w:after="240"/>
        <w:outlineLvl w:val="0"/>
        <w:rPr>
          <w:lang w:val="fr-CA"/>
        </w:rPr>
      </w:pPr>
      <w:r w:rsidRPr="00C03E65">
        <w:rPr>
          <w:lang w:val="fr-CA"/>
        </w:rPr>
        <w:t>La présentation du plan et du rapport de mise en œuvre de la tranche pour chaque demande de tranche comprendra cinq parties:</w:t>
      </w:r>
    </w:p>
    <w:p w:rsidR="00C03E65" w:rsidRPr="00C03E65" w:rsidRDefault="00C03E65" w:rsidP="00C03E65">
      <w:pPr>
        <w:keepNext/>
        <w:keepLines/>
        <w:widowControl w:val="0"/>
        <w:numPr>
          <w:ilvl w:val="1"/>
          <w:numId w:val="1"/>
        </w:numPr>
        <w:tabs>
          <w:tab w:val="clear" w:pos="0"/>
          <w:tab w:val="num" w:pos="-1134"/>
        </w:tabs>
        <w:spacing w:after="240"/>
        <w:ind w:left="1418"/>
        <w:outlineLvl w:val="1"/>
        <w:rPr>
          <w:lang w:val="fr-CA"/>
        </w:rPr>
      </w:pPr>
      <w:r w:rsidRPr="00C03E65">
        <w:rPr>
          <w:lang w:val="fr-CA"/>
        </w:rPr>
        <w:t xml:space="preserve">Un rapport narratif avec des données fournies par tranche, décrivant les progrès réalisés depuis le rapport antérieur, reflétant la situation du pays en matière d’élimination des Substances, la façon dont les différentes activités y contribuent et comment elles sont reliées entre elles. Le rapport doit comprendre le volume de SAO éliminées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 plan de la tranche soumis précédemment, tels que des retards, l’utilisation de la marge de manœuvre pour la réaffectation des fonds durant la mise en œuvre d’une tranche, tel qu’indiqué au paragraphe 7 du présent accord, ou autres changements ; </w:t>
      </w:r>
    </w:p>
    <w:p w:rsidR="00C03E65" w:rsidRPr="00C03E65" w:rsidRDefault="00C03E65" w:rsidP="00C03E65">
      <w:pPr>
        <w:widowControl w:val="0"/>
        <w:numPr>
          <w:ilvl w:val="1"/>
          <w:numId w:val="1"/>
        </w:numPr>
        <w:tabs>
          <w:tab w:val="clear" w:pos="0"/>
          <w:tab w:val="num" w:pos="-1134"/>
        </w:tabs>
        <w:spacing w:after="240"/>
        <w:ind w:left="1418" w:hanging="851"/>
        <w:outlineLvl w:val="1"/>
        <w:rPr>
          <w:lang w:val="fr-CA"/>
        </w:rPr>
      </w:pPr>
      <w:r w:rsidRPr="00C03E65">
        <w:rPr>
          <w:lang w:val="fr-CA"/>
        </w:rPr>
        <w:t>Un rapport de vérification indépendant des résultats du plan et de la consommation des substances, conformément au paragraphe 5(b) de l’Accord. À moins que le Comité exécutif n’en ait décidé autrement, cette vérification doit accompagner chaque demande de tranche et fournir une vérification de la consommation pour toutes les années concernées spécifiées au paragraphe 5(a) de l’Accord pour lesquelles un rapport de vérification n’a pas encore été accepté par le Comité ;</w:t>
      </w:r>
    </w:p>
    <w:p w:rsidR="00C03E65" w:rsidRPr="00C03E65" w:rsidRDefault="00C03E65" w:rsidP="00C03E65">
      <w:pPr>
        <w:widowControl w:val="0"/>
        <w:numPr>
          <w:ilvl w:val="1"/>
          <w:numId w:val="1"/>
        </w:numPr>
        <w:tabs>
          <w:tab w:val="clear" w:pos="0"/>
          <w:tab w:val="num" w:pos="-1134"/>
        </w:tabs>
        <w:spacing w:after="240"/>
        <w:ind w:left="1418" w:hanging="851"/>
        <w:outlineLvl w:val="1"/>
        <w:rPr>
          <w:lang w:val="fr-CA"/>
        </w:rPr>
      </w:pPr>
      <w:r w:rsidRPr="00C03E65">
        <w:rPr>
          <w:lang w:val="fr-CA"/>
        </w:rPr>
        <w:t>Une description écrite des activités à entreprendre au cours de la période couverte par la tranche demandée, soulignant les étapes importantes de mise en œuvre, la date de l’achèvement et l’interdépendance des activités, et tenant en compte des expériences acquises et des progrès réalisés dans la mise en œuvre des tranches précédentes; les données du plan seront fournies par année civile. La description doit aussi faire mention du plan d’ensemble et des progrès réalisés ainsi que des changements éventuels prévus au plan d’ensemble. La description doit également spécifier et expliquer toutes révisions apportées au plan d’ensemble ayant été jugées nécessaires. Cette description des activités futures peut être soumise en tant que partie du même document que le rapport narratif mentionné au paragraphe (b) ci-dessus ;</w:t>
      </w:r>
    </w:p>
    <w:p w:rsidR="00C03E65" w:rsidRPr="00C03E65" w:rsidRDefault="00C03E65" w:rsidP="00C03E65">
      <w:pPr>
        <w:widowControl w:val="0"/>
        <w:numPr>
          <w:ilvl w:val="1"/>
          <w:numId w:val="1"/>
        </w:numPr>
        <w:tabs>
          <w:tab w:val="clear" w:pos="0"/>
          <w:tab w:val="num" w:pos="-1134"/>
        </w:tabs>
        <w:spacing w:after="240"/>
        <w:ind w:left="1418" w:hanging="851"/>
        <w:outlineLvl w:val="1"/>
        <w:rPr>
          <w:lang w:val="fr-CA"/>
        </w:rPr>
      </w:pPr>
      <w:r w:rsidRPr="00C03E65">
        <w:rPr>
          <w:lang w:val="fr-CA"/>
        </w:rPr>
        <w:t>Une série d’informations quantitatives pour tous les rapports et les plans annuels de mise en œuvre de la tranche présentées dans une base de données communiquées en ligne ; et</w:t>
      </w:r>
    </w:p>
    <w:p w:rsidR="00C03E65" w:rsidRPr="00C03E65" w:rsidRDefault="00C03E65" w:rsidP="00C03E65">
      <w:pPr>
        <w:widowControl w:val="0"/>
        <w:numPr>
          <w:ilvl w:val="1"/>
          <w:numId w:val="1"/>
        </w:numPr>
        <w:tabs>
          <w:tab w:val="clear" w:pos="0"/>
          <w:tab w:val="num" w:pos="-1134"/>
          <w:tab w:val="left" w:pos="567"/>
        </w:tabs>
        <w:spacing w:after="240"/>
        <w:ind w:left="1418" w:hanging="851"/>
        <w:outlineLvl w:val="1"/>
        <w:rPr>
          <w:lang w:val="fr-CA"/>
        </w:rPr>
      </w:pPr>
      <w:r w:rsidRPr="00C03E65">
        <w:rPr>
          <w:lang w:val="fr-CA"/>
        </w:rPr>
        <w:t>Une synthèse comprenant environ cinq paragraphes, résumant les informations des paragraphes 1(a) à 1(d) ci-dessus.</w:t>
      </w:r>
    </w:p>
    <w:p w:rsidR="00C03E65" w:rsidRPr="00C03E65" w:rsidRDefault="00C03E65" w:rsidP="00C03E65">
      <w:pPr>
        <w:keepNext/>
        <w:keepLines/>
        <w:numPr>
          <w:ilvl w:val="0"/>
          <w:numId w:val="1"/>
        </w:numPr>
        <w:spacing w:after="240"/>
        <w:outlineLvl w:val="0"/>
        <w:rPr>
          <w:lang w:val="fr-CA"/>
        </w:rPr>
      </w:pPr>
      <w:r w:rsidRPr="00C03E65">
        <w:rPr>
          <w:lang w:val="fr-CA"/>
        </w:rPr>
        <w:lastRenderedPageBreak/>
        <w:t>Si deux phases du PGEH sont mises en œuvre en parallèle au cours d’une année donnée, les considérations ci-dessous doivent entrer en ligne de compte dans la préparation des rapports et plans de mise en œuvre:</w:t>
      </w:r>
    </w:p>
    <w:p w:rsidR="00C03E65" w:rsidRPr="00C03E65" w:rsidRDefault="00C03E65" w:rsidP="00C03E65">
      <w:pPr>
        <w:keepNext/>
        <w:keepLines/>
        <w:widowControl w:val="0"/>
        <w:tabs>
          <w:tab w:val="left" w:pos="709"/>
          <w:tab w:val="left" w:pos="1418"/>
        </w:tabs>
        <w:spacing w:after="240"/>
        <w:ind w:left="1440" w:hanging="720"/>
        <w:outlineLvl w:val="1"/>
        <w:rPr>
          <w:lang w:val="fr-CA"/>
        </w:rPr>
      </w:pPr>
      <w:r>
        <w:rPr>
          <w:lang w:val="fr-CA"/>
        </w:rPr>
        <w:t>(a)</w:t>
      </w:r>
      <w:r>
        <w:rPr>
          <w:lang w:val="fr-CA"/>
        </w:rPr>
        <w:tab/>
      </w:r>
      <w:r w:rsidRPr="00C03E65">
        <w:rPr>
          <w:lang w:val="fr-CA"/>
        </w:rPr>
        <w:t xml:space="preserve">Le rapport et le plan de mise en œuvre dont il est question dans le présent accord ne porteront que sur les activités et les sommes prévues dans cet accord; et </w:t>
      </w:r>
    </w:p>
    <w:p w:rsidR="00C03E65" w:rsidRPr="00C03E65" w:rsidRDefault="00C03E65" w:rsidP="00C03E65">
      <w:pPr>
        <w:widowControl w:val="0"/>
        <w:tabs>
          <w:tab w:val="left" w:pos="720"/>
          <w:tab w:val="left" w:pos="1418"/>
        </w:tabs>
        <w:spacing w:after="240"/>
        <w:ind w:left="1440" w:hanging="720"/>
        <w:outlineLvl w:val="1"/>
        <w:rPr>
          <w:lang w:val="fr-CA"/>
        </w:rPr>
      </w:pPr>
      <w:r w:rsidRPr="00C03E65">
        <w:rPr>
          <w:lang w:val="fr-CA"/>
        </w:rPr>
        <w:t>(</w:t>
      </w:r>
      <w:r>
        <w:rPr>
          <w:lang w:val="fr-CA"/>
        </w:rPr>
        <w:t>b)</w:t>
      </w:r>
      <w:r w:rsidRPr="00C03E65">
        <w:rPr>
          <w:lang w:val="fr-CA"/>
        </w:rPr>
        <w:tab/>
        <w:t>Si les phases mises en œuvre présentent des objectifs de consommation de HCFC différents en vertu de l’Appendice 2-A de chaque accord pour une même année, l’objectif de consommation le plus bas servira de référence aux fins de conformité aux accords sur les HCFC et de base pour les vérifications indépendantes.</w:t>
      </w:r>
    </w:p>
    <w:p w:rsidR="00C03E65" w:rsidRPr="00C03E65" w:rsidRDefault="00C03E65" w:rsidP="00C03E65">
      <w:pPr>
        <w:jc w:val="left"/>
        <w:rPr>
          <w:b/>
          <w:lang w:val="fr-CA"/>
        </w:rPr>
      </w:pPr>
    </w:p>
    <w:p w:rsidR="00C03E65" w:rsidRPr="00C03E65" w:rsidRDefault="00C03E65" w:rsidP="00C03E65">
      <w:pPr>
        <w:keepNext/>
        <w:rPr>
          <w:b/>
          <w:lang w:val="fr-CA"/>
        </w:rPr>
      </w:pPr>
      <w:r w:rsidRPr="00C03E65">
        <w:rPr>
          <w:b/>
          <w:lang w:val="fr-CA"/>
        </w:rPr>
        <w:t xml:space="preserve">APPENDICE 5-A : INSTITUTIONS DE SUIVI ET LEUR RÔLE  </w:t>
      </w:r>
    </w:p>
    <w:p w:rsidR="00C03E65" w:rsidRPr="00C03E65" w:rsidRDefault="00C03E65" w:rsidP="00C03E65">
      <w:pPr>
        <w:keepNext/>
        <w:rPr>
          <w:lang w:val="fr-CA"/>
        </w:rPr>
      </w:pPr>
    </w:p>
    <w:p w:rsidR="00C03E65" w:rsidRPr="00C03E65" w:rsidRDefault="00C03E65" w:rsidP="00C03E65">
      <w:pPr>
        <w:pStyle w:val="ListParagraph"/>
        <w:numPr>
          <w:ilvl w:val="0"/>
          <w:numId w:val="34"/>
        </w:numPr>
        <w:spacing w:after="240"/>
        <w:ind w:left="0" w:firstLine="0"/>
        <w:outlineLvl w:val="0"/>
        <w:rPr>
          <w:lang w:val="fr-CA"/>
        </w:rPr>
      </w:pPr>
      <w:r w:rsidRPr="00C03E65">
        <w:rPr>
          <w:lang w:val="fr-CA"/>
        </w:rPr>
        <w:t xml:space="preserve">Le ministère de l’Environnement et de l’Énergie (Ministry of Environment and Energy – MINAE) est l’autorité responsable de la mise en oeuvre des actrivités nationales liées à la préservation de la couche d’ozone en vertu du Protocole de Montréal. Le DIGECA (Directorate of Environmental Quality Management) est le point focal du Protocole de Montréal désigné par le Ministère des relations exérieures et du culte (Ministry of Foreign Affairs and Worshi) et le MINAE. Le DIGECA est coordonné avec d’autres institutions et organisations publiques et avec le secteur privé pour la mise en oeuvre des activités de la phase II du PGEH. Les rôles et responsabilités de ces institutions sont les suivants : </w:t>
      </w:r>
    </w:p>
    <w:p w:rsidR="00C03E65" w:rsidRDefault="00C03E65" w:rsidP="00C03E65">
      <w:pPr>
        <w:pStyle w:val="Heading2"/>
        <w:rPr>
          <w:lang w:val="fr-CA"/>
        </w:rPr>
      </w:pPr>
      <w:r w:rsidRPr="00C03E65">
        <w:rPr>
          <w:lang w:val="fr-CA"/>
        </w:rPr>
        <w:t>Le Ministère des Finances et ses bureaux des douan</w:t>
      </w:r>
      <w:r>
        <w:rPr>
          <w:lang w:val="fr-CA"/>
        </w:rPr>
        <w:t xml:space="preserve">es sont responsables de la </w:t>
      </w:r>
      <w:r w:rsidRPr="00C03E65">
        <w:rPr>
          <w:lang w:val="fr-CA"/>
        </w:rPr>
        <w:t>réglementation du commerce international des substances</w:t>
      </w:r>
      <w:r>
        <w:rPr>
          <w:lang w:val="fr-CA"/>
        </w:rPr>
        <w:t xml:space="preserve"> réglementées, du suivi des </w:t>
      </w:r>
      <w:r w:rsidRPr="00C03E65">
        <w:rPr>
          <w:lang w:val="fr-CA"/>
        </w:rPr>
        <w:t>importations et de l’exécution des contingents avec d’autres entités administratives, e</w:t>
      </w:r>
      <w:r>
        <w:rPr>
          <w:lang w:val="fr-CA"/>
        </w:rPr>
        <w:t xml:space="preserve">t ils </w:t>
      </w:r>
      <w:r w:rsidRPr="00C03E65">
        <w:rPr>
          <w:lang w:val="fr-CA"/>
        </w:rPr>
        <w:t xml:space="preserve">sont chargés de l’approvisionnement public; </w:t>
      </w:r>
    </w:p>
    <w:p w:rsidR="00C03E65" w:rsidRDefault="00C03E65" w:rsidP="00C03E65">
      <w:pPr>
        <w:pStyle w:val="Heading2"/>
        <w:rPr>
          <w:lang w:val="fr-CA"/>
        </w:rPr>
      </w:pPr>
      <w:r w:rsidRPr="00C03E65">
        <w:rPr>
          <w:lang w:val="fr-CA"/>
        </w:rPr>
        <w:t xml:space="preserve">Le Ministère de la Santé est responsable de l’émission des règlements correspondant à l’utilisation des substances contrôlées; </w:t>
      </w:r>
    </w:p>
    <w:p w:rsidR="00C03E65" w:rsidRDefault="00C03E65" w:rsidP="00C03E65">
      <w:pPr>
        <w:pStyle w:val="Heading2"/>
        <w:rPr>
          <w:lang w:val="fr-CA"/>
        </w:rPr>
      </w:pPr>
      <w:r w:rsidRPr="00C03E65">
        <w:rPr>
          <w:lang w:val="fr-CA"/>
        </w:rPr>
        <w:t>Les institutions de formation et de formation technique, comme l’Institut national d’apprentissage (National Institute of Learning – INA), le Ministère de l’éducation publique (Ministry of Public Education – MEP), la Samuel Foundation, les Universités publiques appuieront le renforcement des capacités techniques des techniciens et des professionnels en réfrigération et en climatisation;</w:t>
      </w:r>
    </w:p>
    <w:p w:rsidR="00C03E65" w:rsidRDefault="00C03E65" w:rsidP="00C03E65">
      <w:pPr>
        <w:pStyle w:val="Heading2"/>
        <w:rPr>
          <w:lang w:val="fr-CA"/>
        </w:rPr>
      </w:pPr>
      <w:r w:rsidRPr="00C03E65">
        <w:rPr>
          <w:lang w:val="fr-CA"/>
        </w:rPr>
        <w:t>Le DIGECA collaborera avec les chambres et les associations industrielles (Chambre des Industries, Association des techniciens industriels, Federated College of Engineers and Architects, Chambre de Commerce (Chamber of Industries</w:t>
      </w:r>
      <w:r>
        <w:rPr>
          <w:lang w:val="fr-CA"/>
        </w:rPr>
        <w:t xml:space="preserve">, Association of Industrial </w:t>
      </w:r>
      <w:r w:rsidRPr="00C03E65">
        <w:rPr>
          <w:lang w:val="fr-CA"/>
        </w:rPr>
        <w:t>Technicians, Federated College of Engineers and Architets, Chamber of Commerce, entre autres) lors du traitement des questions globales dans l’intérêt de l’industrie durant le</w:t>
      </w:r>
      <w:r>
        <w:rPr>
          <w:lang w:val="fr-CA"/>
        </w:rPr>
        <w:t xml:space="preserve"> </w:t>
      </w:r>
      <w:r w:rsidRPr="00C03E65">
        <w:rPr>
          <w:lang w:val="fr-CA"/>
        </w:rPr>
        <w:t>processus d’élimination totale des HCFC;</w:t>
      </w:r>
      <w:r>
        <w:rPr>
          <w:lang w:val="fr-CA"/>
        </w:rPr>
        <w:t xml:space="preserve"> </w:t>
      </w:r>
    </w:p>
    <w:p w:rsidR="00C03E65" w:rsidRDefault="00C03E65" w:rsidP="00C03E65">
      <w:pPr>
        <w:pStyle w:val="Heading2"/>
        <w:rPr>
          <w:lang w:val="fr-CA"/>
        </w:rPr>
      </w:pPr>
      <w:r w:rsidRPr="00C03E65">
        <w:rPr>
          <w:lang w:val="fr-CA"/>
        </w:rPr>
        <w:t xml:space="preserve">Le DIGECA travaillera aussi avec d’autres département du gouvernement responsables du Système de la qualité nationale (National Quality System), y compris les </w:t>
      </w:r>
      <w:r>
        <w:rPr>
          <w:lang w:val="fr-CA"/>
        </w:rPr>
        <w:t xml:space="preserve">organismes </w:t>
      </w:r>
      <w:r w:rsidRPr="00C03E65">
        <w:rPr>
          <w:lang w:val="fr-CA"/>
        </w:rPr>
        <w:t xml:space="preserve">de normes techniques, pour la mise à jour et l’adoption des règlements et des normes techniques requis pour la mise en oeuvre du Protocole de Montréal; et </w:t>
      </w:r>
    </w:p>
    <w:p w:rsidR="00C03E65" w:rsidRPr="00C03E65" w:rsidRDefault="00C03E65" w:rsidP="00C03E65">
      <w:pPr>
        <w:pStyle w:val="Heading2"/>
        <w:rPr>
          <w:lang w:val="fr-CA"/>
        </w:rPr>
      </w:pPr>
      <w:r w:rsidRPr="00C03E65">
        <w:rPr>
          <w:lang w:val="fr-CA"/>
        </w:rPr>
        <w:t>L’agence d’exécution principale fournira le suivi administratif, budgétaire et financier nécessaire pour la mise en oeuvre des activités de projet.</w:t>
      </w:r>
    </w:p>
    <w:p w:rsidR="00C03E65" w:rsidRPr="00C03E65" w:rsidRDefault="00C03E65" w:rsidP="00C03E65">
      <w:pPr>
        <w:rPr>
          <w:b/>
          <w:lang w:val="fr-CA"/>
        </w:rPr>
      </w:pPr>
      <w:r w:rsidRPr="00C03E65">
        <w:rPr>
          <w:b/>
          <w:lang w:val="fr-CA"/>
        </w:rPr>
        <w:t xml:space="preserve">APPENDICE 6-A : RÔLE DE L’AGENCE D’EXÉCUTION PRINCIPALE </w:t>
      </w:r>
    </w:p>
    <w:p w:rsidR="00C03E65" w:rsidRPr="00380C1C" w:rsidRDefault="00C03E65" w:rsidP="00380C1C">
      <w:pPr>
        <w:pStyle w:val="Heading1"/>
        <w:numPr>
          <w:ilvl w:val="0"/>
          <w:numId w:val="35"/>
        </w:numPr>
        <w:rPr>
          <w:lang w:val="fr-CA"/>
        </w:rPr>
      </w:pPr>
      <w:r w:rsidRPr="00380C1C">
        <w:rPr>
          <w:lang w:val="fr-CA"/>
        </w:rPr>
        <w:lastRenderedPageBreak/>
        <w:t>L’agence principale sera responsable d’une série d’activités, incluant au moins les activités ci</w:t>
      </w:r>
      <w:r w:rsidRPr="00380C1C">
        <w:rPr>
          <w:lang w:val="fr-CA"/>
        </w:rPr>
        <w:noBreakHyphen/>
        <w:t>après:</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S’assurer du rendement et de la vérification financière conformément au présent accord et à ses procédures internes et exigences spécifiques définies dans le PGEH du Pays;</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Aider le Pays à préparer les plans de mise en œuvre de la tranche et les rapports ultérieurs conformément à l’Appendice 4-A;</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 xml:space="preserve">Remettre au Comité exécutif un rapport de vérification indépendante confirmant que les objectifs ont été atteints et que les activités annuelles correspondantes ont été réalisées conformément au plan de mise en œuvre de la tranche, en accord avec l’Appendice 4-A; </w:t>
      </w:r>
    </w:p>
    <w:p w:rsidR="00C03E65" w:rsidRPr="00C03E65" w:rsidRDefault="00C03E65" w:rsidP="00C03E65">
      <w:pPr>
        <w:keepNext/>
        <w:keepLines/>
        <w:widowControl w:val="0"/>
        <w:numPr>
          <w:ilvl w:val="1"/>
          <w:numId w:val="1"/>
        </w:numPr>
        <w:tabs>
          <w:tab w:val="clear" w:pos="0"/>
          <w:tab w:val="num" w:pos="-1134"/>
        </w:tabs>
        <w:spacing w:after="240"/>
        <w:ind w:left="1418" w:hanging="709"/>
        <w:outlineLvl w:val="1"/>
        <w:rPr>
          <w:lang w:val="fr-CA"/>
        </w:rPr>
      </w:pPr>
      <w:r w:rsidRPr="00C03E65">
        <w:rPr>
          <w:lang w:val="fr-CA"/>
        </w:rPr>
        <w:t>Veiller à ce que les expériences et progrès transparaissent dans les mises à jour du plan d’ensemble et les futurs plans annuels de mise en œuvre de la tranche, conformément aux paragraphes 1(c) et 1(d) de l’Appendice 4-A;</w:t>
      </w:r>
    </w:p>
    <w:p w:rsidR="00C03E65" w:rsidRPr="00C03E65" w:rsidRDefault="00C03E65" w:rsidP="00C03E65">
      <w:pPr>
        <w:keepNext/>
        <w:keepLines/>
        <w:widowControl w:val="0"/>
        <w:numPr>
          <w:ilvl w:val="1"/>
          <w:numId w:val="1"/>
        </w:numPr>
        <w:tabs>
          <w:tab w:val="clear" w:pos="0"/>
          <w:tab w:val="num" w:pos="-1134"/>
        </w:tabs>
        <w:spacing w:after="240"/>
        <w:ind w:left="1418" w:hanging="709"/>
        <w:outlineLvl w:val="1"/>
        <w:rPr>
          <w:lang w:val="fr-CA"/>
        </w:rPr>
      </w:pPr>
      <w:r w:rsidRPr="00C03E65">
        <w:rPr>
          <w:lang w:val="fr-CA"/>
        </w:rPr>
        <w:t>Satisfaire aux exigences de rapport pour les rapports et plans de mise en œuvre de la tranche et le plan d’ensemble selon les spécifications de l’Appendice 4-A pour présentation au Comité exécutif ;</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 xml:space="preserve">Si la dernière tranche de financement est demandée une année ou plusieurs années avant la dernière année pour laquelle l’objectif de consommation a été fixé, des rapports annuels sur la mise en œuvre de la tranche et, le cas échéant, des rapports de vérification sur la phase en cours du Plan devraient être soumis en attendant que toutes les activités relatives aux tranches soient achevées et les objectifs de consommation des HCFC atteints ;  </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Veiller à ce que des experts techniques indépendants et qualifiés réalisent les examens techniques ;</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Exécuter les missions de supervision requises ;</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S’assurer qu’il existe un mécanisme opérationnel permettant la mise en œuvre efficace et transparente du plan de mise en œuvre de la tranche et la communication de données exactes ;</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En cas de réduction du soutien financier pour non-conformité au paragraphe 11 de l’Accord, déterminer, en consultation avec le Pays, la répartition des réductions aux différents postes budgétaires et au financement de l’Agence principale;</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Veiller à ce que les décaissements effectués à l’intention du Pays soient fondés sur l’utilisation des indicateurs ;</w:t>
      </w:r>
    </w:p>
    <w:p w:rsid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 xml:space="preserve">Fournir si nécessaire une assistance en matière de politique générale, de gestion et de soutien technique ; </w:t>
      </w:r>
      <w:r w:rsidR="00380C1C">
        <w:rPr>
          <w:lang w:val="fr-CA"/>
        </w:rPr>
        <w:t>et</w:t>
      </w:r>
    </w:p>
    <w:p w:rsidR="00C03E65" w:rsidRPr="00C03E65" w:rsidRDefault="00C03E65" w:rsidP="00C03E65">
      <w:pPr>
        <w:widowControl w:val="0"/>
        <w:numPr>
          <w:ilvl w:val="1"/>
          <w:numId w:val="1"/>
        </w:numPr>
        <w:tabs>
          <w:tab w:val="clear" w:pos="0"/>
          <w:tab w:val="num" w:pos="-1134"/>
        </w:tabs>
        <w:spacing w:after="240"/>
        <w:ind w:left="1418" w:hanging="709"/>
        <w:outlineLvl w:val="1"/>
        <w:rPr>
          <w:lang w:val="fr-CA"/>
        </w:rPr>
      </w:pPr>
      <w:r w:rsidRPr="00C03E65">
        <w:rPr>
          <w:lang w:val="fr-CA"/>
        </w:rPr>
        <w:t>Mobiliser des fonds en temps utile à l’intention du Pays/entreprises participantes en vue de l’achèvement des activités liées au projet</w:t>
      </w:r>
    </w:p>
    <w:p w:rsidR="00C03E65" w:rsidRPr="00380C1C" w:rsidRDefault="00C03E65" w:rsidP="00C03E65">
      <w:pPr>
        <w:numPr>
          <w:ilvl w:val="0"/>
          <w:numId w:val="1"/>
        </w:numPr>
        <w:spacing w:after="240"/>
        <w:outlineLvl w:val="0"/>
        <w:rPr>
          <w:lang w:val="fr-CA"/>
        </w:rPr>
      </w:pPr>
      <w:r w:rsidRPr="00C03E65">
        <w:rPr>
          <w:lang w:val="fr-CA"/>
        </w:rPr>
        <w:t xml:space="preserve">Après avoir consulté le Pays et pris en considération les points de vue exprimés, l’Agence principale sélectionnera une organisation indépendante, qu’elle chargera de réaliser la vérification des résultats du plan de gestion de l’élimination des HCFC et de la consommation des substances </w:t>
      </w:r>
      <w:r w:rsidRPr="00C03E65">
        <w:rPr>
          <w:lang w:val="fr-CA"/>
        </w:rPr>
        <w:lastRenderedPageBreak/>
        <w:t>mentionnées à l’Appendice 1-A, conformément au paragraphe 5(b) de l’Accord et au paragraphe 1(b) de l’Appendice  4-A.</w:t>
      </w:r>
    </w:p>
    <w:p w:rsidR="00C03E65" w:rsidRPr="00C03E65" w:rsidRDefault="00C03E65" w:rsidP="00C03E65">
      <w:pPr>
        <w:rPr>
          <w:b/>
          <w:lang w:val="fr-CA"/>
        </w:rPr>
      </w:pPr>
      <w:r w:rsidRPr="00C03E65">
        <w:rPr>
          <w:b/>
          <w:lang w:val="fr-CA"/>
        </w:rPr>
        <w:t>APPENDICE 7-A: RÉDUCTIONS DU FINANCEMENT EN CAS DE NON</w:t>
      </w:r>
      <w:r w:rsidRPr="00C03E65">
        <w:rPr>
          <w:b/>
          <w:lang w:val="fr-CA"/>
        </w:rPr>
        <w:noBreakHyphen/>
        <w:t xml:space="preserve">CONFORMITÉ </w:t>
      </w:r>
    </w:p>
    <w:p w:rsidR="00C03E65" w:rsidRPr="00C03E65" w:rsidRDefault="00C03E65" w:rsidP="00C03E65">
      <w:pPr>
        <w:rPr>
          <w:lang w:val="fr-CA"/>
        </w:rPr>
      </w:pPr>
    </w:p>
    <w:p w:rsidR="00C03E65" w:rsidRPr="00380C1C" w:rsidRDefault="00C03E65" w:rsidP="00380C1C">
      <w:pPr>
        <w:pStyle w:val="Heading1"/>
        <w:numPr>
          <w:ilvl w:val="0"/>
          <w:numId w:val="36"/>
        </w:numPr>
        <w:rPr>
          <w:lang w:val="fr-CA"/>
        </w:rPr>
      </w:pPr>
      <w:r w:rsidRPr="00380C1C">
        <w:rPr>
          <w:lang w:val="fr-CA"/>
        </w:rPr>
        <w:t xml:space="preserve">Conformément au paragraphe 11 de l’Accord, il pourra être déduit du montant du financement accordé un montant de 180 $US par kg PAO de consommation dépassant la quantité précisée à la ligne 1.2 de l’Appendice 2-A pour chaque année de non-conformité à l’objectif précisé à la ligne 1.2 de l’Appendice 2-A, étant entendu que la réduction maximale de financement ne dépassera pas le niveau de financement de la tranche qui est demandé. Des mesures additionnelles pourraient être envisagées en cas de non-conformité durant deux années consécutives. </w:t>
      </w:r>
    </w:p>
    <w:p w:rsidR="00C03E65" w:rsidRPr="00C03E65" w:rsidRDefault="00C03E65" w:rsidP="00C03E6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80C1C" w:rsidRPr="00AD6B81" w:rsidTr="004674D8">
        <w:tc>
          <w:tcPr>
            <w:tcW w:w="1871" w:type="dxa"/>
          </w:tcPr>
          <w:p w:rsidR="00380C1C" w:rsidRPr="00396C33" w:rsidRDefault="00380C1C" w:rsidP="004674D8">
            <w:pPr>
              <w:rPr>
                <w:lang w:val="fr-FR"/>
              </w:rPr>
            </w:pPr>
          </w:p>
        </w:tc>
        <w:tc>
          <w:tcPr>
            <w:tcW w:w="1872" w:type="dxa"/>
          </w:tcPr>
          <w:p w:rsidR="00380C1C" w:rsidRPr="00396C33" w:rsidRDefault="00380C1C" w:rsidP="004674D8">
            <w:pPr>
              <w:rPr>
                <w:lang w:val="fr-FR"/>
              </w:rPr>
            </w:pPr>
          </w:p>
        </w:tc>
        <w:tc>
          <w:tcPr>
            <w:tcW w:w="1872" w:type="dxa"/>
            <w:tcBorders>
              <w:bottom w:val="single" w:sz="4" w:space="0" w:color="auto"/>
            </w:tcBorders>
          </w:tcPr>
          <w:p w:rsidR="00380C1C" w:rsidRPr="00396C33" w:rsidRDefault="00380C1C" w:rsidP="004674D8">
            <w:pPr>
              <w:rPr>
                <w:lang w:val="fr-FR"/>
              </w:rPr>
            </w:pPr>
          </w:p>
        </w:tc>
        <w:tc>
          <w:tcPr>
            <w:tcW w:w="1872" w:type="dxa"/>
          </w:tcPr>
          <w:p w:rsidR="00380C1C" w:rsidRPr="00396C33" w:rsidRDefault="00380C1C" w:rsidP="004674D8">
            <w:pPr>
              <w:rPr>
                <w:lang w:val="fr-FR"/>
              </w:rPr>
            </w:pPr>
          </w:p>
        </w:tc>
        <w:tc>
          <w:tcPr>
            <w:tcW w:w="1873" w:type="dxa"/>
          </w:tcPr>
          <w:p w:rsidR="00380C1C" w:rsidRPr="00396C33" w:rsidRDefault="00380C1C" w:rsidP="004674D8">
            <w:pPr>
              <w:rPr>
                <w:lang w:val="fr-FR"/>
              </w:rPr>
            </w:pPr>
          </w:p>
        </w:tc>
      </w:tr>
    </w:tbl>
    <w:p w:rsidR="00441083" w:rsidRPr="007C16FC" w:rsidRDefault="00441083" w:rsidP="00F53AF0">
      <w:pPr>
        <w:rPr>
          <w:lang w:val="fr-CA"/>
        </w:rPr>
      </w:pPr>
    </w:p>
    <w:sectPr w:rsidR="00441083" w:rsidRPr="007C16FC" w:rsidSect="009B0396">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65" w:rsidRDefault="00C03E65">
      <w:r>
        <w:separator/>
      </w:r>
    </w:p>
  </w:endnote>
  <w:endnote w:type="continuationSeparator" w:id="0">
    <w:p w:rsidR="00C03E65" w:rsidRDefault="00C0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84016"/>
      <w:docPartObj>
        <w:docPartGallery w:val="Page Numbers (Bottom of Page)"/>
        <w:docPartUnique/>
      </w:docPartObj>
    </w:sdtPr>
    <w:sdtEndPr>
      <w:rPr>
        <w:noProof/>
      </w:rPr>
    </w:sdtEndPr>
    <w:sdtContent>
      <w:p w:rsidR="00C03E65" w:rsidRDefault="00C03E65">
        <w:pPr>
          <w:pStyle w:val="Footer"/>
          <w:jc w:val="center"/>
        </w:pPr>
        <w:r>
          <w:fldChar w:fldCharType="begin"/>
        </w:r>
        <w:r>
          <w:instrText xml:space="preserve"> PAGE   \* MERGEFORMAT </w:instrText>
        </w:r>
        <w:r>
          <w:fldChar w:fldCharType="separate"/>
        </w:r>
        <w:r w:rsidR="00FB1A7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044"/>
      <w:docPartObj>
        <w:docPartGallery w:val="Page Numbers (Bottom of Page)"/>
        <w:docPartUnique/>
      </w:docPartObj>
    </w:sdtPr>
    <w:sdtEndPr>
      <w:rPr>
        <w:noProof/>
      </w:rPr>
    </w:sdtEndPr>
    <w:sdtContent>
      <w:p w:rsidR="00C03E65" w:rsidRDefault="00C03E65">
        <w:pPr>
          <w:pStyle w:val="Footer"/>
          <w:jc w:val="center"/>
        </w:pPr>
        <w:r>
          <w:fldChar w:fldCharType="begin"/>
        </w:r>
        <w:r>
          <w:instrText xml:space="preserve"> PAGE   \* MERGEFORMAT </w:instrText>
        </w:r>
        <w:r>
          <w:fldChar w:fldCharType="separate"/>
        </w:r>
        <w:r w:rsidR="00FB1A72">
          <w:rPr>
            <w:noProof/>
          </w:rPr>
          <w:t>3</w:t>
        </w:r>
        <w:r>
          <w:rPr>
            <w:noProof/>
          </w:rPr>
          <w:fldChar w:fldCharType="end"/>
        </w:r>
      </w:p>
    </w:sdtContent>
  </w:sdt>
  <w:p w:rsidR="00C03E65" w:rsidRDefault="00C03E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65" w:rsidRPr="00A8388B" w:rsidRDefault="00C03E65" w:rsidP="002B0AAE">
    <w:pPr>
      <w:pBdr>
        <w:top w:val="single" w:sz="4" w:space="1" w:color="auto"/>
        <w:left w:val="single" w:sz="4" w:space="4" w:color="auto"/>
        <w:bottom w:val="single" w:sz="4" w:space="1" w:color="auto"/>
        <w:right w:val="single" w:sz="4" w:space="4" w:color="auto"/>
      </w:pBdr>
      <w:jc w:val="center"/>
      <w:rPr>
        <w:sz w:val="18"/>
        <w:szCs w:val="18"/>
        <w:lang w:val="fr-CA"/>
      </w:rPr>
    </w:pPr>
    <w:r w:rsidRPr="00A8388B">
      <w:rPr>
        <w:sz w:val="18"/>
        <w:szCs w:val="18"/>
        <w:lang w:val="fr-CA"/>
      </w:rPr>
      <w:t>Les documents de présession du Comité exécutif du Fonds multilatéral aux fins d’application du Protocole de</w:t>
    </w:r>
  </w:p>
  <w:p w:rsidR="00C03E65" w:rsidRPr="00A8388B" w:rsidRDefault="00C03E65" w:rsidP="002B0AAE">
    <w:pPr>
      <w:pBdr>
        <w:top w:val="single" w:sz="4" w:space="1" w:color="auto"/>
        <w:left w:val="single" w:sz="4" w:space="4" w:color="auto"/>
        <w:bottom w:val="single" w:sz="4" w:space="1" w:color="auto"/>
        <w:right w:val="single" w:sz="4" w:space="4" w:color="auto"/>
      </w:pBdr>
      <w:jc w:val="center"/>
      <w:rPr>
        <w:sz w:val="18"/>
        <w:szCs w:val="18"/>
        <w:lang w:val="fr-CA"/>
      </w:rPr>
    </w:pPr>
    <w:r w:rsidRPr="00A8388B">
      <w:rPr>
        <w:sz w:val="18"/>
        <w:szCs w:val="18"/>
        <w:lang w:val="fr-CA"/>
      </w:rPr>
      <w:t>Montréal sont présentés sous réserve des décisions pouvant être prises par le Comité exécutif après leur publication.</w:t>
    </w:r>
  </w:p>
  <w:p w:rsidR="00C03E65" w:rsidRPr="008F78B0" w:rsidRDefault="00C03E65" w:rsidP="002B0AAE">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02476"/>
      <w:docPartObj>
        <w:docPartGallery w:val="Page Numbers (Bottom of Page)"/>
        <w:docPartUnique/>
      </w:docPartObj>
    </w:sdtPr>
    <w:sdtEndPr>
      <w:rPr>
        <w:noProof/>
      </w:rPr>
    </w:sdtEndPr>
    <w:sdtContent>
      <w:p w:rsidR="00C03E65" w:rsidRDefault="00C03E65">
        <w:pPr>
          <w:pStyle w:val="Footer"/>
          <w:jc w:val="center"/>
        </w:pPr>
        <w:r>
          <w:fldChar w:fldCharType="begin"/>
        </w:r>
        <w:r>
          <w:instrText xml:space="preserve"> PAGE   \* MERGEFORMAT </w:instrText>
        </w:r>
        <w:r>
          <w:fldChar w:fldCharType="separate"/>
        </w:r>
        <w:r w:rsidR="00FB1A72">
          <w:rPr>
            <w:noProof/>
          </w:rPr>
          <w:t>1</w:t>
        </w:r>
        <w:r>
          <w:rPr>
            <w:noProof/>
          </w:rPr>
          <w:fldChar w:fldCharType="end"/>
        </w:r>
      </w:p>
    </w:sdtContent>
  </w:sdt>
  <w:p w:rsidR="00C03E65" w:rsidRDefault="00C03E65">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65" w:rsidRDefault="00C03E65">
      <w:r>
        <w:separator/>
      </w:r>
    </w:p>
  </w:footnote>
  <w:footnote w:type="continuationSeparator" w:id="0">
    <w:p w:rsidR="00C03E65" w:rsidRDefault="00C03E65">
      <w:r>
        <w:continuationSeparator/>
      </w:r>
    </w:p>
  </w:footnote>
  <w:footnote w:id="1">
    <w:p w:rsidR="00C03E65" w:rsidRPr="00206486" w:rsidRDefault="00C03E65" w:rsidP="00FB0F9B">
      <w:pPr>
        <w:pStyle w:val="FootnoteText"/>
        <w:rPr>
          <w:lang w:val="fr-CA"/>
        </w:rPr>
      </w:pPr>
      <w:r w:rsidRPr="00206486">
        <w:rPr>
          <w:rStyle w:val="FootnoteReference"/>
          <w:lang w:val="fr-CA"/>
        </w:rPr>
        <w:footnoteRef/>
      </w:r>
      <w:r w:rsidRPr="00206486">
        <w:rPr>
          <w:lang w:val="fr-CA"/>
        </w:rPr>
        <w:t>Conformément à la lettre du 28 août 2019 adressée au PNUD par le ministère de l’Environnement et de l’Énergie du Costa Rica.</w:t>
      </w:r>
    </w:p>
  </w:footnote>
  <w:footnote w:id="2">
    <w:p w:rsidR="00C03E65" w:rsidRPr="008F78B0" w:rsidRDefault="00C03E65" w:rsidP="00FB0F9B">
      <w:pPr>
        <w:pStyle w:val="FootnoteText"/>
        <w:rPr>
          <w:lang w:val="fr-FR"/>
        </w:rPr>
      </w:pPr>
      <w:r w:rsidRPr="00206486">
        <w:rPr>
          <w:rStyle w:val="FootnoteReference"/>
          <w:lang w:val="fr-CA"/>
        </w:rPr>
        <w:footnoteRef/>
      </w:r>
      <w:r w:rsidRPr="00206486">
        <w:rPr>
          <w:lang w:val="fr-CA"/>
        </w:rPr>
        <w:t>UNEP/OzL.Pro/ExCom/64/31.</w:t>
      </w:r>
    </w:p>
  </w:footnote>
  <w:footnote w:id="3">
    <w:p w:rsidR="00C03E65" w:rsidRPr="00A85EC8" w:rsidRDefault="00C03E65" w:rsidP="00FB0F9B">
      <w:pPr>
        <w:pStyle w:val="FootnoteText"/>
        <w:rPr>
          <w:sz w:val="19"/>
          <w:szCs w:val="19"/>
          <w:lang w:val="fr-CA"/>
        </w:rPr>
      </w:pPr>
      <w:r w:rsidRPr="00EB2126">
        <w:rPr>
          <w:rStyle w:val="FootnoteReference"/>
          <w:lang w:val="fr-CA"/>
        </w:rPr>
        <w:footnoteRef/>
      </w:r>
      <w:r w:rsidRPr="00EB2126">
        <w:rPr>
          <w:lang w:val="fr-CA"/>
        </w:rPr>
        <w:t xml:space="preserve"> </w:t>
      </w:r>
      <w:r w:rsidRPr="00A85EC8">
        <w:rPr>
          <w:sz w:val="19"/>
          <w:szCs w:val="19"/>
          <w:lang w:val="fr-CA"/>
        </w:rPr>
        <w:t>Approuvé à la 76</w:t>
      </w:r>
      <w:r w:rsidRPr="00A85EC8">
        <w:rPr>
          <w:sz w:val="19"/>
          <w:szCs w:val="19"/>
          <w:vertAlign w:val="superscript"/>
          <w:lang w:val="fr-CA"/>
        </w:rPr>
        <w:t>e</w:t>
      </w:r>
      <w:r w:rsidRPr="00A85EC8">
        <w:rPr>
          <w:sz w:val="19"/>
          <w:szCs w:val="19"/>
          <w:lang w:val="fr-CA"/>
        </w:rPr>
        <w:t xml:space="preserve"> réunion et financé à l’extérieur de la phase I du PGEH.</w:t>
      </w:r>
    </w:p>
  </w:footnote>
  <w:footnote w:id="4">
    <w:p w:rsidR="00C03E65" w:rsidRPr="00206486" w:rsidRDefault="00C03E65" w:rsidP="00FB0F9B">
      <w:pPr>
        <w:pStyle w:val="FootnoteText"/>
        <w:rPr>
          <w:lang w:val="fr-CA"/>
        </w:rPr>
      </w:pPr>
      <w:r w:rsidRPr="00206486">
        <w:rPr>
          <w:rStyle w:val="FootnoteReference"/>
          <w:lang w:val="fr-CA"/>
        </w:rPr>
        <w:footnoteRef/>
      </w:r>
      <w:r w:rsidRPr="00206486">
        <w:rPr>
          <w:lang w:val="fr-CA"/>
        </w:rPr>
        <w:t xml:space="preserve"> </w:t>
      </w:r>
      <w:r>
        <w:rPr>
          <w:lang w:val="fr-CA"/>
        </w:rPr>
        <w:t>Consommation moyenne des trois dernières années</w:t>
      </w:r>
    </w:p>
  </w:footnote>
  <w:footnote w:id="5">
    <w:p w:rsidR="00C03E65" w:rsidRPr="008F78B0" w:rsidRDefault="00C03E65" w:rsidP="00FB0F9B">
      <w:pPr>
        <w:pStyle w:val="FootnoteText"/>
        <w:rPr>
          <w:lang w:val="fr-FR"/>
        </w:rPr>
      </w:pPr>
      <w:r w:rsidRPr="00206486">
        <w:rPr>
          <w:rStyle w:val="FootnoteReference"/>
          <w:lang w:val="fr-CA"/>
        </w:rPr>
        <w:footnoteRef/>
      </w:r>
      <w:r w:rsidRPr="00206486">
        <w:rPr>
          <w:lang w:val="fr-CA"/>
        </w:rPr>
        <w:t xml:space="preserve"> </w:t>
      </w:r>
      <w:r>
        <w:rPr>
          <w:lang w:val="fr-CA"/>
        </w:rPr>
        <w:t xml:space="preserve">L’entreprise a été incluse dans la stratégie globale de la </w:t>
      </w:r>
      <w:r w:rsidRPr="00206486">
        <w:rPr>
          <w:lang w:val="fr-CA"/>
        </w:rPr>
        <w:t>phase I du PGEH.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65" w:rsidRDefault="00FB1A72" w:rsidP="002B0AAE">
    <w:pPr>
      <w:jc w:val="left"/>
    </w:pPr>
    <w:r>
      <w:fldChar w:fldCharType="begin"/>
    </w:r>
    <w:r>
      <w:instrText xml:space="preserve"> DOCPROPERTY "Document number"  \* MERGEFORMAT </w:instrText>
    </w:r>
    <w:r>
      <w:fldChar w:fldCharType="separate"/>
    </w:r>
    <w:r w:rsidR="00C03E65">
      <w:t>UNEP/OzL.Pro/ExCom/84/45</w:t>
    </w:r>
    <w:r>
      <w:fldChar w:fldCharType="end"/>
    </w:r>
  </w:p>
  <w:p w:rsidR="00C03E65" w:rsidRDefault="00C03E65" w:rsidP="002B0AAE">
    <w:pPr>
      <w:jc w:val="left"/>
    </w:pPr>
  </w:p>
  <w:p w:rsidR="00C03E65" w:rsidRDefault="00C03E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65" w:rsidRDefault="00FB1A72" w:rsidP="002B0AAE">
    <w:pPr>
      <w:jc w:val="right"/>
    </w:pPr>
    <w:r>
      <w:fldChar w:fldCharType="begin"/>
    </w:r>
    <w:r>
      <w:instrText xml:space="preserve"> DOCPROPERTY "Document number"  \* MERGEFORMAT </w:instrText>
    </w:r>
    <w:r>
      <w:fldChar w:fldCharType="separate"/>
    </w:r>
    <w:r w:rsidR="00C03E65">
      <w:t>UNEP/OzL.Pro/ExCom/84/45</w:t>
    </w:r>
    <w:r>
      <w:fldChar w:fldCharType="end"/>
    </w:r>
  </w:p>
  <w:p w:rsidR="00C03E65" w:rsidRDefault="00C03E65" w:rsidP="002B0AAE">
    <w:pPr>
      <w:jc w:val="right"/>
    </w:pPr>
  </w:p>
  <w:p w:rsidR="00C03E65" w:rsidRDefault="00C03E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65" w:rsidRDefault="00FB1A72" w:rsidP="002B0AAE">
    <w:pPr>
      <w:jc w:val="left"/>
    </w:pPr>
    <w:r>
      <w:fldChar w:fldCharType="begin"/>
    </w:r>
    <w:r>
      <w:instrText xml:space="preserve"> DOCPROPERTY "Document number"  \* MERGEFORMAT </w:instrText>
    </w:r>
    <w:r>
      <w:fldChar w:fldCharType="separate"/>
    </w:r>
    <w:r w:rsidR="00C03E65">
      <w:t>UNEP/OzL.Pro/ExCom/84/45</w:t>
    </w:r>
    <w:r>
      <w:fldChar w:fldCharType="end"/>
    </w:r>
  </w:p>
  <w:p w:rsidR="00C03E65" w:rsidRDefault="00C03E65" w:rsidP="002B0AAE">
    <w:pPr>
      <w:jc w:val="left"/>
    </w:pPr>
    <w:r>
      <w:t>Annexe I</w:t>
    </w:r>
  </w:p>
  <w:p w:rsidR="00C03E65" w:rsidRDefault="00C03E6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65" w:rsidRDefault="00FB1A72" w:rsidP="002B0AAE">
    <w:pPr>
      <w:jc w:val="right"/>
    </w:pPr>
    <w:r>
      <w:fldChar w:fldCharType="begin"/>
    </w:r>
    <w:r>
      <w:instrText xml:space="preserve"> DOCPROPERTY "Document number"  \* MERGEFORMAT </w:instrText>
    </w:r>
    <w:r>
      <w:fldChar w:fldCharType="separate"/>
    </w:r>
    <w:r w:rsidR="00C03E65">
      <w:t>UNEP/OzL.Pro/ExCom/84/45</w:t>
    </w:r>
    <w:r>
      <w:fldChar w:fldCharType="end"/>
    </w:r>
  </w:p>
  <w:p w:rsidR="00C03E65" w:rsidRDefault="00C03E65" w:rsidP="002B0AAE">
    <w:pPr>
      <w:jc w:val="right"/>
    </w:pPr>
    <w:r>
      <w:t>Annexe I</w:t>
    </w:r>
  </w:p>
  <w:p w:rsidR="00C03E65" w:rsidRDefault="00C03E6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65" w:rsidRDefault="00FB1A72">
    <w:pPr>
      <w:jc w:val="right"/>
    </w:pPr>
    <w:r>
      <w:fldChar w:fldCharType="begin"/>
    </w:r>
    <w:r>
      <w:instrText xml:space="preserve"> DOCPROPERTY "Document number"  \* MERGEFORMAT </w:instrText>
    </w:r>
    <w:r>
      <w:fldChar w:fldCharType="separate"/>
    </w:r>
    <w:r w:rsidR="00C03E65">
      <w:t>UNEP/OzL.Pro/ExCom/84/45</w:t>
    </w:r>
    <w:r>
      <w:fldChar w:fldCharType="end"/>
    </w:r>
  </w:p>
  <w:p w:rsidR="00C03E65" w:rsidRDefault="00C03E65">
    <w:pPr>
      <w:jc w:val="right"/>
    </w:pPr>
    <w:r>
      <w:t>Annexe I</w:t>
    </w:r>
  </w:p>
  <w:p w:rsidR="00C03E65" w:rsidRDefault="00C03E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4A6B09"/>
    <w:multiLevelType w:val="hybridMultilevel"/>
    <w:tmpl w:val="3A02D86C"/>
    <w:lvl w:ilvl="0" w:tplc="690433D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3D3F54"/>
    <w:multiLevelType w:val="hybridMultilevel"/>
    <w:tmpl w:val="7D2A133E"/>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48E23EFA"/>
    <w:multiLevelType w:val="multilevel"/>
    <w:tmpl w:val="3D705D2E"/>
    <w:lvl w:ilvl="0">
      <w:start w:val="1"/>
      <w:numFmt w:val="decimal"/>
      <w:lvlText w:val="%1."/>
      <w:lvlJc w:val="left"/>
      <w:pPr>
        <w:ind w:left="1065" w:hanging="705"/>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20"/>
  </w:num>
  <w:num w:numId="19">
    <w:abstractNumId w:val="22"/>
  </w:num>
  <w:num w:numId="20">
    <w:abstractNumId w:val="17"/>
  </w:num>
  <w:num w:numId="21">
    <w:abstractNumId w:val="11"/>
  </w:num>
  <w:num w:numId="22">
    <w:abstractNumId w:val="13"/>
  </w:num>
  <w:num w:numId="23">
    <w:abstractNumId w:val="21"/>
  </w:num>
  <w:num w:numId="24">
    <w:abstractNumId w:val="15"/>
  </w:num>
  <w:num w:numId="25">
    <w:abstractNumId w:val="18"/>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3BEB"/>
    <w:rsid w:val="0000766A"/>
    <w:rsid w:val="000341F9"/>
    <w:rsid w:val="000562D2"/>
    <w:rsid w:val="000B2768"/>
    <w:rsid w:val="000C7BB3"/>
    <w:rsid w:val="000D435F"/>
    <w:rsid w:val="000F2C18"/>
    <w:rsid w:val="000F6C8E"/>
    <w:rsid w:val="00132367"/>
    <w:rsid w:val="001A4017"/>
    <w:rsid w:val="001B242D"/>
    <w:rsid w:val="001C3D0C"/>
    <w:rsid w:val="001D4CE7"/>
    <w:rsid w:val="00206486"/>
    <w:rsid w:val="00231219"/>
    <w:rsid w:val="00265AF0"/>
    <w:rsid w:val="00270D86"/>
    <w:rsid w:val="0029622A"/>
    <w:rsid w:val="002B0AAE"/>
    <w:rsid w:val="002C385F"/>
    <w:rsid w:val="002F0B57"/>
    <w:rsid w:val="00321F68"/>
    <w:rsid w:val="0036336C"/>
    <w:rsid w:val="00380C1C"/>
    <w:rsid w:val="0039010B"/>
    <w:rsid w:val="00395AAE"/>
    <w:rsid w:val="00396C33"/>
    <w:rsid w:val="003A0CA4"/>
    <w:rsid w:val="003B6C77"/>
    <w:rsid w:val="003E15C4"/>
    <w:rsid w:val="004369BB"/>
    <w:rsid w:val="00441083"/>
    <w:rsid w:val="00450968"/>
    <w:rsid w:val="0045323D"/>
    <w:rsid w:val="004642F2"/>
    <w:rsid w:val="00475D4A"/>
    <w:rsid w:val="00480BE6"/>
    <w:rsid w:val="00490464"/>
    <w:rsid w:val="004A76B2"/>
    <w:rsid w:val="004C193C"/>
    <w:rsid w:val="004C2C87"/>
    <w:rsid w:val="004E3A36"/>
    <w:rsid w:val="00512280"/>
    <w:rsid w:val="00513BEB"/>
    <w:rsid w:val="00513D46"/>
    <w:rsid w:val="00532D7B"/>
    <w:rsid w:val="0053347D"/>
    <w:rsid w:val="00562770"/>
    <w:rsid w:val="00567FA5"/>
    <w:rsid w:val="00594DA2"/>
    <w:rsid w:val="005A6261"/>
    <w:rsid w:val="005B3CAD"/>
    <w:rsid w:val="005B71BA"/>
    <w:rsid w:val="005C278F"/>
    <w:rsid w:val="0060390D"/>
    <w:rsid w:val="00605093"/>
    <w:rsid w:val="0063601E"/>
    <w:rsid w:val="00642DE9"/>
    <w:rsid w:val="006444C5"/>
    <w:rsid w:val="00677924"/>
    <w:rsid w:val="00686F8A"/>
    <w:rsid w:val="006C0B4A"/>
    <w:rsid w:val="007034FA"/>
    <w:rsid w:val="0070671A"/>
    <w:rsid w:val="007166EB"/>
    <w:rsid w:val="0072109E"/>
    <w:rsid w:val="00735F7A"/>
    <w:rsid w:val="00751EC0"/>
    <w:rsid w:val="0075750B"/>
    <w:rsid w:val="007952D7"/>
    <w:rsid w:val="00795CAC"/>
    <w:rsid w:val="007B0289"/>
    <w:rsid w:val="007C16FC"/>
    <w:rsid w:val="00802186"/>
    <w:rsid w:val="00880958"/>
    <w:rsid w:val="008904C7"/>
    <w:rsid w:val="00895C98"/>
    <w:rsid w:val="008A3A11"/>
    <w:rsid w:val="008F0E2B"/>
    <w:rsid w:val="008F78B0"/>
    <w:rsid w:val="0090038C"/>
    <w:rsid w:val="00906A0E"/>
    <w:rsid w:val="0091161A"/>
    <w:rsid w:val="00921AB2"/>
    <w:rsid w:val="00945A7A"/>
    <w:rsid w:val="00972E99"/>
    <w:rsid w:val="00973255"/>
    <w:rsid w:val="00994281"/>
    <w:rsid w:val="00997125"/>
    <w:rsid w:val="009A1BE2"/>
    <w:rsid w:val="009A5180"/>
    <w:rsid w:val="009B0396"/>
    <w:rsid w:val="009E096F"/>
    <w:rsid w:val="00A33CE5"/>
    <w:rsid w:val="00A37628"/>
    <w:rsid w:val="00A60694"/>
    <w:rsid w:val="00A8388B"/>
    <w:rsid w:val="00A85EC8"/>
    <w:rsid w:val="00AA3256"/>
    <w:rsid w:val="00AC013C"/>
    <w:rsid w:val="00AC4147"/>
    <w:rsid w:val="00AD6B81"/>
    <w:rsid w:val="00AE336E"/>
    <w:rsid w:val="00AE63D8"/>
    <w:rsid w:val="00AE7D1F"/>
    <w:rsid w:val="00B66DDA"/>
    <w:rsid w:val="00B715BC"/>
    <w:rsid w:val="00B75BC4"/>
    <w:rsid w:val="00B811F2"/>
    <w:rsid w:val="00B8744D"/>
    <w:rsid w:val="00BC3C7D"/>
    <w:rsid w:val="00BD19D4"/>
    <w:rsid w:val="00BF042B"/>
    <w:rsid w:val="00C02492"/>
    <w:rsid w:val="00C03E65"/>
    <w:rsid w:val="00C306D5"/>
    <w:rsid w:val="00C323A2"/>
    <w:rsid w:val="00C4290D"/>
    <w:rsid w:val="00C454D5"/>
    <w:rsid w:val="00C61007"/>
    <w:rsid w:val="00C6443E"/>
    <w:rsid w:val="00C67C54"/>
    <w:rsid w:val="00CB600B"/>
    <w:rsid w:val="00CC6054"/>
    <w:rsid w:val="00CD7BB0"/>
    <w:rsid w:val="00D05C56"/>
    <w:rsid w:val="00D73A31"/>
    <w:rsid w:val="00D7654A"/>
    <w:rsid w:val="00D926BC"/>
    <w:rsid w:val="00DB4E64"/>
    <w:rsid w:val="00DC0CA3"/>
    <w:rsid w:val="00DC3E5B"/>
    <w:rsid w:val="00DC6C3D"/>
    <w:rsid w:val="00DD3433"/>
    <w:rsid w:val="00DE5735"/>
    <w:rsid w:val="00DF1EC8"/>
    <w:rsid w:val="00E27DB1"/>
    <w:rsid w:val="00E348C6"/>
    <w:rsid w:val="00E54871"/>
    <w:rsid w:val="00E55490"/>
    <w:rsid w:val="00E5767E"/>
    <w:rsid w:val="00E60D9C"/>
    <w:rsid w:val="00EB2067"/>
    <w:rsid w:val="00EB2126"/>
    <w:rsid w:val="00EC07A9"/>
    <w:rsid w:val="00F37A42"/>
    <w:rsid w:val="00F477F0"/>
    <w:rsid w:val="00F53AF0"/>
    <w:rsid w:val="00F557F5"/>
    <w:rsid w:val="00F8445E"/>
    <w:rsid w:val="00FB0F9B"/>
    <w:rsid w:val="00FB1A72"/>
    <w:rsid w:val="00FB31BA"/>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8E208-6EFD-4710-B9A8-BBA2787F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6"/>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rsid w:val="009B0396"/>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rsid w:val="009B0396"/>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9"/>
    <w:qFormat/>
    <w:rsid w:val="009B0396"/>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9"/>
    <w:qFormat/>
    <w:rsid w:val="009B0396"/>
    <w:pPr>
      <w:keepNext/>
      <w:numPr>
        <w:ilvl w:val="3"/>
        <w:numId w:val="4"/>
      </w:numPr>
      <w:spacing w:before="240" w:after="60"/>
      <w:outlineLvl w:val="3"/>
    </w:pPr>
  </w:style>
  <w:style w:type="paragraph" w:styleId="Heading5">
    <w:name w:val="heading 5"/>
    <w:basedOn w:val="Normal"/>
    <w:next w:val="Normal"/>
    <w:qFormat/>
    <w:rsid w:val="009B0396"/>
    <w:pPr>
      <w:keepNext/>
      <w:numPr>
        <w:numId w:val="20"/>
      </w:numPr>
      <w:spacing w:after="240"/>
      <w:ind w:left="3600" w:hanging="720"/>
      <w:outlineLvl w:val="4"/>
    </w:pPr>
  </w:style>
  <w:style w:type="paragraph" w:styleId="Heading6">
    <w:name w:val="heading 6"/>
    <w:basedOn w:val="Normal"/>
    <w:next w:val="Normal"/>
    <w:uiPriority w:val="99"/>
    <w:qFormat/>
    <w:rsid w:val="009B0396"/>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9B0396"/>
    <w:pPr>
      <w:numPr>
        <w:ilvl w:val="6"/>
        <w:numId w:val="1"/>
      </w:numPr>
      <w:spacing w:before="240" w:after="60"/>
      <w:outlineLvl w:val="6"/>
    </w:pPr>
    <w:rPr>
      <w:rFonts w:ascii="Arial" w:hAnsi="Arial"/>
    </w:rPr>
  </w:style>
  <w:style w:type="paragraph" w:styleId="Heading8">
    <w:name w:val="heading 8"/>
    <w:basedOn w:val="Normal"/>
    <w:next w:val="Normal"/>
    <w:qFormat/>
    <w:rsid w:val="009B0396"/>
    <w:pPr>
      <w:outlineLvl w:val="7"/>
    </w:pPr>
    <w:rPr>
      <w:b/>
    </w:rPr>
  </w:style>
  <w:style w:type="paragraph" w:styleId="Heading9">
    <w:name w:val="heading 9"/>
    <w:basedOn w:val="Normal"/>
    <w:next w:val="Normal"/>
    <w:uiPriority w:val="99"/>
    <w:qFormat/>
    <w:rsid w:val="009B039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9B0396"/>
    <w:pPr>
      <w:numPr>
        <w:numId w:val="16"/>
      </w:numPr>
    </w:pPr>
  </w:style>
  <w:style w:type="paragraph" w:styleId="Header">
    <w:name w:val="header"/>
    <w:aliases w:val="EthylHeader"/>
    <w:basedOn w:val="Normal"/>
    <w:link w:val="HeaderChar"/>
    <w:rsid w:val="009B0396"/>
    <w:pPr>
      <w:tabs>
        <w:tab w:val="center" w:pos="4320"/>
        <w:tab w:val="right" w:pos="8640"/>
      </w:tabs>
    </w:pPr>
  </w:style>
  <w:style w:type="paragraph" w:customStyle="1" w:styleId="sub-title">
    <w:name w:val="sub-title"/>
    <w:rsid w:val="009B0396"/>
    <w:pPr>
      <w:jc w:val="both"/>
      <w:outlineLvl w:val="0"/>
    </w:pPr>
    <w:rPr>
      <w:b/>
      <w:noProof/>
      <w:sz w:val="22"/>
      <w:szCs w:val="22"/>
    </w:rPr>
  </w:style>
  <w:style w:type="paragraph" w:customStyle="1" w:styleId="Title1">
    <w:name w:val="Title1"/>
    <w:rsid w:val="009B0396"/>
    <w:pPr>
      <w:jc w:val="center"/>
      <w:outlineLvl w:val="0"/>
    </w:pPr>
    <w:rPr>
      <w:b/>
      <w:caps/>
      <w:sz w:val="22"/>
      <w:szCs w:val="22"/>
      <w:lang w:val="en-GB"/>
    </w:rPr>
  </w:style>
  <w:style w:type="paragraph" w:customStyle="1" w:styleId="Decision">
    <w:name w:val="Decision"/>
    <w:basedOn w:val="Normal"/>
    <w:rsid w:val="009B0396"/>
    <w:pPr>
      <w:keepLines/>
      <w:jc w:val="right"/>
    </w:pPr>
    <w:rPr>
      <w:b/>
    </w:rPr>
  </w:style>
  <w:style w:type="paragraph" w:customStyle="1" w:styleId="0Heading0">
    <w:name w:val="0 Heading 0"/>
    <w:rsid w:val="009B0396"/>
    <w:rPr>
      <w:sz w:val="22"/>
      <w:szCs w:val="22"/>
      <w:lang w:val="en-GB"/>
    </w:rPr>
  </w:style>
  <w:style w:type="paragraph" w:styleId="Footer">
    <w:name w:val="footer"/>
    <w:basedOn w:val="Normal"/>
    <w:link w:val="FooterChar"/>
    <w:uiPriority w:val="99"/>
    <w:rsid w:val="009B0396"/>
    <w:pPr>
      <w:tabs>
        <w:tab w:val="center" w:pos="4320"/>
        <w:tab w:val="right" w:pos="8640"/>
      </w:tabs>
    </w:pPr>
  </w:style>
  <w:style w:type="numbering" w:styleId="1ai">
    <w:name w:val="Outline List 1"/>
    <w:basedOn w:val="NoList"/>
    <w:semiHidden/>
    <w:rsid w:val="009B0396"/>
    <w:pPr>
      <w:numPr>
        <w:numId w:val="17"/>
      </w:numPr>
    </w:pPr>
  </w:style>
  <w:style w:type="numbering" w:styleId="ArticleSection">
    <w:name w:val="Outline List 3"/>
    <w:basedOn w:val="NoList"/>
    <w:semiHidden/>
    <w:rsid w:val="009B0396"/>
    <w:pPr>
      <w:numPr>
        <w:numId w:val="18"/>
      </w:numPr>
    </w:pPr>
  </w:style>
  <w:style w:type="paragraph" w:styleId="BlockText">
    <w:name w:val="Block Text"/>
    <w:basedOn w:val="Normal"/>
    <w:semiHidden/>
    <w:rsid w:val="009B0396"/>
    <w:pPr>
      <w:spacing w:after="120"/>
      <w:ind w:left="1440" w:right="1440"/>
    </w:pPr>
  </w:style>
  <w:style w:type="paragraph" w:styleId="BodyText3">
    <w:name w:val="Body Text 3"/>
    <w:basedOn w:val="Normal"/>
    <w:semiHidden/>
    <w:rsid w:val="009B0396"/>
    <w:pPr>
      <w:spacing w:after="120"/>
    </w:pPr>
    <w:rPr>
      <w:sz w:val="16"/>
      <w:szCs w:val="16"/>
    </w:rPr>
  </w:style>
  <w:style w:type="paragraph" w:styleId="BodyTextIndent3">
    <w:name w:val="Body Text Indent 3"/>
    <w:basedOn w:val="Normal"/>
    <w:semiHidden/>
    <w:rsid w:val="009B0396"/>
    <w:pPr>
      <w:spacing w:after="120"/>
      <w:ind w:left="360"/>
    </w:pPr>
    <w:rPr>
      <w:sz w:val="16"/>
      <w:szCs w:val="16"/>
    </w:rPr>
  </w:style>
  <w:style w:type="paragraph" w:styleId="PlainText">
    <w:name w:val="Plain Text"/>
    <w:basedOn w:val="Normal"/>
    <w:semiHidden/>
    <w:rsid w:val="009B0396"/>
    <w:rPr>
      <w:rFonts w:ascii="Courier New" w:hAnsi="Courier New" w:cs="Courier New"/>
      <w:sz w:val="20"/>
    </w:rPr>
  </w:style>
  <w:style w:type="table" w:styleId="Table3Deffects1">
    <w:name w:val="Table 3D effects 1"/>
    <w:basedOn w:val="TableNormal"/>
    <w:semiHidden/>
    <w:rsid w:val="009B039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039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039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039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039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039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039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039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039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039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039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039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039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039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039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039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039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B03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B039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039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039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039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039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039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039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039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039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039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039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039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039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039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039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039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039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039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039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039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039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039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03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B039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039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039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9B0396"/>
    <w:rPr>
      <w:sz w:val="22"/>
      <w:szCs w:val="22"/>
      <w:lang w:val="en-GB"/>
    </w:rPr>
  </w:style>
  <w:style w:type="paragraph" w:customStyle="1" w:styleId="Header4">
    <w:name w:val="Header4"/>
    <w:aliases w:val="Para 4"/>
    <w:basedOn w:val="Normal"/>
    <w:next w:val="Normal"/>
    <w:rsid w:val="009B0396"/>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9B0396"/>
    <w:rPr>
      <w:sz w:val="16"/>
      <w:szCs w:val="16"/>
    </w:rPr>
  </w:style>
  <w:style w:type="paragraph" w:styleId="Subtitle">
    <w:name w:val="Subtitle"/>
    <w:basedOn w:val="Normal"/>
    <w:qFormat/>
    <w:rsid w:val="009B0396"/>
    <w:pPr>
      <w:spacing w:after="60"/>
      <w:jc w:val="center"/>
      <w:outlineLvl w:val="1"/>
    </w:pPr>
    <w:rPr>
      <w:rFonts w:ascii="Arial" w:hAnsi="Arial" w:cs="Arial"/>
    </w:rPr>
  </w:style>
  <w:style w:type="paragraph" w:styleId="Title">
    <w:name w:val="Title"/>
    <w:basedOn w:val="Normal"/>
    <w:qFormat/>
    <w:rsid w:val="009B0396"/>
    <w:pPr>
      <w:spacing w:before="240" w:after="60"/>
      <w:jc w:val="center"/>
      <w:outlineLvl w:val="0"/>
    </w:pPr>
    <w:rPr>
      <w:rFonts w:ascii="Arial" w:hAnsi="Arial" w:cs="Arial"/>
      <w:b/>
      <w:bCs/>
      <w:kern w:val="28"/>
    </w:rPr>
  </w:style>
  <w:style w:type="paragraph" w:styleId="Date">
    <w:name w:val="Date"/>
    <w:basedOn w:val="Normal"/>
    <w:next w:val="Normal"/>
    <w:rsid w:val="009B0396"/>
  </w:style>
  <w:style w:type="character" w:styleId="PlaceholderText">
    <w:name w:val="Placeholder Text"/>
    <w:basedOn w:val="DefaultParagraphFont"/>
    <w:uiPriority w:val="99"/>
    <w:semiHidden/>
    <w:rsid w:val="009B0396"/>
    <w:rPr>
      <w:color w:val="808080"/>
    </w:rPr>
  </w:style>
  <w:style w:type="paragraph" w:styleId="BalloonText">
    <w:name w:val="Balloon Text"/>
    <w:basedOn w:val="Normal"/>
    <w:link w:val="BalloonTextChar"/>
    <w:uiPriority w:val="99"/>
    <w:semiHidden/>
    <w:unhideWhenUsed/>
    <w:rsid w:val="009B0396"/>
    <w:rPr>
      <w:rFonts w:ascii="Tahoma" w:hAnsi="Tahoma" w:cs="Tahoma"/>
      <w:sz w:val="16"/>
      <w:szCs w:val="16"/>
    </w:rPr>
  </w:style>
  <w:style w:type="character" w:customStyle="1" w:styleId="BalloonTextChar">
    <w:name w:val="Balloon Text Char"/>
    <w:basedOn w:val="DefaultParagraphFont"/>
    <w:link w:val="BalloonText"/>
    <w:uiPriority w:val="99"/>
    <w:semiHidden/>
    <w:rsid w:val="009B0396"/>
    <w:rPr>
      <w:rFonts w:ascii="Tahoma" w:hAnsi="Tahoma" w:cs="Tahoma"/>
      <w:sz w:val="16"/>
      <w:szCs w:val="16"/>
      <w:lang w:val="en-GB"/>
    </w:rPr>
  </w:style>
  <w:style w:type="paragraph" w:styleId="CommentText">
    <w:name w:val="annotation text"/>
    <w:basedOn w:val="Normal"/>
    <w:link w:val="CommentTextChar"/>
    <w:uiPriority w:val="99"/>
    <w:semiHidden/>
    <w:unhideWhenUsed/>
    <w:rsid w:val="009B0396"/>
    <w:rPr>
      <w:sz w:val="20"/>
      <w:szCs w:val="20"/>
    </w:rPr>
  </w:style>
  <w:style w:type="character" w:customStyle="1" w:styleId="CommentTextChar">
    <w:name w:val="Comment Text Char"/>
    <w:basedOn w:val="DefaultParagraphFont"/>
    <w:link w:val="CommentText"/>
    <w:uiPriority w:val="99"/>
    <w:semiHidden/>
    <w:rsid w:val="009B0396"/>
    <w:rPr>
      <w:lang w:val="en-GB"/>
    </w:rPr>
  </w:style>
  <w:style w:type="paragraph" w:styleId="CommentSubject">
    <w:name w:val="annotation subject"/>
    <w:basedOn w:val="CommentText"/>
    <w:next w:val="CommentText"/>
    <w:link w:val="CommentSubjectChar"/>
    <w:uiPriority w:val="99"/>
    <w:semiHidden/>
    <w:unhideWhenUsed/>
    <w:rsid w:val="009B0396"/>
    <w:rPr>
      <w:b/>
      <w:bCs/>
    </w:rPr>
  </w:style>
  <w:style w:type="character" w:customStyle="1" w:styleId="CommentSubjectChar">
    <w:name w:val="Comment Subject Char"/>
    <w:basedOn w:val="CommentTextChar"/>
    <w:link w:val="CommentSubject"/>
    <w:uiPriority w:val="99"/>
    <w:semiHidden/>
    <w:rsid w:val="009B0396"/>
    <w:rPr>
      <w:b/>
      <w:bCs/>
      <w:lang w:val="en-GB"/>
    </w:rPr>
  </w:style>
  <w:style w:type="paragraph" w:customStyle="1" w:styleId="StyleHeader4Para4Left0Firstline0">
    <w:name w:val="Style Header4Para 4 + Left:  0&quot; First line:  0&quot;"/>
    <w:basedOn w:val="Header4"/>
    <w:rsid w:val="009B0396"/>
    <w:pPr>
      <w:ind w:left="0" w:firstLine="0"/>
    </w:pPr>
    <w:rPr>
      <w:sz w:val="20"/>
    </w:rPr>
  </w:style>
  <w:style w:type="paragraph" w:customStyle="1" w:styleId="StyleHeading1Para1Heading1CharHeading1Char3CharHeadin">
    <w:name w:val="Style Heading 1Para (1)Heading 1 CharHeading 1 Char3 CharHeadin..."/>
    <w:basedOn w:val="Heading1"/>
    <w:rsid w:val="009B0396"/>
    <w:pPr>
      <w:numPr>
        <w:numId w:val="0"/>
      </w:numPr>
      <w:tabs>
        <w:tab w:val="left" w:pos="720"/>
      </w:tabs>
    </w:pPr>
    <w:rPr>
      <w:szCs w:val="20"/>
    </w:rPr>
  </w:style>
  <w:style w:type="character" w:customStyle="1" w:styleId="FooterChar">
    <w:name w:val="Footer Char"/>
    <w:basedOn w:val="DefaultParagraphFont"/>
    <w:link w:val="Footer"/>
    <w:uiPriority w:val="99"/>
    <w:rsid w:val="009B0396"/>
    <w:rPr>
      <w:sz w:val="22"/>
      <w:szCs w:val="22"/>
      <w:lang w:val="en-GB"/>
    </w:rPr>
  </w:style>
  <w:style w:type="paragraph" w:styleId="ListParagraph">
    <w:name w:val="List Paragraph"/>
    <w:basedOn w:val="Normal"/>
    <w:uiPriority w:val="34"/>
    <w:qFormat/>
    <w:rsid w:val="0029622A"/>
    <w:pPr>
      <w:ind w:left="720"/>
      <w:contextualSpacing/>
    </w:pPr>
  </w:style>
  <w:style w:type="table" w:customStyle="1" w:styleId="TableGrid10">
    <w:name w:val="Table Grid1"/>
    <w:basedOn w:val="TableNormal"/>
    <w:next w:val="TableGrid"/>
    <w:uiPriority w:val="59"/>
    <w:rsid w:val="0029622A"/>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 Char Char"/>
    <w:basedOn w:val="Normal"/>
    <w:link w:val="FootnoteTextChar"/>
    <w:uiPriority w:val="99"/>
    <w:unhideWhenUsed/>
    <w:qFormat/>
    <w:rsid w:val="00FB0F9B"/>
    <w:rPr>
      <w:sz w:val="20"/>
      <w:szCs w:val="20"/>
    </w:rPr>
  </w:style>
  <w:style w:type="character" w:customStyle="1" w:styleId="FootnoteTextChar">
    <w:name w:val="Footnote Text Char"/>
    <w:aliases w:val="Char1 Char,Char1 Char Char Char"/>
    <w:basedOn w:val="DefaultParagraphFont"/>
    <w:link w:val="FootnoteText"/>
    <w:uiPriority w:val="99"/>
    <w:rsid w:val="00FB0F9B"/>
    <w:rPr>
      <w:lang w:val="en-GB"/>
    </w:rPr>
  </w:style>
  <w:style w:type="character" w:styleId="FootnoteReference">
    <w:name w:val="footnote reference"/>
    <w:basedOn w:val="DefaultParagraphFont"/>
    <w:uiPriority w:val="99"/>
    <w:unhideWhenUsed/>
    <w:rsid w:val="00FB0F9B"/>
    <w:rPr>
      <w:vertAlign w:val="superscript"/>
    </w:rPr>
  </w:style>
  <w:style w:type="character" w:customStyle="1" w:styleId="ts-alignment-element">
    <w:name w:val="ts-alignment-element"/>
    <w:basedOn w:val="DefaultParagraphFont"/>
    <w:rsid w:val="00FB0F9B"/>
  </w:style>
  <w:style w:type="paragraph" w:customStyle="1" w:styleId="Style1">
    <w:name w:val="Style1"/>
    <w:basedOn w:val="ListParagraph"/>
    <w:qFormat/>
    <w:rsid w:val="00FB0F9B"/>
    <w:pPr>
      <w:numPr>
        <w:numId w:val="26"/>
      </w:numPr>
      <w:spacing w:line="360" w:lineRule="auto"/>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FB0F9B"/>
    <w:rPr>
      <w:sz w:val="22"/>
      <w:szCs w:val="22"/>
      <w:lang w:val="en-GB"/>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rsid w:val="00FB0F9B"/>
    <w:rPr>
      <w:sz w:val="22"/>
      <w:szCs w:val="22"/>
      <w:lang w:val="en-GB"/>
    </w:rPr>
  </w:style>
  <w:style w:type="paragraph" w:customStyle="1" w:styleId="Default">
    <w:name w:val="Default"/>
    <w:rsid w:val="00FB0F9B"/>
    <w:pPr>
      <w:widowControl w:val="0"/>
      <w:autoSpaceDE w:val="0"/>
      <w:autoSpaceDN w:val="0"/>
      <w:adjustRightInd w:val="0"/>
    </w:pPr>
    <w:rPr>
      <w:color w:val="000000"/>
      <w:sz w:val="24"/>
      <w:szCs w:val="24"/>
    </w:rPr>
  </w:style>
  <w:style w:type="character" w:customStyle="1" w:styleId="HeaderChar">
    <w:name w:val="Header Char"/>
    <w:aliases w:val="EthylHeader Char"/>
    <w:basedOn w:val="DefaultParagraphFont"/>
    <w:link w:val="Header"/>
    <w:locked/>
    <w:rsid w:val="00FB0F9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969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20Descoteaux\AppData\Local\Microsoft\Windows\Temporary%20Internet%20Files\Content.Outlook\SF29SKYQ\F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UNEP/OzL.Pro/ExCom/84/45</Document_x0020_Number>
  </documentManagement>
</p:properties>
</file>

<file path=customXml/itemProps1.xml><?xml version="1.0" encoding="utf-8"?>
<ds:datastoreItem xmlns:ds="http://schemas.openxmlformats.org/officeDocument/2006/customXml" ds:itemID="{08AD71AF-EF1C-4E7C-A47C-16108D80F8BC}"/>
</file>

<file path=customXml/itemProps2.xml><?xml version="1.0" encoding="utf-8"?>
<ds:datastoreItem xmlns:ds="http://schemas.openxmlformats.org/officeDocument/2006/customXml" ds:itemID="{264CC72F-38F7-4817-8FF8-385B41394BCC}"/>
</file>

<file path=customXml/itemProps3.xml><?xml version="1.0" encoding="utf-8"?>
<ds:datastoreItem xmlns:ds="http://schemas.openxmlformats.org/officeDocument/2006/customXml" ds:itemID="{3D03FF40-45C8-46BF-99DB-5C4578ADB2CD}"/>
</file>

<file path=customXml/itemProps4.xml><?xml version="1.0" encoding="utf-8"?>
<ds:datastoreItem xmlns:ds="http://schemas.openxmlformats.org/officeDocument/2006/customXml" ds:itemID="{D3346207-4A5A-49BA-B5E8-7AE7CE1E2776}"/>
</file>

<file path=docProps/app.xml><?xml version="1.0" encoding="utf-8"?>
<Properties xmlns="http://schemas.openxmlformats.org/officeDocument/2006/extended-properties" xmlns:vt="http://schemas.openxmlformats.org/officeDocument/2006/docPropsVTypes">
  <Template>F84-Template</Template>
  <TotalTime>3</TotalTime>
  <Pages>21</Pages>
  <Words>8273</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Proposition de projet : Costa Rica (le)</vt:lpstr>
    </vt:vector>
  </TitlesOfParts>
  <Company>UNMFS</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Costa Rica</dc:title>
  <dc:creator>Diane Descoteaux</dc:creator>
  <cp:lastModifiedBy>HBE</cp:lastModifiedBy>
  <cp:revision>5</cp:revision>
  <cp:lastPrinted>2001-05-26T16:40:00Z</cp:lastPrinted>
  <dcterms:created xsi:type="dcterms:W3CDTF">2019-12-06T21:33:00Z</dcterms:created>
  <dcterms:modified xsi:type="dcterms:W3CDTF">2019-12-07T20:37:00Z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UNEP/OzL.Pro/ExCom/84/45</vt:lpwstr>
  </property>
  <property fmtid="{D5CDD505-2E9C-101B-9397-08002B2CF9AE}" pid="3" name="Revision date">
    <vt:lpwstr>11/29/2019</vt:lpwstr>
  </property>
  <property fmtid="{D5CDD505-2E9C-101B-9397-08002B2CF9AE}" pid="4" name="ContentTypeId">
    <vt:lpwstr>0x010100109683CADC4F284EA5F0B82357B5BF3A</vt:lpwstr>
  </property>
</Properties>
</file>