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555E21" w14:paraId="0A0881EC" w14:textId="77777777" w:rsidTr="0050331E">
        <w:trPr>
          <w:trHeight w:val="720"/>
        </w:trPr>
        <w:tc>
          <w:tcPr>
            <w:tcW w:w="7061" w:type="dxa"/>
            <w:gridSpan w:val="2"/>
            <w:tcBorders>
              <w:bottom w:val="single" w:sz="18" w:space="0" w:color="auto"/>
            </w:tcBorders>
          </w:tcPr>
          <w:p w14:paraId="16CA8F55" w14:textId="77777777" w:rsidR="00555E21" w:rsidRDefault="00555E21" w:rsidP="0050331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73E97170" w14:textId="77777777" w:rsidR="00555E21" w:rsidRDefault="00555E21" w:rsidP="0050331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5DB1D36A" w14:textId="77777777" w:rsidR="00555E21" w:rsidRDefault="00555E21" w:rsidP="0050331E">
            <w:pPr>
              <w:tabs>
                <w:tab w:val="left" w:pos="3010"/>
              </w:tabs>
              <w:jc w:val="center"/>
              <w:rPr>
                <w:sz w:val="52"/>
                <w:szCs w:val="52"/>
              </w:rPr>
            </w:pPr>
            <w:r>
              <w:rPr>
                <w:rFonts w:ascii="Univers Bold" w:hAnsi="Univers Bold"/>
                <w:b/>
                <w:sz w:val="72"/>
              </w:rPr>
              <w:t xml:space="preserve">          EP</w:t>
            </w:r>
          </w:p>
        </w:tc>
      </w:tr>
      <w:tr w:rsidR="00555E21" w14:paraId="0E43F3EF" w14:textId="77777777" w:rsidTr="00503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36CEA3E" w14:textId="77777777" w:rsidR="00555E21" w:rsidRDefault="00555E21" w:rsidP="0050331E">
            <w:pPr>
              <w:spacing w:before="120"/>
            </w:pPr>
            <w:r>
              <w:rPr>
                <w:noProof/>
                <w:lang w:val="en-CA" w:eastAsia="en-CA"/>
              </w:rPr>
              <w:drawing>
                <wp:anchor distT="0" distB="0" distL="114300" distR="114300" simplePos="0" relativeHeight="251659264" behindDoc="0" locked="0" layoutInCell="1" allowOverlap="1" wp14:anchorId="5217003A" wp14:editId="57708EA8">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0288" behindDoc="1" locked="0" layoutInCell="0" allowOverlap="1" wp14:anchorId="141D97DA" wp14:editId="4E575159">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04630626" w14:textId="77777777" w:rsidR="00555E21" w:rsidRDefault="00555E21" w:rsidP="0050331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p>
          <w:p w14:paraId="65EF8711" w14:textId="77777777" w:rsidR="00555E21" w:rsidRDefault="00555E21" w:rsidP="0050331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Pr>
                <w:rFonts w:ascii="Univers" w:hAnsi="Univers"/>
                <w:b/>
                <w:sz w:val="32"/>
              </w:rPr>
              <w:t>Programme des</w:t>
            </w:r>
          </w:p>
          <w:p w14:paraId="311D77E9" w14:textId="77777777" w:rsidR="00555E21" w:rsidRDefault="00555E21" w:rsidP="0050331E">
            <w:pPr>
              <w:rPr>
                <w:rFonts w:ascii="Univers" w:hAnsi="Univers"/>
                <w:b/>
                <w:sz w:val="32"/>
              </w:rPr>
            </w:pPr>
            <w:r>
              <w:rPr>
                <w:rFonts w:ascii="Univers" w:hAnsi="Univers"/>
                <w:b/>
                <w:sz w:val="32"/>
              </w:rPr>
              <w:t>Nations Unies pour</w:t>
            </w:r>
          </w:p>
          <w:p w14:paraId="528DEC3A" w14:textId="77777777" w:rsidR="00555E21" w:rsidRDefault="00555E21" w:rsidP="0050331E">
            <w:pPr>
              <w:rPr>
                <w:rFonts w:ascii="Univers" w:hAnsi="Univers"/>
                <w:b/>
                <w:sz w:val="32"/>
              </w:rPr>
            </w:pPr>
            <w:r>
              <w:rPr>
                <w:rFonts w:ascii="Univers" w:hAnsi="Univers"/>
                <w:b/>
                <w:sz w:val="32"/>
              </w:rPr>
              <w:t>l’environnement</w:t>
            </w:r>
          </w:p>
          <w:p w14:paraId="29AC4AF5" w14:textId="77777777" w:rsidR="00555E21" w:rsidRDefault="00555E21" w:rsidP="0050331E">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51C46355" w14:textId="77777777" w:rsidR="00555E21" w:rsidRDefault="00555E21" w:rsidP="0050331E">
            <w:pPr>
              <w:rPr>
                <w:lang w:val="fr-FR"/>
              </w:rPr>
            </w:pPr>
          </w:p>
          <w:p w14:paraId="762394E8" w14:textId="77777777" w:rsidR="00555E21" w:rsidRPr="001D4CE7" w:rsidRDefault="00555E21" w:rsidP="0050331E">
            <w:pPr>
              <w:rPr>
                <w:lang w:val="en-CA"/>
              </w:rPr>
            </w:pPr>
            <w:r w:rsidRPr="001D4CE7">
              <w:rPr>
                <w:lang w:val="en-CA"/>
              </w:rPr>
              <w:t>Distr.</w:t>
            </w:r>
          </w:p>
          <w:p w14:paraId="4E14911A" w14:textId="77777777" w:rsidR="00555E21" w:rsidRPr="001D4CE7" w:rsidRDefault="00555E21" w:rsidP="0050331E">
            <w:pPr>
              <w:rPr>
                <w:lang w:val="en-CA"/>
              </w:rPr>
            </w:pPr>
            <w:r w:rsidRPr="001D4CE7">
              <w:rPr>
                <w:lang w:val="en-CA"/>
              </w:rPr>
              <w:t>GENERAL</w:t>
            </w:r>
          </w:p>
          <w:p w14:paraId="060F6000" w14:textId="77777777" w:rsidR="00555E21" w:rsidRPr="001D4CE7" w:rsidRDefault="00555E21" w:rsidP="0050331E">
            <w:pPr>
              <w:rPr>
                <w:lang w:val="en-CA"/>
              </w:rPr>
            </w:pPr>
          </w:p>
          <w:p w14:paraId="16E29367" w14:textId="409A6FF6" w:rsidR="00555E21" w:rsidRDefault="00555E21" w:rsidP="0050331E">
            <w:pPr>
              <w:rPr>
                <w:lang w:val="en-CA"/>
              </w:rPr>
            </w:pPr>
            <w:r>
              <w:fldChar w:fldCharType="begin"/>
            </w:r>
            <w:r>
              <w:rPr>
                <w:lang w:val="en-CA"/>
              </w:rPr>
              <w:instrText xml:space="preserve"> DOCPROPERTY "Document number"  \* MERGEFORMAT </w:instrText>
            </w:r>
            <w:r>
              <w:fldChar w:fldCharType="separate"/>
            </w:r>
            <w:r w:rsidR="001D285A" w:rsidRPr="001D285A">
              <w:t>UNEP</w:t>
            </w:r>
            <w:r w:rsidR="001D285A">
              <w:rPr>
                <w:lang w:val="en-CA"/>
              </w:rPr>
              <w:t>/OzL.Pro/ExCom/84/44</w:t>
            </w:r>
            <w:r>
              <w:fldChar w:fldCharType="end"/>
            </w:r>
          </w:p>
          <w:p w14:paraId="0D3DA120" w14:textId="46B6DA5A" w:rsidR="00555E21" w:rsidRPr="003F73BA" w:rsidRDefault="00555E21" w:rsidP="0050331E">
            <w:r>
              <w:fldChar w:fldCharType="begin"/>
            </w:r>
            <w:r>
              <w:instrText xml:space="preserve"> DOCPROPERTY "Revision date" \@ "d MMMM YYYY"  \* MERGEFORMAT </w:instrText>
            </w:r>
            <w:r>
              <w:fldChar w:fldCharType="separate"/>
            </w:r>
            <w:r w:rsidR="001D285A">
              <w:t>15 novembre 2019</w:t>
            </w:r>
            <w:r>
              <w:fldChar w:fldCharType="end"/>
            </w:r>
          </w:p>
          <w:p w14:paraId="105AFFC7" w14:textId="77777777" w:rsidR="00555E21" w:rsidRDefault="00555E21" w:rsidP="0050331E">
            <w:pPr>
              <w:rPr>
                <w:caps/>
                <w:lang w:val="fr-FR"/>
              </w:rPr>
            </w:pPr>
            <w:r w:rsidRPr="00AE63D8">
              <w:rPr>
                <w:caps/>
                <w:lang w:val="en-CA"/>
              </w:rPr>
              <w:br/>
            </w:r>
            <w:r>
              <w:rPr>
                <w:caps/>
                <w:lang w:val="fr-FR"/>
              </w:rPr>
              <w:t>FRANÇAIS</w:t>
            </w:r>
          </w:p>
          <w:p w14:paraId="0E131CC9" w14:textId="4FB164C4" w:rsidR="00555E21" w:rsidRDefault="00555E21" w:rsidP="0050331E">
            <w:r>
              <w:t>ORIGINAL</w:t>
            </w:r>
            <w:r w:rsidR="00F32947">
              <w:t> </w:t>
            </w:r>
            <w:r>
              <w:t>: ANGLAIS</w:t>
            </w:r>
          </w:p>
        </w:tc>
      </w:tr>
    </w:tbl>
    <w:p w14:paraId="5FF1D20B" w14:textId="77777777" w:rsidR="00555E21" w:rsidRDefault="00555E21" w:rsidP="00555E21">
      <w:pPr>
        <w:jc w:val="left"/>
      </w:pPr>
    </w:p>
    <w:p w14:paraId="5B13CF01" w14:textId="77777777" w:rsidR="00555E21" w:rsidRDefault="00555E21" w:rsidP="00555E21">
      <w:pPr>
        <w:jc w:val="left"/>
      </w:pPr>
      <w:r>
        <w:t xml:space="preserve">COMITE EXECUTIF </w:t>
      </w:r>
      <w:r>
        <w:br/>
        <w:t xml:space="preserve">  DU FONDS MULTILATERAL AUX FINS </w:t>
      </w:r>
      <w:r>
        <w:br/>
        <w:t xml:space="preserve">  D’APPLICATION DU PROTOCOLE DE MONTREAL</w:t>
      </w:r>
      <w:r>
        <w:br/>
        <w:t>Quatre-vingt-quatrième</w:t>
      </w:r>
      <w:r w:rsidRPr="00FC5578">
        <w:t xml:space="preserve"> </w:t>
      </w:r>
      <w:r>
        <w:t>réunion</w:t>
      </w:r>
    </w:p>
    <w:p w14:paraId="21F93F7E" w14:textId="77777777" w:rsidR="00555E21" w:rsidRDefault="00555E21" w:rsidP="00555E21">
      <w:pPr>
        <w:jc w:val="left"/>
      </w:pPr>
      <w:r>
        <w:t>Montr</w:t>
      </w:r>
      <w:r w:rsidRPr="00555E21">
        <w:t>é</w:t>
      </w:r>
      <w:r>
        <w:t>al, 16 – 20 décembre 2019</w:t>
      </w:r>
    </w:p>
    <w:p w14:paraId="72058E5A" w14:textId="77777777" w:rsidR="00D0546C" w:rsidRPr="00555E21" w:rsidRDefault="00D0546C" w:rsidP="00555E21"/>
    <w:p w14:paraId="5A32FAC5" w14:textId="77777777" w:rsidR="003919B9" w:rsidRPr="00555E21" w:rsidRDefault="003919B9" w:rsidP="001C3C80">
      <w:pPr>
        <w:tabs>
          <w:tab w:val="left" w:pos="8280"/>
        </w:tabs>
      </w:pPr>
    </w:p>
    <w:p w14:paraId="70CB3CF1" w14:textId="77777777" w:rsidR="003919B9" w:rsidRPr="00555E21" w:rsidRDefault="003919B9" w:rsidP="00555E21">
      <w:pPr>
        <w:tabs>
          <w:tab w:val="left" w:pos="3940"/>
        </w:tabs>
        <w:jc w:val="center"/>
      </w:pPr>
    </w:p>
    <w:p w14:paraId="3FEDE08A" w14:textId="77777777" w:rsidR="00255CDE" w:rsidRPr="00555E21" w:rsidRDefault="00255CDE" w:rsidP="00555E21">
      <w:pPr>
        <w:jc w:val="center"/>
      </w:pPr>
    </w:p>
    <w:p w14:paraId="23CBD2B2" w14:textId="3B51C178" w:rsidR="00255CDE" w:rsidRPr="00F144AF" w:rsidRDefault="004612F6" w:rsidP="00B65047">
      <w:pPr>
        <w:jc w:val="center"/>
        <w:rPr>
          <w:b/>
        </w:rPr>
      </w:pPr>
      <w:r>
        <w:rPr>
          <w:b/>
        </w:rPr>
        <w:t>PROPOSITION DE PROJET : CONGO</w:t>
      </w:r>
      <w:r w:rsidR="00FC4FF2">
        <w:rPr>
          <w:b/>
        </w:rPr>
        <w:t xml:space="preserve"> (LE)</w:t>
      </w:r>
      <w:bookmarkStart w:id="0" w:name="_GoBack"/>
      <w:bookmarkEnd w:id="0"/>
    </w:p>
    <w:p w14:paraId="5D5EB1DB" w14:textId="3A6C1DFB" w:rsidR="00255CDE" w:rsidRPr="00AA0D76" w:rsidRDefault="00FC4FF2" w:rsidP="00B65047">
      <w:r>
        <w:t xml:space="preserve"> </w:t>
      </w:r>
    </w:p>
    <w:p w14:paraId="14DA0B6F" w14:textId="77777777" w:rsidR="008F7FE6" w:rsidRPr="00AA0D76" w:rsidRDefault="008F7FE6" w:rsidP="00B65047"/>
    <w:p w14:paraId="0BF551E2" w14:textId="77777777" w:rsidR="00255CDE" w:rsidRPr="00F144AF" w:rsidRDefault="00255CDE" w:rsidP="00B65047">
      <w:pPr>
        <w:ind w:firstLine="720"/>
      </w:pPr>
      <w:r>
        <w:t xml:space="preserve">Le présent document contient les commentaires et la recommandation du Secrétariat du Fonds sur la proposition de projet suivante : </w:t>
      </w:r>
    </w:p>
    <w:p w14:paraId="5D52F330" w14:textId="77777777" w:rsidR="00255CDE" w:rsidRPr="00AA0D76" w:rsidRDefault="00255CDE" w:rsidP="00B65047"/>
    <w:p w14:paraId="52485918" w14:textId="77777777" w:rsidR="00255CDE" w:rsidRPr="00F144AF" w:rsidRDefault="00555E21" w:rsidP="00B65047">
      <w:pPr>
        <w:rPr>
          <w:u w:val="single"/>
        </w:rPr>
      </w:pPr>
      <w:r>
        <w:rPr>
          <w:u w:val="single"/>
        </w:rPr>
        <w:t>Élimination </w:t>
      </w:r>
      <w:r w:rsidR="00255CDE">
        <w:rPr>
          <w:u w:val="single"/>
        </w:rPr>
        <w:t>:</w:t>
      </w:r>
    </w:p>
    <w:p w14:paraId="3C8ED3B2" w14:textId="77777777" w:rsidR="00255CDE" w:rsidRPr="00F144AF" w:rsidRDefault="00255CDE" w:rsidP="00B6504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55CDE" w:rsidRPr="00F144AF" w14:paraId="56069A3E" w14:textId="77777777" w:rsidTr="00156E93">
        <w:tc>
          <w:tcPr>
            <w:tcW w:w="6941" w:type="dxa"/>
          </w:tcPr>
          <w:p w14:paraId="4E5C35AB" w14:textId="77777777" w:rsidR="00255CDE" w:rsidRPr="00F144AF" w:rsidRDefault="00255CDE" w:rsidP="00B65047">
            <w:pPr>
              <w:pStyle w:val="ListParagraph"/>
              <w:numPr>
                <w:ilvl w:val="0"/>
                <w:numId w:val="21"/>
              </w:numPr>
              <w:ind w:hanging="830"/>
            </w:pPr>
            <w:r>
              <w:t>Plan de gestion de l’élimination des HCFC (phase I, quatrième tranche)</w:t>
            </w:r>
          </w:p>
        </w:tc>
        <w:tc>
          <w:tcPr>
            <w:tcW w:w="2409" w:type="dxa"/>
          </w:tcPr>
          <w:p w14:paraId="4283D170" w14:textId="77777777" w:rsidR="00255CDE" w:rsidRPr="00F144AF" w:rsidRDefault="004612F6" w:rsidP="00B65047">
            <w:pPr>
              <w:jc w:val="right"/>
            </w:pPr>
            <w:r>
              <w:t>PNUE et ONUDI</w:t>
            </w:r>
          </w:p>
        </w:tc>
      </w:tr>
    </w:tbl>
    <w:p w14:paraId="56580D38" w14:textId="77777777" w:rsidR="00255CDE" w:rsidRPr="00F144AF" w:rsidRDefault="00255CDE" w:rsidP="00B65047">
      <w:pPr>
        <w:rPr>
          <w:lang w:val="en-CA"/>
        </w:rPr>
      </w:pPr>
    </w:p>
    <w:p w14:paraId="0B000F3D" w14:textId="77777777" w:rsidR="00255CDE" w:rsidRPr="00F144AF" w:rsidRDefault="00255CDE" w:rsidP="00B65047">
      <w:pPr>
        <w:rPr>
          <w:lang w:val="en-CA"/>
        </w:rPr>
      </w:pPr>
    </w:p>
    <w:p w14:paraId="1C554E3C" w14:textId="77777777" w:rsidR="00255CDE" w:rsidRPr="00F144AF" w:rsidRDefault="00255CDE" w:rsidP="00B65047">
      <w:pPr>
        <w:rPr>
          <w:lang w:val="en-CA"/>
        </w:rPr>
      </w:pPr>
    </w:p>
    <w:p w14:paraId="0FA71AAF" w14:textId="77777777" w:rsidR="00255CDE" w:rsidRPr="00F144AF" w:rsidRDefault="00255CDE" w:rsidP="00B65047">
      <w:r>
        <w:br w:type="page"/>
      </w:r>
    </w:p>
    <w:p w14:paraId="18B7589C" w14:textId="77777777" w:rsidR="00255CDE" w:rsidRPr="00F144AF" w:rsidRDefault="00255CDE" w:rsidP="00B65047">
      <w:pPr>
        <w:jc w:val="center"/>
        <w:rPr>
          <w:b/>
        </w:rPr>
      </w:pPr>
      <w:r>
        <w:rPr>
          <w:b/>
        </w:rPr>
        <w:lastRenderedPageBreak/>
        <w:t>FEUILLE D’ÉVALUATION DU PROJET – PROJETS PLURIANNUELS</w:t>
      </w:r>
    </w:p>
    <w:p w14:paraId="3F06347C" w14:textId="77777777" w:rsidR="00DF55E4" w:rsidRPr="00F144AF" w:rsidRDefault="00DF55E4" w:rsidP="00B65047">
      <w:pPr>
        <w:spacing w:after="80"/>
        <w:jc w:val="center"/>
        <w:rPr>
          <w:b/>
        </w:rPr>
      </w:pPr>
      <w:r>
        <w:rPr>
          <w:b/>
        </w:rPr>
        <w:t>Congo</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501"/>
        <w:gridCol w:w="2501"/>
      </w:tblGrid>
      <w:tr w:rsidR="00F144AF" w:rsidRPr="00F144AF" w14:paraId="1275EB07" w14:textId="77777777" w:rsidTr="001D285A">
        <w:trPr>
          <w:trHeight w:val="240"/>
        </w:trPr>
        <w:tc>
          <w:tcPr>
            <w:tcW w:w="2499" w:type="dxa"/>
            <w:shd w:val="clear" w:color="auto" w:fill="auto"/>
          </w:tcPr>
          <w:p w14:paraId="7B5EC993" w14:textId="77777777" w:rsidR="00DF55E4" w:rsidRPr="00F144AF" w:rsidRDefault="00DF55E4" w:rsidP="00B65047">
            <w:pPr>
              <w:spacing w:after="80"/>
              <w:jc w:val="left"/>
              <w:rPr>
                <w:b/>
                <w:sz w:val="18"/>
              </w:rPr>
            </w:pPr>
            <w:r>
              <w:rPr>
                <w:b/>
                <w:sz w:val="18"/>
              </w:rPr>
              <w:t>(I) TITRE DU PROJET</w:t>
            </w:r>
          </w:p>
        </w:tc>
        <w:tc>
          <w:tcPr>
            <w:tcW w:w="2499" w:type="dxa"/>
            <w:shd w:val="clear" w:color="auto" w:fill="auto"/>
          </w:tcPr>
          <w:p w14:paraId="7E680628" w14:textId="77777777" w:rsidR="00DF55E4" w:rsidRPr="00F144AF" w:rsidRDefault="00DF55E4" w:rsidP="00B65047">
            <w:pPr>
              <w:spacing w:after="80"/>
              <w:jc w:val="center"/>
              <w:rPr>
                <w:b/>
                <w:sz w:val="18"/>
              </w:rPr>
            </w:pPr>
            <w:r>
              <w:rPr>
                <w:b/>
                <w:sz w:val="18"/>
              </w:rPr>
              <w:t>AGENCE</w:t>
            </w:r>
          </w:p>
        </w:tc>
        <w:tc>
          <w:tcPr>
            <w:tcW w:w="2501" w:type="dxa"/>
            <w:shd w:val="clear" w:color="auto" w:fill="auto"/>
          </w:tcPr>
          <w:p w14:paraId="77C1332D" w14:textId="77777777" w:rsidR="00DF55E4" w:rsidRPr="00F144AF" w:rsidRDefault="00DF55E4" w:rsidP="00B65047">
            <w:pPr>
              <w:spacing w:after="80"/>
              <w:jc w:val="center"/>
              <w:rPr>
                <w:b/>
                <w:sz w:val="18"/>
              </w:rPr>
            </w:pPr>
            <w:r>
              <w:rPr>
                <w:b/>
                <w:sz w:val="18"/>
              </w:rPr>
              <w:t>RÉUNION APPROUVÉE</w:t>
            </w:r>
          </w:p>
        </w:tc>
        <w:tc>
          <w:tcPr>
            <w:tcW w:w="2501" w:type="dxa"/>
            <w:shd w:val="clear" w:color="auto" w:fill="auto"/>
          </w:tcPr>
          <w:p w14:paraId="49D52EEC" w14:textId="77777777" w:rsidR="00DF55E4" w:rsidRPr="00F144AF" w:rsidRDefault="00DF55E4" w:rsidP="00B65047">
            <w:pPr>
              <w:spacing w:after="80"/>
              <w:jc w:val="center"/>
              <w:rPr>
                <w:b/>
                <w:sz w:val="18"/>
              </w:rPr>
            </w:pPr>
            <w:r>
              <w:rPr>
                <w:b/>
                <w:sz w:val="18"/>
              </w:rPr>
              <w:t>MESURE DE CONTRÔLE</w:t>
            </w:r>
          </w:p>
        </w:tc>
      </w:tr>
      <w:tr w:rsidR="00DF55E4" w:rsidRPr="00F144AF" w14:paraId="3E55F747" w14:textId="77777777" w:rsidTr="001D285A">
        <w:trPr>
          <w:trHeight w:val="240"/>
        </w:trPr>
        <w:tc>
          <w:tcPr>
            <w:tcW w:w="2499" w:type="dxa"/>
            <w:shd w:val="clear" w:color="auto" w:fill="auto"/>
          </w:tcPr>
          <w:p w14:paraId="50C63678" w14:textId="77777777" w:rsidR="00DF55E4" w:rsidRPr="00F144AF" w:rsidRDefault="00DF55E4" w:rsidP="00B65047">
            <w:pPr>
              <w:spacing w:after="80"/>
              <w:jc w:val="center"/>
              <w:rPr>
                <w:sz w:val="18"/>
              </w:rPr>
            </w:pPr>
            <w:r>
              <w:rPr>
                <w:sz w:val="18"/>
              </w:rPr>
              <w:t>Plan de l’élimination des HCFC (Phase I)</w:t>
            </w:r>
          </w:p>
        </w:tc>
        <w:tc>
          <w:tcPr>
            <w:tcW w:w="2499" w:type="dxa"/>
            <w:shd w:val="clear" w:color="auto" w:fill="auto"/>
          </w:tcPr>
          <w:p w14:paraId="5F248C02" w14:textId="77777777" w:rsidR="00DF55E4" w:rsidRPr="00F144AF" w:rsidRDefault="00DF55E4" w:rsidP="00B65047">
            <w:pPr>
              <w:spacing w:after="80"/>
              <w:jc w:val="center"/>
              <w:rPr>
                <w:sz w:val="18"/>
              </w:rPr>
            </w:pPr>
            <w:r>
              <w:rPr>
                <w:sz w:val="18"/>
              </w:rPr>
              <w:t>PNUE (principale), ONUDI</w:t>
            </w:r>
          </w:p>
        </w:tc>
        <w:tc>
          <w:tcPr>
            <w:tcW w:w="2501" w:type="dxa"/>
            <w:shd w:val="clear" w:color="auto" w:fill="auto"/>
          </w:tcPr>
          <w:p w14:paraId="181C1094" w14:textId="77777777" w:rsidR="00DF55E4" w:rsidRPr="00F144AF" w:rsidRDefault="00DF55E4" w:rsidP="00B65047">
            <w:pPr>
              <w:spacing w:after="80"/>
              <w:jc w:val="center"/>
              <w:rPr>
                <w:sz w:val="18"/>
              </w:rPr>
            </w:pPr>
            <w:r>
              <w:rPr>
                <w:sz w:val="18"/>
              </w:rPr>
              <w:t>63</w:t>
            </w:r>
            <w:r>
              <w:rPr>
                <w:sz w:val="18"/>
                <w:vertAlign w:val="superscript"/>
              </w:rPr>
              <w:t>e</w:t>
            </w:r>
          </w:p>
        </w:tc>
        <w:tc>
          <w:tcPr>
            <w:tcW w:w="2501" w:type="dxa"/>
            <w:shd w:val="clear" w:color="auto" w:fill="auto"/>
          </w:tcPr>
          <w:p w14:paraId="07B4CE2B" w14:textId="77777777" w:rsidR="00DF55E4" w:rsidRPr="00F144AF" w:rsidRDefault="00555E21" w:rsidP="00B65047">
            <w:pPr>
              <w:spacing w:after="80"/>
              <w:jc w:val="center"/>
              <w:rPr>
                <w:sz w:val="18"/>
              </w:rPr>
            </w:pPr>
            <w:r>
              <w:rPr>
                <w:sz w:val="18"/>
              </w:rPr>
              <w:t>35 </w:t>
            </w:r>
            <w:r w:rsidR="00AE25DA">
              <w:rPr>
                <w:sz w:val="18"/>
              </w:rPr>
              <w:t>% d’ici 2020</w:t>
            </w:r>
          </w:p>
        </w:tc>
      </w:tr>
    </w:tbl>
    <w:p w14:paraId="02FC265B" w14:textId="77777777" w:rsidR="00DF55E4" w:rsidRPr="00F144AF" w:rsidRDefault="00DF55E4" w:rsidP="00B65047">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DF55E4" w:rsidRPr="00F144AF" w14:paraId="526CEB38" w14:textId="77777777" w:rsidTr="00DF55E4">
        <w:trPr>
          <w:trHeight w:val="240"/>
        </w:trPr>
        <w:tc>
          <w:tcPr>
            <w:tcW w:w="5200" w:type="dxa"/>
            <w:shd w:val="clear" w:color="auto" w:fill="auto"/>
          </w:tcPr>
          <w:p w14:paraId="1E581015" w14:textId="77777777" w:rsidR="00DF55E4" w:rsidRPr="00F144AF" w:rsidRDefault="00DF55E4" w:rsidP="00B65047">
            <w:pPr>
              <w:spacing w:after="60"/>
              <w:jc w:val="left"/>
              <w:rPr>
                <w:b/>
                <w:sz w:val="18"/>
              </w:rPr>
            </w:pPr>
            <w:r>
              <w:rPr>
                <w:b/>
                <w:sz w:val="18"/>
              </w:rPr>
              <w:t>(II) DERNIÈRES DONNÉES DE L’ARTICLE 7 (Annexe C groupe l)</w:t>
            </w:r>
          </w:p>
        </w:tc>
        <w:tc>
          <w:tcPr>
            <w:tcW w:w="2400" w:type="dxa"/>
            <w:shd w:val="clear" w:color="auto" w:fill="auto"/>
          </w:tcPr>
          <w:p w14:paraId="336DB0C0" w14:textId="77777777" w:rsidR="00DF55E4" w:rsidRPr="00F144AF" w:rsidRDefault="00555E21" w:rsidP="00B65047">
            <w:pPr>
              <w:spacing w:after="60"/>
              <w:jc w:val="center"/>
              <w:rPr>
                <w:sz w:val="18"/>
              </w:rPr>
            </w:pPr>
            <w:r>
              <w:rPr>
                <w:sz w:val="18"/>
              </w:rPr>
              <w:t>Année </w:t>
            </w:r>
            <w:r w:rsidR="00DF55E4">
              <w:rPr>
                <w:sz w:val="18"/>
              </w:rPr>
              <w:t>: 2018</w:t>
            </w:r>
          </w:p>
        </w:tc>
        <w:tc>
          <w:tcPr>
            <w:tcW w:w="2400" w:type="dxa"/>
            <w:shd w:val="clear" w:color="auto" w:fill="auto"/>
          </w:tcPr>
          <w:p w14:paraId="12228C4C" w14:textId="77777777" w:rsidR="00DF55E4" w:rsidRPr="00F144AF" w:rsidRDefault="002F5121" w:rsidP="00B65047">
            <w:pPr>
              <w:spacing w:after="60"/>
              <w:jc w:val="right"/>
              <w:rPr>
                <w:sz w:val="18"/>
              </w:rPr>
            </w:pPr>
            <w:r>
              <w:rPr>
                <w:sz w:val="18"/>
              </w:rPr>
              <w:t>7,13 (tonnes PAO)</w:t>
            </w:r>
          </w:p>
        </w:tc>
      </w:tr>
    </w:tbl>
    <w:p w14:paraId="3788923E" w14:textId="77777777" w:rsidR="00DF55E4" w:rsidRPr="00F144AF" w:rsidRDefault="00DF55E4" w:rsidP="00B65047">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777"/>
        <w:gridCol w:w="897"/>
        <w:gridCol w:w="1036"/>
        <w:gridCol w:w="876"/>
        <w:gridCol w:w="837"/>
        <w:gridCol w:w="1276"/>
        <w:gridCol w:w="997"/>
        <w:gridCol w:w="1318"/>
      </w:tblGrid>
      <w:tr w:rsidR="00F144AF" w:rsidRPr="00F144AF" w14:paraId="06DC47EB" w14:textId="77777777" w:rsidTr="00156E93">
        <w:trPr>
          <w:trHeight w:val="240"/>
        </w:trPr>
        <w:tc>
          <w:tcPr>
            <w:tcW w:w="0" w:type="auto"/>
            <w:gridSpan w:val="8"/>
            <w:shd w:val="clear" w:color="auto" w:fill="auto"/>
          </w:tcPr>
          <w:p w14:paraId="0D5F38A2" w14:textId="77777777" w:rsidR="00DF55E4" w:rsidRPr="00F144AF" w:rsidRDefault="00DF55E4" w:rsidP="00B65047">
            <w:pPr>
              <w:spacing w:after="60"/>
              <w:jc w:val="left"/>
              <w:rPr>
                <w:b/>
                <w:sz w:val="18"/>
              </w:rPr>
            </w:pPr>
            <w:r>
              <w:rPr>
                <w:b/>
                <w:sz w:val="18"/>
              </w:rPr>
              <w:t>(III) DERNIÈRES DONNÉES SECTORIELLES DU PROGRAMME DU PAYS (tonnes PAO)</w:t>
            </w:r>
          </w:p>
        </w:tc>
        <w:tc>
          <w:tcPr>
            <w:tcW w:w="0" w:type="auto"/>
            <w:gridSpan w:val="2"/>
            <w:shd w:val="clear" w:color="auto" w:fill="auto"/>
          </w:tcPr>
          <w:p w14:paraId="190C45BE" w14:textId="77777777" w:rsidR="00DF55E4" w:rsidRPr="00F144AF" w:rsidRDefault="00555E21" w:rsidP="00B65047">
            <w:pPr>
              <w:spacing w:after="60"/>
              <w:jc w:val="right"/>
              <w:rPr>
                <w:b/>
                <w:sz w:val="18"/>
              </w:rPr>
            </w:pPr>
            <w:r>
              <w:rPr>
                <w:b/>
                <w:sz w:val="18"/>
              </w:rPr>
              <w:t>Année </w:t>
            </w:r>
            <w:r w:rsidR="00DF55E4">
              <w:rPr>
                <w:b/>
                <w:sz w:val="18"/>
              </w:rPr>
              <w:t>: 2018</w:t>
            </w:r>
          </w:p>
        </w:tc>
      </w:tr>
      <w:tr w:rsidR="00F144AF" w:rsidRPr="00F144AF" w14:paraId="083A5832" w14:textId="77777777" w:rsidTr="00156E93">
        <w:trPr>
          <w:trHeight w:val="240"/>
        </w:trPr>
        <w:tc>
          <w:tcPr>
            <w:tcW w:w="0" w:type="auto"/>
            <w:shd w:val="clear" w:color="auto" w:fill="auto"/>
          </w:tcPr>
          <w:p w14:paraId="4BBFB732" w14:textId="77777777" w:rsidR="00DF55E4" w:rsidRPr="00F144AF" w:rsidRDefault="00DF55E4" w:rsidP="00B65047">
            <w:pPr>
              <w:spacing w:after="60"/>
              <w:jc w:val="center"/>
              <w:rPr>
                <w:sz w:val="18"/>
              </w:rPr>
            </w:pPr>
            <w:r>
              <w:rPr>
                <w:sz w:val="18"/>
              </w:rPr>
              <w:t>Produits chimiques</w:t>
            </w:r>
          </w:p>
        </w:tc>
        <w:tc>
          <w:tcPr>
            <w:tcW w:w="0" w:type="auto"/>
            <w:shd w:val="clear" w:color="auto" w:fill="auto"/>
          </w:tcPr>
          <w:p w14:paraId="14E3D52E" w14:textId="77777777" w:rsidR="00DF55E4" w:rsidRPr="00F144AF" w:rsidRDefault="00DF55E4" w:rsidP="00B65047">
            <w:pPr>
              <w:spacing w:after="60"/>
              <w:jc w:val="center"/>
              <w:rPr>
                <w:sz w:val="18"/>
              </w:rPr>
            </w:pPr>
            <w:r>
              <w:rPr>
                <w:sz w:val="18"/>
              </w:rPr>
              <w:t>Aérosol</w:t>
            </w:r>
          </w:p>
        </w:tc>
        <w:tc>
          <w:tcPr>
            <w:tcW w:w="0" w:type="auto"/>
            <w:shd w:val="clear" w:color="auto" w:fill="auto"/>
          </w:tcPr>
          <w:p w14:paraId="0375FB4A" w14:textId="77777777" w:rsidR="00DF55E4" w:rsidRPr="00F144AF" w:rsidRDefault="00DF55E4" w:rsidP="00B65047">
            <w:pPr>
              <w:spacing w:after="60"/>
              <w:jc w:val="center"/>
              <w:rPr>
                <w:sz w:val="18"/>
              </w:rPr>
            </w:pPr>
            <w:r>
              <w:rPr>
                <w:sz w:val="18"/>
              </w:rPr>
              <w:t>Mousse</w:t>
            </w:r>
          </w:p>
        </w:tc>
        <w:tc>
          <w:tcPr>
            <w:tcW w:w="0" w:type="auto"/>
            <w:shd w:val="clear" w:color="auto" w:fill="auto"/>
          </w:tcPr>
          <w:p w14:paraId="6035F47D" w14:textId="77777777" w:rsidR="00DF55E4" w:rsidRPr="00F144AF" w:rsidRDefault="00DF55E4" w:rsidP="00B65047">
            <w:pPr>
              <w:spacing w:after="60"/>
              <w:jc w:val="center"/>
              <w:rPr>
                <w:sz w:val="18"/>
              </w:rPr>
            </w:pPr>
            <w:r>
              <w:rPr>
                <w:sz w:val="18"/>
              </w:rPr>
              <w:t>Lutte contre les incendies</w:t>
            </w:r>
          </w:p>
        </w:tc>
        <w:tc>
          <w:tcPr>
            <w:tcW w:w="0" w:type="auto"/>
            <w:gridSpan w:val="2"/>
            <w:shd w:val="clear" w:color="auto" w:fill="auto"/>
          </w:tcPr>
          <w:p w14:paraId="10F13881" w14:textId="77777777" w:rsidR="00DF55E4" w:rsidRPr="00F144AF" w:rsidRDefault="00DF55E4" w:rsidP="00B65047">
            <w:pPr>
              <w:spacing w:after="60"/>
              <w:jc w:val="center"/>
              <w:rPr>
                <w:sz w:val="18"/>
              </w:rPr>
            </w:pPr>
            <w:r>
              <w:rPr>
                <w:sz w:val="18"/>
              </w:rPr>
              <w:t>Réfrigération</w:t>
            </w:r>
          </w:p>
        </w:tc>
        <w:tc>
          <w:tcPr>
            <w:tcW w:w="0" w:type="auto"/>
            <w:shd w:val="clear" w:color="auto" w:fill="auto"/>
          </w:tcPr>
          <w:p w14:paraId="11115F38" w14:textId="77777777" w:rsidR="00DF55E4" w:rsidRPr="00F144AF" w:rsidRDefault="00DF55E4" w:rsidP="00B65047">
            <w:pPr>
              <w:spacing w:after="60"/>
              <w:jc w:val="center"/>
              <w:rPr>
                <w:sz w:val="18"/>
              </w:rPr>
            </w:pPr>
            <w:r>
              <w:rPr>
                <w:sz w:val="18"/>
              </w:rPr>
              <w:t>Solvants</w:t>
            </w:r>
          </w:p>
        </w:tc>
        <w:tc>
          <w:tcPr>
            <w:tcW w:w="0" w:type="auto"/>
            <w:shd w:val="clear" w:color="auto" w:fill="auto"/>
          </w:tcPr>
          <w:p w14:paraId="627E9D37" w14:textId="77777777" w:rsidR="00DF55E4" w:rsidRPr="00F144AF" w:rsidRDefault="00DF55E4" w:rsidP="00B65047">
            <w:pPr>
              <w:spacing w:after="60"/>
              <w:jc w:val="center"/>
              <w:rPr>
                <w:sz w:val="18"/>
              </w:rPr>
            </w:pPr>
            <w:r>
              <w:rPr>
                <w:sz w:val="18"/>
              </w:rPr>
              <w:t>Agent de transformation</w:t>
            </w:r>
          </w:p>
        </w:tc>
        <w:tc>
          <w:tcPr>
            <w:tcW w:w="0" w:type="auto"/>
            <w:shd w:val="clear" w:color="auto" w:fill="auto"/>
          </w:tcPr>
          <w:p w14:paraId="2E6237D3" w14:textId="77777777" w:rsidR="00DF55E4" w:rsidRPr="00F144AF" w:rsidRDefault="00DF55E4" w:rsidP="00B65047">
            <w:pPr>
              <w:spacing w:after="60"/>
              <w:jc w:val="center"/>
              <w:rPr>
                <w:sz w:val="18"/>
              </w:rPr>
            </w:pPr>
            <w:r>
              <w:rPr>
                <w:sz w:val="18"/>
              </w:rPr>
              <w:t>Utilisation en laboratoire</w:t>
            </w:r>
          </w:p>
        </w:tc>
        <w:tc>
          <w:tcPr>
            <w:tcW w:w="0" w:type="auto"/>
            <w:shd w:val="clear" w:color="auto" w:fill="auto"/>
          </w:tcPr>
          <w:p w14:paraId="09046243" w14:textId="77777777" w:rsidR="00DF55E4" w:rsidRPr="00F144AF" w:rsidRDefault="00DF55E4" w:rsidP="00B65047">
            <w:pPr>
              <w:spacing w:after="60"/>
              <w:jc w:val="center"/>
              <w:rPr>
                <w:sz w:val="18"/>
              </w:rPr>
            </w:pPr>
            <w:r>
              <w:rPr>
                <w:sz w:val="18"/>
              </w:rPr>
              <w:t>Consommation totale pour le secteur</w:t>
            </w:r>
          </w:p>
        </w:tc>
      </w:tr>
      <w:tr w:rsidR="00F144AF" w:rsidRPr="00F144AF" w14:paraId="7EEA0C06" w14:textId="77777777" w:rsidTr="00156E93">
        <w:trPr>
          <w:trHeight w:val="240"/>
        </w:trPr>
        <w:tc>
          <w:tcPr>
            <w:tcW w:w="0" w:type="auto"/>
            <w:gridSpan w:val="4"/>
            <w:shd w:val="clear" w:color="auto" w:fill="auto"/>
          </w:tcPr>
          <w:p w14:paraId="41561DF4" w14:textId="77777777" w:rsidR="00DF55E4" w:rsidRPr="00F144AF" w:rsidRDefault="00DF55E4" w:rsidP="00B65047">
            <w:pPr>
              <w:spacing w:after="60"/>
              <w:jc w:val="center"/>
              <w:rPr>
                <w:sz w:val="18"/>
              </w:rPr>
            </w:pPr>
            <w:r>
              <w:rPr>
                <w:sz w:val="18"/>
              </w:rPr>
              <w:t xml:space="preserve"> </w:t>
            </w:r>
          </w:p>
        </w:tc>
        <w:tc>
          <w:tcPr>
            <w:tcW w:w="0" w:type="auto"/>
            <w:shd w:val="clear" w:color="auto" w:fill="auto"/>
          </w:tcPr>
          <w:p w14:paraId="1FC7DE6D" w14:textId="77777777" w:rsidR="00DF55E4" w:rsidRPr="00F144AF" w:rsidRDefault="00DF55E4" w:rsidP="00B65047">
            <w:pPr>
              <w:spacing w:after="60"/>
              <w:jc w:val="center"/>
              <w:rPr>
                <w:sz w:val="18"/>
              </w:rPr>
            </w:pPr>
            <w:r>
              <w:rPr>
                <w:sz w:val="18"/>
              </w:rPr>
              <w:t>Fabrication</w:t>
            </w:r>
          </w:p>
        </w:tc>
        <w:tc>
          <w:tcPr>
            <w:tcW w:w="0" w:type="auto"/>
            <w:shd w:val="clear" w:color="auto" w:fill="auto"/>
          </w:tcPr>
          <w:p w14:paraId="51ACCBB2" w14:textId="77777777" w:rsidR="00DF55E4" w:rsidRPr="00F144AF" w:rsidRDefault="00DF55E4" w:rsidP="00B65047">
            <w:pPr>
              <w:spacing w:after="60"/>
              <w:jc w:val="center"/>
              <w:rPr>
                <w:sz w:val="18"/>
              </w:rPr>
            </w:pPr>
            <w:r>
              <w:rPr>
                <w:sz w:val="18"/>
              </w:rPr>
              <w:t>Entretien</w:t>
            </w:r>
          </w:p>
        </w:tc>
        <w:tc>
          <w:tcPr>
            <w:tcW w:w="0" w:type="auto"/>
            <w:gridSpan w:val="4"/>
            <w:shd w:val="clear" w:color="auto" w:fill="auto"/>
          </w:tcPr>
          <w:p w14:paraId="6D0F4C2B" w14:textId="77777777" w:rsidR="00DF55E4" w:rsidRPr="00F144AF" w:rsidRDefault="00DF55E4" w:rsidP="00B65047">
            <w:pPr>
              <w:spacing w:after="60"/>
              <w:jc w:val="center"/>
              <w:rPr>
                <w:sz w:val="18"/>
                <w:lang w:val="en-CA"/>
              </w:rPr>
            </w:pPr>
          </w:p>
        </w:tc>
      </w:tr>
      <w:tr w:rsidR="00DF55E4" w:rsidRPr="00F144AF" w14:paraId="4F618B4B" w14:textId="77777777" w:rsidTr="00DF55E4">
        <w:trPr>
          <w:trHeight w:val="240"/>
        </w:trPr>
        <w:tc>
          <w:tcPr>
            <w:tcW w:w="1200" w:type="dxa"/>
            <w:shd w:val="clear" w:color="auto" w:fill="auto"/>
          </w:tcPr>
          <w:p w14:paraId="73DC2C80" w14:textId="77777777" w:rsidR="00DF55E4" w:rsidRPr="00F144AF" w:rsidRDefault="00DF55E4" w:rsidP="00B65047">
            <w:pPr>
              <w:spacing w:after="60"/>
              <w:jc w:val="left"/>
              <w:rPr>
                <w:sz w:val="18"/>
              </w:rPr>
            </w:pPr>
            <w:r>
              <w:rPr>
                <w:sz w:val="18"/>
              </w:rPr>
              <w:t>HCFC-22</w:t>
            </w:r>
          </w:p>
        </w:tc>
        <w:tc>
          <w:tcPr>
            <w:tcW w:w="0" w:type="auto"/>
            <w:shd w:val="clear" w:color="auto" w:fill="auto"/>
          </w:tcPr>
          <w:p w14:paraId="60A4211C" w14:textId="77777777" w:rsidR="00DF55E4" w:rsidRPr="00F144AF" w:rsidRDefault="00DF55E4" w:rsidP="00B65047">
            <w:pPr>
              <w:spacing w:after="60"/>
              <w:jc w:val="right"/>
              <w:rPr>
                <w:sz w:val="18"/>
                <w:lang w:val="en-CA"/>
              </w:rPr>
            </w:pPr>
          </w:p>
        </w:tc>
        <w:tc>
          <w:tcPr>
            <w:tcW w:w="0" w:type="auto"/>
            <w:shd w:val="clear" w:color="auto" w:fill="auto"/>
          </w:tcPr>
          <w:p w14:paraId="13971DB2" w14:textId="77777777" w:rsidR="00DF55E4" w:rsidRPr="00F144AF" w:rsidRDefault="00DF55E4" w:rsidP="00B65047">
            <w:pPr>
              <w:spacing w:after="60"/>
              <w:jc w:val="right"/>
              <w:rPr>
                <w:sz w:val="18"/>
                <w:lang w:val="en-CA"/>
              </w:rPr>
            </w:pPr>
          </w:p>
        </w:tc>
        <w:tc>
          <w:tcPr>
            <w:tcW w:w="0" w:type="auto"/>
            <w:shd w:val="clear" w:color="auto" w:fill="auto"/>
          </w:tcPr>
          <w:p w14:paraId="275AE612" w14:textId="77777777" w:rsidR="00DF55E4" w:rsidRPr="00F144AF" w:rsidRDefault="00DF55E4" w:rsidP="00B65047">
            <w:pPr>
              <w:spacing w:after="60"/>
              <w:jc w:val="right"/>
              <w:rPr>
                <w:sz w:val="18"/>
                <w:lang w:val="en-CA"/>
              </w:rPr>
            </w:pPr>
          </w:p>
        </w:tc>
        <w:tc>
          <w:tcPr>
            <w:tcW w:w="0" w:type="auto"/>
            <w:shd w:val="clear" w:color="auto" w:fill="auto"/>
          </w:tcPr>
          <w:p w14:paraId="6539010D" w14:textId="77777777" w:rsidR="00DF55E4" w:rsidRPr="00F144AF" w:rsidRDefault="00DF55E4" w:rsidP="00B65047">
            <w:pPr>
              <w:spacing w:after="60"/>
              <w:jc w:val="right"/>
              <w:rPr>
                <w:sz w:val="18"/>
                <w:lang w:val="en-CA"/>
              </w:rPr>
            </w:pPr>
          </w:p>
        </w:tc>
        <w:tc>
          <w:tcPr>
            <w:tcW w:w="0" w:type="auto"/>
            <w:shd w:val="clear" w:color="auto" w:fill="auto"/>
          </w:tcPr>
          <w:p w14:paraId="56EA389F" w14:textId="77777777" w:rsidR="00DF55E4" w:rsidRPr="00F144AF" w:rsidRDefault="00DF55E4" w:rsidP="00B65047">
            <w:pPr>
              <w:spacing w:after="60"/>
              <w:jc w:val="right"/>
              <w:rPr>
                <w:sz w:val="18"/>
              </w:rPr>
            </w:pPr>
            <w:r>
              <w:rPr>
                <w:sz w:val="18"/>
              </w:rPr>
              <w:t>7,13</w:t>
            </w:r>
          </w:p>
        </w:tc>
        <w:tc>
          <w:tcPr>
            <w:tcW w:w="0" w:type="auto"/>
            <w:shd w:val="clear" w:color="auto" w:fill="auto"/>
          </w:tcPr>
          <w:p w14:paraId="728B10FD" w14:textId="77777777" w:rsidR="00DF55E4" w:rsidRPr="00F144AF" w:rsidRDefault="00DF55E4" w:rsidP="00B65047">
            <w:pPr>
              <w:spacing w:after="60"/>
              <w:jc w:val="right"/>
              <w:rPr>
                <w:sz w:val="18"/>
                <w:lang w:val="en-CA"/>
              </w:rPr>
            </w:pPr>
          </w:p>
        </w:tc>
        <w:tc>
          <w:tcPr>
            <w:tcW w:w="0" w:type="auto"/>
            <w:shd w:val="clear" w:color="auto" w:fill="auto"/>
          </w:tcPr>
          <w:p w14:paraId="5C17A2F5" w14:textId="77777777" w:rsidR="00DF55E4" w:rsidRPr="00F144AF" w:rsidRDefault="00DF55E4" w:rsidP="00B65047">
            <w:pPr>
              <w:spacing w:after="60"/>
              <w:jc w:val="right"/>
              <w:rPr>
                <w:sz w:val="18"/>
                <w:lang w:val="en-CA"/>
              </w:rPr>
            </w:pPr>
          </w:p>
        </w:tc>
        <w:tc>
          <w:tcPr>
            <w:tcW w:w="0" w:type="auto"/>
            <w:shd w:val="clear" w:color="auto" w:fill="auto"/>
          </w:tcPr>
          <w:p w14:paraId="11D38452" w14:textId="77777777" w:rsidR="00DF55E4" w:rsidRPr="00F144AF" w:rsidRDefault="00DF55E4" w:rsidP="00B65047">
            <w:pPr>
              <w:spacing w:after="60"/>
              <w:jc w:val="right"/>
              <w:rPr>
                <w:sz w:val="18"/>
                <w:lang w:val="en-CA"/>
              </w:rPr>
            </w:pPr>
          </w:p>
        </w:tc>
        <w:tc>
          <w:tcPr>
            <w:tcW w:w="0" w:type="auto"/>
            <w:shd w:val="clear" w:color="auto" w:fill="auto"/>
          </w:tcPr>
          <w:p w14:paraId="7A88062B" w14:textId="77777777" w:rsidR="00DF55E4" w:rsidRPr="00F144AF" w:rsidRDefault="00DF55E4" w:rsidP="00B65047">
            <w:pPr>
              <w:spacing w:after="60"/>
              <w:jc w:val="right"/>
              <w:rPr>
                <w:sz w:val="18"/>
              </w:rPr>
            </w:pPr>
            <w:r>
              <w:rPr>
                <w:sz w:val="18"/>
              </w:rPr>
              <w:t>7,13</w:t>
            </w:r>
          </w:p>
        </w:tc>
      </w:tr>
    </w:tbl>
    <w:p w14:paraId="6C2996D5" w14:textId="77777777" w:rsidR="00DF55E4" w:rsidRPr="00F144AF" w:rsidRDefault="00DF55E4" w:rsidP="00B65047">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74"/>
        <w:gridCol w:w="807"/>
        <w:gridCol w:w="4912"/>
        <w:gridCol w:w="807"/>
      </w:tblGrid>
      <w:tr w:rsidR="00F144AF" w:rsidRPr="00F144AF" w14:paraId="2D73C50E" w14:textId="77777777" w:rsidTr="00DF55E4">
        <w:trPr>
          <w:trHeight w:val="240"/>
        </w:trPr>
        <w:tc>
          <w:tcPr>
            <w:tcW w:w="0" w:type="auto"/>
            <w:gridSpan w:val="4"/>
            <w:shd w:val="clear" w:color="auto" w:fill="auto"/>
          </w:tcPr>
          <w:p w14:paraId="128C5A60" w14:textId="77777777" w:rsidR="00DF55E4" w:rsidRPr="00F144AF" w:rsidRDefault="00DF55E4" w:rsidP="00B65047">
            <w:pPr>
              <w:spacing w:after="60"/>
              <w:jc w:val="left"/>
              <w:rPr>
                <w:b/>
                <w:sz w:val="18"/>
              </w:rPr>
            </w:pPr>
            <w:r>
              <w:rPr>
                <w:b/>
                <w:sz w:val="18"/>
              </w:rPr>
              <w:t>(IV) DONNÉES SUR LA CONSOMMATION (tonnes PAO)</w:t>
            </w:r>
          </w:p>
        </w:tc>
      </w:tr>
      <w:tr w:rsidR="00F144AF" w:rsidRPr="00F144AF" w14:paraId="0E470885" w14:textId="77777777" w:rsidTr="00DF55E4">
        <w:trPr>
          <w:trHeight w:val="240"/>
        </w:trPr>
        <w:tc>
          <w:tcPr>
            <w:tcW w:w="0" w:type="auto"/>
            <w:shd w:val="clear" w:color="auto" w:fill="auto"/>
          </w:tcPr>
          <w:p w14:paraId="4D5B7C0F" w14:textId="77777777" w:rsidR="00DF55E4" w:rsidRPr="00F144AF" w:rsidRDefault="00555E21" w:rsidP="00B65047">
            <w:pPr>
              <w:spacing w:after="60"/>
              <w:jc w:val="center"/>
              <w:rPr>
                <w:sz w:val="18"/>
              </w:rPr>
            </w:pPr>
            <w:r>
              <w:rPr>
                <w:sz w:val="18"/>
              </w:rPr>
              <w:t>Valeur de référence 2009 – 2010 </w:t>
            </w:r>
            <w:r w:rsidR="00DF55E4">
              <w:rPr>
                <w:sz w:val="18"/>
              </w:rPr>
              <w:t>:</w:t>
            </w:r>
          </w:p>
        </w:tc>
        <w:tc>
          <w:tcPr>
            <w:tcW w:w="0" w:type="auto"/>
            <w:shd w:val="clear" w:color="auto" w:fill="auto"/>
          </w:tcPr>
          <w:p w14:paraId="49B31A59" w14:textId="77777777" w:rsidR="00DF55E4" w:rsidRPr="00F144AF" w:rsidRDefault="00DF55E4" w:rsidP="00B65047">
            <w:pPr>
              <w:spacing w:after="60"/>
              <w:jc w:val="right"/>
              <w:rPr>
                <w:sz w:val="18"/>
              </w:rPr>
            </w:pPr>
            <w:r>
              <w:rPr>
                <w:sz w:val="18"/>
              </w:rPr>
              <w:t>10,14</w:t>
            </w:r>
          </w:p>
        </w:tc>
        <w:tc>
          <w:tcPr>
            <w:tcW w:w="0" w:type="auto"/>
            <w:shd w:val="clear" w:color="auto" w:fill="auto"/>
          </w:tcPr>
          <w:p w14:paraId="7706AC6F" w14:textId="77777777" w:rsidR="00DF55E4" w:rsidRPr="00F144AF" w:rsidRDefault="00DF55E4" w:rsidP="00B65047">
            <w:pPr>
              <w:spacing w:after="60"/>
              <w:jc w:val="center"/>
              <w:rPr>
                <w:sz w:val="18"/>
              </w:rPr>
            </w:pPr>
            <w:r>
              <w:rPr>
                <w:sz w:val="18"/>
              </w:rPr>
              <w:t>Point de départ d</w:t>
            </w:r>
            <w:r w:rsidR="00555E21">
              <w:rPr>
                <w:sz w:val="18"/>
              </w:rPr>
              <w:t>es réductions globales durables </w:t>
            </w:r>
            <w:r>
              <w:rPr>
                <w:sz w:val="18"/>
              </w:rPr>
              <w:t>:</w:t>
            </w:r>
          </w:p>
        </w:tc>
        <w:tc>
          <w:tcPr>
            <w:tcW w:w="0" w:type="auto"/>
            <w:shd w:val="clear" w:color="auto" w:fill="auto"/>
          </w:tcPr>
          <w:p w14:paraId="561211F0" w14:textId="77777777" w:rsidR="00DF55E4" w:rsidRPr="00F144AF" w:rsidRDefault="00DF55E4" w:rsidP="00B65047">
            <w:pPr>
              <w:spacing w:after="60"/>
              <w:jc w:val="right"/>
              <w:rPr>
                <w:sz w:val="18"/>
              </w:rPr>
            </w:pPr>
            <w:r>
              <w:rPr>
                <w:sz w:val="18"/>
              </w:rPr>
              <w:t>10,14</w:t>
            </w:r>
          </w:p>
        </w:tc>
      </w:tr>
      <w:tr w:rsidR="00F144AF" w:rsidRPr="00F144AF" w14:paraId="6DD8140F" w14:textId="77777777" w:rsidTr="00156E93">
        <w:trPr>
          <w:trHeight w:val="240"/>
        </w:trPr>
        <w:tc>
          <w:tcPr>
            <w:tcW w:w="0" w:type="auto"/>
            <w:gridSpan w:val="4"/>
            <w:shd w:val="clear" w:color="auto" w:fill="auto"/>
          </w:tcPr>
          <w:p w14:paraId="561E921C" w14:textId="77777777" w:rsidR="00DF55E4" w:rsidRPr="00F144AF" w:rsidRDefault="00DF55E4" w:rsidP="00B65047">
            <w:pPr>
              <w:spacing w:after="60"/>
              <w:jc w:val="center"/>
              <w:rPr>
                <w:b/>
                <w:sz w:val="18"/>
              </w:rPr>
            </w:pPr>
            <w:r>
              <w:rPr>
                <w:b/>
                <w:sz w:val="18"/>
              </w:rPr>
              <w:t>CONSOMMATION ADMISSIBLE AU FINANCEMENT (tonnes PAO)</w:t>
            </w:r>
          </w:p>
        </w:tc>
      </w:tr>
      <w:tr w:rsidR="00DF55E4" w:rsidRPr="00F144AF" w14:paraId="1D39BE38" w14:textId="77777777" w:rsidTr="00DF55E4">
        <w:trPr>
          <w:trHeight w:val="240"/>
        </w:trPr>
        <w:tc>
          <w:tcPr>
            <w:tcW w:w="0" w:type="auto"/>
            <w:shd w:val="clear" w:color="auto" w:fill="auto"/>
          </w:tcPr>
          <w:p w14:paraId="15868621" w14:textId="77777777" w:rsidR="00DF55E4" w:rsidRPr="00F144AF" w:rsidRDefault="00DF55E4" w:rsidP="00B65047">
            <w:pPr>
              <w:spacing w:after="60"/>
              <w:jc w:val="center"/>
              <w:rPr>
                <w:sz w:val="18"/>
              </w:rPr>
            </w:pPr>
            <w:r>
              <w:rPr>
                <w:sz w:val="18"/>
              </w:rPr>
              <w:t>Déjà approuvée</w:t>
            </w:r>
            <w:r w:rsidR="00555E21">
              <w:rPr>
                <w:sz w:val="18"/>
              </w:rPr>
              <w:t> </w:t>
            </w:r>
            <w:r>
              <w:rPr>
                <w:sz w:val="18"/>
              </w:rPr>
              <w:t>:</w:t>
            </w:r>
          </w:p>
        </w:tc>
        <w:tc>
          <w:tcPr>
            <w:tcW w:w="0" w:type="auto"/>
            <w:shd w:val="clear" w:color="auto" w:fill="auto"/>
          </w:tcPr>
          <w:p w14:paraId="64D44B12" w14:textId="77777777" w:rsidR="00DF55E4" w:rsidRPr="00F144AF" w:rsidRDefault="00AE25DA" w:rsidP="00B65047">
            <w:pPr>
              <w:spacing w:after="60"/>
              <w:jc w:val="right"/>
              <w:rPr>
                <w:sz w:val="18"/>
              </w:rPr>
            </w:pPr>
            <w:r>
              <w:rPr>
                <w:sz w:val="18"/>
              </w:rPr>
              <w:t>3,55</w:t>
            </w:r>
          </w:p>
        </w:tc>
        <w:tc>
          <w:tcPr>
            <w:tcW w:w="0" w:type="auto"/>
            <w:shd w:val="clear" w:color="auto" w:fill="auto"/>
          </w:tcPr>
          <w:p w14:paraId="3F50DC63" w14:textId="77777777" w:rsidR="00DF55E4" w:rsidRPr="00F144AF" w:rsidRDefault="00DF55E4" w:rsidP="00B65047">
            <w:pPr>
              <w:spacing w:after="60"/>
              <w:jc w:val="center"/>
              <w:rPr>
                <w:sz w:val="18"/>
              </w:rPr>
            </w:pPr>
            <w:r>
              <w:rPr>
                <w:sz w:val="18"/>
              </w:rPr>
              <w:t>Restante :</w:t>
            </w:r>
          </w:p>
        </w:tc>
        <w:tc>
          <w:tcPr>
            <w:tcW w:w="0" w:type="auto"/>
            <w:shd w:val="clear" w:color="auto" w:fill="auto"/>
          </w:tcPr>
          <w:p w14:paraId="1C239C8E" w14:textId="77777777" w:rsidR="00DF55E4" w:rsidRPr="00F144AF" w:rsidRDefault="00AE25DA" w:rsidP="00B65047">
            <w:pPr>
              <w:spacing w:after="60"/>
              <w:jc w:val="right"/>
              <w:rPr>
                <w:sz w:val="18"/>
              </w:rPr>
            </w:pPr>
            <w:r>
              <w:rPr>
                <w:sz w:val="18"/>
              </w:rPr>
              <w:t>6,59</w:t>
            </w:r>
          </w:p>
        </w:tc>
      </w:tr>
    </w:tbl>
    <w:p w14:paraId="4B431A86" w14:textId="77777777" w:rsidR="00DF55E4" w:rsidRPr="00F144AF" w:rsidRDefault="00DF55E4" w:rsidP="00B65047">
      <w:pPr>
        <w:spacing w:after="60"/>
        <w:jc w:val="center"/>
        <w:rPr>
          <w:lang w:val="en-CA"/>
        </w:rPr>
      </w:pPr>
    </w:p>
    <w:tbl>
      <w:tblPr>
        <w:tblStyle w:val="TableGrid"/>
        <w:tblW w:w="1002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23"/>
        <w:gridCol w:w="4282"/>
        <w:gridCol w:w="1673"/>
        <w:gridCol w:w="1673"/>
        <w:gridCol w:w="1673"/>
      </w:tblGrid>
      <w:tr w:rsidR="00F144AF" w:rsidRPr="00F144AF" w14:paraId="798D4888" w14:textId="77777777" w:rsidTr="00AE25DA">
        <w:trPr>
          <w:trHeight w:val="219"/>
        </w:trPr>
        <w:tc>
          <w:tcPr>
            <w:tcW w:w="5005" w:type="dxa"/>
            <w:gridSpan w:val="2"/>
            <w:shd w:val="clear" w:color="auto" w:fill="auto"/>
          </w:tcPr>
          <w:p w14:paraId="685D58A6" w14:textId="77777777" w:rsidR="00AE25DA" w:rsidRPr="00F144AF" w:rsidRDefault="00AE25DA" w:rsidP="00B65047">
            <w:pPr>
              <w:spacing w:after="60"/>
              <w:jc w:val="left"/>
              <w:rPr>
                <w:b/>
                <w:sz w:val="18"/>
              </w:rPr>
            </w:pPr>
            <w:r>
              <w:rPr>
                <w:b/>
                <w:sz w:val="18"/>
              </w:rPr>
              <w:t>(V) PLAN D’ACTIV</w:t>
            </w:r>
            <w:r w:rsidR="00AA0D76">
              <w:rPr>
                <w:b/>
                <w:sz w:val="18"/>
              </w:rPr>
              <w:t>I</w:t>
            </w:r>
            <w:r>
              <w:rPr>
                <w:b/>
                <w:sz w:val="18"/>
              </w:rPr>
              <w:t>TÉS</w:t>
            </w:r>
          </w:p>
        </w:tc>
        <w:tc>
          <w:tcPr>
            <w:tcW w:w="1673" w:type="dxa"/>
            <w:shd w:val="clear" w:color="auto" w:fill="auto"/>
          </w:tcPr>
          <w:p w14:paraId="601ECD91" w14:textId="77777777" w:rsidR="00AE25DA" w:rsidRPr="00F144AF" w:rsidRDefault="00AE25DA" w:rsidP="00B65047">
            <w:pPr>
              <w:spacing w:after="60"/>
              <w:jc w:val="center"/>
              <w:rPr>
                <w:b/>
                <w:sz w:val="18"/>
              </w:rPr>
            </w:pPr>
            <w:r>
              <w:rPr>
                <w:b/>
                <w:sz w:val="18"/>
              </w:rPr>
              <w:t>2019</w:t>
            </w:r>
          </w:p>
        </w:tc>
        <w:tc>
          <w:tcPr>
            <w:tcW w:w="1673" w:type="dxa"/>
            <w:shd w:val="clear" w:color="auto" w:fill="auto"/>
          </w:tcPr>
          <w:p w14:paraId="18C117C8" w14:textId="77777777" w:rsidR="00AE25DA" w:rsidRPr="00F144AF" w:rsidRDefault="00AE25DA" w:rsidP="00B65047">
            <w:pPr>
              <w:spacing w:after="60"/>
              <w:jc w:val="center"/>
              <w:rPr>
                <w:b/>
                <w:sz w:val="18"/>
              </w:rPr>
            </w:pPr>
            <w:r>
              <w:rPr>
                <w:b/>
                <w:sz w:val="18"/>
              </w:rPr>
              <w:t>2020</w:t>
            </w:r>
          </w:p>
        </w:tc>
        <w:tc>
          <w:tcPr>
            <w:tcW w:w="1673" w:type="dxa"/>
            <w:shd w:val="clear" w:color="auto" w:fill="auto"/>
          </w:tcPr>
          <w:p w14:paraId="42BA20E8" w14:textId="77777777" w:rsidR="00AE25DA" w:rsidRPr="00F144AF" w:rsidRDefault="00AE25DA" w:rsidP="00B65047">
            <w:pPr>
              <w:spacing w:after="60"/>
              <w:jc w:val="center"/>
              <w:rPr>
                <w:b/>
                <w:sz w:val="18"/>
              </w:rPr>
            </w:pPr>
            <w:r>
              <w:rPr>
                <w:b/>
                <w:sz w:val="18"/>
              </w:rPr>
              <w:t>Total</w:t>
            </w:r>
          </w:p>
        </w:tc>
      </w:tr>
      <w:tr w:rsidR="00F144AF" w:rsidRPr="00F144AF" w14:paraId="221781A7" w14:textId="77777777" w:rsidTr="00AE25DA">
        <w:trPr>
          <w:trHeight w:val="219"/>
        </w:trPr>
        <w:tc>
          <w:tcPr>
            <w:tcW w:w="0" w:type="auto"/>
            <w:vMerge w:val="restart"/>
            <w:shd w:val="clear" w:color="auto" w:fill="auto"/>
          </w:tcPr>
          <w:p w14:paraId="3C248AF5" w14:textId="77777777" w:rsidR="00AE25DA" w:rsidRPr="00F144AF" w:rsidRDefault="00AE25DA" w:rsidP="00B65047">
            <w:pPr>
              <w:spacing w:after="60"/>
              <w:jc w:val="center"/>
              <w:rPr>
                <w:sz w:val="18"/>
              </w:rPr>
            </w:pPr>
            <w:r>
              <w:rPr>
                <w:sz w:val="18"/>
              </w:rPr>
              <w:t>PNUE</w:t>
            </w:r>
          </w:p>
        </w:tc>
        <w:tc>
          <w:tcPr>
            <w:tcW w:w="4066" w:type="dxa"/>
            <w:shd w:val="clear" w:color="auto" w:fill="auto"/>
          </w:tcPr>
          <w:p w14:paraId="60F3B517" w14:textId="77777777" w:rsidR="00AE25DA" w:rsidRPr="00F144AF" w:rsidRDefault="00AE25DA" w:rsidP="00B65047">
            <w:pPr>
              <w:spacing w:after="60"/>
              <w:jc w:val="left"/>
              <w:rPr>
                <w:sz w:val="18"/>
              </w:rPr>
            </w:pPr>
            <w:r>
              <w:rPr>
                <w:sz w:val="18"/>
              </w:rPr>
              <w:t>Élimination des SAO (tonnes PAO)</w:t>
            </w:r>
          </w:p>
        </w:tc>
        <w:tc>
          <w:tcPr>
            <w:tcW w:w="1673" w:type="dxa"/>
            <w:shd w:val="clear" w:color="auto" w:fill="auto"/>
          </w:tcPr>
          <w:p w14:paraId="00771644" w14:textId="77777777" w:rsidR="00AE25DA" w:rsidRPr="00F144AF" w:rsidRDefault="00AE25DA" w:rsidP="00B65047">
            <w:pPr>
              <w:spacing w:after="60"/>
              <w:jc w:val="right"/>
              <w:rPr>
                <w:sz w:val="18"/>
              </w:rPr>
            </w:pPr>
            <w:r>
              <w:rPr>
                <w:sz w:val="18"/>
              </w:rPr>
              <w:t>0,25</w:t>
            </w:r>
          </w:p>
        </w:tc>
        <w:tc>
          <w:tcPr>
            <w:tcW w:w="1673" w:type="dxa"/>
            <w:shd w:val="clear" w:color="auto" w:fill="auto"/>
          </w:tcPr>
          <w:p w14:paraId="739DD92F" w14:textId="77777777" w:rsidR="00AE25DA" w:rsidRPr="00F144AF" w:rsidRDefault="00AE25DA" w:rsidP="00B65047">
            <w:pPr>
              <w:spacing w:after="60"/>
              <w:jc w:val="right"/>
              <w:rPr>
                <w:sz w:val="18"/>
              </w:rPr>
            </w:pPr>
            <w:r>
              <w:rPr>
                <w:sz w:val="18"/>
              </w:rPr>
              <w:t>0,36</w:t>
            </w:r>
          </w:p>
        </w:tc>
        <w:tc>
          <w:tcPr>
            <w:tcW w:w="1673" w:type="dxa"/>
            <w:shd w:val="clear" w:color="auto" w:fill="auto"/>
          </w:tcPr>
          <w:p w14:paraId="09A1DFE8" w14:textId="77777777" w:rsidR="00AE25DA" w:rsidRPr="00F144AF" w:rsidRDefault="00AE25DA" w:rsidP="00B65047">
            <w:pPr>
              <w:spacing w:after="60"/>
              <w:jc w:val="right"/>
              <w:rPr>
                <w:sz w:val="18"/>
              </w:rPr>
            </w:pPr>
            <w:r>
              <w:rPr>
                <w:sz w:val="18"/>
              </w:rPr>
              <w:t>0,61</w:t>
            </w:r>
          </w:p>
        </w:tc>
      </w:tr>
      <w:tr w:rsidR="00AE25DA" w:rsidRPr="00F144AF" w14:paraId="1FAD6D7F" w14:textId="77777777" w:rsidTr="00AE25DA">
        <w:trPr>
          <w:trHeight w:val="219"/>
        </w:trPr>
        <w:tc>
          <w:tcPr>
            <w:tcW w:w="0" w:type="auto"/>
            <w:vMerge/>
            <w:shd w:val="clear" w:color="auto" w:fill="auto"/>
          </w:tcPr>
          <w:p w14:paraId="7AD5AA3F" w14:textId="77777777" w:rsidR="00AE25DA" w:rsidRPr="00F144AF" w:rsidRDefault="00AE25DA" w:rsidP="00B65047">
            <w:pPr>
              <w:spacing w:after="60"/>
              <w:jc w:val="center"/>
              <w:rPr>
                <w:sz w:val="18"/>
                <w:lang w:val="en-CA"/>
              </w:rPr>
            </w:pPr>
          </w:p>
        </w:tc>
        <w:tc>
          <w:tcPr>
            <w:tcW w:w="4066" w:type="dxa"/>
            <w:shd w:val="clear" w:color="auto" w:fill="auto"/>
          </w:tcPr>
          <w:p w14:paraId="71F13722" w14:textId="77777777" w:rsidR="00AE25DA" w:rsidRPr="00F144AF" w:rsidRDefault="00AE25DA" w:rsidP="00B65047">
            <w:pPr>
              <w:spacing w:after="60"/>
              <w:jc w:val="left"/>
              <w:rPr>
                <w:sz w:val="18"/>
              </w:rPr>
            </w:pPr>
            <w:r>
              <w:rPr>
                <w:sz w:val="18"/>
              </w:rPr>
              <w:t>Financement ($ US)</w:t>
            </w:r>
          </w:p>
        </w:tc>
        <w:tc>
          <w:tcPr>
            <w:tcW w:w="1673" w:type="dxa"/>
            <w:shd w:val="clear" w:color="auto" w:fill="auto"/>
          </w:tcPr>
          <w:p w14:paraId="4DDD041E" w14:textId="77777777" w:rsidR="00AE25DA" w:rsidRPr="00F144AF" w:rsidRDefault="00AE25DA" w:rsidP="00B65047">
            <w:pPr>
              <w:spacing w:after="60"/>
              <w:jc w:val="right"/>
              <w:rPr>
                <w:sz w:val="18"/>
              </w:rPr>
            </w:pPr>
            <w:r>
              <w:rPr>
                <w:sz w:val="18"/>
              </w:rPr>
              <w:t>28 250</w:t>
            </w:r>
          </w:p>
        </w:tc>
        <w:tc>
          <w:tcPr>
            <w:tcW w:w="1673" w:type="dxa"/>
            <w:shd w:val="clear" w:color="auto" w:fill="auto"/>
          </w:tcPr>
          <w:p w14:paraId="32F3DAFA" w14:textId="77777777" w:rsidR="00AE25DA" w:rsidRPr="00F144AF" w:rsidRDefault="00AE25DA" w:rsidP="00B65047">
            <w:pPr>
              <w:spacing w:after="60"/>
              <w:jc w:val="right"/>
              <w:rPr>
                <w:sz w:val="18"/>
              </w:rPr>
            </w:pPr>
            <w:r>
              <w:rPr>
                <w:sz w:val="18"/>
              </w:rPr>
              <w:t>39 550</w:t>
            </w:r>
          </w:p>
        </w:tc>
        <w:tc>
          <w:tcPr>
            <w:tcW w:w="1673" w:type="dxa"/>
            <w:shd w:val="clear" w:color="auto" w:fill="auto"/>
          </w:tcPr>
          <w:p w14:paraId="502467C2" w14:textId="77777777" w:rsidR="00AE25DA" w:rsidRPr="00F144AF" w:rsidRDefault="00AE25DA" w:rsidP="00B65047">
            <w:pPr>
              <w:spacing w:after="60"/>
              <w:jc w:val="right"/>
              <w:rPr>
                <w:sz w:val="18"/>
              </w:rPr>
            </w:pPr>
            <w:r>
              <w:rPr>
                <w:sz w:val="18"/>
              </w:rPr>
              <w:t>67 800</w:t>
            </w:r>
          </w:p>
        </w:tc>
      </w:tr>
    </w:tbl>
    <w:p w14:paraId="5B4E69D1" w14:textId="77777777" w:rsidR="00DF55E4" w:rsidRPr="00F144AF" w:rsidRDefault="00DF55E4" w:rsidP="00B65047">
      <w:pPr>
        <w:spacing w:after="60"/>
        <w:jc w:val="center"/>
        <w:rPr>
          <w:lang w:val="en-CA"/>
        </w:rPr>
      </w:pPr>
    </w:p>
    <w:tbl>
      <w:tblPr>
        <w:tblStyle w:val="TableGrid"/>
        <w:tblW w:w="1003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46"/>
        <w:gridCol w:w="796"/>
        <w:gridCol w:w="940"/>
        <w:gridCol w:w="801"/>
        <w:gridCol w:w="711"/>
        <w:gridCol w:w="621"/>
        <w:gridCol w:w="709"/>
        <w:gridCol w:w="801"/>
        <w:gridCol w:w="576"/>
        <w:gridCol w:w="711"/>
        <w:gridCol w:w="711"/>
        <w:gridCol w:w="711"/>
        <w:gridCol w:w="801"/>
      </w:tblGrid>
      <w:tr w:rsidR="00F144AF" w:rsidRPr="00F144AF" w14:paraId="7E31A2D8" w14:textId="77777777" w:rsidTr="00CE2A27">
        <w:trPr>
          <w:trHeight w:val="258"/>
        </w:trPr>
        <w:tc>
          <w:tcPr>
            <w:tcW w:w="2725" w:type="dxa"/>
            <w:gridSpan w:val="3"/>
            <w:shd w:val="clear" w:color="auto" w:fill="auto"/>
          </w:tcPr>
          <w:p w14:paraId="6A3E581B" w14:textId="77777777" w:rsidR="002F59B4" w:rsidRPr="00F144AF" w:rsidRDefault="002F59B4" w:rsidP="00B65047">
            <w:pPr>
              <w:spacing w:after="60"/>
              <w:jc w:val="left"/>
              <w:rPr>
                <w:b/>
                <w:sz w:val="18"/>
              </w:rPr>
            </w:pPr>
            <w:r>
              <w:rPr>
                <w:b/>
                <w:sz w:val="18"/>
              </w:rPr>
              <w:t>(VI) DONNÉES DU PROJET</w:t>
            </w:r>
          </w:p>
        </w:tc>
        <w:tc>
          <w:tcPr>
            <w:tcW w:w="801" w:type="dxa"/>
          </w:tcPr>
          <w:p w14:paraId="74C6F433" w14:textId="77777777" w:rsidR="002F59B4" w:rsidRPr="00F144AF" w:rsidRDefault="002F59B4" w:rsidP="00B65047">
            <w:pPr>
              <w:spacing w:after="60"/>
              <w:jc w:val="center"/>
              <w:rPr>
                <w:b/>
                <w:sz w:val="18"/>
              </w:rPr>
            </w:pPr>
            <w:r>
              <w:rPr>
                <w:b/>
                <w:sz w:val="18"/>
              </w:rPr>
              <w:t>2011</w:t>
            </w:r>
          </w:p>
        </w:tc>
        <w:tc>
          <w:tcPr>
            <w:tcW w:w="711" w:type="dxa"/>
            <w:shd w:val="clear" w:color="auto" w:fill="auto"/>
          </w:tcPr>
          <w:p w14:paraId="0F93340D" w14:textId="77777777" w:rsidR="002F59B4" w:rsidRPr="00F144AF" w:rsidRDefault="002F59B4" w:rsidP="00B65047">
            <w:pPr>
              <w:spacing w:after="60"/>
              <w:jc w:val="center"/>
              <w:rPr>
                <w:b/>
                <w:sz w:val="18"/>
              </w:rPr>
            </w:pPr>
            <w:r>
              <w:rPr>
                <w:b/>
                <w:sz w:val="18"/>
              </w:rPr>
              <w:t>2013</w:t>
            </w:r>
          </w:p>
        </w:tc>
        <w:tc>
          <w:tcPr>
            <w:tcW w:w="621" w:type="dxa"/>
            <w:shd w:val="clear" w:color="auto" w:fill="auto"/>
          </w:tcPr>
          <w:p w14:paraId="1D40A360" w14:textId="77777777" w:rsidR="002F59B4" w:rsidRPr="00F144AF" w:rsidRDefault="002F59B4" w:rsidP="00B65047">
            <w:pPr>
              <w:spacing w:after="60"/>
              <w:jc w:val="center"/>
              <w:rPr>
                <w:b/>
                <w:sz w:val="18"/>
              </w:rPr>
            </w:pPr>
            <w:r>
              <w:rPr>
                <w:b/>
                <w:sz w:val="18"/>
              </w:rPr>
              <w:t>2014</w:t>
            </w:r>
          </w:p>
        </w:tc>
        <w:tc>
          <w:tcPr>
            <w:tcW w:w="866" w:type="dxa"/>
            <w:shd w:val="clear" w:color="auto" w:fill="auto"/>
          </w:tcPr>
          <w:p w14:paraId="53C86CBF" w14:textId="77777777" w:rsidR="002F59B4" w:rsidRPr="00F144AF" w:rsidRDefault="002F59B4" w:rsidP="00B65047">
            <w:pPr>
              <w:spacing w:after="60"/>
              <w:jc w:val="center"/>
              <w:rPr>
                <w:b/>
                <w:sz w:val="18"/>
              </w:rPr>
            </w:pPr>
            <w:r>
              <w:rPr>
                <w:b/>
                <w:sz w:val="18"/>
              </w:rPr>
              <w:t>2015</w:t>
            </w:r>
          </w:p>
        </w:tc>
        <w:tc>
          <w:tcPr>
            <w:tcW w:w="0" w:type="auto"/>
            <w:shd w:val="clear" w:color="auto" w:fill="auto"/>
          </w:tcPr>
          <w:p w14:paraId="4B00B12E" w14:textId="77777777" w:rsidR="002F59B4" w:rsidRPr="00F144AF" w:rsidRDefault="002F59B4" w:rsidP="00B65047">
            <w:pPr>
              <w:spacing w:after="60"/>
              <w:jc w:val="center"/>
              <w:rPr>
                <w:b/>
                <w:sz w:val="18"/>
              </w:rPr>
            </w:pPr>
            <w:r>
              <w:rPr>
                <w:b/>
                <w:sz w:val="18"/>
              </w:rPr>
              <w:t>2016</w:t>
            </w:r>
          </w:p>
        </w:tc>
        <w:tc>
          <w:tcPr>
            <w:tcW w:w="0" w:type="auto"/>
            <w:shd w:val="clear" w:color="auto" w:fill="auto"/>
          </w:tcPr>
          <w:p w14:paraId="749A0AB9" w14:textId="77777777" w:rsidR="002F59B4" w:rsidRPr="00F144AF" w:rsidRDefault="002F59B4" w:rsidP="00B65047">
            <w:pPr>
              <w:spacing w:after="60"/>
              <w:jc w:val="center"/>
              <w:rPr>
                <w:b/>
                <w:sz w:val="18"/>
              </w:rPr>
            </w:pPr>
            <w:r>
              <w:rPr>
                <w:b/>
                <w:sz w:val="18"/>
              </w:rPr>
              <w:t>2017</w:t>
            </w:r>
          </w:p>
        </w:tc>
        <w:tc>
          <w:tcPr>
            <w:tcW w:w="0" w:type="auto"/>
            <w:shd w:val="clear" w:color="auto" w:fill="auto"/>
          </w:tcPr>
          <w:p w14:paraId="549A5351" w14:textId="77777777" w:rsidR="002F59B4" w:rsidRPr="00F144AF" w:rsidRDefault="002F59B4" w:rsidP="00B65047">
            <w:pPr>
              <w:spacing w:after="60"/>
              <w:jc w:val="center"/>
              <w:rPr>
                <w:b/>
                <w:sz w:val="18"/>
              </w:rPr>
            </w:pPr>
            <w:r>
              <w:rPr>
                <w:b/>
                <w:sz w:val="18"/>
              </w:rPr>
              <w:t>2018</w:t>
            </w:r>
          </w:p>
        </w:tc>
        <w:tc>
          <w:tcPr>
            <w:tcW w:w="711" w:type="dxa"/>
            <w:shd w:val="clear" w:color="auto" w:fill="auto"/>
          </w:tcPr>
          <w:p w14:paraId="3F7B2ADC" w14:textId="77777777" w:rsidR="002F59B4" w:rsidRPr="00F144AF" w:rsidRDefault="002F59B4" w:rsidP="00B65047">
            <w:pPr>
              <w:spacing w:after="60"/>
              <w:jc w:val="center"/>
              <w:rPr>
                <w:b/>
                <w:sz w:val="18"/>
              </w:rPr>
            </w:pPr>
            <w:r>
              <w:rPr>
                <w:b/>
                <w:sz w:val="18"/>
              </w:rPr>
              <w:t>2019*</w:t>
            </w:r>
          </w:p>
        </w:tc>
        <w:tc>
          <w:tcPr>
            <w:tcW w:w="711" w:type="dxa"/>
            <w:shd w:val="clear" w:color="auto" w:fill="auto"/>
          </w:tcPr>
          <w:p w14:paraId="73280AFE" w14:textId="77777777" w:rsidR="002F59B4" w:rsidRPr="00F144AF" w:rsidRDefault="002F59B4" w:rsidP="00B65047">
            <w:pPr>
              <w:spacing w:after="60"/>
              <w:jc w:val="center"/>
              <w:rPr>
                <w:b/>
                <w:sz w:val="18"/>
              </w:rPr>
            </w:pPr>
            <w:r>
              <w:rPr>
                <w:b/>
                <w:sz w:val="18"/>
              </w:rPr>
              <w:t>2020</w:t>
            </w:r>
          </w:p>
        </w:tc>
        <w:tc>
          <w:tcPr>
            <w:tcW w:w="0" w:type="auto"/>
            <w:shd w:val="clear" w:color="auto" w:fill="auto"/>
          </w:tcPr>
          <w:p w14:paraId="623AA0A4" w14:textId="77777777" w:rsidR="002F59B4" w:rsidRPr="00F144AF" w:rsidRDefault="002F59B4" w:rsidP="00B65047">
            <w:pPr>
              <w:spacing w:after="60"/>
              <w:jc w:val="center"/>
              <w:rPr>
                <w:b/>
                <w:sz w:val="18"/>
              </w:rPr>
            </w:pPr>
            <w:r>
              <w:rPr>
                <w:b/>
                <w:sz w:val="18"/>
              </w:rPr>
              <w:t>Total</w:t>
            </w:r>
          </w:p>
        </w:tc>
      </w:tr>
      <w:tr w:rsidR="00F144AF" w:rsidRPr="00F144AF" w14:paraId="6220E8E5" w14:textId="77777777" w:rsidTr="00CE2A27">
        <w:trPr>
          <w:trHeight w:val="258"/>
        </w:trPr>
        <w:tc>
          <w:tcPr>
            <w:tcW w:w="2725" w:type="dxa"/>
            <w:gridSpan w:val="3"/>
            <w:shd w:val="clear" w:color="auto" w:fill="auto"/>
          </w:tcPr>
          <w:p w14:paraId="51412E8E" w14:textId="77777777" w:rsidR="002F59B4" w:rsidRPr="00F144AF" w:rsidRDefault="002F59B4" w:rsidP="00B65047">
            <w:pPr>
              <w:spacing w:after="60"/>
              <w:jc w:val="left"/>
              <w:rPr>
                <w:sz w:val="18"/>
              </w:rPr>
            </w:pPr>
            <w:r>
              <w:rPr>
                <w:sz w:val="18"/>
              </w:rPr>
              <w:t>Limites de consommation en vertu du Protocole de Montréal</w:t>
            </w:r>
          </w:p>
        </w:tc>
        <w:tc>
          <w:tcPr>
            <w:tcW w:w="801" w:type="dxa"/>
          </w:tcPr>
          <w:p w14:paraId="4CA3E19D" w14:textId="77777777" w:rsidR="002F59B4" w:rsidRPr="00F144AF" w:rsidRDefault="002F59B4" w:rsidP="00B65047">
            <w:pPr>
              <w:spacing w:after="60"/>
              <w:jc w:val="right"/>
              <w:rPr>
                <w:sz w:val="18"/>
              </w:rPr>
            </w:pPr>
            <w:r>
              <w:rPr>
                <w:sz w:val="18"/>
              </w:rPr>
              <w:t>s. o.</w:t>
            </w:r>
          </w:p>
        </w:tc>
        <w:tc>
          <w:tcPr>
            <w:tcW w:w="711" w:type="dxa"/>
            <w:shd w:val="clear" w:color="auto" w:fill="auto"/>
          </w:tcPr>
          <w:p w14:paraId="461330AE" w14:textId="77777777" w:rsidR="002F59B4" w:rsidRPr="00F144AF" w:rsidRDefault="002F59B4" w:rsidP="00B65047">
            <w:pPr>
              <w:spacing w:after="60"/>
              <w:jc w:val="right"/>
              <w:rPr>
                <w:sz w:val="18"/>
              </w:rPr>
            </w:pPr>
            <w:r>
              <w:rPr>
                <w:sz w:val="18"/>
              </w:rPr>
              <w:t>10,14</w:t>
            </w:r>
          </w:p>
        </w:tc>
        <w:tc>
          <w:tcPr>
            <w:tcW w:w="621" w:type="dxa"/>
            <w:shd w:val="clear" w:color="auto" w:fill="auto"/>
          </w:tcPr>
          <w:p w14:paraId="693F6B95" w14:textId="77777777" w:rsidR="002F59B4" w:rsidRPr="00F144AF" w:rsidRDefault="002F59B4" w:rsidP="00B65047">
            <w:pPr>
              <w:spacing w:after="60"/>
              <w:jc w:val="right"/>
              <w:rPr>
                <w:sz w:val="18"/>
              </w:rPr>
            </w:pPr>
            <w:r>
              <w:rPr>
                <w:sz w:val="18"/>
              </w:rPr>
              <w:t>10,14</w:t>
            </w:r>
          </w:p>
        </w:tc>
        <w:tc>
          <w:tcPr>
            <w:tcW w:w="866" w:type="dxa"/>
            <w:shd w:val="clear" w:color="auto" w:fill="auto"/>
          </w:tcPr>
          <w:p w14:paraId="410F344E" w14:textId="77777777" w:rsidR="002F59B4" w:rsidRPr="00F144AF" w:rsidRDefault="002F59B4" w:rsidP="00B65047">
            <w:pPr>
              <w:spacing w:after="60"/>
              <w:jc w:val="right"/>
              <w:rPr>
                <w:sz w:val="18"/>
              </w:rPr>
            </w:pPr>
            <w:r>
              <w:rPr>
                <w:sz w:val="18"/>
              </w:rPr>
              <w:t>9,13</w:t>
            </w:r>
          </w:p>
        </w:tc>
        <w:tc>
          <w:tcPr>
            <w:tcW w:w="0" w:type="auto"/>
            <w:shd w:val="clear" w:color="auto" w:fill="auto"/>
          </w:tcPr>
          <w:p w14:paraId="7F5673DE" w14:textId="77777777" w:rsidR="002F59B4" w:rsidRPr="00F144AF" w:rsidRDefault="002F59B4" w:rsidP="00B65047">
            <w:pPr>
              <w:spacing w:after="60"/>
              <w:jc w:val="right"/>
              <w:rPr>
                <w:sz w:val="18"/>
              </w:rPr>
            </w:pPr>
            <w:r>
              <w:rPr>
                <w:sz w:val="18"/>
              </w:rPr>
              <w:t>9,13</w:t>
            </w:r>
          </w:p>
        </w:tc>
        <w:tc>
          <w:tcPr>
            <w:tcW w:w="0" w:type="auto"/>
            <w:shd w:val="clear" w:color="auto" w:fill="auto"/>
          </w:tcPr>
          <w:p w14:paraId="32A7FC31" w14:textId="77777777" w:rsidR="002F59B4" w:rsidRPr="00F144AF" w:rsidRDefault="002F59B4" w:rsidP="00B65047">
            <w:pPr>
              <w:spacing w:after="60"/>
              <w:jc w:val="right"/>
              <w:rPr>
                <w:sz w:val="18"/>
              </w:rPr>
            </w:pPr>
            <w:r>
              <w:rPr>
                <w:sz w:val="18"/>
              </w:rPr>
              <w:t>9,13</w:t>
            </w:r>
          </w:p>
        </w:tc>
        <w:tc>
          <w:tcPr>
            <w:tcW w:w="0" w:type="auto"/>
            <w:shd w:val="clear" w:color="auto" w:fill="auto"/>
          </w:tcPr>
          <w:p w14:paraId="7182B70B" w14:textId="77777777" w:rsidR="002F59B4" w:rsidRPr="00F144AF" w:rsidRDefault="002F59B4" w:rsidP="00B65047">
            <w:pPr>
              <w:spacing w:after="60"/>
              <w:jc w:val="right"/>
              <w:rPr>
                <w:sz w:val="18"/>
              </w:rPr>
            </w:pPr>
            <w:r>
              <w:rPr>
                <w:sz w:val="18"/>
              </w:rPr>
              <w:t>9,13</w:t>
            </w:r>
          </w:p>
        </w:tc>
        <w:tc>
          <w:tcPr>
            <w:tcW w:w="711" w:type="dxa"/>
            <w:shd w:val="clear" w:color="auto" w:fill="auto"/>
          </w:tcPr>
          <w:p w14:paraId="3EB519A2" w14:textId="77777777" w:rsidR="002F59B4" w:rsidRPr="00F144AF" w:rsidRDefault="002F59B4" w:rsidP="00B65047">
            <w:pPr>
              <w:spacing w:after="60"/>
              <w:jc w:val="right"/>
              <w:rPr>
                <w:sz w:val="18"/>
              </w:rPr>
            </w:pPr>
            <w:r>
              <w:rPr>
                <w:sz w:val="18"/>
              </w:rPr>
              <w:t>9,13</w:t>
            </w:r>
          </w:p>
        </w:tc>
        <w:tc>
          <w:tcPr>
            <w:tcW w:w="711" w:type="dxa"/>
            <w:shd w:val="clear" w:color="auto" w:fill="auto"/>
          </w:tcPr>
          <w:p w14:paraId="44A52069" w14:textId="77777777" w:rsidR="002F59B4" w:rsidRPr="00F144AF" w:rsidRDefault="002F59B4" w:rsidP="00B65047">
            <w:pPr>
              <w:spacing w:after="60"/>
              <w:jc w:val="right"/>
              <w:rPr>
                <w:sz w:val="18"/>
              </w:rPr>
            </w:pPr>
            <w:r>
              <w:rPr>
                <w:sz w:val="18"/>
              </w:rPr>
              <w:t>6,59</w:t>
            </w:r>
          </w:p>
        </w:tc>
        <w:tc>
          <w:tcPr>
            <w:tcW w:w="0" w:type="auto"/>
            <w:shd w:val="clear" w:color="auto" w:fill="auto"/>
          </w:tcPr>
          <w:p w14:paraId="0DD93DB4" w14:textId="77777777" w:rsidR="002F59B4" w:rsidRPr="00F144AF" w:rsidRDefault="002F59B4" w:rsidP="00B65047">
            <w:pPr>
              <w:spacing w:after="60"/>
              <w:jc w:val="center"/>
              <w:rPr>
                <w:sz w:val="18"/>
              </w:rPr>
            </w:pPr>
            <w:r>
              <w:rPr>
                <w:sz w:val="18"/>
              </w:rPr>
              <w:t>s. o.</w:t>
            </w:r>
          </w:p>
        </w:tc>
      </w:tr>
      <w:tr w:rsidR="00F144AF" w:rsidRPr="00F144AF" w14:paraId="1B8DAA3A" w14:textId="77777777" w:rsidTr="00CE2A27">
        <w:trPr>
          <w:trHeight w:val="463"/>
        </w:trPr>
        <w:tc>
          <w:tcPr>
            <w:tcW w:w="2725" w:type="dxa"/>
            <w:gridSpan w:val="3"/>
            <w:shd w:val="clear" w:color="auto" w:fill="auto"/>
          </w:tcPr>
          <w:p w14:paraId="23939679" w14:textId="77777777" w:rsidR="002F59B4" w:rsidRPr="00F144AF" w:rsidRDefault="002F59B4" w:rsidP="00B65047">
            <w:pPr>
              <w:spacing w:after="60"/>
              <w:jc w:val="left"/>
              <w:rPr>
                <w:sz w:val="18"/>
              </w:rPr>
            </w:pPr>
            <w:r>
              <w:rPr>
                <w:sz w:val="18"/>
              </w:rPr>
              <w:t>Consommation maximale autorisée (tonnes PAO)</w:t>
            </w:r>
          </w:p>
        </w:tc>
        <w:tc>
          <w:tcPr>
            <w:tcW w:w="801" w:type="dxa"/>
          </w:tcPr>
          <w:p w14:paraId="70006E68" w14:textId="77777777" w:rsidR="002F59B4" w:rsidRPr="00F144AF" w:rsidRDefault="002F59B4" w:rsidP="00B65047">
            <w:pPr>
              <w:spacing w:after="60"/>
              <w:jc w:val="right"/>
              <w:rPr>
                <w:sz w:val="18"/>
              </w:rPr>
            </w:pPr>
            <w:r>
              <w:rPr>
                <w:sz w:val="18"/>
              </w:rPr>
              <w:t>s. o.</w:t>
            </w:r>
          </w:p>
        </w:tc>
        <w:tc>
          <w:tcPr>
            <w:tcW w:w="711" w:type="dxa"/>
            <w:shd w:val="clear" w:color="auto" w:fill="auto"/>
          </w:tcPr>
          <w:p w14:paraId="5B986C70" w14:textId="77777777" w:rsidR="002F59B4" w:rsidRPr="00F144AF" w:rsidRDefault="002F59B4" w:rsidP="00B65047">
            <w:pPr>
              <w:spacing w:after="60"/>
              <w:jc w:val="right"/>
              <w:rPr>
                <w:sz w:val="18"/>
              </w:rPr>
            </w:pPr>
            <w:r>
              <w:rPr>
                <w:sz w:val="18"/>
              </w:rPr>
              <w:t>10,14</w:t>
            </w:r>
          </w:p>
        </w:tc>
        <w:tc>
          <w:tcPr>
            <w:tcW w:w="621" w:type="dxa"/>
            <w:shd w:val="clear" w:color="auto" w:fill="auto"/>
          </w:tcPr>
          <w:p w14:paraId="0184EAD2" w14:textId="77777777" w:rsidR="002F59B4" w:rsidRPr="00F144AF" w:rsidRDefault="002F59B4" w:rsidP="00B65047">
            <w:pPr>
              <w:spacing w:after="60"/>
              <w:jc w:val="right"/>
              <w:rPr>
                <w:sz w:val="18"/>
              </w:rPr>
            </w:pPr>
            <w:r>
              <w:rPr>
                <w:sz w:val="18"/>
              </w:rPr>
              <w:t>10,14</w:t>
            </w:r>
          </w:p>
        </w:tc>
        <w:tc>
          <w:tcPr>
            <w:tcW w:w="866" w:type="dxa"/>
            <w:shd w:val="clear" w:color="auto" w:fill="auto"/>
          </w:tcPr>
          <w:p w14:paraId="63311D81" w14:textId="77777777" w:rsidR="002F59B4" w:rsidRPr="00F144AF" w:rsidRDefault="002F59B4" w:rsidP="00B65047">
            <w:pPr>
              <w:spacing w:after="60"/>
              <w:jc w:val="right"/>
              <w:rPr>
                <w:sz w:val="18"/>
              </w:rPr>
            </w:pPr>
            <w:r>
              <w:rPr>
                <w:sz w:val="18"/>
              </w:rPr>
              <w:t>9,13</w:t>
            </w:r>
          </w:p>
        </w:tc>
        <w:tc>
          <w:tcPr>
            <w:tcW w:w="0" w:type="auto"/>
            <w:shd w:val="clear" w:color="auto" w:fill="auto"/>
          </w:tcPr>
          <w:p w14:paraId="6E45C5F0" w14:textId="77777777" w:rsidR="002F59B4" w:rsidRPr="00F144AF" w:rsidRDefault="002F59B4" w:rsidP="00B65047">
            <w:pPr>
              <w:spacing w:after="60"/>
              <w:jc w:val="right"/>
              <w:rPr>
                <w:sz w:val="18"/>
              </w:rPr>
            </w:pPr>
            <w:r>
              <w:rPr>
                <w:sz w:val="18"/>
              </w:rPr>
              <w:t>9,13</w:t>
            </w:r>
          </w:p>
        </w:tc>
        <w:tc>
          <w:tcPr>
            <w:tcW w:w="0" w:type="auto"/>
            <w:shd w:val="clear" w:color="auto" w:fill="auto"/>
          </w:tcPr>
          <w:p w14:paraId="05C778F5" w14:textId="77777777" w:rsidR="002F59B4" w:rsidRPr="00F144AF" w:rsidRDefault="002F59B4" w:rsidP="00B65047">
            <w:pPr>
              <w:spacing w:after="60"/>
              <w:jc w:val="right"/>
              <w:rPr>
                <w:sz w:val="18"/>
              </w:rPr>
            </w:pPr>
            <w:r>
              <w:rPr>
                <w:sz w:val="18"/>
              </w:rPr>
              <w:t>9,13</w:t>
            </w:r>
          </w:p>
        </w:tc>
        <w:tc>
          <w:tcPr>
            <w:tcW w:w="0" w:type="auto"/>
            <w:shd w:val="clear" w:color="auto" w:fill="auto"/>
          </w:tcPr>
          <w:p w14:paraId="507810B7" w14:textId="77777777" w:rsidR="002F59B4" w:rsidRPr="00F144AF" w:rsidRDefault="002F59B4" w:rsidP="00B65047">
            <w:pPr>
              <w:spacing w:after="60"/>
              <w:jc w:val="right"/>
              <w:rPr>
                <w:sz w:val="18"/>
              </w:rPr>
            </w:pPr>
            <w:r>
              <w:rPr>
                <w:sz w:val="18"/>
              </w:rPr>
              <w:t>9,13</w:t>
            </w:r>
          </w:p>
        </w:tc>
        <w:tc>
          <w:tcPr>
            <w:tcW w:w="711" w:type="dxa"/>
            <w:shd w:val="clear" w:color="auto" w:fill="auto"/>
          </w:tcPr>
          <w:p w14:paraId="292621C9" w14:textId="77777777" w:rsidR="002F59B4" w:rsidRPr="00F144AF" w:rsidRDefault="002F59B4" w:rsidP="00B65047">
            <w:pPr>
              <w:spacing w:after="60"/>
              <w:jc w:val="right"/>
              <w:rPr>
                <w:sz w:val="18"/>
              </w:rPr>
            </w:pPr>
            <w:r>
              <w:rPr>
                <w:sz w:val="18"/>
              </w:rPr>
              <w:t>9,13</w:t>
            </w:r>
          </w:p>
        </w:tc>
        <w:tc>
          <w:tcPr>
            <w:tcW w:w="711" w:type="dxa"/>
            <w:shd w:val="clear" w:color="auto" w:fill="auto"/>
          </w:tcPr>
          <w:p w14:paraId="36EAE5AD" w14:textId="77777777" w:rsidR="002F59B4" w:rsidRPr="00F144AF" w:rsidRDefault="002F59B4" w:rsidP="00B65047">
            <w:pPr>
              <w:spacing w:after="60"/>
              <w:jc w:val="right"/>
              <w:rPr>
                <w:sz w:val="18"/>
              </w:rPr>
            </w:pPr>
            <w:r>
              <w:rPr>
                <w:sz w:val="18"/>
              </w:rPr>
              <w:t>6,59</w:t>
            </w:r>
          </w:p>
        </w:tc>
        <w:tc>
          <w:tcPr>
            <w:tcW w:w="0" w:type="auto"/>
            <w:shd w:val="clear" w:color="auto" w:fill="auto"/>
          </w:tcPr>
          <w:p w14:paraId="6C79E687" w14:textId="77777777" w:rsidR="002F59B4" w:rsidRPr="00F144AF" w:rsidRDefault="002F59B4" w:rsidP="00B65047">
            <w:pPr>
              <w:spacing w:after="60"/>
              <w:jc w:val="center"/>
              <w:rPr>
                <w:sz w:val="18"/>
              </w:rPr>
            </w:pPr>
            <w:r>
              <w:rPr>
                <w:sz w:val="18"/>
              </w:rPr>
              <w:t>s. o.</w:t>
            </w:r>
          </w:p>
        </w:tc>
      </w:tr>
      <w:tr w:rsidR="00F144AF" w:rsidRPr="00F144AF" w14:paraId="1E1B8FAC" w14:textId="77777777" w:rsidTr="00CE2A27">
        <w:trPr>
          <w:trHeight w:val="258"/>
        </w:trPr>
        <w:tc>
          <w:tcPr>
            <w:tcW w:w="785" w:type="dxa"/>
            <w:vMerge w:val="restart"/>
            <w:shd w:val="clear" w:color="auto" w:fill="auto"/>
          </w:tcPr>
          <w:p w14:paraId="24C83D2D" w14:textId="070FE77E" w:rsidR="002F59B4" w:rsidRPr="00F144AF" w:rsidRDefault="002F59B4" w:rsidP="00B65047">
            <w:pPr>
              <w:spacing w:after="60"/>
              <w:jc w:val="left"/>
              <w:rPr>
                <w:sz w:val="18"/>
              </w:rPr>
            </w:pPr>
            <w:r>
              <w:rPr>
                <w:sz w:val="18"/>
              </w:rPr>
              <w:t>Financement convenu ($</w:t>
            </w:r>
            <w:r w:rsidR="0013504F">
              <w:rPr>
                <w:sz w:val="18"/>
              </w:rPr>
              <w:t> </w:t>
            </w:r>
            <w:r>
              <w:rPr>
                <w:sz w:val="18"/>
              </w:rPr>
              <w:t>US)</w:t>
            </w:r>
          </w:p>
        </w:tc>
        <w:tc>
          <w:tcPr>
            <w:tcW w:w="796" w:type="dxa"/>
            <w:vMerge w:val="restart"/>
            <w:shd w:val="clear" w:color="auto" w:fill="auto"/>
          </w:tcPr>
          <w:p w14:paraId="30DFB37A" w14:textId="77777777" w:rsidR="002F59B4" w:rsidRPr="00F144AF" w:rsidRDefault="002F59B4" w:rsidP="00B65047">
            <w:pPr>
              <w:spacing w:after="60"/>
              <w:jc w:val="center"/>
              <w:rPr>
                <w:sz w:val="18"/>
              </w:rPr>
            </w:pPr>
            <w:r>
              <w:rPr>
                <w:sz w:val="18"/>
              </w:rPr>
              <w:t>PNUE</w:t>
            </w:r>
          </w:p>
        </w:tc>
        <w:tc>
          <w:tcPr>
            <w:tcW w:w="1144" w:type="dxa"/>
            <w:shd w:val="clear" w:color="auto" w:fill="auto"/>
          </w:tcPr>
          <w:p w14:paraId="10F517C7" w14:textId="77777777" w:rsidR="002F59B4" w:rsidRPr="00F144AF" w:rsidRDefault="002F59B4" w:rsidP="00B65047">
            <w:pPr>
              <w:spacing w:after="60"/>
              <w:jc w:val="left"/>
              <w:rPr>
                <w:sz w:val="18"/>
              </w:rPr>
            </w:pPr>
            <w:r>
              <w:rPr>
                <w:sz w:val="18"/>
              </w:rPr>
              <w:t>Coûts du projet</w:t>
            </w:r>
          </w:p>
        </w:tc>
        <w:tc>
          <w:tcPr>
            <w:tcW w:w="801" w:type="dxa"/>
          </w:tcPr>
          <w:p w14:paraId="259DF992" w14:textId="77777777" w:rsidR="002F59B4" w:rsidRPr="00F144AF" w:rsidRDefault="002F59B4" w:rsidP="00B65047">
            <w:pPr>
              <w:spacing w:after="60"/>
              <w:jc w:val="right"/>
              <w:rPr>
                <w:sz w:val="18"/>
              </w:rPr>
            </w:pPr>
            <w:r>
              <w:rPr>
                <w:sz w:val="18"/>
              </w:rPr>
              <w:t>45 000</w:t>
            </w:r>
          </w:p>
        </w:tc>
        <w:tc>
          <w:tcPr>
            <w:tcW w:w="711" w:type="dxa"/>
            <w:shd w:val="clear" w:color="auto" w:fill="auto"/>
          </w:tcPr>
          <w:p w14:paraId="387C2C6F" w14:textId="77777777" w:rsidR="002F59B4" w:rsidRPr="00F144AF" w:rsidRDefault="002F59B4" w:rsidP="00B65047">
            <w:pPr>
              <w:spacing w:after="60"/>
              <w:jc w:val="right"/>
              <w:rPr>
                <w:sz w:val="18"/>
              </w:rPr>
            </w:pPr>
            <w:r>
              <w:rPr>
                <w:sz w:val="18"/>
              </w:rPr>
              <w:t>30 000</w:t>
            </w:r>
          </w:p>
        </w:tc>
        <w:tc>
          <w:tcPr>
            <w:tcW w:w="621" w:type="dxa"/>
            <w:shd w:val="clear" w:color="auto" w:fill="auto"/>
          </w:tcPr>
          <w:p w14:paraId="0EC1625D" w14:textId="77777777" w:rsidR="002F59B4" w:rsidRPr="00F144AF" w:rsidRDefault="006F1B97" w:rsidP="00B65047">
            <w:pPr>
              <w:spacing w:after="60"/>
              <w:jc w:val="right"/>
              <w:rPr>
                <w:sz w:val="18"/>
              </w:rPr>
            </w:pPr>
            <w:r>
              <w:rPr>
                <w:sz w:val="18"/>
              </w:rPr>
              <w:t>0</w:t>
            </w:r>
          </w:p>
        </w:tc>
        <w:tc>
          <w:tcPr>
            <w:tcW w:w="866" w:type="dxa"/>
            <w:shd w:val="clear" w:color="auto" w:fill="auto"/>
          </w:tcPr>
          <w:p w14:paraId="2BE73A91" w14:textId="77777777" w:rsidR="002F59B4" w:rsidRPr="00F144AF" w:rsidRDefault="006F1B97" w:rsidP="00B65047">
            <w:pPr>
              <w:spacing w:after="60"/>
              <w:jc w:val="right"/>
              <w:rPr>
                <w:sz w:val="18"/>
              </w:rPr>
            </w:pPr>
            <w:r>
              <w:rPr>
                <w:sz w:val="18"/>
              </w:rPr>
              <w:t>0</w:t>
            </w:r>
          </w:p>
        </w:tc>
        <w:tc>
          <w:tcPr>
            <w:tcW w:w="0" w:type="auto"/>
            <w:shd w:val="clear" w:color="auto" w:fill="auto"/>
          </w:tcPr>
          <w:p w14:paraId="60BE89AA" w14:textId="77777777" w:rsidR="002F59B4" w:rsidRPr="00F144AF" w:rsidRDefault="002F59B4" w:rsidP="00B65047">
            <w:pPr>
              <w:spacing w:after="60"/>
              <w:jc w:val="right"/>
              <w:rPr>
                <w:sz w:val="18"/>
              </w:rPr>
            </w:pPr>
            <w:r>
              <w:rPr>
                <w:sz w:val="18"/>
              </w:rPr>
              <w:t>40 000</w:t>
            </w:r>
          </w:p>
        </w:tc>
        <w:tc>
          <w:tcPr>
            <w:tcW w:w="0" w:type="auto"/>
            <w:shd w:val="clear" w:color="auto" w:fill="auto"/>
          </w:tcPr>
          <w:p w14:paraId="08B4396B" w14:textId="77777777" w:rsidR="002F59B4" w:rsidRPr="00F144AF" w:rsidRDefault="006F1B97" w:rsidP="00B65047">
            <w:pPr>
              <w:spacing w:after="60"/>
              <w:jc w:val="right"/>
              <w:rPr>
                <w:sz w:val="18"/>
              </w:rPr>
            </w:pPr>
            <w:r>
              <w:rPr>
                <w:sz w:val="18"/>
              </w:rPr>
              <w:t>0</w:t>
            </w:r>
          </w:p>
        </w:tc>
        <w:tc>
          <w:tcPr>
            <w:tcW w:w="0" w:type="auto"/>
            <w:shd w:val="clear" w:color="auto" w:fill="auto"/>
          </w:tcPr>
          <w:p w14:paraId="050B7E9D" w14:textId="77777777" w:rsidR="002F59B4" w:rsidRPr="00F144AF" w:rsidRDefault="002F59B4" w:rsidP="00B65047">
            <w:pPr>
              <w:spacing w:after="60"/>
              <w:jc w:val="right"/>
              <w:rPr>
                <w:sz w:val="18"/>
              </w:rPr>
            </w:pPr>
            <w:r>
              <w:rPr>
                <w:sz w:val="18"/>
              </w:rPr>
              <w:t>25 000</w:t>
            </w:r>
          </w:p>
        </w:tc>
        <w:tc>
          <w:tcPr>
            <w:tcW w:w="711" w:type="dxa"/>
            <w:shd w:val="clear" w:color="auto" w:fill="auto"/>
          </w:tcPr>
          <w:p w14:paraId="2504FE1D" w14:textId="77777777" w:rsidR="002F59B4" w:rsidRPr="00F144AF" w:rsidRDefault="006F1B97" w:rsidP="00B65047">
            <w:pPr>
              <w:spacing w:after="60"/>
              <w:jc w:val="right"/>
              <w:rPr>
                <w:sz w:val="18"/>
              </w:rPr>
            </w:pPr>
            <w:r>
              <w:rPr>
                <w:sz w:val="18"/>
              </w:rPr>
              <w:t>0</w:t>
            </w:r>
          </w:p>
        </w:tc>
        <w:tc>
          <w:tcPr>
            <w:tcW w:w="711" w:type="dxa"/>
            <w:shd w:val="clear" w:color="auto" w:fill="auto"/>
          </w:tcPr>
          <w:p w14:paraId="4B957766" w14:textId="77777777" w:rsidR="002F59B4" w:rsidRPr="00F144AF" w:rsidRDefault="002F59B4" w:rsidP="00B65047">
            <w:pPr>
              <w:spacing w:after="60"/>
              <w:jc w:val="right"/>
              <w:rPr>
                <w:sz w:val="18"/>
              </w:rPr>
            </w:pPr>
            <w:r>
              <w:rPr>
                <w:sz w:val="18"/>
              </w:rPr>
              <w:t>35 000</w:t>
            </w:r>
          </w:p>
        </w:tc>
        <w:tc>
          <w:tcPr>
            <w:tcW w:w="0" w:type="auto"/>
            <w:shd w:val="clear" w:color="auto" w:fill="auto"/>
          </w:tcPr>
          <w:p w14:paraId="40126E3A" w14:textId="77777777" w:rsidR="002F59B4" w:rsidRPr="00F144AF" w:rsidRDefault="006F1B97" w:rsidP="00B65047">
            <w:pPr>
              <w:spacing w:after="60"/>
              <w:jc w:val="right"/>
              <w:rPr>
                <w:sz w:val="18"/>
              </w:rPr>
            </w:pPr>
            <w:r>
              <w:rPr>
                <w:sz w:val="18"/>
              </w:rPr>
              <w:t>175 000</w:t>
            </w:r>
          </w:p>
        </w:tc>
      </w:tr>
      <w:tr w:rsidR="00F144AF" w:rsidRPr="00F144AF" w14:paraId="052B9111" w14:textId="77777777" w:rsidTr="00CE2A27">
        <w:trPr>
          <w:trHeight w:val="272"/>
        </w:trPr>
        <w:tc>
          <w:tcPr>
            <w:tcW w:w="785" w:type="dxa"/>
            <w:vMerge/>
            <w:shd w:val="clear" w:color="auto" w:fill="auto"/>
          </w:tcPr>
          <w:p w14:paraId="226382D7" w14:textId="77777777" w:rsidR="002F59B4" w:rsidRPr="00F144AF" w:rsidRDefault="002F59B4" w:rsidP="00B65047">
            <w:pPr>
              <w:spacing w:after="60"/>
              <w:jc w:val="center"/>
              <w:rPr>
                <w:sz w:val="18"/>
                <w:lang w:val="en-CA"/>
              </w:rPr>
            </w:pPr>
          </w:p>
        </w:tc>
        <w:tc>
          <w:tcPr>
            <w:tcW w:w="796" w:type="dxa"/>
            <w:vMerge/>
            <w:shd w:val="clear" w:color="auto" w:fill="auto"/>
          </w:tcPr>
          <w:p w14:paraId="5E9F4546" w14:textId="77777777" w:rsidR="002F59B4" w:rsidRPr="00F144AF" w:rsidRDefault="002F59B4" w:rsidP="00B65047">
            <w:pPr>
              <w:spacing w:after="60"/>
              <w:jc w:val="center"/>
              <w:rPr>
                <w:sz w:val="18"/>
                <w:lang w:val="en-CA"/>
              </w:rPr>
            </w:pPr>
          </w:p>
        </w:tc>
        <w:tc>
          <w:tcPr>
            <w:tcW w:w="1144" w:type="dxa"/>
            <w:shd w:val="clear" w:color="auto" w:fill="auto"/>
          </w:tcPr>
          <w:p w14:paraId="1F318019" w14:textId="77777777" w:rsidR="002F59B4" w:rsidRPr="00F144AF" w:rsidRDefault="002F59B4" w:rsidP="00B65047">
            <w:pPr>
              <w:spacing w:after="60"/>
              <w:jc w:val="left"/>
              <w:rPr>
                <w:sz w:val="18"/>
              </w:rPr>
            </w:pPr>
            <w:r>
              <w:rPr>
                <w:sz w:val="18"/>
              </w:rPr>
              <w:t>Coûts d’appui</w:t>
            </w:r>
          </w:p>
        </w:tc>
        <w:tc>
          <w:tcPr>
            <w:tcW w:w="801" w:type="dxa"/>
          </w:tcPr>
          <w:p w14:paraId="490C079D" w14:textId="77777777" w:rsidR="002F59B4" w:rsidRPr="00F144AF" w:rsidRDefault="002F59B4" w:rsidP="00B65047">
            <w:pPr>
              <w:spacing w:after="60"/>
              <w:jc w:val="right"/>
              <w:rPr>
                <w:sz w:val="18"/>
              </w:rPr>
            </w:pPr>
            <w:r>
              <w:rPr>
                <w:sz w:val="18"/>
              </w:rPr>
              <w:t>5 850</w:t>
            </w:r>
          </w:p>
        </w:tc>
        <w:tc>
          <w:tcPr>
            <w:tcW w:w="711" w:type="dxa"/>
            <w:shd w:val="clear" w:color="auto" w:fill="auto"/>
          </w:tcPr>
          <w:p w14:paraId="6D8CE547" w14:textId="77777777" w:rsidR="002F59B4" w:rsidRPr="00F144AF" w:rsidRDefault="002F59B4" w:rsidP="00B65047">
            <w:pPr>
              <w:spacing w:after="60"/>
              <w:jc w:val="right"/>
              <w:rPr>
                <w:sz w:val="18"/>
              </w:rPr>
            </w:pPr>
            <w:r>
              <w:rPr>
                <w:sz w:val="18"/>
              </w:rPr>
              <w:t>3 900</w:t>
            </w:r>
          </w:p>
        </w:tc>
        <w:tc>
          <w:tcPr>
            <w:tcW w:w="621" w:type="dxa"/>
            <w:shd w:val="clear" w:color="auto" w:fill="auto"/>
          </w:tcPr>
          <w:p w14:paraId="5144CD6D" w14:textId="77777777" w:rsidR="002F59B4" w:rsidRPr="00F144AF" w:rsidRDefault="006F1B97" w:rsidP="00B65047">
            <w:pPr>
              <w:spacing w:after="60"/>
              <w:jc w:val="right"/>
              <w:rPr>
                <w:sz w:val="18"/>
              </w:rPr>
            </w:pPr>
            <w:r>
              <w:rPr>
                <w:sz w:val="18"/>
              </w:rPr>
              <w:t>0</w:t>
            </w:r>
          </w:p>
        </w:tc>
        <w:tc>
          <w:tcPr>
            <w:tcW w:w="866" w:type="dxa"/>
            <w:shd w:val="clear" w:color="auto" w:fill="auto"/>
          </w:tcPr>
          <w:p w14:paraId="5789B985" w14:textId="77777777" w:rsidR="002F59B4" w:rsidRPr="00F144AF" w:rsidRDefault="006F1B97" w:rsidP="00B65047">
            <w:pPr>
              <w:spacing w:after="60"/>
              <w:jc w:val="right"/>
              <w:rPr>
                <w:sz w:val="18"/>
              </w:rPr>
            </w:pPr>
            <w:r>
              <w:rPr>
                <w:sz w:val="18"/>
              </w:rPr>
              <w:t>0</w:t>
            </w:r>
          </w:p>
        </w:tc>
        <w:tc>
          <w:tcPr>
            <w:tcW w:w="0" w:type="auto"/>
            <w:shd w:val="clear" w:color="auto" w:fill="auto"/>
          </w:tcPr>
          <w:p w14:paraId="599F04DF" w14:textId="77777777" w:rsidR="002F59B4" w:rsidRPr="00F144AF" w:rsidRDefault="002F59B4" w:rsidP="00B65047">
            <w:pPr>
              <w:spacing w:after="60"/>
              <w:jc w:val="right"/>
              <w:rPr>
                <w:sz w:val="18"/>
              </w:rPr>
            </w:pPr>
            <w:r>
              <w:rPr>
                <w:sz w:val="18"/>
              </w:rPr>
              <w:t>5 200</w:t>
            </w:r>
          </w:p>
        </w:tc>
        <w:tc>
          <w:tcPr>
            <w:tcW w:w="0" w:type="auto"/>
            <w:shd w:val="clear" w:color="auto" w:fill="auto"/>
          </w:tcPr>
          <w:p w14:paraId="448ACBE2" w14:textId="77777777" w:rsidR="002F59B4" w:rsidRPr="00F144AF" w:rsidRDefault="006F1B97" w:rsidP="00B65047">
            <w:pPr>
              <w:spacing w:after="60"/>
              <w:jc w:val="right"/>
              <w:rPr>
                <w:sz w:val="18"/>
              </w:rPr>
            </w:pPr>
            <w:r>
              <w:rPr>
                <w:sz w:val="18"/>
              </w:rPr>
              <w:t>0</w:t>
            </w:r>
          </w:p>
        </w:tc>
        <w:tc>
          <w:tcPr>
            <w:tcW w:w="0" w:type="auto"/>
            <w:shd w:val="clear" w:color="auto" w:fill="auto"/>
          </w:tcPr>
          <w:p w14:paraId="1BBC7405" w14:textId="77777777" w:rsidR="002F59B4" w:rsidRPr="00F144AF" w:rsidRDefault="002F59B4" w:rsidP="00B65047">
            <w:pPr>
              <w:spacing w:after="60"/>
              <w:jc w:val="right"/>
              <w:rPr>
                <w:sz w:val="18"/>
              </w:rPr>
            </w:pPr>
            <w:r>
              <w:rPr>
                <w:sz w:val="18"/>
              </w:rPr>
              <w:t>3 250</w:t>
            </w:r>
          </w:p>
        </w:tc>
        <w:tc>
          <w:tcPr>
            <w:tcW w:w="711" w:type="dxa"/>
            <w:shd w:val="clear" w:color="auto" w:fill="auto"/>
          </w:tcPr>
          <w:p w14:paraId="27BBB245" w14:textId="77777777" w:rsidR="002F59B4" w:rsidRPr="00F144AF" w:rsidRDefault="006F1B97" w:rsidP="00B65047">
            <w:pPr>
              <w:spacing w:after="60"/>
              <w:jc w:val="right"/>
              <w:rPr>
                <w:sz w:val="18"/>
              </w:rPr>
            </w:pPr>
            <w:r>
              <w:rPr>
                <w:sz w:val="18"/>
              </w:rPr>
              <w:t>0</w:t>
            </w:r>
          </w:p>
        </w:tc>
        <w:tc>
          <w:tcPr>
            <w:tcW w:w="711" w:type="dxa"/>
            <w:shd w:val="clear" w:color="auto" w:fill="auto"/>
          </w:tcPr>
          <w:p w14:paraId="66B2BB5C" w14:textId="77777777" w:rsidR="002F59B4" w:rsidRPr="00F144AF" w:rsidRDefault="002F59B4" w:rsidP="00B65047">
            <w:pPr>
              <w:spacing w:after="60"/>
              <w:jc w:val="right"/>
              <w:rPr>
                <w:sz w:val="18"/>
              </w:rPr>
            </w:pPr>
            <w:r>
              <w:rPr>
                <w:sz w:val="18"/>
              </w:rPr>
              <w:t>4 550</w:t>
            </w:r>
          </w:p>
        </w:tc>
        <w:tc>
          <w:tcPr>
            <w:tcW w:w="0" w:type="auto"/>
            <w:shd w:val="clear" w:color="auto" w:fill="auto"/>
          </w:tcPr>
          <w:p w14:paraId="71CA9E66" w14:textId="77777777" w:rsidR="002F59B4" w:rsidRPr="00F144AF" w:rsidRDefault="006F1B97" w:rsidP="00B65047">
            <w:pPr>
              <w:spacing w:after="60"/>
              <w:jc w:val="right"/>
              <w:rPr>
                <w:sz w:val="18"/>
              </w:rPr>
            </w:pPr>
            <w:r>
              <w:rPr>
                <w:sz w:val="18"/>
              </w:rPr>
              <w:t>22 750</w:t>
            </w:r>
          </w:p>
        </w:tc>
      </w:tr>
      <w:tr w:rsidR="00F144AF" w:rsidRPr="00F144AF" w14:paraId="45BE4186" w14:textId="77777777" w:rsidTr="00CE2A27">
        <w:trPr>
          <w:trHeight w:val="265"/>
        </w:trPr>
        <w:tc>
          <w:tcPr>
            <w:tcW w:w="785" w:type="dxa"/>
            <w:vMerge/>
            <w:shd w:val="clear" w:color="auto" w:fill="auto"/>
          </w:tcPr>
          <w:p w14:paraId="7368DCC4" w14:textId="77777777" w:rsidR="002F59B4" w:rsidRPr="00F144AF" w:rsidRDefault="002F59B4" w:rsidP="00B65047">
            <w:pPr>
              <w:spacing w:after="60"/>
              <w:jc w:val="center"/>
              <w:rPr>
                <w:sz w:val="18"/>
                <w:lang w:val="en-CA"/>
              </w:rPr>
            </w:pPr>
          </w:p>
        </w:tc>
        <w:tc>
          <w:tcPr>
            <w:tcW w:w="796" w:type="dxa"/>
            <w:vMerge w:val="restart"/>
            <w:shd w:val="clear" w:color="auto" w:fill="auto"/>
          </w:tcPr>
          <w:p w14:paraId="18EA2FC2" w14:textId="77777777" w:rsidR="002F59B4" w:rsidRPr="00F144AF" w:rsidRDefault="002F59B4" w:rsidP="00B65047">
            <w:pPr>
              <w:spacing w:after="60"/>
              <w:jc w:val="center"/>
              <w:rPr>
                <w:sz w:val="18"/>
              </w:rPr>
            </w:pPr>
            <w:r>
              <w:rPr>
                <w:sz w:val="18"/>
              </w:rPr>
              <w:t>ONUDI</w:t>
            </w:r>
          </w:p>
        </w:tc>
        <w:tc>
          <w:tcPr>
            <w:tcW w:w="1144" w:type="dxa"/>
            <w:shd w:val="clear" w:color="auto" w:fill="auto"/>
          </w:tcPr>
          <w:p w14:paraId="6B36F652" w14:textId="77777777" w:rsidR="002F59B4" w:rsidRPr="00F144AF" w:rsidRDefault="002F59B4" w:rsidP="00B65047">
            <w:pPr>
              <w:spacing w:after="60"/>
              <w:jc w:val="left"/>
              <w:rPr>
                <w:sz w:val="18"/>
              </w:rPr>
            </w:pPr>
            <w:r>
              <w:rPr>
                <w:sz w:val="18"/>
              </w:rPr>
              <w:t>Coûts du projet</w:t>
            </w:r>
          </w:p>
        </w:tc>
        <w:tc>
          <w:tcPr>
            <w:tcW w:w="801" w:type="dxa"/>
          </w:tcPr>
          <w:p w14:paraId="3694A79E" w14:textId="77777777" w:rsidR="002F59B4" w:rsidRPr="00F144AF" w:rsidRDefault="002F59B4" w:rsidP="00B65047">
            <w:pPr>
              <w:spacing w:after="60"/>
              <w:jc w:val="right"/>
              <w:rPr>
                <w:sz w:val="18"/>
              </w:rPr>
            </w:pPr>
            <w:r>
              <w:rPr>
                <w:sz w:val="18"/>
              </w:rPr>
              <w:t>100 000</w:t>
            </w:r>
          </w:p>
        </w:tc>
        <w:tc>
          <w:tcPr>
            <w:tcW w:w="711" w:type="dxa"/>
            <w:shd w:val="clear" w:color="auto" w:fill="auto"/>
          </w:tcPr>
          <w:p w14:paraId="7FEF2DBD" w14:textId="77777777" w:rsidR="002F59B4" w:rsidRPr="00F144AF" w:rsidRDefault="002F59B4" w:rsidP="00B65047">
            <w:pPr>
              <w:spacing w:after="60"/>
              <w:jc w:val="right"/>
              <w:rPr>
                <w:sz w:val="18"/>
              </w:rPr>
            </w:pPr>
            <w:r>
              <w:rPr>
                <w:sz w:val="18"/>
              </w:rPr>
              <w:t>0</w:t>
            </w:r>
          </w:p>
        </w:tc>
        <w:tc>
          <w:tcPr>
            <w:tcW w:w="621" w:type="dxa"/>
            <w:shd w:val="clear" w:color="auto" w:fill="auto"/>
          </w:tcPr>
          <w:p w14:paraId="15BAA798" w14:textId="77777777" w:rsidR="002F59B4" w:rsidRPr="00F144AF" w:rsidRDefault="006F1B97" w:rsidP="00B65047">
            <w:pPr>
              <w:spacing w:after="60"/>
              <w:jc w:val="right"/>
              <w:rPr>
                <w:sz w:val="18"/>
              </w:rPr>
            </w:pPr>
            <w:r>
              <w:rPr>
                <w:sz w:val="18"/>
              </w:rPr>
              <w:t>0</w:t>
            </w:r>
          </w:p>
        </w:tc>
        <w:tc>
          <w:tcPr>
            <w:tcW w:w="866" w:type="dxa"/>
            <w:shd w:val="clear" w:color="auto" w:fill="auto"/>
          </w:tcPr>
          <w:p w14:paraId="34BC367B" w14:textId="77777777" w:rsidR="002F59B4" w:rsidRPr="00F144AF" w:rsidRDefault="006F1B97" w:rsidP="00B65047">
            <w:pPr>
              <w:spacing w:after="60"/>
              <w:jc w:val="right"/>
              <w:rPr>
                <w:sz w:val="18"/>
              </w:rPr>
            </w:pPr>
            <w:r>
              <w:rPr>
                <w:sz w:val="18"/>
              </w:rPr>
              <w:t>0</w:t>
            </w:r>
          </w:p>
        </w:tc>
        <w:tc>
          <w:tcPr>
            <w:tcW w:w="0" w:type="auto"/>
            <w:shd w:val="clear" w:color="auto" w:fill="auto"/>
          </w:tcPr>
          <w:p w14:paraId="3382D25E" w14:textId="77777777" w:rsidR="002F59B4" w:rsidRPr="00F144AF" w:rsidRDefault="002F59B4" w:rsidP="00B65047">
            <w:pPr>
              <w:spacing w:after="60"/>
              <w:jc w:val="right"/>
              <w:rPr>
                <w:sz w:val="18"/>
              </w:rPr>
            </w:pPr>
            <w:r>
              <w:rPr>
                <w:sz w:val="18"/>
              </w:rPr>
              <w:t>75 000</w:t>
            </w:r>
          </w:p>
        </w:tc>
        <w:tc>
          <w:tcPr>
            <w:tcW w:w="0" w:type="auto"/>
            <w:shd w:val="clear" w:color="auto" w:fill="auto"/>
          </w:tcPr>
          <w:p w14:paraId="3CCD3724" w14:textId="77777777" w:rsidR="002F59B4" w:rsidRPr="00F144AF" w:rsidRDefault="006F1B97" w:rsidP="00B65047">
            <w:pPr>
              <w:spacing w:after="60"/>
              <w:jc w:val="right"/>
              <w:rPr>
                <w:sz w:val="18"/>
              </w:rPr>
            </w:pPr>
            <w:r>
              <w:rPr>
                <w:sz w:val="18"/>
              </w:rPr>
              <w:t>0</w:t>
            </w:r>
          </w:p>
        </w:tc>
        <w:tc>
          <w:tcPr>
            <w:tcW w:w="0" w:type="auto"/>
            <w:shd w:val="clear" w:color="auto" w:fill="auto"/>
          </w:tcPr>
          <w:p w14:paraId="27C93580" w14:textId="77777777" w:rsidR="002F59B4" w:rsidRPr="00F144AF" w:rsidRDefault="006F1B97" w:rsidP="00B65047">
            <w:pPr>
              <w:spacing w:after="60"/>
              <w:jc w:val="right"/>
              <w:rPr>
                <w:sz w:val="18"/>
              </w:rPr>
            </w:pPr>
            <w:r>
              <w:rPr>
                <w:sz w:val="18"/>
              </w:rPr>
              <w:t>0</w:t>
            </w:r>
          </w:p>
        </w:tc>
        <w:tc>
          <w:tcPr>
            <w:tcW w:w="711" w:type="dxa"/>
            <w:shd w:val="clear" w:color="auto" w:fill="auto"/>
          </w:tcPr>
          <w:p w14:paraId="6D1625AC" w14:textId="77777777" w:rsidR="002F59B4" w:rsidRPr="00F144AF" w:rsidRDefault="006F1B97" w:rsidP="00B65047">
            <w:pPr>
              <w:spacing w:after="60"/>
              <w:jc w:val="right"/>
              <w:rPr>
                <w:sz w:val="18"/>
              </w:rPr>
            </w:pPr>
            <w:r>
              <w:rPr>
                <w:sz w:val="18"/>
              </w:rPr>
              <w:t>0</w:t>
            </w:r>
          </w:p>
        </w:tc>
        <w:tc>
          <w:tcPr>
            <w:tcW w:w="711" w:type="dxa"/>
            <w:shd w:val="clear" w:color="auto" w:fill="auto"/>
          </w:tcPr>
          <w:p w14:paraId="05B01DD7" w14:textId="77777777" w:rsidR="002F59B4" w:rsidRPr="00F144AF" w:rsidRDefault="006F1B97" w:rsidP="00B65047">
            <w:pPr>
              <w:spacing w:after="60"/>
              <w:jc w:val="right"/>
              <w:rPr>
                <w:sz w:val="18"/>
              </w:rPr>
            </w:pPr>
            <w:r>
              <w:rPr>
                <w:sz w:val="18"/>
              </w:rPr>
              <w:t>0</w:t>
            </w:r>
          </w:p>
        </w:tc>
        <w:tc>
          <w:tcPr>
            <w:tcW w:w="0" w:type="auto"/>
            <w:shd w:val="clear" w:color="auto" w:fill="auto"/>
          </w:tcPr>
          <w:p w14:paraId="50757960" w14:textId="77777777" w:rsidR="002F59B4" w:rsidRPr="00F144AF" w:rsidRDefault="006F1B97" w:rsidP="00B65047">
            <w:pPr>
              <w:spacing w:after="60"/>
              <w:jc w:val="right"/>
              <w:rPr>
                <w:sz w:val="18"/>
              </w:rPr>
            </w:pPr>
            <w:r>
              <w:rPr>
                <w:sz w:val="18"/>
              </w:rPr>
              <w:t>175 000</w:t>
            </w:r>
          </w:p>
        </w:tc>
      </w:tr>
      <w:tr w:rsidR="00F144AF" w:rsidRPr="00F144AF" w14:paraId="6FB2C955" w14:textId="77777777" w:rsidTr="00CE2A27">
        <w:trPr>
          <w:trHeight w:val="265"/>
        </w:trPr>
        <w:tc>
          <w:tcPr>
            <w:tcW w:w="785" w:type="dxa"/>
            <w:vMerge/>
            <w:shd w:val="clear" w:color="auto" w:fill="auto"/>
          </w:tcPr>
          <w:p w14:paraId="2EE48FDE" w14:textId="77777777" w:rsidR="002F59B4" w:rsidRPr="00F144AF" w:rsidRDefault="002F59B4" w:rsidP="00B65047">
            <w:pPr>
              <w:spacing w:after="60"/>
              <w:jc w:val="center"/>
              <w:rPr>
                <w:sz w:val="18"/>
                <w:lang w:val="en-CA"/>
              </w:rPr>
            </w:pPr>
          </w:p>
        </w:tc>
        <w:tc>
          <w:tcPr>
            <w:tcW w:w="796" w:type="dxa"/>
            <w:vMerge/>
            <w:shd w:val="clear" w:color="auto" w:fill="auto"/>
          </w:tcPr>
          <w:p w14:paraId="116FF77E" w14:textId="77777777" w:rsidR="002F59B4" w:rsidRPr="00F144AF" w:rsidRDefault="002F59B4" w:rsidP="00B65047">
            <w:pPr>
              <w:spacing w:after="60"/>
              <w:jc w:val="center"/>
              <w:rPr>
                <w:sz w:val="18"/>
                <w:lang w:val="en-CA"/>
              </w:rPr>
            </w:pPr>
          </w:p>
        </w:tc>
        <w:tc>
          <w:tcPr>
            <w:tcW w:w="1144" w:type="dxa"/>
            <w:shd w:val="clear" w:color="auto" w:fill="auto"/>
          </w:tcPr>
          <w:p w14:paraId="0F7646F6" w14:textId="77777777" w:rsidR="002F59B4" w:rsidRPr="00F144AF" w:rsidRDefault="002F59B4" w:rsidP="00B65047">
            <w:pPr>
              <w:spacing w:after="60"/>
              <w:jc w:val="left"/>
              <w:rPr>
                <w:sz w:val="18"/>
              </w:rPr>
            </w:pPr>
            <w:r>
              <w:rPr>
                <w:sz w:val="18"/>
              </w:rPr>
              <w:t>Coûts d’appui</w:t>
            </w:r>
          </w:p>
        </w:tc>
        <w:tc>
          <w:tcPr>
            <w:tcW w:w="801" w:type="dxa"/>
          </w:tcPr>
          <w:p w14:paraId="478D08F5" w14:textId="77777777" w:rsidR="002F59B4" w:rsidRPr="00F144AF" w:rsidRDefault="002F59B4" w:rsidP="00B65047">
            <w:pPr>
              <w:spacing w:after="60"/>
              <w:jc w:val="right"/>
              <w:rPr>
                <w:sz w:val="18"/>
              </w:rPr>
            </w:pPr>
            <w:r>
              <w:rPr>
                <w:sz w:val="18"/>
              </w:rPr>
              <w:t>9 000</w:t>
            </w:r>
          </w:p>
        </w:tc>
        <w:tc>
          <w:tcPr>
            <w:tcW w:w="711" w:type="dxa"/>
            <w:shd w:val="clear" w:color="auto" w:fill="auto"/>
          </w:tcPr>
          <w:p w14:paraId="089D84AF" w14:textId="77777777" w:rsidR="002F59B4" w:rsidRPr="00F144AF" w:rsidRDefault="002F59B4" w:rsidP="00B65047">
            <w:pPr>
              <w:spacing w:after="60"/>
              <w:jc w:val="right"/>
              <w:rPr>
                <w:sz w:val="18"/>
              </w:rPr>
            </w:pPr>
            <w:r>
              <w:rPr>
                <w:sz w:val="18"/>
              </w:rPr>
              <w:t>0</w:t>
            </w:r>
          </w:p>
        </w:tc>
        <w:tc>
          <w:tcPr>
            <w:tcW w:w="621" w:type="dxa"/>
            <w:shd w:val="clear" w:color="auto" w:fill="auto"/>
          </w:tcPr>
          <w:p w14:paraId="1DF7F3B6" w14:textId="77777777" w:rsidR="002F59B4" w:rsidRPr="00F144AF" w:rsidRDefault="006F1B97" w:rsidP="00B65047">
            <w:pPr>
              <w:spacing w:after="60"/>
              <w:jc w:val="right"/>
              <w:rPr>
                <w:sz w:val="18"/>
              </w:rPr>
            </w:pPr>
            <w:r>
              <w:rPr>
                <w:sz w:val="18"/>
              </w:rPr>
              <w:t>0</w:t>
            </w:r>
          </w:p>
        </w:tc>
        <w:tc>
          <w:tcPr>
            <w:tcW w:w="866" w:type="dxa"/>
            <w:shd w:val="clear" w:color="auto" w:fill="auto"/>
          </w:tcPr>
          <w:p w14:paraId="4C4D4131" w14:textId="77777777" w:rsidR="002F59B4" w:rsidRPr="00F144AF" w:rsidRDefault="006F1B97" w:rsidP="00B65047">
            <w:pPr>
              <w:spacing w:after="60"/>
              <w:jc w:val="right"/>
              <w:rPr>
                <w:sz w:val="18"/>
              </w:rPr>
            </w:pPr>
            <w:r>
              <w:rPr>
                <w:sz w:val="18"/>
              </w:rPr>
              <w:t>0</w:t>
            </w:r>
          </w:p>
        </w:tc>
        <w:tc>
          <w:tcPr>
            <w:tcW w:w="0" w:type="auto"/>
            <w:shd w:val="clear" w:color="auto" w:fill="auto"/>
          </w:tcPr>
          <w:p w14:paraId="4ACAD7DB" w14:textId="77777777" w:rsidR="002F59B4" w:rsidRPr="00F144AF" w:rsidRDefault="002F59B4" w:rsidP="00B65047">
            <w:pPr>
              <w:spacing w:after="60"/>
              <w:jc w:val="right"/>
              <w:rPr>
                <w:sz w:val="18"/>
              </w:rPr>
            </w:pPr>
            <w:r>
              <w:rPr>
                <w:sz w:val="18"/>
              </w:rPr>
              <w:t>6 750</w:t>
            </w:r>
          </w:p>
        </w:tc>
        <w:tc>
          <w:tcPr>
            <w:tcW w:w="0" w:type="auto"/>
            <w:shd w:val="clear" w:color="auto" w:fill="auto"/>
          </w:tcPr>
          <w:p w14:paraId="62C7CB57" w14:textId="77777777" w:rsidR="002F59B4" w:rsidRPr="00F144AF" w:rsidRDefault="006F1B97" w:rsidP="00B65047">
            <w:pPr>
              <w:spacing w:after="60"/>
              <w:jc w:val="right"/>
              <w:rPr>
                <w:sz w:val="18"/>
              </w:rPr>
            </w:pPr>
            <w:r>
              <w:rPr>
                <w:sz w:val="18"/>
              </w:rPr>
              <w:t>0</w:t>
            </w:r>
          </w:p>
        </w:tc>
        <w:tc>
          <w:tcPr>
            <w:tcW w:w="0" w:type="auto"/>
            <w:shd w:val="clear" w:color="auto" w:fill="auto"/>
          </w:tcPr>
          <w:p w14:paraId="25D0C031" w14:textId="77777777" w:rsidR="002F59B4" w:rsidRPr="00F144AF" w:rsidRDefault="006F1B97" w:rsidP="00B65047">
            <w:pPr>
              <w:spacing w:after="60"/>
              <w:jc w:val="right"/>
              <w:rPr>
                <w:sz w:val="18"/>
              </w:rPr>
            </w:pPr>
            <w:r>
              <w:rPr>
                <w:sz w:val="18"/>
              </w:rPr>
              <w:t>0</w:t>
            </w:r>
          </w:p>
        </w:tc>
        <w:tc>
          <w:tcPr>
            <w:tcW w:w="711" w:type="dxa"/>
            <w:shd w:val="clear" w:color="auto" w:fill="auto"/>
          </w:tcPr>
          <w:p w14:paraId="5469EDBE" w14:textId="77777777" w:rsidR="002F59B4" w:rsidRPr="00F144AF" w:rsidRDefault="006F1B97" w:rsidP="00B65047">
            <w:pPr>
              <w:spacing w:after="60"/>
              <w:jc w:val="right"/>
              <w:rPr>
                <w:sz w:val="18"/>
              </w:rPr>
            </w:pPr>
            <w:r>
              <w:rPr>
                <w:sz w:val="18"/>
              </w:rPr>
              <w:t>0</w:t>
            </w:r>
          </w:p>
        </w:tc>
        <w:tc>
          <w:tcPr>
            <w:tcW w:w="711" w:type="dxa"/>
            <w:shd w:val="clear" w:color="auto" w:fill="auto"/>
          </w:tcPr>
          <w:p w14:paraId="7ED278F9" w14:textId="77777777" w:rsidR="002F59B4" w:rsidRPr="00F144AF" w:rsidRDefault="006F1B97" w:rsidP="00B65047">
            <w:pPr>
              <w:spacing w:after="60"/>
              <w:jc w:val="right"/>
              <w:rPr>
                <w:sz w:val="18"/>
              </w:rPr>
            </w:pPr>
            <w:r>
              <w:rPr>
                <w:sz w:val="18"/>
              </w:rPr>
              <w:t>0</w:t>
            </w:r>
          </w:p>
        </w:tc>
        <w:tc>
          <w:tcPr>
            <w:tcW w:w="0" w:type="auto"/>
            <w:shd w:val="clear" w:color="auto" w:fill="auto"/>
          </w:tcPr>
          <w:p w14:paraId="6B77D853" w14:textId="77777777" w:rsidR="002F59B4" w:rsidRPr="00F144AF" w:rsidRDefault="006F1B97" w:rsidP="00B65047">
            <w:pPr>
              <w:spacing w:after="60"/>
              <w:jc w:val="right"/>
              <w:rPr>
                <w:sz w:val="18"/>
              </w:rPr>
            </w:pPr>
            <w:r>
              <w:rPr>
                <w:sz w:val="18"/>
              </w:rPr>
              <w:t>15 750</w:t>
            </w:r>
          </w:p>
        </w:tc>
      </w:tr>
      <w:tr w:rsidR="00F144AF" w:rsidRPr="00F144AF" w14:paraId="6E9B8FF7" w14:textId="77777777" w:rsidTr="00CE2A27">
        <w:trPr>
          <w:trHeight w:val="258"/>
        </w:trPr>
        <w:tc>
          <w:tcPr>
            <w:tcW w:w="1581" w:type="dxa"/>
            <w:gridSpan w:val="2"/>
            <w:vMerge w:val="restart"/>
            <w:shd w:val="clear" w:color="auto" w:fill="auto"/>
          </w:tcPr>
          <w:p w14:paraId="38E2B259" w14:textId="77777777" w:rsidR="002F59B4" w:rsidRPr="00F144AF" w:rsidRDefault="002F59B4" w:rsidP="00B65047">
            <w:pPr>
              <w:spacing w:after="60"/>
              <w:jc w:val="left"/>
              <w:rPr>
                <w:sz w:val="18"/>
              </w:rPr>
            </w:pPr>
            <w:r>
              <w:rPr>
                <w:sz w:val="18"/>
              </w:rPr>
              <w:t>Fonds approuvés par ExCom ($ US)</w:t>
            </w:r>
          </w:p>
        </w:tc>
        <w:tc>
          <w:tcPr>
            <w:tcW w:w="1144" w:type="dxa"/>
            <w:shd w:val="clear" w:color="auto" w:fill="auto"/>
          </w:tcPr>
          <w:p w14:paraId="6BE0CC88" w14:textId="77777777" w:rsidR="002F59B4" w:rsidRPr="00F144AF" w:rsidRDefault="002F59B4" w:rsidP="00B65047">
            <w:pPr>
              <w:spacing w:after="60"/>
              <w:jc w:val="left"/>
              <w:rPr>
                <w:sz w:val="18"/>
              </w:rPr>
            </w:pPr>
            <w:r>
              <w:rPr>
                <w:sz w:val="18"/>
              </w:rPr>
              <w:t>Coûts du projet</w:t>
            </w:r>
          </w:p>
        </w:tc>
        <w:tc>
          <w:tcPr>
            <w:tcW w:w="801" w:type="dxa"/>
          </w:tcPr>
          <w:p w14:paraId="2A137332" w14:textId="77777777" w:rsidR="002F59B4" w:rsidRPr="00F144AF" w:rsidRDefault="002F59B4" w:rsidP="00B65047">
            <w:pPr>
              <w:spacing w:after="60"/>
              <w:jc w:val="right"/>
              <w:rPr>
                <w:sz w:val="18"/>
              </w:rPr>
            </w:pPr>
            <w:r>
              <w:rPr>
                <w:sz w:val="18"/>
              </w:rPr>
              <w:t>145 000</w:t>
            </w:r>
          </w:p>
        </w:tc>
        <w:tc>
          <w:tcPr>
            <w:tcW w:w="711" w:type="dxa"/>
            <w:shd w:val="clear" w:color="auto" w:fill="auto"/>
          </w:tcPr>
          <w:p w14:paraId="47370D52" w14:textId="77777777" w:rsidR="002F59B4" w:rsidRPr="00F144AF" w:rsidRDefault="002F59B4" w:rsidP="00B65047">
            <w:pPr>
              <w:spacing w:after="60"/>
              <w:jc w:val="right"/>
              <w:rPr>
                <w:sz w:val="18"/>
              </w:rPr>
            </w:pPr>
            <w:r>
              <w:rPr>
                <w:sz w:val="18"/>
              </w:rPr>
              <w:t>30 000</w:t>
            </w:r>
          </w:p>
        </w:tc>
        <w:tc>
          <w:tcPr>
            <w:tcW w:w="621" w:type="dxa"/>
            <w:shd w:val="clear" w:color="auto" w:fill="auto"/>
          </w:tcPr>
          <w:p w14:paraId="2606D98F" w14:textId="77777777" w:rsidR="002F59B4" w:rsidRPr="00F144AF" w:rsidRDefault="002F59B4" w:rsidP="00B65047">
            <w:pPr>
              <w:spacing w:after="60"/>
              <w:jc w:val="right"/>
              <w:rPr>
                <w:sz w:val="18"/>
              </w:rPr>
            </w:pPr>
            <w:r>
              <w:rPr>
                <w:sz w:val="18"/>
              </w:rPr>
              <w:t>0</w:t>
            </w:r>
          </w:p>
        </w:tc>
        <w:tc>
          <w:tcPr>
            <w:tcW w:w="866" w:type="dxa"/>
            <w:shd w:val="clear" w:color="auto" w:fill="auto"/>
          </w:tcPr>
          <w:p w14:paraId="6FD50376" w14:textId="77777777" w:rsidR="002F59B4" w:rsidRPr="00F144AF" w:rsidRDefault="002F59B4" w:rsidP="00B65047">
            <w:pPr>
              <w:spacing w:after="60"/>
              <w:jc w:val="right"/>
              <w:rPr>
                <w:sz w:val="18"/>
              </w:rPr>
            </w:pPr>
            <w:r>
              <w:rPr>
                <w:sz w:val="18"/>
              </w:rPr>
              <w:t>0</w:t>
            </w:r>
          </w:p>
        </w:tc>
        <w:tc>
          <w:tcPr>
            <w:tcW w:w="0" w:type="auto"/>
            <w:shd w:val="clear" w:color="auto" w:fill="auto"/>
          </w:tcPr>
          <w:p w14:paraId="59F2AEC4" w14:textId="77777777" w:rsidR="002F59B4" w:rsidRPr="00F144AF" w:rsidRDefault="002F59B4" w:rsidP="00B65047">
            <w:pPr>
              <w:spacing w:after="60"/>
              <w:jc w:val="right"/>
              <w:rPr>
                <w:sz w:val="18"/>
              </w:rPr>
            </w:pPr>
            <w:r>
              <w:rPr>
                <w:sz w:val="18"/>
              </w:rPr>
              <w:t>115 000</w:t>
            </w:r>
          </w:p>
        </w:tc>
        <w:tc>
          <w:tcPr>
            <w:tcW w:w="0" w:type="auto"/>
            <w:shd w:val="clear" w:color="auto" w:fill="auto"/>
          </w:tcPr>
          <w:p w14:paraId="4E277A6E" w14:textId="77777777" w:rsidR="002F59B4" w:rsidRPr="00F144AF" w:rsidRDefault="002F59B4" w:rsidP="00B65047">
            <w:pPr>
              <w:spacing w:after="60"/>
              <w:jc w:val="right"/>
              <w:rPr>
                <w:sz w:val="18"/>
              </w:rPr>
            </w:pPr>
            <w:r>
              <w:rPr>
                <w:sz w:val="18"/>
              </w:rPr>
              <w:t>0</w:t>
            </w:r>
          </w:p>
        </w:tc>
        <w:tc>
          <w:tcPr>
            <w:tcW w:w="0" w:type="auto"/>
            <w:shd w:val="clear" w:color="auto" w:fill="auto"/>
          </w:tcPr>
          <w:p w14:paraId="5B90B702" w14:textId="77777777" w:rsidR="002F59B4" w:rsidRPr="00F144AF" w:rsidRDefault="00E54486" w:rsidP="00B65047">
            <w:pPr>
              <w:spacing w:after="60"/>
              <w:jc w:val="right"/>
              <w:rPr>
                <w:sz w:val="18"/>
              </w:rPr>
            </w:pPr>
            <w:r>
              <w:rPr>
                <w:sz w:val="18"/>
              </w:rPr>
              <w:t>0</w:t>
            </w:r>
          </w:p>
        </w:tc>
        <w:tc>
          <w:tcPr>
            <w:tcW w:w="711" w:type="dxa"/>
            <w:shd w:val="clear" w:color="auto" w:fill="auto"/>
          </w:tcPr>
          <w:p w14:paraId="59C9BAE4" w14:textId="77777777" w:rsidR="002F59B4" w:rsidRPr="00F144AF" w:rsidRDefault="006F1B97" w:rsidP="00B65047">
            <w:pPr>
              <w:spacing w:after="60"/>
              <w:jc w:val="right"/>
              <w:rPr>
                <w:sz w:val="18"/>
              </w:rPr>
            </w:pPr>
            <w:r>
              <w:rPr>
                <w:sz w:val="18"/>
              </w:rPr>
              <w:t>0</w:t>
            </w:r>
          </w:p>
        </w:tc>
        <w:tc>
          <w:tcPr>
            <w:tcW w:w="711" w:type="dxa"/>
            <w:shd w:val="clear" w:color="auto" w:fill="auto"/>
          </w:tcPr>
          <w:p w14:paraId="2B139DA3" w14:textId="77777777" w:rsidR="002F59B4" w:rsidRPr="00F144AF" w:rsidRDefault="006F1B97" w:rsidP="00B65047">
            <w:pPr>
              <w:spacing w:after="60"/>
              <w:jc w:val="right"/>
              <w:rPr>
                <w:sz w:val="18"/>
              </w:rPr>
            </w:pPr>
            <w:r>
              <w:rPr>
                <w:sz w:val="18"/>
              </w:rPr>
              <w:t>0</w:t>
            </w:r>
          </w:p>
        </w:tc>
        <w:tc>
          <w:tcPr>
            <w:tcW w:w="0" w:type="auto"/>
            <w:shd w:val="clear" w:color="auto" w:fill="auto"/>
          </w:tcPr>
          <w:p w14:paraId="2A9343C4" w14:textId="77777777" w:rsidR="002F59B4" w:rsidRPr="00F144AF" w:rsidRDefault="004428C9" w:rsidP="00B65047">
            <w:pPr>
              <w:spacing w:after="60"/>
              <w:jc w:val="right"/>
              <w:rPr>
                <w:sz w:val="18"/>
              </w:rPr>
            </w:pPr>
            <w:r>
              <w:rPr>
                <w:sz w:val="18"/>
              </w:rPr>
              <w:t>290 000</w:t>
            </w:r>
          </w:p>
        </w:tc>
      </w:tr>
      <w:tr w:rsidR="00F144AF" w:rsidRPr="00F144AF" w14:paraId="1CF9FFB2" w14:textId="77777777" w:rsidTr="00CE2A27">
        <w:trPr>
          <w:trHeight w:val="265"/>
        </w:trPr>
        <w:tc>
          <w:tcPr>
            <w:tcW w:w="1581" w:type="dxa"/>
            <w:gridSpan w:val="2"/>
            <w:vMerge/>
            <w:shd w:val="clear" w:color="auto" w:fill="auto"/>
          </w:tcPr>
          <w:p w14:paraId="60EEE7CC" w14:textId="77777777" w:rsidR="002F59B4" w:rsidRPr="00F144AF" w:rsidRDefault="002F59B4" w:rsidP="00B65047">
            <w:pPr>
              <w:spacing w:after="60"/>
              <w:jc w:val="center"/>
              <w:rPr>
                <w:sz w:val="18"/>
                <w:lang w:val="en-CA"/>
              </w:rPr>
            </w:pPr>
          </w:p>
        </w:tc>
        <w:tc>
          <w:tcPr>
            <w:tcW w:w="1144" w:type="dxa"/>
            <w:shd w:val="clear" w:color="auto" w:fill="auto"/>
          </w:tcPr>
          <w:p w14:paraId="483F5AB2" w14:textId="77777777" w:rsidR="002F59B4" w:rsidRPr="00F144AF" w:rsidRDefault="002F59B4" w:rsidP="00B65047">
            <w:pPr>
              <w:spacing w:after="60"/>
              <w:jc w:val="left"/>
              <w:rPr>
                <w:sz w:val="18"/>
              </w:rPr>
            </w:pPr>
            <w:r>
              <w:rPr>
                <w:sz w:val="18"/>
              </w:rPr>
              <w:t>Coûts d’appui</w:t>
            </w:r>
          </w:p>
        </w:tc>
        <w:tc>
          <w:tcPr>
            <w:tcW w:w="801" w:type="dxa"/>
          </w:tcPr>
          <w:p w14:paraId="4187337C" w14:textId="77777777" w:rsidR="002F59B4" w:rsidRPr="00F144AF" w:rsidRDefault="002F59B4" w:rsidP="00B65047">
            <w:pPr>
              <w:spacing w:after="60"/>
              <w:jc w:val="right"/>
              <w:rPr>
                <w:sz w:val="18"/>
              </w:rPr>
            </w:pPr>
            <w:r>
              <w:rPr>
                <w:sz w:val="18"/>
              </w:rPr>
              <w:t>14 850</w:t>
            </w:r>
          </w:p>
        </w:tc>
        <w:tc>
          <w:tcPr>
            <w:tcW w:w="711" w:type="dxa"/>
            <w:shd w:val="clear" w:color="auto" w:fill="auto"/>
          </w:tcPr>
          <w:p w14:paraId="7ACEE732" w14:textId="77777777" w:rsidR="002F59B4" w:rsidRPr="00F144AF" w:rsidRDefault="002F59B4" w:rsidP="00B65047">
            <w:pPr>
              <w:spacing w:after="60"/>
              <w:jc w:val="right"/>
              <w:rPr>
                <w:sz w:val="18"/>
              </w:rPr>
            </w:pPr>
            <w:r>
              <w:rPr>
                <w:sz w:val="18"/>
              </w:rPr>
              <w:t>3 900</w:t>
            </w:r>
          </w:p>
        </w:tc>
        <w:tc>
          <w:tcPr>
            <w:tcW w:w="621" w:type="dxa"/>
            <w:shd w:val="clear" w:color="auto" w:fill="auto"/>
          </w:tcPr>
          <w:p w14:paraId="6E88707B" w14:textId="77777777" w:rsidR="002F59B4" w:rsidRPr="00F144AF" w:rsidRDefault="002F59B4" w:rsidP="00B65047">
            <w:pPr>
              <w:spacing w:after="60"/>
              <w:jc w:val="right"/>
              <w:rPr>
                <w:sz w:val="18"/>
              </w:rPr>
            </w:pPr>
            <w:r>
              <w:rPr>
                <w:sz w:val="18"/>
              </w:rPr>
              <w:t>0</w:t>
            </w:r>
          </w:p>
        </w:tc>
        <w:tc>
          <w:tcPr>
            <w:tcW w:w="866" w:type="dxa"/>
            <w:shd w:val="clear" w:color="auto" w:fill="auto"/>
          </w:tcPr>
          <w:p w14:paraId="035020B0" w14:textId="77777777" w:rsidR="002F59B4" w:rsidRPr="00F144AF" w:rsidRDefault="002F59B4" w:rsidP="00B65047">
            <w:pPr>
              <w:spacing w:after="60"/>
              <w:jc w:val="right"/>
              <w:rPr>
                <w:sz w:val="18"/>
              </w:rPr>
            </w:pPr>
            <w:r>
              <w:rPr>
                <w:sz w:val="18"/>
              </w:rPr>
              <w:t>0</w:t>
            </w:r>
          </w:p>
        </w:tc>
        <w:tc>
          <w:tcPr>
            <w:tcW w:w="0" w:type="auto"/>
            <w:shd w:val="clear" w:color="auto" w:fill="auto"/>
          </w:tcPr>
          <w:p w14:paraId="3402B91C" w14:textId="77777777" w:rsidR="002F59B4" w:rsidRPr="00F144AF" w:rsidRDefault="002F59B4" w:rsidP="00B65047">
            <w:pPr>
              <w:spacing w:after="60"/>
              <w:jc w:val="right"/>
              <w:rPr>
                <w:sz w:val="18"/>
              </w:rPr>
            </w:pPr>
            <w:r>
              <w:rPr>
                <w:sz w:val="18"/>
              </w:rPr>
              <w:t>11 950</w:t>
            </w:r>
          </w:p>
        </w:tc>
        <w:tc>
          <w:tcPr>
            <w:tcW w:w="0" w:type="auto"/>
            <w:shd w:val="clear" w:color="auto" w:fill="auto"/>
          </w:tcPr>
          <w:p w14:paraId="6784315A" w14:textId="77777777" w:rsidR="002F59B4" w:rsidRPr="00F144AF" w:rsidRDefault="002F59B4" w:rsidP="00B65047">
            <w:pPr>
              <w:spacing w:after="60"/>
              <w:jc w:val="right"/>
              <w:rPr>
                <w:sz w:val="18"/>
              </w:rPr>
            </w:pPr>
            <w:r>
              <w:rPr>
                <w:sz w:val="18"/>
              </w:rPr>
              <w:t>0</w:t>
            </w:r>
          </w:p>
        </w:tc>
        <w:tc>
          <w:tcPr>
            <w:tcW w:w="0" w:type="auto"/>
            <w:shd w:val="clear" w:color="auto" w:fill="auto"/>
          </w:tcPr>
          <w:p w14:paraId="556633CB" w14:textId="77777777" w:rsidR="002F59B4" w:rsidRPr="00F144AF" w:rsidRDefault="00E54486" w:rsidP="00B65047">
            <w:pPr>
              <w:spacing w:after="60"/>
              <w:jc w:val="right"/>
              <w:rPr>
                <w:sz w:val="18"/>
              </w:rPr>
            </w:pPr>
            <w:r>
              <w:rPr>
                <w:sz w:val="18"/>
              </w:rPr>
              <w:t>0</w:t>
            </w:r>
          </w:p>
        </w:tc>
        <w:tc>
          <w:tcPr>
            <w:tcW w:w="711" w:type="dxa"/>
            <w:shd w:val="clear" w:color="auto" w:fill="auto"/>
          </w:tcPr>
          <w:p w14:paraId="4CDDD461" w14:textId="77777777" w:rsidR="002F59B4" w:rsidRPr="00F144AF" w:rsidRDefault="006F1B97" w:rsidP="00B65047">
            <w:pPr>
              <w:spacing w:after="60"/>
              <w:jc w:val="right"/>
              <w:rPr>
                <w:sz w:val="18"/>
              </w:rPr>
            </w:pPr>
            <w:r>
              <w:rPr>
                <w:sz w:val="18"/>
              </w:rPr>
              <w:t>0</w:t>
            </w:r>
          </w:p>
        </w:tc>
        <w:tc>
          <w:tcPr>
            <w:tcW w:w="711" w:type="dxa"/>
            <w:shd w:val="clear" w:color="auto" w:fill="auto"/>
          </w:tcPr>
          <w:p w14:paraId="75295AB6" w14:textId="77777777" w:rsidR="002F59B4" w:rsidRPr="00F144AF" w:rsidRDefault="006F1B97" w:rsidP="00B65047">
            <w:pPr>
              <w:spacing w:after="60"/>
              <w:jc w:val="right"/>
              <w:rPr>
                <w:sz w:val="18"/>
              </w:rPr>
            </w:pPr>
            <w:r>
              <w:rPr>
                <w:sz w:val="18"/>
              </w:rPr>
              <w:t>0</w:t>
            </w:r>
          </w:p>
        </w:tc>
        <w:tc>
          <w:tcPr>
            <w:tcW w:w="0" w:type="auto"/>
            <w:shd w:val="clear" w:color="auto" w:fill="auto"/>
          </w:tcPr>
          <w:p w14:paraId="4E89F147" w14:textId="77777777" w:rsidR="002F59B4" w:rsidRPr="00F144AF" w:rsidRDefault="004428C9" w:rsidP="00B65047">
            <w:pPr>
              <w:spacing w:after="60"/>
              <w:jc w:val="right"/>
              <w:rPr>
                <w:sz w:val="18"/>
              </w:rPr>
            </w:pPr>
            <w:r>
              <w:rPr>
                <w:sz w:val="18"/>
              </w:rPr>
              <w:t>30 700</w:t>
            </w:r>
          </w:p>
        </w:tc>
      </w:tr>
      <w:tr w:rsidR="00F144AF" w:rsidRPr="00F144AF" w14:paraId="576F3207" w14:textId="77777777" w:rsidTr="00CE2A27">
        <w:trPr>
          <w:trHeight w:val="265"/>
        </w:trPr>
        <w:tc>
          <w:tcPr>
            <w:tcW w:w="1581" w:type="dxa"/>
            <w:gridSpan w:val="2"/>
            <w:vMerge w:val="restart"/>
            <w:shd w:val="clear" w:color="auto" w:fill="auto"/>
          </w:tcPr>
          <w:p w14:paraId="3DD30D68" w14:textId="77777777" w:rsidR="00A77A29" w:rsidRPr="00F144AF" w:rsidRDefault="00A77A29" w:rsidP="00B65047">
            <w:pPr>
              <w:spacing w:after="60"/>
              <w:jc w:val="left"/>
              <w:rPr>
                <w:sz w:val="18"/>
              </w:rPr>
            </w:pPr>
            <w:r>
              <w:rPr>
                <w:sz w:val="18"/>
              </w:rPr>
              <w:t>Total du financement demandé pour approbation à la présente réunion ($ US)</w:t>
            </w:r>
          </w:p>
        </w:tc>
        <w:tc>
          <w:tcPr>
            <w:tcW w:w="1144" w:type="dxa"/>
            <w:shd w:val="clear" w:color="auto" w:fill="auto"/>
          </w:tcPr>
          <w:p w14:paraId="64B61C08" w14:textId="77777777" w:rsidR="00A77A29" w:rsidRPr="00F144AF" w:rsidRDefault="00A77A29" w:rsidP="00B65047">
            <w:pPr>
              <w:spacing w:after="60"/>
              <w:jc w:val="left"/>
              <w:rPr>
                <w:sz w:val="18"/>
              </w:rPr>
            </w:pPr>
            <w:r>
              <w:rPr>
                <w:sz w:val="18"/>
              </w:rPr>
              <w:t>Coûts du projet</w:t>
            </w:r>
          </w:p>
        </w:tc>
        <w:tc>
          <w:tcPr>
            <w:tcW w:w="801" w:type="dxa"/>
          </w:tcPr>
          <w:p w14:paraId="395E4329" w14:textId="77777777" w:rsidR="00A77A29" w:rsidRPr="00F144AF" w:rsidRDefault="00A77A29" w:rsidP="00B65047">
            <w:pPr>
              <w:spacing w:after="60"/>
              <w:jc w:val="right"/>
              <w:rPr>
                <w:sz w:val="18"/>
              </w:rPr>
            </w:pPr>
            <w:r>
              <w:rPr>
                <w:sz w:val="18"/>
              </w:rPr>
              <w:t>0</w:t>
            </w:r>
          </w:p>
        </w:tc>
        <w:tc>
          <w:tcPr>
            <w:tcW w:w="711" w:type="dxa"/>
            <w:shd w:val="clear" w:color="auto" w:fill="auto"/>
          </w:tcPr>
          <w:p w14:paraId="70435714" w14:textId="77777777" w:rsidR="00A77A29" w:rsidRPr="00F144AF" w:rsidRDefault="00A77A29" w:rsidP="00B65047">
            <w:pPr>
              <w:spacing w:after="60"/>
              <w:jc w:val="right"/>
              <w:rPr>
                <w:sz w:val="18"/>
              </w:rPr>
            </w:pPr>
            <w:r>
              <w:rPr>
                <w:sz w:val="18"/>
              </w:rPr>
              <w:t>0</w:t>
            </w:r>
          </w:p>
        </w:tc>
        <w:tc>
          <w:tcPr>
            <w:tcW w:w="621" w:type="dxa"/>
            <w:shd w:val="clear" w:color="auto" w:fill="auto"/>
          </w:tcPr>
          <w:p w14:paraId="62709CA4" w14:textId="77777777" w:rsidR="00A77A29" w:rsidRPr="00F144AF" w:rsidRDefault="00A77A29" w:rsidP="00B65047">
            <w:pPr>
              <w:spacing w:after="60"/>
              <w:jc w:val="right"/>
              <w:rPr>
                <w:sz w:val="18"/>
              </w:rPr>
            </w:pPr>
            <w:r>
              <w:rPr>
                <w:sz w:val="18"/>
              </w:rPr>
              <w:t>0</w:t>
            </w:r>
          </w:p>
        </w:tc>
        <w:tc>
          <w:tcPr>
            <w:tcW w:w="866" w:type="dxa"/>
            <w:shd w:val="clear" w:color="auto" w:fill="auto"/>
          </w:tcPr>
          <w:p w14:paraId="15361B85" w14:textId="77777777" w:rsidR="00A77A29" w:rsidRPr="00F144AF" w:rsidRDefault="00A77A29" w:rsidP="00B65047">
            <w:pPr>
              <w:spacing w:after="60"/>
              <w:jc w:val="right"/>
              <w:rPr>
                <w:sz w:val="18"/>
              </w:rPr>
            </w:pPr>
            <w:r>
              <w:rPr>
                <w:sz w:val="18"/>
              </w:rPr>
              <w:t>0</w:t>
            </w:r>
          </w:p>
        </w:tc>
        <w:tc>
          <w:tcPr>
            <w:tcW w:w="0" w:type="auto"/>
            <w:shd w:val="clear" w:color="auto" w:fill="auto"/>
          </w:tcPr>
          <w:p w14:paraId="57CA6BEC" w14:textId="77777777" w:rsidR="00A77A29" w:rsidRPr="00F144AF" w:rsidRDefault="00A77A29" w:rsidP="00B65047">
            <w:pPr>
              <w:spacing w:after="60"/>
              <w:jc w:val="right"/>
              <w:rPr>
                <w:sz w:val="18"/>
              </w:rPr>
            </w:pPr>
            <w:r>
              <w:rPr>
                <w:sz w:val="18"/>
              </w:rPr>
              <w:t>0</w:t>
            </w:r>
          </w:p>
        </w:tc>
        <w:tc>
          <w:tcPr>
            <w:tcW w:w="0" w:type="auto"/>
            <w:shd w:val="clear" w:color="auto" w:fill="auto"/>
          </w:tcPr>
          <w:p w14:paraId="0B9B15D4" w14:textId="77777777" w:rsidR="00A77A29" w:rsidRPr="00F144AF" w:rsidRDefault="00A77A29" w:rsidP="00B65047">
            <w:pPr>
              <w:spacing w:after="60"/>
              <w:jc w:val="right"/>
              <w:rPr>
                <w:sz w:val="18"/>
              </w:rPr>
            </w:pPr>
            <w:r>
              <w:rPr>
                <w:sz w:val="18"/>
              </w:rPr>
              <w:t>0</w:t>
            </w:r>
          </w:p>
        </w:tc>
        <w:tc>
          <w:tcPr>
            <w:tcW w:w="0" w:type="auto"/>
            <w:shd w:val="clear" w:color="auto" w:fill="auto"/>
          </w:tcPr>
          <w:p w14:paraId="57A1185E" w14:textId="77777777" w:rsidR="00A77A29" w:rsidRPr="00F144AF" w:rsidRDefault="00A77A29" w:rsidP="00B65047">
            <w:pPr>
              <w:spacing w:after="60"/>
              <w:jc w:val="right"/>
              <w:rPr>
                <w:sz w:val="18"/>
              </w:rPr>
            </w:pPr>
            <w:r>
              <w:rPr>
                <w:sz w:val="18"/>
              </w:rPr>
              <w:t>0</w:t>
            </w:r>
          </w:p>
        </w:tc>
        <w:tc>
          <w:tcPr>
            <w:tcW w:w="711" w:type="dxa"/>
            <w:shd w:val="clear" w:color="auto" w:fill="auto"/>
          </w:tcPr>
          <w:p w14:paraId="5A30AA62" w14:textId="77777777" w:rsidR="00A77A29" w:rsidRPr="00F144AF" w:rsidRDefault="00A77A29" w:rsidP="00B65047">
            <w:pPr>
              <w:spacing w:after="60"/>
              <w:jc w:val="right"/>
              <w:rPr>
                <w:b/>
                <w:sz w:val="18"/>
              </w:rPr>
            </w:pPr>
            <w:r>
              <w:rPr>
                <w:b/>
                <w:sz w:val="18"/>
              </w:rPr>
              <w:t>25 000</w:t>
            </w:r>
          </w:p>
        </w:tc>
        <w:tc>
          <w:tcPr>
            <w:tcW w:w="711" w:type="dxa"/>
            <w:shd w:val="clear" w:color="auto" w:fill="auto"/>
          </w:tcPr>
          <w:p w14:paraId="18056272" w14:textId="77777777" w:rsidR="00A77A29" w:rsidRPr="00F144AF" w:rsidRDefault="00A77A29" w:rsidP="00B65047">
            <w:pPr>
              <w:spacing w:after="60"/>
              <w:jc w:val="right"/>
              <w:rPr>
                <w:sz w:val="18"/>
              </w:rPr>
            </w:pPr>
            <w:r>
              <w:rPr>
                <w:sz w:val="18"/>
              </w:rPr>
              <w:t>0</w:t>
            </w:r>
          </w:p>
        </w:tc>
        <w:tc>
          <w:tcPr>
            <w:tcW w:w="0" w:type="auto"/>
            <w:shd w:val="clear" w:color="auto" w:fill="auto"/>
          </w:tcPr>
          <w:p w14:paraId="219E7806" w14:textId="77777777" w:rsidR="00A77A29" w:rsidRPr="00F144AF" w:rsidRDefault="00A77A29" w:rsidP="00B65047">
            <w:pPr>
              <w:spacing w:after="60"/>
              <w:jc w:val="right"/>
              <w:rPr>
                <w:sz w:val="18"/>
              </w:rPr>
            </w:pPr>
            <w:r>
              <w:rPr>
                <w:sz w:val="18"/>
              </w:rPr>
              <w:t>25 000</w:t>
            </w:r>
          </w:p>
        </w:tc>
      </w:tr>
      <w:tr w:rsidR="00F144AF" w:rsidRPr="00F144AF" w14:paraId="78ECD1E4" w14:textId="77777777" w:rsidTr="00CE2A27">
        <w:trPr>
          <w:trHeight w:val="401"/>
        </w:trPr>
        <w:tc>
          <w:tcPr>
            <w:tcW w:w="1581" w:type="dxa"/>
            <w:gridSpan w:val="2"/>
            <w:vMerge/>
            <w:shd w:val="clear" w:color="auto" w:fill="auto"/>
          </w:tcPr>
          <w:p w14:paraId="5FDF2B0E" w14:textId="77777777" w:rsidR="00A77A29" w:rsidRPr="00F144AF" w:rsidRDefault="00A77A29" w:rsidP="00B65047">
            <w:pPr>
              <w:spacing w:after="60"/>
              <w:jc w:val="center"/>
              <w:rPr>
                <w:sz w:val="18"/>
                <w:lang w:val="en-CA"/>
              </w:rPr>
            </w:pPr>
          </w:p>
        </w:tc>
        <w:tc>
          <w:tcPr>
            <w:tcW w:w="1144" w:type="dxa"/>
            <w:shd w:val="clear" w:color="auto" w:fill="auto"/>
          </w:tcPr>
          <w:p w14:paraId="0F83A33D" w14:textId="77777777" w:rsidR="00A77A29" w:rsidRPr="00F144AF" w:rsidRDefault="00A77A29" w:rsidP="00B65047">
            <w:pPr>
              <w:spacing w:after="60"/>
              <w:jc w:val="left"/>
              <w:rPr>
                <w:sz w:val="18"/>
              </w:rPr>
            </w:pPr>
            <w:r>
              <w:rPr>
                <w:sz w:val="18"/>
              </w:rPr>
              <w:t>Coûts d’appui</w:t>
            </w:r>
          </w:p>
        </w:tc>
        <w:tc>
          <w:tcPr>
            <w:tcW w:w="801" w:type="dxa"/>
          </w:tcPr>
          <w:p w14:paraId="481A04E5" w14:textId="77777777" w:rsidR="00A77A29" w:rsidRPr="00F144AF" w:rsidRDefault="00A77A29" w:rsidP="00B65047">
            <w:pPr>
              <w:spacing w:after="60"/>
              <w:jc w:val="right"/>
              <w:rPr>
                <w:sz w:val="18"/>
              </w:rPr>
            </w:pPr>
            <w:r>
              <w:rPr>
                <w:sz w:val="18"/>
              </w:rPr>
              <w:t>0</w:t>
            </w:r>
          </w:p>
        </w:tc>
        <w:tc>
          <w:tcPr>
            <w:tcW w:w="711" w:type="dxa"/>
            <w:shd w:val="clear" w:color="auto" w:fill="auto"/>
          </w:tcPr>
          <w:p w14:paraId="293AA5B3" w14:textId="77777777" w:rsidR="00A77A29" w:rsidRPr="00F144AF" w:rsidRDefault="00A77A29" w:rsidP="00B65047">
            <w:pPr>
              <w:spacing w:after="60"/>
              <w:jc w:val="right"/>
              <w:rPr>
                <w:sz w:val="18"/>
              </w:rPr>
            </w:pPr>
            <w:r>
              <w:rPr>
                <w:sz w:val="18"/>
              </w:rPr>
              <w:t>0</w:t>
            </w:r>
          </w:p>
        </w:tc>
        <w:tc>
          <w:tcPr>
            <w:tcW w:w="621" w:type="dxa"/>
            <w:shd w:val="clear" w:color="auto" w:fill="auto"/>
          </w:tcPr>
          <w:p w14:paraId="49F39C11" w14:textId="77777777" w:rsidR="00A77A29" w:rsidRPr="00F144AF" w:rsidRDefault="00A77A29" w:rsidP="00B65047">
            <w:pPr>
              <w:spacing w:after="60"/>
              <w:jc w:val="right"/>
              <w:rPr>
                <w:sz w:val="18"/>
              </w:rPr>
            </w:pPr>
            <w:r>
              <w:rPr>
                <w:sz w:val="18"/>
              </w:rPr>
              <w:t>0</w:t>
            </w:r>
          </w:p>
        </w:tc>
        <w:tc>
          <w:tcPr>
            <w:tcW w:w="866" w:type="dxa"/>
            <w:shd w:val="clear" w:color="auto" w:fill="auto"/>
          </w:tcPr>
          <w:p w14:paraId="21B7226D" w14:textId="77777777" w:rsidR="00A77A29" w:rsidRPr="00F144AF" w:rsidRDefault="00A77A29" w:rsidP="00B65047">
            <w:pPr>
              <w:spacing w:after="60"/>
              <w:jc w:val="right"/>
              <w:rPr>
                <w:sz w:val="18"/>
              </w:rPr>
            </w:pPr>
            <w:r>
              <w:rPr>
                <w:sz w:val="18"/>
              </w:rPr>
              <w:t>0</w:t>
            </w:r>
          </w:p>
        </w:tc>
        <w:tc>
          <w:tcPr>
            <w:tcW w:w="0" w:type="auto"/>
            <w:shd w:val="clear" w:color="auto" w:fill="auto"/>
          </w:tcPr>
          <w:p w14:paraId="09B078CE" w14:textId="77777777" w:rsidR="00A77A29" w:rsidRPr="00F144AF" w:rsidRDefault="00A77A29" w:rsidP="00B65047">
            <w:pPr>
              <w:spacing w:after="60"/>
              <w:jc w:val="right"/>
              <w:rPr>
                <w:sz w:val="18"/>
              </w:rPr>
            </w:pPr>
            <w:r>
              <w:rPr>
                <w:sz w:val="18"/>
              </w:rPr>
              <w:t>0</w:t>
            </w:r>
          </w:p>
        </w:tc>
        <w:tc>
          <w:tcPr>
            <w:tcW w:w="0" w:type="auto"/>
            <w:shd w:val="clear" w:color="auto" w:fill="auto"/>
          </w:tcPr>
          <w:p w14:paraId="52173C12" w14:textId="77777777" w:rsidR="00A77A29" w:rsidRPr="00F144AF" w:rsidRDefault="00A77A29" w:rsidP="00B65047">
            <w:pPr>
              <w:spacing w:after="60"/>
              <w:jc w:val="right"/>
              <w:rPr>
                <w:sz w:val="18"/>
              </w:rPr>
            </w:pPr>
            <w:r>
              <w:rPr>
                <w:sz w:val="18"/>
              </w:rPr>
              <w:t>0</w:t>
            </w:r>
          </w:p>
        </w:tc>
        <w:tc>
          <w:tcPr>
            <w:tcW w:w="0" w:type="auto"/>
            <w:shd w:val="clear" w:color="auto" w:fill="auto"/>
          </w:tcPr>
          <w:p w14:paraId="60685215" w14:textId="77777777" w:rsidR="00A77A29" w:rsidRPr="00F144AF" w:rsidRDefault="00A77A29" w:rsidP="00B65047">
            <w:pPr>
              <w:spacing w:after="60"/>
              <w:jc w:val="right"/>
              <w:rPr>
                <w:sz w:val="18"/>
              </w:rPr>
            </w:pPr>
            <w:r>
              <w:rPr>
                <w:sz w:val="18"/>
              </w:rPr>
              <w:t>0</w:t>
            </w:r>
          </w:p>
        </w:tc>
        <w:tc>
          <w:tcPr>
            <w:tcW w:w="711" w:type="dxa"/>
            <w:shd w:val="clear" w:color="auto" w:fill="auto"/>
          </w:tcPr>
          <w:p w14:paraId="1D21DDC7" w14:textId="77777777" w:rsidR="00A77A29" w:rsidRPr="00F144AF" w:rsidRDefault="00A77A29" w:rsidP="00B65047">
            <w:pPr>
              <w:spacing w:after="60"/>
              <w:jc w:val="right"/>
              <w:rPr>
                <w:b/>
                <w:sz w:val="18"/>
              </w:rPr>
            </w:pPr>
            <w:r>
              <w:rPr>
                <w:b/>
                <w:sz w:val="18"/>
              </w:rPr>
              <w:t>3 250</w:t>
            </w:r>
          </w:p>
        </w:tc>
        <w:tc>
          <w:tcPr>
            <w:tcW w:w="711" w:type="dxa"/>
            <w:shd w:val="clear" w:color="auto" w:fill="auto"/>
          </w:tcPr>
          <w:p w14:paraId="3745CF38" w14:textId="77777777" w:rsidR="00A77A29" w:rsidRPr="00F144AF" w:rsidRDefault="00A77A29" w:rsidP="00B65047">
            <w:pPr>
              <w:spacing w:after="60"/>
              <w:jc w:val="right"/>
              <w:rPr>
                <w:sz w:val="18"/>
              </w:rPr>
            </w:pPr>
            <w:r>
              <w:rPr>
                <w:sz w:val="18"/>
              </w:rPr>
              <w:t>0</w:t>
            </w:r>
          </w:p>
        </w:tc>
        <w:tc>
          <w:tcPr>
            <w:tcW w:w="0" w:type="auto"/>
            <w:shd w:val="clear" w:color="auto" w:fill="auto"/>
          </w:tcPr>
          <w:p w14:paraId="0C2B6C77" w14:textId="77777777" w:rsidR="00A77A29" w:rsidRPr="00F144AF" w:rsidRDefault="00A77A29" w:rsidP="00B65047">
            <w:pPr>
              <w:spacing w:after="60"/>
              <w:jc w:val="right"/>
              <w:rPr>
                <w:sz w:val="18"/>
              </w:rPr>
            </w:pPr>
            <w:r>
              <w:rPr>
                <w:sz w:val="18"/>
              </w:rPr>
              <w:t>3 250</w:t>
            </w:r>
          </w:p>
        </w:tc>
      </w:tr>
    </w:tbl>
    <w:p w14:paraId="303D0EAA" w14:textId="77777777" w:rsidR="00DF55E4" w:rsidRPr="00F144AF" w:rsidRDefault="00E54486" w:rsidP="00B65047">
      <w:pPr>
        <w:spacing w:after="60"/>
        <w:jc w:val="left"/>
        <w:rPr>
          <w:sz w:val="18"/>
          <w:szCs w:val="18"/>
        </w:rPr>
      </w:pPr>
      <w:r>
        <w:rPr>
          <w:sz w:val="18"/>
          <w:szCs w:val="18"/>
        </w:rPr>
        <w:t>*La quatrième tranche aurait dû être présentée en 2018.</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F144AF" w:rsidRPr="00F144AF" w14:paraId="25EF9C83" w14:textId="77777777" w:rsidTr="00DF55E4">
        <w:trPr>
          <w:trHeight w:val="240"/>
        </w:trPr>
        <w:tc>
          <w:tcPr>
            <w:tcW w:w="3000" w:type="dxa"/>
            <w:shd w:val="clear" w:color="auto" w:fill="auto"/>
          </w:tcPr>
          <w:p w14:paraId="0E265E91" w14:textId="77777777" w:rsidR="00DF55E4" w:rsidRPr="00F144AF" w:rsidRDefault="00DF55E4" w:rsidP="00B65047">
            <w:pPr>
              <w:spacing w:after="60"/>
              <w:jc w:val="left"/>
              <w:rPr>
                <w:b/>
                <w:sz w:val="18"/>
              </w:rPr>
            </w:pPr>
            <w:r>
              <w:rPr>
                <w:b/>
                <w:sz w:val="18"/>
              </w:rPr>
              <w:t>Recommandation du Secrétariat :</w:t>
            </w:r>
          </w:p>
        </w:tc>
        <w:tc>
          <w:tcPr>
            <w:tcW w:w="7000" w:type="dxa"/>
            <w:shd w:val="clear" w:color="auto" w:fill="auto"/>
          </w:tcPr>
          <w:p w14:paraId="71069E30" w14:textId="77777777" w:rsidR="00DF55E4" w:rsidRPr="00F144AF" w:rsidRDefault="000A6DF9" w:rsidP="00B65047">
            <w:pPr>
              <w:spacing w:after="60"/>
              <w:jc w:val="center"/>
              <w:rPr>
                <w:sz w:val="18"/>
              </w:rPr>
            </w:pPr>
            <w:r>
              <w:rPr>
                <w:sz w:val="18"/>
              </w:rPr>
              <w:t>Approbation globale</w:t>
            </w:r>
          </w:p>
        </w:tc>
      </w:tr>
    </w:tbl>
    <w:p w14:paraId="745417D7" w14:textId="77777777" w:rsidR="00255CDE" w:rsidRPr="00F144AF" w:rsidRDefault="00255CDE" w:rsidP="00B65047">
      <w:r>
        <w:br w:type="page"/>
      </w:r>
    </w:p>
    <w:p w14:paraId="59239388" w14:textId="0FBF264B" w:rsidR="00255CDE" w:rsidRDefault="00255CDE" w:rsidP="00B65047">
      <w:pPr>
        <w:jc w:val="center"/>
        <w:rPr>
          <w:b/>
        </w:rPr>
      </w:pPr>
      <w:r>
        <w:rPr>
          <w:b/>
        </w:rPr>
        <w:lastRenderedPageBreak/>
        <w:t>DESCRIPTION DU PROJET</w:t>
      </w:r>
    </w:p>
    <w:p w14:paraId="332CC0AC" w14:textId="77777777" w:rsidR="001D285A" w:rsidRPr="00F144AF" w:rsidRDefault="001D285A" w:rsidP="00B65047">
      <w:pPr>
        <w:jc w:val="center"/>
        <w:rPr>
          <w:b/>
        </w:rPr>
      </w:pPr>
    </w:p>
    <w:p w14:paraId="44DFAF22" w14:textId="77777777" w:rsidR="00255CDE" w:rsidRPr="00F144AF" w:rsidRDefault="00255CDE" w:rsidP="00B65047">
      <w:pPr>
        <w:rPr>
          <w:lang w:val="en-CA"/>
        </w:rPr>
      </w:pPr>
    </w:p>
    <w:p w14:paraId="544E8650" w14:textId="77777777" w:rsidR="00255CDE" w:rsidRPr="00F144AF" w:rsidRDefault="00255CDE" w:rsidP="00B65047">
      <w:pPr>
        <w:pStyle w:val="Heading1"/>
      </w:pPr>
      <w:r>
        <w:t>Au nom du gouvernement du Congo, le PNUE, à titre d’agence d’exécution désignée, a présenté une demande de financement pour la quatrième tranche de la phase I du plan de gestion de l’élimination des HCFC (PGEH), pour un montant de 25 000 $ US, plus des coûts d’appui d’agence de 3 250 $ US pour le PNUE uniquement.</w:t>
      </w:r>
      <w:r w:rsidRPr="00F144AF">
        <w:rPr>
          <w:rStyle w:val="FootnoteReference"/>
          <w:lang w:val="en-CA"/>
        </w:rPr>
        <w:footnoteReference w:id="1"/>
      </w:r>
      <w:r>
        <w:t xml:space="preserve"> La présentation comprend un rapport périodique sur la mise en œuvre de la troisième tranche et le plan de mise en œuvre de la tranche pour 2019 à 2021.</w:t>
      </w:r>
    </w:p>
    <w:p w14:paraId="63839888" w14:textId="77777777" w:rsidR="00255CDE" w:rsidRPr="00F144AF" w:rsidRDefault="00255CDE" w:rsidP="00B65047">
      <w:pPr>
        <w:rPr>
          <w:u w:val="single"/>
        </w:rPr>
      </w:pPr>
      <w:r>
        <w:rPr>
          <w:u w:val="single"/>
        </w:rPr>
        <w:t>Rapport sur la consommation de HCFC</w:t>
      </w:r>
    </w:p>
    <w:p w14:paraId="4A7F81B5" w14:textId="77777777" w:rsidR="00255CDE" w:rsidRPr="00AA0D76" w:rsidRDefault="00255CDE" w:rsidP="00B65047"/>
    <w:p w14:paraId="189FD09A" w14:textId="77777777" w:rsidR="00255CDE" w:rsidRPr="00F144AF" w:rsidRDefault="00255CDE" w:rsidP="00B65047">
      <w:pPr>
        <w:pStyle w:val="Heading1"/>
      </w:pPr>
      <w:r>
        <w:t xml:space="preserve">Le gouvernement du Congo a rapporté une consommation de 7,13 tonnes PAO de HCFC en 2018, ce qui est environ 29,7 % inférieur à la valeur de référence pour la conformité. La consommation de HCFC pour 2014-2018 est indiquée dans le tableau 1.  </w:t>
      </w:r>
    </w:p>
    <w:p w14:paraId="4612613D" w14:textId="60576C10" w:rsidR="00255CDE" w:rsidRPr="00F144AF" w:rsidRDefault="00255CDE" w:rsidP="00B65047">
      <w:pPr>
        <w:rPr>
          <w:b/>
        </w:rPr>
      </w:pPr>
      <w:r>
        <w:rPr>
          <w:b/>
        </w:rPr>
        <w:t xml:space="preserve">Tableau 1. Consommation de HCFC </w:t>
      </w:r>
      <w:r w:rsidR="00101969">
        <w:rPr>
          <w:b/>
        </w:rPr>
        <w:t>a</w:t>
      </w:r>
      <w:r>
        <w:rPr>
          <w:b/>
        </w:rPr>
        <w:t>u Congo (2014-2018, données de l’Article 7)</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895"/>
        <w:gridCol w:w="897"/>
        <w:gridCol w:w="897"/>
        <w:gridCol w:w="896"/>
        <w:gridCol w:w="898"/>
        <w:gridCol w:w="1904"/>
      </w:tblGrid>
      <w:tr w:rsidR="00F144AF" w:rsidRPr="00F144AF" w14:paraId="696C76DC" w14:textId="77777777" w:rsidTr="000C486D">
        <w:trPr>
          <w:trHeight w:val="248"/>
          <w:tblHeader/>
        </w:trPr>
        <w:tc>
          <w:tcPr>
            <w:tcW w:w="1642" w:type="pct"/>
            <w:shd w:val="clear" w:color="auto" w:fill="auto"/>
            <w:noWrap/>
            <w:tcMar>
              <w:left w:w="43" w:type="dxa"/>
              <w:right w:w="43" w:type="dxa"/>
            </w:tcMar>
            <w:vAlign w:val="center"/>
            <w:hideMark/>
          </w:tcPr>
          <w:p w14:paraId="4A292AF7" w14:textId="77777777" w:rsidR="00255CDE" w:rsidRPr="00F144AF" w:rsidRDefault="00255CDE" w:rsidP="00B65047">
            <w:pPr>
              <w:widowControl w:val="0"/>
              <w:jc w:val="left"/>
              <w:rPr>
                <w:b/>
                <w:bCs/>
                <w:sz w:val="20"/>
                <w:szCs w:val="20"/>
              </w:rPr>
            </w:pPr>
            <w:r>
              <w:rPr>
                <w:b/>
                <w:bCs/>
                <w:sz w:val="20"/>
                <w:szCs w:val="20"/>
              </w:rPr>
              <w:t>HCFC-22</w:t>
            </w:r>
          </w:p>
        </w:tc>
        <w:tc>
          <w:tcPr>
            <w:tcW w:w="559" w:type="pct"/>
            <w:shd w:val="clear" w:color="auto" w:fill="auto"/>
            <w:noWrap/>
            <w:vAlign w:val="center"/>
            <w:hideMark/>
          </w:tcPr>
          <w:p w14:paraId="28621C59" w14:textId="77777777" w:rsidR="00255CDE" w:rsidRPr="00F144AF" w:rsidRDefault="00255CDE" w:rsidP="00B65047">
            <w:pPr>
              <w:widowControl w:val="0"/>
              <w:jc w:val="center"/>
              <w:rPr>
                <w:b/>
                <w:bCs/>
                <w:sz w:val="20"/>
                <w:szCs w:val="20"/>
              </w:rPr>
            </w:pPr>
            <w:r>
              <w:rPr>
                <w:b/>
                <w:bCs/>
                <w:sz w:val="20"/>
                <w:szCs w:val="20"/>
              </w:rPr>
              <w:t>2014</w:t>
            </w:r>
          </w:p>
        </w:tc>
        <w:tc>
          <w:tcPr>
            <w:tcW w:w="560" w:type="pct"/>
            <w:shd w:val="clear" w:color="auto" w:fill="auto"/>
            <w:noWrap/>
            <w:vAlign w:val="center"/>
            <w:hideMark/>
          </w:tcPr>
          <w:p w14:paraId="56E65B45" w14:textId="77777777" w:rsidR="00255CDE" w:rsidRPr="00F144AF" w:rsidRDefault="00255CDE" w:rsidP="00B65047">
            <w:pPr>
              <w:widowControl w:val="0"/>
              <w:jc w:val="center"/>
              <w:rPr>
                <w:b/>
                <w:bCs/>
                <w:sz w:val="20"/>
                <w:szCs w:val="20"/>
              </w:rPr>
            </w:pPr>
            <w:r>
              <w:rPr>
                <w:b/>
                <w:bCs/>
                <w:sz w:val="20"/>
                <w:szCs w:val="20"/>
              </w:rPr>
              <w:t>2015</w:t>
            </w:r>
          </w:p>
        </w:tc>
        <w:tc>
          <w:tcPr>
            <w:tcW w:w="560" w:type="pct"/>
          </w:tcPr>
          <w:p w14:paraId="5E485735" w14:textId="77777777" w:rsidR="00255CDE" w:rsidRPr="00F144AF" w:rsidRDefault="00255CDE" w:rsidP="00B65047">
            <w:pPr>
              <w:widowControl w:val="0"/>
              <w:jc w:val="center"/>
              <w:rPr>
                <w:b/>
                <w:bCs/>
                <w:sz w:val="20"/>
                <w:szCs w:val="20"/>
              </w:rPr>
            </w:pPr>
            <w:r>
              <w:rPr>
                <w:b/>
                <w:bCs/>
                <w:sz w:val="20"/>
                <w:szCs w:val="20"/>
              </w:rPr>
              <w:t>2016</w:t>
            </w:r>
          </w:p>
        </w:tc>
        <w:tc>
          <w:tcPr>
            <w:tcW w:w="559" w:type="pct"/>
          </w:tcPr>
          <w:p w14:paraId="184670BC" w14:textId="77777777" w:rsidR="00255CDE" w:rsidRPr="00F144AF" w:rsidRDefault="00255CDE" w:rsidP="00B65047">
            <w:pPr>
              <w:widowControl w:val="0"/>
              <w:jc w:val="center"/>
              <w:rPr>
                <w:b/>
                <w:bCs/>
                <w:sz w:val="20"/>
                <w:szCs w:val="20"/>
              </w:rPr>
            </w:pPr>
            <w:r>
              <w:rPr>
                <w:b/>
                <w:bCs/>
                <w:sz w:val="20"/>
                <w:szCs w:val="20"/>
              </w:rPr>
              <w:t>2017</w:t>
            </w:r>
          </w:p>
        </w:tc>
        <w:tc>
          <w:tcPr>
            <w:tcW w:w="560" w:type="pct"/>
          </w:tcPr>
          <w:p w14:paraId="615FA606" w14:textId="77777777" w:rsidR="00255CDE" w:rsidRPr="00F144AF" w:rsidRDefault="00255CDE" w:rsidP="00B65047">
            <w:pPr>
              <w:widowControl w:val="0"/>
              <w:jc w:val="center"/>
              <w:rPr>
                <w:b/>
                <w:bCs/>
                <w:sz w:val="20"/>
                <w:szCs w:val="20"/>
              </w:rPr>
            </w:pPr>
            <w:r>
              <w:rPr>
                <w:b/>
                <w:bCs/>
                <w:sz w:val="20"/>
                <w:szCs w:val="20"/>
              </w:rPr>
              <w:t>2018</w:t>
            </w:r>
          </w:p>
        </w:tc>
        <w:tc>
          <w:tcPr>
            <w:tcW w:w="560" w:type="pct"/>
            <w:shd w:val="clear" w:color="auto" w:fill="auto"/>
            <w:noWrap/>
            <w:vAlign w:val="center"/>
            <w:hideMark/>
          </w:tcPr>
          <w:p w14:paraId="2D712A31" w14:textId="77777777" w:rsidR="00255CDE" w:rsidRPr="00F144AF" w:rsidRDefault="00255CDE" w:rsidP="00B65047">
            <w:pPr>
              <w:widowControl w:val="0"/>
              <w:jc w:val="center"/>
              <w:rPr>
                <w:b/>
                <w:bCs/>
                <w:sz w:val="20"/>
                <w:szCs w:val="20"/>
              </w:rPr>
            </w:pPr>
            <w:r>
              <w:rPr>
                <w:b/>
                <w:bCs/>
                <w:sz w:val="20"/>
                <w:szCs w:val="20"/>
              </w:rPr>
              <w:t>Valeur de référence</w:t>
            </w:r>
          </w:p>
        </w:tc>
      </w:tr>
      <w:tr w:rsidR="00F144AF" w:rsidRPr="00F144AF" w14:paraId="5DE19B03" w14:textId="77777777" w:rsidTr="000C486D">
        <w:trPr>
          <w:trHeight w:val="240"/>
        </w:trPr>
        <w:tc>
          <w:tcPr>
            <w:tcW w:w="1642" w:type="pct"/>
            <w:shd w:val="clear" w:color="auto" w:fill="auto"/>
            <w:noWrap/>
            <w:tcMar>
              <w:left w:w="43" w:type="dxa"/>
              <w:right w:w="43" w:type="dxa"/>
            </w:tcMar>
            <w:vAlign w:val="center"/>
            <w:hideMark/>
          </w:tcPr>
          <w:p w14:paraId="0118C6B1" w14:textId="77777777" w:rsidR="00255CDE" w:rsidRPr="00F144AF" w:rsidRDefault="00255CDE" w:rsidP="00B65047">
            <w:pPr>
              <w:widowControl w:val="0"/>
              <w:jc w:val="left"/>
              <w:rPr>
                <w:bCs/>
                <w:sz w:val="20"/>
                <w:szCs w:val="20"/>
              </w:rPr>
            </w:pPr>
            <w:r>
              <w:rPr>
                <w:bCs/>
                <w:sz w:val="20"/>
                <w:szCs w:val="20"/>
              </w:rPr>
              <w:t>Tonnes métriques</w:t>
            </w:r>
          </w:p>
        </w:tc>
        <w:tc>
          <w:tcPr>
            <w:tcW w:w="559" w:type="pct"/>
            <w:shd w:val="clear" w:color="auto" w:fill="auto"/>
            <w:noWrap/>
            <w:vAlign w:val="bottom"/>
          </w:tcPr>
          <w:p w14:paraId="2E8B35F0" w14:textId="77777777" w:rsidR="00255CDE" w:rsidRPr="00F144AF" w:rsidRDefault="007403A6" w:rsidP="00B65047">
            <w:pPr>
              <w:jc w:val="right"/>
              <w:rPr>
                <w:sz w:val="20"/>
                <w:szCs w:val="20"/>
              </w:rPr>
            </w:pPr>
            <w:r>
              <w:rPr>
                <w:sz w:val="20"/>
                <w:szCs w:val="20"/>
              </w:rPr>
              <w:t>158,55</w:t>
            </w:r>
          </w:p>
        </w:tc>
        <w:tc>
          <w:tcPr>
            <w:tcW w:w="560" w:type="pct"/>
            <w:shd w:val="clear" w:color="auto" w:fill="auto"/>
            <w:noWrap/>
          </w:tcPr>
          <w:p w14:paraId="2DA11686" w14:textId="77777777" w:rsidR="00255CDE" w:rsidRPr="00F144AF" w:rsidRDefault="007403A6" w:rsidP="00B65047">
            <w:pPr>
              <w:jc w:val="right"/>
              <w:rPr>
                <w:sz w:val="20"/>
                <w:szCs w:val="20"/>
              </w:rPr>
            </w:pPr>
            <w:r>
              <w:rPr>
                <w:sz w:val="20"/>
                <w:szCs w:val="20"/>
              </w:rPr>
              <w:t>148,18</w:t>
            </w:r>
          </w:p>
        </w:tc>
        <w:tc>
          <w:tcPr>
            <w:tcW w:w="560" w:type="pct"/>
          </w:tcPr>
          <w:p w14:paraId="17E9EBF6" w14:textId="77777777" w:rsidR="00255CDE" w:rsidRPr="00F144AF" w:rsidRDefault="007403A6" w:rsidP="00B65047">
            <w:pPr>
              <w:widowControl w:val="0"/>
              <w:jc w:val="right"/>
              <w:rPr>
                <w:bCs/>
                <w:sz w:val="20"/>
                <w:szCs w:val="20"/>
              </w:rPr>
            </w:pPr>
            <w:r>
              <w:rPr>
                <w:bCs/>
                <w:sz w:val="20"/>
                <w:szCs w:val="20"/>
              </w:rPr>
              <w:t>144,18</w:t>
            </w:r>
          </w:p>
        </w:tc>
        <w:tc>
          <w:tcPr>
            <w:tcW w:w="559" w:type="pct"/>
          </w:tcPr>
          <w:p w14:paraId="040DECF6" w14:textId="77777777" w:rsidR="00255CDE" w:rsidRPr="00F144AF" w:rsidRDefault="007403A6" w:rsidP="00B65047">
            <w:pPr>
              <w:widowControl w:val="0"/>
              <w:jc w:val="right"/>
              <w:rPr>
                <w:bCs/>
                <w:sz w:val="20"/>
                <w:szCs w:val="20"/>
              </w:rPr>
            </w:pPr>
            <w:r>
              <w:rPr>
                <w:bCs/>
                <w:sz w:val="20"/>
                <w:szCs w:val="20"/>
              </w:rPr>
              <w:t>139,27</w:t>
            </w:r>
          </w:p>
        </w:tc>
        <w:tc>
          <w:tcPr>
            <w:tcW w:w="560" w:type="pct"/>
          </w:tcPr>
          <w:p w14:paraId="2548581F" w14:textId="77777777" w:rsidR="00255CDE" w:rsidRPr="00F144AF" w:rsidRDefault="00B974E8" w:rsidP="00B65047">
            <w:pPr>
              <w:widowControl w:val="0"/>
              <w:jc w:val="right"/>
              <w:rPr>
                <w:rFonts w:eastAsiaTheme="minorHAnsi"/>
                <w:sz w:val="20"/>
                <w:szCs w:val="20"/>
              </w:rPr>
            </w:pPr>
            <w:r>
              <w:rPr>
                <w:sz w:val="20"/>
                <w:szCs w:val="20"/>
              </w:rPr>
              <w:t>129,60</w:t>
            </w:r>
          </w:p>
        </w:tc>
        <w:tc>
          <w:tcPr>
            <w:tcW w:w="560" w:type="pct"/>
            <w:shd w:val="clear" w:color="auto" w:fill="auto"/>
            <w:noWrap/>
            <w:vAlign w:val="center"/>
          </w:tcPr>
          <w:p w14:paraId="636968AD" w14:textId="77777777" w:rsidR="00255CDE" w:rsidRPr="00F144AF" w:rsidRDefault="00D22A5B" w:rsidP="00B65047">
            <w:pPr>
              <w:widowControl w:val="0"/>
              <w:jc w:val="right"/>
              <w:rPr>
                <w:bCs/>
                <w:sz w:val="20"/>
                <w:szCs w:val="20"/>
              </w:rPr>
            </w:pPr>
            <w:r>
              <w:rPr>
                <w:bCs/>
                <w:sz w:val="20"/>
                <w:szCs w:val="20"/>
              </w:rPr>
              <w:t>184,4</w:t>
            </w:r>
          </w:p>
        </w:tc>
      </w:tr>
      <w:tr w:rsidR="00255CDE" w:rsidRPr="00F144AF" w14:paraId="76A3D48A" w14:textId="77777777" w:rsidTr="000C486D">
        <w:trPr>
          <w:trHeight w:val="248"/>
        </w:trPr>
        <w:tc>
          <w:tcPr>
            <w:tcW w:w="1642" w:type="pct"/>
            <w:shd w:val="clear" w:color="auto" w:fill="auto"/>
            <w:noWrap/>
            <w:tcMar>
              <w:left w:w="43" w:type="dxa"/>
              <w:right w:w="43" w:type="dxa"/>
            </w:tcMar>
            <w:vAlign w:val="center"/>
            <w:hideMark/>
          </w:tcPr>
          <w:p w14:paraId="3304A24D" w14:textId="77777777" w:rsidR="00255CDE" w:rsidRPr="00F144AF" w:rsidRDefault="00255CDE" w:rsidP="00B65047">
            <w:pPr>
              <w:widowControl w:val="0"/>
              <w:jc w:val="left"/>
              <w:rPr>
                <w:sz w:val="20"/>
                <w:szCs w:val="20"/>
              </w:rPr>
            </w:pPr>
            <w:r>
              <w:rPr>
                <w:bCs/>
                <w:sz w:val="20"/>
                <w:szCs w:val="20"/>
              </w:rPr>
              <w:t>Tonnes PAO</w:t>
            </w:r>
          </w:p>
        </w:tc>
        <w:tc>
          <w:tcPr>
            <w:tcW w:w="559" w:type="pct"/>
            <w:shd w:val="clear" w:color="auto" w:fill="auto"/>
            <w:noWrap/>
          </w:tcPr>
          <w:p w14:paraId="53D32024" w14:textId="77777777" w:rsidR="00255CDE" w:rsidRPr="00F144AF" w:rsidRDefault="00273022" w:rsidP="00B65047">
            <w:pPr>
              <w:jc w:val="right"/>
              <w:rPr>
                <w:rFonts w:eastAsiaTheme="minorHAnsi"/>
                <w:sz w:val="20"/>
                <w:szCs w:val="20"/>
              </w:rPr>
            </w:pPr>
            <w:r>
              <w:rPr>
                <w:sz w:val="20"/>
                <w:szCs w:val="20"/>
              </w:rPr>
              <w:t>8,72</w:t>
            </w:r>
          </w:p>
        </w:tc>
        <w:tc>
          <w:tcPr>
            <w:tcW w:w="560" w:type="pct"/>
            <w:shd w:val="clear" w:color="auto" w:fill="auto"/>
            <w:noWrap/>
          </w:tcPr>
          <w:p w14:paraId="6584D972" w14:textId="77777777" w:rsidR="00255CDE" w:rsidRPr="00F144AF" w:rsidRDefault="00273022" w:rsidP="00B65047">
            <w:pPr>
              <w:jc w:val="right"/>
              <w:rPr>
                <w:sz w:val="20"/>
                <w:szCs w:val="20"/>
              </w:rPr>
            </w:pPr>
            <w:r>
              <w:rPr>
                <w:sz w:val="20"/>
                <w:szCs w:val="20"/>
              </w:rPr>
              <w:t>8,15</w:t>
            </w:r>
          </w:p>
        </w:tc>
        <w:tc>
          <w:tcPr>
            <w:tcW w:w="560" w:type="pct"/>
          </w:tcPr>
          <w:p w14:paraId="3496D87C" w14:textId="77777777" w:rsidR="00255CDE" w:rsidRPr="00F144AF" w:rsidRDefault="00273022" w:rsidP="00B65047">
            <w:pPr>
              <w:jc w:val="right"/>
              <w:rPr>
                <w:sz w:val="20"/>
                <w:szCs w:val="20"/>
              </w:rPr>
            </w:pPr>
            <w:r>
              <w:rPr>
                <w:sz w:val="20"/>
                <w:szCs w:val="20"/>
              </w:rPr>
              <w:t>7,93</w:t>
            </w:r>
          </w:p>
        </w:tc>
        <w:tc>
          <w:tcPr>
            <w:tcW w:w="559" w:type="pct"/>
          </w:tcPr>
          <w:p w14:paraId="19FBE05F" w14:textId="77777777" w:rsidR="00255CDE" w:rsidRPr="00F144AF" w:rsidRDefault="00273022" w:rsidP="00B65047">
            <w:pPr>
              <w:jc w:val="right"/>
              <w:rPr>
                <w:sz w:val="20"/>
                <w:szCs w:val="20"/>
              </w:rPr>
            </w:pPr>
            <w:r>
              <w:rPr>
                <w:sz w:val="20"/>
                <w:szCs w:val="20"/>
              </w:rPr>
              <w:t>7,66</w:t>
            </w:r>
          </w:p>
        </w:tc>
        <w:tc>
          <w:tcPr>
            <w:tcW w:w="560" w:type="pct"/>
          </w:tcPr>
          <w:p w14:paraId="6EDB4F63" w14:textId="77777777" w:rsidR="00255CDE" w:rsidRPr="00F144AF" w:rsidRDefault="007403A6" w:rsidP="00B65047">
            <w:pPr>
              <w:jc w:val="right"/>
              <w:rPr>
                <w:rFonts w:eastAsiaTheme="minorHAnsi"/>
                <w:sz w:val="20"/>
                <w:szCs w:val="20"/>
              </w:rPr>
            </w:pPr>
            <w:r>
              <w:rPr>
                <w:sz w:val="20"/>
                <w:szCs w:val="20"/>
              </w:rPr>
              <w:t>7,13</w:t>
            </w:r>
          </w:p>
        </w:tc>
        <w:tc>
          <w:tcPr>
            <w:tcW w:w="560" w:type="pct"/>
            <w:shd w:val="clear" w:color="auto" w:fill="auto"/>
            <w:noWrap/>
          </w:tcPr>
          <w:p w14:paraId="6E816F9D" w14:textId="77777777" w:rsidR="00255CDE" w:rsidRPr="00F144AF" w:rsidRDefault="00D22A5B" w:rsidP="00B65047">
            <w:pPr>
              <w:jc w:val="right"/>
              <w:rPr>
                <w:rFonts w:eastAsiaTheme="minorHAnsi"/>
                <w:sz w:val="20"/>
                <w:szCs w:val="20"/>
              </w:rPr>
            </w:pPr>
            <w:r>
              <w:rPr>
                <w:sz w:val="20"/>
                <w:szCs w:val="20"/>
              </w:rPr>
              <w:t>10,14</w:t>
            </w:r>
          </w:p>
        </w:tc>
      </w:tr>
    </w:tbl>
    <w:p w14:paraId="061DB1BD" w14:textId="77777777" w:rsidR="00255CDE" w:rsidRPr="00F144AF" w:rsidRDefault="00255CDE" w:rsidP="00B65047">
      <w:pPr>
        <w:rPr>
          <w:lang w:val="en-CA"/>
        </w:rPr>
      </w:pPr>
    </w:p>
    <w:p w14:paraId="3C386006" w14:textId="77777777" w:rsidR="00255CDE" w:rsidRPr="00F144AF" w:rsidRDefault="00397D0B" w:rsidP="00B65047">
      <w:pPr>
        <w:pStyle w:val="Heading1"/>
      </w:pPr>
      <w:r>
        <w:t xml:space="preserve">La consommation de HCFC au Congo est vouée uniquement au secteur de l’entretien, principalement pour les équipements de climatisation; elle est en baisse en grande partie grâce aux mesures de contrôle sur l’approvisionnement des HCFC au pays et à la formation sur les bonnes pratiques, ce qui engendre un usage moindre des HCFC pour l’entretien des équipements. Les climatiseurs sans HCFC qui utilisent le R-410A et le R-407C sont en usage sur le marché. </w:t>
      </w:r>
    </w:p>
    <w:p w14:paraId="59C8A124" w14:textId="77777777" w:rsidR="00255CDE" w:rsidRPr="00F144AF" w:rsidRDefault="00255CDE" w:rsidP="00B65047">
      <w:pPr>
        <w:rPr>
          <w:i/>
        </w:rPr>
      </w:pPr>
      <w:r>
        <w:rPr>
          <w:i/>
        </w:rPr>
        <w:t>Rapport de la mise en œuvre du programme du pays</w:t>
      </w:r>
    </w:p>
    <w:p w14:paraId="00DACF8D" w14:textId="77777777" w:rsidR="00255CDE" w:rsidRPr="00AA0D76" w:rsidRDefault="00255CDE" w:rsidP="00B65047"/>
    <w:p w14:paraId="65591628" w14:textId="77777777" w:rsidR="00255CDE" w:rsidRPr="00F144AF" w:rsidRDefault="00255CDE" w:rsidP="00B65047">
      <w:pPr>
        <w:pStyle w:val="Heading1"/>
      </w:pPr>
      <w:r>
        <w:t xml:space="preserve">Le gouvernement du Congo a communiqué des données du secteur de la consommation des HCFC dans le cadre du rapport de mise en œuvre du programme du pays de 2018 et ces données correspondent aux données déclarées en vertu de l’Article 7 du Protocole de Montréal. </w:t>
      </w:r>
    </w:p>
    <w:p w14:paraId="25B3F6BE" w14:textId="77777777" w:rsidR="00255CDE" w:rsidRPr="00F144AF" w:rsidRDefault="00255CDE" w:rsidP="00B65047">
      <w:pPr>
        <w:rPr>
          <w:u w:val="single"/>
        </w:rPr>
      </w:pPr>
      <w:r>
        <w:rPr>
          <w:u w:val="single"/>
        </w:rPr>
        <w:t>Rapport périodique sur la mise en œuvre de la troisième tranche du PGEH</w:t>
      </w:r>
    </w:p>
    <w:p w14:paraId="040D9FC8" w14:textId="77777777" w:rsidR="00255CDE" w:rsidRPr="00AA0D76" w:rsidRDefault="00255CDE" w:rsidP="00B65047"/>
    <w:p w14:paraId="19B77D72" w14:textId="77777777" w:rsidR="00255CDE" w:rsidRPr="00F144AF" w:rsidRDefault="00255CDE" w:rsidP="00B65047">
      <w:pPr>
        <w:rPr>
          <w:i/>
        </w:rPr>
      </w:pPr>
      <w:r>
        <w:rPr>
          <w:i/>
        </w:rPr>
        <w:t>Cadre juridique</w:t>
      </w:r>
    </w:p>
    <w:p w14:paraId="2F544453" w14:textId="77777777" w:rsidR="00255CDE" w:rsidRPr="00F144AF" w:rsidRDefault="00255CDE" w:rsidP="00B65047">
      <w:pPr>
        <w:rPr>
          <w:lang w:val="en-CA"/>
        </w:rPr>
      </w:pPr>
    </w:p>
    <w:p w14:paraId="4ECDE9AF" w14:textId="7B1271AB" w:rsidR="006B6024" w:rsidRPr="00F144AF" w:rsidRDefault="006B6024" w:rsidP="00B65047">
      <w:pPr>
        <w:pStyle w:val="Heading1"/>
      </w:pPr>
      <w:r>
        <w:t>Au Congo, l’octroi de permis d’importation et d’exportation de SAO, y compris les HCFC, est couvert par le décret du cadre de réglementation du 13 mai 2002, qui contrôle l’importation, l’exportation et la réexportation des SAO et d’équipements renfermant des SAO (y compris les HCFC). Ce cadre est par ailleurs renforcé par la réglementation sous</w:t>
      </w:r>
      <w:r w:rsidR="001F50E3">
        <w:t>-</w:t>
      </w:r>
      <w:r>
        <w:t xml:space="preserve">régionale mise en place par la Communauté économique et monétaire de l’Afrique </w:t>
      </w:r>
      <w:r w:rsidR="001F50E3">
        <w:t>c</w:t>
      </w:r>
      <w:r>
        <w:t>entrale (CEMAC) en novembre 2004, qui vise à harmoniser les règlements relatifs à l’importation, à la commercialisation, à l’utilisation et à la réexportation des SAO et de leurs contenants. La réglementation de la CEMAC contrôle également les HCFC et les équipements à base de HCFC. Le gouvernement propose aussi de mettre en œuvre des règlements sur la certification des techniciens en 2020.</w:t>
      </w:r>
    </w:p>
    <w:p w14:paraId="4C8ACDFE" w14:textId="77777777" w:rsidR="00255CDE" w:rsidRPr="00F144AF" w:rsidRDefault="00255CDE" w:rsidP="001D285A">
      <w:pPr>
        <w:keepNext/>
        <w:keepLines/>
        <w:rPr>
          <w:i/>
        </w:rPr>
      </w:pPr>
      <w:r>
        <w:rPr>
          <w:i/>
        </w:rPr>
        <w:lastRenderedPageBreak/>
        <w:t>Secteur de l’entretien en réfrigération</w:t>
      </w:r>
    </w:p>
    <w:p w14:paraId="040D66F0" w14:textId="77777777" w:rsidR="00255CDE" w:rsidRPr="00F144AF" w:rsidRDefault="00255CDE" w:rsidP="001D285A">
      <w:pPr>
        <w:keepNext/>
        <w:keepLines/>
        <w:rPr>
          <w:lang w:val="en-CA"/>
        </w:rPr>
      </w:pPr>
    </w:p>
    <w:p w14:paraId="1132BA9D" w14:textId="77777777" w:rsidR="00156E93" w:rsidRPr="00F144AF" w:rsidRDefault="00156E93" w:rsidP="001D285A">
      <w:pPr>
        <w:pStyle w:val="Heading1"/>
        <w:keepNext/>
        <w:keepLines/>
      </w:pPr>
      <w:r>
        <w:t>Les activités suivantes ont été mises en œuvre :</w:t>
      </w:r>
    </w:p>
    <w:p w14:paraId="622DE011" w14:textId="77777777" w:rsidR="00156E93" w:rsidRPr="00F144AF" w:rsidRDefault="00156E93" w:rsidP="001D285A">
      <w:pPr>
        <w:pStyle w:val="Heading2"/>
        <w:keepNext/>
        <w:keepLines/>
      </w:pPr>
      <w:r>
        <w:t xml:space="preserve">Trois ateliers pour 69 agents des douanes sur l’identification et le contrôle des HCFC et des équipements à base de HCFC; un atelier de formation supplémentaire pour 25 participants est prévu en novembre 2019; </w:t>
      </w:r>
    </w:p>
    <w:p w14:paraId="14F9CD83" w14:textId="77777777" w:rsidR="00C43D3D" w:rsidRPr="00F144AF" w:rsidRDefault="00C43D3D" w:rsidP="00D97D6F">
      <w:pPr>
        <w:pStyle w:val="Heading2"/>
        <w:keepNext/>
        <w:keepLines/>
      </w:pPr>
      <w:r>
        <w:t>L’achat et la distribution de 13 identifiants de frigorigènes pour les douanes, le bureau de l’unité nationale de l’ozone (UNO) et les départements administratifs associés aux douanes et aux contrôles frontaliers afin de renforcer la surveillance du commerce des HCFC;</w:t>
      </w:r>
    </w:p>
    <w:p w14:paraId="4E4DCC31" w14:textId="77777777" w:rsidR="00156E93" w:rsidRPr="00F144AF" w:rsidRDefault="00156E93" w:rsidP="00B65047">
      <w:pPr>
        <w:pStyle w:val="Heading2"/>
      </w:pPr>
      <w:r>
        <w:t>Trois ateliers pour 49 techniciens en réfrigération sur les bonnes pratiques d’entretien pour les équipements de réfrigération et de climatisation</w:t>
      </w:r>
      <w:r w:rsidR="00AA0D76">
        <w:t>,</w:t>
      </w:r>
      <w:r>
        <w:t xml:space="preserve"> ainsi que la manipulation sûre des frigor</w:t>
      </w:r>
      <w:r w:rsidR="00555E21">
        <w:t xml:space="preserve">igènes à base d’hydrocarbures. </w:t>
      </w:r>
      <w:r>
        <w:t>Le gouvernement planifie d’organiser trois autres ateliers de formation pour 90 participants d’ici décembre 2019;</w:t>
      </w:r>
    </w:p>
    <w:p w14:paraId="199F5715" w14:textId="77777777" w:rsidR="00156E93" w:rsidRPr="00F144AF" w:rsidRDefault="00C43D3D" w:rsidP="00B65047">
      <w:pPr>
        <w:pStyle w:val="Heading2"/>
      </w:pPr>
      <w:r>
        <w:t>L’achat et la distribution de 30 unités de climatisation à base de R-290 pour l’UNO, le ministère du Tourisme et de l’Environnement et différents départements gouvernementaux dans 12 autres villes pour promouvoir et montrer la technologie et la performance des produits à faible potentiel de réchauffement de la planète (PRG).</w:t>
      </w:r>
    </w:p>
    <w:p w14:paraId="10DC8DF5" w14:textId="77777777" w:rsidR="007A0B5A" w:rsidRPr="00F144AF" w:rsidRDefault="007A0B5A" w:rsidP="00B65047">
      <w:r>
        <w:t>Unité de mise en œuvre et de suivi de projet (PMU)</w:t>
      </w:r>
    </w:p>
    <w:p w14:paraId="783EB4DC" w14:textId="77777777" w:rsidR="007A0B5A" w:rsidRPr="00AA0D76" w:rsidRDefault="007A0B5A" w:rsidP="00B65047"/>
    <w:p w14:paraId="18AD595B" w14:textId="77777777" w:rsidR="007A0B5A" w:rsidRPr="00F144AF" w:rsidRDefault="007A0B5A" w:rsidP="00B65047">
      <w:pPr>
        <w:pStyle w:val="Heading1"/>
      </w:pPr>
      <w:r>
        <w:t>L’UNO a supervisé la mise en œuvre du PGEH et a recueilli des données pertinentes avec l’aide de deux consultants. Les dépenses de la PMU s’élèvent à 5 000 $ US pour le personnel et les frais des consultants, 4 000 $ US pour les déplacements et 1 000 $ US pour les frais de communication; cela équivaut au financement attribué à la PMU.</w:t>
      </w:r>
    </w:p>
    <w:p w14:paraId="4D49AE3B" w14:textId="77777777" w:rsidR="00255CDE" w:rsidRPr="00F144AF" w:rsidRDefault="00255CDE" w:rsidP="00B65047">
      <w:pPr>
        <w:keepNext/>
        <w:rPr>
          <w:u w:val="single"/>
        </w:rPr>
      </w:pPr>
      <w:r>
        <w:rPr>
          <w:u w:val="single"/>
        </w:rPr>
        <w:t>État du décaissement des fonds</w:t>
      </w:r>
    </w:p>
    <w:p w14:paraId="1EADF3CA" w14:textId="77777777" w:rsidR="00255CDE" w:rsidRPr="00F144AF" w:rsidRDefault="00255CDE" w:rsidP="00B65047">
      <w:pPr>
        <w:keepNext/>
        <w:rPr>
          <w:lang w:val="en-CA"/>
        </w:rPr>
      </w:pPr>
    </w:p>
    <w:p w14:paraId="126E4482" w14:textId="77777777" w:rsidR="00255CDE" w:rsidRPr="00F144AF" w:rsidRDefault="00255CDE" w:rsidP="00B65047">
      <w:pPr>
        <w:pStyle w:val="Heading1"/>
        <w:keepNext/>
        <w:rPr>
          <w:b/>
        </w:rPr>
      </w:pPr>
      <w:r>
        <w:t>En octobre 2019, sur le montant de 288 626 $ US approuvé jusqu’ici, 261 953 $ US ont été décaissés (95 000 $ US pour le PNUE et 166 953 $ US pour l’ONUDI) comme l’indique le tableau 2. Le solde de 26 673 $ US devrait être décaissé d’ici le 30 juin 2020</w:t>
      </w:r>
      <w:r>
        <w:rPr>
          <w:b/>
        </w:rPr>
        <w:t>.</w:t>
      </w:r>
    </w:p>
    <w:p w14:paraId="2B46E494" w14:textId="77777777" w:rsidR="00255CDE" w:rsidRPr="00F144AF" w:rsidRDefault="00255CDE" w:rsidP="00B65047">
      <w:pPr>
        <w:rPr>
          <w:b/>
        </w:rPr>
      </w:pPr>
      <w:r>
        <w:rPr>
          <w:b/>
        </w:rPr>
        <w:t>Tableau 2. Rapport financier de la phase I du PGEH pour le Congo ($ US)</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134"/>
        <w:gridCol w:w="1417"/>
        <w:gridCol w:w="1417"/>
        <w:gridCol w:w="1418"/>
        <w:gridCol w:w="2410"/>
      </w:tblGrid>
      <w:tr w:rsidR="00F144AF" w:rsidRPr="00F144AF" w14:paraId="3A7C2FB0" w14:textId="77777777" w:rsidTr="00B6015E">
        <w:trPr>
          <w:trHeight w:val="404"/>
          <w:tblHeader/>
        </w:trPr>
        <w:tc>
          <w:tcPr>
            <w:tcW w:w="2671" w:type="dxa"/>
            <w:gridSpan w:val="2"/>
            <w:shd w:val="clear" w:color="auto" w:fill="auto"/>
            <w:noWrap/>
            <w:vAlign w:val="center"/>
            <w:hideMark/>
          </w:tcPr>
          <w:p w14:paraId="59BBC1D4" w14:textId="77777777" w:rsidR="00255CDE" w:rsidRPr="00F144AF" w:rsidRDefault="00255CDE" w:rsidP="00B65047">
            <w:pPr>
              <w:rPr>
                <w:b/>
                <w:bCs/>
                <w:sz w:val="20"/>
                <w:szCs w:val="20"/>
              </w:rPr>
            </w:pPr>
            <w:r>
              <w:rPr>
                <w:b/>
                <w:bCs/>
                <w:sz w:val="20"/>
                <w:szCs w:val="20"/>
              </w:rPr>
              <w:t>Tranche</w:t>
            </w:r>
          </w:p>
        </w:tc>
        <w:tc>
          <w:tcPr>
            <w:tcW w:w="1417" w:type="dxa"/>
            <w:shd w:val="clear" w:color="auto" w:fill="auto"/>
            <w:noWrap/>
            <w:vAlign w:val="center"/>
            <w:hideMark/>
          </w:tcPr>
          <w:p w14:paraId="1307C779" w14:textId="77777777" w:rsidR="00255CDE" w:rsidRPr="00F144AF" w:rsidRDefault="003D7069" w:rsidP="00B65047">
            <w:pPr>
              <w:jc w:val="center"/>
              <w:rPr>
                <w:b/>
                <w:sz w:val="20"/>
                <w:szCs w:val="20"/>
              </w:rPr>
            </w:pPr>
            <w:r>
              <w:rPr>
                <w:b/>
                <w:sz w:val="20"/>
                <w:szCs w:val="20"/>
              </w:rPr>
              <w:t>PNUE</w:t>
            </w:r>
          </w:p>
        </w:tc>
        <w:tc>
          <w:tcPr>
            <w:tcW w:w="1417" w:type="dxa"/>
            <w:vAlign w:val="center"/>
          </w:tcPr>
          <w:p w14:paraId="2C7C1E30" w14:textId="77777777" w:rsidR="00255CDE" w:rsidRPr="00F144AF" w:rsidRDefault="003D7069" w:rsidP="00B65047">
            <w:pPr>
              <w:jc w:val="center"/>
              <w:rPr>
                <w:b/>
                <w:sz w:val="20"/>
                <w:szCs w:val="20"/>
              </w:rPr>
            </w:pPr>
            <w:r>
              <w:rPr>
                <w:b/>
                <w:sz w:val="20"/>
                <w:szCs w:val="20"/>
              </w:rPr>
              <w:t>ONUDI</w:t>
            </w:r>
          </w:p>
        </w:tc>
        <w:tc>
          <w:tcPr>
            <w:tcW w:w="1418" w:type="dxa"/>
            <w:shd w:val="clear" w:color="auto" w:fill="auto"/>
            <w:noWrap/>
            <w:vAlign w:val="center"/>
            <w:hideMark/>
          </w:tcPr>
          <w:p w14:paraId="309ED7E1" w14:textId="77777777" w:rsidR="00255CDE" w:rsidRPr="00F144AF" w:rsidRDefault="00255CDE" w:rsidP="00B65047">
            <w:pPr>
              <w:jc w:val="center"/>
              <w:rPr>
                <w:b/>
                <w:sz w:val="20"/>
                <w:szCs w:val="20"/>
              </w:rPr>
            </w:pPr>
            <w:r>
              <w:rPr>
                <w:b/>
                <w:sz w:val="20"/>
                <w:szCs w:val="20"/>
              </w:rPr>
              <w:t>Total</w:t>
            </w:r>
          </w:p>
        </w:tc>
        <w:tc>
          <w:tcPr>
            <w:tcW w:w="2410" w:type="dxa"/>
            <w:shd w:val="clear" w:color="auto" w:fill="auto"/>
            <w:noWrap/>
            <w:vAlign w:val="center"/>
            <w:hideMark/>
          </w:tcPr>
          <w:p w14:paraId="58CC8E4E" w14:textId="0D9F96A0" w:rsidR="00255CDE" w:rsidRPr="00F144AF" w:rsidRDefault="00255CDE" w:rsidP="00B65047">
            <w:pPr>
              <w:jc w:val="center"/>
              <w:rPr>
                <w:b/>
                <w:sz w:val="20"/>
                <w:szCs w:val="20"/>
              </w:rPr>
            </w:pPr>
            <w:r>
              <w:rPr>
                <w:b/>
                <w:sz w:val="20"/>
                <w:szCs w:val="20"/>
              </w:rPr>
              <w:t>Taux de décaissement (en</w:t>
            </w:r>
            <w:r w:rsidR="00674A8A">
              <w:rPr>
                <w:b/>
                <w:sz w:val="20"/>
                <w:szCs w:val="20"/>
              </w:rPr>
              <w:t> </w:t>
            </w:r>
            <w:r>
              <w:rPr>
                <w:b/>
                <w:sz w:val="20"/>
                <w:szCs w:val="20"/>
              </w:rPr>
              <w:t>%)</w:t>
            </w:r>
          </w:p>
        </w:tc>
      </w:tr>
      <w:tr w:rsidR="00F144AF" w:rsidRPr="00F144AF" w14:paraId="7485E2E1" w14:textId="77777777" w:rsidTr="00B6015E">
        <w:trPr>
          <w:trHeight w:val="179"/>
        </w:trPr>
        <w:tc>
          <w:tcPr>
            <w:tcW w:w="1537" w:type="dxa"/>
            <w:vMerge w:val="restart"/>
            <w:shd w:val="clear" w:color="auto" w:fill="auto"/>
            <w:noWrap/>
            <w:vAlign w:val="center"/>
            <w:hideMark/>
          </w:tcPr>
          <w:p w14:paraId="493E3540" w14:textId="77777777" w:rsidR="00DF6A03" w:rsidRPr="00F144AF" w:rsidRDefault="00DF6A03" w:rsidP="00B65047">
            <w:pPr>
              <w:jc w:val="left"/>
              <w:rPr>
                <w:bCs/>
                <w:sz w:val="20"/>
                <w:szCs w:val="20"/>
              </w:rPr>
            </w:pPr>
            <w:r>
              <w:rPr>
                <w:bCs/>
                <w:sz w:val="20"/>
                <w:szCs w:val="20"/>
              </w:rPr>
              <w:t>Première tranche</w:t>
            </w:r>
          </w:p>
        </w:tc>
        <w:tc>
          <w:tcPr>
            <w:tcW w:w="1134" w:type="dxa"/>
            <w:shd w:val="clear" w:color="auto" w:fill="auto"/>
            <w:noWrap/>
            <w:vAlign w:val="center"/>
            <w:hideMark/>
          </w:tcPr>
          <w:p w14:paraId="728DA892" w14:textId="77777777" w:rsidR="00DF6A03" w:rsidRPr="00F144AF" w:rsidRDefault="00DF6A03" w:rsidP="00B65047">
            <w:pPr>
              <w:rPr>
                <w:bCs/>
                <w:sz w:val="20"/>
                <w:szCs w:val="20"/>
              </w:rPr>
            </w:pPr>
            <w:r>
              <w:rPr>
                <w:bCs/>
                <w:sz w:val="20"/>
                <w:szCs w:val="20"/>
              </w:rPr>
              <w:t xml:space="preserve">Approuvé </w:t>
            </w:r>
          </w:p>
        </w:tc>
        <w:tc>
          <w:tcPr>
            <w:tcW w:w="1417" w:type="dxa"/>
            <w:shd w:val="clear" w:color="auto" w:fill="auto"/>
            <w:noWrap/>
            <w:vAlign w:val="center"/>
          </w:tcPr>
          <w:p w14:paraId="3F88DE74" w14:textId="77777777" w:rsidR="00DF6A03" w:rsidRPr="00F144AF" w:rsidRDefault="00DF6A03" w:rsidP="00B65047">
            <w:pPr>
              <w:jc w:val="right"/>
              <w:rPr>
                <w:sz w:val="20"/>
                <w:szCs w:val="20"/>
              </w:rPr>
            </w:pPr>
            <w:r>
              <w:rPr>
                <w:sz w:val="20"/>
                <w:szCs w:val="20"/>
              </w:rPr>
              <w:t>45 000</w:t>
            </w:r>
          </w:p>
        </w:tc>
        <w:tc>
          <w:tcPr>
            <w:tcW w:w="1417" w:type="dxa"/>
            <w:vAlign w:val="center"/>
          </w:tcPr>
          <w:p w14:paraId="00CAD3E6" w14:textId="77777777" w:rsidR="00DF6A03" w:rsidRPr="00F144AF" w:rsidRDefault="00DF6A03" w:rsidP="00B65047">
            <w:pPr>
              <w:jc w:val="right"/>
              <w:rPr>
                <w:sz w:val="20"/>
                <w:szCs w:val="20"/>
              </w:rPr>
            </w:pPr>
            <w:r>
              <w:rPr>
                <w:sz w:val="20"/>
                <w:szCs w:val="20"/>
              </w:rPr>
              <w:t>98 626*</w:t>
            </w:r>
          </w:p>
        </w:tc>
        <w:tc>
          <w:tcPr>
            <w:tcW w:w="1418" w:type="dxa"/>
            <w:shd w:val="clear" w:color="auto" w:fill="auto"/>
            <w:noWrap/>
            <w:vAlign w:val="center"/>
          </w:tcPr>
          <w:p w14:paraId="002FC42C" w14:textId="77777777" w:rsidR="00DF6A03" w:rsidRPr="00F144AF" w:rsidRDefault="00DF6A03" w:rsidP="00B65047">
            <w:pPr>
              <w:jc w:val="right"/>
              <w:rPr>
                <w:sz w:val="20"/>
                <w:szCs w:val="20"/>
              </w:rPr>
            </w:pPr>
            <w:r>
              <w:rPr>
                <w:sz w:val="20"/>
                <w:szCs w:val="20"/>
              </w:rPr>
              <w:t>143 626</w:t>
            </w:r>
          </w:p>
        </w:tc>
        <w:tc>
          <w:tcPr>
            <w:tcW w:w="2410" w:type="dxa"/>
            <w:vMerge w:val="restart"/>
            <w:shd w:val="clear" w:color="auto" w:fill="auto"/>
            <w:noWrap/>
            <w:vAlign w:val="center"/>
          </w:tcPr>
          <w:p w14:paraId="43858681" w14:textId="77777777" w:rsidR="00DF6A03" w:rsidRPr="00F144AF" w:rsidRDefault="00DF6A03" w:rsidP="00B65047">
            <w:pPr>
              <w:jc w:val="center"/>
              <w:rPr>
                <w:b/>
                <w:sz w:val="20"/>
                <w:szCs w:val="20"/>
              </w:rPr>
            </w:pPr>
            <w:r>
              <w:rPr>
                <w:b/>
                <w:sz w:val="20"/>
                <w:szCs w:val="20"/>
              </w:rPr>
              <w:t>100</w:t>
            </w:r>
          </w:p>
        </w:tc>
      </w:tr>
      <w:tr w:rsidR="00F144AF" w:rsidRPr="00F144AF" w14:paraId="501D0AAB" w14:textId="77777777" w:rsidTr="00B6015E">
        <w:trPr>
          <w:trHeight w:val="215"/>
        </w:trPr>
        <w:tc>
          <w:tcPr>
            <w:tcW w:w="1537" w:type="dxa"/>
            <w:vMerge/>
            <w:vAlign w:val="center"/>
            <w:hideMark/>
          </w:tcPr>
          <w:p w14:paraId="4F5DC846" w14:textId="77777777" w:rsidR="00255CDE" w:rsidRPr="00F144AF" w:rsidRDefault="00255CDE" w:rsidP="00B65047">
            <w:pPr>
              <w:jc w:val="left"/>
              <w:rPr>
                <w:bCs/>
                <w:sz w:val="20"/>
                <w:szCs w:val="20"/>
                <w:lang w:val="en-CA" w:eastAsia="en-CA"/>
              </w:rPr>
            </w:pPr>
          </w:p>
        </w:tc>
        <w:tc>
          <w:tcPr>
            <w:tcW w:w="1134" w:type="dxa"/>
            <w:shd w:val="clear" w:color="auto" w:fill="auto"/>
            <w:noWrap/>
            <w:vAlign w:val="center"/>
            <w:hideMark/>
          </w:tcPr>
          <w:p w14:paraId="5BD90D0E" w14:textId="77777777" w:rsidR="00255CDE" w:rsidRPr="00F144AF" w:rsidRDefault="00255CDE" w:rsidP="00B65047">
            <w:pPr>
              <w:rPr>
                <w:bCs/>
                <w:sz w:val="20"/>
                <w:szCs w:val="20"/>
              </w:rPr>
            </w:pPr>
            <w:r>
              <w:rPr>
                <w:bCs/>
                <w:sz w:val="20"/>
                <w:szCs w:val="20"/>
              </w:rPr>
              <w:t xml:space="preserve">Décaissé </w:t>
            </w:r>
          </w:p>
        </w:tc>
        <w:tc>
          <w:tcPr>
            <w:tcW w:w="1417" w:type="dxa"/>
            <w:shd w:val="clear" w:color="auto" w:fill="auto"/>
            <w:noWrap/>
            <w:vAlign w:val="center"/>
          </w:tcPr>
          <w:p w14:paraId="30D6B3F2" w14:textId="77777777" w:rsidR="00255CDE" w:rsidRPr="00F144AF" w:rsidRDefault="00DF6A03" w:rsidP="00B65047">
            <w:pPr>
              <w:jc w:val="right"/>
              <w:rPr>
                <w:sz w:val="20"/>
                <w:szCs w:val="20"/>
              </w:rPr>
            </w:pPr>
            <w:r>
              <w:rPr>
                <w:sz w:val="20"/>
                <w:szCs w:val="20"/>
              </w:rPr>
              <w:t>45 000</w:t>
            </w:r>
          </w:p>
        </w:tc>
        <w:tc>
          <w:tcPr>
            <w:tcW w:w="1417" w:type="dxa"/>
            <w:vAlign w:val="center"/>
          </w:tcPr>
          <w:p w14:paraId="37C206EF" w14:textId="77777777" w:rsidR="00255CDE" w:rsidRPr="00F144AF" w:rsidRDefault="00DF6A03" w:rsidP="00B65047">
            <w:pPr>
              <w:jc w:val="right"/>
              <w:rPr>
                <w:sz w:val="20"/>
                <w:szCs w:val="20"/>
              </w:rPr>
            </w:pPr>
            <w:r>
              <w:rPr>
                <w:sz w:val="20"/>
                <w:szCs w:val="20"/>
              </w:rPr>
              <w:t>98 626</w:t>
            </w:r>
          </w:p>
        </w:tc>
        <w:tc>
          <w:tcPr>
            <w:tcW w:w="1418" w:type="dxa"/>
            <w:shd w:val="clear" w:color="auto" w:fill="auto"/>
            <w:noWrap/>
            <w:vAlign w:val="center"/>
          </w:tcPr>
          <w:p w14:paraId="2990C542" w14:textId="77777777" w:rsidR="00255CDE" w:rsidRPr="00F144AF" w:rsidRDefault="00DF6A03" w:rsidP="00B65047">
            <w:pPr>
              <w:jc w:val="right"/>
              <w:rPr>
                <w:sz w:val="20"/>
                <w:szCs w:val="20"/>
              </w:rPr>
            </w:pPr>
            <w:r>
              <w:rPr>
                <w:sz w:val="20"/>
                <w:szCs w:val="20"/>
              </w:rPr>
              <w:t>143 626</w:t>
            </w:r>
          </w:p>
        </w:tc>
        <w:tc>
          <w:tcPr>
            <w:tcW w:w="2410" w:type="dxa"/>
            <w:vMerge/>
            <w:vAlign w:val="center"/>
          </w:tcPr>
          <w:p w14:paraId="31EC44ED" w14:textId="77777777" w:rsidR="00255CDE" w:rsidRPr="00F144AF" w:rsidRDefault="00255CDE" w:rsidP="00B65047">
            <w:pPr>
              <w:jc w:val="center"/>
              <w:rPr>
                <w:sz w:val="20"/>
                <w:szCs w:val="20"/>
                <w:lang w:val="en-CA" w:eastAsia="en-CA"/>
              </w:rPr>
            </w:pPr>
          </w:p>
        </w:tc>
      </w:tr>
      <w:tr w:rsidR="00F144AF" w:rsidRPr="00F144AF" w14:paraId="5F3D407F" w14:textId="77777777" w:rsidTr="00B6015E">
        <w:trPr>
          <w:trHeight w:val="152"/>
        </w:trPr>
        <w:tc>
          <w:tcPr>
            <w:tcW w:w="1537" w:type="dxa"/>
            <w:vMerge w:val="restart"/>
            <w:shd w:val="clear" w:color="auto" w:fill="auto"/>
            <w:noWrap/>
            <w:vAlign w:val="center"/>
            <w:hideMark/>
          </w:tcPr>
          <w:p w14:paraId="052F2268" w14:textId="77777777" w:rsidR="00255CDE" w:rsidRPr="00F144AF" w:rsidRDefault="00255CDE" w:rsidP="00B65047">
            <w:pPr>
              <w:jc w:val="left"/>
              <w:rPr>
                <w:bCs/>
                <w:sz w:val="20"/>
                <w:szCs w:val="20"/>
              </w:rPr>
            </w:pPr>
            <w:r>
              <w:rPr>
                <w:bCs/>
                <w:sz w:val="20"/>
                <w:szCs w:val="20"/>
              </w:rPr>
              <w:t>Deuxième tranche</w:t>
            </w:r>
          </w:p>
        </w:tc>
        <w:tc>
          <w:tcPr>
            <w:tcW w:w="1134" w:type="dxa"/>
            <w:shd w:val="clear" w:color="auto" w:fill="auto"/>
            <w:noWrap/>
            <w:vAlign w:val="center"/>
            <w:hideMark/>
          </w:tcPr>
          <w:p w14:paraId="7C47B2EA" w14:textId="77777777" w:rsidR="00255CDE" w:rsidRPr="00F144AF" w:rsidRDefault="00255CDE" w:rsidP="00B65047">
            <w:pPr>
              <w:rPr>
                <w:bCs/>
                <w:sz w:val="20"/>
                <w:szCs w:val="20"/>
              </w:rPr>
            </w:pPr>
            <w:r>
              <w:rPr>
                <w:bCs/>
                <w:sz w:val="20"/>
                <w:szCs w:val="20"/>
              </w:rPr>
              <w:t xml:space="preserve">Approuvé </w:t>
            </w:r>
          </w:p>
        </w:tc>
        <w:tc>
          <w:tcPr>
            <w:tcW w:w="1417" w:type="dxa"/>
            <w:shd w:val="clear" w:color="auto" w:fill="auto"/>
            <w:noWrap/>
            <w:vAlign w:val="center"/>
          </w:tcPr>
          <w:p w14:paraId="65A7B19E" w14:textId="77777777" w:rsidR="00255CDE" w:rsidRPr="00F144AF" w:rsidRDefault="003D7069" w:rsidP="00B65047">
            <w:pPr>
              <w:jc w:val="right"/>
              <w:rPr>
                <w:sz w:val="20"/>
                <w:szCs w:val="20"/>
              </w:rPr>
            </w:pPr>
            <w:r>
              <w:rPr>
                <w:sz w:val="20"/>
                <w:szCs w:val="20"/>
              </w:rPr>
              <w:t>30 000</w:t>
            </w:r>
          </w:p>
        </w:tc>
        <w:tc>
          <w:tcPr>
            <w:tcW w:w="1417" w:type="dxa"/>
            <w:vAlign w:val="center"/>
          </w:tcPr>
          <w:p w14:paraId="6D55E8EA" w14:textId="77777777" w:rsidR="00255CDE" w:rsidRPr="00F144AF" w:rsidRDefault="003D7069" w:rsidP="00B65047">
            <w:pPr>
              <w:jc w:val="right"/>
              <w:rPr>
                <w:sz w:val="20"/>
                <w:szCs w:val="20"/>
              </w:rPr>
            </w:pPr>
            <w:r>
              <w:rPr>
                <w:sz w:val="20"/>
                <w:szCs w:val="20"/>
              </w:rPr>
              <w:t>0</w:t>
            </w:r>
          </w:p>
        </w:tc>
        <w:tc>
          <w:tcPr>
            <w:tcW w:w="1418" w:type="dxa"/>
            <w:shd w:val="clear" w:color="auto" w:fill="auto"/>
            <w:noWrap/>
            <w:vAlign w:val="center"/>
          </w:tcPr>
          <w:p w14:paraId="13D55624" w14:textId="77777777" w:rsidR="00255CDE" w:rsidRPr="00F144AF" w:rsidRDefault="003D7069" w:rsidP="00B65047">
            <w:pPr>
              <w:jc w:val="right"/>
              <w:rPr>
                <w:sz w:val="20"/>
                <w:szCs w:val="20"/>
              </w:rPr>
            </w:pPr>
            <w:r>
              <w:rPr>
                <w:sz w:val="20"/>
                <w:szCs w:val="20"/>
              </w:rPr>
              <w:t>30 000</w:t>
            </w:r>
          </w:p>
        </w:tc>
        <w:tc>
          <w:tcPr>
            <w:tcW w:w="2410" w:type="dxa"/>
            <w:vMerge w:val="restart"/>
            <w:shd w:val="clear" w:color="auto" w:fill="auto"/>
            <w:noWrap/>
            <w:vAlign w:val="center"/>
          </w:tcPr>
          <w:p w14:paraId="7A5663BD" w14:textId="77777777" w:rsidR="00255CDE" w:rsidRPr="00F144AF" w:rsidRDefault="00DF6A03" w:rsidP="00B65047">
            <w:pPr>
              <w:jc w:val="center"/>
              <w:rPr>
                <w:sz w:val="20"/>
                <w:szCs w:val="20"/>
              </w:rPr>
            </w:pPr>
            <w:r>
              <w:rPr>
                <w:b/>
                <w:sz w:val="20"/>
                <w:szCs w:val="20"/>
              </w:rPr>
              <w:t>100</w:t>
            </w:r>
          </w:p>
        </w:tc>
      </w:tr>
      <w:tr w:rsidR="00F144AF" w:rsidRPr="00F144AF" w14:paraId="3A10D0A9" w14:textId="77777777" w:rsidTr="00B6015E">
        <w:trPr>
          <w:trHeight w:val="179"/>
        </w:trPr>
        <w:tc>
          <w:tcPr>
            <w:tcW w:w="1537" w:type="dxa"/>
            <w:vMerge/>
            <w:vAlign w:val="center"/>
            <w:hideMark/>
          </w:tcPr>
          <w:p w14:paraId="4BE02546" w14:textId="77777777" w:rsidR="00255CDE" w:rsidRPr="00F144AF" w:rsidRDefault="00255CDE" w:rsidP="00B65047">
            <w:pPr>
              <w:jc w:val="left"/>
              <w:rPr>
                <w:bCs/>
                <w:sz w:val="20"/>
                <w:szCs w:val="20"/>
                <w:lang w:val="en-CA" w:eastAsia="en-CA"/>
              </w:rPr>
            </w:pPr>
          </w:p>
        </w:tc>
        <w:tc>
          <w:tcPr>
            <w:tcW w:w="1134" w:type="dxa"/>
            <w:shd w:val="clear" w:color="auto" w:fill="auto"/>
            <w:noWrap/>
            <w:vAlign w:val="center"/>
            <w:hideMark/>
          </w:tcPr>
          <w:p w14:paraId="7102BFCD" w14:textId="77777777" w:rsidR="00255CDE" w:rsidRPr="00F144AF" w:rsidRDefault="00255CDE" w:rsidP="00B65047">
            <w:pPr>
              <w:rPr>
                <w:bCs/>
                <w:sz w:val="20"/>
                <w:szCs w:val="20"/>
              </w:rPr>
            </w:pPr>
            <w:r>
              <w:rPr>
                <w:bCs/>
                <w:sz w:val="20"/>
                <w:szCs w:val="20"/>
              </w:rPr>
              <w:t xml:space="preserve">Décaissé </w:t>
            </w:r>
          </w:p>
        </w:tc>
        <w:tc>
          <w:tcPr>
            <w:tcW w:w="1417" w:type="dxa"/>
            <w:shd w:val="clear" w:color="auto" w:fill="auto"/>
            <w:noWrap/>
            <w:vAlign w:val="center"/>
          </w:tcPr>
          <w:p w14:paraId="1184FF5B" w14:textId="77777777" w:rsidR="00255CDE" w:rsidRPr="00F144AF" w:rsidRDefault="00DF6A03" w:rsidP="00B65047">
            <w:pPr>
              <w:jc w:val="right"/>
              <w:rPr>
                <w:sz w:val="20"/>
                <w:szCs w:val="20"/>
              </w:rPr>
            </w:pPr>
            <w:r>
              <w:rPr>
                <w:sz w:val="20"/>
                <w:szCs w:val="20"/>
              </w:rPr>
              <w:t>30 000</w:t>
            </w:r>
          </w:p>
        </w:tc>
        <w:tc>
          <w:tcPr>
            <w:tcW w:w="1417" w:type="dxa"/>
            <w:vAlign w:val="center"/>
          </w:tcPr>
          <w:p w14:paraId="3644FE7B" w14:textId="77777777" w:rsidR="00255CDE" w:rsidRPr="00F144AF" w:rsidRDefault="00DF6A03" w:rsidP="00B65047">
            <w:pPr>
              <w:jc w:val="right"/>
              <w:rPr>
                <w:sz w:val="20"/>
                <w:szCs w:val="20"/>
              </w:rPr>
            </w:pPr>
            <w:r>
              <w:rPr>
                <w:sz w:val="20"/>
                <w:szCs w:val="20"/>
              </w:rPr>
              <w:t>0</w:t>
            </w:r>
          </w:p>
        </w:tc>
        <w:tc>
          <w:tcPr>
            <w:tcW w:w="1418" w:type="dxa"/>
            <w:shd w:val="clear" w:color="auto" w:fill="auto"/>
            <w:noWrap/>
            <w:vAlign w:val="center"/>
          </w:tcPr>
          <w:p w14:paraId="0FE385E9" w14:textId="77777777" w:rsidR="00255CDE" w:rsidRPr="00F144AF" w:rsidRDefault="00DF6A03" w:rsidP="00B65047">
            <w:pPr>
              <w:jc w:val="right"/>
              <w:rPr>
                <w:sz w:val="20"/>
                <w:szCs w:val="20"/>
              </w:rPr>
            </w:pPr>
            <w:r>
              <w:rPr>
                <w:sz w:val="20"/>
                <w:szCs w:val="20"/>
              </w:rPr>
              <w:t>30 000</w:t>
            </w:r>
          </w:p>
        </w:tc>
        <w:tc>
          <w:tcPr>
            <w:tcW w:w="2410" w:type="dxa"/>
            <w:vMerge/>
            <w:vAlign w:val="center"/>
          </w:tcPr>
          <w:p w14:paraId="2694EB3A" w14:textId="77777777" w:rsidR="00255CDE" w:rsidRPr="00F144AF" w:rsidRDefault="00255CDE" w:rsidP="00B65047">
            <w:pPr>
              <w:jc w:val="center"/>
              <w:rPr>
                <w:sz w:val="20"/>
                <w:szCs w:val="20"/>
                <w:lang w:val="en-CA" w:eastAsia="en-CA"/>
              </w:rPr>
            </w:pPr>
          </w:p>
        </w:tc>
      </w:tr>
      <w:tr w:rsidR="00F144AF" w:rsidRPr="00F144AF" w14:paraId="4B5FA16F" w14:textId="77777777" w:rsidTr="00B6015E">
        <w:trPr>
          <w:trHeight w:val="125"/>
        </w:trPr>
        <w:tc>
          <w:tcPr>
            <w:tcW w:w="1537" w:type="dxa"/>
            <w:vMerge w:val="restart"/>
            <w:shd w:val="clear" w:color="auto" w:fill="auto"/>
            <w:noWrap/>
            <w:vAlign w:val="center"/>
            <w:hideMark/>
          </w:tcPr>
          <w:p w14:paraId="3221ACE6" w14:textId="77777777" w:rsidR="00255CDE" w:rsidRPr="00F144AF" w:rsidRDefault="00255CDE" w:rsidP="00B65047">
            <w:pPr>
              <w:jc w:val="left"/>
              <w:rPr>
                <w:bCs/>
                <w:sz w:val="20"/>
                <w:szCs w:val="20"/>
              </w:rPr>
            </w:pPr>
            <w:r>
              <w:rPr>
                <w:bCs/>
                <w:sz w:val="20"/>
                <w:szCs w:val="20"/>
              </w:rPr>
              <w:t>Troisième tranche</w:t>
            </w:r>
          </w:p>
        </w:tc>
        <w:tc>
          <w:tcPr>
            <w:tcW w:w="1134" w:type="dxa"/>
            <w:shd w:val="clear" w:color="auto" w:fill="auto"/>
            <w:noWrap/>
            <w:vAlign w:val="center"/>
            <w:hideMark/>
          </w:tcPr>
          <w:p w14:paraId="50F2D4A9" w14:textId="77777777" w:rsidR="00255CDE" w:rsidRPr="00F144AF" w:rsidRDefault="00255CDE" w:rsidP="00B65047">
            <w:pPr>
              <w:rPr>
                <w:bCs/>
                <w:sz w:val="20"/>
                <w:szCs w:val="20"/>
              </w:rPr>
            </w:pPr>
            <w:r>
              <w:rPr>
                <w:bCs/>
                <w:sz w:val="20"/>
                <w:szCs w:val="20"/>
              </w:rPr>
              <w:t xml:space="preserve">Approuvé </w:t>
            </w:r>
          </w:p>
        </w:tc>
        <w:tc>
          <w:tcPr>
            <w:tcW w:w="1417" w:type="dxa"/>
            <w:shd w:val="clear" w:color="auto" w:fill="auto"/>
            <w:noWrap/>
            <w:vAlign w:val="center"/>
          </w:tcPr>
          <w:p w14:paraId="0ED540D2" w14:textId="77777777" w:rsidR="00255CDE" w:rsidRPr="00F144AF" w:rsidRDefault="003D7069" w:rsidP="00B65047">
            <w:pPr>
              <w:jc w:val="right"/>
              <w:rPr>
                <w:sz w:val="20"/>
                <w:szCs w:val="20"/>
              </w:rPr>
            </w:pPr>
            <w:r>
              <w:rPr>
                <w:sz w:val="20"/>
                <w:szCs w:val="20"/>
              </w:rPr>
              <w:t>40 000</w:t>
            </w:r>
          </w:p>
        </w:tc>
        <w:tc>
          <w:tcPr>
            <w:tcW w:w="1417" w:type="dxa"/>
            <w:vAlign w:val="center"/>
          </w:tcPr>
          <w:p w14:paraId="26248192" w14:textId="77777777" w:rsidR="00255CDE" w:rsidRPr="00F144AF" w:rsidRDefault="003D7069" w:rsidP="00B65047">
            <w:pPr>
              <w:jc w:val="right"/>
              <w:rPr>
                <w:sz w:val="20"/>
                <w:szCs w:val="20"/>
              </w:rPr>
            </w:pPr>
            <w:r>
              <w:rPr>
                <w:sz w:val="20"/>
                <w:szCs w:val="20"/>
              </w:rPr>
              <w:t>75 000</w:t>
            </w:r>
          </w:p>
        </w:tc>
        <w:tc>
          <w:tcPr>
            <w:tcW w:w="1418" w:type="dxa"/>
            <w:shd w:val="clear" w:color="auto" w:fill="auto"/>
            <w:noWrap/>
            <w:vAlign w:val="center"/>
          </w:tcPr>
          <w:p w14:paraId="618B8A3D" w14:textId="77777777" w:rsidR="00255CDE" w:rsidRPr="00F144AF" w:rsidRDefault="003D7069" w:rsidP="00B65047">
            <w:pPr>
              <w:jc w:val="right"/>
              <w:rPr>
                <w:sz w:val="20"/>
                <w:szCs w:val="20"/>
              </w:rPr>
            </w:pPr>
            <w:r>
              <w:rPr>
                <w:sz w:val="20"/>
                <w:szCs w:val="20"/>
              </w:rPr>
              <w:t>115 000</w:t>
            </w:r>
          </w:p>
        </w:tc>
        <w:tc>
          <w:tcPr>
            <w:tcW w:w="2410" w:type="dxa"/>
            <w:vMerge w:val="restart"/>
            <w:shd w:val="clear" w:color="auto" w:fill="auto"/>
            <w:noWrap/>
            <w:vAlign w:val="center"/>
          </w:tcPr>
          <w:p w14:paraId="41433BF3" w14:textId="77777777" w:rsidR="00255CDE" w:rsidRPr="00F144AF" w:rsidRDefault="00B92247" w:rsidP="00B65047">
            <w:pPr>
              <w:jc w:val="center"/>
              <w:rPr>
                <w:b/>
                <w:sz w:val="20"/>
                <w:szCs w:val="20"/>
              </w:rPr>
            </w:pPr>
            <w:r>
              <w:rPr>
                <w:b/>
                <w:sz w:val="20"/>
                <w:szCs w:val="20"/>
              </w:rPr>
              <w:t>77</w:t>
            </w:r>
          </w:p>
        </w:tc>
      </w:tr>
      <w:tr w:rsidR="00F144AF" w:rsidRPr="00F144AF" w14:paraId="3B9CB704" w14:textId="77777777" w:rsidTr="00B6015E">
        <w:trPr>
          <w:trHeight w:val="58"/>
        </w:trPr>
        <w:tc>
          <w:tcPr>
            <w:tcW w:w="1537" w:type="dxa"/>
            <w:vMerge/>
            <w:vAlign w:val="center"/>
            <w:hideMark/>
          </w:tcPr>
          <w:p w14:paraId="2EC0F618" w14:textId="77777777" w:rsidR="00255CDE" w:rsidRPr="00F144AF" w:rsidRDefault="00255CDE" w:rsidP="00B65047">
            <w:pPr>
              <w:jc w:val="left"/>
              <w:rPr>
                <w:bCs/>
                <w:sz w:val="20"/>
                <w:szCs w:val="20"/>
                <w:lang w:val="en-CA" w:eastAsia="en-CA"/>
              </w:rPr>
            </w:pPr>
          </w:p>
        </w:tc>
        <w:tc>
          <w:tcPr>
            <w:tcW w:w="1134" w:type="dxa"/>
            <w:shd w:val="clear" w:color="auto" w:fill="auto"/>
            <w:noWrap/>
            <w:vAlign w:val="center"/>
            <w:hideMark/>
          </w:tcPr>
          <w:p w14:paraId="3BADB73C" w14:textId="77777777" w:rsidR="00255CDE" w:rsidRPr="00F144AF" w:rsidRDefault="00255CDE" w:rsidP="00B65047">
            <w:pPr>
              <w:rPr>
                <w:bCs/>
                <w:sz w:val="20"/>
                <w:szCs w:val="20"/>
              </w:rPr>
            </w:pPr>
            <w:r>
              <w:rPr>
                <w:bCs/>
                <w:sz w:val="20"/>
                <w:szCs w:val="20"/>
              </w:rPr>
              <w:t xml:space="preserve">Décaissé </w:t>
            </w:r>
          </w:p>
        </w:tc>
        <w:tc>
          <w:tcPr>
            <w:tcW w:w="1417" w:type="dxa"/>
            <w:shd w:val="clear" w:color="auto" w:fill="auto"/>
            <w:noWrap/>
            <w:vAlign w:val="center"/>
          </w:tcPr>
          <w:p w14:paraId="125B3B56" w14:textId="77777777" w:rsidR="00255CDE" w:rsidRPr="00F144AF" w:rsidRDefault="00B92247" w:rsidP="00B65047">
            <w:pPr>
              <w:jc w:val="right"/>
              <w:rPr>
                <w:sz w:val="20"/>
                <w:szCs w:val="20"/>
              </w:rPr>
            </w:pPr>
            <w:r>
              <w:rPr>
                <w:sz w:val="20"/>
                <w:szCs w:val="20"/>
              </w:rPr>
              <w:t>20 000</w:t>
            </w:r>
          </w:p>
        </w:tc>
        <w:tc>
          <w:tcPr>
            <w:tcW w:w="1417" w:type="dxa"/>
            <w:vAlign w:val="center"/>
          </w:tcPr>
          <w:p w14:paraId="5100111B" w14:textId="77777777" w:rsidR="00255CDE" w:rsidRPr="00F144AF" w:rsidRDefault="00B92247" w:rsidP="00B65047">
            <w:pPr>
              <w:jc w:val="right"/>
              <w:rPr>
                <w:sz w:val="20"/>
                <w:szCs w:val="20"/>
              </w:rPr>
            </w:pPr>
            <w:r>
              <w:rPr>
                <w:sz w:val="20"/>
                <w:szCs w:val="20"/>
              </w:rPr>
              <w:t>68 327</w:t>
            </w:r>
          </w:p>
        </w:tc>
        <w:tc>
          <w:tcPr>
            <w:tcW w:w="1418" w:type="dxa"/>
            <w:shd w:val="clear" w:color="auto" w:fill="auto"/>
            <w:noWrap/>
            <w:vAlign w:val="center"/>
          </w:tcPr>
          <w:p w14:paraId="0A9D21DD" w14:textId="77777777" w:rsidR="00255CDE" w:rsidRPr="00F144AF" w:rsidRDefault="00B92247" w:rsidP="00B65047">
            <w:pPr>
              <w:jc w:val="right"/>
              <w:rPr>
                <w:sz w:val="20"/>
                <w:szCs w:val="20"/>
              </w:rPr>
            </w:pPr>
            <w:r>
              <w:rPr>
                <w:sz w:val="20"/>
                <w:szCs w:val="20"/>
              </w:rPr>
              <w:t>88 327</w:t>
            </w:r>
          </w:p>
        </w:tc>
        <w:tc>
          <w:tcPr>
            <w:tcW w:w="2410" w:type="dxa"/>
            <w:vMerge/>
            <w:vAlign w:val="center"/>
          </w:tcPr>
          <w:p w14:paraId="4928C1B9" w14:textId="77777777" w:rsidR="00255CDE" w:rsidRPr="00F144AF" w:rsidRDefault="00255CDE" w:rsidP="00B65047">
            <w:pPr>
              <w:jc w:val="center"/>
              <w:rPr>
                <w:sz w:val="20"/>
                <w:szCs w:val="20"/>
                <w:lang w:val="en-CA" w:eastAsia="en-CA"/>
              </w:rPr>
            </w:pPr>
          </w:p>
        </w:tc>
      </w:tr>
      <w:tr w:rsidR="00F144AF" w:rsidRPr="00F144AF" w14:paraId="521C7471" w14:textId="77777777" w:rsidTr="00B6015E">
        <w:trPr>
          <w:trHeight w:val="58"/>
        </w:trPr>
        <w:tc>
          <w:tcPr>
            <w:tcW w:w="1537" w:type="dxa"/>
            <w:vMerge w:val="restart"/>
            <w:shd w:val="clear" w:color="auto" w:fill="auto"/>
            <w:vAlign w:val="center"/>
            <w:hideMark/>
          </w:tcPr>
          <w:p w14:paraId="0625E202" w14:textId="77777777" w:rsidR="00255CDE" w:rsidRPr="00F144AF" w:rsidRDefault="00255CDE" w:rsidP="00B65047">
            <w:pPr>
              <w:jc w:val="left"/>
              <w:rPr>
                <w:bCs/>
                <w:sz w:val="20"/>
                <w:szCs w:val="20"/>
              </w:rPr>
            </w:pPr>
            <w:r>
              <w:rPr>
                <w:bCs/>
                <w:sz w:val="20"/>
                <w:szCs w:val="20"/>
              </w:rPr>
              <w:t>Total</w:t>
            </w:r>
          </w:p>
        </w:tc>
        <w:tc>
          <w:tcPr>
            <w:tcW w:w="1134" w:type="dxa"/>
            <w:shd w:val="clear" w:color="auto" w:fill="auto"/>
            <w:vAlign w:val="center"/>
            <w:hideMark/>
          </w:tcPr>
          <w:p w14:paraId="765C1A20" w14:textId="77777777" w:rsidR="00255CDE" w:rsidRPr="00F144AF" w:rsidRDefault="00255CDE" w:rsidP="00B65047">
            <w:pPr>
              <w:rPr>
                <w:bCs/>
                <w:sz w:val="20"/>
                <w:szCs w:val="20"/>
              </w:rPr>
            </w:pPr>
            <w:r>
              <w:rPr>
                <w:bCs/>
                <w:sz w:val="20"/>
                <w:szCs w:val="20"/>
              </w:rPr>
              <w:t xml:space="preserve">Approuvé </w:t>
            </w:r>
          </w:p>
        </w:tc>
        <w:tc>
          <w:tcPr>
            <w:tcW w:w="1417" w:type="dxa"/>
            <w:shd w:val="clear" w:color="auto" w:fill="auto"/>
            <w:vAlign w:val="center"/>
          </w:tcPr>
          <w:p w14:paraId="46632EB1" w14:textId="77777777" w:rsidR="00255CDE" w:rsidRPr="00F144AF" w:rsidRDefault="003D7069" w:rsidP="00B65047">
            <w:pPr>
              <w:jc w:val="right"/>
              <w:rPr>
                <w:sz w:val="20"/>
                <w:szCs w:val="20"/>
              </w:rPr>
            </w:pPr>
            <w:r>
              <w:rPr>
                <w:sz w:val="20"/>
                <w:szCs w:val="20"/>
              </w:rPr>
              <w:t>115 000</w:t>
            </w:r>
          </w:p>
        </w:tc>
        <w:tc>
          <w:tcPr>
            <w:tcW w:w="1417" w:type="dxa"/>
            <w:vAlign w:val="center"/>
          </w:tcPr>
          <w:p w14:paraId="660319E2" w14:textId="77777777" w:rsidR="00255CDE" w:rsidRPr="00F144AF" w:rsidRDefault="00DC0506" w:rsidP="00B65047">
            <w:pPr>
              <w:jc w:val="right"/>
              <w:rPr>
                <w:sz w:val="20"/>
                <w:szCs w:val="20"/>
              </w:rPr>
            </w:pPr>
            <w:r>
              <w:rPr>
                <w:sz w:val="20"/>
                <w:szCs w:val="20"/>
              </w:rPr>
              <w:t>173 626</w:t>
            </w:r>
          </w:p>
        </w:tc>
        <w:tc>
          <w:tcPr>
            <w:tcW w:w="1418" w:type="dxa"/>
            <w:shd w:val="clear" w:color="auto" w:fill="auto"/>
            <w:vAlign w:val="center"/>
          </w:tcPr>
          <w:p w14:paraId="2004EE49" w14:textId="77777777" w:rsidR="00255CDE" w:rsidRPr="00F144AF" w:rsidRDefault="00DC0506" w:rsidP="00B65047">
            <w:pPr>
              <w:jc w:val="right"/>
              <w:rPr>
                <w:sz w:val="20"/>
                <w:szCs w:val="20"/>
              </w:rPr>
            </w:pPr>
            <w:r>
              <w:rPr>
                <w:sz w:val="20"/>
                <w:szCs w:val="20"/>
              </w:rPr>
              <w:t>288 626</w:t>
            </w:r>
          </w:p>
        </w:tc>
        <w:tc>
          <w:tcPr>
            <w:tcW w:w="2410" w:type="dxa"/>
            <w:vMerge w:val="restart"/>
            <w:shd w:val="clear" w:color="auto" w:fill="auto"/>
            <w:vAlign w:val="center"/>
          </w:tcPr>
          <w:p w14:paraId="783631AB" w14:textId="77777777" w:rsidR="00255CDE" w:rsidRPr="00F144AF" w:rsidRDefault="00DC0506" w:rsidP="00B65047">
            <w:pPr>
              <w:jc w:val="center"/>
              <w:rPr>
                <w:b/>
                <w:sz w:val="20"/>
                <w:szCs w:val="20"/>
              </w:rPr>
            </w:pPr>
            <w:r>
              <w:rPr>
                <w:b/>
                <w:sz w:val="20"/>
                <w:szCs w:val="20"/>
              </w:rPr>
              <w:t>91</w:t>
            </w:r>
          </w:p>
        </w:tc>
      </w:tr>
      <w:tr w:rsidR="00F144AF" w:rsidRPr="00F144AF" w14:paraId="217C6E38" w14:textId="77777777" w:rsidTr="00B6015E">
        <w:trPr>
          <w:trHeight w:val="179"/>
        </w:trPr>
        <w:tc>
          <w:tcPr>
            <w:tcW w:w="1537" w:type="dxa"/>
            <w:vMerge/>
            <w:shd w:val="clear" w:color="auto" w:fill="auto"/>
            <w:vAlign w:val="center"/>
          </w:tcPr>
          <w:p w14:paraId="28ABEEB1" w14:textId="77777777" w:rsidR="00255CDE" w:rsidRPr="00F144AF" w:rsidRDefault="00255CDE" w:rsidP="00B65047">
            <w:pPr>
              <w:jc w:val="left"/>
              <w:rPr>
                <w:b/>
                <w:bCs/>
                <w:sz w:val="20"/>
                <w:szCs w:val="20"/>
                <w:lang w:val="en-CA" w:eastAsia="en-CA"/>
              </w:rPr>
            </w:pPr>
          </w:p>
        </w:tc>
        <w:tc>
          <w:tcPr>
            <w:tcW w:w="1134" w:type="dxa"/>
            <w:shd w:val="clear" w:color="auto" w:fill="auto"/>
            <w:vAlign w:val="center"/>
          </w:tcPr>
          <w:p w14:paraId="66F0B565" w14:textId="77777777" w:rsidR="00255CDE" w:rsidRPr="00F144AF" w:rsidRDefault="00255CDE" w:rsidP="00B65047">
            <w:pPr>
              <w:rPr>
                <w:bCs/>
                <w:sz w:val="20"/>
                <w:szCs w:val="20"/>
              </w:rPr>
            </w:pPr>
            <w:r>
              <w:rPr>
                <w:bCs/>
                <w:sz w:val="20"/>
                <w:szCs w:val="20"/>
              </w:rPr>
              <w:t xml:space="preserve">Décaissé </w:t>
            </w:r>
          </w:p>
        </w:tc>
        <w:tc>
          <w:tcPr>
            <w:tcW w:w="1417" w:type="dxa"/>
            <w:shd w:val="clear" w:color="auto" w:fill="auto"/>
            <w:vAlign w:val="center"/>
          </w:tcPr>
          <w:p w14:paraId="3B6BCD44" w14:textId="77777777" w:rsidR="00255CDE" w:rsidRPr="00F144AF" w:rsidRDefault="00DC0506" w:rsidP="00B65047">
            <w:pPr>
              <w:jc w:val="right"/>
              <w:rPr>
                <w:sz w:val="20"/>
                <w:szCs w:val="20"/>
              </w:rPr>
            </w:pPr>
            <w:r>
              <w:rPr>
                <w:sz w:val="20"/>
                <w:szCs w:val="20"/>
              </w:rPr>
              <w:t>95 000</w:t>
            </w:r>
          </w:p>
        </w:tc>
        <w:tc>
          <w:tcPr>
            <w:tcW w:w="1417" w:type="dxa"/>
            <w:vAlign w:val="center"/>
          </w:tcPr>
          <w:p w14:paraId="31AE80EC" w14:textId="77777777" w:rsidR="00255CDE" w:rsidRPr="00F144AF" w:rsidRDefault="00DC0506" w:rsidP="00B65047">
            <w:pPr>
              <w:jc w:val="right"/>
              <w:rPr>
                <w:sz w:val="20"/>
                <w:szCs w:val="20"/>
              </w:rPr>
            </w:pPr>
            <w:r>
              <w:rPr>
                <w:sz w:val="20"/>
                <w:szCs w:val="20"/>
              </w:rPr>
              <w:t>166 953</w:t>
            </w:r>
          </w:p>
        </w:tc>
        <w:tc>
          <w:tcPr>
            <w:tcW w:w="1418" w:type="dxa"/>
            <w:shd w:val="clear" w:color="auto" w:fill="auto"/>
            <w:vAlign w:val="center"/>
          </w:tcPr>
          <w:p w14:paraId="0E94A1B3" w14:textId="77777777" w:rsidR="00255CDE" w:rsidRPr="00F144AF" w:rsidRDefault="00DC0506" w:rsidP="00B65047">
            <w:pPr>
              <w:jc w:val="right"/>
              <w:rPr>
                <w:sz w:val="20"/>
                <w:szCs w:val="20"/>
              </w:rPr>
            </w:pPr>
            <w:r>
              <w:rPr>
                <w:sz w:val="20"/>
                <w:szCs w:val="20"/>
              </w:rPr>
              <w:t>261 953</w:t>
            </w:r>
          </w:p>
        </w:tc>
        <w:tc>
          <w:tcPr>
            <w:tcW w:w="2410" w:type="dxa"/>
            <w:vMerge/>
            <w:shd w:val="clear" w:color="auto" w:fill="auto"/>
            <w:vAlign w:val="center"/>
          </w:tcPr>
          <w:p w14:paraId="770BF9D6" w14:textId="77777777" w:rsidR="00255CDE" w:rsidRPr="00F144AF" w:rsidRDefault="00255CDE" w:rsidP="00B65047">
            <w:pPr>
              <w:jc w:val="center"/>
              <w:rPr>
                <w:sz w:val="20"/>
                <w:szCs w:val="20"/>
                <w:lang w:val="en-CA" w:eastAsia="en-CA"/>
              </w:rPr>
            </w:pPr>
          </w:p>
        </w:tc>
      </w:tr>
    </w:tbl>
    <w:p w14:paraId="3D9D2E57" w14:textId="77777777" w:rsidR="00255CDE" w:rsidRPr="00AF60D1" w:rsidRDefault="00DF6A03" w:rsidP="00B65047">
      <w:pPr>
        <w:rPr>
          <w:sz w:val="19"/>
          <w:szCs w:val="19"/>
        </w:rPr>
      </w:pPr>
      <w:r>
        <w:rPr>
          <w:sz w:val="19"/>
          <w:szCs w:val="19"/>
        </w:rPr>
        <w:t>* Après la rectification des soldes renvoyés lors de la 79</w:t>
      </w:r>
      <w:r>
        <w:rPr>
          <w:sz w:val="19"/>
          <w:szCs w:val="19"/>
          <w:vertAlign w:val="superscript"/>
        </w:rPr>
        <w:t>e</w:t>
      </w:r>
      <w:r>
        <w:rPr>
          <w:sz w:val="19"/>
          <w:szCs w:val="19"/>
        </w:rPr>
        <w:t xml:space="preserve"> réunion.</w:t>
      </w:r>
    </w:p>
    <w:p w14:paraId="52078AD5" w14:textId="77777777" w:rsidR="00DF6A03" w:rsidRPr="00AA0D76" w:rsidRDefault="00DF6A03" w:rsidP="00B65047"/>
    <w:p w14:paraId="0665F54F" w14:textId="77777777" w:rsidR="00255CDE" w:rsidRPr="00F144AF" w:rsidRDefault="00255CDE" w:rsidP="001D285A">
      <w:pPr>
        <w:keepNext/>
        <w:keepLines/>
        <w:rPr>
          <w:u w:val="single"/>
        </w:rPr>
      </w:pPr>
      <w:r>
        <w:rPr>
          <w:u w:val="single"/>
        </w:rPr>
        <w:lastRenderedPageBreak/>
        <w:t>Plan de mise en œuvre de la quatrième tranche du PGEH</w:t>
      </w:r>
    </w:p>
    <w:p w14:paraId="108088B5" w14:textId="77777777" w:rsidR="00255CDE" w:rsidRPr="00AA0D76" w:rsidRDefault="00255CDE" w:rsidP="001D285A">
      <w:pPr>
        <w:keepNext/>
        <w:keepLines/>
      </w:pPr>
    </w:p>
    <w:p w14:paraId="2E09334A" w14:textId="77777777" w:rsidR="00255CDE" w:rsidRPr="00F144AF" w:rsidRDefault="00255CDE" w:rsidP="001D285A">
      <w:pPr>
        <w:pStyle w:val="Heading1"/>
        <w:keepNext/>
        <w:keepLines/>
      </w:pPr>
      <w:r>
        <w:t xml:space="preserve">Les activités suivantes seront mises en œuvre </w:t>
      </w:r>
      <w:r w:rsidR="00555E21">
        <w:t>entre janvier 2020 et mars 2021 </w:t>
      </w:r>
      <w:r>
        <w:t>:</w:t>
      </w:r>
    </w:p>
    <w:p w14:paraId="320165D1" w14:textId="3E622203" w:rsidR="00255CDE" w:rsidRPr="00F144AF" w:rsidRDefault="00FB330D" w:rsidP="001D285A">
      <w:pPr>
        <w:pStyle w:val="Heading2"/>
        <w:keepNext/>
        <w:keepLines/>
      </w:pPr>
      <w:r>
        <w:t xml:space="preserve">Renforcement des compétences nationales (douanes, inspecteurs de l’environnement, ministère du Commerce) pour la surveillance et le contrôle de l’importation et de la distribution des HCFC : </w:t>
      </w:r>
      <w:r w:rsidR="00DC7B64">
        <w:t>t</w:t>
      </w:r>
      <w:r>
        <w:t xml:space="preserve">rois ateliers de formation pour 60 agents des douanes sur l’identification et le contrôle des HCFC et des équipements à base de HCFC (PNUE) (8 000 $ US); </w:t>
      </w:r>
    </w:p>
    <w:p w14:paraId="7AABC4C9" w14:textId="55BF952B" w:rsidR="00255CDE" w:rsidRPr="00F144AF" w:rsidRDefault="00B60FC1" w:rsidP="00B65047">
      <w:pPr>
        <w:pStyle w:val="Heading2"/>
      </w:pPr>
      <w:r>
        <w:t xml:space="preserve">Renforcement des compétences techniques des experts en réfrigération sur les bonnes pratiques de réfrigération : </w:t>
      </w:r>
      <w:r w:rsidR="00DC7B64">
        <w:t>t</w:t>
      </w:r>
      <w:r>
        <w:t>rois ateliers de formation pour 90 techniciens en climatisation sur la récupération et le recyclage des HCFC ainsi que sur la manipulation sûre des frigorigènes à base d’hydrocarbures (PNUE) (12 000 $ US);</w:t>
      </w:r>
    </w:p>
    <w:p w14:paraId="2AA94643" w14:textId="77777777" w:rsidR="00255CDE" w:rsidRPr="00F144AF" w:rsidRDefault="008401FF" w:rsidP="00D97D6F">
      <w:pPr>
        <w:pStyle w:val="Heading2"/>
        <w:keepNext/>
      </w:pPr>
      <w:r>
        <w:t>PMU : Recrutement de deux consultants nationaux (un expert en réfrigération et un autre en douanes) (5 000 $ US) en plus de l’équipe existante au sein de l’UNO pour contribuer à la supervision de la mise en œuvre efficace de toutes les activités du PGEH et à la collecte de données exactes; le personnel de surveillance voyagera (4 000 $ US), fournira des rapports sur la mise en œuvre du PGEH et les communiquera (1 000 $ US) (PNUE).</w:t>
      </w:r>
    </w:p>
    <w:p w14:paraId="3AF939E7" w14:textId="77777777" w:rsidR="00255CDE" w:rsidRPr="00AA0D76" w:rsidRDefault="00255CDE" w:rsidP="00B65047"/>
    <w:p w14:paraId="062F2A4A" w14:textId="77777777" w:rsidR="00255CDE" w:rsidRPr="00F144AF" w:rsidRDefault="00255CDE" w:rsidP="00B65047">
      <w:pPr>
        <w:jc w:val="center"/>
        <w:rPr>
          <w:b/>
        </w:rPr>
      </w:pPr>
      <w:r>
        <w:rPr>
          <w:b/>
        </w:rPr>
        <w:t>OBSERVATIONS ET RECOMMANDATION DU SECRÉTARIAT</w:t>
      </w:r>
    </w:p>
    <w:p w14:paraId="5A76046A" w14:textId="77777777" w:rsidR="00255CDE" w:rsidRPr="00AA0D76" w:rsidRDefault="00255CDE" w:rsidP="00B65047"/>
    <w:p w14:paraId="7C9444CD" w14:textId="77777777" w:rsidR="00255CDE" w:rsidRPr="00F144AF" w:rsidRDefault="00255CDE" w:rsidP="00B65047">
      <w:pPr>
        <w:rPr>
          <w:b/>
        </w:rPr>
      </w:pPr>
      <w:r>
        <w:rPr>
          <w:b/>
        </w:rPr>
        <w:t>OBSERVATIONS</w:t>
      </w:r>
    </w:p>
    <w:p w14:paraId="5F2054B2" w14:textId="77777777" w:rsidR="00255CDE" w:rsidRPr="00AA0D76" w:rsidRDefault="00255CDE" w:rsidP="00B65047"/>
    <w:p w14:paraId="765E23FA" w14:textId="77777777" w:rsidR="00255CDE" w:rsidRPr="00F144AF" w:rsidRDefault="00255CDE" w:rsidP="00B65047">
      <w:pPr>
        <w:rPr>
          <w:u w:val="single"/>
        </w:rPr>
      </w:pPr>
      <w:r>
        <w:rPr>
          <w:u w:val="single"/>
        </w:rPr>
        <w:t>Rapport périodique sur la mise en œuvre de la troisième tranche du PGEH</w:t>
      </w:r>
    </w:p>
    <w:p w14:paraId="14971C91" w14:textId="77777777" w:rsidR="00255CDE" w:rsidRPr="00AA0D76" w:rsidRDefault="00255CDE" w:rsidP="00B65047"/>
    <w:p w14:paraId="042FAC23" w14:textId="77777777" w:rsidR="007436EC" w:rsidRPr="00F144AF" w:rsidRDefault="00B761F2" w:rsidP="00B65047">
      <w:pPr>
        <w:pStyle w:val="Heading1"/>
      </w:pPr>
      <w:r>
        <w:t xml:space="preserve">Après une demande de précision, le PNUE a expliqué que le retard dans la présentation de la quatrième tranche a été causé par un changement au sein de l’UNO, avec la retraite de l’ancien agent national de l’ozone et des retards dans la nomination d’un nouvel agent. </w:t>
      </w:r>
    </w:p>
    <w:p w14:paraId="33EB7CCD" w14:textId="77777777" w:rsidR="00255CDE" w:rsidRPr="00F144AF" w:rsidRDefault="00255CDE" w:rsidP="00B65047">
      <w:pPr>
        <w:rPr>
          <w:i/>
        </w:rPr>
      </w:pPr>
      <w:r>
        <w:rPr>
          <w:i/>
        </w:rPr>
        <w:t xml:space="preserve">Cadre juridique </w:t>
      </w:r>
    </w:p>
    <w:p w14:paraId="6C1FA640" w14:textId="77777777" w:rsidR="00255CDE" w:rsidRPr="00F144AF" w:rsidRDefault="00255CDE" w:rsidP="00B65047">
      <w:pPr>
        <w:rPr>
          <w:lang w:val="en-CA"/>
        </w:rPr>
      </w:pPr>
    </w:p>
    <w:p w14:paraId="1539E707" w14:textId="77777777" w:rsidR="00255CDE" w:rsidRPr="00F144AF" w:rsidRDefault="00255CDE" w:rsidP="00B65047">
      <w:pPr>
        <w:pStyle w:val="Heading1"/>
      </w:pPr>
      <w:r>
        <w:t xml:space="preserve">Le gouvernement du Congo a déjà émis des quotas d’importation de HCFC pour 2019 à 6,88 tonnes PAO (125 tm), ce qui est inférieur aux cibles du Protocole de Montréal de 25 pour cent. Pour renforcer les règlements nationaux afin de réduire la dépendance aux HCFC, le gouvernement du Congo travaille avec d’autres membres du CEMAC afin de mettre à jour les règlements sur l’interdiction de l’importation des équipements à base de HCFC d’ici 2020 et pour contrôler l’usage des équipements à base de HFC. </w:t>
      </w:r>
    </w:p>
    <w:p w14:paraId="6960C218" w14:textId="77777777" w:rsidR="00255CDE" w:rsidRPr="00F144AF" w:rsidRDefault="00255CDE" w:rsidP="00B65047">
      <w:pPr>
        <w:rPr>
          <w:i/>
        </w:rPr>
      </w:pPr>
      <w:r>
        <w:rPr>
          <w:i/>
        </w:rPr>
        <w:t>Secteur de l’entretien en réfrigération</w:t>
      </w:r>
    </w:p>
    <w:p w14:paraId="400308A8" w14:textId="77777777" w:rsidR="00255CDE" w:rsidRPr="00F144AF" w:rsidRDefault="00255CDE" w:rsidP="00B65047">
      <w:pPr>
        <w:rPr>
          <w:lang w:val="en-CA"/>
        </w:rPr>
      </w:pPr>
    </w:p>
    <w:p w14:paraId="4F6FEB20" w14:textId="11D9B83A" w:rsidR="00255CDE" w:rsidRPr="00F144AF" w:rsidRDefault="005E7616" w:rsidP="00B65047">
      <w:pPr>
        <w:pStyle w:val="Heading1"/>
      </w:pPr>
      <w:r>
        <w:t xml:space="preserve">Le PNUE a confirmé que le programme de formation pour les techniciens en réfrigération couvre l’usage sûr des frigorigènes inflammables; toutefois, il assure qu’il n’y a pas de conversion des équipements à base </w:t>
      </w:r>
      <w:r w:rsidR="00E17C19">
        <w:t xml:space="preserve">de </w:t>
      </w:r>
      <w:r>
        <w:t>HCFC-22 vers des frigorigènes inflammables. L’UNO est pleinement consciente des décisions du Comité exécutif concernant la conversion des équipements utilisant des frigorigènes inflammables dans des équipements conçus pour des frigorigènes non inflammables.</w:t>
      </w:r>
      <w:r w:rsidR="00FE652C" w:rsidRPr="00F144AF">
        <w:rPr>
          <w:rStyle w:val="FootnoteReference"/>
          <w:lang w:val="en-CA"/>
        </w:rPr>
        <w:footnoteReference w:id="2"/>
      </w:r>
      <w:r>
        <w:t xml:space="preserve">  </w:t>
      </w:r>
    </w:p>
    <w:p w14:paraId="139BF927" w14:textId="77777777" w:rsidR="00255CDE" w:rsidRPr="00F144AF" w:rsidRDefault="00255CDE" w:rsidP="006B26CA">
      <w:pPr>
        <w:keepNext/>
        <w:keepLines/>
        <w:rPr>
          <w:u w:val="single"/>
        </w:rPr>
      </w:pPr>
      <w:r>
        <w:rPr>
          <w:u w:val="single"/>
        </w:rPr>
        <w:lastRenderedPageBreak/>
        <w:t xml:space="preserve">Durabilité de l’élimination des HCFC </w:t>
      </w:r>
    </w:p>
    <w:p w14:paraId="61B20E6E" w14:textId="77777777" w:rsidR="00255CDE" w:rsidRPr="00F144AF" w:rsidRDefault="00255CDE" w:rsidP="006B26CA">
      <w:pPr>
        <w:keepNext/>
        <w:keepLines/>
        <w:rPr>
          <w:u w:val="single"/>
          <w:lang w:val="en-CA"/>
        </w:rPr>
      </w:pPr>
    </w:p>
    <w:p w14:paraId="06E073D2" w14:textId="77777777" w:rsidR="00255CDE" w:rsidRPr="00F144AF" w:rsidRDefault="001133A9" w:rsidP="006B26CA">
      <w:pPr>
        <w:pStyle w:val="Heading1"/>
        <w:keepNext/>
        <w:keepLines/>
      </w:pPr>
      <w:r>
        <w:t xml:space="preserve">Dans le cadre de la phase I, l’assistance technique et les équipements de formation ont été fournis aux centres de formation nationaux des techniciens en climatisation sur une base continue. Afin de réduire la dépendance aux équipements de climatisation à base de HCFC, le gouvernement envisage d’émettre une interdiction sur l’importation de ces équipements dans un futur proche. Une combinaison des mesures énoncées ci-dessus devrait engendrer l’élimination durable des HCFC au pays.   </w:t>
      </w:r>
    </w:p>
    <w:p w14:paraId="6BC7FB4E" w14:textId="77777777" w:rsidR="00255CDE" w:rsidRPr="00F144AF" w:rsidRDefault="00255CDE" w:rsidP="00B65047">
      <w:pPr>
        <w:rPr>
          <w:u w:val="single"/>
        </w:rPr>
      </w:pPr>
      <w:r>
        <w:rPr>
          <w:u w:val="single"/>
        </w:rPr>
        <w:t xml:space="preserve">Conclusion </w:t>
      </w:r>
    </w:p>
    <w:p w14:paraId="7200CC21" w14:textId="77777777" w:rsidR="00255CDE" w:rsidRPr="00F144AF" w:rsidRDefault="00255CDE" w:rsidP="00B65047">
      <w:pPr>
        <w:rPr>
          <w:lang w:val="en-CA"/>
        </w:rPr>
      </w:pPr>
    </w:p>
    <w:p w14:paraId="23A4044D" w14:textId="41EE4BA7" w:rsidR="00255CDE" w:rsidRPr="00F144AF" w:rsidRDefault="00CC7A70" w:rsidP="00B65047">
      <w:pPr>
        <w:pStyle w:val="Heading1"/>
      </w:pPr>
      <w:r>
        <w:t>Le PGEH progresse même si le pays a fait face à des défis par le passé, ce qui a causé un retard dans la présentation de la tranche actuelle. Le système d’octroi de permis et de quotas pour l’importation du pays est opérationnel. La consommation de HCFC en 2018 est de 21,9 % en dessous des cibles de contrôle du Protocole de Montréal. Les activités mises en œuvre jusqu’ici dans le cadre des trois premières tranches, incluant le renforcement des centres d’excellence du pays, les compétences nationales pour le contrôle des HCFC et la distribution des équipements et des outils d’entretien en réfrigération, ainsi que celles prévues dans le cadre de la quatrième tranche et qui incluent la formation des agents des douanes et de l’exécution de la loi et la formation des techniciens d’entretien et des experts, renforcer</w:t>
      </w:r>
      <w:r w:rsidR="00E17C19">
        <w:t>ont</w:t>
      </w:r>
      <w:r>
        <w:t xml:space="preserve"> par ailleurs le secteur de l’entretien et assurer</w:t>
      </w:r>
      <w:r w:rsidR="00E17C19">
        <w:t>ont</w:t>
      </w:r>
      <w:r>
        <w:t xml:space="preserve"> la durabilité à long terme des activités proposées dans le cadre de la phase I du PGEH. Le taux de décaissement des fonds de la troisième tranche est de 77 % des fonds approuvés.</w:t>
      </w:r>
    </w:p>
    <w:p w14:paraId="6645D09E" w14:textId="77777777" w:rsidR="00255CDE" w:rsidRPr="00F144AF" w:rsidRDefault="00255CDE" w:rsidP="00D97D6F">
      <w:pPr>
        <w:keepNext/>
      </w:pPr>
      <w:r>
        <w:rPr>
          <w:b/>
        </w:rPr>
        <w:t xml:space="preserve">RECOMMANDATION </w:t>
      </w:r>
    </w:p>
    <w:p w14:paraId="1F6124A7" w14:textId="77777777" w:rsidR="00255CDE" w:rsidRPr="00F144AF" w:rsidRDefault="00255CDE" w:rsidP="00D97D6F">
      <w:pPr>
        <w:keepNext/>
        <w:rPr>
          <w:lang w:val="en-CA"/>
        </w:rPr>
      </w:pPr>
    </w:p>
    <w:p w14:paraId="6CC7D9AE" w14:textId="6DD92E31" w:rsidR="00255CDE" w:rsidRPr="00F144AF" w:rsidRDefault="00255CDE" w:rsidP="00D97D6F">
      <w:pPr>
        <w:pStyle w:val="Heading1"/>
        <w:keepNext/>
      </w:pPr>
      <w:r>
        <w:t>Le Secrétariat du Fonds recommande que le Comité exécutif prenne note du rapport périodique sur la mise en œuvre de la troisième tranche de la phase I du plan de gestion de l’élimination des HCFC (PGEH) du Congo, et recommande en outre l’approbation générale de la quatrième tranche de la phase I du PGEH du Congo, ainsi que le plan de mise en œuvre de la tranche correspondante pour 2020-2021 au niveau de financement indiqué dans le tableau ci-dessous</w:t>
      </w:r>
      <w:r w:rsidR="001A665D">
        <w:t>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4370"/>
        <w:gridCol w:w="1477"/>
        <w:gridCol w:w="1477"/>
        <w:gridCol w:w="1477"/>
      </w:tblGrid>
      <w:tr w:rsidR="00F144AF" w:rsidRPr="00F144AF" w14:paraId="4288D1A5" w14:textId="77777777" w:rsidTr="008504F9">
        <w:tc>
          <w:tcPr>
            <w:tcW w:w="293" w:type="pct"/>
          </w:tcPr>
          <w:p w14:paraId="49F6DF32" w14:textId="77777777" w:rsidR="00255CDE" w:rsidRPr="00AA0D76" w:rsidRDefault="00255CDE" w:rsidP="00B65047">
            <w:pPr>
              <w:jc w:val="center"/>
              <w:rPr>
                <w:b/>
                <w:bCs/>
                <w:sz w:val="20"/>
                <w:szCs w:val="20"/>
              </w:rPr>
            </w:pPr>
          </w:p>
        </w:tc>
        <w:tc>
          <w:tcPr>
            <w:tcW w:w="2337" w:type="pct"/>
          </w:tcPr>
          <w:p w14:paraId="1EDD6C17" w14:textId="77777777" w:rsidR="00255CDE" w:rsidRPr="00F144AF" w:rsidRDefault="00255CDE" w:rsidP="00B65047">
            <w:pPr>
              <w:jc w:val="center"/>
              <w:rPr>
                <w:b/>
                <w:bCs/>
                <w:sz w:val="20"/>
                <w:szCs w:val="20"/>
              </w:rPr>
            </w:pPr>
            <w:r>
              <w:rPr>
                <w:b/>
                <w:bCs/>
                <w:sz w:val="20"/>
                <w:szCs w:val="20"/>
              </w:rPr>
              <w:t>Titre du projet</w:t>
            </w:r>
          </w:p>
        </w:tc>
        <w:tc>
          <w:tcPr>
            <w:tcW w:w="790" w:type="pct"/>
            <w:tcMar>
              <w:left w:w="29" w:type="dxa"/>
              <w:right w:w="29" w:type="dxa"/>
            </w:tcMar>
          </w:tcPr>
          <w:p w14:paraId="2F88698D" w14:textId="77777777" w:rsidR="00255CDE" w:rsidRPr="00F144AF" w:rsidRDefault="00255CDE" w:rsidP="00B65047">
            <w:pPr>
              <w:jc w:val="center"/>
              <w:rPr>
                <w:b/>
                <w:bCs/>
                <w:sz w:val="20"/>
                <w:szCs w:val="20"/>
              </w:rPr>
            </w:pPr>
            <w:r>
              <w:rPr>
                <w:b/>
                <w:bCs/>
                <w:sz w:val="20"/>
                <w:szCs w:val="20"/>
              </w:rPr>
              <w:t>Financement du projet ($ US)</w:t>
            </w:r>
          </w:p>
        </w:tc>
        <w:tc>
          <w:tcPr>
            <w:tcW w:w="790" w:type="pct"/>
            <w:tcMar>
              <w:left w:w="29" w:type="dxa"/>
              <w:right w:w="29" w:type="dxa"/>
            </w:tcMar>
          </w:tcPr>
          <w:p w14:paraId="1F460CBC" w14:textId="77777777" w:rsidR="00255CDE" w:rsidRPr="00F144AF" w:rsidRDefault="00255CDE" w:rsidP="00B65047">
            <w:pPr>
              <w:jc w:val="center"/>
              <w:rPr>
                <w:b/>
                <w:bCs/>
                <w:sz w:val="20"/>
                <w:szCs w:val="20"/>
              </w:rPr>
            </w:pPr>
            <w:r>
              <w:rPr>
                <w:b/>
                <w:bCs/>
                <w:sz w:val="20"/>
                <w:szCs w:val="20"/>
              </w:rPr>
              <w:t>Coûts d’appui ($ US)</w:t>
            </w:r>
          </w:p>
        </w:tc>
        <w:tc>
          <w:tcPr>
            <w:tcW w:w="790" w:type="pct"/>
            <w:tcMar>
              <w:left w:w="29" w:type="dxa"/>
              <w:right w:w="29" w:type="dxa"/>
            </w:tcMar>
          </w:tcPr>
          <w:p w14:paraId="5D6338D9" w14:textId="77777777" w:rsidR="00255CDE" w:rsidRPr="00F144AF" w:rsidRDefault="00255CDE" w:rsidP="00B65047">
            <w:pPr>
              <w:jc w:val="center"/>
              <w:rPr>
                <w:b/>
                <w:bCs/>
                <w:sz w:val="20"/>
                <w:szCs w:val="20"/>
              </w:rPr>
            </w:pPr>
            <w:r>
              <w:rPr>
                <w:b/>
                <w:bCs/>
                <w:sz w:val="20"/>
                <w:szCs w:val="20"/>
              </w:rPr>
              <w:t>Agence d’exécution</w:t>
            </w:r>
          </w:p>
        </w:tc>
      </w:tr>
      <w:tr w:rsidR="00255CDE" w:rsidRPr="00F144AF" w14:paraId="4C22D6A6" w14:textId="77777777" w:rsidTr="008504F9">
        <w:tc>
          <w:tcPr>
            <w:tcW w:w="293" w:type="pct"/>
          </w:tcPr>
          <w:p w14:paraId="15DF879A" w14:textId="77777777" w:rsidR="00255CDE" w:rsidRPr="00F144AF" w:rsidRDefault="00255CDE" w:rsidP="00B65047">
            <w:pPr>
              <w:rPr>
                <w:sz w:val="20"/>
                <w:szCs w:val="20"/>
              </w:rPr>
            </w:pPr>
            <w:r>
              <w:rPr>
                <w:sz w:val="20"/>
                <w:szCs w:val="20"/>
              </w:rPr>
              <w:t>(a)</w:t>
            </w:r>
          </w:p>
        </w:tc>
        <w:tc>
          <w:tcPr>
            <w:tcW w:w="2337" w:type="pct"/>
          </w:tcPr>
          <w:p w14:paraId="3B61DE8F" w14:textId="77777777" w:rsidR="00255CDE" w:rsidRPr="00F144AF" w:rsidRDefault="00255CDE" w:rsidP="00B65047">
            <w:pPr>
              <w:rPr>
                <w:sz w:val="20"/>
                <w:szCs w:val="20"/>
              </w:rPr>
            </w:pPr>
            <w:r>
              <w:rPr>
                <w:sz w:val="20"/>
                <w:szCs w:val="20"/>
              </w:rPr>
              <w:t>Plan de gestion de l’élimination des HCFC (phase I, quatrième tranche)</w:t>
            </w:r>
          </w:p>
        </w:tc>
        <w:tc>
          <w:tcPr>
            <w:tcW w:w="790" w:type="pct"/>
          </w:tcPr>
          <w:p w14:paraId="34A3F5F5" w14:textId="77777777" w:rsidR="00255CDE" w:rsidRPr="00F144AF" w:rsidRDefault="00B67BA4" w:rsidP="00B65047">
            <w:pPr>
              <w:jc w:val="right"/>
              <w:rPr>
                <w:sz w:val="20"/>
                <w:szCs w:val="20"/>
              </w:rPr>
            </w:pPr>
            <w:r>
              <w:rPr>
                <w:sz w:val="20"/>
                <w:szCs w:val="20"/>
              </w:rPr>
              <w:t>25 000</w:t>
            </w:r>
          </w:p>
        </w:tc>
        <w:tc>
          <w:tcPr>
            <w:tcW w:w="790" w:type="pct"/>
          </w:tcPr>
          <w:p w14:paraId="111F81F6" w14:textId="77777777" w:rsidR="00255CDE" w:rsidRPr="00F144AF" w:rsidRDefault="00B67BA4" w:rsidP="00B65047">
            <w:pPr>
              <w:jc w:val="right"/>
            </w:pPr>
            <w:r>
              <w:rPr>
                <w:sz w:val="20"/>
                <w:szCs w:val="20"/>
              </w:rPr>
              <w:t>3 250</w:t>
            </w:r>
          </w:p>
        </w:tc>
        <w:tc>
          <w:tcPr>
            <w:tcW w:w="790" w:type="pct"/>
          </w:tcPr>
          <w:p w14:paraId="00C97890" w14:textId="77777777" w:rsidR="00255CDE" w:rsidRPr="00F144AF" w:rsidRDefault="00B67BA4" w:rsidP="00B65047">
            <w:pPr>
              <w:jc w:val="center"/>
              <w:rPr>
                <w:sz w:val="20"/>
                <w:szCs w:val="20"/>
              </w:rPr>
            </w:pPr>
            <w:r>
              <w:rPr>
                <w:sz w:val="20"/>
                <w:szCs w:val="20"/>
              </w:rPr>
              <w:t>PNUE</w:t>
            </w:r>
          </w:p>
        </w:tc>
      </w:tr>
    </w:tbl>
    <w:p w14:paraId="6F9169D5" w14:textId="77777777" w:rsidR="00255CDE" w:rsidRPr="00F144AF" w:rsidRDefault="00255CDE" w:rsidP="00B6504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335D8" w:rsidRPr="00F144AF" w14:paraId="770E46D2" w14:textId="77777777" w:rsidTr="00900108">
        <w:tc>
          <w:tcPr>
            <w:tcW w:w="1915" w:type="dxa"/>
          </w:tcPr>
          <w:p w14:paraId="3895F947" w14:textId="77777777" w:rsidR="003335D8" w:rsidRPr="00F144AF" w:rsidRDefault="003335D8" w:rsidP="00B65047">
            <w:pPr>
              <w:tabs>
                <w:tab w:val="left" w:pos="8280"/>
              </w:tabs>
            </w:pPr>
          </w:p>
        </w:tc>
        <w:tc>
          <w:tcPr>
            <w:tcW w:w="1915" w:type="dxa"/>
          </w:tcPr>
          <w:p w14:paraId="6C88FE05" w14:textId="77777777" w:rsidR="003335D8" w:rsidRPr="00F144AF" w:rsidRDefault="003335D8" w:rsidP="00B65047">
            <w:pPr>
              <w:tabs>
                <w:tab w:val="left" w:pos="8280"/>
              </w:tabs>
            </w:pPr>
          </w:p>
        </w:tc>
        <w:tc>
          <w:tcPr>
            <w:tcW w:w="1915" w:type="dxa"/>
            <w:tcBorders>
              <w:bottom w:val="single" w:sz="4" w:space="0" w:color="auto"/>
            </w:tcBorders>
          </w:tcPr>
          <w:p w14:paraId="5E85EEDD" w14:textId="77777777" w:rsidR="003335D8" w:rsidRPr="00F144AF" w:rsidRDefault="003335D8" w:rsidP="00B65047">
            <w:pPr>
              <w:tabs>
                <w:tab w:val="left" w:pos="8280"/>
              </w:tabs>
            </w:pPr>
          </w:p>
        </w:tc>
        <w:tc>
          <w:tcPr>
            <w:tcW w:w="1915" w:type="dxa"/>
          </w:tcPr>
          <w:p w14:paraId="53298799" w14:textId="77777777" w:rsidR="003335D8" w:rsidRPr="00F144AF" w:rsidRDefault="003335D8" w:rsidP="00B65047">
            <w:pPr>
              <w:tabs>
                <w:tab w:val="left" w:pos="8280"/>
              </w:tabs>
            </w:pPr>
          </w:p>
        </w:tc>
        <w:tc>
          <w:tcPr>
            <w:tcW w:w="1916" w:type="dxa"/>
          </w:tcPr>
          <w:p w14:paraId="7B43E753" w14:textId="77777777" w:rsidR="003335D8" w:rsidRPr="00F144AF" w:rsidRDefault="003335D8" w:rsidP="00B65047">
            <w:pPr>
              <w:tabs>
                <w:tab w:val="left" w:pos="8280"/>
              </w:tabs>
            </w:pPr>
          </w:p>
        </w:tc>
      </w:tr>
    </w:tbl>
    <w:p w14:paraId="79BFE73D" w14:textId="77777777" w:rsidR="00052C5C" w:rsidRPr="00F144AF" w:rsidRDefault="00052C5C" w:rsidP="00B65047">
      <w:pPr>
        <w:tabs>
          <w:tab w:val="left" w:pos="8280"/>
        </w:tabs>
        <w:rPr>
          <w:lang w:val="en-CA"/>
        </w:rPr>
      </w:pPr>
    </w:p>
    <w:sectPr w:rsidR="00052C5C" w:rsidRPr="00F144AF" w:rsidSect="00DF55E4">
      <w:headerReference w:type="even" r:id="rId10"/>
      <w:headerReference w:type="default" r:id="rId11"/>
      <w:footerReference w:type="even" r:id="rId12"/>
      <w:footerReference w:type="default" r:id="rId13"/>
      <w:footerReference w:type="first" r:id="rId14"/>
      <w:pgSz w:w="12240" w:h="15840" w:code="1"/>
      <w:pgMar w:top="600" w:right="1440" w:bottom="600"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2C2A" w14:textId="77777777" w:rsidR="00C00F4F" w:rsidRDefault="00C00F4F" w:rsidP="004A504B">
      <w:r>
        <w:separator/>
      </w:r>
    </w:p>
  </w:endnote>
  <w:endnote w:type="continuationSeparator" w:id="0">
    <w:p w14:paraId="58F99007" w14:textId="77777777" w:rsidR="00C00F4F" w:rsidRDefault="00C00F4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04F8" w14:textId="65F24A15" w:rsidR="00156E93" w:rsidRPr="0033525D" w:rsidRDefault="00156E93">
    <w:pPr>
      <w:jc w:val="center"/>
    </w:pPr>
    <w:r>
      <w:fldChar w:fldCharType="begin"/>
    </w:r>
    <w:r>
      <w:instrText xml:space="preserve"> PAGE </w:instrText>
    </w:r>
    <w:r>
      <w:fldChar w:fldCharType="separate"/>
    </w:r>
    <w:r w:rsidR="00E52A21">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1895" w14:textId="3F5C086B" w:rsidR="00156E93" w:rsidRPr="0033525D" w:rsidRDefault="00156E93">
    <w:pPr>
      <w:jc w:val="center"/>
    </w:pPr>
    <w:r>
      <w:fldChar w:fldCharType="begin"/>
    </w:r>
    <w:r>
      <w:instrText xml:space="preserve"> PAGE </w:instrText>
    </w:r>
    <w:r>
      <w:fldChar w:fldCharType="separate"/>
    </w:r>
    <w:r w:rsidR="00E52A21">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FB6" w14:textId="77777777" w:rsidR="00555E21" w:rsidRDefault="00555E21" w:rsidP="00555E21">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72E97474" w14:textId="77777777" w:rsidR="00156E93" w:rsidRDefault="00555E21" w:rsidP="00555E21">
    <w:pPr>
      <w:pBdr>
        <w:top w:val="single" w:sz="4" w:space="1" w:color="auto"/>
        <w:left w:val="single" w:sz="4" w:space="4" w:color="auto"/>
        <w:bottom w:val="single" w:sz="4" w:space="1" w:color="auto"/>
        <w:right w:val="single" w:sz="4" w:space="4" w:color="auto"/>
      </w:pBdr>
      <w:jc w:val="center"/>
      <w:rPr>
        <w:sz w:val="18"/>
        <w:szCs w:val="18"/>
      </w:rPr>
    </w:pPr>
    <w:r>
      <w:rPr>
        <w:rFonts w:cs="MS Serif"/>
        <w:sz w:val="20"/>
        <w:lang w:val="fr-FR"/>
      </w:rPr>
      <w:t>Montréal sont présentés sous réserve des décisions pouvant être prises par le Comité exécutif après leur publication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5CBCF" w14:textId="77777777" w:rsidR="00C00F4F" w:rsidRDefault="00C00F4F" w:rsidP="004A504B">
      <w:r>
        <w:separator/>
      </w:r>
    </w:p>
  </w:footnote>
  <w:footnote w:type="continuationSeparator" w:id="0">
    <w:p w14:paraId="3455CE41" w14:textId="77777777" w:rsidR="00C00F4F" w:rsidRDefault="00C00F4F" w:rsidP="004A504B">
      <w:r>
        <w:continuationSeparator/>
      </w:r>
    </w:p>
  </w:footnote>
  <w:footnote w:id="1">
    <w:p w14:paraId="7476E62E" w14:textId="77777777" w:rsidR="00156E93" w:rsidRPr="00FE3307" w:rsidRDefault="00156E93" w:rsidP="00255CDE">
      <w:pPr>
        <w:pStyle w:val="FootnoteText"/>
      </w:pPr>
      <w:r>
        <w:rPr>
          <w:rStyle w:val="FootnoteReference"/>
        </w:rPr>
        <w:footnoteRef/>
      </w:r>
      <w:r>
        <w:t xml:space="preserve"> Conformément à la lettre du 8 octobre 2019 adressée au Secrétariat par le ministère du Tourisme et de l’Environnement du Congo.</w:t>
      </w:r>
    </w:p>
  </w:footnote>
  <w:footnote w:id="2">
    <w:p w14:paraId="10696E62" w14:textId="77777777" w:rsidR="00FE652C" w:rsidRPr="00FE652C" w:rsidRDefault="00FE652C">
      <w:pPr>
        <w:pStyle w:val="FootnoteText"/>
      </w:pPr>
      <w:r>
        <w:rPr>
          <w:rStyle w:val="FootnoteReference"/>
        </w:rPr>
        <w:footnoteRef/>
      </w:r>
      <w:r>
        <w:t xml:space="preserve"> Décisions 72/17 et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03E5" w14:textId="77777777" w:rsidR="00156E93" w:rsidRPr="0033525D" w:rsidRDefault="00E52A21">
    <w:r>
      <w:fldChar w:fldCharType="begin"/>
    </w:r>
    <w:r>
      <w:instrText xml:space="preserve"> DOCPROPERTY "Document number"  \* MERGEFORMAT </w:instrText>
    </w:r>
    <w:r>
      <w:fldChar w:fldCharType="separate"/>
    </w:r>
    <w:r w:rsidR="001955B4">
      <w:t>UNEP/OzL.Pro/ExCom/84/44</w:t>
    </w:r>
    <w:r>
      <w:fldChar w:fldCharType="end"/>
    </w:r>
  </w:p>
  <w:p w14:paraId="5FAA1453" w14:textId="77777777" w:rsidR="00156E93" w:rsidRPr="0033525D" w:rsidRDefault="00156E93"/>
  <w:p w14:paraId="1ADA8D78" w14:textId="77777777" w:rsidR="00156E93" w:rsidRPr="0033525D" w:rsidRDefault="00156E9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AA12" w14:textId="77777777" w:rsidR="00156E93" w:rsidRPr="0033525D" w:rsidRDefault="00E52A21">
    <w:pPr>
      <w:jc w:val="right"/>
    </w:pPr>
    <w:r>
      <w:fldChar w:fldCharType="begin"/>
    </w:r>
    <w:r>
      <w:instrText xml:space="preserve"> DOCPROPERTY "Document number"  \* MERGEFORMAT </w:instrText>
    </w:r>
    <w:r>
      <w:fldChar w:fldCharType="separate"/>
    </w:r>
    <w:r w:rsidR="001955B4">
      <w:t>UNEP/OzL.Pro/ExCom/84/44</w:t>
    </w:r>
    <w:r>
      <w:fldChar w:fldCharType="end"/>
    </w:r>
  </w:p>
  <w:p w14:paraId="74A44024" w14:textId="77777777" w:rsidR="00156E93" w:rsidRPr="0033525D" w:rsidRDefault="00156E93"/>
  <w:p w14:paraId="5C3D897B" w14:textId="77777777" w:rsidR="00156E93" w:rsidRPr="0033525D" w:rsidRDefault="00156E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934F08E"/>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num>
  <w:num w:numId="23">
    <w:abstractNumId w:val="10"/>
  </w:num>
  <w:num w:numId="24">
    <w:abstractNumId w:val="10"/>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55CDE"/>
    <w:rsid w:val="00000FED"/>
    <w:rsid w:val="0000434E"/>
    <w:rsid w:val="00017C3F"/>
    <w:rsid w:val="000211A9"/>
    <w:rsid w:val="000222D2"/>
    <w:rsid w:val="00031260"/>
    <w:rsid w:val="000317EF"/>
    <w:rsid w:val="0003681A"/>
    <w:rsid w:val="00052C5C"/>
    <w:rsid w:val="00057978"/>
    <w:rsid w:val="00061EC2"/>
    <w:rsid w:val="00080ED0"/>
    <w:rsid w:val="000844EE"/>
    <w:rsid w:val="00085794"/>
    <w:rsid w:val="00085B8F"/>
    <w:rsid w:val="000901BF"/>
    <w:rsid w:val="00090481"/>
    <w:rsid w:val="00092009"/>
    <w:rsid w:val="00097347"/>
    <w:rsid w:val="000A6812"/>
    <w:rsid w:val="000A6C26"/>
    <w:rsid w:val="000A6DF9"/>
    <w:rsid w:val="000C486D"/>
    <w:rsid w:val="000D52A4"/>
    <w:rsid w:val="000D6845"/>
    <w:rsid w:val="000E07BC"/>
    <w:rsid w:val="000E299A"/>
    <w:rsid w:val="000E59CB"/>
    <w:rsid w:val="000F08FB"/>
    <w:rsid w:val="000F1CD4"/>
    <w:rsid w:val="000F4103"/>
    <w:rsid w:val="000F4BCF"/>
    <w:rsid w:val="000F70A7"/>
    <w:rsid w:val="00101969"/>
    <w:rsid w:val="001133A9"/>
    <w:rsid w:val="00113CCA"/>
    <w:rsid w:val="00122F25"/>
    <w:rsid w:val="0013504F"/>
    <w:rsid w:val="00135980"/>
    <w:rsid w:val="00135D64"/>
    <w:rsid w:val="0014238D"/>
    <w:rsid w:val="00153500"/>
    <w:rsid w:val="00156E93"/>
    <w:rsid w:val="00164719"/>
    <w:rsid w:val="00166FC4"/>
    <w:rsid w:val="001677AC"/>
    <w:rsid w:val="001720E5"/>
    <w:rsid w:val="00172A5D"/>
    <w:rsid w:val="00173B31"/>
    <w:rsid w:val="001804EA"/>
    <w:rsid w:val="001831EE"/>
    <w:rsid w:val="00190A61"/>
    <w:rsid w:val="001955B4"/>
    <w:rsid w:val="001A3342"/>
    <w:rsid w:val="001A3E3D"/>
    <w:rsid w:val="001A665D"/>
    <w:rsid w:val="001A7049"/>
    <w:rsid w:val="001B1D88"/>
    <w:rsid w:val="001B1E40"/>
    <w:rsid w:val="001B3235"/>
    <w:rsid w:val="001B336D"/>
    <w:rsid w:val="001B6487"/>
    <w:rsid w:val="001C3C80"/>
    <w:rsid w:val="001C764E"/>
    <w:rsid w:val="001D1EA1"/>
    <w:rsid w:val="001D285A"/>
    <w:rsid w:val="001E1052"/>
    <w:rsid w:val="001E21B1"/>
    <w:rsid w:val="001E2EB7"/>
    <w:rsid w:val="001E2F93"/>
    <w:rsid w:val="001E61E5"/>
    <w:rsid w:val="001F07D9"/>
    <w:rsid w:val="001F2159"/>
    <w:rsid w:val="001F33CC"/>
    <w:rsid w:val="001F50E3"/>
    <w:rsid w:val="00204DF8"/>
    <w:rsid w:val="00213B82"/>
    <w:rsid w:val="00214863"/>
    <w:rsid w:val="002156B4"/>
    <w:rsid w:val="002374A8"/>
    <w:rsid w:val="00253222"/>
    <w:rsid w:val="002558B6"/>
    <w:rsid w:val="00255CDE"/>
    <w:rsid w:val="00262847"/>
    <w:rsid w:val="00264ACF"/>
    <w:rsid w:val="00273022"/>
    <w:rsid w:val="00281BB2"/>
    <w:rsid w:val="002917C0"/>
    <w:rsid w:val="00295C44"/>
    <w:rsid w:val="002B08D9"/>
    <w:rsid w:val="002B102E"/>
    <w:rsid w:val="002B72E9"/>
    <w:rsid w:val="002C4DB6"/>
    <w:rsid w:val="002C7998"/>
    <w:rsid w:val="002D28F7"/>
    <w:rsid w:val="002F1E53"/>
    <w:rsid w:val="002F263D"/>
    <w:rsid w:val="002F2CAA"/>
    <w:rsid w:val="002F5121"/>
    <w:rsid w:val="002F59B4"/>
    <w:rsid w:val="0030052C"/>
    <w:rsid w:val="0030355F"/>
    <w:rsid w:val="003306E1"/>
    <w:rsid w:val="00330F6C"/>
    <w:rsid w:val="003320E4"/>
    <w:rsid w:val="003335D8"/>
    <w:rsid w:val="0033419D"/>
    <w:rsid w:val="0033525D"/>
    <w:rsid w:val="003414F3"/>
    <w:rsid w:val="00345DFD"/>
    <w:rsid w:val="00346674"/>
    <w:rsid w:val="003512CB"/>
    <w:rsid w:val="0035613E"/>
    <w:rsid w:val="0035643D"/>
    <w:rsid w:val="00360B03"/>
    <w:rsid w:val="003635BE"/>
    <w:rsid w:val="00363EE9"/>
    <w:rsid w:val="0036427C"/>
    <w:rsid w:val="00366505"/>
    <w:rsid w:val="00376128"/>
    <w:rsid w:val="0037742E"/>
    <w:rsid w:val="00377D56"/>
    <w:rsid w:val="00382314"/>
    <w:rsid w:val="0038245A"/>
    <w:rsid w:val="003840E6"/>
    <w:rsid w:val="00385613"/>
    <w:rsid w:val="00385CFC"/>
    <w:rsid w:val="003919B9"/>
    <w:rsid w:val="0039337A"/>
    <w:rsid w:val="00397D0B"/>
    <w:rsid w:val="003A3189"/>
    <w:rsid w:val="003A3CA7"/>
    <w:rsid w:val="003A622A"/>
    <w:rsid w:val="003B08F1"/>
    <w:rsid w:val="003B2819"/>
    <w:rsid w:val="003B33BD"/>
    <w:rsid w:val="003B569D"/>
    <w:rsid w:val="003B5BC6"/>
    <w:rsid w:val="003B5C43"/>
    <w:rsid w:val="003C061F"/>
    <w:rsid w:val="003C0C29"/>
    <w:rsid w:val="003C28CB"/>
    <w:rsid w:val="003C3C0E"/>
    <w:rsid w:val="003D4FAC"/>
    <w:rsid w:val="003D7069"/>
    <w:rsid w:val="003E27C1"/>
    <w:rsid w:val="003E7906"/>
    <w:rsid w:val="003F3C50"/>
    <w:rsid w:val="003F458B"/>
    <w:rsid w:val="003F5FBE"/>
    <w:rsid w:val="00406A6A"/>
    <w:rsid w:val="00406B22"/>
    <w:rsid w:val="004133F4"/>
    <w:rsid w:val="004174B4"/>
    <w:rsid w:val="004226C8"/>
    <w:rsid w:val="0042451F"/>
    <w:rsid w:val="004321F8"/>
    <w:rsid w:val="004328A7"/>
    <w:rsid w:val="004341D9"/>
    <w:rsid w:val="00434C74"/>
    <w:rsid w:val="00435F2C"/>
    <w:rsid w:val="004428C9"/>
    <w:rsid w:val="00456EB4"/>
    <w:rsid w:val="004612F6"/>
    <w:rsid w:val="004718F3"/>
    <w:rsid w:val="004731B8"/>
    <w:rsid w:val="00475040"/>
    <w:rsid w:val="00482CE9"/>
    <w:rsid w:val="00490930"/>
    <w:rsid w:val="0049303C"/>
    <w:rsid w:val="00493D40"/>
    <w:rsid w:val="004967B6"/>
    <w:rsid w:val="004A310A"/>
    <w:rsid w:val="004A504B"/>
    <w:rsid w:val="004A6911"/>
    <w:rsid w:val="004B54E0"/>
    <w:rsid w:val="004B7384"/>
    <w:rsid w:val="004C4269"/>
    <w:rsid w:val="004D4F3C"/>
    <w:rsid w:val="004D6236"/>
    <w:rsid w:val="004D7F90"/>
    <w:rsid w:val="004E4DBB"/>
    <w:rsid w:val="004E4E41"/>
    <w:rsid w:val="004E7F9C"/>
    <w:rsid w:val="004F18A7"/>
    <w:rsid w:val="004F267E"/>
    <w:rsid w:val="004F2956"/>
    <w:rsid w:val="004F3493"/>
    <w:rsid w:val="004F5143"/>
    <w:rsid w:val="005079FE"/>
    <w:rsid w:val="00512B09"/>
    <w:rsid w:val="00515971"/>
    <w:rsid w:val="00515B2F"/>
    <w:rsid w:val="00523D56"/>
    <w:rsid w:val="005251C4"/>
    <w:rsid w:val="00532BD7"/>
    <w:rsid w:val="00533796"/>
    <w:rsid w:val="00536B57"/>
    <w:rsid w:val="00543104"/>
    <w:rsid w:val="00555D75"/>
    <w:rsid w:val="00555E21"/>
    <w:rsid w:val="00556E26"/>
    <w:rsid w:val="00560DF0"/>
    <w:rsid w:val="00567477"/>
    <w:rsid w:val="0056759C"/>
    <w:rsid w:val="005813ED"/>
    <w:rsid w:val="0059513E"/>
    <w:rsid w:val="005A1732"/>
    <w:rsid w:val="005A405F"/>
    <w:rsid w:val="005A4390"/>
    <w:rsid w:val="005B0230"/>
    <w:rsid w:val="005B48FF"/>
    <w:rsid w:val="005B5B5B"/>
    <w:rsid w:val="005C03A8"/>
    <w:rsid w:val="005C0EFE"/>
    <w:rsid w:val="005C729F"/>
    <w:rsid w:val="005D2FF7"/>
    <w:rsid w:val="005D6E8D"/>
    <w:rsid w:val="005D762B"/>
    <w:rsid w:val="005D779C"/>
    <w:rsid w:val="005E4189"/>
    <w:rsid w:val="005E7616"/>
    <w:rsid w:val="005F3120"/>
    <w:rsid w:val="00604C15"/>
    <w:rsid w:val="006056A9"/>
    <w:rsid w:val="00614BE0"/>
    <w:rsid w:val="006158D5"/>
    <w:rsid w:val="00625D83"/>
    <w:rsid w:val="00640E5A"/>
    <w:rsid w:val="00642829"/>
    <w:rsid w:val="00646F26"/>
    <w:rsid w:val="00661B54"/>
    <w:rsid w:val="006623E7"/>
    <w:rsid w:val="00662B80"/>
    <w:rsid w:val="00664E76"/>
    <w:rsid w:val="00670F6C"/>
    <w:rsid w:val="00674A8A"/>
    <w:rsid w:val="00675795"/>
    <w:rsid w:val="006852C7"/>
    <w:rsid w:val="006852CE"/>
    <w:rsid w:val="00694C4A"/>
    <w:rsid w:val="006B26CA"/>
    <w:rsid w:val="006B6024"/>
    <w:rsid w:val="006C1727"/>
    <w:rsid w:val="006C1A26"/>
    <w:rsid w:val="006C32FD"/>
    <w:rsid w:val="006C39CE"/>
    <w:rsid w:val="006D0FCC"/>
    <w:rsid w:val="006D1D2D"/>
    <w:rsid w:val="006D54FC"/>
    <w:rsid w:val="006E1FC3"/>
    <w:rsid w:val="006F1B97"/>
    <w:rsid w:val="00703ACD"/>
    <w:rsid w:val="0070616B"/>
    <w:rsid w:val="00706FDA"/>
    <w:rsid w:val="007113FA"/>
    <w:rsid w:val="00711F9A"/>
    <w:rsid w:val="00713810"/>
    <w:rsid w:val="007303A5"/>
    <w:rsid w:val="00730B3E"/>
    <w:rsid w:val="0073251E"/>
    <w:rsid w:val="0073420B"/>
    <w:rsid w:val="00735BED"/>
    <w:rsid w:val="007403A6"/>
    <w:rsid w:val="007436EC"/>
    <w:rsid w:val="0074760E"/>
    <w:rsid w:val="00754ABA"/>
    <w:rsid w:val="00763172"/>
    <w:rsid w:val="00763B26"/>
    <w:rsid w:val="00775F92"/>
    <w:rsid w:val="007A0B5A"/>
    <w:rsid w:val="007A1546"/>
    <w:rsid w:val="007A228C"/>
    <w:rsid w:val="007A368E"/>
    <w:rsid w:val="007A5868"/>
    <w:rsid w:val="007B04CE"/>
    <w:rsid w:val="007B1079"/>
    <w:rsid w:val="007B67F4"/>
    <w:rsid w:val="007B6871"/>
    <w:rsid w:val="007B7A2F"/>
    <w:rsid w:val="007C227C"/>
    <w:rsid w:val="007C3D33"/>
    <w:rsid w:val="007D11BD"/>
    <w:rsid w:val="007D24C7"/>
    <w:rsid w:val="007D294A"/>
    <w:rsid w:val="007D47D2"/>
    <w:rsid w:val="007D6EC0"/>
    <w:rsid w:val="007D7E1D"/>
    <w:rsid w:val="007F17D1"/>
    <w:rsid w:val="008051B3"/>
    <w:rsid w:val="00805267"/>
    <w:rsid w:val="008102F2"/>
    <w:rsid w:val="008127E7"/>
    <w:rsid w:val="00827FA9"/>
    <w:rsid w:val="00831979"/>
    <w:rsid w:val="008401FF"/>
    <w:rsid w:val="008454BC"/>
    <w:rsid w:val="0084650B"/>
    <w:rsid w:val="008504F9"/>
    <w:rsid w:val="00851352"/>
    <w:rsid w:val="00862189"/>
    <w:rsid w:val="00863230"/>
    <w:rsid w:val="0086362D"/>
    <w:rsid w:val="00870B7F"/>
    <w:rsid w:val="008717D8"/>
    <w:rsid w:val="0087215C"/>
    <w:rsid w:val="00880E35"/>
    <w:rsid w:val="00882C34"/>
    <w:rsid w:val="008875FE"/>
    <w:rsid w:val="00887F8E"/>
    <w:rsid w:val="008910F2"/>
    <w:rsid w:val="00896234"/>
    <w:rsid w:val="00897E43"/>
    <w:rsid w:val="008A3054"/>
    <w:rsid w:val="008A67CA"/>
    <w:rsid w:val="008B1BED"/>
    <w:rsid w:val="008B3267"/>
    <w:rsid w:val="008C5738"/>
    <w:rsid w:val="008C7EAD"/>
    <w:rsid w:val="008D01D6"/>
    <w:rsid w:val="008D0CB9"/>
    <w:rsid w:val="008D0CFE"/>
    <w:rsid w:val="008D3375"/>
    <w:rsid w:val="008D54C2"/>
    <w:rsid w:val="008D6152"/>
    <w:rsid w:val="008E5D4A"/>
    <w:rsid w:val="008E7946"/>
    <w:rsid w:val="008F0F81"/>
    <w:rsid w:val="008F27BF"/>
    <w:rsid w:val="008F7110"/>
    <w:rsid w:val="008F7FE6"/>
    <w:rsid w:val="009142EC"/>
    <w:rsid w:val="009154C3"/>
    <w:rsid w:val="00917A66"/>
    <w:rsid w:val="00923540"/>
    <w:rsid w:val="00926767"/>
    <w:rsid w:val="0093595F"/>
    <w:rsid w:val="009361D5"/>
    <w:rsid w:val="00937D0B"/>
    <w:rsid w:val="009415D7"/>
    <w:rsid w:val="009428A4"/>
    <w:rsid w:val="009526E6"/>
    <w:rsid w:val="00964EF8"/>
    <w:rsid w:val="009659F4"/>
    <w:rsid w:val="009709B0"/>
    <w:rsid w:val="00970D60"/>
    <w:rsid w:val="009960E5"/>
    <w:rsid w:val="009A7ADC"/>
    <w:rsid w:val="009C19B7"/>
    <w:rsid w:val="009C3664"/>
    <w:rsid w:val="009D7C51"/>
    <w:rsid w:val="009E196C"/>
    <w:rsid w:val="009F36BF"/>
    <w:rsid w:val="00A00F4F"/>
    <w:rsid w:val="00A02890"/>
    <w:rsid w:val="00A06E73"/>
    <w:rsid w:val="00A111B6"/>
    <w:rsid w:val="00A2547B"/>
    <w:rsid w:val="00A25DB9"/>
    <w:rsid w:val="00A26D27"/>
    <w:rsid w:val="00A376EE"/>
    <w:rsid w:val="00A42A99"/>
    <w:rsid w:val="00A45187"/>
    <w:rsid w:val="00A5151A"/>
    <w:rsid w:val="00A56465"/>
    <w:rsid w:val="00A57E0A"/>
    <w:rsid w:val="00A65FBD"/>
    <w:rsid w:val="00A753D1"/>
    <w:rsid w:val="00A77A29"/>
    <w:rsid w:val="00A823F6"/>
    <w:rsid w:val="00A93BBA"/>
    <w:rsid w:val="00AA0A89"/>
    <w:rsid w:val="00AA0D76"/>
    <w:rsid w:val="00AA3286"/>
    <w:rsid w:val="00AA6429"/>
    <w:rsid w:val="00AA7CC9"/>
    <w:rsid w:val="00AC01AA"/>
    <w:rsid w:val="00AC4F72"/>
    <w:rsid w:val="00AD52E1"/>
    <w:rsid w:val="00AD5359"/>
    <w:rsid w:val="00AD58D0"/>
    <w:rsid w:val="00AE1C37"/>
    <w:rsid w:val="00AE25DA"/>
    <w:rsid w:val="00AE77AA"/>
    <w:rsid w:val="00AF60D1"/>
    <w:rsid w:val="00AF741A"/>
    <w:rsid w:val="00B01ADB"/>
    <w:rsid w:val="00B04161"/>
    <w:rsid w:val="00B056F9"/>
    <w:rsid w:val="00B11E3D"/>
    <w:rsid w:val="00B12A1E"/>
    <w:rsid w:val="00B14293"/>
    <w:rsid w:val="00B17E82"/>
    <w:rsid w:val="00B32AE4"/>
    <w:rsid w:val="00B407C1"/>
    <w:rsid w:val="00B437B4"/>
    <w:rsid w:val="00B4575A"/>
    <w:rsid w:val="00B575BA"/>
    <w:rsid w:val="00B6015E"/>
    <w:rsid w:val="00B60FC1"/>
    <w:rsid w:val="00B65047"/>
    <w:rsid w:val="00B67BA4"/>
    <w:rsid w:val="00B703D7"/>
    <w:rsid w:val="00B761F2"/>
    <w:rsid w:val="00B76429"/>
    <w:rsid w:val="00B816CD"/>
    <w:rsid w:val="00B92247"/>
    <w:rsid w:val="00B956D4"/>
    <w:rsid w:val="00B97446"/>
    <w:rsid w:val="00B974E8"/>
    <w:rsid w:val="00BA7432"/>
    <w:rsid w:val="00BC1AA0"/>
    <w:rsid w:val="00BC2495"/>
    <w:rsid w:val="00BC59B9"/>
    <w:rsid w:val="00BC7EB9"/>
    <w:rsid w:val="00BD0525"/>
    <w:rsid w:val="00BD2643"/>
    <w:rsid w:val="00BD427D"/>
    <w:rsid w:val="00BD56B1"/>
    <w:rsid w:val="00BD6558"/>
    <w:rsid w:val="00BF3022"/>
    <w:rsid w:val="00BF3214"/>
    <w:rsid w:val="00BF5573"/>
    <w:rsid w:val="00C00F4F"/>
    <w:rsid w:val="00C104A8"/>
    <w:rsid w:val="00C15867"/>
    <w:rsid w:val="00C2296D"/>
    <w:rsid w:val="00C23155"/>
    <w:rsid w:val="00C321FC"/>
    <w:rsid w:val="00C40C41"/>
    <w:rsid w:val="00C43D3D"/>
    <w:rsid w:val="00C45885"/>
    <w:rsid w:val="00C50F22"/>
    <w:rsid w:val="00C55303"/>
    <w:rsid w:val="00C57971"/>
    <w:rsid w:val="00C65BD7"/>
    <w:rsid w:val="00C76BA4"/>
    <w:rsid w:val="00C83A48"/>
    <w:rsid w:val="00C85865"/>
    <w:rsid w:val="00C85E85"/>
    <w:rsid w:val="00C90A66"/>
    <w:rsid w:val="00CA2EAE"/>
    <w:rsid w:val="00CA4AC1"/>
    <w:rsid w:val="00CB0316"/>
    <w:rsid w:val="00CB0B11"/>
    <w:rsid w:val="00CB17A7"/>
    <w:rsid w:val="00CB5354"/>
    <w:rsid w:val="00CC299E"/>
    <w:rsid w:val="00CC6236"/>
    <w:rsid w:val="00CC6A14"/>
    <w:rsid w:val="00CC70A3"/>
    <w:rsid w:val="00CC7A70"/>
    <w:rsid w:val="00CD4442"/>
    <w:rsid w:val="00CD53C3"/>
    <w:rsid w:val="00CD574E"/>
    <w:rsid w:val="00CD7015"/>
    <w:rsid w:val="00CE2A27"/>
    <w:rsid w:val="00CE4C22"/>
    <w:rsid w:val="00CF41EC"/>
    <w:rsid w:val="00CF5D04"/>
    <w:rsid w:val="00D04114"/>
    <w:rsid w:val="00D04DE4"/>
    <w:rsid w:val="00D0546C"/>
    <w:rsid w:val="00D063F1"/>
    <w:rsid w:val="00D13CD0"/>
    <w:rsid w:val="00D14F22"/>
    <w:rsid w:val="00D21C2C"/>
    <w:rsid w:val="00D22563"/>
    <w:rsid w:val="00D22A5B"/>
    <w:rsid w:val="00D25165"/>
    <w:rsid w:val="00D35354"/>
    <w:rsid w:val="00D4741C"/>
    <w:rsid w:val="00D50FC2"/>
    <w:rsid w:val="00D51B89"/>
    <w:rsid w:val="00D533F7"/>
    <w:rsid w:val="00D55274"/>
    <w:rsid w:val="00D57918"/>
    <w:rsid w:val="00D62899"/>
    <w:rsid w:val="00D66982"/>
    <w:rsid w:val="00D7256C"/>
    <w:rsid w:val="00D73DC6"/>
    <w:rsid w:val="00D74C1A"/>
    <w:rsid w:val="00D754C1"/>
    <w:rsid w:val="00D77393"/>
    <w:rsid w:val="00D77A35"/>
    <w:rsid w:val="00D81B3E"/>
    <w:rsid w:val="00D83F51"/>
    <w:rsid w:val="00D863C0"/>
    <w:rsid w:val="00D90C70"/>
    <w:rsid w:val="00D90E49"/>
    <w:rsid w:val="00D957C0"/>
    <w:rsid w:val="00D96ADE"/>
    <w:rsid w:val="00D97D6F"/>
    <w:rsid w:val="00DA0CE2"/>
    <w:rsid w:val="00DA6A71"/>
    <w:rsid w:val="00DC0506"/>
    <w:rsid w:val="00DC6A10"/>
    <w:rsid w:val="00DC7B64"/>
    <w:rsid w:val="00DD2DC3"/>
    <w:rsid w:val="00DE657E"/>
    <w:rsid w:val="00DF4704"/>
    <w:rsid w:val="00DF55E4"/>
    <w:rsid w:val="00DF6A03"/>
    <w:rsid w:val="00E024AA"/>
    <w:rsid w:val="00E11D99"/>
    <w:rsid w:val="00E12D99"/>
    <w:rsid w:val="00E17C19"/>
    <w:rsid w:val="00E250F1"/>
    <w:rsid w:val="00E25F13"/>
    <w:rsid w:val="00E31FC7"/>
    <w:rsid w:val="00E3550D"/>
    <w:rsid w:val="00E41335"/>
    <w:rsid w:val="00E52A21"/>
    <w:rsid w:val="00E54486"/>
    <w:rsid w:val="00E57905"/>
    <w:rsid w:val="00E614E0"/>
    <w:rsid w:val="00E62903"/>
    <w:rsid w:val="00E67B54"/>
    <w:rsid w:val="00E73F7F"/>
    <w:rsid w:val="00E85409"/>
    <w:rsid w:val="00E97908"/>
    <w:rsid w:val="00EA429F"/>
    <w:rsid w:val="00EA4F9E"/>
    <w:rsid w:val="00EA63CA"/>
    <w:rsid w:val="00EA6D3B"/>
    <w:rsid w:val="00EB00AD"/>
    <w:rsid w:val="00EB136C"/>
    <w:rsid w:val="00EB480E"/>
    <w:rsid w:val="00EB5EC6"/>
    <w:rsid w:val="00EB7FC9"/>
    <w:rsid w:val="00EC247C"/>
    <w:rsid w:val="00EC3F0E"/>
    <w:rsid w:val="00ED27E8"/>
    <w:rsid w:val="00ED7137"/>
    <w:rsid w:val="00EE5D73"/>
    <w:rsid w:val="00EE66BA"/>
    <w:rsid w:val="00EE7BB7"/>
    <w:rsid w:val="00F07A58"/>
    <w:rsid w:val="00F144AF"/>
    <w:rsid w:val="00F15F6C"/>
    <w:rsid w:val="00F21088"/>
    <w:rsid w:val="00F268BE"/>
    <w:rsid w:val="00F26E2B"/>
    <w:rsid w:val="00F327E7"/>
    <w:rsid w:val="00F32947"/>
    <w:rsid w:val="00F334FD"/>
    <w:rsid w:val="00F35746"/>
    <w:rsid w:val="00F447C7"/>
    <w:rsid w:val="00F4720E"/>
    <w:rsid w:val="00F5123D"/>
    <w:rsid w:val="00F5211B"/>
    <w:rsid w:val="00F554A9"/>
    <w:rsid w:val="00F716FD"/>
    <w:rsid w:val="00F80355"/>
    <w:rsid w:val="00F8045E"/>
    <w:rsid w:val="00F86166"/>
    <w:rsid w:val="00F87645"/>
    <w:rsid w:val="00F87C43"/>
    <w:rsid w:val="00FB0C81"/>
    <w:rsid w:val="00FB1889"/>
    <w:rsid w:val="00FB1D7A"/>
    <w:rsid w:val="00FB330D"/>
    <w:rsid w:val="00FB6100"/>
    <w:rsid w:val="00FC2200"/>
    <w:rsid w:val="00FC2540"/>
    <w:rsid w:val="00FC4FF2"/>
    <w:rsid w:val="00FE652C"/>
    <w:rsid w:val="00FF0204"/>
    <w:rsid w:val="00FF3AED"/>
    <w:rsid w:val="00FF6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C1F4BD"/>
  <w15:docId w15:val="{0D35F6F2-6BE6-4E71-A1FF-D777B530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fr-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fr-CA"/>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fr-CA"/>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fr-CA"/>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255CDE"/>
    <w:pPr>
      <w:ind w:left="720"/>
      <w:contextualSpacing/>
    </w:pPr>
  </w:style>
  <w:style w:type="paragraph" w:styleId="FootnoteText">
    <w:name w:val="footnote text"/>
    <w:basedOn w:val="Normal"/>
    <w:link w:val="FootnoteTextChar"/>
    <w:uiPriority w:val="99"/>
    <w:semiHidden/>
    <w:unhideWhenUsed/>
    <w:rsid w:val="00255CDE"/>
    <w:rPr>
      <w:sz w:val="20"/>
      <w:szCs w:val="20"/>
    </w:rPr>
  </w:style>
  <w:style w:type="character" w:customStyle="1" w:styleId="FootnoteTextChar">
    <w:name w:val="Footnote Text Char"/>
    <w:basedOn w:val="DefaultParagraphFont"/>
    <w:link w:val="FootnoteText"/>
    <w:uiPriority w:val="99"/>
    <w:semiHidden/>
    <w:rsid w:val="00255CDE"/>
    <w:rPr>
      <w:lang w:val="fr-CA"/>
    </w:rPr>
  </w:style>
  <w:style w:type="character" w:styleId="FootnoteReference">
    <w:name w:val="footnote reference"/>
    <w:basedOn w:val="DefaultParagraphFont"/>
    <w:uiPriority w:val="99"/>
    <w:semiHidden/>
    <w:unhideWhenUsed/>
    <w:rsid w:val="0025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455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UNEP/OzL.Pro/ExCom/84/44</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C8762B6-2068-4CA1-939D-9F9EEC599D14}"/>
</file>

<file path=customXml/itemProps2.xml><?xml version="1.0" encoding="utf-8"?>
<ds:datastoreItem xmlns:ds="http://schemas.openxmlformats.org/officeDocument/2006/customXml" ds:itemID="{3952E5CB-1E4B-4857-B8C7-2196C2641FB9}"/>
</file>

<file path=customXml/itemProps3.xml><?xml version="1.0" encoding="utf-8"?>
<ds:datastoreItem xmlns:ds="http://schemas.openxmlformats.org/officeDocument/2006/customXml" ds:itemID="{11F017E2-6AEB-4F6B-8EA7-7542974AB4AB}"/>
</file>

<file path=customXml/itemProps4.xml><?xml version="1.0" encoding="utf-8"?>
<ds:datastoreItem xmlns:ds="http://schemas.openxmlformats.org/officeDocument/2006/customXml" ds:itemID="{3BD97F10-BB26-4CE3-8459-8B16DF7DA448}"/>
</file>

<file path=docProps/app.xml><?xml version="1.0" encoding="utf-8"?>
<Properties xmlns="http://schemas.openxmlformats.org/officeDocument/2006/extended-properties" xmlns:vt="http://schemas.openxmlformats.org/officeDocument/2006/docPropsVTypes">
  <Template>Eec84G</Template>
  <TotalTime>51</TotalTime>
  <Pages>6</Pages>
  <Words>2139</Words>
  <Characters>10618</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Congo (le)</vt:lpstr>
      <vt:lpstr>Project proposal: Congo (the)</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Congo</dc:title>
  <dc:creator>Lise Miville</dc:creator>
  <cp:lastModifiedBy>HBE</cp:lastModifiedBy>
  <cp:revision>35</cp:revision>
  <cp:lastPrinted>2001-05-26T16:40:00Z</cp:lastPrinted>
  <dcterms:created xsi:type="dcterms:W3CDTF">2019-11-19T18:19:00Z</dcterms:created>
  <dcterms:modified xsi:type="dcterms:W3CDTF">2019-11-25T21:08:00Z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UNEP/OzL.Pro/ExCom/84/44</vt:lpwstr>
  </property>
  <property fmtid="{D5CDD505-2E9C-101B-9397-08002B2CF9AE}" pid="3" name="Revision date">
    <vt:lpwstr>11/15/2019</vt:lpwstr>
  </property>
  <property fmtid="{D5CDD505-2E9C-101B-9397-08002B2CF9AE}" pid="4" name="ContentTypeId">
    <vt:lpwstr>0x010100109683CADC4F284EA5F0B82357B5BF3A</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