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DB56ED">
        <w:trPr>
          <w:trHeight w:val="720"/>
        </w:trPr>
        <w:tc>
          <w:tcPr>
            <w:tcW w:w="7061" w:type="dxa"/>
            <w:gridSpan w:val="2"/>
            <w:tcBorders>
              <w:bottom w:val="single" w:sz="18" w:space="0" w:color="auto"/>
            </w:tcBorders>
          </w:tcPr>
          <w:p w:rsidR="00441083" w:rsidRPr="00DB56ED"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r w:rsidRPr="00DB56ED">
              <w:rPr>
                <w:rFonts w:ascii="Univers" w:hAnsi="Univers"/>
                <w:b/>
                <w:sz w:val="28"/>
                <w:szCs w:val="28"/>
                <w:lang w:val="fr-FR"/>
              </w:rPr>
              <w:t>NATIONS</w:t>
            </w:r>
          </w:p>
          <w:p w:rsidR="00441083" w:rsidRPr="00DB56ED"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DB56ED">
              <w:rPr>
                <w:rFonts w:ascii="Univers" w:hAnsi="Univers"/>
                <w:b/>
                <w:sz w:val="28"/>
                <w:szCs w:val="28"/>
                <w:lang w:val="fr-FR"/>
              </w:rPr>
              <w:t xml:space="preserve">UNIES </w:t>
            </w:r>
          </w:p>
        </w:tc>
        <w:tc>
          <w:tcPr>
            <w:tcW w:w="3544" w:type="dxa"/>
            <w:tcBorders>
              <w:bottom w:val="single" w:sz="18" w:space="0" w:color="auto"/>
            </w:tcBorders>
          </w:tcPr>
          <w:p w:rsidR="00441083" w:rsidRPr="00DB56ED" w:rsidRDefault="00E60D9C">
            <w:pPr>
              <w:tabs>
                <w:tab w:val="left" w:pos="3010"/>
              </w:tabs>
              <w:jc w:val="center"/>
              <w:rPr>
                <w:sz w:val="52"/>
                <w:szCs w:val="52"/>
                <w:lang w:val="fr-FR"/>
              </w:rPr>
            </w:pPr>
            <w:r w:rsidRPr="00DB56ED">
              <w:rPr>
                <w:rFonts w:ascii="Univers Bold" w:hAnsi="Univers Bold"/>
                <w:b/>
                <w:sz w:val="72"/>
                <w:lang w:val="fr-FR"/>
              </w:rPr>
              <w:t xml:space="preserve">          EP</w:t>
            </w:r>
          </w:p>
        </w:tc>
      </w:tr>
      <w:tr w:rsidR="00441083" w:rsidRPr="00DB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Pr="00DB56ED" w:rsidRDefault="00C6443E">
            <w:pPr>
              <w:spacing w:before="120"/>
              <w:rPr>
                <w:lang w:val="fr-FR"/>
              </w:rPr>
            </w:pPr>
            <w:r w:rsidRPr="00DB56ED">
              <w:rPr>
                <w:noProof/>
                <w:lang w:val="en-CA" w:eastAsia="en-CA"/>
              </w:rPr>
              <w:drawing>
                <wp:anchor distT="0" distB="0" distL="114300" distR="114300" simplePos="0" relativeHeight="251660288" behindDoc="0" locked="0" layoutInCell="1" allowOverlap="1" wp14:anchorId="75D1E401" wp14:editId="1024F88C">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DB56ED">
              <w:rPr>
                <w:noProof/>
                <w:lang w:val="en-CA" w:eastAsia="en-CA"/>
              </w:rPr>
              <w:drawing>
                <wp:anchor distT="0" distB="0" distL="114300" distR="114300" simplePos="0" relativeHeight="251661312" behindDoc="1" locked="0" layoutInCell="0" allowOverlap="1" wp14:anchorId="244C4231" wp14:editId="1C9406B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rsidR="00441083" w:rsidRPr="00DB56ED"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rsidR="00441083" w:rsidRPr="00DB56ED"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DB56ED">
              <w:rPr>
                <w:rFonts w:ascii="Univers" w:hAnsi="Univers"/>
                <w:b/>
                <w:sz w:val="32"/>
                <w:lang w:val="fr-FR"/>
              </w:rPr>
              <w:t>Programme des</w:t>
            </w:r>
          </w:p>
          <w:p w:rsidR="00441083" w:rsidRPr="00DB56ED" w:rsidRDefault="00E60D9C">
            <w:pPr>
              <w:rPr>
                <w:rFonts w:ascii="Univers" w:hAnsi="Univers"/>
                <w:b/>
                <w:sz w:val="32"/>
                <w:lang w:val="fr-FR"/>
              </w:rPr>
            </w:pPr>
            <w:r w:rsidRPr="00DB56ED">
              <w:rPr>
                <w:rFonts w:ascii="Univers" w:hAnsi="Univers"/>
                <w:b/>
                <w:sz w:val="32"/>
                <w:lang w:val="fr-FR"/>
              </w:rPr>
              <w:t>Nations Unies pour</w:t>
            </w:r>
          </w:p>
          <w:p w:rsidR="00441083" w:rsidRPr="00DB56ED" w:rsidRDefault="00E60D9C">
            <w:pPr>
              <w:rPr>
                <w:rFonts w:ascii="Univers" w:hAnsi="Univers"/>
                <w:b/>
                <w:sz w:val="32"/>
                <w:lang w:val="fr-FR"/>
              </w:rPr>
            </w:pPr>
            <w:proofErr w:type="gramStart"/>
            <w:r w:rsidRPr="00DB56ED">
              <w:rPr>
                <w:rFonts w:ascii="Univers" w:hAnsi="Univers"/>
                <w:b/>
                <w:sz w:val="32"/>
                <w:lang w:val="fr-FR"/>
              </w:rPr>
              <w:t>l’environnement</w:t>
            </w:r>
            <w:proofErr w:type="gramEnd"/>
          </w:p>
          <w:p w:rsidR="00441083" w:rsidRPr="00DB56ED" w:rsidRDefault="00E60D9C">
            <w:pPr>
              <w:spacing w:before="720"/>
              <w:ind w:left="158"/>
              <w:rPr>
                <w:lang w:val="fr-FR"/>
              </w:rPr>
            </w:pPr>
            <w:r w:rsidRPr="00DB56ED">
              <w:rPr>
                <w:lang w:val="fr-FR"/>
              </w:rPr>
              <w:t xml:space="preserve"> </w:t>
            </w:r>
          </w:p>
        </w:tc>
        <w:tc>
          <w:tcPr>
            <w:tcW w:w="3544" w:type="dxa"/>
            <w:tcBorders>
              <w:top w:val="nil"/>
              <w:left w:val="nil"/>
              <w:bottom w:val="single" w:sz="36" w:space="0" w:color="auto"/>
              <w:right w:val="nil"/>
            </w:tcBorders>
          </w:tcPr>
          <w:p w:rsidR="00441083" w:rsidRPr="00DB56ED" w:rsidRDefault="00441083">
            <w:pPr>
              <w:rPr>
                <w:lang w:val="fr-FR"/>
              </w:rPr>
            </w:pPr>
          </w:p>
          <w:p w:rsidR="00441083" w:rsidRPr="00DB56ED" w:rsidRDefault="00E60D9C">
            <w:pPr>
              <w:rPr>
                <w:lang w:val="fr-FR"/>
              </w:rPr>
            </w:pPr>
            <w:proofErr w:type="spellStart"/>
            <w:r w:rsidRPr="00DB56ED">
              <w:rPr>
                <w:lang w:val="fr-FR"/>
              </w:rPr>
              <w:t>Distr</w:t>
            </w:r>
            <w:proofErr w:type="spellEnd"/>
            <w:r w:rsidRPr="00DB56ED">
              <w:rPr>
                <w:lang w:val="fr-FR"/>
              </w:rPr>
              <w:t>.</w:t>
            </w:r>
          </w:p>
          <w:p w:rsidR="00441083" w:rsidRPr="00DB56ED" w:rsidRDefault="00E60D9C" w:rsidP="00DD3433">
            <w:pPr>
              <w:rPr>
                <w:lang w:val="fr-FR"/>
              </w:rPr>
            </w:pPr>
            <w:r w:rsidRPr="00DB56ED">
              <w:rPr>
                <w:lang w:val="fr-FR"/>
              </w:rPr>
              <w:t>G</w:t>
            </w:r>
            <w:r w:rsidR="00DD3433" w:rsidRPr="00DB56ED">
              <w:rPr>
                <w:lang w:val="fr-FR"/>
              </w:rPr>
              <w:t>É</w:t>
            </w:r>
            <w:r w:rsidRPr="00DB56ED">
              <w:rPr>
                <w:lang w:val="fr-FR"/>
              </w:rPr>
              <w:t>N</w:t>
            </w:r>
            <w:r w:rsidR="00DD3433" w:rsidRPr="00DB56ED">
              <w:rPr>
                <w:lang w:val="fr-FR"/>
              </w:rPr>
              <w:t>É</w:t>
            </w:r>
            <w:r w:rsidRPr="00DB56ED">
              <w:rPr>
                <w:lang w:val="fr-FR"/>
              </w:rPr>
              <w:t>RAL</w:t>
            </w:r>
            <w:r w:rsidR="00FF3CF1" w:rsidRPr="00DB56ED">
              <w:rPr>
                <w:lang w:val="fr-FR"/>
              </w:rPr>
              <w:t>E</w:t>
            </w:r>
          </w:p>
          <w:p w:rsidR="00441083" w:rsidRPr="00DB56ED" w:rsidRDefault="00441083">
            <w:pPr>
              <w:rPr>
                <w:lang w:val="fr-FR"/>
              </w:rPr>
            </w:pPr>
          </w:p>
          <w:p w:rsidR="00441083" w:rsidRPr="00DB56ED" w:rsidRDefault="00E60D9C">
            <w:pPr>
              <w:rPr>
                <w:lang w:val="fr-FR"/>
              </w:rPr>
            </w:pPr>
            <w:r w:rsidRPr="00DB56ED">
              <w:rPr>
                <w:lang w:val="fr-FR"/>
              </w:rPr>
              <w:fldChar w:fldCharType="begin"/>
            </w:r>
            <w:r w:rsidRPr="00DB56ED">
              <w:rPr>
                <w:lang w:val="fr-FR"/>
              </w:rPr>
              <w:instrText xml:space="preserve"> DOCPROPERTY "Document number"  \* MERGEFORMAT </w:instrText>
            </w:r>
            <w:r w:rsidRPr="00DB56ED">
              <w:rPr>
                <w:lang w:val="fr-FR"/>
              </w:rPr>
              <w:fldChar w:fldCharType="separate"/>
            </w:r>
            <w:r w:rsidR="00E54BB6">
              <w:rPr>
                <w:lang w:val="fr-FR"/>
              </w:rPr>
              <w:t>UNEP/</w:t>
            </w:r>
            <w:proofErr w:type="spellStart"/>
            <w:r w:rsidR="00E54BB6">
              <w:rPr>
                <w:lang w:val="fr-FR"/>
              </w:rPr>
              <w:t>OzL.Pro</w:t>
            </w:r>
            <w:proofErr w:type="spellEnd"/>
            <w:r w:rsidR="00E54BB6">
              <w:rPr>
                <w:lang w:val="fr-FR"/>
              </w:rPr>
              <w:t>/</w:t>
            </w:r>
            <w:proofErr w:type="spellStart"/>
            <w:r w:rsidR="00E54BB6">
              <w:rPr>
                <w:lang w:val="fr-FR"/>
              </w:rPr>
              <w:t>ExCom</w:t>
            </w:r>
            <w:proofErr w:type="spellEnd"/>
            <w:r w:rsidR="00E54BB6">
              <w:rPr>
                <w:lang w:val="fr-FR"/>
              </w:rPr>
              <w:t>/84/43</w:t>
            </w:r>
            <w:r w:rsidRPr="00DB56ED">
              <w:rPr>
                <w:lang w:val="fr-FR"/>
              </w:rPr>
              <w:fldChar w:fldCharType="end"/>
            </w:r>
          </w:p>
          <w:p w:rsidR="002F0B57" w:rsidRPr="00DB56ED" w:rsidRDefault="002F0B57" w:rsidP="000F6C8E">
            <w:pPr>
              <w:rPr>
                <w:lang w:val="fr-FR"/>
              </w:rPr>
            </w:pPr>
            <w:r w:rsidRPr="00DB56ED">
              <w:rPr>
                <w:lang w:val="fr-FR"/>
              </w:rPr>
              <w:fldChar w:fldCharType="begin"/>
            </w:r>
            <w:r w:rsidRPr="00DB56ED">
              <w:rPr>
                <w:lang w:val="fr-FR"/>
              </w:rPr>
              <w:instrText xml:space="preserve"> DOCPROPERTY "Revision date" \@ "d MMMM YYYY"  \* MERGEFORMAT </w:instrText>
            </w:r>
            <w:r w:rsidRPr="00DB56ED">
              <w:rPr>
                <w:lang w:val="fr-FR"/>
              </w:rPr>
              <w:fldChar w:fldCharType="separate"/>
            </w:r>
            <w:r w:rsidR="00E54BB6">
              <w:rPr>
                <w:lang w:val="fr-FR"/>
              </w:rPr>
              <w:t>22 novembre 2019</w:t>
            </w:r>
            <w:r w:rsidRPr="00DB56ED">
              <w:rPr>
                <w:lang w:val="fr-FR"/>
              </w:rPr>
              <w:fldChar w:fldCharType="end"/>
            </w:r>
          </w:p>
          <w:p w:rsidR="00441083" w:rsidRPr="00DB56ED" w:rsidRDefault="00FC5578">
            <w:pPr>
              <w:rPr>
                <w:caps/>
                <w:lang w:val="fr-FR"/>
              </w:rPr>
            </w:pPr>
            <w:r w:rsidRPr="00DB56ED">
              <w:rPr>
                <w:caps/>
                <w:lang w:val="fr-FR"/>
              </w:rPr>
              <w:br/>
            </w:r>
            <w:r w:rsidR="00E60D9C" w:rsidRPr="00DB56ED">
              <w:rPr>
                <w:caps/>
                <w:lang w:val="fr-FR"/>
              </w:rPr>
              <w:t>FRANÇAIS</w:t>
            </w:r>
          </w:p>
          <w:p w:rsidR="00441083" w:rsidRPr="00DB56ED" w:rsidRDefault="00E60D9C">
            <w:pPr>
              <w:rPr>
                <w:lang w:val="fr-FR"/>
              </w:rPr>
            </w:pPr>
            <w:r w:rsidRPr="00DB56ED">
              <w:rPr>
                <w:lang w:val="fr-FR"/>
              </w:rPr>
              <w:t xml:space="preserve">ORIGINAL: </w:t>
            </w:r>
            <w:r w:rsidR="0091161A" w:rsidRPr="00DB56ED">
              <w:rPr>
                <w:lang w:val="fr-FR"/>
              </w:rPr>
              <w:t>ANGLAIS</w:t>
            </w:r>
          </w:p>
        </w:tc>
      </w:tr>
    </w:tbl>
    <w:p w:rsidR="00441083" w:rsidRPr="00DB56ED" w:rsidRDefault="00441083">
      <w:pPr>
        <w:jc w:val="left"/>
        <w:rPr>
          <w:lang w:val="fr-FR"/>
        </w:rPr>
      </w:pPr>
    </w:p>
    <w:p w:rsidR="00441083" w:rsidRPr="00DB56ED" w:rsidRDefault="00E60D9C" w:rsidP="00DD3433">
      <w:pPr>
        <w:jc w:val="left"/>
        <w:rPr>
          <w:lang w:val="fr-FR"/>
        </w:rPr>
      </w:pPr>
      <w:r w:rsidRPr="00DB56ED">
        <w:rPr>
          <w:lang w:val="fr-FR"/>
        </w:rPr>
        <w:t>COMIT</w:t>
      </w:r>
      <w:r w:rsidR="00DD3433" w:rsidRPr="00DB56ED">
        <w:rPr>
          <w:lang w:val="fr-FR"/>
        </w:rPr>
        <w:t>É</w:t>
      </w:r>
      <w:r w:rsidRPr="00DB56ED">
        <w:rPr>
          <w:lang w:val="fr-FR"/>
        </w:rPr>
        <w:t xml:space="preserve"> EX</w:t>
      </w:r>
      <w:r w:rsidR="00DD3433" w:rsidRPr="00DB56ED">
        <w:rPr>
          <w:lang w:val="fr-FR"/>
        </w:rPr>
        <w:t xml:space="preserve">ÉCUTIF </w:t>
      </w:r>
      <w:r w:rsidR="00DD3433" w:rsidRPr="00DB56ED">
        <w:rPr>
          <w:lang w:val="fr-FR"/>
        </w:rPr>
        <w:br/>
        <w:t xml:space="preserve">  DU FONDS MULTILATÉ</w:t>
      </w:r>
      <w:r w:rsidRPr="00DB56ED">
        <w:rPr>
          <w:lang w:val="fr-FR"/>
        </w:rPr>
        <w:t xml:space="preserve">RAL AUX FINS </w:t>
      </w:r>
      <w:r w:rsidRPr="00DB56ED">
        <w:rPr>
          <w:lang w:val="fr-FR"/>
        </w:rPr>
        <w:br/>
        <w:t xml:space="preserve">  D’APPLICATION DU PROTOCOLE DE MONTR</w:t>
      </w:r>
      <w:r w:rsidR="00DD3433" w:rsidRPr="00DB56ED">
        <w:rPr>
          <w:lang w:val="fr-FR"/>
        </w:rPr>
        <w:t>É</w:t>
      </w:r>
      <w:r w:rsidRPr="00DB56ED">
        <w:rPr>
          <w:lang w:val="fr-FR"/>
        </w:rPr>
        <w:t>AL</w:t>
      </w:r>
      <w:r w:rsidRPr="00DB56ED">
        <w:rPr>
          <w:lang w:val="fr-FR"/>
        </w:rPr>
        <w:br/>
      </w:r>
      <w:r w:rsidR="00E54871" w:rsidRPr="00DB56ED">
        <w:rPr>
          <w:lang w:val="fr-FR"/>
        </w:rPr>
        <w:t>Quatre</w:t>
      </w:r>
      <w:r w:rsidRPr="00DB56ED">
        <w:rPr>
          <w:lang w:val="fr-FR"/>
        </w:rPr>
        <w:t>-</w:t>
      </w:r>
      <w:r w:rsidR="00E54871" w:rsidRPr="00DB56ED">
        <w:rPr>
          <w:lang w:val="fr-FR"/>
        </w:rPr>
        <w:t>vingt</w:t>
      </w:r>
      <w:r w:rsidR="00AE63D8" w:rsidRPr="00DB56ED">
        <w:rPr>
          <w:lang w:val="fr-FR"/>
        </w:rPr>
        <w:t>-</w:t>
      </w:r>
      <w:r w:rsidR="00AC013C" w:rsidRPr="00DB56ED">
        <w:rPr>
          <w:lang w:val="fr-FR"/>
        </w:rPr>
        <w:t>quat</w:t>
      </w:r>
      <w:r w:rsidR="004C2C87" w:rsidRPr="00DB56ED">
        <w:rPr>
          <w:lang w:val="fr-FR"/>
        </w:rPr>
        <w:t>ri</w:t>
      </w:r>
      <w:r w:rsidR="00E54871" w:rsidRPr="00DB56ED">
        <w:rPr>
          <w:lang w:val="fr-FR"/>
        </w:rPr>
        <w:t>ème</w:t>
      </w:r>
      <w:r w:rsidR="00FC5578" w:rsidRPr="00DB56ED">
        <w:rPr>
          <w:lang w:val="fr-FR"/>
        </w:rPr>
        <w:t xml:space="preserve"> </w:t>
      </w:r>
      <w:r w:rsidRPr="00DB56ED">
        <w:rPr>
          <w:lang w:val="fr-FR"/>
        </w:rPr>
        <w:t>réunion</w:t>
      </w:r>
    </w:p>
    <w:p w:rsidR="00441083" w:rsidRPr="00DB56ED" w:rsidRDefault="00E54871" w:rsidP="00AC013C">
      <w:pPr>
        <w:jc w:val="left"/>
        <w:rPr>
          <w:lang w:val="fr-FR"/>
        </w:rPr>
      </w:pPr>
      <w:r w:rsidRPr="00DB56ED">
        <w:rPr>
          <w:lang w:val="fr-FR"/>
        </w:rPr>
        <w:t>Montréal,</w:t>
      </w:r>
      <w:r w:rsidR="00FC5578" w:rsidRPr="00DB56ED">
        <w:rPr>
          <w:lang w:val="fr-FR"/>
        </w:rPr>
        <w:t xml:space="preserve"> </w:t>
      </w:r>
      <w:r w:rsidR="00AC013C" w:rsidRPr="00DB56ED">
        <w:rPr>
          <w:lang w:val="fr-FR"/>
        </w:rPr>
        <w:t xml:space="preserve">16 </w:t>
      </w:r>
      <w:r w:rsidR="00E60D9C" w:rsidRPr="00DB56ED">
        <w:rPr>
          <w:lang w:val="fr-FR"/>
        </w:rPr>
        <w:t xml:space="preserve">– </w:t>
      </w:r>
      <w:r w:rsidR="00AC013C" w:rsidRPr="00DB56ED">
        <w:rPr>
          <w:lang w:val="fr-FR"/>
        </w:rPr>
        <w:t>20 décembre</w:t>
      </w:r>
      <w:r w:rsidR="004C2C87" w:rsidRPr="00DB56ED">
        <w:rPr>
          <w:lang w:val="fr-FR"/>
        </w:rPr>
        <w:t xml:space="preserve"> 2019</w:t>
      </w:r>
    </w:p>
    <w:p w:rsidR="00441083" w:rsidRPr="00DB56ED" w:rsidRDefault="00441083">
      <w:pPr>
        <w:jc w:val="left"/>
        <w:rPr>
          <w:lang w:val="fr-FR"/>
        </w:rPr>
      </w:pPr>
    </w:p>
    <w:p w:rsidR="00441083" w:rsidRPr="00DB56ED" w:rsidRDefault="00441083">
      <w:pPr>
        <w:pStyle w:val="Title1"/>
        <w:rPr>
          <w:lang w:val="fr-FR"/>
        </w:rPr>
      </w:pPr>
    </w:p>
    <w:p w:rsidR="00441083" w:rsidRPr="00DB56ED" w:rsidRDefault="00441083">
      <w:pPr>
        <w:pStyle w:val="Title1"/>
        <w:rPr>
          <w:lang w:val="fr-FR"/>
        </w:rPr>
      </w:pPr>
    </w:p>
    <w:p w:rsidR="00441083" w:rsidRPr="00DB56ED" w:rsidRDefault="0052476E">
      <w:pPr>
        <w:jc w:val="center"/>
        <w:rPr>
          <w:lang w:val="fr-FR"/>
        </w:rPr>
      </w:pPr>
      <w:r w:rsidRPr="00DB56ED">
        <w:rPr>
          <w:b/>
          <w:lang w:val="fr-FR"/>
        </w:rPr>
        <w:t>PROPOSITION DE PROJET : COLOMBIE</w:t>
      </w:r>
    </w:p>
    <w:p w:rsidR="00441083" w:rsidRPr="00DB56ED" w:rsidRDefault="00441083" w:rsidP="000C44E6">
      <w:pPr>
        <w:jc w:val="left"/>
        <w:rPr>
          <w:lang w:val="fr-FR"/>
        </w:rPr>
      </w:pPr>
    </w:p>
    <w:p w:rsidR="00441083" w:rsidRDefault="00441083" w:rsidP="000C44E6">
      <w:pPr>
        <w:rPr>
          <w:lang w:val="fr-FR"/>
        </w:rPr>
      </w:pPr>
    </w:p>
    <w:p w:rsidR="00E54BB6" w:rsidRPr="00DB56ED" w:rsidRDefault="00E54BB6" w:rsidP="000C44E6">
      <w:pPr>
        <w:rPr>
          <w:lang w:val="fr-FR"/>
        </w:rPr>
      </w:pPr>
    </w:p>
    <w:p w:rsidR="0052476E" w:rsidRPr="00DB56ED" w:rsidRDefault="0052476E" w:rsidP="0052476E">
      <w:pPr>
        <w:ind w:firstLine="720"/>
        <w:rPr>
          <w:lang w:val="fr-FR"/>
        </w:rPr>
      </w:pPr>
      <w:r w:rsidRPr="00DB56ED">
        <w:rPr>
          <w:lang w:val="fr-FR"/>
        </w:rPr>
        <w:t xml:space="preserve">Le présent document comporte les observations et la recommandation du Secrétariat sur la proposition de projet suivante : </w:t>
      </w:r>
    </w:p>
    <w:p w:rsidR="0052476E" w:rsidRPr="00DB56ED" w:rsidRDefault="0052476E" w:rsidP="0052476E">
      <w:pPr>
        <w:rPr>
          <w:lang w:val="fr-FR"/>
        </w:rPr>
      </w:pPr>
    </w:p>
    <w:p w:rsidR="0052476E" w:rsidRPr="00DB56ED" w:rsidRDefault="0052476E" w:rsidP="0052476E">
      <w:pPr>
        <w:rPr>
          <w:u w:val="single"/>
          <w:lang w:val="fr-FR"/>
        </w:rPr>
      </w:pPr>
      <w:r w:rsidRPr="00DB56ED">
        <w:rPr>
          <w:u w:val="single"/>
          <w:lang w:val="fr-FR"/>
        </w:rPr>
        <w:t>Élimination</w:t>
      </w:r>
    </w:p>
    <w:p w:rsidR="0052476E" w:rsidRPr="00DB56ED" w:rsidRDefault="0052476E" w:rsidP="0052476E">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52476E" w:rsidRPr="00E54BB6" w:rsidTr="009D7CDB">
        <w:tc>
          <w:tcPr>
            <w:tcW w:w="6941" w:type="dxa"/>
          </w:tcPr>
          <w:p w:rsidR="0052476E" w:rsidRPr="00DB56ED" w:rsidRDefault="0052476E" w:rsidP="0052476E">
            <w:pPr>
              <w:pStyle w:val="ListParagraph"/>
              <w:numPr>
                <w:ilvl w:val="0"/>
                <w:numId w:val="23"/>
              </w:numPr>
              <w:ind w:hanging="830"/>
            </w:pPr>
            <w:r w:rsidRPr="00DB56ED">
              <w:t>Plan de gestion de l’élimination des HCFC (phase II, troisième tranche)</w:t>
            </w:r>
          </w:p>
        </w:tc>
        <w:tc>
          <w:tcPr>
            <w:tcW w:w="2409" w:type="dxa"/>
          </w:tcPr>
          <w:p w:rsidR="0052476E" w:rsidRPr="00DB56ED" w:rsidRDefault="0052476E" w:rsidP="009D7CDB">
            <w:pPr>
              <w:jc w:val="right"/>
              <w:rPr>
                <w:lang w:val="fr-FR"/>
              </w:rPr>
            </w:pPr>
            <w:r w:rsidRPr="00DB56ED">
              <w:rPr>
                <w:lang w:val="fr-FR"/>
              </w:rPr>
              <w:t>PNUD, PNUE et gouvernement de l’Allemagne</w:t>
            </w:r>
          </w:p>
        </w:tc>
      </w:tr>
    </w:tbl>
    <w:p w:rsidR="0052476E" w:rsidRPr="00DB56ED" w:rsidRDefault="0052476E" w:rsidP="0052476E">
      <w:pPr>
        <w:rPr>
          <w:lang w:val="fr-FR"/>
        </w:rPr>
      </w:pPr>
    </w:p>
    <w:p w:rsidR="0052476E" w:rsidRPr="00DB56ED" w:rsidRDefault="0052476E" w:rsidP="0052476E">
      <w:pPr>
        <w:rPr>
          <w:lang w:val="fr-FR"/>
        </w:rPr>
      </w:pPr>
    </w:p>
    <w:p w:rsidR="0052476E" w:rsidRPr="00DB56ED" w:rsidRDefault="0052476E" w:rsidP="0052476E">
      <w:pPr>
        <w:rPr>
          <w:lang w:val="fr-FR"/>
        </w:rPr>
      </w:pPr>
    </w:p>
    <w:p w:rsidR="0052476E" w:rsidRPr="00DB56ED" w:rsidRDefault="0052476E" w:rsidP="0052476E">
      <w:pPr>
        <w:rPr>
          <w:lang w:val="fr-FR"/>
        </w:rPr>
      </w:pPr>
    </w:p>
    <w:p w:rsidR="0052476E" w:rsidRPr="00DB56ED" w:rsidRDefault="0052476E" w:rsidP="0052476E">
      <w:pPr>
        <w:rPr>
          <w:lang w:val="fr-FR"/>
        </w:rPr>
      </w:pPr>
    </w:p>
    <w:p w:rsidR="0052476E" w:rsidRPr="00DB56ED" w:rsidRDefault="0052476E" w:rsidP="0052476E">
      <w:pPr>
        <w:rPr>
          <w:lang w:val="fr-FR"/>
        </w:rPr>
      </w:pPr>
    </w:p>
    <w:p w:rsidR="0052476E" w:rsidRPr="00DB56ED" w:rsidRDefault="0052476E" w:rsidP="0052476E">
      <w:pPr>
        <w:rPr>
          <w:lang w:val="fr-FR"/>
        </w:rPr>
      </w:pPr>
    </w:p>
    <w:p w:rsidR="0052476E" w:rsidRPr="00DB56ED" w:rsidRDefault="0052476E" w:rsidP="0052476E">
      <w:pPr>
        <w:rPr>
          <w:lang w:val="fr-FR"/>
        </w:rPr>
      </w:pPr>
      <w:r w:rsidRPr="00DB56ED">
        <w:rPr>
          <w:lang w:val="fr-FR"/>
        </w:rPr>
        <w:br w:type="page"/>
      </w:r>
    </w:p>
    <w:p w:rsidR="0052476E" w:rsidRPr="00E54BB6" w:rsidRDefault="0052476E" w:rsidP="0052476E">
      <w:pPr>
        <w:jc w:val="center"/>
        <w:rPr>
          <w:b/>
          <w:sz w:val="20"/>
          <w:szCs w:val="20"/>
          <w:lang w:val="fr-FR"/>
        </w:rPr>
      </w:pPr>
      <w:r w:rsidRPr="00E54BB6">
        <w:rPr>
          <w:b/>
          <w:sz w:val="20"/>
          <w:szCs w:val="20"/>
          <w:lang w:val="fr-FR"/>
        </w:rPr>
        <w:lastRenderedPageBreak/>
        <w:t>FICHE D’ÉVALUATION DU PROJET – PROJETS PLURIANNUELS</w:t>
      </w:r>
    </w:p>
    <w:p w:rsidR="0052476E" w:rsidRDefault="0052476E" w:rsidP="0052476E">
      <w:pPr>
        <w:jc w:val="center"/>
        <w:rPr>
          <w:b/>
          <w:sz w:val="20"/>
          <w:szCs w:val="20"/>
          <w:lang w:val="fr-FR"/>
        </w:rPr>
      </w:pPr>
      <w:r w:rsidRPr="00E54BB6">
        <w:rPr>
          <w:b/>
          <w:sz w:val="20"/>
          <w:szCs w:val="20"/>
          <w:lang w:val="fr-FR"/>
        </w:rPr>
        <w:t>Colombie</w:t>
      </w:r>
    </w:p>
    <w:p w:rsidR="00E54BB6" w:rsidRPr="00E54BB6" w:rsidRDefault="00E54BB6" w:rsidP="0052476E">
      <w:pPr>
        <w:jc w:val="center"/>
        <w:rPr>
          <w:b/>
          <w:sz w:val="20"/>
          <w:szCs w:val="20"/>
          <w:lang w:val="fr-FR"/>
        </w:rPr>
      </w:pPr>
    </w:p>
    <w:tbl>
      <w:tblPr>
        <w:tblStyle w:val="TableGrid"/>
        <w:tblW w:w="5169" w:type="pct"/>
        <w:tblInd w:w="-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539"/>
        <w:gridCol w:w="4127"/>
      </w:tblGrid>
      <w:tr w:rsidR="0052476E" w:rsidRPr="00E54BB6" w:rsidTr="009D7CDB">
        <w:trPr>
          <w:trHeight w:val="47"/>
        </w:trPr>
        <w:tc>
          <w:tcPr>
            <w:tcW w:w="2865" w:type="pct"/>
            <w:shd w:val="clear" w:color="auto" w:fill="auto"/>
          </w:tcPr>
          <w:p w:rsidR="0052476E" w:rsidRPr="00E54BB6" w:rsidRDefault="0052476E" w:rsidP="009D7CDB">
            <w:pPr>
              <w:spacing w:after="80"/>
              <w:jc w:val="left"/>
              <w:rPr>
                <w:b/>
                <w:sz w:val="14"/>
                <w:szCs w:val="14"/>
                <w:lang w:val="fr-FR"/>
              </w:rPr>
            </w:pPr>
            <w:r w:rsidRPr="00E54BB6">
              <w:rPr>
                <w:b/>
                <w:sz w:val="14"/>
                <w:szCs w:val="14"/>
                <w:lang w:val="fr-FR"/>
              </w:rPr>
              <w:t>(I) TITRE DU PROJET</w:t>
            </w:r>
          </w:p>
        </w:tc>
        <w:tc>
          <w:tcPr>
            <w:tcW w:w="2135" w:type="pct"/>
            <w:shd w:val="clear" w:color="auto" w:fill="auto"/>
          </w:tcPr>
          <w:p w:rsidR="0052476E" w:rsidRPr="00E54BB6" w:rsidRDefault="0052476E" w:rsidP="009D7CDB">
            <w:pPr>
              <w:spacing w:after="80"/>
              <w:jc w:val="center"/>
              <w:rPr>
                <w:b/>
                <w:sz w:val="14"/>
                <w:szCs w:val="14"/>
                <w:lang w:val="fr-FR"/>
              </w:rPr>
            </w:pPr>
            <w:r w:rsidRPr="00E54BB6">
              <w:rPr>
                <w:b/>
                <w:sz w:val="14"/>
                <w:szCs w:val="14"/>
                <w:lang w:val="fr-FR"/>
              </w:rPr>
              <w:t>AGENCE</w:t>
            </w:r>
          </w:p>
        </w:tc>
      </w:tr>
      <w:tr w:rsidR="0052476E" w:rsidRPr="00E54BB6" w:rsidTr="009D7CDB">
        <w:trPr>
          <w:trHeight w:val="240"/>
        </w:trPr>
        <w:tc>
          <w:tcPr>
            <w:tcW w:w="2865" w:type="pct"/>
            <w:shd w:val="clear" w:color="auto" w:fill="auto"/>
          </w:tcPr>
          <w:p w:rsidR="0052476E" w:rsidRPr="00E54BB6" w:rsidRDefault="0052476E" w:rsidP="009D7CDB">
            <w:pPr>
              <w:spacing w:after="80"/>
              <w:jc w:val="center"/>
              <w:rPr>
                <w:sz w:val="14"/>
                <w:szCs w:val="14"/>
                <w:lang w:val="fr-FR"/>
              </w:rPr>
            </w:pPr>
            <w:r w:rsidRPr="00E54BB6">
              <w:rPr>
                <w:sz w:val="14"/>
                <w:szCs w:val="14"/>
                <w:lang w:val="fr-FR"/>
              </w:rPr>
              <w:t>Plan de gestion de l’élimination des HCFC (phase II)</w:t>
            </w:r>
          </w:p>
        </w:tc>
        <w:tc>
          <w:tcPr>
            <w:tcW w:w="2135" w:type="pct"/>
            <w:shd w:val="clear" w:color="auto" w:fill="auto"/>
          </w:tcPr>
          <w:p w:rsidR="0052476E" w:rsidRPr="00E54BB6" w:rsidRDefault="0052476E" w:rsidP="009D7CDB">
            <w:pPr>
              <w:spacing w:after="80"/>
              <w:jc w:val="center"/>
              <w:rPr>
                <w:sz w:val="14"/>
                <w:szCs w:val="14"/>
                <w:lang w:val="fr-FR"/>
              </w:rPr>
            </w:pPr>
            <w:r w:rsidRPr="00E54BB6">
              <w:rPr>
                <w:sz w:val="14"/>
                <w:szCs w:val="14"/>
                <w:lang w:val="fr-FR"/>
              </w:rPr>
              <w:t>PNUD (principale), PNUE, Allemagne</w:t>
            </w:r>
          </w:p>
        </w:tc>
      </w:tr>
    </w:tbl>
    <w:p w:rsidR="0052476E" w:rsidRPr="00E54BB6" w:rsidRDefault="0052476E" w:rsidP="0052476E">
      <w:pPr>
        <w:spacing w:after="60"/>
        <w:jc w:val="center"/>
        <w:rPr>
          <w:sz w:val="14"/>
          <w:szCs w:val="14"/>
          <w:lang w:val="fr-FR"/>
        </w:rPr>
      </w:pPr>
    </w:p>
    <w:tbl>
      <w:tblPr>
        <w:tblStyle w:val="TableGrid"/>
        <w:tblW w:w="5169" w:type="pct"/>
        <w:tblInd w:w="-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642"/>
        <w:gridCol w:w="2109"/>
        <w:gridCol w:w="2915"/>
      </w:tblGrid>
      <w:tr w:rsidR="0052476E" w:rsidRPr="00E54BB6" w:rsidTr="009D7CDB">
        <w:trPr>
          <w:trHeight w:val="240"/>
        </w:trPr>
        <w:tc>
          <w:tcPr>
            <w:tcW w:w="2401" w:type="pct"/>
            <w:shd w:val="clear" w:color="auto" w:fill="auto"/>
          </w:tcPr>
          <w:p w:rsidR="0052476E" w:rsidRPr="00E54BB6" w:rsidRDefault="0052476E" w:rsidP="009D7CDB">
            <w:pPr>
              <w:spacing w:after="60"/>
              <w:jc w:val="left"/>
              <w:rPr>
                <w:b/>
                <w:sz w:val="14"/>
                <w:szCs w:val="14"/>
                <w:lang w:val="fr-FR"/>
              </w:rPr>
            </w:pPr>
            <w:r w:rsidRPr="00E54BB6">
              <w:rPr>
                <w:b/>
                <w:sz w:val="14"/>
                <w:szCs w:val="14"/>
                <w:lang w:val="fr-FR"/>
              </w:rPr>
              <w:t>(II) DERNIÈRES DONNÉES DE L’ARTICLE 7 (Annexe C Groupe l)</w:t>
            </w:r>
          </w:p>
        </w:tc>
        <w:tc>
          <w:tcPr>
            <w:tcW w:w="1091"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Année : 2018</w:t>
            </w:r>
          </w:p>
        </w:tc>
        <w:tc>
          <w:tcPr>
            <w:tcW w:w="1508"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79,51 (tonnes PAO)</w:t>
            </w:r>
          </w:p>
        </w:tc>
      </w:tr>
    </w:tbl>
    <w:p w:rsidR="0052476E" w:rsidRPr="00E54BB6" w:rsidRDefault="0052476E" w:rsidP="0052476E">
      <w:pPr>
        <w:spacing w:after="60"/>
        <w:jc w:val="center"/>
        <w:rPr>
          <w:sz w:val="14"/>
          <w:szCs w:val="14"/>
          <w:lang w:val="fr-FR"/>
        </w:rPr>
      </w:pPr>
    </w:p>
    <w:tbl>
      <w:tblPr>
        <w:tblStyle w:val="TableGrid"/>
        <w:tblW w:w="5169" w:type="pct"/>
        <w:tblInd w:w="-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942"/>
        <w:gridCol w:w="660"/>
        <w:gridCol w:w="652"/>
        <w:gridCol w:w="776"/>
        <w:gridCol w:w="977"/>
        <w:gridCol w:w="730"/>
        <w:gridCol w:w="644"/>
        <w:gridCol w:w="1041"/>
        <w:gridCol w:w="823"/>
        <w:gridCol w:w="1421"/>
      </w:tblGrid>
      <w:tr w:rsidR="0052476E" w:rsidRPr="00E54BB6" w:rsidTr="009D7CDB">
        <w:trPr>
          <w:trHeight w:val="240"/>
        </w:trPr>
        <w:tc>
          <w:tcPr>
            <w:tcW w:w="3903" w:type="pct"/>
            <w:gridSpan w:val="8"/>
            <w:shd w:val="clear" w:color="auto" w:fill="auto"/>
          </w:tcPr>
          <w:p w:rsidR="0052476E" w:rsidRPr="00E54BB6" w:rsidRDefault="0052476E" w:rsidP="009D7CDB">
            <w:pPr>
              <w:spacing w:after="60"/>
              <w:jc w:val="left"/>
              <w:rPr>
                <w:b/>
                <w:sz w:val="14"/>
                <w:szCs w:val="14"/>
                <w:lang w:val="fr-FR"/>
              </w:rPr>
            </w:pPr>
            <w:r w:rsidRPr="00E54BB6">
              <w:rPr>
                <w:b/>
                <w:sz w:val="14"/>
                <w:szCs w:val="14"/>
                <w:lang w:val="fr-FR"/>
              </w:rPr>
              <w:t>(III) DERNIÈRES DONNÉES SECTORIELLES DU PROGRAMME DE PAYS (tonnes PAO)</w:t>
            </w:r>
          </w:p>
        </w:tc>
        <w:tc>
          <w:tcPr>
            <w:tcW w:w="1097" w:type="pct"/>
            <w:gridSpan w:val="2"/>
            <w:shd w:val="clear" w:color="auto" w:fill="auto"/>
          </w:tcPr>
          <w:p w:rsidR="0052476E" w:rsidRPr="00E54BB6" w:rsidRDefault="0052476E" w:rsidP="009D7CDB">
            <w:pPr>
              <w:spacing w:after="60"/>
              <w:jc w:val="right"/>
              <w:rPr>
                <w:b/>
                <w:sz w:val="14"/>
                <w:szCs w:val="14"/>
                <w:lang w:val="fr-FR"/>
              </w:rPr>
            </w:pPr>
            <w:r w:rsidRPr="00E54BB6">
              <w:rPr>
                <w:b/>
                <w:sz w:val="14"/>
                <w:szCs w:val="14"/>
                <w:lang w:val="fr-FR"/>
              </w:rPr>
              <w:t>Année : 2018</w:t>
            </w:r>
          </w:p>
        </w:tc>
      </w:tr>
      <w:tr w:rsidR="0052476E" w:rsidRPr="00E54BB6" w:rsidTr="009D7CDB">
        <w:trPr>
          <w:trHeight w:val="240"/>
        </w:trPr>
        <w:tc>
          <w:tcPr>
            <w:tcW w:w="1059"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Produit chimique</w:t>
            </w:r>
          </w:p>
        </w:tc>
        <w:tc>
          <w:tcPr>
            <w:tcW w:w="366"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Aérosol</w:t>
            </w:r>
          </w:p>
        </w:tc>
        <w:tc>
          <w:tcPr>
            <w:tcW w:w="293"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Mousse</w:t>
            </w:r>
          </w:p>
        </w:tc>
        <w:tc>
          <w:tcPr>
            <w:tcW w:w="401"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Lutte contre l’incendie</w:t>
            </w:r>
          </w:p>
        </w:tc>
        <w:tc>
          <w:tcPr>
            <w:tcW w:w="1009" w:type="pct"/>
            <w:gridSpan w:val="2"/>
            <w:shd w:val="clear" w:color="auto" w:fill="auto"/>
          </w:tcPr>
          <w:p w:rsidR="0052476E" w:rsidRPr="00E54BB6" w:rsidRDefault="0052476E" w:rsidP="009D7CDB">
            <w:pPr>
              <w:spacing w:after="60"/>
              <w:jc w:val="center"/>
              <w:rPr>
                <w:sz w:val="14"/>
                <w:szCs w:val="14"/>
                <w:lang w:val="fr-FR"/>
              </w:rPr>
            </w:pPr>
            <w:r w:rsidRPr="00E54BB6">
              <w:rPr>
                <w:sz w:val="14"/>
                <w:szCs w:val="14"/>
                <w:lang w:val="fr-FR"/>
              </w:rPr>
              <w:t>Réfrigération</w:t>
            </w:r>
          </w:p>
        </w:tc>
        <w:tc>
          <w:tcPr>
            <w:tcW w:w="356"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Solvant</w:t>
            </w:r>
          </w:p>
        </w:tc>
        <w:tc>
          <w:tcPr>
            <w:tcW w:w="420"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Agent de transformation</w:t>
            </w:r>
          </w:p>
        </w:tc>
        <w:tc>
          <w:tcPr>
            <w:tcW w:w="263"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Utilisation en laboratoire</w:t>
            </w:r>
          </w:p>
        </w:tc>
        <w:tc>
          <w:tcPr>
            <w:tcW w:w="834"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Consommation totale du secteur</w:t>
            </w:r>
          </w:p>
        </w:tc>
      </w:tr>
      <w:tr w:rsidR="0052476E" w:rsidRPr="00E54BB6" w:rsidTr="009D7CDB">
        <w:trPr>
          <w:trHeight w:val="240"/>
        </w:trPr>
        <w:tc>
          <w:tcPr>
            <w:tcW w:w="2118" w:type="pct"/>
            <w:gridSpan w:val="4"/>
            <w:shd w:val="clear" w:color="auto" w:fill="auto"/>
          </w:tcPr>
          <w:p w:rsidR="0052476E" w:rsidRPr="00E54BB6" w:rsidRDefault="0052476E" w:rsidP="009D7CDB">
            <w:pPr>
              <w:spacing w:after="60"/>
              <w:jc w:val="center"/>
              <w:rPr>
                <w:sz w:val="14"/>
                <w:szCs w:val="14"/>
                <w:lang w:val="fr-FR"/>
              </w:rPr>
            </w:pPr>
            <w:r w:rsidRPr="00E54BB6">
              <w:rPr>
                <w:sz w:val="14"/>
                <w:szCs w:val="14"/>
                <w:lang w:val="fr-FR"/>
              </w:rPr>
              <w:t xml:space="preserve"> </w:t>
            </w:r>
          </w:p>
        </w:tc>
        <w:tc>
          <w:tcPr>
            <w:tcW w:w="589"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Fabrication</w:t>
            </w:r>
          </w:p>
        </w:tc>
        <w:tc>
          <w:tcPr>
            <w:tcW w:w="419"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Entretien</w:t>
            </w:r>
          </w:p>
        </w:tc>
        <w:tc>
          <w:tcPr>
            <w:tcW w:w="1873" w:type="pct"/>
            <w:gridSpan w:val="4"/>
            <w:shd w:val="clear" w:color="auto" w:fill="auto"/>
          </w:tcPr>
          <w:p w:rsidR="0052476E" w:rsidRPr="00E54BB6" w:rsidRDefault="0052476E" w:rsidP="009D7CDB">
            <w:pPr>
              <w:spacing w:after="60"/>
              <w:jc w:val="center"/>
              <w:rPr>
                <w:sz w:val="14"/>
                <w:szCs w:val="14"/>
                <w:lang w:val="fr-FR"/>
              </w:rPr>
            </w:pPr>
          </w:p>
        </w:tc>
      </w:tr>
      <w:tr w:rsidR="0052476E" w:rsidRPr="00E54BB6" w:rsidTr="009D7CDB">
        <w:trPr>
          <w:trHeight w:val="240"/>
        </w:trPr>
        <w:tc>
          <w:tcPr>
            <w:tcW w:w="1059" w:type="pct"/>
            <w:shd w:val="clear" w:color="auto" w:fill="auto"/>
          </w:tcPr>
          <w:p w:rsidR="0052476E" w:rsidRPr="00E54BB6" w:rsidRDefault="0052476E" w:rsidP="009D7CDB">
            <w:pPr>
              <w:spacing w:after="60"/>
              <w:jc w:val="left"/>
              <w:rPr>
                <w:sz w:val="14"/>
                <w:szCs w:val="14"/>
                <w:lang w:val="fr-FR"/>
              </w:rPr>
            </w:pPr>
            <w:r w:rsidRPr="00E54BB6">
              <w:rPr>
                <w:sz w:val="14"/>
                <w:szCs w:val="14"/>
                <w:lang w:val="fr-FR"/>
              </w:rPr>
              <w:t>HCFC</w:t>
            </w:r>
            <w:r w:rsidRPr="00E54BB6">
              <w:rPr>
                <w:sz w:val="14"/>
                <w:szCs w:val="14"/>
                <w:lang w:val="fr-FR"/>
              </w:rPr>
              <w:noBreakHyphen/>
              <w:t>22</w:t>
            </w:r>
          </w:p>
        </w:tc>
        <w:tc>
          <w:tcPr>
            <w:tcW w:w="366" w:type="pct"/>
            <w:shd w:val="clear" w:color="auto" w:fill="auto"/>
          </w:tcPr>
          <w:p w:rsidR="0052476E" w:rsidRPr="00E54BB6" w:rsidRDefault="0052476E" w:rsidP="009D7CDB">
            <w:pPr>
              <w:spacing w:after="60"/>
              <w:jc w:val="right"/>
              <w:rPr>
                <w:sz w:val="14"/>
                <w:szCs w:val="14"/>
                <w:lang w:val="fr-FR"/>
              </w:rPr>
            </w:pPr>
          </w:p>
        </w:tc>
        <w:tc>
          <w:tcPr>
            <w:tcW w:w="293" w:type="pct"/>
            <w:shd w:val="clear" w:color="auto" w:fill="auto"/>
          </w:tcPr>
          <w:p w:rsidR="0052476E" w:rsidRPr="00E54BB6" w:rsidRDefault="0052476E" w:rsidP="009D7CDB">
            <w:pPr>
              <w:spacing w:after="60"/>
              <w:jc w:val="right"/>
              <w:rPr>
                <w:sz w:val="14"/>
                <w:szCs w:val="14"/>
                <w:lang w:val="fr-FR"/>
              </w:rPr>
            </w:pPr>
          </w:p>
        </w:tc>
        <w:tc>
          <w:tcPr>
            <w:tcW w:w="401" w:type="pct"/>
            <w:shd w:val="clear" w:color="auto" w:fill="auto"/>
          </w:tcPr>
          <w:p w:rsidR="0052476E" w:rsidRPr="00E54BB6" w:rsidRDefault="0052476E" w:rsidP="009D7CDB">
            <w:pPr>
              <w:spacing w:after="60"/>
              <w:jc w:val="right"/>
              <w:rPr>
                <w:sz w:val="14"/>
                <w:szCs w:val="14"/>
                <w:lang w:val="fr-FR"/>
              </w:rPr>
            </w:pPr>
          </w:p>
        </w:tc>
        <w:tc>
          <w:tcPr>
            <w:tcW w:w="589"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0,78</w:t>
            </w:r>
          </w:p>
        </w:tc>
        <w:tc>
          <w:tcPr>
            <w:tcW w:w="419"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41,53</w:t>
            </w:r>
          </w:p>
        </w:tc>
        <w:tc>
          <w:tcPr>
            <w:tcW w:w="356" w:type="pct"/>
            <w:shd w:val="clear" w:color="auto" w:fill="auto"/>
          </w:tcPr>
          <w:p w:rsidR="0052476E" w:rsidRPr="00E54BB6" w:rsidRDefault="0052476E" w:rsidP="009D7CDB">
            <w:pPr>
              <w:spacing w:after="60"/>
              <w:jc w:val="right"/>
              <w:rPr>
                <w:sz w:val="14"/>
                <w:szCs w:val="14"/>
                <w:lang w:val="fr-FR"/>
              </w:rPr>
            </w:pPr>
          </w:p>
        </w:tc>
        <w:tc>
          <w:tcPr>
            <w:tcW w:w="420" w:type="pct"/>
            <w:shd w:val="clear" w:color="auto" w:fill="auto"/>
          </w:tcPr>
          <w:p w:rsidR="0052476E" w:rsidRPr="00E54BB6" w:rsidRDefault="0052476E" w:rsidP="009D7CDB">
            <w:pPr>
              <w:spacing w:after="60"/>
              <w:jc w:val="right"/>
              <w:rPr>
                <w:sz w:val="14"/>
                <w:szCs w:val="14"/>
                <w:lang w:val="fr-FR"/>
              </w:rPr>
            </w:pPr>
          </w:p>
        </w:tc>
        <w:tc>
          <w:tcPr>
            <w:tcW w:w="263" w:type="pct"/>
            <w:shd w:val="clear" w:color="auto" w:fill="auto"/>
          </w:tcPr>
          <w:p w:rsidR="0052476E" w:rsidRPr="00E54BB6" w:rsidRDefault="0052476E" w:rsidP="009D7CDB">
            <w:pPr>
              <w:spacing w:after="60"/>
              <w:jc w:val="right"/>
              <w:rPr>
                <w:sz w:val="14"/>
                <w:szCs w:val="14"/>
                <w:lang w:val="fr-FR"/>
              </w:rPr>
            </w:pP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fldChar w:fldCharType="begin"/>
            </w:r>
            <w:r w:rsidRPr="00E54BB6">
              <w:rPr>
                <w:sz w:val="14"/>
                <w:szCs w:val="14"/>
                <w:lang w:val="fr-FR"/>
              </w:rPr>
              <w:instrText xml:space="preserve"> =SUM(LEFT) </w:instrText>
            </w:r>
            <w:r w:rsidRPr="00E54BB6">
              <w:rPr>
                <w:sz w:val="14"/>
                <w:szCs w:val="14"/>
                <w:lang w:val="fr-FR"/>
              </w:rPr>
              <w:fldChar w:fldCharType="separate"/>
            </w:r>
            <w:r w:rsidRPr="00E54BB6">
              <w:rPr>
                <w:sz w:val="14"/>
                <w:szCs w:val="14"/>
                <w:lang w:val="fr-FR"/>
              </w:rPr>
              <w:t>42.31</w:t>
            </w:r>
            <w:r w:rsidRPr="00E54BB6">
              <w:rPr>
                <w:sz w:val="14"/>
                <w:szCs w:val="14"/>
                <w:lang w:val="fr-FR"/>
              </w:rPr>
              <w:fldChar w:fldCharType="end"/>
            </w:r>
          </w:p>
        </w:tc>
      </w:tr>
      <w:tr w:rsidR="0052476E" w:rsidRPr="00E54BB6" w:rsidTr="009D7CDB">
        <w:trPr>
          <w:trHeight w:val="240"/>
        </w:trPr>
        <w:tc>
          <w:tcPr>
            <w:tcW w:w="1059" w:type="pct"/>
            <w:shd w:val="clear" w:color="auto" w:fill="auto"/>
          </w:tcPr>
          <w:p w:rsidR="0052476E" w:rsidRPr="00E54BB6" w:rsidRDefault="0052476E" w:rsidP="009D7CDB">
            <w:pPr>
              <w:spacing w:after="60"/>
              <w:jc w:val="left"/>
              <w:rPr>
                <w:sz w:val="14"/>
                <w:szCs w:val="14"/>
                <w:lang w:val="fr-FR"/>
              </w:rPr>
            </w:pPr>
            <w:r w:rsidRPr="00E54BB6">
              <w:rPr>
                <w:sz w:val="14"/>
                <w:szCs w:val="14"/>
                <w:lang w:val="fr-FR"/>
              </w:rPr>
              <w:t>HCFC</w:t>
            </w:r>
            <w:r w:rsidRPr="00E54BB6">
              <w:rPr>
                <w:sz w:val="14"/>
                <w:szCs w:val="14"/>
                <w:lang w:val="fr-FR"/>
              </w:rPr>
              <w:noBreakHyphen/>
              <w:t>123</w:t>
            </w:r>
          </w:p>
        </w:tc>
        <w:tc>
          <w:tcPr>
            <w:tcW w:w="366" w:type="pct"/>
            <w:shd w:val="clear" w:color="auto" w:fill="auto"/>
          </w:tcPr>
          <w:p w:rsidR="0052476E" w:rsidRPr="00E54BB6" w:rsidRDefault="0052476E" w:rsidP="009D7CDB">
            <w:pPr>
              <w:spacing w:after="60"/>
              <w:jc w:val="right"/>
              <w:rPr>
                <w:sz w:val="14"/>
                <w:szCs w:val="14"/>
                <w:lang w:val="fr-FR"/>
              </w:rPr>
            </w:pPr>
          </w:p>
        </w:tc>
        <w:tc>
          <w:tcPr>
            <w:tcW w:w="293" w:type="pct"/>
            <w:shd w:val="clear" w:color="auto" w:fill="auto"/>
          </w:tcPr>
          <w:p w:rsidR="0052476E" w:rsidRPr="00E54BB6" w:rsidRDefault="0052476E" w:rsidP="009D7CDB">
            <w:pPr>
              <w:spacing w:after="60"/>
              <w:jc w:val="right"/>
              <w:rPr>
                <w:sz w:val="14"/>
                <w:szCs w:val="14"/>
                <w:lang w:val="fr-FR"/>
              </w:rPr>
            </w:pPr>
          </w:p>
        </w:tc>
        <w:tc>
          <w:tcPr>
            <w:tcW w:w="401"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0,58</w:t>
            </w:r>
          </w:p>
        </w:tc>
        <w:tc>
          <w:tcPr>
            <w:tcW w:w="589" w:type="pct"/>
            <w:shd w:val="clear" w:color="auto" w:fill="auto"/>
          </w:tcPr>
          <w:p w:rsidR="0052476E" w:rsidRPr="00E54BB6" w:rsidRDefault="0052476E" w:rsidP="009D7CDB">
            <w:pPr>
              <w:spacing w:after="60"/>
              <w:jc w:val="right"/>
              <w:rPr>
                <w:sz w:val="14"/>
                <w:szCs w:val="14"/>
                <w:lang w:val="fr-FR"/>
              </w:rPr>
            </w:pPr>
          </w:p>
        </w:tc>
        <w:tc>
          <w:tcPr>
            <w:tcW w:w="419"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0,07</w:t>
            </w:r>
          </w:p>
        </w:tc>
        <w:tc>
          <w:tcPr>
            <w:tcW w:w="356" w:type="pct"/>
            <w:shd w:val="clear" w:color="auto" w:fill="auto"/>
          </w:tcPr>
          <w:p w:rsidR="0052476E" w:rsidRPr="00E54BB6" w:rsidRDefault="0052476E" w:rsidP="009D7CDB">
            <w:pPr>
              <w:spacing w:after="60"/>
              <w:jc w:val="right"/>
              <w:rPr>
                <w:sz w:val="14"/>
                <w:szCs w:val="14"/>
                <w:lang w:val="fr-FR"/>
              </w:rPr>
            </w:pPr>
          </w:p>
        </w:tc>
        <w:tc>
          <w:tcPr>
            <w:tcW w:w="420" w:type="pct"/>
            <w:shd w:val="clear" w:color="auto" w:fill="auto"/>
          </w:tcPr>
          <w:p w:rsidR="0052476E" w:rsidRPr="00E54BB6" w:rsidRDefault="0052476E" w:rsidP="009D7CDB">
            <w:pPr>
              <w:spacing w:after="60"/>
              <w:jc w:val="right"/>
              <w:rPr>
                <w:sz w:val="14"/>
                <w:szCs w:val="14"/>
                <w:lang w:val="fr-FR"/>
              </w:rPr>
            </w:pPr>
          </w:p>
        </w:tc>
        <w:tc>
          <w:tcPr>
            <w:tcW w:w="263" w:type="pct"/>
            <w:shd w:val="clear" w:color="auto" w:fill="auto"/>
          </w:tcPr>
          <w:p w:rsidR="0052476E" w:rsidRPr="00E54BB6" w:rsidRDefault="0052476E" w:rsidP="009D7CDB">
            <w:pPr>
              <w:spacing w:after="60"/>
              <w:jc w:val="right"/>
              <w:rPr>
                <w:sz w:val="14"/>
                <w:szCs w:val="14"/>
                <w:lang w:val="fr-FR"/>
              </w:rPr>
            </w:pP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0,65</w:t>
            </w:r>
          </w:p>
        </w:tc>
      </w:tr>
      <w:tr w:rsidR="0052476E" w:rsidRPr="00E54BB6" w:rsidTr="009D7CDB">
        <w:trPr>
          <w:trHeight w:val="240"/>
        </w:trPr>
        <w:tc>
          <w:tcPr>
            <w:tcW w:w="1059" w:type="pct"/>
            <w:shd w:val="clear" w:color="auto" w:fill="auto"/>
          </w:tcPr>
          <w:p w:rsidR="0052476E" w:rsidRPr="00E54BB6" w:rsidRDefault="0052476E" w:rsidP="009D7CDB">
            <w:pPr>
              <w:spacing w:after="60"/>
              <w:jc w:val="left"/>
              <w:rPr>
                <w:sz w:val="14"/>
                <w:szCs w:val="14"/>
                <w:lang w:val="fr-FR"/>
              </w:rPr>
            </w:pPr>
            <w:r w:rsidRPr="00E54BB6">
              <w:rPr>
                <w:sz w:val="14"/>
                <w:szCs w:val="14"/>
                <w:lang w:val="fr-FR"/>
              </w:rPr>
              <w:t>HCFC</w:t>
            </w:r>
            <w:r w:rsidRPr="00E54BB6">
              <w:rPr>
                <w:sz w:val="14"/>
                <w:szCs w:val="14"/>
                <w:lang w:val="fr-FR"/>
              </w:rPr>
              <w:noBreakHyphen/>
              <w:t>141b</w:t>
            </w:r>
          </w:p>
        </w:tc>
        <w:tc>
          <w:tcPr>
            <w:tcW w:w="366" w:type="pct"/>
            <w:shd w:val="clear" w:color="auto" w:fill="auto"/>
          </w:tcPr>
          <w:p w:rsidR="0052476E" w:rsidRPr="00E54BB6" w:rsidRDefault="0052476E" w:rsidP="009D7CDB">
            <w:pPr>
              <w:spacing w:after="60"/>
              <w:jc w:val="right"/>
              <w:rPr>
                <w:sz w:val="14"/>
                <w:szCs w:val="14"/>
                <w:lang w:val="fr-FR"/>
              </w:rPr>
            </w:pPr>
          </w:p>
        </w:tc>
        <w:tc>
          <w:tcPr>
            <w:tcW w:w="293"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28,01</w:t>
            </w:r>
          </w:p>
        </w:tc>
        <w:tc>
          <w:tcPr>
            <w:tcW w:w="401"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1,82</w:t>
            </w:r>
          </w:p>
        </w:tc>
        <w:tc>
          <w:tcPr>
            <w:tcW w:w="589" w:type="pct"/>
            <w:shd w:val="clear" w:color="auto" w:fill="auto"/>
          </w:tcPr>
          <w:p w:rsidR="0052476E" w:rsidRPr="00E54BB6" w:rsidRDefault="0052476E" w:rsidP="009D7CDB">
            <w:pPr>
              <w:spacing w:after="60"/>
              <w:jc w:val="right"/>
              <w:rPr>
                <w:sz w:val="14"/>
                <w:szCs w:val="14"/>
                <w:lang w:val="fr-FR"/>
              </w:rPr>
            </w:pPr>
          </w:p>
        </w:tc>
        <w:tc>
          <w:tcPr>
            <w:tcW w:w="419"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5,36</w:t>
            </w:r>
          </w:p>
        </w:tc>
        <w:tc>
          <w:tcPr>
            <w:tcW w:w="356" w:type="pct"/>
            <w:shd w:val="clear" w:color="auto" w:fill="auto"/>
          </w:tcPr>
          <w:p w:rsidR="0052476E" w:rsidRPr="00E54BB6" w:rsidRDefault="0052476E" w:rsidP="009D7CDB">
            <w:pPr>
              <w:spacing w:after="60"/>
              <w:jc w:val="right"/>
              <w:rPr>
                <w:sz w:val="14"/>
                <w:szCs w:val="14"/>
                <w:lang w:val="fr-FR"/>
              </w:rPr>
            </w:pPr>
          </w:p>
        </w:tc>
        <w:tc>
          <w:tcPr>
            <w:tcW w:w="420" w:type="pct"/>
            <w:shd w:val="clear" w:color="auto" w:fill="auto"/>
          </w:tcPr>
          <w:p w:rsidR="0052476E" w:rsidRPr="00E54BB6" w:rsidRDefault="0052476E" w:rsidP="009D7CDB">
            <w:pPr>
              <w:spacing w:after="60"/>
              <w:jc w:val="right"/>
              <w:rPr>
                <w:sz w:val="14"/>
                <w:szCs w:val="14"/>
                <w:lang w:val="fr-FR"/>
              </w:rPr>
            </w:pPr>
          </w:p>
        </w:tc>
        <w:tc>
          <w:tcPr>
            <w:tcW w:w="263" w:type="pct"/>
            <w:shd w:val="clear" w:color="auto" w:fill="auto"/>
          </w:tcPr>
          <w:p w:rsidR="0052476E" w:rsidRPr="00E54BB6" w:rsidRDefault="0052476E" w:rsidP="009D7CDB">
            <w:pPr>
              <w:spacing w:after="60"/>
              <w:jc w:val="right"/>
              <w:rPr>
                <w:sz w:val="14"/>
                <w:szCs w:val="14"/>
                <w:lang w:val="fr-FR"/>
              </w:rPr>
            </w:pP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35,19</w:t>
            </w:r>
          </w:p>
        </w:tc>
      </w:tr>
      <w:tr w:rsidR="0052476E" w:rsidRPr="00E54BB6" w:rsidTr="009D7CDB">
        <w:trPr>
          <w:trHeight w:val="240"/>
        </w:trPr>
        <w:tc>
          <w:tcPr>
            <w:tcW w:w="1059" w:type="pct"/>
            <w:shd w:val="clear" w:color="auto" w:fill="auto"/>
          </w:tcPr>
          <w:p w:rsidR="0052476E" w:rsidRPr="00E54BB6" w:rsidRDefault="0052476E" w:rsidP="009D7CDB">
            <w:pPr>
              <w:spacing w:after="60"/>
              <w:jc w:val="left"/>
              <w:rPr>
                <w:sz w:val="14"/>
                <w:szCs w:val="14"/>
                <w:lang w:val="fr-FR"/>
              </w:rPr>
            </w:pPr>
            <w:r w:rsidRPr="00E54BB6">
              <w:rPr>
                <w:sz w:val="14"/>
                <w:szCs w:val="14"/>
                <w:lang w:val="fr-FR"/>
              </w:rPr>
              <w:t xml:space="preserve">HCFC-141b dans du polyol </w:t>
            </w:r>
            <w:proofErr w:type="spellStart"/>
            <w:r w:rsidRPr="00E54BB6">
              <w:rPr>
                <w:sz w:val="14"/>
                <w:szCs w:val="14"/>
                <w:lang w:val="fr-FR"/>
              </w:rPr>
              <w:t>prémélangé</w:t>
            </w:r>
            <w:proofErr w:type="spellEnd"/>
            <w:r w:rsidRPr="00E54BB6">
              <w:rPr>
                <w:sz w:val="14"/>
                <w:szCs w:val="14"/>
                <w:lang w:val="fr-FR"/>
              </w:rPr>
              <w:t xml:space="preserve"> importé</w:t>
            </w:r>
          </w:p>
        </w:tc>
        <w:tc>
          <w:tcPr>
            <w:tcW w:w="366" w:type="pct"/>
            <w:shd w:val="clear" w:color="auto" w:fill="auto"/>
          </w:tcPr>
          <w:p w:rsidR="0052476E" w:rsidRPr="00E54BB6" w:rsidRDefault="0052476E" w:rsidP="009D7CDB">
            <w:pPr>
              <w:spacing w:after="60"/>
              <w:jc w:val="right"/>
              <w:rPr>
                <w:sz w:val="14"/>
                <w:szCs w:val="14"/>
                <w:lang w:val="fr-FR"/>
              </w:rPr>
            </w:pPr>
          </w:p>
        </w:tc>
        <w:tc>
          <w:tcPr>
            <w:tcW w:w="293"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1,36</w:t>
            </w:r>
          </w:p>
        </w:tc>
        <w:tc>
          <w:tcPr>
            <w:tcW w:w="401" w:type="pct"/>
            <w:shd w:val="clear" w:color="auto" w:fill="auto"/>
          </w:tcPr>
          <w:p w:rsidR="0052476E" w:rsidRPr="00E54BB6" w:rsidRDefault="0052476E" w:rsidP="009D7CDB">
            <w:pPr>
              <w:spacing w:after="60"/>
              <w:jc w:val="right"/>
              <w:rPr>
                <w:sz w:val="14"/>
                <w:szCs w:val="14"/>
                <w:lang w:val="fr-FR"/>
              </w:rPr>
            </w:pPr>
          </w:p>
        </w:tc>
        <w:tc>
          <w:tcPr>
            <w:tcW w:w="589" w:type="pct"/>
            <w:shd w:val="clear" w:color="auto" w:fill="auto"/>
          </w:tcPr>
          <w:p w:rsidR="0052476E" w:rsidRPr="00E54BB6" w:rsidRDefault="0052476E" w:rsidP="009D7CDB">
            <w:pPr>
              <w:spacing w:after="60"/>
              <w:jc w:val="right"/>
              <w:rPr>
                <w:sz w:val="14"/>
                <w:szCs w:val="14"/>
                <w:lang w:val="fr-FR"/>
              </w:rPr>
            </w:pPr>
          </w:p>
        </w:tc>
        <w:tc>
          <w:tcPr>
            <w:tcW w:w="419" w:type="pct"/>
            <w:shd w:val="clear" w:color="auto" w:fill="auto"/>
          </w:tcPr>
          <w:p w:rsidR="0052476E" w:rsidRPr="00E54BB6" w:rsidRDefault="0052476E" w:rsidP="009D7CDB">
            <w:pPr>
              <w:spacing w:after="60"/>
              <w:jc w:val="right"/>
              <w:rPr>
                <w:sz w:val="14"/>
                <w:szCs w:val="14"/>
                <w:lang w:val="fr-FR"/>
              </w:rPr>
            </w:pPr>
          </w:p>
        </w:tc>
        <w:tc>
          <w:tcPr>
            <w:tcW w:w="356" w:type="pct"/>
            <w:shd w:val="clear" w:color="auto" w:fill="auto"/>
          </w:tcPr>
          <w:p w:rsidR="0052476E" w:rsidRPr="00E54BB6" w:rsidRDefault="0052476E" w:rsidP="009D7CDB">
            <w:pPr>
              <w:spacing w:after="60"/>
              <w:jc w:val="right"/>
              <w:rPr>
                <w:sz w:val="14"/>
                <w:szCs w:val="14"/>
                <w:lang w:val="fr-FR"/>
              </w:rPr>
            </w:pPr>
          </w:p>
        </w:tc>
        <w:tc>
          <w:tcPr>
            <w:tcW w:w="420" w:type="pct"/>
            <w:shd w:val="clear" w:color="auto" w:fill="auto"/>
          </w:tcPr>
          <w:p w:rsidR="0052476E" w:rsidRPr="00E54BB6" w:rsidRDefault="0052476E" w:rsidP="009D7CDB">
            <w:pPr>
              <w:spacing w:after="60"/>
              <w:jc w:val="right"/>
              <w:rPr>
                <w:sz w:val="14"/>
                <w:szCs w:val="14"/>
                <w:lang w:val="fr-FR"/>
              </w:rPr>
            </w:pPr>
          </w:p>
        </w:tc>
        <w:tc>
          <w:tcPr>
            <w:tcW w:w="263" w:type="pct"/>
            <w:shd w:val="clear" w:color="auto" w:fill="auto"/>
          </w:tcPr>
          <w:p w:rsidR="0052476E" w:rsidRPr="00E54BB6" w:rsidRDefault="0052476E" w:rsidP="009D7CDB">
            <w:pPr>
              <w:spacing w:after="60"/>
              <w:jc w:val="right"/>
              <w:rPr>
                <w:sz w:val="14"/>
                <w:szCs w:val="14"/>
                <w:lang w:val="fr-FR"/>
              </w:rPr>
            </w:pP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1,36</w:t>
            </w:r>
          </w:p>
        </w:tc>
      </w:tr>
    </w:tbl>
    <w:p w:rsidR="0052476E" w:rsidRPr="00E54BB6" w:rsidRDefault="0052476E" w:rsidP="0052476E">
      <w:pPr>
        <w:spacing w:after="60"/>
        <w:jc w:val="center"/>
        <w:rPr>
          <w:sz w:val="14"/>
          <w:szCs w:val="14"/>
          <w:lang w:val="fr-FR"/>
        </w:rPr>
      </w:pPr>
    </w:p>
    <w:tbl>
      <w:tblPr>
        <w:tblStyle w:val="TableGrid"/>
        <w:tblW w:w="5216" w:type="pct"/>
        <w:tblInd w:w="-16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208"/>
        <w:gridCol w:w="718"/>
        <w:gridCol w:w="4350"/>
        <w:gridCol w:w="2478"/>
      </w:tblGrid>
      <w:tr w:rsidR="0052476E" w:rsidRPr="00E54BB6" w:rsidTr="009D7CDB">
        <w:trPr>
          <w:trHeight w:val="240"/>
        </w:trPr>
        <w:tc>
          <w:tcPr>
            <w:tcW w:w="5000" w:type="pct"/>
            <w:gridSpan w:val="4"/>
            <w:shd w:val="clear" w:color="auto" w:fill="auto"/>
          </w:tcPr>
          <w:p w:rsidR="0052476E" w:rsidRPr="00E54BB6" w:rsidRDefault="0052476E" w:rsidP="009D7CDB">
            <w:pPr>
              <w:spacing w:after="60"/>
              <w:jc w:val="left"/>
              <w:rPr>
                <w:b/>
                <w:sz w:val="14"/>
                <w:szCs w:val="14"/>
                <w:lang w:val="fr-FR"/>
              </w:rPr>
            </w:pPr>
            <w:r w:rsidRPr="00E54BB6">
              <w:rPr>
                <w:b/>
                <w:sz w:val="14"/>
                <w:szCs w:val="14"/>
                <w:lang w:val="fr-FR"/>
              </w:rPr>
              <w:t>(IV) DONNÉES SUR LA CONSOMMATION (tonnes PAO)</w:t>
            </w:r>
          </w:p>
        </w:tc>
      </w:tr>
      <w:tr w:rsidR="0052476E" w:rsidRPr="00E54BB6" w:rsidTr="009D7CDB">
        <w:trPr>
          <w:trHeight w:val="240"/>
        </w:trPr>
        <w:tc>
          <w:tcPr>
            <w:tcW w:w="1132"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 xml:space="preserve">Référence 2009 </w:t>
            </w:r>
            <w:r w:rsidRPr="00E54BB6">
              <w:rPr>
                <w:sz w:val="14"/>
                <w:szCs w:val="14"/>
                <w:lang w:val="fr-FR"/>
              </w:rPr>
              <w:noBreakHyphen/>
              <w:t xml:space="preserve"> 2010 :</w:t>
            </w:r>
          </w:p>
        </w:tc>
        <w:tc>
          <w:tcPr>
            <w:tcW w:w="368"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225,6</w:t>
            </w:r>
          </w:p>
        </w:tc>
        <w:tc>
          <w:tcPr>
            <w:tcW w:w="2230"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Point de départ des réductions globales durables :</w:t>
            </w:r>
          </w:p>
        </w:tc>
        <w:tc>
          <w:tcPr>
            <w:tcW w:w="1271"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225,6</w:t>
            </w:r>
          </w:p>
        </w:tc>
      </w:tr>
      <w:tr w:rsidR="0052476E" w:rsidRPr="00E54BB6" w:rsidTr="009D7CDB">
        <w:trPr>
          <w:trHeight w:val="240"/>
        </w:trPr>
        <w:tc>
          <w:tcPr>
            <w:tcW w:w="5000" w:type="pct"/>
            <w:gridSpan w:val="4"/>
            <w:shd w:val="clear" w:color="auto" w:fill="auto"/>
          </w:tcPr>
          <w:p w:rsidR="0052476E" w:rsidRPr="00E54BB6" w:rsidRDefault="0052476E" w:rsidP="009D7CDB">
            <w:pPr>
              <w:spacing w:after="60"/>
              <w:jc w:val="center"/>
              <w:rPr>
                <w:b/>
                <w:sz w:val="14"/>
                <w:szCs w:val="14"/>
                <w:lang w:val="fr-FR"/>
              </w:rPr>
            </w:pPr>
            <w:r w:rsidRPr="00E54BB6">
              <w:rPr>
                <w:b/>
                <w:sz w:val="14"/>
                <w:szCs w:val="14"/>
                <w:lang w:val="fr-FR"/>
              </w:rPr>
              <w:t>CONSOMMATION ADMISSIBLE AU FINANCEMENT (tonnes PAO)</w:t>
            </w:r>
          </w:p>
        </w:tc>
      </w:tr>
      <w:tr w:rsidR="0052476E" w:rsidRPr="00E54BB6" w:rsidTr="009D7CDB">
        <w:trPr>
          <w:trHeight w:val="240"/>
        </w:trPr>
        <w:tc>
          <w:tcPr>
            <w:tcW w:w="1132"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Déjà approuvée :</w:t>
            </w:r>
          </w:p>
        </w:tc>
        <w:tc>
          <w:tcPr>
            <w:tcW w:w="368"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201,21</w:t>
            </w:r>
          </w:p>
        </w:tc>
        <w:tc>
          <w:tcPr>
            <w:tcW w:w="2230" w:type="pct"/>
            <w:shd w:val="clear" w:color="auto" w:fill="auto"/>
          </w:tcPr>
          <w:p w:rsidR="0052476E" w:rsidRPr="00E54BB6" w:rsidRDefault="0052476E" w:rsidP="009D7CDB">
            <w:pPr>
              <w:spacing w:after="60"/>
              <w:jc w:val="center"/>
              <w:rPr>
                <w:sz w:val="14"/>
                <w:szCs w:val="14"/>
                <w:lang w:val="fr-FR"/>
              </w:rPr>
            </w:pPr>
            <w:r w:rsidRPr="00E54BB6">
              <w:rPr>
                <w:sz w:val="14"/>
                <w:szCs w:val="14"/>
                <w:lang w:val="fr-FR"/>
              </w:rPr>
              <w:t>Restante :</w:t>
            </w:r>
          </w:p>
        </w:tc>
        <w:tc>
          <w:tcPr>
            <w:tcW w:w="1271"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24,32</w:t>
            </w:r>
          </w:p>
        </w:tc>
      </w:tr>
    </w:tbl>
    <w:p w:rsidR="0052476E" w:rsidRPr="00E54BB6" w:rsidRDefault="0052476E" w:rsidP="0052476E">
      <w:pPr>
        <w:spacing w:after="60"/>
        <w:jc w:val="center"/>
        <w:rPr>
          <w:sz w:val="14"/>
          <w:szCs w:val="14"/>
          <w:lang w:val="fr-FR"/>
        </w:rPr>
      </w:pPr>
    </w:p>
    <w:tbl>
      <w:tblPr>
        <w:tblStyle w:val="TableGrid"/>
        <w:tblW w:w="5186" w:type="pct"/>
        <w:tblInd w:w="-16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881"/>
        <w:gridCol w:w="2345"/>
        <w:gridCol w:w="1618"/>
        <w:gridCol w:w="1618"/>
        <w:gridCol w:w="1618"/>
        <w:gridCol w:w="1618"/>
      </w:tblGrid>
      <w:tr w:rsidR="0052476E" w:rsidRPr="00E54BB6" w:rsidTr="009D7CDB">
        <w:trPr>
          <w:trHeight w:val="287"/>
        </w:trPr>
        <w:tc>
          <w:tcPr>
            <w:tcW w:w="1663" w:type="pct"/>
            <w:gridSpan w:val="2"/>
            <w:shd w:val="clear" w:color="auto" w:fill="auto"/>
          </w:tcPr>
          <w:p w:rsidR="0052476E" w:rsidRPr="00E54BB6" w:rsidRDefault="0052476E" w:rsidP="009D7CDB">
            <w:pPr>
              <w:spacing w:after="60"/>
              <w:jc w:val="left"/>
              <w:rPr>
                <w:b/>
                <w:sz w:val="14"/>
                <w:szCs w:val="14"/>
                <w:lang w:val="fr-FR"/>
              </w:rPr>
            </w:pPr>
            <w:r w:rsidRPr="00E54BB6">
              <w:rPr>
                <w:b/>
                <w:sz w:val="14"/>
                <w:szCs w:val="14"/>
                <w:lang w:val="fr-FR"/>
              </w:rPr>
              <w:t>(V) PLAN D’ACTIVITÉS</w:t>
            </w:r>
          </w:p>
        </w:tc>
        <w:tc>
          <w:tcPr>
            <w:tcW w:w="834" w:type="pct"/>
            <w:shd w:val="clear" w:color="auto" w:fill="auto"/>
          </w:tcPr>
          <w:p w:rsidR="0052476E" w:rsidRPr="00E54BB6" w:rsidRDefault="0052476E" w:rsidP="009D7CDB">
            <w:pPr>
              <w:spacing w:after="60"/>
              <w:jc w:val="center"/>
              <w:rPr>
                <w:b/>
                <w:sz w:val="14"/>
                <w:szCs w:val="14"/>
                <w:lang w:val="fr-FR"/>
              </w:rPr>
            </w:pPr>
            <w:r w:rsidRPr="00E54BB6">
              <w:rPr>
                <w:b/>
                <w:sz w:val="14"/>
                <w:szCs w:val="14"/>
                <w:lang w:val="fr-FR"/>
              </w:rPr>
              <w:t>2019</w:t>
            </w:r>
          </w:p>
        </w:tc>
        <w:tc>
          <w:tcPr>
            <w:tcW w:w="834" w:type="pct"/>
            <w:shd w:val="clear" w:color="auto" w:fill="auto"/>
          </w:tcPr>
          <w:p w:rsidR="0052476E" w:rsidRPr="00E54BB6" w:rsidRDefault="0052476E" w:rsidP="009D7CDB">
            <w:pPr>
              <w:spacing w:after="60"/>
              <w:jc w:val="center"/>
              <w:rPr>
                <w:b/>
                <w:sz w:val="14"/>
                <w:szCs w:val="14"/>
                <w:lang w:val="fr-FR"/>
              </w:rPr>
            </w:pPr>
            <w:r w:rsidRPr="00E54BB6">
              <w:rPr>
                <w:b/>
                <w:sz w:val="14"/>
                <w:szCs w:val="14"/>
                <w:lang w:val="fr-FR"/>
              </w:rPr>
              <w:t>2020</w:t>
            </w:r>
          </w:p>
        </w:tc>
        <w:tc>
          <w:tcPr>
            <w:tcW w:w="834" w:type="pct"/>
          </w:tcPr>
          <w:p w:rsidR="0052476E" w:rsidRPr="00E54BB6" w:rsidRDefault="0052476E" w:rsidP="009D7CDB">
            <w:pPr>
              <w:spacing w:after="60"/>
              <w:jc w:val="center"/>
              <w:rPr>
                <w:b/>
                <w:sz w:val="14"/>
                <w:szCs w:val="14"/>
                <w:lang w:val="fr-FR"/>
              </w:rPr>
            </w:pPr>
            <w:r w:rsidRPr="00E54BB6">
              <w:rPr>
                <w:b/>
                <w:sz w:val="14"/>
                <w:szCs w:val="14"/>
                <w:lang w:val="fr-FR"/>
              </w:rPr>
              <w:t>2021</w:t>
            </w:r>
          </w:p>
        </w:tc>
        <w:tc>
          <w:tcPr>
            <w:tcW w:w="834" w:type="pct"/>
            <w:shd w:val="clear" w:color="auto" w:fill="auto"/>
          </w:tcPr>
          <w:p w:rsidR="0052476E" w:rsidRPr="00E54BB6" w:rsidRDefault="0052476E" w:rsidP="009D7CDB">
            <w:pPr>
              <w:spacing w:after="60"/>
              <w:jc w:val="center"/>
              <w:rPr>
                <w:b/>
                <w:sz w:val="14"/>
                <w:szCs w:val="14"/>
                <w:lang w:val="fr-FR"/>
              </w:rPr>
            </w:pPr>
            <w:r w:rsidRPr="00E54BB6">
              <w:rPr>
                <w:b/>
                <w:sz w:val="14"/>
                <w:szCs w:val="14"/>
                <w:lang w:val="fr-FR"/>
              </w:rPr>
              <w:t>Total</w:t>
            </w:r>
          </w:p>
        </w:tc>
      </w:tr>
      <w:tr w:rsidR="0052476E" w:rsidRPr="00E54BB6" w:rsidTr="009D7CDB">
        <w:trPr>
          <w:trHeight w:val="240"/>
        </w:trPr>
        <w:tc>
          <w:tcPr>
            <w:tcW w:w="454" w:type="pct"/>
            <w:vMerge w:val="restart"/>
            <w:shd w:val="clear" w:color="auto" w:fill="auto"/>
          </w:tcPr>
          <w:p w:rsidR="0052476E" w:rsidRPr="00E54BB6" w:rsidRDefault="0052476E" w:rsidP="009D7CDB">
            <w:pPr>
              <w:spacing w:after="60"/>
              <w:jc w:val="center"/>
              <w:rPr>
                <w:sz w:val="14"/>
                <w:szCs w:val="14"/>
                <w:lang w:val="fr-FR"/>
              </w:rPr>
            </w:pPr>
            <w:r w:rsidRPr="00E54BB6">
              <w:rPr>
                <w:sz w:val="14"/>
                <w:szCs w:val="14"/>
                <w:lang w:val="fr-FR"/>
              </w:rPr>
              <w:t>PNUD</w:t>
            </w:r>
          </w:p>
        </w:tc>
        <w:tc>
          <w:tcPr>
            <w:tcW w:w="1209" w:type="pct"/>
            <w:shd w:val="clear" w:color="auto" w:fill="auto"/>
          </w:tcPr>
          <w:p w:rsidR="0052476E" w:rsidRPr="00E54BB6" w:rsidRDefault="0052476E" w:rsidP="009D7CDB">
            <w:pPr>
              <w:spacing w:after="60"/>
              <w:jc w:val="left"/>
              <w:rPr>
                <w:sz w:val="14"/>
                <w:szCs w:val="14"/>
                <w:lang w:val="fr-FR"/>
              </w:rPr>
            </w:pPr>
            <w:r w:rsidRPr="00E54BB6">
              <w:rPr>
                <w:sz w:val="14"/>
                <w:szCs w:val="14"/>
                <w:lang w:val="fr-FR"/>
              </w:rPr>
              <w:t>Élimination des SAO (tonnes PAO)</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14,89</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0</w:t>
            </w:r>
          </w:p>
        </w:tc>
        <w:tc>
          <w:tcPr>
            <w:tcW w:w="834" w:type="pct"/>
          </w:tcPr>
          <w:p w:rsidR="0052476E" w:rsidRPr="00E54BB6" w:rsidRDefault="0052476E" w:rsidP="009D7CDB">
            <w:pPr>
              <w:spacing w:after="60"/>
              <w:jc w:val="right"/>
              <w:rPr>
                <w:sz w:val="14"/>
                <w:szCs w:val="14"/>
                <w:lang w:val="fr-FR"/>
              </w:rPr>
            </w:pPr>
            <w:r w:rsidRPr="00E54BB6">
              <w:rPr>
                <w:sz w:val="14"/>
                <w:szCs w:val="14"/>
                <w:lang w:val="fr-FR"/>
              </w:rPr>
              <w:t>6,02</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fldChar w:fldCharType="begin"/>
            </w:r>
            <w:r w:rsidRPr="00E54BB6">
              <w:rPr>
                <w:sz w:val="14"/>
                <w:szCs w:val="14"/>
                <w:lang w:val="fr-FR"/>
              </w:rPr>
              <w:instrText xml:space="preserve"> =SUM(LEFT) </w:instrText>
            </w:r>
            <w:r w:rsidRPr="00E54BB6">
              <w:rPr>
                <w:sz w:val="14"/>
                <w:szCs w:val="14"/>
                <w:lang w:val="fr-FR"/>
              </w:rPr>
              <w:fldChar w:fldCharType="separate"/>
            </w:r>
            <w:r w:rsidRPr="00E54BB6">
              <w:rPr>
                <w:sz w:val="14"/>
                <w:szCs w:val="14"/>
                <w:lang w:val="fr-FR"/>
              </w:rPr>
              <w:t>20.91</w:t>
            </w:r>
            <w:r w:rsidRPr="00E54BB6">
              <w:rPr>
                <w:sz w:val="14"/>
                <w:szCs w:val="14"/>
                <w:lang w:val="fr-FR"/>
              </w:rPr>
              <w:fldChar w:fldCharType="end"/>
            </w:r>
          </w:p>
        </w:tc>
      </w:tr>
      <w:tr w:rsidR="0052476E" w:rsidRPr="00E54BB6" w:rsidTr="009D7CDB">
        <w:trPr>
          <w:trHeight w:val="240"/>
        </w:trPr>
        <w:tc>
          <w:tcPr>
            <w:tcW w:w="454" w:type="pct"/>
            <w:vMerge/>
            <w:shd w:val="clear" w:color="auto" w:fill="auto"/>
          </w:tcPr>
          <w:p w:rsidR="0052476E" w:rsidRPr="00E54BB6" w:rsidRDefault="0052476E" w:rsidP="009D7CDB">
            <w:pPr>
              <w:spacing w:after="60"/>
              <w:jc w:val="center"/>
              <w:rPr>
                <w:sz w:val="14"/>
                <w:szCs w:val="14"/>
                <w:lang w:val="fr-FR"/>
              </w:rPr>
            </w:pPr>
          </w:p>
        </w:tc>
        <w:tc>
          <w:tcPr>
            <w:tcW w:w="1209" w:type="pct"/>
            <w:shd w:val="clear" w:color="auto" w:fill="auto"/>
          </w:tcPr>
          <w:p w:rsidR="0052476E" w:rsidRPr="00E54BB6" w:rsidRDefault="0052476E" w:rsidP="009D7CDB">
            <w:pPr>
              <w:spacing w:after="60"/>
              <w:jc w:val="left"/>
              <w:rPr>
                <w:sz w:val="14"/>
                <w:szCs w:val="14"/>
                <w:lang w:val="fr-FR"/>
              </w:rPr>
            </w:pPr>
            <w:r w:rsidRPr="00E54BB6">
              <w:rPr>
                <w:sz w:val="14"/>
                <w:szCs w:val="14"/>
                <w:lang w:val="fr-FR"/>
              </w:rPr>
              <w:t>Financement ($ US)</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680 251</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0</w:t>
            </w:r>
          </w:p>
        </w:tc>
        <w:tc>
          <w:tcPr>
            <w:tcW w:w="834" w:type="pct"/>
          </w:tcPr>
          <w:p w:rsidR="0052476E" w:rsidRPr="00E54BB6" w:rsidRDefault="0052476E" w:rsidP="009D7CDB">
            <w:pPr>
              <w:spacing w:after="60"/>
              <w:jc w:val="right"/>
              <w:rPr>
                <w:sz w:val="14"/>
                <w:szCs w:val="14"/>
                <w:lang w:val="fr-FR"/>
              </w:rPr>
            </w:pPr>
            <w:r w:rsidRPr="00E54BB6">
              <w:rPr>
                <w:sz w:val="14"/>
                <w:szCs w:val="14"/>
                <w:lang w:val="fr-FR"/>
              </w:rPr>
              <w:t>275 133</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fldChar w:fldCharType="begin"/>
            </w:r>
            <w:r w:rsidRPr="00E54BB6">
              <w:rPr>
                <w:sz w:val="14"/>
                <w:szCs w:val="14"/>
                <w:lang w:val="fr-FR"/>
              </w:rPr>
              <w:instrText xml:space="preserve"> =SUM(left) </w:instrText>
            </w:r>
            <w:r w:rsidRPr="00E54BB6">
              <w:rPr>
                <w:sz w:val="14"/>
                <w:szCs w:val="14"/>
                <w:lang w:val="fr-FR"/>
              </w:rPr>
              <w:fldChar w:fldCharType="separate"/>
            </w:r>
            <w:r w:rsidRPr="00E54BB6">
              <w:rPr>
                <w:sz w:val="14"/>
                <w:szCs w:val="14"/>
                <w:lang w:val="fr-FR"/>
              </w:rPr>
              <w:t>955,384</w:t>
            </w:r>
            <w:r w:rsidRPr="00E54BB6">
              <w:rPr>
                <w:sz w:val="14"/>
                <w:szCs w:val="14"/>
                <w:lang w:val="fr-FR"/>
              </w:rPr>
              <w:fldChar w:fldCharType="end"/>
            </w:r>
          </w:p>
        </w:tc>
      </w:tr>
      <w:tr w:rsidR="0052476E" w:rsidRPr="00E54BB6" w:rsidTr="009D7CDB">
        <w:trPr>
          <w:trHeight w:val="240"/>
        </w:trPr>
        <w:tc>
          <w:tcPr>
            <w:tcW w:w="454" w:type="pct"/>
            <w:vMerge w:val="restart"/>
            <w:shd w:val="clear" w:color="auto" w:fill="auto"/>
          </w:tcPr>
          <w:p w:rsidR="0052476E" w:rsidRPr="00E54BB6" w:rsidRDefault="0052476E" w:rsidP="009D7CDB">
            <w:pPr>
              <w:spacing w:after="60"/>
              <w:jc w:val="center"/>
              <w:rPr>
                <w:sz w:val="14"/>
                <w:szCs w:val="14"/>
                <w:lang w:val="fr-FR"/>
              </w:rPr>
            </w:pPr>
            <w:r w:rsidRPr="00E54BB6">
              <w:rPr>
                <w:sz w:val="14"/>
                <w:szCs w:val="14"/>
                <w:lang w:val="fr-FR"/>
              </w:rPr>
              <w:t>PNUE</w:t>
            </w:r>
          </w:p>
        </w:tc>
        <w:tc>
          <w:tcPr>
            <w:tcW w:w="1209" w:type="pct"/>
            <w:shd w:val="clear" w:color="auto" w:fill="auto"/>
          </w:tcPr>
          <w:p w:rsidR="0052476E" w:rsidRPr="00E54BB6" w:rsidRDefault="0052476E" w:rsidP="009D7CDB">
            <w:pPr>
              <w:spacing w:after="60"/>
              <w:jc w:val="left"/>
              <w:rPr>
                <w:sz w:val="14"/>
                <w:szCs w:val="14"/>
                <w:lang w:val="fr-FR"/>
              </w:rPr>
            </w:pPr>
            <w:r w:rsidRPr="00E54BB6">
              <w:rPr>
                <w:sz w:val="14"/>
                <w:szCs w:val="14"/>
                <w:lang w:val="fr-FR"/>
              </w:rPr>
              <w:t>Élimination des SAO (tonnes PAO)</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1,17</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0</w:t>
            </w:r>
          </w:p>
        </w:tc>
        <w:tc>
          <w:tcPr>
            <w:tcW w:w="834" w:type="pct"/>
          </w:tcPr>
          <w:p w:rsidR="0052476E" w:rsidRPr="00E54BB6" w:rsidRDefault="0052476E" w:rsidP="009D7CDB">
            <w:pPr>
              <w:spacing w:after="60"/>
              <w:jc w:val="right"/>
              <w:rPr>
                <w:sz w:val="14"/>
                <w:szCs w:val="14"/>
                <w:lang w:val="fr-FR"/>
              </w:rPr>
            </w:pPr>
            <w:r w:rsidRPr="00E54BB6">
              <w:rPr>
                <w:sz w:val="14"/>
                <w:szCs w:val="14"/>
                <w:lang w:val="fr-FR"/>
              </w:rPr>
              <w:t>0,59</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fldChar w:fldCharType="begin"/>
            </w:r>
            <w:r w:rsidRPr="00E54BB6">
              <w:rPr>
                <w:sz w:val="14"/>
                <w:szCs w:val="14"/>
                <w:lang w:val="fr-FR"/>
              </w:rPr>
              <w:instrText xml:space="preserve"> =SUM(left) </w:instrText>
            </w:r>
            <w:r w:rsidRPr="00E54BB6">
              <w:rPr>
                <w:sz w:val="14"/>
                <w:szCs w:val="14"/>
                <w:lang w:val="fr-FR"/>
              </w:rPr>
              <w:fldChar w:fldCharType="separate"/>
            </w:r>
            <w:r w:rsidRPr="00E54BB6">
              <w:rPr>
                <w:sz w:val="14"/>
                <w:szCs w:val="14"/>
                <w:lang w:val="fr-FR"/>
              </w:rPr>
              <w:t>1.76</w:t>
            </w:r>
            <w:r w:rsidRPr="00E54BB6">
              <w:rPr>
                <w:sz w:val="14"/>
                <w:szCs w:val="14"/>
                <w:lang w:val="fr-FR"/>
              </w:rPr>
              <w:fldChar w:fldCharType="end"/>
            </w:r>
          </w:p>
        </w:tc>
      </w:tr>
      <w:tr w:rsidR="0052476E" w:rsidRPr="00E54BB6" w:rsidTr="009D7CDB">
        <w:trPr>
          <w:trHeight w:val="240"/>
        </w:trPr>
        <w:tc>
          <w:tcPr>
            <w:tcW w:w="454" w:type="pct"/>
            <w:vMerge/>
            <w:shd w:val="clear" w:color="auto" w:fill="auto"/>
          </w:tcPr>
          <w:p w:rsidR="0052476E" w:rsidRPr="00E54BB6" w:rsidRDefault="0052476E" w:rsidP="009D7CDB">
            <w:pPr>
              <w:spacing w:after="60"/>
              <w:jc w:val="center"/>
              <w:rPr>
                <w:sz w:val="14"/>
                <w:szCs w:val="14"/>
                <w:lang w:val="fr-FR"/>
              </w:rPr>
            </w:pPr>
          </w:p>
        </w:tc>
        <w:tc>
          <w:tcPr>
            <w:tcW w:w="1209" w:type="pct"/>
            <w:shd w:val="clear" w:color="auto" w:fill="auto"/>
          </w:tcPr>
          <w:p w:rsidR="0052476E" w:rsidRPr="00E54BB6" w:rsidRDefault="0052476E" w:rsidP="009D7CDB">
            <w:pPr>
              <w:spacing w:after="60"/>
              <w:jc w:val="left"/>
              <w:rPr>
                <w:sz w:val="14"/>
                <w:szCs w:val="14"/>
                <w:lang w:val="fr-FR"/>
              </w:rPr>
            </w:pPr>
            <w:r w:rsidRPr="00E54BB6">
              <w:rPr>
                <w:sz w:val="14"/>
                <w:szCs w:val="14"/>
                <w:lang w:val="fr-FR"/>
              </w:rPr>
              <w:t>Financement ($ US)</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56 500</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0</w:t>
            </w:r>
          </w:p>
        </w:tc>
        <w:tc>
          <w:tcPr>
            <w:tcW w:w="834" w:type="pct"/>
          </w:tcPr>
          <w:p w:rsidR="0052476E" w:rsidRPr="00E54BB6" w:rsidRDefault="0052476E" w:rsidP="009D7CDB">
            <w:pPr>
              <w:spacing w:after="60"/>
              <w:jc w:val="right"/>
              <w:rPr>
                <w:sz w:val="14"/>
                <w:szCs w:val="14"/>
                <w:lang w:val="fr-FR"/>
              </w:rPr>
            </w:pPr>
            <w:r w:rsidRPr="00E54BB6">
              <w:rPr>
                <w:sz w:val="14"/>
                <w:szCs w:val="14"/>
                <w:lang w:val="fr-FR"/>
              </w:rPr>
              <w:t>28 250</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fldChar w:fldCharType="begin"/>
            </w:r>
            <w:r w:rsidRPr="00E54BB6">
              <w:rPr>
                <w:sz w:val="14"/>
                <w:szCs w:val="14"/>
                <w:lang w:val="fr-FR"/>
              </w:rPr>
              <w:instrText xml:space="preserve"> =SUM(left) </w:instrText>
            </w:r>
            <w:r w:rsidRPr="00E54BB6">
              <w:rPr>
                <w:sz w:val="14"/>
                <w:szCs w:val="14"/>
                <w:lang w:val="fr-FR"/>
              </w:rPr>
              <w:fldChar w:fldCharType="separate"/>
            </w:r>
            <w:r w:rsidRPr="00E54BB6">
              <w:rPr>
                <w:sz w:val="14"/>
                <w:szCs w:val="14"/>
                <w:lang w:val="fr-FR"/>
              </w:rPr>
              <w:t>84,750</w:t>
            </w:r>
            <w:r w:rsidRPr="00E54BB6">
              <w:rPr>
                <w:sz w:val="14"/>
                <w:szCs w:val="14"/>
                <w:lang w:val="fr-FR"/>
              </w:rPr>
              <w:fldChar w:fldCharType="end"/>
            </w:r>
          </w:p>
        </w:tc>
      </w:tr>
      <w:tr w:rsidR="0052476E" w:rsidRPr="00E54BB6" w:rsidTr="009D7CDB">
        <w:trPr>
          <w:trHeight w:val="240"/>
        </w:trPr>
        <w:tc>
          <w:tcPr>
            <w:tcW w:w="454" w:type="pct"/>
            <w:vMerge w:val="restart"/>
            <w:shd w:val="clear" w:color="auto" w:fill="auto"/>
          </w:tcPr>
          <w:p w:rsidR="0052476E" w:rsidRPr="00E54BB6" w:rsidRDefault="0052476E" w:rsidP="009D7CDB">
            <w:pPr>
              <w:spacing w:after="60"/>
              <w:jc w:val="center"/>
              <w:rPr>
                <w:sz w:val="14"/>
                <w:szCs w:val="14"/>
                <w:lang w:val="fr-FR"/>
              </w:rPr>
            </w:pPr>
            <w:r w:rsidRPr="00E54BB6">
              <w:rPr>
                <w:sz w:val="14"/>
                <w:szCs w:val="14"/>
                <w:lang w:val="fr-FR"/>
              </w:rPr>
              <w:t>Allemagne</w:t>
            </w:r>
          </w:p>
        </w:tc>
        <w:tc>
          <w:tcPr>
            <w:tcW w:w="1209" w:type="pct"/>
            <w:shd w:val="clear" w:color="auto" w:fill="auto"/>
          </w:tcPr>
          <w:p w:rsidR="0052476E" w:rsidRPr="00E54BB6" w:rsidRDefault="0052476E" w:rsidP="009D7CDB">
            <w:pPr>
              <w:spacing w:after="60"/>
              <w:jc w:val="left"/>
              <w:rPr>
                <w:sz w:val="14"/>
                <w:szCs w:val="14"/>
                <w:lang w:val="fr-FR"/>
              </w:rPr>
            </w:pPr>
            <w:r w:rsidRPr="00E54BB6">
              <w:rPr>
                <w:sz w:val="14"/>
                <w:szCs w:val="14"/>
                <w:lang w:val="fr-FR"/>
              </w:rPr>
              <w:t>Élimination des SAO (tonnes PAO)</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0</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0</w:t>
            </w:r>
          </w:p>
        </w:tc>
        <w:tc>
          <w:tcPr>
            <w:tcW w:w="834" w:type="pct"/>
          </w:tcPr>
          <w:p w:rsidR="0052476E" w:rsidRPr="00E54BB6" w:rsidRDefault="0052476E" w:rsidP="009D7CDB">
            <w:pPr>
              <w:spacing w:after="60"/>
              <w:jc w:val="right"/>
              <w:rPr>
                <w:sz w:val="14"/>
                <w:szCs w:val="14"/>
                <w:lang w:val="fr-FR"/>
              </w:rPr>
            </w:pPr>
            <w:r w:rsidRPr="00E54BB6">
              <w:rPr>
                <w:sz w:val="14"/>
                <w:szCs w:val="14"/>
                <w:lang w:val="fr-FR"/>
              </w:rPr>
              <w:t>1,27</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fldChar w:fldCharType="begin"/>
            </w:r>
            <w:r w:rsidRPr="00E54BB6">
              <w:rPr>
                <w:sz w:val="14"/>
                <w:szCs w:val="14"/>
                <w:lang w:val="fr-FR"/>
              </w:rPr>
              <w:instrText xml:space="preserve"> =SUM(left) </w:instrText>
            </w:r>
            <w:r w:rsidRPr="00E54BB6">
              <w:rPr>
                <w:sz w:val="14"/>
                <w:szCs w:val="14"/>
                <w:lang w:val="fr-FR"/>
              </w:rPr>
              <w:fldChar w:fldCharType="separate"/>
            </w:r>
            <w:r w:rsidRPr="00E54BB6">
              <w:rPr>
                <w:sz w:val="14"/>
                <w:szCs w:val="14"/>
                <w:lang w:val="fr-FR"/>
              </w:rPr>
              <w:t>1.27</w:t>
            </w:r>
            <w:r w:rsidRPr="00E54BB6">
              <w:rPr>
                <w:sz w:val="14"/>
                <w:szCs w:val="14"/>
                <w:lang w:val="fr-FR"/>
              </w:rPr>
              <w:fldChar w:fldCharType="end"/>
            </w:r>
          </w:p>
        </w:tc>
      </w:tr>
      <w:tr w:rsidR="0052476E" w:rsidRPr="00E54BB6" w:rsidTr="009D7CDB">
        <w:trPr>
          <w:trHeight w:val="240"/>
        </w:trPr>
        <w:tc>
          <w:tcPr>
            <w:tcW w:w="454" w:type="pct"/>
            <w:vMerge/>
            <w:shd w:val="clear" w:color="auto" w:fill="auto"/>
          </w:tcPr>
          <w:p w:rsidR="0052476E" w:rsidRPr="00E54BB6" w:rsidRDefault="0052476E" w:rsidP="009D7CDB">
            <w:pPr>
              <w:spacing w:after="60"/>
              <w:jc w:val="center"/>
              <w:rPr>
                <w:sz w:val="14"/>
                <w:szCs w:val="14"/>
                <w:lang w:val="fr-FR"/>
              </w:rPr>
            </w:pPr>
          </w:p>
        </w:tc>
        <w:tc>
          <w:tcPr>
            <w:tcW w:w="1209" w:type="pct"/>
            <w:shd w:val="clear" w:color="auto" w:fill="auto"/>
          </w:tcPr>
          <w:p w:rsidR="0052476E" w:rsidRPr="00E54BB6" w:rsidRDefault="0052476E" w:rsidP="009D7CDB">
            <w:pPr>
              <w:spacing w:after="60"/>
              <w:jc w:val="left"/>
              <w:rPr>
                <w:sz w:val="14"/>
                <w:szCs w:val="14"/>
                <w:lang w:val="fr-FR"/>
              </w:rPr>
            </w:pPr>
            <w:r w:rsidRPr="00E54BB6">
              <w:rPr>
                <w:sz w:val="14"/>
                <w:szCs w:val="14"/>
                <w:lang w:val="fr-FR"/>
              </w:rPr>
              <w:t>Financement ($ US)</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0</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t>0</w:t>
            </w:r>
          </w:p>
        </w:tc>
        <w:tc>
          <w:tcPr>
            <w:tcW w:w="834" w:type="pct"/>
          </w:tcPr>
          <w:p w:rsidR="0052476E" w:rsidRPr="00E54BB6" w:rsidRDefault="0052476E" w:rsidP="009D7CDB">
            <w:pPr>
              <w:spacing w:after="60"/>
              <w:jc w:val="right"/>
              <w:rPr>
                <w:sz w:val="14"/>
                <w:szCs w:val="14"/>
                <w:lang w:val="fr-FR"/>
              </w:rPr>
            </w:pPr>
            <w:r w:rsidRPr="00E54BB6">
              <w:rPr>
                <w:sz w:val="14"/>
                <w:szCs w:val="14"/>
                <w:lang w:val="fr-FR"/>
              </w:rPr>
              <w:t>61 273</w:t>
            </w:r>
          </w:p>
        </w:tc>
        <w:tc>
          <w:tcPr>
            <w:tcW w:w="834" w:type="pct"/>
            <w:shd w:val="clear" w:color="auto" w:fill="auto"/>
          </w:tcPr>
          <w:p w:rsidR="0052476E" w:rsidRPr="00E54BB6" w:rsidRDefault="0052476E" w:rsidP="009D7CDB">
            <w:pPr>
              <w:spacing w:after="60"/>
              <w:jc w:val="right"/>
              <w:rPr>
                <w:sz w:val="14"/>
                <w:szCs w:val="14"/>
                <w:lang w:val="fr-FR"/>
              </w:rPr>
            </w:pPr>
            <w:r w:rsidRPr="00E54BB6">
              <w:rPr>
                <w:sz w:val="14"/>
                <w:szCs w:val="14"/>
                <w:lang w:val="fr-FR"/>
              </w:rPr>
              <w:fldChar w:fldCharType="begin"/>
            </w:r>
            <w:r w:rsidRPr="00E54BB6">
              <w:rPr>
                <w:sz w:val="14"/>
                <w:szCs w:val="14"/>
                <w:lang w:val="fr-FR"/>
              </w:rPr>
              <w:instrText xml:space="preserve"> =SUM(left) </w:instrText>
            </w:r>
            <w:r w:rsidRPr="00E54BB6">
              <w:rPr>
                <w:sz w:val="14"/>
                <w:szCs w:val="14"/>
                <w:lang w:val="fr-FR"/>
              </w:rPr>
              <w:fldChar w:fldCharType="separate"/>
            </w:r>
            <w:r w:rsidRPr="00E54BB6">
              <w:rPr>
                <w:sz w:val="14"/>
                <w:szCs w:val="14"/>
                <w:lang w:val="fr-FR"/>
              </w:rPr>
              <w:t>61,273</w:t>
            </w:r>
            <w:r w:rsidRPr="00E54BB6">
              <w:rPr>
                <w:sz w:val="14"/>
                <w:szCs w:val="14"/>
                <w:lang w:val="fr-FR"/>
              </w:rPr>
              <w:fldChar w:fldCharType="end"/>
            </w:r>
          </w:p>
        </w:tc>
      </w:tr>
    </w:tbl>
    <w:p w:rsidR="0052476E" w:rsidRPr="00E54BB6" w:rsidRDefault="0052476E" w:rsidP="0052476E">
      <w:pPr>
        <w:spacing w:after="60"/>
        <w:jc w:val="center"/>
        <w:rPr>
          <w:sz w:val="14"/>
          <w:szCs w:val="14"/>
          <w:lang w:val="fr-FR"/>
        </w:rPr>
      </w:pPr>
    </w:p>
    <w:tbl>
      <w:tblPr>
        <w:tblStyle w:val="TableGrid"/>
        <w:tblW w:w="972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44"/>
        <w:gridCol w:w="967"/>
        <w:gridCol w:w="1202"/>
        <w:gridCol w:w="1007"/>
        <w:gridCol w:w="699"/>
        <w:gridCol w:w="699"/>
        <w:gridCol w:w="944"/>
        <w:gridCol w:w="780"/>
        <w:gridCol w:w="693"/>
        <w:gridCol w:w="780"/>
        <w:gridCol w:w="910"/>
      </w:tblGrid>
      <w:tr w:rsidR="0052476E" w:rsidRPr="00E54BB6" w:rsidTr="000C44E6">
        <w:trPr>
          <w:tblHeader/>
          <w:jc w:val="center"/>
        </w:trPr>
        <w:tc>
          <w:tcPr>
            <w:tcW w:w="2970" w:type="dxa"/>
            <w:gridSpan w:val="3"/>
            <w:shd w:val="clear" w:color="auto" w:fill="auto"/>
          </w:tcPr>
          <w:p w:rsidR="0052476E" w:rsidRPr="00E54BB6" w:rsidRDefault="0052476E" w:rsidP="009D7CDB">
            <w:pPr>
              <w:spacing w:after="60"/>
              <w:jc w:val="left"/>
              <w:rPr>
                <w:b/>
                <w:sz w:val="16"/>
                <w:szCs w:val="16"/>
                <w:lang w:val="fr-FR"/>
              </w:rPr>
            </w:pPr>
            <w:r w:rsidRPr="00E54BB6">
              <w:rPr>
                <w:b/>
                <w:sz w:val="16"/>
                <w:szCs w:val="16"/>
                <w:lang w:val="fr-FR"/>
              </w:rPr>
              <w:t>(VI) DONNÉES DU PROJET</w:t>
            </w:r>
          </w:p>
        </w:tc>
        <w:tc>
          <w:tcPr>
            <w:tcW w:w="1080" w:type="dxa"/>
            <w:shd w:val="clear" w:color="auto" w:fill="auto"/>
          </w:tcPr>
          <w:p w:rsidR="0052476E" w:rsidRPr="00E54BB6" w:rsidRDefault="0052476E" w:rsidP="009D7CDB">
            <w:pPr>
              <w:jc w:val="center"/>
              <w:rPr>
                <w:b/>
                <w:bCs/>
                <w:sz w:val="16"/>
                <w:szCs w:val="16"/>
                <w:lang w:val="fr-FR"/>
              </w:rPr>
            </w:pPr>
            <w:r w:rsidRPr="00E54BB6">
              <w:rPr>
                <w:b/>
                <w:bCs/>
                <w:sz w:val="16"/>
                <w:szCs w:val="16"/>
                <w:lang w:val="fr-FR"/>
              </w:rPr>
              <w:t>2015</w:t>
            </w:r>
          </w:p>
        </w:tc>
        <w:tc>
          <w:tcPr>
            <w:tcW w:w="720" w:type="dxa"/>
            <w:shd w:val="clear" w:color="auto" w:fill="auto"/>
          </w:tcPr>
          <w:p w:rsidR="0052476E" w:rsidRPr="00E54BB6" w:rsidRDefault="0052476E" w:rsidP="009D7CDB">
            <w:pPr>
              <w:jc w:val="center"/>
              <w:rPr>
                <w:b/>
                <w:bCs/>
                <w:sz w:val="16"/>
                <w:szCs w:val="16"/>
                <w:lang w:val="fr-FR"/>
              </w:rPr>
            </w:pPr>
            <w:r w:rsidRPr="00E54BB6">
              <w:rPr>
                <w:b/>
                <w:bCs/>
                <w:sz w:val="16"/>
                <w:szCs w:val="16"/>
                <w:lang w:val="fr-FR"/>
              </w:rPr>
              <w:t>2016</w:t>
            </w:r>
          </w:p>
        </w:tc>
        <w:tc>
          <w:tcPr>
            <w:tcW w:w="720" w:type="dxa"/>
            <w:shd w:val="clear" w:color="auto" w:fill="auto"/>
          </w:tcPr>
          <w:p w:rsidR="0052476E" w:rsidRPr="00E54BB6" w:rsidRDefault="0052476E" w:rsidP="009D7CDB">
            <w:pPr>
              <w:jc w:val="center"/>
              <w:rPr>
                <w:b/>
                <w:bCs/>
                <w:sz w:val="16"/>
                <w:szCs w:val="16"/>
                <w:lang w:val="fr-FR"/>
              </w:rPr>
            </w:pPr>
            <w:r w:rsidRPr="00E54BB6">
              <w:rPr>
                <w:b/>
                <w:bCs/>
                <w:sz w:val="16"/>
                <w:szCs w:val="16"/>
                <w:lang w:val="fr-FR"/>
              </w:rPr>
              <w:t>2017</w:t>
            </w:r>
          </w:p>
        </w:tc>
        <w:tc>
          <w:tcPr>
            <w:tcW w:w="986" w:type="dxa"/>
            <w:shd w:val="clear" w:color="auto" w:fill="auto"/>
          </w:tcPr>
          <w:p w:rsidR="0052476E" w:rsidRPr="00E54BB6" w:rsidRDefault="0052476E" w:rsidP="009D7CDB">
            <w:pPr>
              <w:jc w:val="center"/>
              <w:rPr>
                <w:b/>
                <w:bCs/>
                <w:sz w:val="16"/>
                <w:szCs w:val="16"/>
                <w:lang w:val="fr-FR"/>
              </w:rPr>
            </w:pPr>
            <w:r w:rsidRPr="00E54BB6">
              <w:rPr>
                <w:b/>
                <w:bCs/>
                <w:sz w:val="16"/>
                <w:szCs w:val="16"/>
                <w:lang w:val="fr-FR"/>
              </w:rPr>
              <w:t>2018</w:t>
            </w:r>
          </w:p>
        </w:tc>
        <w:tc>
          <w:tcPr>
            <w:tcW w:w="801" w:type="dxa"/>
            <w:shd w:val="clear" w:color="auto" w:fill="auto"/>
          </w:tcPr>
          <w:p w:rsidR="0052476E" w:rsidRPr="00E54BB6" w:rsidRDefault="0052476E" w:rsidP="009D7CDB">
            <w:pPr>
              <w:jc w:val="center"/>
              <w:rPr>
                <w:b/>
                <w:bCs/>
                <w:sz w:val="16"/>
                <w:szCs w:val="16"/>
                <w:lang w:val="fr-FR"/>
              </w:rPr>
            </w:pPr>
            <w:r w:rsidRPr="00E54BB6">
              <w:rPr>
                <w:b/>
                <w:bCs/>
                <w:sz w:val="16"/>
                <w:szCs w:val="16"/>
                <w:lang w:val="fr-FR"/>
              </w:rPr>
              <w:t>2019</w:t>
            </w:r>
          </w:p>
        </w:tc>
        <w:tc>
          <w:tcPr>
            <w:tcW w:w="711" w:type="dxa"/>
          </w:tcPr>
          <w:p w:rsidR="0052476E" w:rsidRPr="00E54BB6" w:rsidRDefault="0052476E" w:rsidP="009D7CDB">
            <w:pPr>
              <w:spacing w:after="60"/>
              <w:jc w:val="center"/>
              <w:rPr>
                <w:b/>
                <w:sz w:val="16"/>
                <w:szCs w:val="16"/>
                <w:lang w:val="fr-FR"/>
              </w:rPr>
            </w:pPr>
            <w:r w:rsidRPr="00E54BB6">
              <w:rPr>
                <w:b/>
                <w:sz w:val="16"/>
                <w:szCs w:val="16"/>
                <w:lang w:val="fr-FR"/>
              </w:rPr>
              <w:t>2020</w:t>
            </w:r>
          </w:p>
        </w:tc>
        <w:tc>
          <w:tcPr>
            <w:tcW w:w="801" w:type="dxa"/>
          </w:tcPr>
          <w:p w:rsidR="0052476E" w:rsidRPr="00E54BB6" w:rsidRDefault="0052476E" w:rsidP="009D7CDB">
            <w:pPr>
              <w:spacing w:after="60"/>
              <w:jc w:val="center"/>
              <w:rPr>
                <w:b/>
                <w:sz w:val="16"/>
                <w:szCs w:val="16"/>
                <w:lang w:val="fr-FR"/>
              </w:rPr>
            </w:pPr>
            <w:r w:rsidRPr="00E54BB6">
              <w:rPr>
                <w:b/>
                <w:sz w:val="16"/>
                <w:szCs w:val="16"/>
                <w:lang w:val="fr-FR"/>
              </w:rPr>
              <w:t>2021</w:t>
            </w:r>
          </w:p>
        </w:tc>
        <w:tc>
          <w:tcPr>
            <w:tcW w:w="936" w:type="dxa"/>
            <w:shd w:val="clear" w:color="auto" w:fill="auto"/>
          </w:tcPr>
          <w:p w:rsidR="0052476E" w:rsidRPr="00E54BB6" w:rsidRDefault="0052476E" w:rsidP="009D7CDB">
            <w:pPr>
              <w:spacing w:after="60"/>
              <w:jc w:val="center"/>
              <w:rPr>
                <w:b/>
                <w:sz w:val="16"/>
                <w:szCs w:val="16"/>
                <w:lang w:val="fr-FR"/>
              </w:rPr>
            </w:pPr>
            <w:r w:rsidRPr="00E54BB6">
              <w:rPr>
                <w:b/>
                <w:sz w:val="16"/>
                <w:szCs w:val="16"/>
                <w:lang w:val="fr-FR"/>
              </w:rPr>
              <w:t>Total</w:t>
            </w:r>
          </w:p>
        </w:tc>
      </w:tr>
      <w:tr w:rsidR="0052476E" w:rsidRPr="00E54BB6" w:rsidTr="009D7CDB">
        <w:trPr>
          <w:jc w:val="center"/>
        </w:trPr>
        <w:tc>
          <w:tcPr>
            <w:tcW w:w="2970" w:type="dxa"/>
            <w:gridSpan w:val="3"/>
            <w:shd w:val="clear" w:color="auto" w:fill="auto"/>
          </w:tcPr>
          <w:p w:rsidR="0052476E" w:rsidRPr="00E54BB6" w:rsidRDefault="0052476E" w:rsidP="009D7CDB">
            <w:pPr>
              <w:spacing w:after="60"/>
              <w:jc w:val="left"/>
              <w:rPr>
                <w:sz w:val="16"/>
                <w:szCs w:val="16"/>
                <w:lang w:val="fr-FR"/>
              </w:rPr>
            </w:pPr>
            <w:r w:rsidRPr="00E54BB6">
              <w:rPr>
                <w:sz w:val="16"/>
                <w:szCs w:val="16"/>
                <w:lang w:val="fr-FR"/>
              </w:rPr>
              <w:t>Limites de consommation du Protocole de Montréal</w:t>
            </w:r>
          </w:p>
        </w:tc>
        <w:tc>
          <w:tcPr>
            <w:tcW w:w="108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203,01</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203,01</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203,01</w:t>
            </w:r>
          </w:p>
        </w:tc>
        <w:tc>
          <w:tcPr>
            <w:tcW w:w="98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203,01</w:t>
            </w:r>
          </w:p>
        </w:tc>
        <w:tc>
          <w:tcPr>
            <w:tcW w:w="801"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203,01</w:t>
            </w:r>
          </w:p>
        </w:tc>
        <w:tc>
          <w:tcPr>
            <w:tcW w:w="711" w:type="dxa"/>
          </w:tcPr>
          <w:p w:rsidR="0052476E" w:rsidRPr="00E54BB6" w:rsidRDefault="0052476E" w:rsidP="009D7CDB">
            <w:pPr>
              <w:jc w:val="right"/>
              <w:rPr>
                <w:color w:val="000000"/>
                <w:sz w:val="16"/>
                <w:szCs w:val="16"/>
                <w:lang w:val="fr-FR"/>
              </w:rPr>
            </w:pPr>
            <w:r w:rsidRPr="00E54BB6">
              <w:rPr>
                <w:color w:val="000000"/>
                <w:sz w:val="16"/>
                <w:szCs w:val="16"/>
                <w:lang w:val="fr-FR"/>
              </w:rPr>
              <w:t>146,62</w:t>
            </w:r>
          </w:p>
        </w:tc>
        <w:tc>
          <w:tcPr>
            <w:tcW w:w="801" w:type="dxa"/>
          </w:tcPr>
          <w:p w:rsidR="0052476E" w:rsidRPr="00E54BB6" w:rsidRDefault="0052476E" w:rsidP="009D7CDB">
            <w:pPr>
              <w:jc w:val="right"/>
              <w:rPr>
                <w:color w:val="000000"/>
                <w:sz w:val="16"/>
                <w:szCs w:val="16"/>
                <w:lang w:val="fr-FR"/>
              </w:rPr>
            </w:pPr>
            <w:r w:rsidRPr="00E54BB6">
              <w:rPr>
                <w:color w:val="000000"/>
                <w:sz w:val="16"/>
                <w:szCs w:val="16"/>
                <w:lang w:val="fr-FR"/>
              </w:rPr>
              <w:t>146,62</w:t>
            </w:r>
          </w:p>
        </w:tc>
        <w:tc>
          <w:tcPr>
            <w:tcW w:w="936" w:type="dxa"/>
            <w:shd w:val="clear" w:color="auto" w:fill="auto"/>
          </w:tcPr>
          <w:p w:rsidR="0052476E" w:rsidRPr="00E54BB6" w:rsidRDefault="0052476E" w:rsidP="009D7CDB">
            <w:pPr>
              <w:jc w:val="right"/>
              <w:rPr>
                <w:color w:val="000000"/>
                <w:sz w:val="16"/>
                <w:szCs w:val="16"/>
                <w:lang w:val="fr-FR"/>
              </w:rPr>
            </w:pPr>
            <w:proofErr w:type="spellStart"/>
            <w:r w:rsidRPr="00E54BB6">
              <w:rPr>
                <w:color w:val="000000"/>
                <w:sz w:val="16"/>
                <w:szCs w:val="16"/>
                <w:lang w:val="fr-FR"/>
              </w:rPr>
              <w:t>s.o</w:t>
            </w:r>
            <w:proofErr w:type="spellEnd"/>
            <w:r w:rsidRPr="00E54BB6">
              <w:rPr>
                <w:color w:val="000000"/>
                <w:sz w:val="16"/>
                <w:szCs w:val="16"/>
                <w:lang w:val="fr-FR"/>
              </w:rPr>
              <w:t>.</w:t>
            </w:r>
          </w:p>
        </w:tc>
      </w:tr>
      <w:tr w:rsidR="0052476E" w:rsidRPr="00E54BB6" w:rsidTr="009D7CDB">
        <w:trPr>
          <w:jc w:val="center"/>
        </w:trPr>
        <w:tc>
          <w:tcPr>
            <w:tcW w:w="2970" w:type="dxa"/>
            <w:gridSpan w:val="3"/>
            <w:shd w:val="clear" w:color="auto" w:fill="auto"/>
          </w:tcPr>
          <w:p w:rsidR="0052476E" w:rsidRPr="00E54BB6" w:rsidRDefault="0052476E" w:rsidP="009D7CDB">
            <w:pPr>
              <w:spacing w:after="60"/>
              <w:jc w:val="left"/>
              <w:rPr>
                <w:sz w:val="16"/>
                <w:szCs w:val="16"/>
                <w:lang w:val="fr-FR"/>
              </w:rPr>
            </w:pPr>
            <w:r w:rsidRPr="00E54BB6">
              <w:rPr>
                <w:sz w:val="16"/>
                <w:szCs w:val="16"/>
                <w:lang w:val="fr-FR"/>
              </w:rPr>
              <w:t>Consommation maximale admissible (tonnes PAO)</w:t>
            </w:r>
          </w:p>
        </w:tc>
        <w:tc>
          <w:tcPr>
            <w:tcW w:w="108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203,01</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203,01</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203,01</w:t>
            </w:r>
          </w:p>
        </w:tc>
        <w:tc>
          <w:tcPr>
            <w:tcW w:w="98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203,01</w:t>
            </w:r>
          </w:p>
        </w:tc>
        <w:tc>
          <w:tcPr>
            <w:tcW w:w="801"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203,01</w:t>
            </w:r>
          </w:p>
        </w:tc>
        <w:tc>
          <w:tcPr>
            <w:tcW w:w="711" w:type="dxa"/>
          </w:tcPr>
          <w:p w:rsidR="0052476E" w:rsidRPr="00E54BB6" w:rsidRDefault="0052476E" w:rsidP="009D7CDB">
            <w:pPr>
              <w:jc w:val="right"/>
              <w:rPr>
                <w:color w:val="000000"/>
                <w:sz w:val="16"/>
                <w:szCs w:val="16"/>
                <w:lang w:val="fr-FR"/>
              </w:rPr>
            </w:pPr>
            <w:r w:rsidRPr="00E54BB6">
              <w:rPr>
                <w:color w:val="000000"/>
                <w:sz w:val="16"/>
                <w:szCs w:val="16"/>
                <w:lang w:val="fr-FR"/>
              </w:rPr>
              <w:t>90,24</w:t>
            </w:r>
          </w:p>
        </w:tc>
        <w:tc>
          <w:tcPr>
            <w:tcW w:w="801" w:type="dxa"/>
          </w:tcPr>
          <w:p w:rsidR="0052476E" w:rsidRPr="00E54BB6" w:rsidRDefault="0052476E" w:rsidP="009D7CDB">
            <w:pPr>
              <w:jc w:val="right"/>
              <w:rPr>
                <w:color w:val="000000"/>
                <w:sz w:val="16"/>
                <w:szCs w:val="16"/>
                <w:lang w:val="fr-FR"/>
              </w:rPr>
            </w:pPr>
            <w:r w:rsidRPr="00E54BB6">
              <w:rPr>
                <w:color w:val="000000"/>
                <w:sz w:val="16"/>
                <w:szCs w:val="16"/>
                <w:lang w:val="fr-FR"/>
              </w:rPr>
              <w:t>78,96</w:t>
            </w:r>
          </w:p>
        </w:tc>
        <w:tc>
          <w:tcPr>
            <w:tcW w:w="936" w:type="dxa"/>
            <w:shd w:val="clear" w:color="auto" w:fill="auto"/>
          </w:tcPr>
          <w:p w:rsidR="0052476E" w:rsidRPr="00E54BB6" w:rsidRDefault="0052476E" w:rsidP="009D7CDB">
            <w:pPr>
              <w:jc w:val="right"/>
              <w:rPr>
                <w:color w:val="000000"/>
                <w:sz w:val="16"/>
                <w:szCs w:val="16"/>
                <w:lang w:val="fr-FR"/>
              </w:rPr>
            </w:pPr>
            <w:proofErr w:type="spellStart"/>
            <w:r w:rsidRPr="00E54BB6">
              <w:rPr>
                <w:color w:val="000000"/>
                <w:sz w:val="16"/>
                <w:szCs w:val="16"/>
                <w:lang w:val="fr-FR"/>
              </w:rPr>
              <w:t>s.o</w:t>
            </w:r>
            <w:proofErr w:type="spellEnd"/>
            <w:r w:rsidRPr="00E54BB6">
              <w:rPr>
                <w:color w:val="000000"/>
                <w:sz w:val="16"/>
                <w:szCs w:val="16"/>
                <w:lang w:val="fr-FR"/>
              </w:rPr>
              <w:t>.</w:t>
            </w:r>
          </w:p>
        </w:tc>
      </w:tr>
      <w:tr w:rsidR="0052476E" w:rsidRPr="00E54BB6" w:rsidTr="009D7CDB">
        <w:trPr>
          <w:jc w:val="center"/>
        </w:trPr>
        <w:tc>
          <w:tcPr>
            <w:tcW w:w="540" w:type="dxa"/>
            <w:vMerge w:val="restart"/>
            <w:shd w:val="clear" w:color="auto" w:fill="auto"/>
          </w:tcPr>
          <w:p w:rsidR="0052476E" w:rsidRPr="00E54BB6" w:rsidRDefault="0052476E" w:rsidP="009D7CDB">
            <w:pPr>
              <w:spacing w:after="60"/>
              <w:jc w:val="left"/>
              <w:rPr>
                <w:sz w:val="16"/>
                <w:szCs w:val="16"/>
                <w:lang w:val="fr-FR"/>
              </w:rPr>
            </w:pPr>
            <w:r w:rsidRPr="00E54BB6">
              <w:rPr>
                <w:sz w:val="16"/>
                <w:szCs w:val="16"/>
                <w:lang w:val="fr-FR"/>
              </w:rPr>
              <w:t>Financement convenu ($ US)</w:t>
            </w:r>
          </w:p>
        </w:tc>
        <w:tc>
          <w:tcPr>
            <w:tcW w:w="990" w:type="dxa"/>
            <w:vMerge w:val="restart"/>
            <w:shd w:val="clear" w:color="auto" w:fill="auto"/>
          </w:tcPr>
          <w:p w:rsidR="0052476E" w:rsidRPr="00E54BB6" w:rsidRDefault="0052476E" w:rsidP="009D7CDB">
            <w:pPr>
              <w:spacing w:after="60"/>
              <w:jc w:val="center"/>
              <w:rPr>
                <w:sz w:val="16"/>
                <w:szCs w:val="16"/>
                <w:lang w:val="fr-FR"/>
              </w:rPr>
            </w:pPr>
            <w:r w:rsidRPr="00E54BB6">
              <w:rPr>
                <w:sz w:val="16"/>
                <w:szCs w:val="16"/>
                <w:lang w:val="fr-FR"/>
              </w:rPr>
              <w:t>PNUD</w:t>
            </w:r>
          </w:p>
        </w:tc>
        <w:tc>
          <w:tcPr>
            <w:tcW w:w="1440" w:type="dxa"/>
            <w:shd w:val="clear" w:color="auto" w:fill="auto"/>
          </w:tcPr>
          <w:p w:rsidR="0052476E" w:rsidRPr="00E54BB6" w:rsidRDefault="0052476E" w:rsidP="009D7CDB">
            <w:pPr>
              <w:spacing w:after="60"/>
              <w:jc w:val="left"/>
              <w:rPr>
                <w:sz w:val="16"/>
                <w:szCs w:val="16"/>
                <w:lang w:val="fr-FR"/>
              </w:rPr>
            </w:pPr>
            <w:r w:rsidRPr="00E54BB6">
              <w:rPr>
                <w:sz w:val="16"/>
                <w:szCs w:val="16"/>
                <w:lang w:val="fr-FR"/>
              </w:rPr>
              <w:t>Coûts de projet</w:t>
            </w:r>
          </w:p>
        </w:tc>
        <w:tc>
          <w:tcPr>
            <w:tcW w:w="108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2 342 591</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98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1 268 007</w:t>
            </w:r>
          </w:p>
        </w:tc>
        <w:tc>
          <w:tcPr>
            <w:tcW w:w="801"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635 749</w:t>
            </w:r>
          </w:p>
        </w:tc>
        <w:tc>
          <w:tcPr>
            <w:tcW w:w="711" w:type="dxa"/>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801" w:type="dxa"/>
          </w:tcPr>
          <w:p w:rsidR="0052476E" w:rsidRPr="00E54BB6" w:rsidRDefault="0052476E" w:rsidP="009D7CDB">
            <w:pPr>
              <w:jc w:val="right"/>
              <w:rPr>
                <w:color w:val="000000"/>
                <w:sz w:val="16"/>
                <w:szCs w:val="16"/>
                <w:lang w:val="fr-FR"/>
              </w:rPr>
            </w:pPr>
            <w:r w:rsidRPr="00E54BB6">
              <w:rPr>
                <w:color w:val="000000"/>
                <w:sz w:val="16"/>
                <w:szCs w:val="16"/>
                <w:lang w:val="fr-FR"/>
              </w:rPr>
              <w:t>257 134</w:t>
            </w:r>
          </w:p>
        </w:tc>
        <w:tc>
          <w:tcPr>
            <w:tcW w:w="93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4 503 481</w:t>
            </w:r>
          </w:p>
        </w:tc>
      </w:tr>
      <w:tr w:rsidR="0052476E" w:rsidRPr="00E54BB6" w:rsidTr="009D7CDB">
        <w:trPr>
          <w:jc w:val="center"/>
        </w:trPr>
        <w:tc>
          <w:tcPr>
            <w:tcW w:w="540" w:type="dxa"/>
            <w:vMerge/>
            <w:shd w:val="clear" w:color="auto" w:fill="auto"/>
          </w:tcPr>
          <w:p w:rsidR="0052476E" w:rsidRPr="00E54BB6" w:rsidRDefault="0052476E" w:rsidP="009D7CDB">
            <w:pPr>
              <w:spacing w:after="60"/>
              <w:jc w:val="center"/>
              <w:rPr>
                <w:sz w:val="16"/>
                <w:szCs w:val="16"/>
                <w:lang w:val="fr-FR"/>
              </w:rPr>
            </w:pPr>
          </w:p>
        </w:tc>
        <w:tc>
          <w:tcPr>
            <w:tcW w:w="990" w:type="dxa"/>
            <w:vMerge/>
            <w:shd w:val="clear" w:color="auto" w:fill="auto"/>
          </w:tcPr>
          <w:p w:rsidR="0052476E" w:rsidRPr="00E54BB6" w:rsidRDefault="0052476E" w:rsidP="009D7CDB">
            <w:pPr>
              <w:spacing w:after="60"/>
              <w:jc w:val="center"/>
              <w:rPr>
                <w:sz w:val="16"/>
                <w:szCs w:val="16"/>
                <w:lang w:val="fr-FR"/>
              </w:rPr>
            </w:pPr>
          </w:p>
        </w:tc>
        <w:tc>
          <w:tcPr>
            <w:tcW w:w="1440" w:type="dxa"/>
            <w:shd w:val="clear" w:color="auto" w:fill="auto"/>
          </w:tcPr>
          <w:p w:rsidR="0052476E" w:rsidRPr="00E54BB6" w:rsidRDefault="0052476E" w:rsidP="009D7CDB">
            <w:pPr>
              <w:spacing w:after="60"/>
              <w:jc w:val="left"/>
              <w:rPr>
                <w:sz w:val="16"/>
                <w:szCs w:val="16"/>
                <w:lang w:val="fr-FR"/>
              </w:rPr>
            </w:pPr>
            <w:r w:rsidRPr="00E54BB6">
              <w:rPr>
                <w:sz w:val="16"/>
                <w:szCs w:val="16"/>
                <w:lang w:val="fr-FR"/>
              </w:rPr>
              <w:t>Coûts d’appui</w:t>
            </w:r>
          </w:p>
        </w:tc>
        <w:tc>
          <w:tcPr>
            <w:tcW w:w="108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163 981</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98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88 761</w:t>
            </w:r>
          </w:p>
        </w:tc>
        <w:tc>
          <w:tcPr>
            <w:tcW w:w="801"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44 502</w:t>
            </w:r>
          </w:p>
        </w:tc>
        <w:tc>
          <w:tcPr>
            <w:tcW w:w="711" w:type="dxa"/>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801" w:type="dxa"/>
          </w:tcPr>
          <w:p w:rsidR="0052476E" w:rsidRPr="00E54BB6" w:rsidRDefault="0052476E" w:rsidP="009D7CDB">
            <w:pPr>
              <w:jc w:val="right"/>
              <w:rPr>
                <w:color w:val="000000"/>
                <w:sz w:val="16"/>
                <w:szCs w:val="16"/>
                <w:lang w:val="fr-FR"/>
              </w:rPr>
            </w:pPr>
            <w:r w:rsidRPr="00E54BB6">
              <w:rPr>
                <w:color w:val="000000"/>
                <w:sz w:val="16"/>
                <w:szCs w:val="16"/>
                <w:lang w:val="fr-FR"/>
              </w:rPr>
              <w:t>17 999</w:t>
            </w:r>
          </w:p>
        </w:tc>
        <w:tc>
          <w:tcPr>
            <w:tcW w:w="93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315 244</w:t>
            </w:r>
          </w:p>
        </w:tc>
      </w:tr>
      <w:tr w:rsidR="0052476E" w:rsidRPr="00E54BB6" w:rsidTr="009D7CDB">
        <w:trPr>
          <w:jc w:val="center"/>
        </w:trPr>
        <w:tc>
          <w:tcPr>
            <w:tcW w:w="540" w:type="dxa"/>
            <w:vMerge/>
            <w:shd w:val="clear" w:color="auto" w:fill="auto"/>
          </w:tcPr>
          <w:p w:rsidR="0052476E" w:rsidRPr="00E54BB6" w:rsidRDefault="0052476E" w:rsidP="009D7CDB">
            <w:pPr>
              <w:spacing w:after="60"/>
              <w:jc w:val="center"/>
              <w:rPr>
                <w:sz w:val="16"/>
                <w:szCs w:val="16"/>
                <w:lang w:val="fr-FR"/>
              </w:rPr>
            </w:pPr>
          </w:p>
        </w:tc>
        <w:tc>
          <w:tcPr>
            <w:tcW w:w="990" w:type="dxa"/>
            <w:vMerge w:val="restart"/>
            <w:shd w:val="clear" w:color="auto" w:fill="auto"/>
          </w:tcPr>
          <w:p w:rsidR="0052476E" w:rsidRPr="00E54BB6" w:rsidRDefault="0052476E" w:rsidP="009D7CDB">
            <w:pPr>
              <w:spacing w:after="60"/>
              <w:jc w:val="center"/>
              <w:rPr>
                <w:sz w:val="16"/>
                <w:szCs w:val="16"/>
                <w:lang w:val="fr-FR"/>
              </w:rPr>
            </w:pPr>
            <w:r w:rsidRPr="00E54BB6">
              <w:rPr>
                <w:sz w:val="16"/>
                <w:szCs w:val="16"/>
                <w:lang w:val="fr-FR"/>
              </w:rPr>
              <w:t>PNUE</w:t>
            </w:r>
          </w:p>
        </w:tc>
        <w:tc>
          <w:tcPr>
            <w:tcW w:w="1440" w:type="dxa"/>
            <w:shd w:val="clear" w:color="auto" w:fill="auto"/>
          </w:tcPr>
          <w:p w:rsidR="0052476E" w:rsidRPr="00E54BB6" w:rsidRDefault="0052476E" w:rsidP="009D7CDB">
            <w:pPr>
              <w:spacing w:after="60"/>
              <w:jc w:val="left"/>
              <w:rPr>
                <w:sz w:val="16"/>
                <w:szCs w:val="16"/>
                <w:lang w:val="fr-FR"/>
              </w:rPr>
            </w:pPr>
            <w:r w:rsidRPr="00E54BB6">
              <w:rPr>
                <w:sz w:val="16"/>
                <w:szCs w:val="16"/>
                <w:lang w:val="fr-FR"/>
              </w:rPr>
              <w:t>Coûts de projet</w:t>
            </w:r>
          </w:p>
        </w:tc>
        <w:tc>
          <w:tcPr>
            <w:tcW w:w="108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50 000</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98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50 000</w:t>
            </w:r>
          </w:p>
        </w:tc>
        <w:tc>
          <w:tcPr>
            <w:tcW w:w="801"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50 000</w:t>
            </w:r>
          </w:p>
        </w:tc>
        <w:tc>
          <w:tcPr>
            <w:tcW w:w="711" w:type="dxa"/>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801" w:type="dxa"/>
          </w:tcPr>
          <w:p w:rsidR="0052476E" w:rsidRPr="00E54BB6" w:rsidRDefault="0052476E" w:rsidP="009D7CDB">
            <w:pPr>
              <w:jc w:val="right"/>
              <w:rPr>
                <w:color w:val="000000"/>
                <w:sz w:val="16"/>
                <w:szCs w:val="16"/>
                <w:lang w:val="fr-FR"/>
              </w:rPr>
            </w:pPr>
            <w:r w:rsidRPr="00E54BB6">
              <w:rPr>
                <w:color w:val="000000"/>
                <w:sz w:val="16"/>
                <w:szCs w:val="16"/>
                <w:lang w:val="fr-FR"/>
              </w:rPr>
              <w:t>25 000</w:t>
            </w:r>
          </w:p>
        </w:tc>
        <w:tc>
          <w:tcPr>
            <w:tcW w:w="93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175 000</w:t>
            </w:r>
          </w:p>
        </w:tc>
      </w:tr>
      <w:tr w:rsidR="0052476E" w:rsidRPr="00E54BB6" w:rsidTr="009D7CDB">
        <w:trPr>
          <w:jc w:val="center"/>
        </w:trPr>
        <w:tc>
          <w:tcPr>
            <w:tcW w:w="540" w:type="dxa"/>
            <w:vMerge/>
            <w:shd w:val="clear" w:color="auto" w:fill="auto"/>
          </w:tcPr>
          <w:p w:rsidR="0052476E" w:rsidRPr="00E54BB6" w:rsidRDefault="0052476E" w:rsidP="009D7CDB">
            <w:pPr>
              <w:spacing w:after="60"/>
              <w:jc w:val="center"/>
              <w:rPr>
                <w:sz w:val="16"/>
                <w:szCs w:val="16"/>
                <w:lang w:val="fr-FR"/>
              </w:rPr>
            </w:pPr>
          </w:p>
        </w:tc>
        <w:tc>
          <w:tcPr>
            <w:tcW w:w="990" w:type="dxa"/>
            <w:vMerge/>
            <w:shd w:val="clear" w:color="auto" w:fill="auto"/>
          </w:tcPr>
          <w:p w:rsidR="0052476E" w:rsidRPr="00E54BB6" w:rsidRDefault="0052476E" w:rsidP="009D7CDB">
            <w:pPr>
              <w:spacing w:after="60"/>
              <w:jc w:val="center"/>
              <w:rPr>
                <w:sz w:val="16"/>
                <w:szCs w:val="16"/>
                <w:lang w:val="fr-FR"/>
              </w:rPr>
            </w:pPr>
          </w:p>
        </w:tc>
        <w:tc>
          <w:tcPr>
            <w:tcW w:w="1440" w:type="dxa"/>
            <w:shd w:val="clear" w:color="auto" w:fill="auto"/>
          </w:tcPr>
          <w:p w:rsidR="0052476E" w:rsidRPr="00E54BB6" w:rsidRDefault="0052476E" w:rsidP="009D7CDB">
            <w:pPr>
              <w:spacing w:after="60"/>
              <w:jc w:val="left"/>
              <w:rPr>
                <w:sz w:val="16"/>
                <w:szCs w:val="16"/>
                <w:lang w:val="fr-FR"/>
              </w:rPr>
            </w:pPr>
            <w:r w:rsidRPr="00E54BB6">
              <w:rPr>
                <w:sz w:val="16"/>
                <w:szCs w:val="16"/>
                <w:lang w:val="fr-FR"/>
              </w:rPr>
              <w:t>Coûts d’appui</w:t>
            </w:r>
          </w:p>
        </w:tc>
        <w:tc>
          <w:tcPr>
            <w:tcW w:w="108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6 500</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98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6 500</w:t>
            </w:r>
          </w:p>
        </w:tc>
        <w:tc>
          <w:tcPr>
            <w:tcW w:w="801"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6 500</w:t>
            </w:r>
          </w:p>
        </w:tc>
        <w:tc>
          <w:tcPr>
            <w:tcW w:w="711" w:type="dxa"/>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801" w:type="dxa"/>
          </w:tcPr>
          <w:p w:rsidR="0052476E" w:rsidRPr="00E54BB6" w:rsidRDefault="0052476E" w:rsidP="009D7CDB">
            <w:pPr>
              <w:jc w:val="right"/>
              <w:rPr>
                <w:color w:val="000000"/>
                <w:sz w:val="16"/>
                <w:szCs w:val="16"/>
                <w:lang w:val="fr-FR"/>
              </w:rPr>
            </w:pPr>
            <w:r w:rsidRPr="00E54BB6">
              <w:rPr>
                <w:color w:val="000000"/>
                <w:sz w:val="16"/>
                <w:szCs w:val="16"/>
                <w:lang w:val="fr-FR"/>
              </w:rPr>
              <w:t>3 250</w:t>
            </w:r>
          </w:p>
        </w:tc>
        <w:tc>
          <w:tcPr>
            <w:tcW w:w="93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22 750</w:t>
            </w:r>
          </w:p>
        </w:tc>
      </w:tr>
      <w:tr w:rsidR="0052476E" w:rsidRPr="00E54BB6" w:rsidTr="009D7CDB">
        <w:trPr>
          <w:jc w:val="center"/>
        </w:trPr>
        <w:tc>
          <w:tcPr>
            <w:tcW w:w="540" w:type="dxa"/>
            <w:vMerge/>
            <w:shd w:val="clear" w:color="auto" w:fill="auto"/>
          </w:tcPr>
          <w:p w:rsidR="0052476E" w:rsidRPr="00E54BB6" w:rsidRDefault="0052476E" w:rsidP="009D7CDB">
            <w:pPr>
              <w:spacing w:after="60"/>
              <w:jc w:val="center"/>
              <w:rPr>
                <w:sz w:val="16"/>
                <w:szCs w:val="16"/>
                <w:lang w:val="fr-FR"/>
              </w:rPr>
            </w:pPr>
          </w:p>
        </w:tc>
        <w:tc>
          <w:tcPr>
            <w:tcW w:w="990" w:type="dxa"/>
            <w:shd w:val="clear" w:color="auto" w:fill="auto"/>
          </w:tcPr>
          <w:p w:rsidR="0052476E" w:rsidRPr="00E54BB6" w:rsidRDefault="0052476E" w:rsidP="009D7CDB">
            <w:pPr>
              <w:spacing w:after="60"/>
              <w:jc w:val="center"/>
              <w:rPr>
                <w:sz w:val="16"/>
                <w:szCs w:val="16"/>
                <w:lang w:val="fr-FR"/>
              </w:rPr>
            </w:pPr>
            <w:r w:rsidRPr="00E54BB6">
              <w:rPr>
                <w:sz w:val="16"/>
                <w:szCs w:val="16"/>
                <w:lang w:val="fr-FR"/>
              </w:rPr>
              <w:t>Allemagne</w:t>
            </w:r>
          </w:p>
        </w:tc>
        <w:tc>
          <w:tcPr>
            <w:tcW w:w="1440" w:type="dxa"/>
            <w:shd w:val="clear" w:color="auto" w:fill="auto"/>
          </w:tcPr>
          <w:p w:rsidR="0052476E" w:rsidRPr="00E54BB6" w:rsidRDefault="0052476E" w:rsidP="009D7CDB">
            <w:pPr>
              <w:spacing w:after="60"/>
              <w:jc w:val="left"/>
              <w:rPr>
                <w:sz w:val="16"/>
                <w:szCs w:val="16"/>
                <w:lang w:val="fr-FR"/>
              </w:rPr>
            </w:pPr>
            <w:r w:rsidRPr="00E54BB6">
              <w:rPr>
                <w:sz w:val="16"/>
                <w:szCs w:val="16"/>
                <w:lang w:val="fr-FR"/>
              </w:rPr>
              <w:t>Coûts de projet</w:t>
            </w:r>
          </w:p>
        </w:tc>
        <w:tc>
          <w:tcPr>
            <w:tcW w:w="108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325 800</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98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162 900</w:t>
            </w:r>
          </w:p>
        </w:tc>
        <w:tc>
          <w:tcPr>
            <w:tcW w:w="801"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w:t>
            </w:r>
          </w:p>
        </w:tc>
        <w:tc>
          <w:tcPr>
            <w:tcW w:w="711" w:type="dxa"/>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801" w:type="dxa"/>
          </w:tcPr>
          <w:p w:rsidR="0052476E" w:rsidRPr="00E54BB6" w:rsidRDefault="0052476E" w:rsidP="009D7CDB">
            <w:pPr>
              <w:jc w:val="right"/>
              <w:rPr>
                <w:color w:val="000000"/>
                <w:sz w:val="16"/>
                <w:szCs w:val="16"/>
                <w:lang w:val="fr-FR"/>
              </w:rPr>
            </w:pPr>
            <w:r w:rsidRPr="00E54BB6">
              <w:rPr>
                <w:color w:val="000000"/>
                <w:sz w:val="16"/>
                <w:szCs w:val="16"/>
                <w:lang w:val="fr-FR"/>
              </w:rPr>
              <w:t>54 300</w:t>
            </w:r>
          </w:p>
        </w:tc>
        <w:tc>
          <w:tcPr>
            <w:tcW w:w="93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543 000</w:t>
            </w:r>
          </w:p>
        </w:tc>
      </w:tr>
      <w:tr w:rsidR="0052476E" w:rsidRPr="00E54BB6" w:rsidTr="009D7CDB">
        <w:trPr>
          <w:jc w:val="center"/>
        </w:trPr>
        <w:tc>
          <w:tcPr>
            <w:tcW w:w="540" w:type="dxa"/>
            <w:vMerge/>
            <w:shd w:val="clear" w:color="auto" w:fill="auto"/>
          </w:tcPr>
          <w:p w:rsidR="0052476E" w:rsidRPr="00E54BB6" w:rsidRDefault="0052476E" w:rsidP="009D7CDB">
            <w:pPr>
              <w:spacing w:after="60"/>
              <w:jc w:val="center"/>
              <w:rPr>
                <w:sz w:val="16"/>
                <w:szCs w:val="16"/>
                <w:lang w:val="fr-FR"/>
              </w:rPr>
            </w:pPr>
          </w:p>
        </w:tc>
        <w:tc>
          <w:tcPr>
            <w:tcW w:w="990" w:type="dxa"/>
            <w:shd w:val="clear" w:color="auto" w:fill="auto"/>
          </w:tcPr>
          <w:p w:rsidR="0052476E" w:rsidRPr="00E54BB6" w:rsidRDefault="0052476E" w:rsidP="009D7CDB">
            <w:pPr>
              <w:spacing w:after="60"/>
              <w:jc w:val="center"/>
              <w:rPr>
                <w:sz w:val="16"/>
                <w:szCs w:val="16"/>
                <w:lang w:val="fr-FR"/>
              </w:rPr>
            </w:pPr>
          </w:p>
        </w:tc>
        <w:tc>
          <w:tcPr>
            <w:tcW w:w="1440" w:type="dxa"/>
            <w:shd w:val="clear" w:color="auto" w:fill="auto"/>
          </w:tcPr>
          <w:p w:rsidR="0052476E" w:rsidRPr="00E54BB6" w:rsidRDefault="0052476E" w:rsidP="009D7CDB">
            <w:pPr>
              <w:spacing w:after="60"/>
              <w:jc w:val="left"/>
              <w:rPr>
                <w:sz w:val="16"/>
                <w:szCs w:val="16"/>
                <w:lang w:val="fr-FR"/>
              </w:rPr>
            </w:pPr>
            <w:r w:rsidRPr="00E54BB6">
              <w:rPr>
                <w:sz w:val="16"/>
                <w:szCs w:val="16"/>
                <w:lang w:val="fr-FR"/>
              </w:rPr>
              <w:t>Coûts d’appui</w:t>
            </w:r>
          </w:p>
        </w:tc>
        <w:tc>
          <w:tcPr>
            <w:tcW w:w="108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41 838</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72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98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20 919</w:t>
            </w:r>
          </w:p>
        </w:tc>
        <w:tc>
          <w:tcPr>
            <w:tcW w:w="801"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0</w:t>
            </w:r>
          </w:p>
        </w:tc>
        <w:tc>
          <w:tcPr>
            <w:tcW w:w="711" w:type="dxa"/>
          </w:tcPr>
          <w:p w:rsidR="0052476E" w:rsidRPr="00E54BB6" w:rsidRDefault="0052476E" w:rsidP="009D7CDB">
            <w:pPr>
              <w:jc w:val="right"/>
              <w:rPr>
                <w:color w:val="000000"/>
                <w:sz w:val="16"/>
                <w:szCs w:val="16"/>
                <w:lang w:val="fr-FR"/>
              </w:rPr>
            </w:pPr>
            <w:r w:rsidRPr="00E54BB6">
              <w:rPr>
                <w:color w:val="000000"/>
                <w:sz w:val="16"/>
                <w:szCs w:val="16"/>
                <w:lang w:val="fr-FR"/>
              </w:rPr>
              <w:t>0 </w:t>
            </w:r>
          </w:p>
        </w:tc>
        <w:tc>
          <w:tcPr>
            <w:tcW w:w="801" w:type="dxa"/>
          </w:tcPr>
          <w:p w:rsidR="0052476E" w:rsidRPr="00E54BB6" w:rsidRDefault="0052476E" w:rsidP="009D7CDB">
            <w:pPr>
              <w:jc w:val="right"/>
              <w:rPr>
                <w:color w:val="000000"/>
                <w:sz w:val="16"/>
                <w:szCs w:val="16"/>
                <w:lang w:val="fr-FR"/>
              </w:rPr>
            </w:pPr>
            <w:r w:rsidRPr="00E54BB6">
              <w:rPr>
                <w:color w:val="000000"/>
                <w:sz w:val="16"/>
                <w:szCs w:val="16"/>
                <w:lang w:val="fr-FR"/>
              </w:rPr>
              <w:t>6 973</w:t>
            </w:r>
          </w:p>
        </w:tc>
        <w:tc>
          <w:tcPr>
            <w:tcW w:w="93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69 730</w:t>
            </w:r>
          </w:p>
        </w:tc>
      </w:tr>
      <w:tr w:rsidR="0052476E" w:rsidRPr="00E54BB6" w:rsidTr="009D7CDB">
        <w:trPr>
          <w:jc w:val="center"/>
        </w:trPr>
        <w:tc>
          <w:tcPr>
            <w:tcW w:w="1530" w:type="dxa"/>
            <w:gridSpan w:val="2"/>
            <w:vMerge w:val="restart"/>
            <w:shd w:val="clear" w:color="auto" w:fill="auto"/>
          </w:tcPr>
          <w:p w:rsidR="0052476E" w:rsidRPr="00E54BB6" w:rsidRDefault="0052476E" w:rsidP="009D7CDB">
            <w:pPr>
              <w:spacing w:after="60"/>
              <w:jc w:val="left"/>
              <w:rPr>
                <w:sz w:val="16"/>
                <w:szCs w:val="16"/>
                <w:lang w:val="fr-FR"/>
              </w:rPr>
            </w:pPr>
            <w:r w:rsidRPr="00E54BB6">
              <w:rPr>
                <w:sz w:val="16"/>
                <w:szCs w:val="16"/>
                <w:lang w:val="fr-FR"/>
              </w:rPr>
              <w:t xml:space="preserve">Financement approuvé par </w:t>
            </w:r>
            <w:proofErr w:type="spellStart"/>
            <w:r w:rsidRPr="00E54BB6">
              <w:rPr>
                <w:sz w:val="16"/>
                <w:szCs w:val="16"/>
                <w:lang w:val="fr-FR"/>
              </w:rPr>
              <w:t>ExCom</w:t>
            </w:r>
            <w:proofErr w:type="spellEnd"/>
            <w:r w:rsidRPr="00E54BB6">
              <w:rPr>
                <w:sz w:val="16"/>
                <w:szCs w:val="16"/>
                <w:lang w:val="fr-FR"/>
              </w:rPr>
              <w:t xml:space="preserve"> ($ US)</w:t>
            </w:r>
          </w:p>
        </w:tc>
        <w:tc>
          <w:tcPr>
            <w:tcW w:w="1440" w:type="dxa"/>
            <w:shd w:val="clear" w:color="auto" w:fill="auto"/>
          </w:tcPr>
          <w:p w:rsidR="0052476E" w:rsidRPr="00E54BB6" w:rsidRDefault="0052476E" w:rsidP="009D7CDB">
            <w:pPr>
              <w:spacing w:after="60"/>
              <w:jc w:val="left"/>
              <w:rPr>
                <w:sz w:val="16"/>
                <w:szCs w:val="16"/>
                <w:lang w:val="fr-FR"/>
              </w:rPr>
            </w:pPr>
            <w:r w:rsidRPr="00E54BB6">
              <w:rPr>
                <w:sz w:val="16"/>
                <w:szCs w:val="16"/>
                <w:lang w:val="fr-FR"/>
              </w:rPr>
              <w:t>Coûts de projet</w:t>
            </w:r>
          </w:p>
        </w:tc>
        <w:tc>
          <w:tcPr>
            <w:tcW w:w="108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2 718 391</w:t>
            </w:r>
          </w:p>
        </w:tc>
        <w:tc>
          <w:tcPr>
            <w:tcW w:w="720" w:type="dxa"/>
            <w:shd w:val="clear" w:color="auto" w:fill="auto"/>
          </w:tcPr>
          <w:p w:rsidR="0052476E" w:rsidRPr="00E54BB6" w:rsidRDefault="0052476E" w:rsidP="009D7CDB">
            <w:pPr>
              <w:spacing w:after="60"/>
              <w:jc w:val="right"/>
              <w:rPr>
                <w:sz w:val="16"/>
                <w:szCs w:val="16"/>
                <w:lang w:val="fr-FR"/>
              </w:rPr>
            </w:pPr>
            <w:r w:rsidRPr="00E54BB6">
              <w:rPr>
                <w:sz w:val="16"/>
                <w:szCs w:val="16"/>
                <w:lang w:val="fr-FR"/>
              </w:rPr>
              <w:t>0</w:t>
            </w:r>
          </w:p>
        </w:tc>
        <w:tc>
          <w:tcPr>
            <w:tcW w:w="720" w:type="dxa"/>
            <w:shd w:val="clear" w:color="auto" w:fill="auto"/>
          </w:tcPr>
          <w:p w:rsidR="0052476E" w:rsidRPr="00E54BB6" w:rsidRDefault="0052476E" w:rsidP="009D7CDB">
            <w:pPr>
              <w:spacing w:after="60"/>
              <w:jc w:val="right"/>
              <w:rPr>
                <w:sz w:val="16"/>
                <w:szCs w:val="16"/>
                <w:lang w:val="fr-FR"/>
              </w:rPr>
            </w:pPr>
            <w:r w:rsidRPr="00E54BB6">
              <w:rPr>
                <w:sz w:val="16"/>
                <w:szCs w:val="16"/>
                <w:lang w:val="fr-FR"/>
              </w:rPr>
              <w:t>0</w:t>
            </w:r>
          </w:p>
        </w:tc>
        <w:tc>
          <w:tcPr>
            <w:tcW w:w="98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1 480 907</w:t>
            </w:r>
          </w:p>
        </w:tc>
        <w:tc>
          <w:tcPr>
            <w:tcW w:w="801" w:type="dxa"/>
            <w:shd w:val="clear" w:color="auto" w:fill="auto"/>
          </w:tcPr>
          <w:p w:rsidR="0052476E" w:rsidRPr="00E54BB6" w:rsidRDefault="0052476E" w:rsidP="009D7CDB">
            <w:pPr>
              <w:spacing w:after="60"/>
              <w:jc w:val="right"/>
              <w:rPr>
                <w:sz w:val="16"/>
                <w:szCs w:val="16"/>
                <w:lang w:val="fr-FR"/>
              </w:rPr>
            </w:pPr>
            <w:r w:rsidRPr="00E54BB6">
              <w:rPr>
                <w:sz w:val="16"/>
                <w:szCs w:val="16"/>
                <w:lang w:val="fr-FR"/>
              </w:rPr>
              <w:t>0</w:t>
            </w:r>
          </w:p>
        </w:tc>
        <w:tc>
          <w:tcPr>
            <w:tcW w:w="711" w:type="dxa"/>
          </w:tcPr>
          <w:p w:rsidR="0052476E" w:rsidRPr="00E54BB6" w:rsidRDefault="0052476E" w:rsidP="009D7CDB">
            <w:pPr>
              <w:spacing w:after="60"/>
              <w:jc w:val="right"/>
              <w:rPr>
                <w:sz w:val="16"/>
                <w:szCs w:val="16"/>
                <w:lang w:val="fr-FR"/>
              </w:rPr>
            </w:pPr>
          </w:p>
        </w:tc>
        <w:tc>
          <w:tcPr>
            <w:tcW w:w="801" w:type="dxa"/>
          </w:tcPr>
          <w:p w:rsidR="0052476E" w:rsidRPr="00E54BB6" w:rsidRDefault="0052476E" w:rsidP="009D7CDB">
            <w:pPr>
              <w:spacing w:after="60"/>
              <w:jc w:val="right"/>
              <w:rPr>
                <w:sz w:val="16"/>
                <w:szCs w:val="16"/>
                <w:lang w:val="fr-FR"/>
              </w:rPr>
            </w:pPr>
          </w:p>
        </w:tc>
        <w:tc>
          <w:tcPr>
            <w:tcW w:w="93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fldChar w:fldCharType="begin"/>
            </w:r>
            <w:r w:rsidRPr="00E54BB6">
              <w:rPr>
                <w:color w:val="000000"/>
                <w:sz w:val="16"/>
                <w:szCs w:val="16"/>
                <w:lang w:val="fr-FR"/>
              </w:rPr>
              <w:instrText xml:space="preserve"> =SUM(left) </w:instrText>
            </w:r>
            <w:r w:rsidRPr="00E54BB6">
              <w:rPr>
                <w:color w:val="000000"/>
                <w:sz w:val="16"/>
                <w:szCs w:val="16"/>
                <w:lang w:val="fr-FR"/>
              </w:rPr>
              <w:fldChar w:fldCharType="separate"/>
            </w:r>
            <w:r w:rsidRPr="00E54BB6">
              <w:rPr>
                <w:color w:val="000000"/>
                <w:sz w:val="16"/>
                <w:szCs w:val="16"/>
                <w:lang w:val="fr-FR"/>
              </w:rPr>
              <w:t>4,199,298</w:t>
            </w:r>
            <w:r w:rsidRPr="00E54BB6">
              <w:rPr>
                <w:color w:val="000000"/>
                <w:sz w:val="16"/>
                <w:szCs w:val="16"/>
                <w:lang w:val="fr-FR"/>
              </w:rPr>
              <w:fldChar w:fldCharType="end"/>
            </w:r>
          </w:p>
        </w:tc>
      </w:tr>
      <w:tr w:rsidR="0052476E" w:rsidRPr="00E54BB6" w:rsidTr="009D7CDB">
        <w:trPr>
          <w:jc w:val="center"/>
        </w:trPr>
        <w:tc>
          <w:tcPr>
            <w:tcW w:w="1530" w:type="dxa"/>
            <w:gridSpan w:val="2"/>
            <w:vMerge/>
            <w:shd w:val="clear" w:color="auto" w:fill="auto"/>
          </w:tcPr>
          <w:p w:rsidR="0052476E" w:rsidRPr="00E54BB6" w:rsidRDefault="0052476E" w:rsidP="009D7CDB">
            <w:pPr>
              <w:spacing w:after="60"/>
              <w:jc w:val="center"/>
              <w:rPr>
                <w:sz w:val="16"/>
                <w:szCs w:val="16"/>
                <w:lang w:val="fr-FR"/>
              </w:rPr>
            </w:pPr>
          </w:p>
        </w:tc>
        <w:tc>
          <w:tcPr>
            <w:tcW w:w="1440" w:type="dxa"/>
            <w:shd w:val="clear" w:color="auto" w:fill="auto"/>
          </w:tcPr>
          <w:p w:rsidR="0052476E" w:rsidRPr="00E54BB6" w:rsidRDefault="0052476E" w:rsidP="009D7CDB">
            <w:pPr>
              <w:spacing w:after="60"/>
              <w:jc w:val="left"/>
              <w:rPr>
                <w:sz w:val="16"/>
                <w:szCs w:val="16"/>
                <w:lang w:val="fr-FR"/>
              </w:rPr>
            </w:pPr>
            <w:r w:rsidRPr="00E54BB6">
              <w:rPr>
                <w:sz w:val="16"/>
                <w:szCs w:val="16"/>
                <w:lang w:val="fr-FR"/>
              </w:rPr>
              <w:t>Coûts d’appui</w:t>
            </w:r>
          </w:p>
        </w:tc>
        <w:tc>
          <w:tcPr>
            <w:tcW w:w="1080"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212 319</w:t>
            </w:r>
          </w:p>
        </w:tc>
        <w:tc>
          <w:tcPr>
            <w:tcW w:w="720" w:type="dxa"/>
            <w:shd w:val="clear" w:color="auto" w:fill="auto"/>
          </w:tcPr>
          <w:p w:rsidR="0052476E" w:rsidRPr="00E54BB6" w:rsidRDefault="0052476E" w:rsidP="009D7CDB">
            <w:pPr>
              <w:spacing w:after="60"/>
              <w:jc w:val="right"/>
              <w:rPr>
                <w:sz w:val="16"/>
                <w:szCs w:val="16"/>
                <w:lang w:val="fr-FR"/>
              </w:rPr>
            </w:pPr>
            <w:r w:rsidRPr="00E54BB6">
              <w:rPr>
                <w:sz w:val="16"/>
                <w:szCs w:val="16"/>
                <w:lang w:val="fr-FR"/>
              </w:rPr>
              <w:t>0</w:t>
            </w:r>
          </w:p>
        </w:tc>
        <w:tc>
          <w:tcPr>
            <w:tcW w:w="720" w:type="dxa"/>
            <w:shd w:val="clear" w:color="auto" w:fill="auto"/>
          </w:tcPr>
          <w:p w:rsidR="0052476E" w:rsidRPr="00E54BB6" w:rsidRDefault="0052476E" w:rsidP="009D7CDB">
            <w:pPr>
              <w:spacing w:after="60"/>
              <w:jc w:val="right"/>
              <w:rPr>
                <w:sz w:val="16"/>
                <w:szCs w:val="16"/>
                <w:lang w:val="fr-FR"/>
              </w:rPr>
            </w:pPr>
            <w:r w:rsidRPr="00E54BB6">
              <w:rPr>
                <w:sz w:val="16"/>
                <w:szCs w:val="16"/>
                <w:lang w:val="fr-FR"/>
              </w:rPr>
              <w:t>0</w:t>
            </w:r>
          </w:p>
        </w:tc>
        <w:tc>
          <w:tcPr>
            <w:tcW w:w="98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116 180</w:t>
            </w:r>
          </w:p>
        </w:tc>
        <w:tc>
          <w:tcPr>
            <w:tcW w:w="801" w:type="dxa"/>
            <w:shd w:val="clear" w:color="auto" w:fill="auto"/>
          </w:tcPr>
          <w:p w:rsidR="0052476E" w:rsidRPr="00E54BB6" w:rsidRDefault="0052476E" w:rsidP="009D7CDB">
            <w:pPr>
              <w:spacing w:after="60"/>
              <w:jc w:val="right"/>
              <w:rPr>
                <w:sz w:val="16"/>
                <w:szCs w:val="16"/>
                <w:lang w:val="fr-FR"/>
              </w:rPr>
            </w:pPr>
            <w:r w:rsidRPr="00E54BB6">
              <w:rPr>
                <w:sz w:val="16"/>
                <w:szCs w:val="16"/>
                <w:lang w:val="fr-FR"/>
              </w:rPr>
              <w:t>0</w:t>
            </w:r>
          </w:p>
        </w:tc>
        <w:tc>
          <w:tcPr>
            <w:tcW w:w="711" w:type="dxa"/>
          </w:tcPr>
          <w:p w:rsidR="0052476E" w:rsidRPr="00E54BB6" w:rsidRDefault="0052476E" w:rsidP="009D7CDB">
            <w:pPr>
              <w:spacing w:after="60"/>
              <w:jc w:val="right"/>
              <w:rPr>
                <w:sz w:val="16"/>
                <w:szCs w:val="16"/>
                <w:lang w:val="fr-FR"/>
              </w:rPr>
            </w:pPr>
          </w:p>
        </w:tc>
        <w:tc>
          <w:tcPr>
            <w:tcW w:w="801" w:type="dxa"/>
          </w:tcPr>
          <w:p w:rsidR="0052476E" w:rsidRPr="00E54BB6" w:rsidRDefault="0052476E" w:rsidP="009D7CDB">
            <w:pPr>
              <w:spacing w:after="60"/>
              <w:jc w:val="right"/>
              <w:rPr>
                <w:sz w:val="16"/>
                <w:szCs w:val="16"/>
                <w:lang w:val="fr-FR"/>
              </w:rPr>
            </w:pPr>
          </w:p>
        </w:tc>
        <w:tc>
          <w:tcPr>
            <w:tcW w:w="93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fldChar w:fldCharType="begin"/>
            </w:r>
            <w:r w:rsidRPr="00E54BB6">
              <w:rPr>
                <w:color w:val="000000"/>
                <w:sz w:val="16"/>
                <w:szCs w:val="16"/>
                <w:lang w:val="fr-FR"/>
              </w:rPr>
              <w:instrText xml:space="preserve"> =SUM(left) </w:instrText>
            </w:r>
            <w:r w:rsidRPr="00E54BB6">
              <w:rPr>
                <w:color w:val="000000"/>
                <w:sz w:val="16"/>
                <w:szCs w:val="16"/>
                <w:lang w:val="fr-FR"/>
              </w:rPr>
              <w:fldChar w:fldCharType="separate"/>
            </w:r>
            <w:r w:rsidRPr="00E54BB6">
              <w:rPr>
                <w:color w:val="000000"/>
                <w:sz w:val="16"/>
                <w:szCs w:val="16"/>
                <w:lang w:val="fr-FR"/>
              </w:rPr>
              <w:t>328,499</w:t>
            </w:r>
            <w:r w:rsidRPr="00E54BB6">
              <w:rPr>
                <w:color w:val="000000"/>
                <w:sz w:val="16"/>
                <w:szCs w:val="16"/>
                <w:lang w:val="fr-FR"/>
              </w:rPr>
              <w:fldChar w:fldCharType="end"/>
            </w:r>
          </w:p>
        </w:tc>
      </w:tr>
      <w:tr w:rsidR="0052476E" w:rsidRPr="00E54BB6" w:rsidTr="009D7CDB">
        <w:trPr>
          <w:jc w:val="center"/>
        </w:trPr>
        <w:tc>
          <w:tcPr>
            <w:tcW w:w="1530" w:type="dxa"/>
            <w:gridSpan w:val="2"/>
            <w:vMerge w:val="restart"/>
            <w:shd w:val="clear" w:color="auto" w:fill="auto"/>
          </w:tcPr>
          <w:p w:rsidR="0052476E" w:rsidRPr="00E54BB6" w:rsidRDefault="0052476E" w:rsidP="009D7CDB">
            <w:pPr>
              <w:spacing w:after="60"/>
              <w:jc w:val="left"/>
              <w:rPr>
                <w:sz w:val="16"/>
                <w:szCs w:val="16"/>
                <w:lang w:val="fr-FR"/>
              </w:rPr>
            </w:pPr>
            <w:r w:rsidRPr="00E54BB6">
              <w:rPr>
                <w:sz w:val="16"/>
                <w:szCs w:val="16"/>
                <w:lang w:val="fr-FR"/>
              </w:rPr>
              <w:t>Financement total demandé pour approbation à la présente réunion ($ US)</w:t>
            </w:r>
          </w:p>
        </w:tc>
        <w:tc>
          <w:tcPr>
            <w:tcW w:w="1440" w:type="dxa"/>
            <w:shd w:val="clear" w:color="auto" w:fill="auto"/>
          </w:tcPr>
          <w:p w:rsidR="0052476E" w:rsidRPr="00E54BB6" w:rsidRDefault="0052476E" w:rsidP="009D7CDB">
            <w:pPr>
              <w:spacing w:after="60"/>
              <w:jc w:val="left"/>
              <w:rPr>
                <w:sz w:val="16"/>
                <w:szCs w:val="16"/>
                <w:lang w:val="fr-FR"/>
              </w:rPr>
            </w:pPr>
            <w:r w:rsidRPr="00E54BB6">
              <w:rPr>
                <w:sz w:val="16"/>
                <w:szCs w:val="16"/>
                <w:lang w:val="fr-FR"/>
              </w:rPr>
              <w:t>Coûts de projet</w:t>
            </w:r>
          </w:p>
        </w:tc>
        <w:tc>
          <w:tcPr>
            <w:tcW w:w="1080" w:type="dxa"/>
            <w:shd w:val="clear" w:color="auto" w:fill="auto"/>
          </w:tcPr>
          <w:p w:rsidR="0052476E" w:rsidRPr="00E54BB6" w:rsidRDefault="0052476E" w:rsidP="009D7CDB">
            <w:pPr>
              <w:spacing w:after="60"/>
              <w:jc w:val="right"/>
              <w:rPr>
                <w:sz w:val="16"/>
                <w:szCs w:val="16"/>
                <w:lang w:val="fr-FR"/>
              </w:rPr>
            </w:pPr>
          </w:p>
        </w:tc>
        <w:tc>
          <w:tcPr>
            <w:tcW w:w="720" w:type="dxa"/>
            <w:shd w:val="clear" w:color="auto" w:fill="auto"/>
          </w:tcPr>
          <w:p w:rsidR="0052476E" w:rsidRPr="00E54BB6" w:rsidRDefault="0052476E" w:rsidP="009D7CDB">
            <w:pPr>
              <w:spacing w:after="60"/>
              <w:jc w:val="right"/>
              <w:rPr>
                <w:sz w:val="16"/>
                <w:szCs w:val="16"/>
                <w:lang w:val="fr-FR"/>
              </w:rPr>
            </w:pPr>
          </w:p>
        </w:tc>
        <w:tc>
          <w:tcPr>
            <w:tcW w:w="720" w:type="dxa"/>
            <w:shd w:val="clear" w:color="auto" w:fill="auto"/>
          </w:tcPr>
          <w:p w:rsidR="0052476E" w:rsidRPr="00E54BB6" w:rsidRDefault="0052476E" w:rsidP="009D7CDB">
            <w:pPr>
              <w:spacing w:after="60"/>
              <w:jc w:val="right"/>
              <w:rPr>
                <w:sz w:val="16"/>
                <w:szCs w:val="16"/>
                <w:lang w:val="fr-FR"/>
              </w:rPr>
            </w:pPr>
          </w:p>
        </w:tc>
        <w:tc>
          <w:tcPr>
            <w:tcW w:w="986" w:type="dxa"/>
            <w:shd w:val="clear" w:color="auto" w:fill="auto"/>
          </w:tcPr>
          <w:p w:rsidR="0052476E" w:rsidRPr="00E54BB6" w:rsidRDefault="0052476E" w:rsidP="009D7CDB">
            <w:pPr>
              <w:jc w:val="right"/>
              <w:rPr>
                <w:color w:val="000000"/>
                <w:sz w:val="16"/>
                <w:szCs w:val="16"/>
                <w:lang w:val="fr-FR"/>
              </w:rPr>
            </w:pPr>
          </w:p>
        </w:tc>
        <w:tc>
          <w:tcPr>
            <w:tcW w:w="801"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685 749</w:t>
            </w:r>
          </w:p>
        </w:tc>
        <w:tc>
          <w:tcPr>
            <w:tcW w:w="711" w:type="dxa"/>
          </w:tcPr>
          <w:p w:rsidR="0052476E" w:rsidRPr="00E54BB6" w:rsidRDefault="0052476E" w:rsidP="009D7CDB">
            <w:pPr>
              <w:spacing w:after="60"/>
              <w:jc w:val="right"/>
              <w:rPr>
                <w:sz w:val="16"/>
                <w:szCs w:val="16"/>
                <w:lang w:val="fr-FR"/>
              </w:rPr>
            </w:pPr>
          </w:p>
        </w:tc>
        <w:tc>
          <w:tcPr>
            <w:tcW w:w="801" w:type="dxa"/>
          </w:tcPr>
          <w:p w:rsidR="0052476E" w:rsidRPr="00E54BB6" w:rsidRDefault="0052476E" w:rsidP="009D7CDB">
            <w:pPr>
              <w:spacing w:after="60"/>
              <w:jc w:val="right"/>
              <w:rPr>
                <w:sz w:val="16"/>
                <w:szCs w:val="16"/>
                <w:lang w:val="fr-FR"/>
              </w:rPr>
            </w:pPr>
          </w:p>
        </w:tc>
        <w:tc>
          <w:tcPr>
            <w:tcW w:w="93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685 749</w:t>
            </w:r>
          </w:p>
        </w:tc>
      </w:tr>
      <w:tr w:rsidR="0052476E" w:rsidRPr="00E54BB6" w:rsidTr="009D7CDB">
        <w:trPr>
          <w:trHeight w:val="305"/>
          <w:jc w:val="center"/>
        </w:trPr>
        <w:tc>
          <w:tcPr>
            <w:tcW w:w="1530" w:type="dxa"/>
            <w:gridSpan w:val="2"/>
            <w:vMerge/>
            <w:shd w:val="clear" w:color="auto" w:fill="auto"/>
          </w:tcPr>
          <w:p w:rsidR="0052476E" w:rsidRPr="00E54BB6" w:rsidRDefault="0052476E" w:rsidP="009D7CDB">
            <w:pPr>
              <w:spacing w:after="60"/>
              <w:jc w:val="center"/>
              <w:rPr>
                <w:sz w:val="16"/>
                <w:szCs w:val="16"/>
                <w:lang w:val="fr-FR"/>
              </w:rPr>
            </w:pPr>
          </w:p>
        </w:tc>
        <w:tc>
          <w:tcPr>
            <w:tcW w:w="1440" w:type="dxa"/>
            <w:shd w:val="clear" w:color="auto" w:fill="auto"/>
          </w:tcPr>
          <w:p w:rsidR="0052476E" w:rsidRPr="00E54BB6" w:rsidRDefault="0052476E" w:rsidP="009D7CDB">
            <w:pPr>
              <w:spacing w:after="60"/>
              <w:jc w:val="left"/>
              <w:rPr>
                <w:sz w:val="16"/>
                <w:szCs w:val="16"/>
                <w:lang w:val="fr-FR"/>
              </w:rPr>
            </w:pPr>
            <w:r w:rsidRPr="00E54BB6">
              <w:rPr>
                <w:sz w:val="16"/>
                <w:szCs w:val="16"/>
                <w:lang w:val="fr-FR"/>
              </w:rPr>
              <w:t>Coûts d’appui</w:t>
            </w:r>
          </w:p>
        </w:tc>
        <w:tc>
          <w:tcPr>
            <w:tcW w:w="1080" w:type="dxa"/>
            <w:shd w:val="clear" w:color="auto" w:fill="auto"/>
          </w:tcPr>
          <w:p w:rsidR="0052476E" w:rsidRPr="00E54BB6" w:rsidRDefault="0052476E" w:rsidP="009D7CDB">
            <w:pPr>
              <w:spacing w:after="60"/>
              <w:jc w:val="right"/>
              <w:rPr>
                <w:sz w:val="16"/>
                <w:szCs w:val="16"/>
                <w:lang w:val="fr-FR"/>
              </w:rPr>
            </w:pPr>
          </w:p>
        </w:tc>
        <w:tc>
          <w:tcPr>
            <w:tcW w:w="720" w:type="dxa"/>
            <w:shd w:val="clear" w:color="auto" w:fill="auto"/>
          </w:tcPr>
          <w:p w:rsidR="0052476E" w:rsidRPr="00E54BB6" w:rsidRDefault="0052476E" w:rsidP="009D7CDB">
            <w:pPr>
              <w:spacing w:after="60"/>
              <w:jc w:val="right"/>
              <w:rPr>
                <w:sz w:val="16"/>
                <w:szCs w:val="16"/>
                <w:lang w:val="fr-FR"/>
              </w:rPr>
            </w:pPr>
          </w:p>
        </w:tc>
        <w:tc>
          <w:tcPr>
            <w:tcW w:w="720" w:type="dxa"/>
            <w:shd w:val="clear" w:color="auto" w:fill="auto"/>
          </w:tcPr>
          <w:p w:rsidR="0052476E" w:rsidRPr="00E54BB6" w:rsidRDefault="0052476E" w:rsidP="009D7CDB">
            <w:pPr>
              <w:spacing w:after="60"/>
              <w:jc w:val="right"/>
              <w:rPr>
                <w:sz w:val="16"/>
                <w:szCs w:val="16"/>
                <w:lang w:val="fr-FR"/>
              </w:rPr>
            </w:pPr>
          </w:p>
        </w:tc>
        <w:tc>
          <w:tcPr>
            <w:tcW w:w="986" w:type="dxa"/>
            <w:shd w:val="clear" w:color="auto" w:fill="auto"/>
          </w:tcPr>
          <w:p w:rsidR="0052476E" w:rsidRPr="00E54BB6" w:rsidRDefault="0052476E" w:rsidP="009D7CDB">
            <w:pPr>
              <w:jc w:val="right"/>
              <w:rPr>
                <w:color w:val="000000"/>
                <w:sz w:val="16"/>
                <w:szCs w:val="16"/>
                <w:lang w:val="fr-FR"/>
              </w:rPr>
            </w:pPr>
          </w:p>
        </w:tc>
        <w:tc>
          <w:tcPr>
            <w:tcW w:w="801"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51 002</w:t>
            </w:r>
          </w:p>
        </w:tc>
        <w:tc>
          <w:tcPr>
            <w:tcW w:w="711" w:type="dxa"/>
          </w:tcPr>
          <w:p w:rsidR="0052476E" w:rsidRPr="00E54BB6" w:rsidRDefault="0052476E" w:rsidP="009D7CDB">
            <w:pPr>
              <w:spacing w:after="60"/>
              <w:jc w:val="right"/>
              <w:rPr>
                <w:sz w:val="16"/>
                <w:szCs w:val="16"/>
                <w:lang w:val="fr-FR"/>
              </w:rPr>
            </w:pPr>
          </w:p>
        </w:tc>
        <w:tc>
          <w:tcPr>
            <w:tcW w:w="801" w:type="dxa"/>
          </w:tcPr>
          <w:p w:rsidR="0052476E" w:rsidRPr="00E54BB6" w:rsidRDefault="0052476E" w:rsidP="009D7CDB">
            <w:pPr>
              <w:spacing w:after="60"/>
              <w:jc w:val="right"/>
              <w:rPr>
                <w:sz w:val="16"/>
                <w:szCs w:val="16"/>
                <w:lang w:val="fr-FR"/>
              </w:rPr>
            </w:pPr>
          </w:p>
        </w:tc>
        <w:tc>
          <w:tcPr>
            <w:tcW w:w="936" w:type="dxa"/>
            <w:shd w:val="clear" w:color="auto" w:fill="auto"/>
          </w:tcPr>
          <w:p w:rsidR="0052476E" w:rsidRPr="00E54BB6" w:rsidRDefault="0052476E" w:rsidP="009D7CDB">
            <w:pPr>
              <w:jc w:val="right"/>
              <w:rPr>
                <w:color w:val="000000"/>
                <w:sz w:val="16"/>
                <w:szCs w:val="16"/>
                <w:lang w:val="fr-FR"/>
              </w:rPr>
            </w:pPr>
            <w:r w:rsidRPr="00E54BB6">
              <w:rPr>
                <w:color w:val="000000"/>
                <w:sz w:val="16"/>
                <w:szCs w:val="16"/>
                <w:lang w:val="fr-FR"/>
              </w:rPr>
              <w:t>51 002</w:t>
            </w:r>
          </w:p>
        </w:tc>
      </w:tr>
    </w:tbl>
    <w:p w:rsidR="0052476E" w:rsidRPr="00E54BB6" w:rsidRDefault="0052476E" w:rsidP="0052476E">
      <w:pPr>
        <w:spacing w:after="60"/>
        <w:rPr>
          <w:sz w:val="14"/>
          <w:szCs w:val="14"/>
          <w:lang w:val="fr-FR"/>
        </w:rPr>
      </w:pPr>
    </w:p>
    <w:tbl>
      <w:tblPr>
        <w:tblStyle w:val="TableGrid"/>
        <w:tblW w:w="9720" w:type="dxa"/>
        <w:tblInd w:w="-18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185"/>
        <w:gridCol w:w="6535"/>
      </w:tblGrid>
      <w:tr w:rsidR="0052476E" w:rsidRPr="00E54BB6" w:rsidTr="009D7CDB">
        <w:trPr>
          <w:trHeight w:val="240"/>
        </w:trPr>
        <w:tc>
          <w:tcPr>
            <w:tcW w:w="3185" w:type="dxa"/>
            <w:shd w:val="clear" w:color="auto" w:fill="auto"/>
          </w:tcPr>
          <w:p w:rsidR="0052476E" w:rsidRPr="00E54BB6" w:rsidRDefault="0052476E" w:rsidP="009D7CDB">
            <w:pPr>
              <w:spacing w:after="60"/>
              <w:jc w:val="left"/>
              <w:rPr>
                <w:b/>
                <w:sz w:val="16"/>
                <w:szCs w:val="20"/>
                <w:lang w:val="fr-FR"/>
              </w:rPr>
            </w:pPr>
            <w:r w:rsidRPr="00E54BB6">
              <w:rPr>
                <w:b/>
                <w:sz w:val="16"/>
                <w:szCs w:val="20"/>
                <w:lang w:val="fr-FR"/>
              </w:rPr>
              <w:t>Recommandation du Secrétariat :</w:t>
            </w:r>
          </w:p>
        </w:tc>
        <w:tc>
          <w:tcPr>
            <w:tcW w:w="6535" w:type="dxa"/>
            <w:shd w:val="clear" w:color="auto" w:fill="auto"/>
          </w:tcPr>
          <w:p w:rsidR="0052476E" w:rsidRPr="00E54BB6" w:rsidRDefault="0052476E" w:rsidP="009D7CDB">
            <w:pPr>
              <w:spacing w:after="60"/>
              <w:jc w:val="center"/>
              <w:rPr>
                <w:sz w:val="16"/>
                <w:szCs w:val="20"/>
                <w:lang w:val="fr-FR"/>
              </w:rPr>
            </w:pPr>
            <w:r w:rsidRPr="00E54BB6">
              <w:rPr>
                <w:sz w:val="16"/>
                <w:szCs w:val="20"/>
                <w:lang w:val="fr-FR"/>
              </w:rPr>
              <w:t>Pour approbation globale</w:t>
            </w:r>
          </w:p>
        </w:tc>
      </w:tr>
    </w:tbl>
    <w:p w:rsidR="0052476E" w:rsidRPr="00DB56ED" w:rsidRDefault="0052476E" w:rsidP="0052476E">
      <w:pPr>
        <w:rPr>
          <w:lang w:val="fr-FR"/>
        </w:rPr>
      </w:pPr>
    </w:p>
    <w:p w:rsidR="0052476E" w:rsidRPr="00DB56ED" w:rsidRDefault="0052476E" w:rsidP="0052476E">
      <w:pPr>
        <w:rPr>
          <w:lang w:val="fr-FR"/>
        </w:rPr>
      </w:pPr>
      <w:r w:rsidRPr="00DB56ED">
        <w:rPr>
          <w:lang w:val="fr-FR"/>
        </w:rPr>
        <w:br w:type="page"/>
      </w:r>
    </w:p>
    <w:p w:rsidR="00E54BB6" w:rsidRDefault="00E54BB6" w:rsidP="0052476E">
      <w:pPr>
        <w:jc w:val="center"/>
        <w:rPr>
          <w:b/>
          <w:lang w:val="fr-FR"/>
        </w:rPr>
      </w:pPr>
    </w:p>
    <w:p w:rsidR="0052476E" w:rsidRDefault="0052476E" w:rsidP="0052476E">
      <w:pPr>
        <w:jc w:val="center"/>
        <w:rPr>
          <w:b/>
          <w:lang w:val="fr-FR"/>
        </w:rPr>
      </w:pPr>
      <w:r w:rsidRPr="00DB56ED">
        <w:rPr>
          <w:b/>
          <w:lang w:val="fr-FR"/>
        </w:rPr>
        <w:t>DESCRIPTION DU PROJET</w:t>
      </w:r>
    </w:p>
    <w:p w:rsidR="00E54BB6" w:rsidRPr="00DB56ED" w:rsidRDefault="00E54BB6" w:rsidP="0052476E">
      <w:pPr>
        <w:jc w:val="center"/>
        <w:rPr>
          <w:b/>
          <w:lang w:val="fr-FR"/>
        </w:rPr>
      </w:pPr>
    </w:p>
    <w:p w:rsidR="0052476E" w:rsidRPr="00DB56ED" w:rsidRDefault="0052476E" w:rsidP="0052476E">
      <w:pPr>
        <w:rPr>
          <w:lang w:val="fr-FR"/>
        </w:rPr>
      </w:pPr>
    </w:p>
    <w:p w:rsidR="0052476E" w:rsidRPr="00DB56ED" w:rsidRDefault="0052476E" w:rsidP="0052476E">
      <w:pPr>
        <w:pStyle w:val="Heading1"/>
        <w:rPr>
          <w:lang w:val="fr-FR"/>
        </w:rPr>
      </w:pPr>
      <w:r w:rsidRPr="00DB56ED">
        <w:rPr>
          <w:lang w:val="fr-FR"/>
        </w:rPr>
        <w:t>Au nom du gouvernement de la Colombie, le PNUD, à titre d’agence d’exécution principale, a présenté une demande de financement pour la troisième tranche de la phase II du plan de gestion de l’élimination des HCFC (PGEH), pour un montant total de 736 751 $ US, soit 635 749 $ US, plus des coûts d’appui d’agence de 44 502 $ US pour le PNUD, et 50 000 $ US, plus des coûts d’appui d’agence de 6 500 $ US pour le PNUE.</w:t>
      </w:r>
      <w:r w:rsidRPr="00DB56ED">
        <w:rPr>
          <w:rStyle w:val="FootnoteReference"/>
          <w:lang w:val="fr-FR"/>
        </w:rPr>
        <w:footnoteReference w:id="1"/>
      </w:r>
      <w:r w:rsidRPr="00DB56ED">
        <w:rPr>
          <w:lang w:val="fr-FR"/>
        </w:rPr>
        <w:t xml:space="preserve"> La présentation comprend un rapport périodique sur la mise en œuvre de la deuxième tranche, le rapport de vérification sur la consommation de HCFC pour 2018 et le plan de mise en œuvre de la tranche de 2019 à 2021.</w:t>
      </w:r>
    </w:p>
    <w:p w:rsidR="0052476E" w:rsidRPr="00DB56ED" w:rsidRDefault="0052476E" w:rsidP="0052476E">
      <w:pPr>
        <w:rPr>
          <w:u w:val="single"/>
          <w:lang w:val="fr-FR"/>
        </w:rPr>
      </w:pPr>
      <w:r w:rsidRPr="00DB56ED">
        <w:rPr>
          <w:u w:val="single"/>
          <w:lang w:val="fr-FR"/>
        </w:rPr>
        <w:t>Rapport sur la consommation de HCFC</w:t>
      </w:r>
    </w:p>
    <w:p w:rsidR="0052476E" w:rsidRPr="00DB56ED" w:rsidRDefault="0052476E" w:rsidP="0052476E">
      <w:pPr>
        <w:rPr>
          <w:lang w:val="fr-FR"/>
        </w:rPr>
      </w:pPr>
    </w:p>
    <w:p w:rsidR="0052476E" w:rsidRPr="00DB56ED" w:rsidRDefault="0052476E" w:rsidP="0052476E">
      <w:pPr>
        <w:pStyle w:val="Heading1"/>
        <w:rPr>
          <w:lang w:val="fr-FR"/>
        </w:rPr>
      </w:pPr>
      <w:r w:rsidRPr="00DB56ED">
        <w:rPr>
          <w:lang w:val="fr-FR"/>
        </w:rPr>
        <w:t xml:space="preserve">Le gouvernement de la Colombie a déclaré une consommation de 78,15 tonnes PAO de HCFC en 2018, ce qui est inférieur de 65 pour cent à la valeur de référence en ce qui a trait à la conformité, plus 1,36 tonnes PAO de HCFC-141b dans des polyols </w:t>
      </w:r>
      <w:proofErr w:type="spellStart"/>
      <w:r w:rsidRPr="00DB56ED">
        <w:rPr>
          <w:lang w:val="fr-FR"/>
        </w:rPr>
        <w:t>prémélangés</w:t>
      </w:r>
      <w:proofErr w:type="spellEnd"/>
      <w:r w:rsidRPr="00DB56ED">
        <w:rPr>
          <w:lang w:val="fr-FR"/>
        </w:rPr>
        <w:t xml:space="preserve"> importés. La consommation de HCFC de 2014 à 2018 est indiquée au Tableau 1. </w:t>
      </w:r>
    </w:p>
    <w:p w:rsidR="0052476E" w:rsidRPr="00DB56ED" w:rsidRDefault="0052476E" w:rsidP="0052476E">
      <w:pPr>
        <w:rPr>
          <w:b/>
          <w:lang w:val="fr-FR"/>
        </w:rPr>
      </w:pPr>
      <w:r w:rsidRPr="00DB56ED">
        <w:rPr>
          <w:b/>
          <w:lang w:val="fr-FR"/>
        </w:rPr>
        <w:t>Tableau 1. Consommation de HCFC en Colombie (2014-2018 – données de l’Article 7)</w:t>
      </w:r>
    </w:p>
    <w:tbl>
      <w:tblPr>
        <w:tblW w:w="5003" w:type="pct"/>
        <w:tblLayout w:type="fixed"/>
        <w:tblLook w:val="04A0" w:firstRow="1" w:lastRow="0" w:firstColumn="1" w:lastColumn="0" w:noHBand="0" w:noVBand="1"/>
      </w:tblPr>
      <w:tblGrid>
        <w:gridCol w:w="2695"/>
        <w:gridCol w:w="1110"/>
        <w:gridCol w:w="1110"/>
        <w:gridCol w:w="1110"/>
        <w:gridCol w:w="1110"/>
        <w:gridCol w:w="1110"/>
        <w:gridCol w:w="1111"/>
      </w:tblGrid>
      <w:tr w:rsidR="0052476E" w:rsidRPr="00DB56ED" w:rsidTr="009D7CDB">
        <w:trPr>
          <w:tblHeader/>
        </w:trPr>
        <w:tc>
          <w:tcPr>
            <w:tcW w:w="144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rPr>
                <w:b/>
                <w:sz w:val="20"/>
                <w:szCs w:val="20"/>
                <w:lang w:val="fr-FR"/>
              </w:rPr>
            </w:pPr>
            <w:r w:rsidRPr="00DB56ED">
              <w:rPr>
                <w:b/>
                <w:sz w:val="20"/>
                <w:szCs w:val="20"/>
                <w:lang w:val="fr-FR"/>
              </w:rPr>
              <w:t>HCFC</w:t>
            </w:r>
          </w:p>
        </w:tc>
        <w:tc>
          <w:tcPr>
            <w:tcW w:w="593" w:type="pct"/>
            <w:tcBorders>
              <w:top w:val="single" w:sz="4" w:space="0" w:color="auto"/>
              <w:left w:val="single" w:sz="4" w:space="0" w:color="auto"/>
              <w:bottom w:val="single" w:sz="4" w:space="0" w:color="auto"/>
              <w:right w:val="single" w:sz="4" w:space="0" w:color="auto"/>
            </w:tcBorders>
            <w:vAlign w:val="center"/>
          </w:tcPr>
          <w:p w:rsidR="0052476E" w:rsidRPr="00DB56ED" w:rsidRDefault="0052476E" w:rsidP="009D7CDB">
            <w:pPr>
              <w:widowControl w:val="0"/>
              <w:jc w:val="center"/>
              <w:rPr>
                <w:b/>
                <w:bCs/>
                <w:color w:val="000000"/>
                <w:sz w:val="20"/>
                <w:szCs w:val="20"/>
                <w:lang w:val="fr-FR"/>
              </w:rPr>
            </w:pPr>
            <w:r w:rsidRPr="00DB56ED">
              <w:rPr>
                <w:b/>
                <w:bCs/>
                <w:color w:val="000000"/>
                <w:sz w:val="20"/>
                <w:szCs w:val="20"/>
                <w:lang w:val="fr-FR"/>
              </w:rPr>
              <w:t>2014</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52476E" w:rsidRPr="00DB56ED" w:rsidRDefault="0052476E" w:rsidP="009D7CDB">
            <w:pPr>
              <w:widowControl w:val="0"/>
              <w:jc w:val="center"/>
              <w:rPr>
                <w:b/>
                <w:bCs/>
                <w:color w:val="000000"/>
                <w:sz w:val="20"/>
                <w:szCs w:val="20"/>
                <w:lang w:val="fr-FR"/>
              </w:rPr>
            </w:pPr>
            <w:r w:rsidRPr="00DB56ED">
              <w:rPr>
                <w:b/>
                <w:bCs/>
                <w:color w:val="000000"/>
                <w:sz w:val="20"/>
                <w:szCs w:val="20"/>
                <w:lang w:val="fr-FR"/>
              </w:rPr>
              <w:t>2015</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52476E" w:rsidRPr="00DB56ED" w:rsidRDefault="0052476E" w:rsidP="009D7CDB">
            <w:pPr>
              <w:widowControl w:val="0"/>
              <w:jc w:val="center"/>
              <w:rPr>
                <w:b/>
                <w:bCs/>
                <w:color w:val="000000"/>
                <w:sz w:val="20"/>
                <w:szCs w:val="20"/>
                <w:lang w:val="fr-FR"/>
              </w:rPr>
            </w:pPr>
            <w:r w:rsidRPr="00DB56ED">
              <w:rPr>
                <w:b/>
                <w:bCs/>
                <w:color w:val="000000"/>
                <w:sz w:val="20"/>
                <w:szCs w:val="20"/>
                <w:lang w:val="fr-FR"/>
              </w:rPr>
              <w:t>2016</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52476E" w:rsidRPr="00DB56ED" w:rsidRDefault="0052476E" w:rsidP="009D7CDB">
            <w:pPr>
              <w:widowControl w:val="0"/>
              <w:jc w:val="center"/>
              <w:rPr>
                <w:b/>
                <w:bCs/>
                <w:color w:val="000000"/>
                <w:sz w:val="20"/>
                <w:szCs w:val="20"/>
                <w:lang w:val="fr-FR"/>
              </w:rPr>
            </w:pPr>
            <w:r w:rsidRPr="00DB56ED">
              <w:rPr>
                <w:b/>
                <w:bCs/>
                <w:color w:val="000000"/>
                <w:sz w:val="20"/>
                <w:szCs w:val="20"/>
                <w:lang w:val="fr-FR"/>
              </w:rPr>
              <w:t>2017</w:t>
            </w:r>
          </w:p>
        </w:tc>
        <w:tc>
          <w:tcPr>
            <w:tcW w:w="593" w:type="pct"/>
            <w:tcBorders>
              <w:top w:val="single" w:sz="4" w:space="0" w:color="auto"/>
              <w:left w:val="single" w:sz="4" w:space="0" w:color="auto"/>
              <w:bottom w:val="single" w:sz="4" w:space="0" w:color="auto"/>
              <w:right w:val="single" w:sz="4" w:space="0" w:color="auto"/>
            </w:tcBorders>
            <w:vAlign w:val="center"/>
          </w:tcPr>
          <w:p w:rsidR="0052476E" w:rsidRPr="00DB56ED" w:rsidRDefault="0052476E" w:rsidP="009D7CDB">
            <w:pPr>
              <w:widowControl w:val="0"/>
              <w:jc w:val="center"/>
              <w:rPr>
                <w:b/>
                <w:bCs/>
                <w:color w:val="000000"/>
                <w:sz w:val="20"/>
                <w:szCs w:val="20"/>
                <w:lang w:val="fr-FR"/>
              </w:rPr>
            </w:pPr>
            <w:r w:rsidRPr="00DB56ED">
              <w:rPr>
                <w:b/>
                <w:bCs/>
                <w:color w:val="000000"/>
                <w:sz w:val="20"/>
                <w:szCs w:val="20"/>
                <w:lang w:val="fr-FR"/>
              </w:rPr>
              <w:t>2018</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76E" w:rsidRPr="00DB56ED" w:rsidRDefault="0052476E" w:rsidP="009D7CDB">
            <w:pPr>
              <w:widowControl w:val="0"/>
              <w:jc w:val="center"/>
              <w:rPr>
                <w:b/>
                <w:bCs/>
                <w:color w:val="000000"/>
                <w:sz w:val="20"/>
                <w:szCs w:val="20"/>
                <w:lang w:val="fr-FR"/>
              </w:rPr>
            </w:pPr>
            <w:r w:rsidRPr="00DB56ED">
              <w:rPr>
                <w:b/>
                <w:bCs/>
                <w:color w:val="000000"/>
                <w:sz w:val="20"/>
                <w:szCs w:val="20"/>
                <w:lang w:val="fr-FR"/>
              </w:rPr>
              <w:t>Référence</w:t>
            </w: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rPr>
                <w:b/>
                <w:sz w:val="20"/>
                <w:szCs w:val="20"/>
                <w:lang w:val="fr-FR"/>
              </w:rPr>
            </w:pPr>
            <w:r w:rsidRPr="00DB56ED">
              <w:rPr>
                <w:b/>
                <w:sz w:val="20"/>
                <w:szCs w:val="20"/>
                <w:lang w:val="fr-FR"/>
              </w:rPr>
              <w:t>Tonnes métriques</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widowControl w:val="0"/>
              <w:jc w:val="center"/>
              <w:rPr>
                <w:b/>
                <w:bCs/>
                <w:color w:val="000000"/>
                <w:sz w:val="20"/>
                <w:szCs w:val="20"/>
                <w:lang w:val="fr-FR"/>
              </w:rPr>
            </w:pPr>
          </w:p>
        </w:tc>
        <w:tc>
          <w:tcPr>
            <w:tcW w:w="593" w:type="pct"/>
            <w:tcBorders>
              <w:top w:val="nil"/>
              <w:left w:val="nil"/>
              <w:bottom w:val="single" w:sz="4" w:space="0" w:color="auto"/>
              <w:right w:val="single" w:sz="4" w:space="0" w:color="auto"/>
            </w:tcBorders>
            <w:shd w:val="clear" w:color="auto" w:fill="auto"/>
            <w:noWrap/>
            <w:vAlign w:val="center"/>
          </w:tcPr>
          <w:p w:rsidR="0052476E" w:rsidRPr="00DB56ED" w:rsidRDefault="0052476E" w:rsidP="009D7CDB">
            <w:pPr>
              <w:widowControl w:val="0"/>
              <w:jc w:val="center"/>
              <w:rPr>
                <w:b/>
                <w:bCs/>
                <w:color w:val="000000"/>
                <w:sz w:val="20"/>
                <w:szCs w:val="20"/>
                <w:lang w:val="fr-FR"/>
              </w:rPr>
            </w:pPr>
          </w:p>
        </w:tc>
        <w:tc>
          <w:tcPr>
            <w:tcW w:w="593" w:type="pct"/>
            <w:tcBorders>
              <w:top w:val="nil"/>
              <w:left w:val="nil"/>
              <w:bottom w:val="single" w:sz="4" w:space="0" w:color="auto"/>
              <w:right w:val="single" w:sz="4" w:space="0" w:color="auto"/>
            </w:tcBorders>
            <w:shd w:val="clear" w:color="auto" w:fill="auto"/>
            <w:noWrap/>
            <w:vAlign w:val="center"/>
          </w:tcPr>
          <w:p w:rsidR="0052476E" w:rsidRPr="00DB56ED" w:rsidRDefault="0052476E" w:rsidP="009D7CDB">
            <w:pPr>
              <w:widowControl w:val="0"/>
              <w:jc w:val="center"/>
              <w:rPr>
                <w:b/>
                <w:bCs/>
                <w:color w:val="000000"/>
                <w:sz w:val="20"/>
                <w:szCs w:val="20"/>
                <w:lang w:val="fr-FR"/>
              </w:rPr>
            </w:pPr>
          </w:p>
        </w:tc>
        <w:tc>
          <w:tcPr>
            <w:tcW w:w="593" w:type="pct"/>
            <w:tcBorders>
              <w:top w:val="nil"/>
              <w:left w:val="nil"/>
              <w:bottom w:val="single" w:sz="4" w:space="0" w:color="auto"/>
              <w:right w:val="single" w:sz="4" w:space="0" w:color="auto"/>
            </w:tcBorders>
            <w:shd w:val="clear" w:color="auto" w:fill="auto"/>
            <w:noWrap/>
            <w:vAlign w:val="center"/>
          </w:tcPr>
          <w:p w:rsidR="0052476E" w:rsidRPr="00DB56ED" w:rsidRDefault="0052476E" w:rsidP="009D7CDB">
            <w:pPr>
              <w:widowControl w:val="0"/>
              <w:jc w:val="center"/>
              <w:rPr>
                <w:b/>
                <w:bCs/>
                <w:color w:val="000000"/>
                <w:sz w:val="20"/>
                <w:szCs w:val="20"/>
                <w:lang w:val="fr-FR"/>
              </w:rPr>
            </w:pPr>
          </w:p>
        </w:tc>
        <w:tc>
          <w:tcPr>
            <w:tcW w:w="593" w:type="pct"/>
            <w:tcBorders>
              <w:top w:val="nil"/>
              <w:left w:val="single" w:sz="4" w:space="0" w:color="auto"/>
              <w:bottom w:val="single" w:sz="4" w:space="0" w:color="auto"/>
              <w:right w:val="single" w:sz="4" w:space="0" w:color="auto"/>
            </w:tcBorders>
          </w:tcPr>
          <w:p w:rsidR="0052476E" w:rsidRPr="00DB56ED" w:rsidRDefault="0052476E" w:rsidP="009D7CDB">
            <w:pPr>
              <w:widowControl w:val="0"/>
              <w:jc w:val="center"/>
              <w:rPr>
                <w:b/>
                <w:bCs/>
                <w:color w:val="000000"/>
                <w:sz w:val="20"/>
                <w:szCs w:val="20"/>
                <w:lang w:val="fr-FR"/>
              </w:rPr>
            </w:pP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52476E" w:rsidRPr="00DB56ED" w:rsidRDefault="0052476E" w:rsidP="009D7CDB">
            <w:pPr>
              <w:widowControl w:val="0"/>
              <w:jc w:val="center"/>
              <w:rPr>
                <w:b/>
                <w:bCs/>
                <w:color w:val="000000"/>
                <w:sz w:val="20"/>
                <w:szCs w:val="20"/>
                <w:lang w:val="fr-FR"/>
              </w:rPr>
            </w:pP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rPr>
                <w:sz w:val="20"/>
                <w:szCs w:val="20"/>
                <w:lang w:val="fr-FR"/>
              </w:rPr>
            </w:pPr>
            <w:r w:rsidRPr="00DB56ED">
              <w:rPr>
                <w:sz w:val="20"/>
                <w:szCs w:val="20"/>
                <w:lang w:val="fr-FR"/>
              </w:rPr>
              <w:t>HCFC</w:t>
            </w:r>
            <w:r w:rsidRPr="00DB56ED">
              <w:rPr>
                <w:sz w:val="20"/>
                <w:szCs w:val="20"/>
                <w:lang w:val="fr-FR"/>
              </w:rPr>
              <w:noBreakHyphen/>
              <w:t>22</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sz w:val="20"/>
                <w:szCs w:val="20"/>
                <w:lang w:val="fr-FR"/>
              </w:rPr>
            </w:pPr>
            <w:r w:rsidRPr="00DB56ED">
              <w:rPr>
                <w:color w:val="000000"/>
                <w:sz w:val="20"/>
                <w:szCs w:val="20"/>
                <w:lang w:val="fr-FR"/>
              </w:rPr>
              <w:t>1 226,16</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1 081,54</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947,44</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color w:val="000000"/>
                <w:sz w:val="20"/>
                <w:szCs w:val="20"/>
                <w:lang w:val="fr-FR"/>
              </w:rPr>
              <w:t>806,21</w:t>
            </w:r>
          </w:p>
        </w:tc>
        <w:tc>
          <w:tcPr>
            <w:tcW w:w="593" w:type="pct"/>
            <w:tcBorders>
              <w:top w:val="nil"/>
              <w:left w:val="single" w:sz="4" w:space="0" w:color="auto"/>
              <w:bottom w:val="single" w:sz="4" w:space="0" w:color="auto"/>
              <w:right w:val="single" w:sz="4" w:space="0" w:color="auto"/>
            </w:tcBorders>
          </w:tcPr>
          <w:p w:rsidR="0052476E" w:rsidRPr="00DB56ED" w:rsidRDefault="0052476E" w:rsidP="009D7CDB">
            <w:pPr>
              <w:jc w:val="right"/>
              <w:rPr>
                <w:sz w:val="20"/>
                <w:szCs w:val="20"/>
                <w:lang w:val="fr-FR"/>
              </w:rPr>
            </w:pPr>
            <w:r w:rsidRPr="00DB56ED">
              <w:rPr>
                <w:sz w:val="20"/>
                <w:szCs w:val="20"/>
                <w:lang w:val="fr-FR"/>
              </w:rPr>
              <w:t>769,29</w:t>
            </w:r>
          </w:p>
        </w:tc>
        <w:tc>
          <w:tcPr>
            <w:tcW w:w="59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r w:rsidRPr="00DB56ED">
              <w:rPr>
                <w:color w:val="000000"/>
                <w:sz w:val="20"/>
                <w:szCs w:val="20"/>
                <w:lang w:val="fr-FR"/>
              </w:rPr>
              <w:t>1 292,6</w:t>
            </w: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rPr>
                <w:sz w:val="20"/>
                <w:szCs w:val="20"/>
                <w:lang w:val="fr-FR"/>
              </w:rPr>
            </w:pPr>
            <w:r w:rsidRPr="00DB56ED">
              <w:rPr>
                <w:sz w:val="20"/>
                <w:szCs w:val="20"/>
                <w:lang w:val="fr-FR"/>
              </w:rPr>
              <w:t>HCFC</w:t>
            </w:r>
            <w:r w:rsidRPr="00DB56ED">
              <w:rPr>
                <w:sz w:val="20"/>
                <w:szCs w:val="20"/>
                <w:lang w:val="fr-FR"/>
              </w:rPr>
              <w:noBreakHyphen/>
              <w:t>123</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sz w:val="20"/>
                <w:szCs w:val="20"/>
                <w:lang w:val="fr-FR"/>
              </w:rPr>
            </w:pPr>
            <w:r w:rsidRPr="00DB56ED">
              <w:rPr>
                <w:color w:val="000000"/>
                <w:sz w:val="20"/>
                <w:szCs w:val="20"/>
                <w:lang w:val="fr-FR"/>
              </w:rPr>
              <w:t>103,58</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93,91</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78,81</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color w:val="000000"/>
                <w:sz w:val="20"/>
                <w:szCs w:val="20"/>
                <w:lang w:val="fr-FR"/>
              </w:rPr>
              <w:t>8,31</w:t>
            </w:r>
          </w:p>
        </w:tc>
        <w:tc>
          <w:tcPr>
            <w:tcW w:w="593" w:type="pct"/>
            <w:tcBorders>
              <w:top w:val="nil"/>
              <w:left w:val="single" w:sz="4" w:space="0" w:color="auto"/>
              <w:bottom w:val="single" w:sz="4" w:space="0" w:color="auto"/>
              <w:right w:val="single" w:sz="4" w:space="0" w:color="auto"/>
            </w:tcBorders>
          </w:tcPr>
          <w:p w:rsidR="0052476E" w:rsidRPr="00DB56ED" w:rsidRDefault="0052476E" w:rsidP="009D7CDB">
            <w:pPr>
              <w:jc w:val="right"/>
              <w:rPr>
                <w:sz w:val="20"/>
                <w:szCs w:val="20"/>
                <w:lang w:val="fr-FR"/>
              </w:rPr>
            </w:pPr>
            <w:r w:rsidRPr="00DB56ED">
              <w:rPr>
                <w:sz w:val="20"/>
                <w:szCs w:val="20"/>
                <w:lang w:val="fr-FR"/>
              </w:rPr>
              <w:t>32,50</w:t>
            </w:r>
          </w:p>
        </w:tc>
        <w:tc>
          <w:tcPr>
            <w:tcW w:w="59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r w:rsidRPr="00DB56ED">
              <w:rPr>
                <w:color w:val="000000"/>
                <w:sz w:val="20"/>
                <w:szCs w:val="20"/>
                <w:lang w:val="fr-FR"/>
              </w:rPr>
              <w:t>110,4</w:t>
            </w: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rPr>
                <w:sz w:val="20"/>
                <w:szCs w:val="20"/>
                <w:lang w:val="fr-FR"/>
              </w:rPr>
            </w:pPr>
            <w:r w:rsidRPr="00DB56ED">
              <w:rPr>
                <w:sz w:val="20"/>
                <w:szCs w:val="20"/>
                <w:lang w:val="fr-FR"/>
              </w:rPr>
              <w:t>HCFC</w:t>
            </w:r>
            <w:r w:rsidRPr="00DB56ED">
              <w:rPr>
                <w:sz w:val="20"/>
                <w:szCs w:val="20"/>
                <w:lang w:val="fr-FR"/>
              </w:rPr>
              <w:noBreakHyphen/>
              <w:t>124</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sz w:val="20"/>
                <w:szCs w:val="20"/>
                <w:lang w:val="fr-FR"/>
              </w:rPr>
            </w:pPr>
            <w:r w:rsidRPr="00DB56ED">
              <w:rPr>
                <w:color w:val="000000"/>
                <w:sz w:val="20"/>
                <w:szCs w:val="20"/>
                <w:lang w:val="fr-FR"/>
              </w:rPr>
              <w:t>0,70</w:t>
            </w:r>
          </w:p>
        </w:tc>
        <w:tc>
          <w:tcPr>
            <w:tcW w:w="593" w:type="pct"/>
            <w:tcBorders>
              <w:top w:val="nil"/>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sz w:val="20"/>
                <w:szCs w:val="20"/>
                <w:lang w:val="fr-FR"/>
              </w:rPr>
            </w:pPr>
            <w:r w:rsidRPr="00DB56ED">
              <w:rPr>
                <w:sz w:val="20"/>
                <w:szCs w:val="20"/>
                <w:lang w:val="fr-FR"/>
              </w:rPr>
              <w:t>0,40</w:t>
            </w:r>
          </w:p>
        </w:tc>
        <w:tc>
          <w:tcPr>
            <w:tcW w:w="593" w:type="pct"/>
            <w:tcBorders>
              <w:top w:val="nil"/>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sz w:val="20"/>
                <w:szCs w:val="20"/>
                <w:lang w:val="fr-FR"/>
              </w:rPr>
            </w:pPr>
            <w:r w:rsidRPr="00DB56ED">
              <w:rPr>
                <w:sz w:val="20"/>
                <w:szCs w:val="20"/>
                <w:lang w:val="fr-FR"/>
              </w:rPr>
              <w:t>0,00</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52476E" w:rsidRPr="00DB56ED" w:rsidRDefault="0052476E" w:rsidP="009D7CDB">
            <w:pPr>
              <w:jc w:val="right"/>
              <w:rPr>
                <w:lang w:val="fr-FR"/>
              </w:rPr>
            </w:pPr>
            <w:r w:rsidRPr="00DB56ED">
              <w:rPr>
                <w:sz w:val="20"/>
                <w:szCs w:val="20"/>
                <w:lang w:val="fr-FR"/>
              </w:rPr>
              <w:t>0,00</w:t>
            </w:r>
          </w:p>
        </w:tc>
        <w:tc>
          <w:tcPr>
            <w:tcW w:w="593" w:type="pct"/>
            <w:tcBorders>
              <w:top w:val="nil"/>
              <w:left w:val="single" w:sz="4" w:space="0" w:color="auto"/>
              <w:bottom w:val="single" w:sz="4" w:space="0" w:color="auto"/>
              <w:right w:val="single" w:sz="4" w:space="0" w:color="auto"/>
            </w:tcBorders>
            <w:vAlign w:val="center"/>
          </w:tcPr>
          <w:p w:rsidR="0052476E" w:rsidRPr="00DB56ED" w:rsidRDefault="0052476E" w:rsidP="009D7CDB">
            <w:pPr>
              <w:jc w:val="right"/>
              <w:rPr>
                <w:lang w:val="fr-FR"/>
              </w:rPr>
            </w:pPr>
            <w:r w:rsidRPr="00DB56ED">
              <w:rPr>
                <w:sz w:val="20"/>
                <w:szCs w:val="20"/>
                <w:lang w:val="fr-FR"/>
              </w:rPr>
              <w:t>0,00</w:t>
            </w:r>
          </w:p>
        </w:tc>
        <w:tc>
          <w:tcPr>
            <w:tcW w:w="59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r w:rsidRPr="00DB56ED">
              <w:rPr>
                <w:color w:val="000000"/>
                <w:sz w:val="20"/>
                <w:szCs w:val="20"/>
                <w:lang w:val="fr-FR"/>
              </w:rPr>
              <w:t>1,8</w:t>
            </w: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rPr>
                <w:sz w:val="20"/>
                <w:szCs w:val="20"/>
                <w:lang w:val="fr-FR"/>
              </w:rPr>
            </w:pPr>
            <w:r w:rsidRPr="00DB56ED">
              <w:rPr>
                <w:sz w:val="20"/>
                <w:szCs w:val="20"/>
                <w:lang w:val="fr-FR"/>
              </w:rPr>
              <w:t>HCFC</w:t>
            </w:r>
            <w:r w:rsidRPr="00DB56ED">
              <w:rPr>
                <w:sz w:val="20"/>
                <w:szCs w:val="20"/>
                <w:lang w:val="fr-FR"/>
              </w:rPr>
              <w:noBreakHyphen/>
              <w:t>141b</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sz w:val="20"/>
                <w:szCs w:val="20"/>
                <w:lang w:val="fr-FR"/>
              </w:rPr>
            </w:pPr>
            <w:r w:rsidRPr="00DB56ED">
              <w:rPr>
                <w:color w:val="000000"/>
                <w:sz w:val="20"/>
                <w:szCs w:val="20"/>
                <w:lang w:val="fr-FR"/>
              </w:rPr>
              <w:t>783,83</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938,40</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753,26</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color w:val="000000"/>
                <w:sz w:val="20"/>
                <w:szCs w:val="20"/>
                <w:lang w:val="fr-FR"/>
              </w:rPr>
              <w:t>944,75</w:t>
            </w:r>
          </w:p>
        </w:tc>
        <w:tc>
          <w:tcPr>
            <w:tcW w:w="593" w:type="pct"/>
            <w:tcBorders>
              <w:top w:val="nil"/>
              <w:left w:val="single" w:sz="4" w:space="0" w:color="auto"/>
              <w:bottom w:val="single" w:sz="4" w:space="0" w:color="auto"/>
              <w:right w:val="single" w:sz="4" w:space="0" w:color="auto"/>
            </w:tcBorders>
          </w:tcPr>
          <w:p w:rsidR="0052476E" w:rsidRPr="00DB56ED" w:rsidRDefault="0052476E" w:rsidP="009D7CDB">
            <w:pPr>
              <w:jc w:val="right"/>
              <w:rPr>
                <w:sz w:val="20"/>
                <w:szCs w:val="20"/>
                <w:lang w:val="fr-FR"/>
              </w:rPr>
            </w:pPr>
            <w:r w:rsidRPr="00DB56ED">
              <w:rPr>
                <w:sz w:val="20"/>
                <w:szCs w:val="20"/>
                <w:lang w:val="fr-FR"/>
              </w:rPr>
              <w:t>319,91</w:t>
            </w:r>
          </w:p>
        </w:tc>
        <w:tc>
          <w:tcPr>
            <w:tcW w:w="59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r w:rsidRPr="00DB56ED">
              <w:rPr>
                <w:color w:val="000000"/>
                <w:sz w:val="20"/>
                <w:szCs w:val="20"/>
                <w:lang w:val="fr-FR"/>
              </w:rPr>
              <w:t>1 379,5</w:t>
            </w: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rPr>
                <w:sz w:val="20"/>
                <w:szCs w:val="20"/>
                <w:lang w:val="fr-FR"/>
              </w:rPr>
            </w:pPr>
            <w:r w:rsidRPr="00DB56ED">
              <w:rPr>
                <w:sz w:val="20"/>
                <w:szCs w:val="20"/>
                <w:lang w:val="fr-FR"/>
              </w:rPr>
              <w:t>HCFC</w:t>
            </w:r>
            <w:r w:rsidRPr="00DB56ED">
              <w:rPr>
                <w:sz w:val="20"/>
                <w:szCs w:val="20"/>
                <w:lang w:val="fr-FR"/>
              </w:rPr>
              <w:noBreakHyphen/>
              <w:t>142b</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sz w:val="20"/>
                <w:szCs w:val="20"/>
                <w:lang w:val="fr-FR"/>
              </w:rPr>
            </w:pPr>
            <w:r w:rsidRPr="00DB56ED">
              <w:rPr>
                <w:color w:val="000000"/>
                <w:sz w:val="20"/>
                <w:szCs w:val="20"/>
                <w:lang w:val="fr-FR"/>
              </w:rPr>
              <w:t>4,35</w:t>
            </w:r>
          </w:p>
        </w:tc>
        <w:tc>
          <w:tcPr>
            <w:tcW w:w="593" w:type="pct"/>
            <w:tcBorders>
              <w:top w:val="nil"/>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sz w:val="20"/>
                <w:szCs w:val="20"/>
                <w:lang w:val="fr-FR"/>
              </w:rPr>
            </w:pPr>
            <w:r w:rsidRPr="00DB56ED">
              <w:rPr>
                <w:sz w:val="20"/>
                <w:szCs w:val="20"/>
                <w:lang w:val="fr-FR"/>
              </w:rPr>
              <w:t>0,10</w:t>
            </w:r>
          </w:p>
        </w:tc>
        <w:tc>
          <w:tcPr>
            <w:tcW w:w="593" w:type="pct"/>
            <w:tcBorders>
              <w:top w:val="nil"/>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sz w:val="20"/>
                <w:szCs w:val="20"/>
                <w:lang w:val="fr-FR"/>
              </w:rPr>
            </w:pPr>
            <w:r w:rsidRPr="00DB56ED">
              <w:rPr>
                <w:sz w:val="20"/>
                <w:szCs w:val="20"/>
                <w:lang w:val="fr-FR"/>
              </w:rPr>
              <w:t>0</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color w:val="000000"/>
                <w:sz w:val="20"/>
                <w:szCs w:val="20"/>
                <w:lang w:val="fr-FR"/>
              </w:rPr>
              <w:t>1,25</w:t>
            </w:r>
          </w:p>
        </w:tc>
        <w:tc>
          <w:tcPr>
            <w:tcW w:w="593" w:type="pct"/>
            <w:tcBorders>
              <w:top w:val="nil"/>
              <w:left w:val="single" w:sz="4" w:space="0" w:color="auto"/>
              <w:bottom w:val="single" w:sz="4" w:space="0" w:color="auto"/>
              <w:right w:val="single" w:sz="4" w:space="0" w:color="auto"/>
            </w:tcBorders>
          </w:tcPr>
          <w:p w:rsidR="0052476E" w:rsidRPr="00DB56ED" w:rsidRDefault="0052476E" w:rsidP="009D7CDB">
            <w:pPr>
              <w:jc w:val="right"/>
              <w:rPr>
                <w:sz w:val="20"/>
                <w:szCs w:val="20"/>
                <w:lang w:val="fr-FR"/>
              </w:rPr>
            </w:pPr>
            <w:r w:rsidRPr="00DB56ED">
              <w:rPr>
                <w:sz w:val="20"/>
                <w:szCs w:val="20"/>
                <w:lang w:val="fr-FR"/>
              </w:rPr>
              <w:t>0</w:t>
            </w:r>
          </w:p>
        </w:tc>
        <w:tc>
          <w:tcPr>
            <w:tcW w:w="59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r w:rsidRPr="00DB56ED">
              <w:rPr>
                <w:color w:val="000000"/>
                <w:sz w:val="20"/>
                <w:szCs w:val="20"/>
                <w:lang w:val="fr-FR"/>
              </w:rPr>
              <w:t>7,5</w:t>
            </w: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52476E" w:rsidRPr="00DB56ED" w:rsidRDefault="0052476E" w:rsidP="009D7CDB">
            <w:pPr>
              <w:rPr>
                <w:rFonts w:eastAsiaTheme="minorHAnsi"/>
                <w:b/>
                <w:sz w:val="20"/>
                <w:szCs w:val="20"/>
                <w:lang w:val="fr-FR"/>
              </w:rPr>
            </w:pPr>
            <w:r w:rsidRPr="00DB56ED">
              <w:rPr>
                <w:b/>
                <w:sz w:val="20"/>
                <w:szCs w:val="20"/>
                <w:lang w:val="fr-FR"/>
              </w:rPr>
              <w:t>Total (</w:t>
            </w:r>
            <w:proofErr w:type="spellStart"/>
            <w:r w:rsidRPr="00DB56ED">
              <w:rPr>
                <w:b/>
                <w:sz w:val="20"/>
                <w:szCs w:val="20"/>
                <w:lang w:val="fr-FR"/>
              </w:rPr>
              <w:t>tm</w:t>
            </w:r>
            <w:proofErr w:type="spellEnd"/>
            <w:r w:rsidRPr="00DB56ED">
              <w:rPr>
                <w:b/>
                <w:sz w:val="20"/>
                <w:szCs w:val="20"/>
                <w:lang w:val="fr-FR"/>
              </w:rPr>
              <w:t>)</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b/>
                <w:color w:val="000000"/>
                <w:sz w:val="20"/>
                <w:szCs w:val="20"/>
                <w:lang w:val="fr-FR"/>
              </w:rPr>
            </w:pPr>
            <w:r w:rsidRPr="00DB56ED">
              <w:rPr>
                <w:b/>
                <w:color w:val="000000"/>
                <w:sz w:val="20"/>
                <w:szCs w:val="20"/>
                <w:lang w:val="fr-FR"/>
              </w:rPr>
              <w:t>2 118,62</w:t>
            </w:r>
          </w:p>
        </w:tc>
        <w:tc>
          <w:tcPr>
            <w:tcW w:w="593" w:type="pct"/>
            <w:tcBorders>
              <w:top w:val="nil"/>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b/>
                <w:color w:val="000000"/>
                <w:sz w:val="20"/>
                <w:szCs w:val="20"/>
                <w:lang w:val="fr-FR"/>
              </w:rPr>
            </w:pPr>
            <w:r w:rsidRPr="00DB56ED">
              <w:rPr>
                <w:b/>
                <w:color w:val="000000"/>
                <w:sz w:val="20"/>
                <w:szCs w:val="20"/>
                <w:lang w:val="fr-FR"/>
              </w:rPr>
              <w:fldChar w:fldCharType="begin"/>
            </w:r>
            <w:r w:rsidRPr="00DB56ED">
              <w:rPr>
                <w:b/>
                <w:color w:val="000000"/>
                <w:sz w:val="20"/>
                <w:szCs w:val="20"/>
                <w:lang w:val="fr-FR"/>
              </w:rPr>
              <w:instrText xml:space="preserve"> =SUM(ABOVE) </w:instrText>
            </w:r>
            <w:r w:rsidRPr="00DB56ED">
              <w:rPr>
                <w:b/>
                <w:color w:val="000000"/>
                <w:sz w:val="20"/>
                <w:szCs w:val="20"/>
                <w:lang w:val="fr-FR"/>
              </w:rPr>
              <w:fldChar w:fldCharType="separate"/>
            </w:r>
            <w:r w:rsidRPr="00DB56ED">
              <w:rPr>
                <w:b/>
                <w:color w:val="000000"/>
                <w:sz w:val="20"/>
                <w:szCs w:val="20"/>
                <w:lang w:val="fr-FR"/>
              </w:rPr>
              <w:t>2,114.35</w:t>
            </w:r>
            <w:r w:rsidRPr="00DB56ED">
              <w:rPr>
                <w:b/>
                <w:color w:val="000000"/>
                <w:sz w:val="20"/>
                <w:szCs w:val="20"/>
                <w:lang w:val="fr-FR"/>
              </w:rPr>
              <w:fldChar w:fldCharType="end"/>
            </w:r>
          </w:p>
        </w:tc>
        <w:tc>
          <w:tcPr>
            <w:tcW w:w="593" w:type="pct"/>
            <w:tcBorders>
              <w:top w:val="nil"/>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b/>
                <w:color w:val="000000"/>
                <w:sz w:val="20"/>
                <w:szCs w:val="20"/>
                <w:lang w:val="fr-FR"/>
              </w:rPr>
            </w:pPr>
            <w:r w:rsidRPr="00DB56ED">
              <w:rPr>
                <w:b/>
                <w:bCs/>
                <w:color w:val="000000"/>
                <w:sz w:val="20"/>
                <w:szCs w:val="20"/>
                <w:lang w:val="fr-FR"/>
              </w:rPr>
              <w:t>1 779,51</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b/>
                <w:color w:val="000000"/>
                <w:sz w:val="20"/>
                <w:szCs w:val="20"/>
                <w:lang w:val="fr-FR"/>
              </w:rPr>
            </w:pPr>
            <w:r w:rsidRPr="00DB56ED">
              <w:rPr>
                <w:b/>
                <w:color w:val="000000"/>
                <w:sz w:val="20"/>
                <w:szCs w:val="20"/>
                <w:lang w:val="fr-FR"/>
              </w:rPr>
              <w:t>1 760,52</w:t>
            </w:r>
          </w:p>
        </w:tc>
        <w:tc>
          <w:tcPr>
            <w:tcW w:w="593" w:type="pct"/>
            <w:tcBorders>
              <w:top w:val="nil"/>
              <w:left w:val="single" w:sz="4" w:space="0" w:color="auto"/>
              <w:bottom w:val="single" w:sz="4" w:space="0" w:color="auto"/>
              <w:right w:val="single" w:sz="4" w:space="0" w:color="auto"/>
            </w:tcBorders>
          </w:tcPr>
          <w:p w:rsidR="0052476E" w:rsidRPr="00DB56ED" w:rsidRDefault="0052476E" w:rsidP="009D7CDB">
            <w:pPr>
              <w:jc w:val="right"/>
              <w:rPr>
                <w:b/>
                <w:color w:val="000000"/>
                <w:sz w:val="20"/>
                <w:szCs w:val="20"/>
                <w:lang w:val="fr-FR"/>
              </w:rPr>
            </w:pPr>
            <w:r w:rsidRPr="00DB56ED">
              <w:rPr>
                <w:b/>
                <w:color w:val="000000"/>
                <w:sz w:val="20"/>
                <w:szCs w:val="20"/>
                <w:lang w:val="fr-FR"/>
              </w:rPr>
              <w:t>1 121,7</w:t>
            </w:r>
          </w:p>
        </w:tc>
        <w:tc>
          <w:tcPr>
            <w:tcW w:w="59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b/>
                <w:color w:val="000000"/>
                <w:sz w:val="20"/>
                <w:szCs w:val="20"/>
                <w:lang w:val="fr-FR"/>
              </w:rPr>
            </w:pPr>
            <w:r w:rsidRPr="00DB56ED">
              <w:rPr>
                <w:b/>
                <w:color w:val="000000"/>
                <w:sz w:val="20"/>
                <w:szCs w:val="20"/>
                <w:lang w:val="fr-FR"/>
              </w:rPr>
              <w:t>2 791,7</w:t>
            </w: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52476E" w:rsidRPr="00DB56ED" w:rsidRDefault="0052476E" w:rsidP="009D7CDB">
            <w:pPr>
              <w:jc w:val="left"/>
              <w:rPr>
                <w:sz w:val="20"/>
                <w:szCs w:val="20"/>
                <w:lang w:val="fr-FR"/>
              </w:rPr>
            </w:pPr>
            <w:r w:rsidRPr="00DB56ED">
              <w:rPr>
                <w:sz w:val="20"/>
                <w:szCs w:val="20"/>
                <w:lang w:val="fr-FR"/>
              </w:rPr>
              <w:t xml:space="preserve">HCFC-141b dans des polyols </w:t>
            </w:r>
            <w:proofErr w:type="spellStart"/>
            <w:r w:rsidRPr="00DB56ED">
              <w:rPr>
                <w:sz w:val="20"/>
                <w:szCs w:val="20"/>
                <w:lang w:val="fr-FR"/>
              </w:rPr>
              <w:t>prémélangés</w:t>
            </w:r>
            <w:proofErr w:type="spellEnd"/>
            <w:r w:rsidRPr="00DB56ED">
              <w:rPr>
                <w:sz w:val="20"/>
                <w:szCs w:val="20"/>
                <w:lang w:val="fr-FR"/>
              </w:rPr>
              <w:t xml:space="preserve"> importés*</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color w:val="000000"/>
                <w:sz w:val="20"/>
                <w:szCs w:val="20"/>
                <w:lang w:val="fr-FR"/>
              </w:rPr>
            </w:pPr>
            <w:r w:rsidRPr="00DB56ED">
              <w:rPr>
                <w:color w:val="000000"/>
                <w:sz w:val="20"/>
                <w:szCs w:val="20"/>
                <w:lang w:val="fr-FR"/>
              </w:rPr>
              <w:t>0,03</w:t>
            </w:r>
          </w:p>
        </w:tc>
        <w:tc>
          <w:tcPr>
            <w:tcW w:w="593" w:type="pct"/>
            <w:tcBorders>
              <w:top w:val="nil"/>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r w:rsidRPr="00DB56ED">
              <w:rPr>
                <w:color w:val="000000"/>
                <w:sz w:val="20"/>
                <w:szCs w:val="20"/>
                <w:lang w:val="fr-FR"/>
              </w:rPr>
              <w:t>6,30</w:t>
            </w:r>
          </w:p>
        </w:tc>
        <w:tc>
          <w:tcPr>
            <w:tcW w:w="593" w:type="pct"/>
            <w:tcBorders>
              <w:top w:val="nil"/>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bCs/>
                <w:color w:val="000000"/>
                <w:sz w:val="20"/>
                <w:szCs w:val="20"/>
                <w:lang w:val="fr-FR"/>
              </w:rPr>
            </w:pPr>
            <w:r w:rsidRPr="00DB56ED">
              <w:rPr>
                <w:bCs/>
                <w:color w:val="000000"/>
                <w:sz w:val="20"/>
                <w:szCs w:val="20"/>
                <w:lang w:val="fr-FR"/>
              </w:rPr>
              <w:t>7,94</w:t>
            </w:r>
          </w:p>
        </w:tc>
        <w:tc>
          <w:tcPr>
            <w:tcW w:w="593" w:type="pct"/>
            <w:tcBorders>
              <w:top w:val="nil"/>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r w:rsidRPr="00DB56ED">
              <w:rPr>
                <w:color w:val="000000"/>
                <w:sz w:val="20"/>
                <w:szCs w:val="20"/>
                <w:lang w:val="fr-FR"/>
              </w:rPr>
              <w:t>7,75</w:t>
            </w:r>
          </w:p>
        </w:tc>
        <w:tc>
          <w:tcPr>
            <w:tcW w:w="593" w:type="pct"/>
            <w:tcBorders>
              <w:top w:val="nil"/>
              <w:left w:val="single" w:sz="4" w:space="0" w:color="auto"/>
              <w:bottom w:val="single" w:sz="4" w:space="0" w:color="auto"/>
              <w:right w:val="single" w:sz="4" w:space="0" w:color="auto"/>
            </w:tcBorders>
          </w:tcPr>
          <w:p w:rsidR="0052476E" w:rsidRPr="00DB56ED" w:rsidRDefault="0052476E" w:rsidP="009D7CDB">
            <w:pPr>
              <w:jc w:val="right"/>
              <w:rPr>
                <w:color w:val="000000"/>
                <w:sz w:val="20"/>
                <w:szCs w:val="20"/>
                <w:lang w:val="fr-FR"/>
              </w:rPr>
            </w:pPr>
            <w:r w:rsidRPr="00DB56ED">
              <w:rPr>
                <w:color w:val="000000"/>
                <w:sz w:val="20"/>
                <w:szCs w:val="20"/>
                <w:lang w:val="fr-FR"/>
              </w:rPr>
              <w:t>12,37</w:t>
            </w:r>
          </w:p>
        </w:tc>
        <w:tc>
          <w:tcPr>
            <w:tcW w:w="59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proofErr w:type="spellStart"/>
            <w:r w:rsidRPr="00DB56ED">
              <w:rPr>
                <w:color w:val="000000"/>
                <w:sz w:val="20"/>
                <w:szCs w:val="20"/>
                <w:lang w:val="fr-FR"/>
              </w:rPr>
              <w:t>s.o</w:t>
            </w:r>
            <w:proofErr w:type="spellEnd"/>
            <w:r w:rsidRPr="00DB56ED">
              <w:rPr>
                <w:color w:val="000000"/>
                <w:sz w:val="20"/>
                <w:szCs w:val="20"/>
                <w:lang w:val="fr-FR"/>
              </w:rPr>
              <w:t>.</w:t>
            </w: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jc w:val="left"/>
              <w:rPr>
                <w:b/>
                <w:sz w:val="20"/>
                <w:szCs w:val="20"/>
                <w:lang w:val="fr-FR"/>
              </w:rPr>
            </w:pPr>
            <w:r w:rsidRPr="00DB56ED">
              <w:rPr>
                <w:b/>
                <w:sz w:val="20"/>
                <w:szCs w:val="20"/>
                <w:lang w:val="fr-FR"/>
              </w:rPr>
              <w:t>Tonnes PAO</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widowControl w:val="0"/>
              <w:jc w:val="right"/>
              <w:rPr>
                <w:color w:val="000000"/>
                <w:sz w:val="20"/>
                <w:szCs w:val="20"/>
                <w:lang w:val="fr-FR"/>
              </w:rPr>
            </w:pPr>
          </w:p>
        </w:tc>
        <w:tc>
          <w:tcPr>
            <w:tcW w:w="593" w:type="pct"/>
            <w:tcBorders>
              <w:top w:val="nil"/>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widowControl w:val="0"/>
              <w:jc w:val="right"/>
              <w:rPr>
                <w:color w:val="000000"/>
                <w:sz w:val="20"/>
                <w:szCs w:val="20"/>
                <w:lang w:val="fr-FR"/>
              </w:rPr>
            </w:pPr>
          </w:p>
        </w:tc>
        <w:tc>
          <w:tcPr>
            <w:tcW w:w="593" w:type="pct"/>
            <w:tcBorders>
              <w:top w:val="nil"/>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widowControl w:val="0"/>
              <w:jc w:val="right"/>
              <w:rPr>
                <w:color w:val="000000"/>
                <w:sz w:val="20"/>
                <w:szCs w:val="20"/>
                <w:lang w:val="fr-FR"/>
              </w:rPr>
            </w:pPr>
          </w:p>
        </w:tc>
        <w:tc>
          <w:tcPr>
            <w:tcW w:w="593" w:type="pct"/>
            <w:tcBorders>
              <w:top w:val="nil"/>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widowControl w:val="0"/>
              <w:jc w:val="right"/>
              <w:rPr>
                <w:color w:val="000000"/>
                <w:sz w:val="20"/>
                <w:szCs w:val="20"/>
                <w:lang w:val="fr-FR"/>
              </w:rPr>
            </w:pPr>
          </w:p>
        </w:tc>
        <w:tc>
          <w:tcPr>
            <w:tcW w:w="593" w:type="pct"/>
            <w:tcBorders>
              <w:top w:val="nil"/>
              <w:left w:val="single" w:sz="4" w:space="0" w:color="auto"/>
              <w:bottom w:val="single" w:sz="4" w:space="0" w:color="auto"/>
              <w:right w:val="single" w:sz="4" w:space="0" w:color="auto"/>
            </w:tcBorders>
          </w:tcPr>
          <w:p w:rsidR="0052476E" w:rsidRPr="00DB56ED" w:rsidRDefault="0052476E" w:rsidP="009D7CDB">
            <w:pPr>
              <w:widowControl w:val="0"/>
              <w:jc w:val="right"/>
              <w:rPr>
                <w:color w:val="000000"/>
                <w:sz w:val="20"/>
                <w:szCs w:val="20"/>
                <w:lang w:val="fr-FR"/>
              </w:rPr>
            </w:pPr>
          </w:p>
        </w:tc>
        <w:tc>
          <w:tcPr>
            <w:tcW w:w="594" w:type="pct"/>
            <w:tcBorders>
              <w:top w:val="nil"/>
              <w:left w:val="single" w:sz="4" w:space="0" w:color="auto"/>
              <w:bottom w:val="single" w:sz="4" w:space="0" w:color="auto"/>
              <w:right w:val="single" w:sz="4" w:space="0" w:color="auto"/>
            </w:tcBorders>
            <w:shd w:val="clear" w:color="auto" w:fill="auto"/>
            <w:noWrap/>
            <w:tcMar>
              <w:left w:w="115" w:type="dxa"/>
              <w:right w:w="216" w:type="dxa"/>
            </w:tcMar>
            <w:hideMark/>
          </w:tcPr>
          <w:p w:rsidR="0052476E" w:rsidRPr="00DB56ED" w:rsidRDefault="0052476E" w:rsidP="009D7CDB">
            <w:pPr>
              <w:widowControl w:val="0"/>
              <w:jc w:val="right"/>
              <w:rPr>
                <w:color w:val="000000"/>
                <w:sz w:val="20"/>
                <w:szCs w:val="20"/>
                <w:lang w:val="fr-FR"/>
              </w:rPr>
            </w:pP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jc w:val="left"/>
              <w:rPr>
                <w:sz w:val="20"/>
                <w:szCs w:val="20"/>
                <w:lang w:val="fr-FR"/>
              </w:rPr>
            </w:pPr>
            <w:r w:rsidRPr="00DB56ED">
              <w:rPr>
                <w:sz w:val="20"/>
                <w:szCs w:val="20"/>
                <w:lang w:val="fr-FR"/>
              </w:rPr>
              <w:t>HCFC</w:t>
            </w:r>
            <w:r w:rsidRPr="00DB56ED">
              <w:rPr>
                <w:sz w:val="20"/>
                <w:szCs w:val="20"/>
                <w:lang w:val="fr-FR"/>
              </w:rPr>
              <w:noBreakHyphen/>
              <w:t>22</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color w:val="000000"/>
                <w:sz w:val="20"/>
                <w:szCs w:val="20"/>
                <w:lang w:val="fr-FR"/>
              </w:rPr>
            </w:pPr>
            <w:r w:rsidRPr="00DB56ED">
              <w:rPr>
                <w:color w:val="000000"/>
                <w:sz w:val="20"/>
                <w:szCs w:val="20"/>
                <w:lang w:val="fr-FR"/>
              </w:rPr>
              <w:t>67,44</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59,48</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52,11</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color w:val="000000"/>
                <w:sz w:val="20"/>
                <w:szCs w:val="20"/>
                <w:lang w:val="fr-FR"/>
              </w:rPr>
            </w:pPr>
            <w:r w:rsidRPr="00DB56ED">
              <w:rPr>
                <w:color w:val="000000"/>
                <w:sz w:val="20"/>
                <w:szCs w:val="20"/>
                <w:lang w:val="fr-FR"/>
              </w:rPr>
              <w:t>44,34</w:t>
            </w:r>
          </w:p>
        </w:tc>
        <w:tc>
          <w:tcPr>
            <w:tcW w:w="593" w:type="pct"/>
            <w:tcBorders>
              <w:top w:val="nil"/>
              <w:left w:val="single" w:sz="4" w:space="0" w:color="auto"/>
              <w:bottom w:val="single" w:sz="4" w:space="0" w:color="auto"/>
              <w:right w:val="single" w:sz="4" w:space="0" w:color="auto"/>
            </w:tcBorders>
          </w:tcPr>
          <w:p w:rsidR="0052476E" w:rsidRPr="00DB56ED" w:rsidRDefault="0052476E" w:rsidP="009D7CDB">
            <w:pPr>
              <w:jc w:val="right"/>
              <w:rPr>
                <w:color w:val="000000"/>
                <w:sz w:val="20"/>
                <w:szCs w:val="20"/>
                <w:lang w:val="fr-FR"/>
              </w:rPr>
            </w:pPr>
            <w:r w:rsidRPr="00DB56ED">
              <w:rPr>
                <w:color w:val="000000"/>
                <w:sz w:val="20"/>
                <w:szCs w:val="20"/>
                <w:lang w:val="fr-FR"/>
              </w:rPr>
              <w:t>42,31</w:t>
            </w:r>
          </w:p>
        </w:tc>
        <w:tc>
          <w:tcPr>
            <w:tcW w:w="59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r w:rsidRPr="00DB56ED">
              <w:rPr>
                <w:color w:val="000000"/>
                <w:sz w:val="20"/>
                <w:szCs w:val="20"/>
                <w:lang w:val="fr-FR"/>
              </w:rPr>
              <w:t>71,1</w:t>
            </w: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jc w:val="left"/>
              <w:rPr>
                <w:sz w:val="20"/>
                <w:szCs w:val="20"/>
                <w:lang w:val="fr-FR"/>
              </w:rPr>
            </w:pPr>
            <w:r w:rsidRPr="00DB56ED">
              <w:rPr>
                <w:sz w:val="20"/>
                <w:szCs w:val="20"/>
                <w:lang w:val="fr-FR"/>
              </w:rPr>
              <w:t>HCFC</w:t>
            </w:r>
            <w:r w:rsidRPr="00DB56ED">
              <w:rPr>
                <w:sz w:val="20"/>
                <w:szCs w:val="20"/>
                <w:lang w:val="fr-FR"/>
              </w:rPr>
              <w:noBreakHyphen/>
              <w:t>123</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color w:val="000000"/>
                <w:sz w:val="20"/>
                <w:szCs w:val="20"/>
                <w:lang w:val="fr-FR"/>
              </w:rPr>
            </w:pPr>
            <w:r w:rsidRPr="00DB56ED">
              <w:rPr>
                <w:color w:val="000000"/>
                <w:sz w:val="20"/>
                <w:szCs w:val="20"/>
                <w:lang w:val="fr-FR"/>
              </w:rPr>
              <w:t>2,07</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1,88</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1,58</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color w:val="000000"/>
                <w:sz w:val="20"/>
                <w:szCs w:val="20"/>
                <w:lang w:val="fr-FR"/>
              </w:rPr>
            </w:pPr>
            <w:r w:rsidRPr="00DB56ED">
              <w:rPr>
                <w:color w:val="000000"/>
                <w:sz w:val="20"/>
                <w:szCs w:val="20"/>
                <w:lang w:val="fr-FR"/>
              </w:rPr>
              <w:t>0,17</w:t>
            </w:r>
          </w:p>
        </w:tc>
        <w:tc>
          <w:tcPr>
            <w:tcW w:w="593" w:type="pct"/>
            <w:tcBorders>
              <w:top w:val="nil"/>
              <w:left w:val="single" w:sz="4" w:space="0" w:color="auto"/>
              <w:bottom w:val="single" w:sz="4" w:space="0" w:color="auto"/>
              <w:right w:val="single" w:sz="4" w:space="0" w:color="auto"/>
            </w:tcBorders>
          </w:tcPr>
          <w:p w:rsidR="0052476E" w:rsidRPr="00DB56ED" w:rsidRDefault="0052476E" w:rsidP="009D7CDB">
            <w:pPr>
              <w:jc w:val="right"/>
              <w:rPr>
                <w:color w:val="000000"/>
                <w:sz w:val="20"/>
                <w:szCs w:val="20"/>
                <w:lang w:val="fr-FR"/>
              </w:rPr>
            </w:pPr>
            <w:r w:rsidRPr="00DB56ED">
              <w:rPr>
                <w:color w:val="000000"/>
                <w:sz w:val="20"/>
                <w:szCs w:val="20"/>
                <w:lang w:val="fr-FR"/>
              </w:rPr>
              <w:t>0,65</w:t>
            </w:r>
          </w:p>
        </w:tc>
        <w:tc>
          <w:tcPr>
            <w:tcW w:w="59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r w:rsidRPr="00DB56ED">
              <w:rPr>
                <w:color w:val="000000"/>
                <w:sz w:val="20"/>
                <w:szCs w:val="20"/>
                <w:lang w:val="fr-FR"/>
              </w:rPr>
              <w:t>2,2</w:t>
            </w: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jc w:val="left"/>
              <w:rPr>
                <w:sz w:val="20"/>
                <w:szCs w:val="20"/>
                <w:lang w:val="fr-FR"/>
              </w:rPr>
            </w:pPr>
            <w:r w:rsidRPr="00DB56ED">
              <w:rPr>
                <w:sz w:val="20"/>
                <w:szCs w:val="20"/>
                <w:lang w:val="fr-FR"/>
              </w:rPr>
              <w:t>HCFC</w:t>
            </w:r>
            <w:r w:rsidRPr="00DB56ED">
              <w:rPr>
                <w:sz w:val="20"/>
                <w:szCs w:val="20"/>
                <w:lang w:val="fr-FR"/>
              </w:rPr>
              <w:noBreakHyphen/>
              <w:t>124</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color w:val="000000"/>
                <w:sz w:val="20"/>
                <w:szCs w:val="20"/>
                <w:lang w:val="fr-FR"/>
              </w:rPr>
            </w:pPr>
            <w:r w:rsidRPr="00DB56ED">
              <w:rPr>
                <w:color w:val="000000"/>
                <w:sz w:val="20"/>
                <w:szCs w:val="20"/>
                <w:lang w:val="fr-FR"/>
              </w:rPr>
              <w:t>0,02</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0,01</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52476E" w:rsidRPr="00DB56ED" w:rsidRDefault="0052476E" w:rsidP="009D7CDB">
            <w:pPr>
              <w:jc w:val="right"/>
              <w:rPr>
                <w:lang w:val="fr-FR"/>
              </w:rPr>
            </w:pPr>
            <w:r w:rsidRPr="00DB56ED">
              <w:rPr>
                <w:sz w:val="20"/>
                <w:szCs w:val="20"/>
                <w:lang w:val="fr-FR"/>
              </w:rPr>
              <w:t>0,00</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center"/>
          </w:tcPr>
          <w:p w:rsidR="0052476E" w:rsidRPr="00DB56ED" w:rsidRDefault="0052476E" w:rsidP="009D7CDB">
            <w:pPr>
              <w:jc w:val="right"/>
              <w:rPr>
                <w:lang w:val="fr-FR"/>
              </w:rPr>
            </w:pPr>
            <w:r w:rsidRPr="00DB56ED">
              <w:rPr>
                <w:sz w:val="20"/>
                <w:szCs w:val="20"/>
                <w:lang w:val="fr-FR"/>
              </w:rPr>
              <w:t>0,00</w:t>
            </w:r>
          </w:p>
        </w:tc>
        <w:tc>
          <w:tcPr>
            <w:tcW w:w="593" w:type="pct"/>
            <w:tcBorders>
              <w:top w:val="nil"/>
              <w:left w:val="single" w:sz="4" w:space="0" w:color="auto"/>
              <w:bottom w:val="single" w:sz="4" w:space="0" w:color="auto"/>
              <w:right w:val="single" w:sz="4" w:space="0" w:color="auto"/>
            </w:tcBorders>
            <w:vAlign w:val="center"/>
          </w:tcPr>
          <w:p w:rsidR="0052476E" w:rsidRPr="00DB56ED" w:rsidRDefault="0052476E" w:rsidP="009D7CDB">
            <w:pPr>
              <w:jc w:val="right"/>
              <w:rPr>
                <w:lang w:val="fr-FR"/>
              </w:rPr>
            </w:pPr>
            <w:r w:rsidRPr="00DB56ED">
              <w:rPr>
                <w:sz w:val="20"/>
                <w:szCs w:val="20"/>
                <w:lang w:val="fr-FR"/>
              </w:rPr>
              <w:t>0,00</w:t>
            </w:r>
          </w:p>
        </w:tc>
        <w:tc>
          <w:tcPr>
            <w:tcW w:w="59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r w:rsidRPr="00DB56ED">
              <w:rPr>
                <w:color w:val="000000"/>
                <w:sz w:val="20"/>
                <w:szCs w:val="20"/>
                <w:lang w:val="fr-FR"/>
              </w:rPr>
              <w:t>0,0</w:t>
            </w: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jc w:val="left"/>
              <w:rPr>
                <w:sz w:val="20"/>
                <w:szCs w:val="20"/>
                <w:lang w:val="fr-FR"/>
              </w:rPr>
            </w:pPr>
            <w:r w:rsidRPr="00DB56ED">
              <w:rPr>
                <w:sz w:val="20"/>
                <w:szCs w:val="20"/>
                <w:lang w:val="fr-FR"/>
              </w:rPr>
              <w:t>HCFC</w:t>
            </w:r>
            <w:r w:rsidRPr="00DB56ED">
              <w:rPr>
                <w:sz w:val="20"/>
                <w:szCs w:val="20"/>
                <w:lang w:val="fr-FR"/>
              </w:rPr>
              <w:noBreakHyphen/>
              <w:t>141b</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color w:val="000000"/>
                <w:sz w:val="20"/>
                <w:szCs w:val="20"/>
                <w:lang w:val="fr-FR"/>
              </w:rPr>
            </w:pPr>
            <w:r w:rsidRPr="00DB56ED">
              <w:rPr>
                <w:color w:val="000000"/>
                <w:sz w:val="20"/>
                <w:szCs w:val="20"/>
                <w:lang w:val="fr-FR"/>
              </w:rPr>
              <w:t>86,22</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103,22</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82,86</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color w:val="000000"/>
                <w:sz w:val="20"/>
                <w:szCs w:val="20"/>
                <w:lang w:val="fr-FR"/>
              </w:rPr>
            </w:pPr>
            <w:r w:rsidRPr="00DB56ED">
              <w:rPr>
                <w:color w:val="000000"/>
                <w:sz w:val="20"/>
                <w:szCs w:val="20"/>
                <w:lang w:val="fr-FR"/>
              </w:rPr>
              <w:t>103,92</w:t>
            </w:r>
          </w:p>
        </w:tc>
        <w:tc>
          <w:tcPr>
            <w:tcW w:w="593" w:type="pct"/>
            <w:tcBorders>
              <w:top w:val="nil"/>
              <w:left w:val="single" w:sz="4" w:space="0" w:color="auto"/>
              <w:bottom w:val="single" w:sz="4" w:space="0" w:color="auto"/>
              <w:right w:val="single" w:sz="4" w:space="0" w:color="auto"/>
            </w:tcBorders>
          </w:tcPr>
          <w:p w:rsidR="0052476E" w:rsidRPr="00DB56ED" w:rsidRDefault="0052476E" w:rsidP="009D7CDB">
            <w:pPr>
              <w:jc w:val="right"/>
              <w:rPr>
                <w:color w:val="000000"/>
                <w:sz w:val="20"/>
                <w:szCs w:val="20"/>
                <w:lang w:val="fr-FR"/>
              </w:rPr>
            </w:pPr>
            <w:r w:rsidRPr="00DB56ED">
              <w:rPr>
                <w:color w:val="000000"/>
                <w:sz w:val="20"/>
                <w:szCs w:val="20"/>
                <w:lang w:val="fr-FR"/>
              </w:rPr>
              <w:t>35,19</w:t>
            </w:r>
          </w:p>
        </w:tc>
        <w:tc>
          <w:tcPr>
            <w:tcW w:w="59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r w:rsidRPr="00DB56ED">
              <w:rPr>
                <w:color w:val="000000"/>
                <w:sz w:val="20"/>
                <w:szCs w:val="20"/>
                <w:lang w:val="fr-FR"/>
              </w:rPr>
              <w:t>151,7</w:t>
            </w:r>
          </w:p>
        </w:tc>
      </w:tr>
      <w:tr w:rsidR="0052476E" w:rsidRPr="00DB56ED" w:rsidTr="009D7CDB">
        <w:tc>
          <w:tcPr>
            <w:tcW w:w="14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jc w:val="left"/>
              <w:rPr>
                <w:sz w:val="20"/>
                <w:szCs w:val="20"/>
                <w:lang w:val="fr-FR"/>
              </w:rPr>
            </w:pPr>
            <w:r w:rsidRPr="00DB56ED">
              <w:rPr>
                <w:sz w:val="20"/>
                <w:szCs w:val="20"/>
                <w:lang w:val="fr-FR"/>
              </w:rPr>
              <w:t>HCFC</w:t>
            </w:r>
            <w:r w:rsidRPr="00DB56ED">
              <w:rPr>
                <w:sz w:val="20"/>
                <w:szCs w:val="20"/>
                <w:lang w:val="fr-FR"/>
              </w:rPr>
              <w:noBreakHyphen/>
              <w:t>142b</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color w:val="000000"/>
                <w:sz w:val="20"/>
                <w:szCs w:val="20"/>
                <w:lang w:val="fr-FR"/>
              </w:rPr>
            </w:pPr>
            <w:r w:rsidRPr="00DB56ED">
              <w:rPr>
                <w:color w:val="000000"/>
                <w:sz w:val="20"/>
                <w:szCs w:val="20"/>
                <w:lang w:val="fr-FR"/>
              </w:rPr>
              <w:t>0,28</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0,01</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sz w:val="20"/>
                <w:szCs w:val="20"/>
                <w:lang w:val="fr-FR"/>
              </w:rPr>
            </w:pPr>
            <w:r w:rsidRPr="00DB56ED">
              <w:rPr>
                <w:sz w:val="20"/>
                <w:szCs w:val="20"/>
                <w:lang w:val="fr-FR"/>
              </w:rPr>
              <w:t>0</w:t>
            </w:r>
          </w:p>
        </w:tc>
        <w:tc>
          <w:tcPr>
            <w:tcW w:w="593" w:type="pct"/>
            <w:tcBorders>
              <w:top w:val="nil"/>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color w:val="000000"/>
                <w:sz w:val="20"/>
                <w:szCs w:val="20"/>
                <w:lang w:val="fr-FR"/>
              </w:rPr>
            </w:pPr>
            <w:r w:rsidRPr="00DB56ED">
              <w:rPr>
                <w:color w:val="000000"/>
                <w:sz w:val="20"/>
                <w:szCs w:val="20"/>
                <w:lang w:val="fr-FR"/>
              </w:rPr>
              <w:t>0,08</w:t>
            </w:r>
          </w:p>
        </w:tc>
        <w:tc>
          <w:tcPr>
            <w:tcW w:w="593" w:type="pct"/>
            <w:tcBorders>
              <w:top w:val="nil"/>
              <w:left w:val="single" w:sz="4" w:space="0" w:color="auto"/>
              <w:bottom w:val="single" w:sz="4" w:space="0" w:color="auto"/>
              <w:right w:val="single" w:sz="4" w:space="0" w:color="auto"/>
            </w:tcBorders>
          </w:tcPr>
          <w:p w:rsidR="0052476E" w:rsidRPr="00DB56ED" w:rsidRDefault="0052476E" w:rsidP="009D7CDB">
            <w:pPr>
              <w:jc w:val="right"/>
              <w:rPr>
                <w:color w:val="000000"/>
                <w:sz w:val="20"/>
                <w:szCs w:val="20"/>
                <w:lang w:val="fr-FR"/>
              </w:rPr>
            </w:pPr>
            <w:r w:rsidRPr="00DB56ED">
              <w:rPr>
                <w:color w:val="000000"/>
                <w:sz w:val="20"/>
                <w:szCs w:val="20"/>
                <w:lang w:val="fr-FR"/>
              </w:rPr>
              <w:t>0</w:t>
            </w:r>
          </w:p>
        </w:tc>
        <w:tc>
          <w:tcPr>
            <w:tcW w:w="59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r w:rsidRPr="00DB56ED">
              <w:rPr>
                <w:color w:val="000000"/>
                <w:sz w:val="20"/>
                <w:szCs w:val="20"/>
                <w:lang w:val="fr-FR"/>
              </w:rPr>
              <w:t>0,5</w:t>
            </w:r>
          </w:p>
        </w:tc>
      </w:tr>
      <w:tr w:rsidR="0052476E" w:rsidRPr="00DB56ED" w:rsidTr="009D7CDB">
        <w:tc>
          <w:tcPr>
            <w:tcW w:w="144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476E" w:rsidRPr="00DB56ED" w:rsidRDefault="0052476E" w:rsidP="009D7CDB">
            <w:pPr>
              <w:jc w:val="left"/>
              <w:rPr>
                <w:b/>
                <w:sz w:val="20"/>
                <w:szCs w:val="20"/>
                <w:lang w:val="fr-FR"/>
              </w:rPr>
            </w:pPr>
            <w:r w:rsidRPr="00DB56ED">
              <w:rPr>
                <w:b/>
                <w:sz w:val="20"/>
                <w:szCs w:val="20"/>
                <w:lang w:val="fr-FR"/>
              </w:rPr>
              <w:t>Total (tonnes PAO)</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b/>
                <w:color w:val="000000"/>
                <w:sz w:val="20"/>
                <w:szCs w:val="20"/>
                <w:lang w:val="fr-FR"/>
              </w:rPr>
            </w:pPr>
            <w:r w:rsidRPr="00DB56ED">
              <w:rPr>
                <w:b/>
                <w:color w:val="000000"/>
                <w:sz w:val="20"/>
                <w:szCs w:val="20"/>
                <w:lang w:val="fr-FR"/>
              </w:rPr>
              <w:t>156,03</w:t>
            </w:r>
          </w:p>
        </w:tc>
        <w:tc>
          <w:tcPr>
            <w:tcW w:w="593"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b/>
                <w:sz w:val="20"/>
                <w:szCs w:val="20"/>
                <w:lang w:val="fr-FR"/>
              </w:rPr>
            </w:pPr>
            <w:r w:rsidRPr="00DB56ED">
              <w:rPr>
                <w:b/>
                <w:sz w:val="20"/>
                <w:szCs w:val="20"/>
                <w:lang w:val="fr-FR"/>
              </w:rPr>
              <w:fldChar w:fldCharType="begin"/>
            </w:r>
            <w:r w:rsidRPr="00DB56ED">
              <w:rPr>
                <w:b/>
                <w:sz w:val="20"/>
                <w:szCs w:val="20"/>
                <w:lang w:val="fr-FR"/>
              </w:rPr>
              <w:instrText xml:space="preserve"> =SUM(ABOVE) </w:instrText>
            </w:r>
            <w:r w:rsidRPr="00DB56ED">
              <w:rPr>
                <w:b/>
                <w:sz w:val="20"/>
                <w:szCs w:val="20"/>
                <w:lang w:val="fr-FR"/>
              </w:rPr>
              <w:fldChar w:fldCharType="separate"/>
            </w:r>
            <w:r w:rsidRPr="00DB56ED">
              <w:rPr>
                <w:b/>
                <w:sz w:val="20"/>
                <w:szCs w:val="20"/>
                <w:lang w:val="fr-FR"/>
              </w:rPr>
              <w:t>164.6</w:t>
            </w:r>
            <w:r w:rsidRPr="00DB56ED">
              <w:rPr>
                <w:b/>
                <w:sz w:val="20"/>
                <w:szCs w:val="20"/>
                <w:lang w:val="fr-FR"/>
              </w:rPr>
              <w:fldChar w:fldCharType="end"/>
            </w:r>
            <w:r w:rsidRPr="00DB56ED">
              <w:rPr>
                <w:b/>
                <w:sz w:val="20"/>
                <w:szCs w:val="20"/>
                <w:lang w:val="fr-FR"/>
              </w:rPr>
              <w:t>0</w:t>
            </w:r>
          </w:p>
        </w:tc>
        <w:tc>
          <w:tcPr>
            <w:tcW w:w="593"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tcPr>
          <w:p w:rsidR="0052476E" w:rsidRPr="00DB56ED" w:rsidRDefault="0052476E" w:rsidP="009D7CDB">
            <w:pPr>
              <w:jc w:val="right"/>
              <w:rPr>
                <w:b/>
                <w:sz w:val="20"/>
                <w:szCs w:val="20"/>
                <w:lang w:val="fr-FR"/>
              </w:rPr>
            </w:pPr>
            <w:r w:rsidRPr="00DB56ED">
              <w:rPr>
                <w:b/>
                <w:sz w:val="20"/>
                <w:szCs w:val="20"/>
                <w:lang w:val="fr-FR"/>
              </w:rPr>
              <w:fldChar w:fldCharType="begin"/>
            </w:r>
            <w:r w:rsidRPr="00DB56ED">
              <w:rPr>
                <w:b/>
                <w:sz w:val="20"/>
                <w:szCs w:val="20"/>
                <w:lang w:val="fr-FR"/>
              </w:rPr>
              <w:instrText xml:space="preserve"> =SUM(ABOVE) </w:instrText>
            </w:r>
            <w:r w:rsidRPr="00DB56ED">
              <w:rPr>
                <w:b/>
                <w:sz w:val="20"/>
                <w:szCs w:val="20"/>
                <w:lang w:val="fr-FR"/>
              </w:rPr>
              <w:fldChar w:fldCharType="separate"/>
            </w:r>
            <w:r w:rsidRPr="00DB56ED">
              <w:rPr>
                <w:b/>
                <w:sz w:val="20"/>
                <w:szCs w:val="20"/>
                <w:lang w:val="fr-FR"/>
              </w:rPr>
              <w:t>136.54</w:t>
            </w:r>
            <w:r w:rsidRPr="00DB56ED">
              <w:rPr>
                <w:b/>
                <w:sz w:val="20"/>
                <w:szCs w:val="20"/>
                <w:lang w:val="fr-FR"/>
              </w:rPr>
              <w:fldChar w:fldCharType="end"/>
            </w:r>
          </w:p>
        </w:tc>
        <w:tc>
          <w:tcPr>
            <w:tcW w:w="593" w:type="pct"/>
            <w:tcBorders>
              <w:top w:val="single" w:sz="4" w:space="0" w:color="auto"/>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b/>
                <w:color w:val="000000"/>
                <w:sz w:val="20"/>
                <w:szCs w:val="20"/>
                <w:lang w:val="fr-FR"/>
              </w:rPr>
            </w:pPr>
            <w:r w:rsidRPr="00DB56ED">
              <w:rPr>
                <w:b/>
                <w:color w:val="000000"/>
                <w:sz w:val="20"/>
                <w:szCs w:val="20"/>
                <w:lang w:val="fr-FR"/>
              </w:rPr>
              <w:fldChar w:fldCharType="begin"/>
            </w:r>
            <w:r w:rsidRPr="00DB56ED">
              <w:rPr>
                <w:b/>
                <w:color w:val="000000"/>
                <w:sz w:val="20"/>
                <w:szCs w:val="20"/>
                <w:lang w:val="fr-FR"/>
              </w:rPr>
              <w:instrText xml:space="preserve"> =SUM(ABOVE) </w:instrText>
            </w:r>
            <w:r w:rsidRPr="00DB56ED">
              <w:rPr>
                <w:b/>
                <w:color w:val="000000"/>
                <w:sz w:val="20"/>
                <w:szCs w:val="20"/>
                <w:lang w:val="fr-FR"/>
              </w:rPr>
              <w:fldChar w:fldCharType="separate"/>
            </w:r>
            <w:r w:rsidRPr="00DB56ED">
              <w:rPr>
                <w:b/>
                <w:color w:val="000000"/>
                <w:sz w:val="20"/>
                <w:szCs w:val="20"/>
                <w:lang w:val="fr-FR"/>
              </w:rPr>
              <w:t>148.51</w:t>
            </w:r>
            <w:r w:rsidRPr="00DB56ED">
              <w:rPr>
                <w:b/>
                <w:color w:val="000000"/>
                <w:sz w:val="20"/>
                <w:szCs w:val="20"/>
                <w:lang w:val="fr-FR"/>
              </w:rPr>
              <w:fldChar w:fldCharType="end"/>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b/>
                <w:color w:val="000000"/>
                <w:sz w:val="20"/>
                <w:szCs w:val="20"/>
                <w:lang w:val="fr-FR"/>
              </w:rPr>
            </w:pPr>
            <w:r w:rsidRPr="00DB56ED">
              <w:rPr>
                <w:b/>
                <w:color w:val="000000"/>
                <w:sz w:val="20"/>
                <w:szCs w:val="20"/>
                <w:lang w:val="fr-FR"/>
              </w:rPr>
              <w:t>78,15</w:t>
            </w:r>
          </w:p>
        </w:tc>
        <w:tc>
          <w:tcPr>
            <w:tcW w:w="59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b/>
                <w:color w:val="000000"/>
                <w:sz w:val="20"/>
                <w:szCs w:val="20"/>
                <w:lang w:val="fr-FR"/>
              </w:rPr>
            </w:pPr>
            <w:r w:rsidRPr="00DB56ED">
              <w:rPr>
                <w:b/>
                <w:color w:val="000000"/>
                <w:sz w:val="20"/>
                <w:szCs w:val="20"/>
                <w:lang w:val="fr-FR"/>
              </w:rPr>
              <w:t>225,6</w:t>
            </w:r>
          </w:p>
        </w:tc>
      </w:tr>
      <w:tr w:rsidR="0052476E" w:rsidRPr="00DB56ED" w:rsidTr="009D7CDB">
        <w:tc>
          <w:tcPr>
            <w:tcW w:w="144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52476E" w:rsidRPr="00DB56ED" w:rsidRDefault="0052476E" w:rsidP="009D7CDB">
            <w:pPr>
              <w:jc w:val="left"/>
              <w:rPr>
                <w:sz w:val="20"/>
                <w:szCs w:val="20"/>
                <w:lang w:val="fr-FR"/>
              </w:rPr>
            </w:pPr>
            <w:r w:rsidRPr="00DB56ED">
              <w:rPr>
                <w:sz w:val="20"/>
                <w:szCs w:val="20"/>
                <w:lang w:val="fr-FR"/>
              </w:rPr>
              <w:t xml:space="preserve">HCFC-141b dans des polyols </w:t>
            </w:r>
            <w:proofErr w:type="spellStart"/>
            <w:r w:rsidRPr="00DB56ED">
              <w:rPr>
                <w:sz w:val="20"/>
                <w:szCs w:val="20"/>
                <w:lang w:val="fr-FR"/>
              </w:rPr>
              <w:t>prémélangés</w:t>
            </w:r>
            <w:proofErr w:type="spellEnd"/>
            <w:r w:rsidRPr="00DB56ED">
              <w:rPr>
                <w:sz w:val="20"/>
                <w:szCs w:val="20"/>
                <w:lang w:val="fr-FR"/>
              </w:rPr>
              <w:t xml:space="preserve"> importés*</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52476E" w:rsidRPr="00DB56ED" w:rsidRDefault="0052476E" w:rsidP="009D7CDB">
            <w:pPr>
              <w:jc w:val="right"/>
              <w:rPr>
                <w:color w:val="000000"/>
                <w:sz w:val="20"/>
                <w:szCs w:val="20"/>
                <w:lang w:val="fr-FR"/>
              </w:rPr>
            </w:pPr>
            <w:r w:rsidRPr="00DB56ED">
              <w:rPr>
                <w:color w:val="000000"/>
                <w:sz w:val="20"/>
                <w:szCs w:val="20"/>
                <w:lang w:val="fr-FR"/>
              </w:rPr>
              <w:t>0,003</w:t>
            </w:r>
          </w:p>
        </w:tc>
        <w:tc>
          <w:tcPr>
            <w:tcW w:w="593" w:type="pct"/>
            <w:tcBorders>
              <w:top w:val="single" w:sz="4" w:space="0" w:color="auto"/>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sz w:val="20"/>
                <w:szCs w:val="20"/>
                <w:lang w:val="fr-FR"/>
              </w:rPr>
            </w:pPr>
            <w:r w:rsidRPr="00DB56ED">
              <w:rPr>
                <w:sz w:val="20"/>
                <w:szCs w:val="20"/>
                <w:lang w:val="fr-FR"/>
              </w:rPr>
              <w:t>0,69</w:t>
            </w:r>
          </w:p>
        </w:tc>
        <w:tc>
          <w:tcPr>
            <w:tcW w:w="593" w:type="pct"/>
            <w:tcBorders>
              <w:top w:val="single" w:sz="4" w:space="0" w:color="auto"/>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sz w:val="20"/>
                <w:szCs w:val="20"/>
                <w:lang w:val="fr-FR"/>
              </w:rPr>
            </w:pPr>
            <w:r w:rsidRPr="00DB56ED">
              <w:rPr>
                <w:sz w:val="20"/>
                <w:szCs w:val="20"/>
                <w:lang w:val="fr-FR"/>
              </w:rPr>
              <w:t>0,87</w:t>
            </w:r>
          </w:p>
        </w:tc>
        <w:tc>
          <w:tcPr>
            <w:tcW w:w="593" w:type="pct"/>
            <w:tcBorders>
              <w:top w:val="single" w:sz="4" w:space="0" w:color="auto"/>
              <w:left w:val="nil"/>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r w:rsidRPr="00DB56ED">
              <w:rPr>
                <w:color w:val="000000"/>
                <w:sz w:val="20"/>
                <w:szCs w:val="20"/>
                <w:lang w:val="fr-FR"/>
              </w:rPr>
              <w:t>0,85</w:t>
            </w:r>
          </w:p>
        </w:tc>
        <w:tc>
          <w:tcPr>
            <w:tcW w:w="593" w:type="pct"/>
            <w:tcBorders>
              <w:top w:val="single" w:sz="4" w:space="0" w:color="auto"/>
              <w:left w:val="single" w:sz="4" w:space="0" w:color="auto"/>
              <w:bottom w:val="single" w:sz="4" w:space="0" w:color="auto"/>
              <w:right w:val="single" w:sz="4" w:space="0" w:color="auto"/>
            </w:tcBorders>
          </w:tcPr>
          <w:p w:rsidR="0052476E" w:rsidRPr="00DB56ED" w:rsidRDefault="0052476E" w:rsidP="009D7CDB">
            <w:pPr>
              <w:jc w:val="right"/>
              <w:rPr>
                <w:color w:val="000000"/>
                <w:sz w:val="20"/>
                <w:szCs w:val="20"/>
                <w:lang w:val="fr-FR"/>
              </w:rPr>
            </w:pPr>
            <w:r w:rsidRPr="00DB56ED">
              <w:rPr>
                <w:color w:val="000000"/>
                <w:sz w:val="20"/>
                <w:szCs w:val="20"/>
                <w:lang w:val="fr-FR"/>
              </w:rPr>
              <w:t>1,36</w:t>
            </w:r>
          </w:p>
        </w:tc>
        <w:tc>
          <w:tcPr>
            <w:tcW w:w="59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16" w:type="dxa"/>
            </w:tcMar>
          </w:tcPr>
          <w:p w:rsidR="0052476E" w:rsidRPr="00DB56ED" w:rsidRDefault="0052476E" w:rsidP="009D7CDB">
            <w:pPr>
              <w:jc w:val="right"/>
              <w:rPr>
                <w:color w:val="000000"/>
                <w:sz w:val="20"/>
                <w:szCs w:val="20"/>
                <w:lang w:val="fr-FR"/>
              </w:rPr>
            </w:pPr>
            <w:proofErr w:type="spellStart"/>
            <w:r w:rsidRPr="00DB56ED">
              <w:rPr>
                <w:color w:val="000000"/>
                <w:sz w:val="20"/>
                <w:szCs w:val="20"/>
                <w:lang w:val="fr-FR"/>
              </w:rPr>
              <w:t>s.o</w:t>
            </w:r>
            <w:proofErr w:type="spellEnd"/>
            <w:r w:rsidRPr="00DB56ED">
              <w:rPr>
                <w:color w:val="000000"/>
                <w:sz w:val="20"/>
                <w:szCs w:val="20"/>
                <w:lang w:val="fr-FR"/>
              </w:rPr>
              <w:t>.</w:t>
            </w:r>
          </w:p>
        </w:tc>
      </w:tr>
    </w:tbl>
    <w:p w:rsidR="0052476E" w:rsidRPr="00DB56ED" w:rsidRDefault="0052476E" w:rsidP="0052476E">
      <w:pPr>
        <w:rPr>
          <w:lang w:val="fr-FR"/>
        </w:rPr>
      </w:pPr>
      <w:r w:rsidRPr="00DB56ED">
        <w:rPr>
          <w:sz w:val="16"/>
          <w:szCs w:val="16"/>
          <w:lang w:val="fr-FR"/>
        </w:rPr>
        <w:t>*Données du programme de pays</w:t>
      </w:r>
    </w:p>
    <w:p w:rsidR="0052476E" w:rsidRPr="00DB56ED" w:rsidRDefault="0052476E" w:rsidP="0052476E">
      <w:pPr>
        <w:rPr>
          <w:lang w:val="fr-FR"/>
        </w:rPr>
      </w:pPr>
    </w:p>
    <w:p w:rsidR="0052476E" w:rsidRPr="00DB56ED" w:rsidRDefault="0052476E" w:rsidP="0052476E">
      <w:pPr>
        <w:pStyle w:val="Heading1"/>
        <w:rPr>
          <w:lang w:val="fr-FR"/>
        </w:rPr>
      </w:pPr>
      <w:r w:rsidRPr="00DB56ED">
        <w:rPr>
          <w:lang w:val="fr-FR"/>
        </w:rPr>
        <w:t xml:space="preserve">La consommation de HCFC-22 continue de décliner, avec des réductions à la fois dans l’entretien et la fabrication, grâce à la mise en œuvre des activités dans le cadre du PGEH ainsi que de la pénétration accrue du marché du R-410A et des équipements au R-410A. La consommation de HCFC-141b a augmenté en 2017, pour revenir approximativement au même niveau de consommation qu’en 2015, puis a considérablement diminué avec la mise en œuvre réussie des reconversions de fabrication de mousse polyuréthane (PU). Depuis 2015, la consommation combinée de HCFC-123 et de HCFC-141b dans le secteur de la lutte contre l’incendie a constamment diminué. Entre 2017 et 2018, la consommation de HCFC-141b dans le secteur a chuté de manière importante ; en revanche, la consommation de HCFC-123 a augmenté, ce qui laisse penser que la diminution de la consommation de HCFC-141b dans le secteur est due à une combinaison de meilleures pratiques et d’une consommation accrue de HCFC-123. </w:t>
      </w:r>
    </w:p>
    <w:p w:rsidR="0052476E" w:rsidRPr="00DB56ED" w:rsidRDefault="0052476E" w:rsidP="0052476E">
      <w:pPr>
        <w:rPr>
          <w:i/>
          <w:lang w:val="fr-FR"/>
        </w:rPr>
      </w:pPr>
      <w:r w:rsidRPr="00DB56ED">
        <w:rPr>
          <w:i/>
          <w:lang w:val="fr-FR"/>
        </w:rPr>
        <w:lastRenderedPageBreak/>
        <w:t>Rapport sur la mise en œuvre du programme de pays</w:t>
      </w:r>
    </w:p>
    <w:p w:rsidR="0052476E" w:rsidRPr="00DB56ED" w:rsidRDefault="0052476E" w:rsidP="0052476E">
      <w:pPr>
        <w:rPr>
          <w:lang w:val="fr-FR"/>
        </w:rPr>
      </w:pPr>
    </w:p>
    <w:p w:rsidR="0052476E" w:rsidRPr="00DB56ED" w:rsidRDefault="0052476E" w:rsidP="0052476E">
      <w:pPr>
        <w:pStyle w:val="Heading1"/>
        <w:rPr>
          <w:lang w:val="fr-FR"/>
        </w:rPr>
      </w:pPr>
      <w:r w:rsidRPr="00DB56ED">
        <w:rPr>
          <w:lang w:val="fr-FR"/>
        </w:rPr>
        <w:t xml:space="preserve">Dans le cadre du rapport de mise en œuvre du programme de pays 2018, le gouvernement de la Colombie a déclaré des données sur la consommation sectorielle de HCFC conformes aux données déclarées dans le cadre de l’Article 7 du Protocole de Montréal. </w:t>
      </w:r>
    </w:p>
    <w:p w:rsidR="0052476E" w:rsidRPr="00DB56ED" w:rsidRDefault="0052476E" w:rsidP="0052476E">
      <w:pPr>
        <w:keepNext/>
        <w:keepLines/>
        <w:rPr>
          <w:i/>
          <w:lang w:val="fr-FR"/>
        </w:rPr>
      </w:pPr>
      <w:r w:rsidRPr="00DB56ED">
        <w:rPr>
          <w:i/>
          <w:lang w:val="fr-FR"/>
        </w:rPr>
        <w:t>Rapport de vérification</w:t>
      </w:r>
    </w:p>
    <w:p w:rsidR="0052476E" w:rsidRPr="00DB56ED" w:rsidRDefault="0052476E" w:rsidP="0052476E">
      <w:pPr>
        <w:keepNext/>
        <w:keepLines/>
        <w:rPr>
          <w:lang w:val="fr-FR"/>
        </w:rPr>
      </w:pPr>
    </w:p>
    <w:p w:rsidR="0052476E" w:rsidRPr="00DB56ED" w:rsidRDefault="0052476E" w:rsidP="0052476E">
      <w:pPr>
        <w:pStyle w:val="Heading1"/>
        <w:rPr>
          <w:lang w:val="fr-FR"/>
        </w:rPr>
      </w:pPr>
      <w:r w:rsidRPr="00DB56ED">
        <w:rPr>
          <w:lang w:val="fr-FR"/>
        </w:rPr>
        <w:t xml:space="preserve">Le rapport de vérification a confirmé que le gouvernement met en œuvre un programme d’octroi de permis et de quotas pour les importations et exportations de HCFC et que la consommation totale de HCFC pour 2018 a été de 78,15 tonnes PAO de HCFC, avec 1,36 tonnes PAO supplémentaires de HCFC-141b dans des polyols </w:t>
      </w:r>
      <w:proofErr w:type="spellStart"/>
      <w:r w:rsidRPr="00DB56ED">
        <w:rPr>
          <w:lang w:val="fr-FR"/>
        </w:rPr>
        <w:t>prémélangés</w:t>
      </w:r>
      <w:proofErr w:type="spellEnd"/>
      <w:r w:rsidRPr="00DB56ED">
        <w:rPr>
          <w:lang w:val="fr-FR"/>
        </w:rPr>
        <w:t xml:space="preserve"> importés. La vérification a conclu que la Colombie satisfaisait à tous les objectifs spécifiés dans l’accord entre le pays et le Comité exécutif et était en conformité avec le Protocole de Montréal. Toutes les importations de SAO et de HFC, y compris les substances contenues dans des polyols </w:t>
      </w:r>
      <w:proofErr w:type="spellStart"/>
      <w:r w:rsidRPr="00DB56ED">
        <w:rPr>
          <w:lang w:val="fr-FR"/>
        </w:rPr>
        <w:t>prémélangés</w:t>
      </w:r>
      <w:proofErr w:type="spellEnd"/>
      <w:r w:rsidRPr="00DB56ED">
        <w:rPr>
          <w:lang w:val="fr-FR"/>
        </w:rPr>
        <w:t xml:space="preserve">, font l’objet d’une inspection physique et leur documentation est vérifiée. De plus, des identifiants de frigorigène peuvent être utilisés sur un échantillon aléatoire d’importations. À ce jour, aucune expédition suspecte n’a été découverte et il n’a été détecté de CFC-11 ou de CFC-12 dans aucune importation. Plusieurs pays de la région (Équateur, République bolivarienne du Venezuela) ont rendu visite à la Colombie pour échanger des informations et renforcer la coopération en matière de surveillance du commerce illégal de SAO. </w:t>
      </w:r>
    </w:p>
    <w:p w:rsidR="0052476E" w:rsidRPr="00DB56ED" w:rsidRDefault="0052476E" w:rsidP="0052476E">
      <w:pPr>
        <w:rPr>
          <w:u w:val="single"/>
          <w:lang w:val="fr-FR"/>
        </w:rPr>
      </w:pPr>
      <w:r w:rsidRPr="00DB56ED">
        <w:rPr>
          <w:u w:val="single"/>
          <w:lang w:val="fr-FR"/>
        </w:rPr>
        <w:t>Rapport périodique sur la mise en œuvre de la deuxième tranche du PGEH</w:t>
      </w:r>
    </w:p>
    <w:p w:rsidR="0052476E" w:rsidRPr="00DB56ED" w:rsidRDefault="0052476E" w:rsidP="0052476E">
      <w:pPr>
        <w:rPr>
          <w:lang w:val="fr-FR"/>
        </w:rPr>
      </w:pPr>
    </w:p>
    <w:p w:rsidR="0052476E" w:rsidRPr="00DB56ED" w:rsidRDefault="0052476E" w:rsidP="0052476E">
      <w:pPr>
        <w:rPr>
          <w:i/>
          <w:lang w:val="fr-FR"/>
        </w:rPr>
      </w:pPr>
      <w:r w:rsidRPr="00DB56ED">
        <w:rPr>
          <w:i/>
          <w:lang w:val="fr-FR"/>
        </w:rPr>
        <w:t>Cadre juridique</w:t>
      </w:r>
    </w:p>
    <w:p w:rsidR="0052476E" w:rsidRPr="00DB56ED" w:rsidRDefault="0052476E" w:rsidP="0052476E">
      <w:pPr>
        <w:ind w:left="720" w:hanging="720"/>
        <w:rPr>
          <w:lang w:val="fr-FR"/>
        </w:rPr>
      </w:pPr>
    </w:p>
    <w:p w:rsidR="0052476E" w:rsidRPr="00DB56ED" w:rsidRDefault="0052476E" w:rsidP="0052476E">
      <w:pPr>
        <w:pStyle w:val="Heading1"/>
        <w:rPr>
          <w:lang w:val="fr-FR"/>
        </w:rPr>
      </w:pPr>
      <w:r w:rsidRPr="00DB56ED">
        <w:rPr>
          <w:lang w:val="fr-FR"/>
        </w:rPr>
        <w:t xml:space="preserve">Le gouvernement a modifié le programme de quotas pour les importations de HCFC afin d’atteindre la réduction de la consommation de HCFC de 65 pour cent par rapport à la valeur de référence d’ici 2021, conformément à son accord avec le Comité exécutif ; a interdit, en 2013, la fabrication et l’importation d’équipements frigorifiques aux HCFC ; et a publié l’interdiction des importations de HCFC-141b en vrac et dans des polyols </w:t>
      </w:r>
      <w:proofErr w:type="spellStart"/>
      <w:r w:rsidRPr="00DB56ED">
        <w:rPr>
          <w:lang w:val="fr-FR"/>
        </w:rPr>
        <w:t>prémélangés</w:t>
      </w:r>
      <w:proofErr w:type="spellEnd"/>
      <w:r w:rsidRPr="00DB56ED">
        <w:rPr>
          <w:lang w:val="fr-FR"/>
        </w:rPr>
        <w:t xml:space="preserve">, qui entrera en vigueur le 31 décembre 2020. En 2018, le décret 1496, qui a permis l’adoption par le pays du Système mondial harmonisé (GHS) de classification et d’étiquetage des produits chimiques, est entré en vigueur, ce qui aidera à améliorer le contrôle du commerce des substances et des équipements contenant des HCFC. </w:t>
      </w:r>
    </w:p>
    <w:p w:rsidR="00E54BB6" w:rsidRDefault="00E54BB6" w:rsidP="0052476E">
      <w:pPr>
        <w:rPr>
          <w:i/>
          <w:lang w:val="fr-FR"/>
        </w:rPr>
      </w:pPr>
    </w:p>
    <w:p w:rsidR="0052476E" w:rsidRPr="00DB56ED" w:rsidRDefault="0052476E" w:rsidP="0052476E">
      <w:pPr>
        <w:rPr>
          <w:i/>
          <w:lang w:val="fr-FR"/>
        </w:rPr>
      </w:pPr>
      <w:r w:rsidRPr="00DB56ED">
        <w:rPr>
          <w:i/>
          <w:lang w:val="fr-FR"/>
        </w:rPr>
        <w:t>Assistance technique pour les activités réglementaires</w:t>
      </w:r>
    </w:p>
    <w:p w:rsidR="0052476E" w:rsidRPr="00DB56ED" w:rsidRDefault="0052476E" w:rsidP="0052476E">
      <w:pPr>
        <w:rPr>
          <w:i/>
          <w:lang w:val="fr-FR"/>
        </w:rPr>
      </w:pPr>
    </w:p>
    <w:p w:rsidR="0052476E" w:rsidRPr="00DB56ED" w:rsidRDefault="0052476E" w:rsidP="0052476E">
      <w:pPr>
        <w:pStyle w:val="Heading1"/>
        <w:rPr>
          <w:lang w:val="fr-FR"/>
        </w:rPr>
      </w:pPr>
      <w:r w:rsidRPr="00DB56ED">
        <w:rPr>
          <w:lang w:val="fr-FR"/>
        </w:rPr>
        <w:t>Les activités suivantes ont été effectuées :</w:t>
      </w:r>
    </w:p>
    <w:p w:rsidR="0052476E" w:rsidRPr="00DB56ED" w:rsidRDefault="0052476E" w:rsidP="0052476E">
      <w:pPr>
        <w:pStyle w:val="Heading2"/>
        <w:numPr>
          <w:ilvl w:val="1"/>
          <w:numId w:val="1"/>
        </w:numPr>
        <w:rPr>
          <w:lang w:val="fr-FR"/>
        </w:rPr>
      </w:pPr>
      <w:r w:rsidRPr="00DB56ED">
        <w:rPr>
          <w:lang w:val="fr-FR"/>
        </w:rPr>
        <w:t>Un registre des rejets et transferts de polluants (RRTP) conçu pour les importateurs, les fabricants et les utilisateurs finaux est en cours d’élaboration. La configuration de la plate-forme numérique (matérielle et logicielle) est terminée et les essais pilotes avec quelques entreprises ont commencé.</w:t>
      </w:r>
    </w:p>
    <w:p w:rsidR="0052476E" w:rsidRPr="00DB56ED" w:rsidRDefault="0052476E" w:rsidP="0052476E">
      <w:pPr>
        <w:pStyle w:val="Heading2"/>
        <w:numPr>
          <w:ilvl w:val="1"/>
          <w:numId w:val="1"/>
        </w:numPr>
        <w:rPr>
          <w:lang w:val="fr-FR"/>
        </w:rPr>
      </w:pPr>
      <w:r w:rsidRPr="00DB56ED">
        <w:rPr>
          <w:lang w:val="fr-FR"/>
        </w:rPr>
        <w:t xml:space="preserve">Le suivi de l’application du programme d’octroi de permis et de quotas pour les importations et exportations de HCFC afin de détecter et empêcher le commerce illégal. Des données ont été collectées et analysées, y compris par comparaison entre la base de données des permis et autorisations environnementaux délivrés par l’Autorité nationale des permis environnementaux (connue sous le nom d’ANLA en espagnol) et les déclarations d’importation/exportation soumises au ministère du Commerce, de l’Industrie et du Tourisme et à la Direction des impôts et des douanes (DIAN) ; les informations fournies par 18 importateurs de SAO dans leur rapport de conformité des permis environnementaux ont été analysées ; 79 visites de suivi ont été effectuées dans les boutiques de frigorigène </w:t>
      </w:r>
      <w:r w:rsidRPr="00DB56ED">
        <w:rPr>
          <w:lang w:val="fr-FR"/>
        </w:rPr>
        <w:lastRenderedPageBreak/>
        <w:t xml:space="preserve">de 10 villes ; et la Colombie a participé à la procédure du consentement préalable en connaissance de cause (PIC). </w:t>
      </w:r>
    </w:p>
    <w:p w:rsidR="0052476E" w:rsidRPr="00DB56ED" w:rsidRDefault="0052476E" w:rsidP="0052476E">
      <w:pPr>
        <w:pStyle w:val="Heading2"/>
        <w:numPr>
          <w:ilvl w:val="1"/>
          <w:numId w:val="1"/>
        </w:numPr>
        <w:rPr>
          <w:lang w:val="fr-FR"/>
        </w:rPr>
      </w:pPr>
      <w:r w:rsidRPr="00DB56ED">
        <w:rPr>
          <w:lang w:val="fr-FR"/>
        </w:rPr>
        <w:t>Des réunions de coordination ont été tenues au sujet de l’amélioration du contrôle et de la surveillance du commerce des SAO et des équipements et produits contenant des SAO, en particulier avec la DIAN, l’Institut national de la vigilance des médicaments et des aliments et le ministère du Commerce, de l’Industrie et du Tourisme ; huit ateliers relatifs au cadre réglementaire mis à jour pour 128 préposés des douanes et une formation sur l’utilisation des identifiants de frigorigène.</w:t>
      </w:r>
    </w:p>
    <w:p w:rsidR="0052476E" w:rsidRPr="00DB56ED" w:rsidRDefault="0052476E" w:rsidP="0052476E">
      <w:pPr>
        <w:pStyle w:val="Heading2"/>
        <w:numPr>
          <w:ilvl w:val="1"/>
          <w:numId w:val="1"/>
        </w:numPr>
        <w:rPr>
          <w:lang w:val="fr-FR"/>
        </w:rPr>
      </w:pPr>
      <w:r w:rsidRPr="00DB56ED">
        <w:rPr>
          <w:lang w:val="fr-FR"/>
        </w:rPr>
        <w:t xml:space="preserve">Des mesures pour empêcher le commerce illégal en distribuant 103 directives pour les spécialistes du marketing, 32 bulletins et 54 manuels pour les importateurs, les négociants en gaz frigorigènes et les préposés aux douanes ; en informant les fabricants et les importateurs de frigorigènes au sujet de la responsabilité relative à l’étiquetage et à l’élaboration de la fiche technique santé-sécurité correspondante, conformément aux exigences du GHS ; et en réalisant une consultation afin d’élaborer une stratégie nationale pour les bouteilles réutilisables dans le commerce local en vue d’établir un système de collecte et de manutention des conteneurs de HCFC et des déchets de ces conteneurs au sein du cadre réglementaire national. </w:t>
      </w:r>
    </w:p>
    <w:p w:rsidR="0052476E" w:rsidRPr="00DB56ED" w:rsidRDefault="0052476E" w:rsidP="0052476E">
      <w:pPr>
        <w:pStyle w:val="Heading2"/>
        <w:numPr>
          <w:ilvl w:val="1"/>
          <w:numId w:val="1"/>
        </w:numPr>
        <w:rPr>
          <w:lang w:val="fr-FR"/>
        </w:rPr>
      </w:pPr>
      <w:r w:rsidRPr="00DB56ED">
        <w:rPr>
          <w:lang w:val="fr-FR"/>
        </w:rPr>
        <w:t>Plusieurs projets de sensibilisation ont été organisés, dont une alliance pour l’éducation à l’appauvrissement de la couche d’ozone ; le développement d’un guide éducatif sur l’appauvrissement de la couche d’ozone ; une boîte à outil d’enseignement ; et la diffusion de trois bulletins relatifs à la consommation, la santé, l’environnement et la gestion des SAO.</w:t>
      </w:r>
    </w:p>
    <w:p w:rsidR="0052476E" w:rsidRPr="00DB56ED" w:rsidRDefault="0052476E" w:rsidP="0052476E">
      <w:pPr>
        <w:rPr>
          <w:i/>
          <w:lang w:val="fr-FR"/>
        </w:rPr>
      </w:pPr>
      <w:r w:rsidRPr="00DB56ED">
        <w:rPr>
          <w:i/>
          <w:lang w:val="fr-FR"/>
        </w:rPr>
        <w:t>Activités du secteur des mousses</w:t>
      </w:r>
    </w:p>
    <w:p w:rsidR="0052476E" w:rsidRPr="00DB56ED" w:rsidRDefault="0052476E" w:rsidP="0052476E">
      <w:pPr>
        <w:rPr>
          <w:highlight w:val="lightGray"/>
          <w:lang w:val="fr-FR"/>
        </w:rPr>
      </w:pPr>
    </w:p>
    <w:p w:rsidR="0052476E" w:rsidRPr="00DB56ED" w:rsidRDefault="0052476E" w:rsidP="0052476E">
      <w:pPr>
        <w:pStyle w:val="Heading1"/>
        <w:rPr>
          <w:lang w:val="fr-FR"/>
        </w:rPr>
      </w:pPr>
      <w:r w:rsidRPr="00DB56ED">
        <w:rPr>
          <w:lang w:val="fr-FR"/>
        </w:rPr>
        <w:t xml:space="preserve">La reconversion des entreprises de mousses </w:t>
      </w:r>
      <w:proofErr w:type="spellStart"/>
      <w:r w:rsidRPr="00DB56ED">
        <w:rPr>
          <w:lang w:val="fr-FR"/>
        </w:rPr>
        <w:t>Olaflex</w:t>
      </w:r>
      <w:proofErr w:type="spellEnd"/>
      <w:r w:rsidRPr="00DB56ED">
        <w:rPr>
          <w:lang w:val="fr-FR"/>
        </w:rPr>
        <w:t xml:space="preserve"> (feuilles rigides) et Rojas </w:t>
      </w:r>
      <w:proofErr w:type="spellStart"/>
      <w:r w:rsidRPr="00DB56ED">
        <w:rPr>
          <w:lang w:val="fr-FR"/>
        </w:rPr>
        <w:t>Hermanos</w:t>
      </w:r>
      <w:proofErr w:type="spellEnd"/>
      <w:r w:rsidRPr="00DB56ED">
        <w:rPr>
          <w:lang w:val="fr-FR"/>
        </w:rPr>
        <w:t xml:space="preserve"> (panneaux en discontinu) au cyclopentane s’est achevée respectivement en octobre et en février 2019, entraînant l’élimination de 65,76 </w:t>
      </w:r>
      <w:proofErr w:type="spellStart"/>
      <w:r w:rsidRPr="00DB56ED">
        <w:rPr>
          <w:lang w:val="fr-FR"/>
        </w:rPr>
        <w:t>tm</w:t>
      </w:r>
      <w:proofErr w:type="spellEnd"/>
      <w:r w:rsidRPr="00DB56ED">
        <w:rPr>
          <w:lang w:val="fr-FR"/>
        </w:rPr>
        <w:t xml:space="preserve"> (7,23 tonnes PAO) de HCFC-141b. La reconversion d’</w:t>
      </w:r>
      <w:proofErr w:type="spellStart"/>
      <w:r w:rsidRPr="00DB56ED">
        <w:rPr>
          <w:lang w:val="fr-FR"/>
        </w:rPr>
        <w:t>Espumlatex</w:t>
      </w:r>
      <w:proofErr w:type="spellEnd"/>
      <w:r w:rsidRPr="00DB56ED">
        <w:rPr>
          <w:lang w:val="fr-FR"/>
        </w:rPr>
        <w:t xml:space="preserve"> (feuilles rigides) aux </w:t>
      </w:r>
      <w:proofErr w:type="spellStart"/>
      <w:r w:rsidRPr="00DB56ED">
        <w:rPr>
          <w:lang w:val="fr-FR"/>
        </w:rPr>
        <w:t>hydrofluoroléfines</w:t>
      </w:r>
      <w:proofErr w:type="spellEnd"/>
      <w:r w:rsidRPr="00DB56ED">
        <w:rPr>
          <w:lang w:val="fr-FR"/>
        </w:rPr>
        <w:t xml:space="preserve"> (HFO) est en cours, des essais de formulations réduites de HFO se poursuivant. Trois sociétés de formulation (</w:t>
      </w:r>
      <w:proofErr w:type="spellStart"/>
      <w:r w:rsidRPr="00DB56ED">
        <w:rPr>
          <w:lang w:val="fr-FR"/>
        </w:rPr>
        <w:t>Espumlatex</w:t>
      </w:r>
      <w:proofErr w:type="spellEnd"/>
      <w:r w:rsidRPr="00DB56ED">
        <w:rPr>
          <w:lang w:val="fr-FR"/>
        </w:rPr>
        <w:t xml:space="preserve">, </w:t>
      </w:r>
      <w:proofErr w:type="spellStart"/>
      <w:r w:rsidRPr="00DB56ED">
        <w:rPr>
          <w:lang w:val="fr-FR"/>
        </w:rPr>
        <w:t>Olaflex</w:t>
      </w:r>
      <w:proofErr w:type="spellEnd"/>
      <w:r w:rsidRPr="00DB56ED">
        <w:rPr>
          <w:lang w:val="fr-FR"/>
        </w:rPr>
        <w:t xml:space="preserve"> et QIC) ont signé des accords en 2018 et lancé des activités pour le développement de formulations de polyol/système aux HFO et des essais préliminaires en laboratoire sur les propriétés des mousses, acheté des équipements de laboratoire et commencé la vérification de la consommation des entreprises de mousses en aval. L’accord avec la quatrième société de formulation, GMP, n’a pas encore été finalisé.</w:t>
      </w:r>
    </w:p>
    <w:p w:rsidR="0052476E" w:rsidRPr="00DB56ED" w:rsidRDefault="0052476E" w:rsidP="0052476E">
      <w:pPr>
        <w:pStyle w:val="Heading1"/>
        <w:numPr>
          <w:ilvl w:val="0"/>
          <w:numId w:val="0"/>
        </w:numPr>
        <w:rPr>
          <w:i/>
          <w:lang w:val="fr-FR"/>
        </w:rPr>
      </w:pPr>
      <w:r w:rsidRPr="00DB56ED">
        <w:rPr>
          <w:i/>
          <w:lang w:val="fr-FR"/>
        </w:rPr>
        <w:t xml:space="preserve">Activités du secteur de l’entretien </w:t>
      </w:r>
    </w:p>
    <w:p w:rsidR="0052476E" w:rsidRPr="00DB56ED" w:rsidRDefault="0052476E" w:rsidP="0052476E">
      <w:pPr>
        <w:pStyle w:val="Heading1"/>
        <w:rPr>
          <w:szCs w:val="32"/>
          <w:lang w:val="fr-FR"/>
        </w:rPr>
      </w:pPr>
      <w:r w:rsidRPr="00DB56ED">
        <w:rPr>
          <w:lang w:val="fr-FR"/>
        </w:rPr>
        <w:t xml:space="preserve">Les activités suivantes ont été effectuées : </w:t>
      </w:r>
    </w:p>
    <w:p w:rsidR="0052476E" w:rsidRPr="00DB56ED" w:rsidRDefault="0052476E" w:rsidP="0052476E">
      <w:pPr>
        <w:pStyle w:val="Heading2"/>
        <w:numPr>
          <w:ilvl w:val="1"/>
          <w:numId w:val="1"/>
        </w:numPr>
        <w:rPr>
          <w:lang w:val="fr-FR"/>
        </w:rPr>
      </w:pPr>
      <w:r w:rsidRPr="00DB56ED">
        <w:rPr>
          <w:lang w:val="fr-FR"/>
        </w:rPr>
        <w:t>Développement d’un manuel des meilleures pratiques se concentrant sur le contrôle des fuites, la conception de systèmes étanches et la maintenance préventive planifiée. La formation à ce sujet aura lieu en parallèle avec la formation à l’utilisation des frigorigènes naturels en 2020.</w:t>
      </w:r>
    </w:p>
    <w:p w:rsidR="0052476E" w:rsidRPr="00DB56ED" w:rsidRDefault="0052476E" w:rsidP="0052476E">
      <w:pPr>
        <w:pStyle w:val="Heading2"/>
        <w:numPr>
          <w:ilvl w:val="1"/>
          <w:numId w:val="1"/>
        </w:numPr>
        <w:rPr>
          <w:lang w:val="fr-FR"/>
        </w:rPr>
      </w:pPr>
      <w:r w:rsidRPr="00DB56ED">
        <w:rPr>
          <w:lang w:val="fr-FR"/>
        </w:rPr>
        <w:t>Un centre de formation aux frigorigènes naturels a été établi et un programme de formation des formateurs est prévu pour novembre 2019 ; et une formation des ateliers de formateurs du Service national de l’apprentissage (connu sous le nom de SENA en espagnol) a été effectuée par des experts locaux en novembre 2018. Quarante-quatre formateurs ont été formés à l’utilisation sans danger des hydrocarbures (HC) comme frigorigènes.</w:t>
      </w:r>
    </w:p>
    <w:p w:rsidR="0052476E" w:rsidRPr="00DB56ED" w:rsidRDefault="0052476E" w:rsidP="0052476E">
      <w:pPr>
        <w:pStyle w:val="Heading2"/>
        <w:numPr>
          <w:ilvl w:val="1"/>
          <w:numId w:val="1"/>
        </w:numPr>
        <w:rPr>
          <w:lang w:val="fr-FR"/>
        </w:rPr>
      </w:pPr>
      <w:r w:rsidRPr="00DB56ED">
        <w:rPr>
          <w:lang w:val="fr-FR"/>
        </w:rPr>
        <w:t>La norme internationale ISO </w:t>
      </w:r>
      <w:proofErr w:type="gramStart"/>
      <w:r w:rsidRPr="00DB56ED">
        <w:rPr>
          <w:lang w:val="fr-FR"/>
        </w:rPr>
        <w:t>5149:</w:t>
      </w:r>
      <w:proofErr w:type="gramEnd"/>
      <w:r w:rsidRPr="00DB56ED">
        <w:rPr>
          <w:lang w:val="fr-FR"/>
        </w:rPr>
        <w:t xml:space="preserve">2014 « Systèmes frigorifiques et pompes à chaleur — </w:t>
      </w:r>
      <w:r w:rsidRPr="00DB56ED">
        <w:rPr>
          <w:lang w:val="fr-FR"/>
        </w:rPr>
        <w:lastRenderedPageBreak/>
        <w:t>Exigences de sécurité et d’environnement » a été partiellement adoptée, avec des progrès en cours quant à l’adoption des trois parties restantes.</w:t>
      </w:r>
    </w:p>
    <w:p w:rsidR="0052476E" w:rsidRPr="00DB56ED" w:rsidRDefault="0052476E" w:rsidP="0052476E">
      <w:pPr>
        <w:pStyle w:val="Heading2"/>
        <w:numPr>
          <w:ilvl w:val="1"/>
          <w:numId w:val="1"/>
        </w:numPr>
        <w:rPr>
          <w:lang w:val="fr-FR"/>
        </w:rPr>
      </w:pPr>
      <w:r w:rsidRPr="00DB56ED">
        <w:rPr>
          <w:lang w:val="fr-FR"/>
        </w:rPr>
        <w:t>Une nouvelle version de la Norme sectorielle pour la compétence de la main-d’œuvre pour le secteur de la réfrigération et de la climatisation a été approuvée par le SENA, après une consultation publique et une vérification méthodologique. Cette nouvelle norme comprend des mesures pour la manipulation sans danger des HC, du CO</w:t>
      </w:r>
      <w:r w:rsidRPr="00DB56ED">
        <w:rPr>
          <w:vertAlign w:val="subscript"/>
          <w:lang w:val="fr-FR"/>
        </w:rPr>
        <w:t>2</w:t>
      </w:r>
      <w:r w:rsidRPr="00DB56ED">
        <w:rPr>
          <w:lang w:val="fr-FR"/>
        </w:rPr>
        <w:t xml:space="preserve"> et de l’ammoniac ; et deux groupes de techniciens, dans deux villes différentes, sont actuellement en cours de certification à l’utilisation des frigorigènes inflammables, en s’appuyant sur la norme.</w:t>
      </w:r>
    </w:p>
    <w:p w:rsidR="0052476E" w:rsidRPr="00DB56ED" w:rsidRDefault="0052476E" w:rsidP="0052476E">
      <w:pPr>
        <w:pStyle w:val="Heading2"/>
        <w:numPr>
          <w:ilvl w:val="1"/>
          <w:numId w:val="1"/>
        </w:numPr>
        <w:rPr>
          <w:lang w:val="fr-FR"/>
        </w:rPr>
      </w:pPr>
      <w:r w:rsidRPr="00DB56ED">
        <w:rPr>
          <w:lang w:val="fr-FR"/>
        </w:rPr>
        <w:t>Renforcement des capacités de l’Association colombienne du conditionnement de l’air et de la réfrigération (connue sous le nom d’ACAIRE en espagnol) pour certifier les compétences de la main-d’œuvre pour les techniciens du secteur de l’entretien ; 1 813 techniciens certifiés dans le cadre de la norme « Manipulation environnementale des frigorigènes conformément à la législation nationale et internationale » ; 29 réunions de sensibilisation effectuées dans 24 villes pour 1 213 techniciens et entreprises dans le secteur des équipements de réfrigération et de climatisation ; et deux ateliers ont été tenus pour 52 techniciens, au sujet de l’utilisation sans danger des frigorigènes HC.</w:t>
      </w:r>
    </w:p>
    <w:p w:rsidR="0052476E" w:rsidRPr="00DB56ED" w:rsidRDefault="0052476E" w:rsidP="0052476E">
      <w:pPr>
        <w:pStyle w:val="Heading2"/>
        <w:numPr>
          <w:ilvl w:val="1"/>
          <w:numId w:val="1"/>
        </w:numPr>
        <w:rPr>
          <w:lang w:val="fr-FR"/>
        </w:rPr>
      </w:pPr>
      <w:r w:rsidRPr="00DB56ED">
        <w:rPr>
          <w:lang w:val="fr-FR"/>
        </w:rPr>
        <w:t xml:space="preserve">Deux cent soixante-trois équipements de récupération et 520 bouteilles (13,6 lb) ont été livrés et seront distribués aux techniciens et aux entreprises du secteur de l’entretien des équipements de réfrigération et de climatisation ; six ateliers techniques pour former des techniciens et des centres de revalorisation et de collecte à la manière d’utiliser l’équipement de récupération et les bouteilles de stockage ; deux réunions pour évaluer le réseau de récupération, recyclage et revalorisation (RRR) ; 2 857 kg de frigorigènes ont été récupérés en 2018 ; </w:t>
      </w:r>
    </w:p>
    <w:p w:rsidR="0052476E" w:rsidRPr="00DB56ED" w:rsidRDefault="0052476E" w:rsidP="0052476E">
      <w:pPr>
        <w:pStyle w:val="Heading2"/>
        <w:numPr>
          <w:ilvl w:val="1"/>
          <w:numId w:val="1"/>
        </w:numPr>
        <w:rPr>
          <w:lang w:val="fr-FR"/>
        </w:rPr>
      </w:pPr>
      <w:r w:rsidRPr="00DB56ED">
        <w:rPr>
          <w:lang w:val="fr-FR"/>
        </w:rPr>
        <w:t xml:space="preserve">En collaboration avec le ministère des Mines et de l’Énergie, le processus de formulation des réglementations pour les systèmes et installations thermiques progresse dans le but de garantir les niveaux des services fournis, de sécurité, d’efficacité énergétique et d’impact environnemental. Cinq réunions régionales pour diffuser les objectifs de la réglementation technique ; et participation aux </w:t>
      </w:r>
      <w:proofErr w:type="spellStart"/>
      <w:r w:rsidRPr="00DB56ED">
        <w:rPr>
          <w:lang w:val="fr-FR"/>
        </w:rPr>
        <w:t>ExpoAcaire</w:t>
      </w:r>
      <w:proofErr w:type="spellEnd"/>
      <w:r w:rsidRPr="00DB56ED">
        <w:rPr>
          <w:lang w:val="fr-FR"/>
        </w:rPr>
        <w:t xml:space="preserve"> 2018 et 2019 (salon national de la réfrigération et de la climatisation) pour la sensibilisation à la Réglementation technique des systèmes et installations thermiques (connu sous le nom de RETSIT en espagnol) et à la Stratégie nationale pour un refroidissement durable. </w:t>
      </w:r>
    </w:p>
    <w:p w:rsidR="0052476E" w:rsidRPr="00DB56ED" w:rsidRDefault="0052476E" w:rsidP="0052476E">
      <w:pPr>
        <w:pStyle w:val="Heading2"/>
        <w:numPr>
          <w:ilvl w:val="1"/>
          <w:numId w:val="1"/>
        </w:numPr>
        <w:rPr>
          <w:lang w:val="fr-FR"/>
        </w:rPr>
      </w:pPr>
      <w:r w:rsidRPr="00DB56ED">
        <w:rPr>
          <w:lang w:val="fr-FR"/>
        </w:rPr>
        <w:t>La promotion de l’exemption de taxe sur la valeur ajoutée (TVA) pour les utilisateurs finaux de systèmes de refroidissement qui appliquent des critères d’efficacité énergétique et à faible impact sur l’environnement (Résolution 2000 du 29 septembre 2017 et Résolution 463 du 28 août 2018) a été effectuée par l’intermédiaire des corporations et de réunions sectorielles.</w:t>
      </w:r>
    </w:p>
    <w:p w:rsidR="0052476E" w:rsidRPr="00DB56ED" w:rsidRDefault="0052476E" w:rsidP="0052476E">
      <w:pPr>
        <w:pStyle w:val="Heading2"/>
        <w:numPr>
          <w:ilvl w:val="1"/>
          <w:numId w:val="1"/>
        </w:numPr>
        <w:rPr>
          <w:lang w:val="fr-FR"/>
        </w:rPr>
      </w:pPr>
      <w:r w:rsidRPr="00DB56ED">
        <w:rPr>
          <w:lang w:val="fr-FR"/>
        </w:rPr>
        <w:t>Accord pour l’inclusion de solutions de remplacement à faible potentiel de réchauffement de la planète (PRP) et d’autres critères environnementaux dans les normes du secteur de l’industrie florale (</w:t>
      </w:r>
      <w:proofErr w:type="spellStart"/>
      <w:r w:rsidRPr="00DB56ED">
        <w:rPr>
          <w:lang w:val="fr-FR"/>
        </w:rPr>
        <w:t>Florverde</w:t>
      </w:r>
      <w:proofErr w:type="spellEnd"/>
      <w:r w:rsidRPr="00DB56ED">
        <w:rPr>
          <w:lang w:val="fr-FR"/>
        </w:rPr>
        <w:t>) ; et promotion avec plusieurs membres de l’Association des exportateurs de fleurs colombiens de la mise en œuvre de nouvelles solutions à faible PRP pour l’industrie florale.</w:t>
      </w:r>
    </w:p>
    <w:p w:rsidR="00E54BB6" w:rsidRDefault="00E54BB6">
      <w:pPr>
        <w:jc w:val="left"/>
        <w:rPr>
          <w:i/>
          <w:lang w:val="fr-FR"/>
        </w:rPr>
      </w:pPr>
      <w:r>
        <w:rPr>
          <w:i/>
          <w:lang w:val="fr-FR"/>
        </w:rPr>
        <w:br w:type="page"/>
      </w:r>
    </w:p>
    <w:p w:rsidR="0052476E" w:rsidRPr="00DB56ED" w:rsidRDefault="0052476E" w:rsidP="0052476E">
      <w:pPr>
        <w:keepNext/>
        <w:keepLines/>
        <w:rPr>
          <w:i/>
          <w:lang w:val="fr-FR"/>
        </w:rPr>
      </w:pPr>
      <w:r w:rsidRPr="00DB56ED">
        <w:rPr>
          <w:i/>
          <w:lang w:val="fr-FR"/>
        </w:rPr>
        <w:lastRenderedPageBreak/>
        <w:t>Activités du secteur de la protection contre l’incendie</w:t>
      </w:r>
    </w:p>
    <w:p w:rsidR="0052476E" w:rsidRPr="00DB56ED" w:rsidRDefault="0052476E" w:rsidP="0052476E">
      <w:pPr>
        <w:keepNext/>
        <w:keepLines/>
        <w:rPr>
          <w:lang w:val="fr-FR"/>
        </w:rPr>
      </w:pPr>
    </w:p>
    <w:p w:rsidR="0052476E" w:rsidRPr="00DB56ED" w:rsidRDefault="0052476E" w:rsidP="0052476E">
      <w:pPr>
        <w:pStyle w:val="Heading1"/>
        <w:keepNext/>
        <w:keepLines/>
        <w:rPr>
          <w:szCs w:val="32"/>
          <w:lang w:val="fr-FR"/>
        </w:rPr>
      </w:pPr>
      <w:r w:rsidRPr="00DB56ED">
        <w:rPr>
          <w:lang w:val="fr-FR"/>
        </w:rPr>
        <w:t>Les activités suivantes ont été effectuées :</w:t>
      </w:r>
    </w:p>
    <w:p w:rsidR="0052476E" w:rsidRPr="00DB56ED" w:rsidRDefault="0052476E" w:rsidP="0052476E">
      <w:pPr>
        <w:pStyle w:val="Heading2"/>
        <w:numPr>
          <w:ilvl w:val="1"/>
          <w:numId w:val="1"/>
        </w:numPr>
        <w:rPr>
          <w:lang w:val="fr-FR"/>
        </w:rPr>
      </w:pPr>
      <w:r w:rsidRPr="00DB56ED">
        <w:rPr>
          <w:lang w:val="fr-FR"/>
        </w:rPr>
        <w:t>Treize ateliers pour la promotion des bonnes pratiques dans le cadre de la maintenance et du rechargement des extincteurs portables en utilisant du HCFC-123 comme produit extincteur et de l’élimination du HCFC</w:t>
      </w:r>
      <w:r w:rsidRPr="00DB56ED">
        <w:rPr>
          <w:lang w:val="fr-FR"/>
        </w:rPr>
        <w:noBreakHyphen/>
        <w:t>141b à cet usage ont été effectués en 2018 et 2019.</w:t>
      </w:r>
    </w:p>
    <w:p w:rsidR="0052476E" w:rsidRPr="00DB56ED" w:rsidRDefault="0052476E" w:rsidP="0052476E">
      <w:pPr>
        <w:pStyle w:val="Heading2"/>
        <w:numPr>
          <w:ilvl w:val="1"/>
          <w:numId w:val="1"/>
        </w:numPr>
        <w:rPr>
          <w:lang w:val="fr-FR"/>
        </w:rPr>
      </w:pPr>
      <w:r w:rsidRPr="00DB56ED">
        <w:rPr>
          <w:lang w:val="fr-FR"/>
        </w:rPr>
        <w:t>Une directive mettant l’accent sur les bonnes pratiques en matière de maintenance et de rechargement des extincteurs portables en utilisant du HCFC-123 a été développée par l’Unité technique de l’ozone (connue sous le nom d’UTO en espagnol) et est actuellement en cours d’édition.</w:t>
      </w:r>
    </w:p>
    <w:p w:rsidR="0052476E" w:rsidRPr="00DB56ED" w:rsidRDefault="0052476E" w:rsidP="0052476E">
      <w:pPr>
        <w:pStyle w:val="Heading2"/>
        <w:numPr>
          <w:ilvl w:val="1"/>
          <w:numId w:val="1"/>
        </w:numPr>
        <w:rPr>
          <w:lang w:val="fr-FR"/>
        </w:rPr>
      </w:pPr>
      <w:r w:rsidRPr="00DB56ED">
        <w:rPr>
          <w:lang w:val="fr-FR"/>
        </w:rPr>
        <w:t>Une proposition d’interdiction de l’importation et de la fabrication de certains produits et équipements qui utilisent des HCFC (dont les extincteurs portables au HCFC-141b) est en cours d’approbation.</w:t>
      </w:r>
    </w:p>
    <w:p w:rsidR="0052476E" w:rsidRPr="00DB56ED" w:rsidRDefault="0052476E" w:rsidP="0052476E">
      <w:pPr>
        <w:rPr>
          <w:i/>
          <w:lang w:val="fr-FR"/>
        </w:rPr>
      </w:pPr>
      <w:r w:rsidRPr="00DB56ED">
        <w:rPr>
          <w:i/>
          <w:lang w:val="fr-FR"/>
        </w:rPr>
        <w:t>Projet de mise en œuvre et de suivi (Groupe de gestion de projet)</w:t>
      </w:r>
    </w:p>
    <w:p w:rsidR="0052476E" w:rsidRPr="00DB56ED" w:rsidRDefault="0052476E" w:rsidP="0052476E">
      <w:pPr>
        <w:rPr>
          <w:lang w:val="fr-FR"/>
        </w:rPr>
      </w:pPr>
    </w:p>
    <w:p w:rsidR="0052476E" w:rsidRPr="00DB56ED" w:rsidRDefault="0052476E" w:rsidP="0052476E">
      <w:pPr>
        <w:pStyle w:val="Heading1"/>
        <w:rPr>
          <w:lang w:val="fr-FR"/>
        </w:rPr>
      </w:pPr>
      <w:r w:rsidRPr="00DB56ED">
        <w:rPr>
          <w:lang w:val="fr-FR"/>
        </w:rPr>
        <w:t>Pendant la deuxième tranche, le Groupe de gestion de projet a préparé deux rapports annuels par projet, tenu six réunions de suivi de la mise en œuvre des projets ; et effectué deux audits sur la mise en œuvre des projets. En date d’octobre 2019, des 261 095 $ US approuvés, 100 pour cent avaient été décaissés, comme indiqué dans le Tableau 2.</w:t>
      </w:r>
    </w:p>
    <w:p w:rsidR="0052476E" w:rsidRPr="00DB56ED" w:rsidRDefault="0052476E" w:rsidP="0052476E">
      <w:pPr>
        <w:rPr>
          <w:b/>
          <w:sz w:val="21"/>
          <w:szCs w:val="21"/>
          <w:lang w:val="fr-FR"/>
        </w:rPr>
      </w:pPr>
      <w:r w:rsidRPr="00DB56ED">
        <w:rPr>
          <w:b/>
          <w:sz w:val="21"/>
          <w:szCs w:val="21"/>
          <w:lang w:val="fr-FR"/>
        </w:rPr>
        <w:t>Tableau 2. Financement du PMU par activité et par tranche</w:t>
      </w:r>
    </w:p>
    <w:tbl>
      <w:tblPr>
        <w:tblStyle w:val="TableGrid"/>
        <w:tblW w:w="9355" w:type="dxa"/>
        <w:tblLook w:val="04A0" w:firstRow="1" w:lastRow="0" w:firstColumn="1" w:lastColumn="0" w:noHBand="0" w:noVBand="1"/>
      </w:tblPr>
      <w:tblGrid>
        <w:gridCol w:w="4585"/>
        <w:gridCol w:w="2385"/>
        <w:gridCol w:w="2385"/>
      </w:tblGrid>
      <w:tr w:rsidR="0052476E" w:rsidRPr="00DB56ED" w:rsidTr="009D7CDB">
        <w:tc>
          <w:tcPr>
            <w:tcW w:w="4585" w:type="dxa"/>
            <w:vMerge w:val="restart"/>
            <w:vAlign w:val="center"/>
          </w:tcPr>
          <w:p w:rsidR="0052476E" w:rsidRPr="00DB56ED" w:rsidRDefault="0052476E" w:rsidP="009D7CDB">
            <w:pPr>
              <w:jc w:val="left"/>
              <w:rPr>
                <w:b/>
                <w:sz w:val="20"/>
                <w:szCs w:val="20"/>
                <w:lang w:val="fr-FR"/>
              </w:rPr>
            </w:pPr>
            <w:r w:rsidRPr="00DB56ED">
              <w:rPr>
                <w:b/>
                <w:sz w:val="20"/>
                <w:szCs w:val="20"/>
                <w:lang w:val="fr-FR"/>
              </w:rPr>
              <w:t>Activité</w:t>
            </w:r>
          </w:p>
        </w:tc>
        <w:tc>
          <w:tcPr>
            <w:tcW w:w="4770" w:type="dxa"/>
            <w:gridSpan w:val="2"/>
          </w:tcPr>
          <w:p w:rsidR="0052476E" w:rsidRPr="00DB56ED" w:rsidRDefault="0052476E" w:rsidP="009D7CDB">
            <w:pPr>
              <w:jc w:val="center"/>
              <w:rPr>
                <w:b/>
                <w:sz w:val="20"/>
                <w:szCs w:val="20"/>
                <w:lang w:val="fr-FR"/>
              </w:rPr>
            </w:pPr>
            <w:r w:rsidRPr="00DB56ED">
              <w:rPr>
                <w:b/>
                <w:sz w:val="20"/>
                <w:szCs w:val="20"/>
                <w:lang w:val="fr-FR"/>
              </w:rPr>
              <w:t>Financement ($ US)</w:t>
            </w:r>
          </w:p>
        </w:tc>
      </w:tr>
      <w:tr w:rsidR="0052476E" w:rsidRPr="00DB56ED" w:rsidTr="009D7CDB">
        <w:tc>
          <w:tcPr>
            <w:tcW w:w="4585" w:type="dxa"/>
            <w:vMerge/>
          </w:tcPr>
          <w:p w:rsidR="0052476E" w:rsidRPr="00DB56ED" w:rsidRDefault="0052476E" w:rsidP="009D7CDB">
            <w:pPr>
              <w:rPr>
                <w:sz w:val="20"/>
                <w:szCs w:val="20"/>
                <w:lang w:val="fr-FR"/>
              </w:rPr>
            </w:pPr>
          </w:p>
        </w:tc>
        <w:tc>
          <w:tcPr>
            <w:tcW w:w="2385" w:type="dxa"/>
          </w:tcPr>
          <w:p w:rsidR="0052476E" w:rsidRPr="00DB56ED" w:rsidRDefault="0052476E" w:rsidP="009D7CDB">
            <w:pPr>
              <w:jc w:val="center"/>
              <w:rPr>
                <w:b/>
                <w:sz w:val="20"/>
                <w:szCs w:val="20"/>
                <w:lang w:val="fr-FR"/>
              </w:rPr>
            </w:pPr>
            <w:r w:rsidRPr="00DB56ED">
              <w:rPr>
                <w:b/>
                <w:sz w:val="20"/>
                <w:szCs w:val="20"/>
                <w:lang w:val="fr-FR"/>
              </w:rPr>
              <w:t>Première tranche</w:t>
            </w:r>
          </w:p>
        </w:tc>
        <w:tc>
          <w:tcPr>
            <w:tcW w:w="2385" w:type="dxa"/>
          </w:tcPr>
          <w:p w:rsidR="0052476E" w:rsidRPr="00DB56ED" w:rsidRDefault="0052476E" w:rsidP="009D7CDB">
            <w:pPr>
              <w:jc w:val="center"/>
              <w:rPr>
                <w:b/>
                <w:sz w:val="20"/>
                <w:szCs w:val="20"/>
                <w:lang w:val="fr-FR"/>
              </w:rPr>
            </w:pPr>
            <w:r w:rsidRPr="00DB56ED">
              <w:rPr>
                <w:b/>
                <w:sz w:val="20"/>
                <w:szCs w:val="20"/>
                <w:lang w:val="fr-FR"/>
              </w:rPr>
              <w:t>Deuxième tranche</w:t>
            </w:r>
          </w:p>
        </w:tc>
      </w:tr>
      <w:tr w:rsidR="0052476E" w:rsidRPr="00DB56ED" w:rsidTr="009D7CDB">
        <w:tc>
          <w:tcPr>
            <w:tcW w:w="4585" w:type="dxa"/>
          </w:tcPr>
          <w:p w:rsidR="0052476E" w:rsidRPr="00DB56ED" w:rsidRDefault="0052476E" w:rsidP="009D7CDB">
            <w:pPr>
              <w:rPr>
                <w:sz w:val="20"/>
                <w:szCs w:val="20"/>
                <w:lang w:val="fr-FR"/>
              </w:rPr>
            </w:pPr>
            <w:r w:rsidRPr="00DB56ED">
              <w:rPr>
                <w:sz w:val="20"/>
                <w:szCs w:val="20"/>
                <w:lang w:val="fr-FR"/>
              </w:rPr>
              <w:t>Consultants</w:t>
            </w:r>
          </w:p>
        </w:tc>
        <w:tc>
          <w:tcPr>
            <w:tcW w:w="2385" w:type="dxa"/>
            <w:tcMar>
              <w:left w:w="115" w:type="dxa"/>
              <w:right w:w="288" w:type="dxa"/>
            </w:tcMar>
          </w:tcPr>
          <w:p w:rsidR="0052476E" w:rsidRPr="00DB56ED" w:rsidRDefault="0052476E" w:rsidP="009D7CDB">
            <w:pPr>
              <w:jc w:val="right"/>
              <w:rPr>
                <w:sz w:val="20"/>
                <w:szCs w:val="20"/>
                <w:lang w:val="fr-FR"/>
              </w:rPr>
            </w:pPr>
            <w:r w:rsidRPr="00DB56ED">
              <w:rPr>
                <w:sz w:val="20"/>
                <w:szCs w:val="20"/>
                <w:lang w:val="fr-FR"/>
              </w:rPr>
              <w:t>185 132</w:t>
            </w:r>
          </w:p>
        </w:tc>
        <w:tc>
          <w:tcPr>
            <w:tcW w:w="2385" w:type="dxa"/>
            <w:tcMar>
              <w:left w:w="115" w:type="dxa"/>
              <w:right w:w="288" w:type="dxa"/>
            </w:tcMar>
          </w:tcPr>
          <w:p w:rsidR="0052476E" w:rsidRPr="00DB56ED" w:rsidRDefault="0052476E" w:rsidP="009D7CDB">
            <w:pPr>
              <w:jc w:val="right"/>
              <w:rPr>
                <w:sz w:val="20"/>
                <w:szCs w:val="20"/>
                <w:lang w:val="fr-FR"/>
              </w:rPr>
            </w:pPr>
            <w:r w:rsidRPr="00DB56ED">
              <w:rPr>
                <w:sz w:val="20"/>
                <w:szCs w:val="20"/>
                <w:lang w:val="fr-FR"/>
              </w:rPr>
              <w:t>6 088</w:t>
            </w:r>
          </w:p>
        </w:tc>
      </w:tr>
      <w:tr w:rsidR="0052476E" w:rsidRPr="00DB56ED" w:rsidTr="009D7CDB">
        <w:tc>
          <w:tcPr>
            <w:tcW w:w="4585" w:type="dxa"/>
          </w:tcPr>
          <w:p w:rsidR="0052476E" w:rsidRPr="00DB56ED" w:rsidRDefault="0052476E" w:rsidP="009D7CDB">
            <w:pPr>
              <w:rPr>
                <w:sz w:val="20"/>
                <w:szCs w:val="20"/>
                <w:lang w:val="fr-FR"/>
              </w:rPr>
            </w:pPr>
            <w:r w:rsidRPr="00DB56ED">
              <w:rPr>
                <w:sz w:val="20"/>
                <w:szCs w:val="20"/>
                <w:lang w:val="fr-FR"/>
              </w:rPr>
              <w:t>Réunion de suivi</w:t>
            </w:r>
          </w:p>
        </w:tc>
        <w:tc>
          <w:tcPr>
            <w:tcW w:w="2385" w:type="dxa"/>
            <w:tcMar>
              <w:left w:w="115" w:type="dxa"/>
              <w:right w:w="288" w:type="dxa"/>
            </w:tcMar>
          </w:tcPr>
          <w:p w:rsidR="0052476E" w:rsidRPr="00DB56ED" w:rsidRDefault="0052476E" w:rsidP="009D7CDB">
            <w:pPr>
              <w:jc w:val="right"/>
              <w:rPr>
                <w:sz w:val="20"/>
                <w:szCs w:val="20"/>
                <w:lang w:val="fr-FR"/>
              </w:rPr>
            </w:pPr>
            <w:r w:rsidRPr="00DB56ED">
              <w:rPr>
                <w:sz w:val="20"/>
                <w:szCs w:val="20"/>
                <w:lang w:val="fr-FR"/>
              </w:rPr>
              <w:t>21 562</w:t>
            </w:r>
          </w:p>
        </w:tc>
        <w:tc>
          <w:tcPr>
            <w:tcW w:w="2385" w:type="dxa"/>
            <w:tcMar>
              <w:left w:w="115" w:type="dxa"/>
              <w:right w:w="288" w:type="dxa"/>
            </w:tcMar>
          </w:tcPr>
          <w:p w:rsidR="0052476E" w:rsidRPr="00DB56ED" w:rsidRDefault="0052476E" w:rsidP="009D7CDB">
            <w:pPr>
              <w:jc w:val="right"/>
              <w:rPr>
                <w:sz w:val="20"/>
                <w:szCs w:val="20"/>
                <w:lang w:val="fr-FR"/>
              </w:rPr>
            </w:pPr>
            <w:r w:rsidRPr="00DB56ED">
              <w:rPr>
                <w:sz w:val="20"/>
                <w:szCs w:val="20"/>
                <w:lang w:val="fr-FR"/>
              </w:rPr>
              <w:t>0</w:t>
            </w:r>
          </w:p>
        </w:tc>
      </w:tr>
      <w:tr w:rsidR="0052476E" w:rsidRPr="00DB56ED" w:rsidTr="009D7CDB">
        <w:tc>
          <w:tcPr>
            <w:tcW w:w="4585" w:type="dxa"/>
          </w:tcPr>
          <w:p w:rsidR="0052476E" w:rsidRPr="00DB56ED" w:rsidRDefault="0052476E" w:rsidP="009D7CDB">
            <w:pPr>
              <w:rPr>
                <w:sz w:val="20"/>
                <w:szCs w:val="20"/>
                <w:lang w:val="fr-FR"/>
              </w:rPr>
            </w:pPr>
            <w:r w:rsidRPr="00DB56ED">
              <w:rPr>
                <w:sz w:val="20"/>
                <w:szCs w:val="20"/>
                <w:lang w:val="fr-FR"/>
              </w:rPr>
              <w:t>Frais de déplacement</w:t>
            </w:r>
          </w:p>
        </w:tc>
        <w:tc>
          <w:tcPr>
            <w:tcW w:w="2385" w:type="dxa"/>
            <w:tcMar>
              <w:left w:w="115" w:type="dxa"/>
              <w:right w:w="288" w:type="dxa"/>
            </w:tcMar>
          </w:tcPr>
          <w:p w:rsidR="0052476E" w:rsidRPr="00DB56ED" w:rsidRDefault="0052476E" w:rsidP="009D7CDB">
            <w:pPr>
              <w:jc w:val="right"/>
              <w:rPr>
                <w:sz w:val="20"/>
                <w:szCs w:val="20"/>
                <w:lang w:val="fr-FR"/>
              </w:rPr>
            </w:pPr>
            <w:r w:rsidRPr="00DB56ED">
              <w:rPr>
                <w:sz w:val="20"/>
                <w:szCs w:val="20"/>
                <w:lang w:val="fr-FR"/>
              </w:rPr>
              <w:t>30 265</w:t>
            </w:r>
          </w:p>
        </w:tc>
        <w:tc>
          <w:tcPr>
            <w:tcW w:w="2385" w:type="dxa"/>
            <w:tcMar>
              <w:left w:w="115" w:type="dxa"/>
              <w:right w:w="288" w:type="dxa"/>
            </w:tcMar>
          </w:tcPr>
          <w:p w:rsidR="0052476E" w:rsidRPr="00DB56ED" w:rsidRDefault="0052476E" w:rsidP="009D7CDB">
            <w:pPr>
              <w:jc w:val="right"/>
              <w:rPr>
                <w:sz w:val="20"/>
                <w:szCs w:val="20"/>
                <w:lang w:val="fr-FR"/>
              </w:rPr>
            </w:pPr>
            <w:r w:rsidRPr="00DB56ED">
              <w:rPr>
                <w:sz w:val="20"/>
                <w:szCs w:val="20"/>
                <w:lang w:val="fr-FR"/>
              </w:rPr>
              <w:t>687</w:t>
            </w:r>
          </w:p>
        </w:tc>
      </w:tr>
      <w:tr w:rsidR="0052476E" w:rsidRPr="00DB56ED" w:rsidTr="009D7CDB">
        <w:tc>
          <w:tcPr>
            <w:tcW w:w="4585" w:type="dxa"/>
          </w:tcPr>
          <w:p w:rsidR="0052476E" w:rsidRPr="00DB56ED" w:rsidRDefault="0052476E" w:rsidP="009D7CDB">
            <w:pPr>
              <w:rPr>
                <w:sz w:val="20"/>
                <w:szCs w:val="20"/>
                <w:lang w:val="fr-FR"/>
              </w:rPr>
            </w:pPr>
            <w:r w:rsidRPr="00DB56ED">
              <w:rPr>
                <w:sz w:val="20"/>
                <w:szCs w:val="20"/>
                <w:lang w:val="fr-FR"/>
              </w:rPr>
              <w:t>Divers</w:t>
            </w:r>
          </w:p>
        </w:tc>
        <w:tc>
          <w:tcPr>
            <w:tcW w:w="2385" w:type="dxa"/>
            <w:tcMar>
              <w:left w:w="115" w:type="dxa"/>
              <w:right w:w="288" w:type="dxa"/>
            </w:tcMar>
          </w:tcPr>
          <w:p w:rsidR="0052476E" w:rsidRPr="00DB56ED" w:rsidRDefault="0052476E" w:rsidP="009D7CDB">
            <w:pPr>
              <w:jc w:val="right"/>
              <w:rPr>
                <w:sz w:val="20"/>
                <w:szCs w:val="20"/>
                <w:lang w:val="fr-FR"/>
              </w:rPr>
            </w:pPr>
            <w:r w:rsidRPr="00DB56ED">
              <w:rPr>
                <w:sz w:val="20"/>
                <w:szCs w:val="20"/>
                <w:lang w:val="fr-FR"/>
              </w:rPr>
              <w:t>751</w:t>
            </w:r>
          </w:p>
        </w:tc>
        <w:tc>
          <w:tcPr>
            <w:tcW w:w="2385" w:type="dxa"/>
            <w:tcMar>
              <w:left w:w="115" w:type="dxa"/>
              <w:right w:w="288" w:type="dxa"/>
            </w:tcMar>
          </w:tcPr>
          <w:p w:rsidR="0052476E" w:rsidRPr="00DB56ED" w:rsidRDefault="0052476E" w:rsidP="009D7CDB">
            <w:pPr>
              <w:jc w:val="right"/>
              <w:rPr>
                <w:sz w:val="20"/>
                <w:szCs w:val="20"/>
                <w:lang w:val="fr-FR"/>
              </w:rPr>
            </w:pPr>
            <w:r w:rsidRPr="00DB56ED">
              <w:rPr>
                <w:sz w:val="20"/>
                <w:szCs w:val="20"/>
                <w:lang w:val="fr-FR"/>
              </w:rPr>
              <w:t>0</w:t>
            </w:r>
          </w:p>
        </w:tc>
      </w:tr>
      <w:tr w:rsidR="0052476E" w:rsidRPr="00DB56ED" w:rsidTr="009D7CDB">
        <w:tc>
          <w:tcPr>
            <w:tcW w:w="4585" w:type="dxa"/>
          </w:tcPr>
          <w:p w:rsidR="0052476E" w:rsidRPr="00DB56ED" w:rsidRDefault="0052476E" w:rsidP="009D7CDB">
            <w:pPr>
              <w:rPr>
                <w:sz w:val="20"/>
                <w:szCs w:val="20"/>
                <w:lang w:val="fr-FR"/>
              </w:rPr>
            </w:pPr>
            <w:r w:rsidRPr="00DB56ED">
              <w:rPr>
                <w:sz w:val="20"/>
                <w:szCs w:val="20"/>
                <w:lang w:val="fr-FR"/>
              </w:rPr>
              <w:t>Vérification indépendante de la consommation</w:t>
            </w:r>
          </w:p>
        </w:tc>
        <w:tc>
          <w:tcPr>
            <w:tcW w:w="2385" w:type="dxa"/>
            <w:tcMar>
              <w:left w:w="115" w:type="dxa"/>
              <w:right w:w="288" w:type="dxa"/>
            </w:tcMar>
          </w:tcPr>
          <w:p w:rsidR="0052476E" w:rsidRPr="00DB56ED" w:rsidRDefault="0052476E" w:rsidP="009D7CDB">
            <w:pPr>
              <w:jc w:val="right"/>
              <w:rPr>
                <w:sz w:val="20"/>
                <w:szCs w:val="20"/>
                <w:lang w:val="fr-FR"/>
              </w:rPr>
            </w:pPr>
            <w:r w:rsidRPr="00DB56ED">
              <w:rPr>
                <w:sz w:val="20"/>
                <w:szCs w:val="20"/>
                <w:lang w:val="fr-FR"/>
              </w:rPr>
              <w:t>7 615</w:t>
            </w:r>
          </w:p>
        </w:tc>
        <w:tc>
          <w:tcPr>
            <w:tcW w:w="2385" w:type="dxa"/>
            <w:tcMar>
              <w:left w:w="115" w:type="dxa"/>
              <w:right w:w="288" w:type="dxa"/>
            </w:tcMar>
          </w:tcPr>
          <w:p w:rsidR="0052476E" w:rsidRPr="00DB56ED" w:rsidRDefault="0052476E" w:rsidP="009D7CDB">
            <w:pPr>
              <w:jc w:val="right"/>
              <w:rPr>
                <w:sz w:val="20"/>
                <w:szCs w:val="20"/>
                <w:lang w:val="fr-FR"/>
              </w:rPr>
            </w:pPr>
            <w:r w:rsidRPr="00DB56ED">
              <w:rPr>
                <w:sz w:val="20"/>
                <w:szCs w:val="20"/>
                <w:lang w:val="fr-FR"/>
              </w:rPr>
              <w:t>8 995</w:t>
            </w:r>
          </w:p>
        </w:tc>
      </w:tr>
      <w:tr w:rsidR="0052476E" w:rsidRPr="00DB56ED" w:rsidTr="009D7CDB">
        <w:tc>
          <w:tcPr>
            <w:tcW w:w="4585" w:type="dxa"/>
          </w:tcPr>
          <w:p w:rsidR="0052476E" w:rsidRPr="00DB56ED" w:rsidRDefault="0052476E" w:rsidP="009D7CDB">
            <w:pPr>
              <w:rPr>
                <w:b/>
                <w:sz w:val="20"/>
                <w:szCs w:val="20"/>
                <w:lang w:val="fr-FR"/>
              </w:rPr>
            </w:pPr>
            <w:r w:rsidRPr="00DB56ED">
              <w:rPr>
                <w:b/>
                <w:sz w:val="20"/>
                <w:szCs w:val="20"/>
                <w:lang w:val="fr-FR"/>
              </w:rPr>
              <w:t>Total</w:t>
            </w:r>
          </w:p>
        </w:tc>
        <w:tc>
          <w:tcPr>
            <w:tcW w:w="2385" w:type="dxa"/>
            <w:tcMar>
              <w:left w:w="115" w:type="dxa"/>
              <w:right w:w="288" w:type="dxa"/>
            </w:tcMar>
          </w:tcPr>
          <w:p w:rsidR="0052476E" w:rsidRPr="00DB56ED" w:rsidRDefault="0052476E" w:rsidP="009D7CDB">
            <w:pPr>
              <w:jc w:val="right"/>
              <w:rPr>
                <w:b/>
                <w:sz w:val="20"/>
                <w:szCs w:val="20"/>
                <w:lang w:val="fr-FR"/>
              </w:rPr>
            </w:pPr>
            <w:r w:rsidRPr="00DB56ED">
              <w:rPr>
                <w:b/>
                <w:sz w:val="20"/>
                <w:szCs w:val="20"/>
                <w:lang w:val="fr-FR"/>
              </w:rPr>
              <w:t>245 325</w:t>
            </w:r>
          </w:p>
        </w:tc>
        <w:tc>
          <w:tcPr>
            <w:tcW w:w="2385" w:type="dxa"/>
            <w:tcMar>
              <w:left w:w="115" w:type="dxa"/>
              <w:right w:w="288" w:type="dxa"/>
            </w:tcMar>
          </w:tcPr>
          <w:p w:rsidR="0052476E" w:rsidRPr="00DB56ED" w:rsidRDefault="0052476E" w:rsidP="009D7CDB">
            <w:pPr>
              <w:jc w:val="right"/>
              <w:rPr>
                <w:b/>
                <w:sz w:val="20"/>
                <w:szCs w:val="20"/>
                <w:lang w:val="fr-FR"/>
              </w:rPr>
            </w:pPr>
            <w:r w:rsidRPr="00DB56ED">
              <w:rPr>
                <w:b/>
                <w:sz w:val="20"/>
                <w:szCs w:val="20"/>
                <w:lang w:val="fr-FR"/>
              </w:rPr>
              <w:t>15 770</w:t>
            </w:r>
          </w:p>
        </w:tc>
      </w:tr>
    </w:tbl>
    <w:p w:rsidR="0052476E" w:rsidRPr="00DB56ED" w:rsidRDefault="0052476E" w:rsidP="0052476E">
      <w:pPr>
        <w:rPr>
          <w:highlight w:val="cyan"/>
          <w:lang w:val="fr-FR"/>
        </w:rPr>
      </w:pPr>
    </w:p>
    <w:p w:rsidR="0052476E" w:rsidRPr="00DB56ED" w:rsidRDefault="0052476E" w:rsidP="0052476E">
      <w:pPr>
        <w:rPr>
          <w:u w:val="single"/>
          <w:lang w:val="fr-FR"/>
        </w:rPr>
      </w:pPr>
      <w:r w:rsidRPr="00DB56ED">
        <w:rPr>
          <w:u w:val="single"/>
          <w:lang w:val="fr-FR"/>
        </w:rPr>
        <w:t xml:space="preserve">Décaissement du financement </w:t>
      </w:r>
    </w:p>
    <w:p w:rsidR="0052476E" w:rsidRPr="00DB56ED" w:rsidRDefault="0052476E" w:rsidP="0052476E">
      <w:pPr>
        <w:rPr>
          <w:lang w:val="fr-FR"/>
        </w:rPr>
      </w:pPr>
    </w:p>
    <w:p w:rsidR="0052476E" w:rsidRPr="00DB56ED" w:rsidRDefault="0052476E" w:rsidP="0052476E">
      <w:pPr>
        <w:pStyle w:val="Heading1"/>
        <w:rPr>
          <w:lang w:val="fr-FR"/>
        </w:rPr>
      </w:pPr>
      <w:r w:rsidRPr="00DB56ED">
        <w:rPr>
          <w:lang w:val="fr-FR"/>
        </w:rPr>
        <w:t xml:space="preserve">En date d’octobre 2019, des 4 199 298 $ US approuvés </w:t>
      </w:r>
      <w:proofErr w:type="gramStart"/>
      <w:r w:rsidRPr="00DB56ED">
        <w:rPr>
          <w:lang w:val="fr-FR"/>
        </w:rPr>
        <w:t>jusque alors</w:t>
      </w:r>
      <w:proofErr w:type="gramEnd"/>
      <w:r w:rsidRPr="00DB56ED">
        <w:rPr>
          <w:lang w:val="fr-FR"/>
        </w:rPr>
        <w:t>, une somme de 2 240 297 $ US avait été décaissée (1 717 152 $ US pour le PNUD, 34 445 $ US pour le PNUE et 488 700 $ US pour le gouvernement de l’Allemagne), comme indiqué dans le Tableau 3. Le solde de 1 959 001 $ US sera décaissé entre 2019 et 2021.</w:t>
      </w:r>
    </w:p>
    <w:p w:rsidR="0052476E" w:rsidRPr="00DB56ED" w:rsidRDefault="0052476E" w:rsidP="0052476E">
      <w:pPr>
        <w:rPr>
          <w:b/>
          <w:lang w:val="fr-FR"/>
        </w:rPr>
      </w:pPr>
      <w:r w:rsidRPr="00DB56ED">
        <w:rPr>
          <w:b/>
          <w:lang w:val="fr-FR"/>
        </w:rPr>
        <w:t>Tableau 3. Rapport financier de la phase II du PGEH pour la Colombie ($ US)</w:t>
      </w:r>
    </w:p>
    <w:tbl>
      <w:tblPr>
        <w:tblStyle w:val="TableGrid"/>
        <w:tblW w:w="0" w:type="auto"/>
        <w:tblLook w:val="04A0" w:firstRow="1" w:lastRow="0" w:firstColumn="1" w:lastColumn="0" w:noHBand="0" w:noVBand="1"/>
      </w:tblPr>
      <w:tblGrid>
        <w:gridCol w:w="2144"/>
        <w:gridCol w:w="1201"/>
        <w:gridCol w:w="1201"/>
        <w:gridCol w:w="1201"/>
        <w:gridCol w:w="1201"/>
        <w:gridCol w:w="1201"/>
        <w:gridCol w:w="1201"/>
      </w:tblGrid>
      <w:tr w:rsidR="0052476E" w:rsidRPr="00DB56ED" w:rsidTr="009D7CDB">
        <w:tc>
          <w:tcPr>
            <w:tcW w:w="2144" w:type="dxa"/>
            <w:vMerge w:val="restart"/>
            <w:tcMar>
              <w:left w:w="29" w:type="dxa"/>
              <w:right w:w="0" w:type="dxa"/>
            </w:tcMar>
            <w:vAlign w:val="center"/>
          </w:tcPr>
          <w:p w:rsidR="0052476E" w:rsidRPr="00DB56ED" w:rsidRDefault="0052476E" w:rsidP="009D7CDB">
            <w:pPr>
              <w:keepNext/>
              <w:jc w:val="left"/>
              <w:rPr>
                <w:b/>
                <w:sz w:val="20"/>
                <w:szCs w:val="20"/>
                <w:lang w:val="fr-FR"/>
              </w:rPr>
            </w:pPr>
            <w:r w:rsidRPr="00DB56ED">
              <w:rPr>
                <w:b/>
                <w:sz w:val="20"/>
                <w:szCs w:val="20"/>
                <w:lang w:val="fr-FR"/>
              </w:rPr>
              <w:t>Agence</w:t>
            </w:r>
          </w:p>
        </w:tc>
        <w:tc>
          <w:tcPr>
            <w:tcW w:w="2402" w:type="dxa"/>
            <w:gridSpan w:val="2"/>
          </w:tcPr>
          <w:p w:rsidR="0052476E" w:rsidRPr="00DB56ED" w:rsidRDefault="0052476E" w:rsidP="009D7CDB">
            <w:pPr>
              <w:keepNext/>
              <w:jc w:val="center"/>
              <w:rPr>
                <w:b/>
                <w:sz w:val="20"/>
                <w:szCs w:val="20"/>
                <w:lang w:val="fr-FR"/>
              </w:rPr>
            </w:pPr>
            <w:r w:rsidRPr="00DB56ED">
              <w:rPr>
                <w:b/>
                <w:sz w:val="20"/>
                <w:szCs w:val="20"/>
                <w:lang w:val="fr-FR"/>
              </w:rPr>
              <w:t>Première tranche</w:t>
            </w:r>
          </w:p>
        </w:tc>
        <w:tc>
          <w:tcPr>
            <w:tcW w:w="2402" w:type="dxa"/>
            <w:gridSpan w:val="2"/>
          </w:tcPr>
          <w:p w:rsidR="0052476E" w:rsidRPr="00DB56ED" w:rsidRDefault="0052476E" w:rsidP="009D7CDB">
            <w:pPr>
              <w:keepNext/>
              <w:jc w:val="center"/>
              <w:rPr>
                <w:b/>
                <w:sz w:val="20"/>
                <w:szCs w:val="20"/>
                <w:lang w:val="fr-FR"/>
              </w:rPr>
            </w:pPr>
            <w:r w:rsidRPr="00DB56ED">
              <w:rPr>
                <w:b/>
                <w:sz w:val="20"/>
                <w:szCs w:val="20"/>
                <w:lang w:val="fr-FR"/>
              </w:rPr>
              <w:t>Deuxième tranche</w:t>
            </w:r>
          </w:p>
        </w:tc>
        <w:tc>
          <w:tcPr>
            <w:tcW w:w="2402" w:type="dxa"/>
            <w:gridSpan w:val="2"/>
          </w:tcPr>
          <w:p w:rsidR="0052476E" w:rsidRPr="00DB56ED" w:rsidRDefault="0052476E" w:rsidP="009D7CDB">
            <w:pPr>
              <w:keepNext/>
              <w:jc w:val="center"/>
              <w:rPr>
                <w:b/>
                <w:sz w:val="20"/>
                <w:szCs w:val="20"/>
                <w:lang w:val="fr-FR"/>
              </w:rPr>
            </w:pPr>
            <w:r w:rsidRPr="00DB56ED">
              <w:rPr>
                <w:b/>
                <w:sz w:val="20"/>
                <w:szCs w:val="20"/>
                <w:lang w:val="fr-FR"/>
              </w:rPr>
              <w:t>Total approuvé</w:t>
            </w:r>
          </w:p>
        </w:tc>
      </w:tr>
      <w:tr w:rsidR="0052476E" w:rsidRPr="00DB56ED" w:rsidTr="009D7CDB">
        <w:tc>
          <w:tcPr>
            <w:tcW w:w="2144" w:type="dxa"/>
            <w:vMerge/>
            <w:tcMar>
              <w:left w:w="29" w:type="dxa"/>
              <w:right w:w="0" w:type="dxa"/>
            </w:tcMar>
            <w:vAlign w:val="center"/>
          </w:tcPr>
          <w:p w:rsidR="0052476E" w:rsidRPr="00DB56ED" w:rsidRDefault="0052476E" w:rsidP="009D7CDB">
            <w:pPr>
              <w:keepNext/>
              <w:jc w:val="left"/>
              <w:rPr>
                <w:b/>
                <w:sz w:val="20"/>
                <w:szCs w:val="20"/>
                <w:lang w:val="fr-FR"/>
              </w:rPr>
            </w:pPr>
          </w:p>
        </w:tc>
        <w:tc>
          <w:tcPr>
            <w:tcW w:w="1201" w:type="dxa"/>
          </w:tcPr>
          <w:p w:rsidR="0052476E" w:rsidRPr="00DB56ED" w:rsidRDefault="0052476E" w:rsidP="009D7CDB">
            <w:pPr>
              <w:keepNext/>
              <w:jc w:val="center"/>
              <w:rPr>
                <w:b/>
                <w:sz w:val="20"/>
                <w:szCs w:val="20"/>
                <w:lang w:val="fr-FR"/>
              </w:rPr>
            </w:pPr>
            <w:r w:rsidRPr="00DB56ED">
              <w:rPr>
                <w:b/>
                <w:sz w:val="20"/>
                <w:szCs w:val="20"/>
                <w:lang w:val="fr-FR"/>
              </w:rPr>
              <w:t>Approuvé</w:t>
            </w:r>
          </w:p>
        </w:tc>
        <w:tc>
          <w:tcPr>
            <w:tcW w:w="1201" w:type="dxa"/>
          </w:tcPr>
          <w:p w:rsidR="0052476E" w:rsidRPr="00DB56ED" w:rsidRDefault="0052476E" w:rsidP="009D7CDB">
            <w:pPr>
              <w:keepNext/>
              <w:jc w:val="center"/>
              <w:rPr>
                <w:b/>
                <w:sz w:val="20"/>
                <w:szCs w:val="20"/>
                <w:lang w:val="fr-FR"/>
              </w:rPr>
            </w:pPr>
            <w:r w:rsidRPr="00DB56ED">
              <w:rPr>
                <w:b/>
                <w:sz w:val="20"/>
                <w:szCs w:val="20"/>
                <w:lang w:val="fr-FR"/>
              </w:rPr>
              <w:t>Décaissé</w:t>
            </w:r>
          </w:p>
        </w:tc>
        <w:tc>
          <w:tcPr>
            <w:tcW w:w="1201" w:type="dxa"/>
          </w:tcPr>
          <w:p w:rsidR="0052476E" w:rsidRPr="00DB56ED" w:rsidRDefault="0052476E" w:rsidP="009D7CDB">
            <w:pPr>
              <w:keepNext/>
              <w:jc w:val="center"/>
              <w:rPr>
                <w:b/>
                <w:sz w:val="20"/>
                <w:szCs w:val="20"/>
                <w:lang w:val="fr-FR"/>
              </w:rPr>
            </w:pPr>
            <w:r w:rsidRPr="00DB56ED">
              <w:rPr>
                <w:b/>
                <w:sz w:val="20"/>
                <w:szCs w:val="20"/>
                <w:lang w:val="fr-FR"/>
              </w:rPr>
              <w:t>Approuvé</w:t>
            </w:r>
          </w:p>
        </w:tc>
        <w:tc>
          <w:tcPr>
            <w:tcW w:w="1201" w:type="dxa"/>
          </w:tcPr>
          <w:p w:rsidR="0052476E" w:rsidRPr="00DB56ED" w:rsidRDefault="0052476E" w:rsidP="009D7CDB">
            <w:pPr>
              <w:keepNext/>
              <w:jc w:val="center"/>
              <w:rPr>
                <w:b/>
                <w:sz w:val="20"/>
                <w:szCs w:val="20"/>
                <w:lang w:val="fr-FR"/>
              </w:rPr>
            </w:pPr>
            <w:r w:rsidRPr="00DB56ED">
              <w:rPr>
                <w:b/>
                <w:sz w:val="20"/>
                <w:szCs w:val="20"/>
                <w:lang w:val="fr-FR"/>
              </w:rPr>
              <w:t>Décaissé</w:t>
            </w:r>
          </w:p>
        </w:tc>
        <w:tc>
          <w:tcPr>
            <w:tcW w:w="1201" w:type="dxa"/>
          </w:tcPr>
          <w:p w:rsidR="0052476E" w:rsidRPr="00DB56ED" w:rsidRDefault="0052476E" w:rsidP="009D7CDB">
            <w:pPr>
              <w:keepNext/>
              <w:jc w:val="center"/>
              <w:rPr>
                <w:b/>
                <w:sz w:val="20"/>
                <w:szCs w:val="20"/>
                <w:lang w:val="fr-FR"/>
              </w:rPr>
            </w:pPr>
            <w:r w:rsidRPr="00DB56ED">
              <w:rPr>
                <w:b/>
                <w:sz w:val="20"/>
                <w:szCs w:val="20"/>
                <w:lang w:val="fr-FR"/>
              </w:rPr>
              <w:t>Approuvé</w:t>
            </w:r>
          </w:p>
        </w:tc>
        <w:tc>
          <w:tcPr>
            <w:tcW w:w="1201" w:type="dxa"/>
          </w:tcPr>
          <w:p w:rsidR="0052476E" w:rsidRPr="00DB56ED" w:rsidRDefault="0052476E" w:rsidP="009D7CDB">
            <w:pPr>
              <w:keepNext/>
              <w:jc w:val="center"/>
              <w:rPr>
                <w:b/>
                <w:sz w:val="20"/>
                <w:szCs w:val="20"/>
                <w:lang w:val="fr-FR"/>
              </w:rPr>
            </w:pPr>
            <w:r w:rsidRPr="00DB56ED">
              <w:rPr>
                <w:b/>
                <w:sz w:val="20"/>
                <w:szCs w:val="20"/>
                <w:lang w:val="fr-FR"/>
              </w:rPr>
              <w:t>Décaissé</w:t>
            </w:r>
          </w:p>
        </w:tc>
      </w:tr>
      <w:tr w:rsidR="0052476E" w:rsidRPr="00DB56ED" w:rsidTr="009D7CDB">
        <w:tc>
          <w:tcPr>
            <w:tcW w:w="2144" w:type="dxa"/>
            <w:tcMar>
              <w:left w:w="29" w:type="dxa"/>
              <w:right w:w="0" w:type="dxa"/>
            </w:tcMar>
            <w:vAlign w:val="center"/>
          </w:tcPr>
          <w:p w:rsidR="0052476E" w:rsidRPr="00DB56ED" w:rsidRDefault="0052476E" w:rsidP="009D7CDB">
            <w:pPr>
              <w:keepNext/>
              <w:jc w:val="left"/>
              <w:rPr>
                <w:sz w:val="20"/>
                <w:szCs w:val="20"/>
                <w:lang w:val="fr-FR"/>
              </w:rPr>
            </w:pPr>
            <w:r w:rsidRPr="00DB56ED">
              <w:rPr>
                <w:sz w:val="20"/>
                <w:szCs w:val="20"/>
                <w:lang w:val="fr-FR"/>
              </w:rPr>
              <w:t>PNUD</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2 342 591</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1 538 917</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1 268 007</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178 235</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3 610 598</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1 717 152</w:t>
            </w:r>
          </w:p>
        </w:tc>
      </w:tr>
      <w:tr w:rsidR="0052476E" w:rsidRPr="00DB56ED" w:rsidTr="009D7CDB">
        <w:tc>
          <w:tcPr>
            <w:tcW w:w="2144" w:type="dxa"/>
            <w:tcMar>
              <w:left w:w="29" w:type="dxa"/>
              <w:right w:w="0" w:type="dxa"/>
            </w:tcMar>
            <w:vAlign w:val="center"/>
          </w:tcPr>
          <w:p w:rsidR="0052476E" w:rsidRPr="00DB56ED" w:rsidRDefault="0052476E" w:rsidP="009D7CDB">
            <w:pPr>
              <w:jc w:val="left"/>
              <w:rPr>
                <w:sz w:val="20"/>
                <w:szCs w:val="20"/>
                <w:lang w:val="fr-FR"/>
              </w:rPr>
            </w:pPr>
            <w:r w:rsidRPr="00DB56ED">
              <w:rPr>
                <w:sz w:val="20"/>
                <w:szCs w:val="20"/>
                <w:lang w:val="fr-FR"/>
              </w:rPr>
              <w:t>PNUE</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50 000</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34 445</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50 000</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0</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100 000</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34 445</w:t>
            </w:r>
          </w:p>
        </w:tc>
      </w:tr>
      <w:tr w:rsidR="0052476E" w:rsidRPr="00DB56ED" w:rsidTr="009D7CDB">
        <w:tc>
          <w:tcPr>
            <w:tcW w:w="2144" w:type="dxa"/>
            <w:tcMar>
              <w:left w:w="29" w:type="dxa"/>
              <w:right w:w="0" w:type="dxa"/>
            </w:tcMar>
            <w:vAlign w:val="center"/>
          </w:tcPr>
          <w:p w:rsidR="0052476E" w:rsidRPr="00DB56ED" w:rsidRDefault="0052476E" w:rsidP="009D7CDB">
            <w:pPr>
              <w:jc w:val="left"/>
              <w:rPr>
                <w:sz w:val="20"/>
                <w:szCs w:val="20"/>
                <w:lang w:val="fr-FR"/>
              </w:rPr>
            </w:pPr>
            <w:r w:rsidRPr="00DB56ED">
              <w:rPr>
                <w:sz w:val="20"/>
                <w:szCs w:val="20"/>
                <w:lang w:val="fr-FR"/>
              </w:rPr>
              <w:t>Allemagne</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325 800</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325 800</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162 900</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162 900</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488 700</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488 700</w:t>
            </w:r>
          </w:p>
        </w:tc>
      </w:tr>
      <w:tr w:rsidR="0052476E" w:rsidRPr="00DB56ED" w:rsidTr="009D7CDB">
        <w:tc>
          <w:tcPr>
            <w:tcW w:w="2144" w:type="dxa"/>
            <w:tcMar>
              <w:left w:w="29" w:type="dxa"/>
              <w:right w:w="0" w:type="dxa"/>
            </w:tcMar>
            <w:vAlign w:val="center"/>
          </w:tcPr>
          <w:p w:rsidR="0052476E" w:rsidRPr="00DB56ED" w:rsidRDefault="0052476E" w:rsidP="009D7CDB">
            <w:pPr>
              <w:jc w:val="left"/>
              <w:rPr>
                <w:b/>
                <w:sz w:val="20"/>
                <w:szCs w:val="20"/>
                <w:lang w:val="fr-FR"/>
              </w:rPr>
            </w:pPr>
            <w:r w:rsidRPr="00DB56ED">
              <w:rPr>
                <w:b/>
                <w:sz w:val="20"/>
                <w:szCs w:val="20"/>
                <w:lang w:val="fr-FR"/>
              </w:rPr>
              <w:t>Total</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2 718 391</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1 899 162</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1 480 907</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341 135</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4 199 298</w:t>
            </w:r>
          </w:p>
        </w:tc>
        <w:tc>
          <w:tcPr>
            <w:tcW w:w="1201" w:type="dxa"/>
            <w:tcMar>
              <w:left w:w="115" w:type="dxa"/>
              <w:right w:w="144" w:type="dxa"/>
            </w:tcMar>
          </w:tcPr>
          <w:p w:rsidR="0052476E" w:rsidRPr="00DB56ED" w:rsidRDefault="0052476E" w:rsidP="009D7CDB">
            <w:pPr>
              <w:jc w:val="right"/>
              <w:rPr>
                <w:sz w:val="20"/>
                <w:szCs w:val="20"/>
                <w:lang w:val="fr-FR"/>
              </w:rPr>
            </w:pPr>
            <w:r w:rsidRPr="00DB56ED">
              <w:rPr>
                <w:sz w:val="20"/>
                <w:szCs w:val="20"/>
                <w:lang w:val="fr-FR"/>
              </w:rPr>
              <w:t>2 240 297</w:t>
            </w:r>
          </w:p>
        </w:tc>
      </w:tr>
      <w:tr w:rsidR="0052476E" w:rsidRPr="00DB56ED" w:rsidTr="009D7CDB">
        <w:tc>
          <w:tcPr>
            <w:tcW w:w="2144" w:type="dxa"/>
            <w:tcMar>
              <w:left w:w="29" w:type="dxa"/>
              <w:right w:w="0" w:type="dxa"/>
            </w:tcMar>
            <w:vAlign w:val="center"/>
          </w:tcPr>
          <w:p w:rsidR="0052476E" w:rsidRPr="00DB56ED" w:rsidRDefault="0052476E" w:rsidP="009D7CDB">
            <w:pPr>
              <w:jc w:val="left"/>
              <w:rPr>
                <w:b/>
                <w:sz w:val="20"/>
                <w:szCs w:val="20"/>
                <w:lang w:val="fr-FR"/>
              </w:rPr>
            </w:pPr>
            <w:r w:rsidRPr="00DB56ED">
              <w:rPr>
                <w:b/>
                <w:sz w:val="20"/>
                <w:szCs w:val="20"/>
                <w:lang w:val="fr-FR"/>
              </w:rPr>
              <w:t>Taux de décaissement (%)</w:t>
            </w:r>
          </w:p>
        </w:tc>
        <w:tc>
          <w:tcPr>
            <w:tcW w:w="2402" w:type="dxa"/>
            <w:gridSpan w:val="2"/>
            <w:tcMar>
              <w:left w:w="115" w:type="dxa"/>
              <w:right w:w="144" w:type="dxa"/>
            </w:tcMar>
            <w:vAlign w:val="center"/>
          </w:tcPr>
          <w:p w:rsidR="0052476E" w:rsidRPr="00DB56ED" w:rsidRDefault="0052476E" w:rsidP="009D7CDB">
            <w:pPr>
              <w:jc w:val="center"/>
              <w:rPr>
                <w:sz w:val="20"/>
                <w:szCs w:val="20"/>
                <w:lang w:val="fr-FR"/>
              </w:rPr>
            </w:pPr>
            <w:r w:rsidRPr="00DB56ED">
              <w:rPr>
                <w:sz w:val="20"/>
                <w:szCs w:val="20"/>
                <w:lang w:val="fr-FR"/>
              </w:rPr>
              <w:t>70</w:t>
            </w:r>
          </w:p>
        </w:tc>
        <w:tc>
          <w:tcPr>
            <w:tcW w:w="2402" w:type="dxa"/>
            <w:gridSpan w:val="2"/>
            <w:tcMar>
              <w:left w:w="115" w:type="dxa"/>
              <w:right w:w="144" w:type="dxa"/>
            </w:tcMar>
            <w:vAlign w:val="center"/>
          </w:tcPr>
          <w:p w:rsidR="0052476E" w:rsidRPr="00DB56ED" w:rsidRDefault="0052476E" w:rsidP="009D7CDB">
            <w:pPr>
              <w:jc w:val="center"/>
              <w:rPr>
                <w:sz w:val="20"/>
                <w:szCs w:val="20"/>
                <w:lang w:val="fr-FR"/>
              </w:rPr>
            </w:pPr>
            <w:r w:rsidRPr="00DB56ED">
              <w:rPr>
                <w:sz w:val="20"/>
                <w:szCs w:val="20"/>
                <w:lang w:val="fr-FR"/>
              </w:rPr>
              <w:t>23</w:t>
            </w:r>
          </w:p>
        </w:tc>
        <w:tc>
          <w:tcPr>
            <w:tcW w:w="2402" w:type="dxa"/>
            <w:gridSpan w:val="2"/>
            <w:tcMar>
              <w:left w:w="115" w:type="dxa"/>
              <w:right w:w="144" w:type="dxa"/>
            </w:tcMar>
            <w:vAlign w:val="center"/>
          </w:tcPr>
          <w:p w:rsidR="0052476E" w:rsidRPr="00DB56ED" w:rsidRDefault="0052476E" w:rsidP="009D7CDB">
            <w:pPr>
              <w:jc w:val="center"/>
              <w:rPr>
                <w:sz w:val="20"/>
                <w:szCs w:val="20"/>
                <w:lang w:val="fr-FR"/>
              </w:rPr>
            </w:pPr>
            <w:r w:rsidRPr="00DB56ED">
              <w:rPr>
                <w:sz w:val="20"/>
                <w:szCs w:val="20"/>
                <w:lang w:val="fr-FR"/>
              </w:rPr>
              <w:t>53</w:t>
            </w:r>
          </w:p>
        </w:tc>
      </w:tr>
    </w:tbl>
    <w:p w:rsidR="0052476E" w:rsidRPr="00DB56ED" w:rsidRDefault="0052476E" w:rsidP="0052476E">
      <w:pPr>
        <w:rPr>
          <w:lang w:val="fr-FR"/>
        </w:rPr>
      </w:pPr>
    </w:p>
    <w:p w:rsidR="0052476E" w:rsidRPr="00DB56ED" w:rsidRDefault="0052476E" w:rsidP="0052476E">
      <w:pPr>
        <w:rPr>
          <w:u w:val="single"/>
          <w:lang w:val="fr-FR"/>
        </w:rPr>
      </w:pPr>
      <w:r w:rsidRPr="00DB56ED">
        <w:rPr>
          <w:u w:val="single"/>
          <w:lang w:val="fr-FR"/>
        </w:rPr>
        <w:t>Plan de mise en œuvre pour la troisième tranche du PGEH</w:t>
      </w:r>
    </w:p>
    <w:p w:rsidR="0052476E" w:rsidRPr="00DB56ED" w:rsidRDefault="0052476E" w:rsidP="0052476E">
      <w:pPr>
        <w:rPr>
          <w:lang w:val="fr-FR"/>
        </w:rPr>
      </w:pPr>
    </w:p>
    <w:p w:rsidR="0052476E" w:rsidRPr="00DB56ED" w:rsidRDefault="0052476E" w:rsidP="0052476E">
      <w:pPr>
        <w:pStyle w:val="Heading1"/>
        <w:rPr>
          <w:lang w:val="fr-FR"/>
        </w:rPr>
      </w:pPr>
      <w:r w:rsidRPr="00DB56ED">
        <w:rPr>
          <w:lang w:val="fr-FR"/>
        </w:rPr>
        <w:t>Les activités suivantes seront mises en œuvre entre 2019 et 2021 :</w:t>
      </w:r>
    </w:p>
    <w:p w:rsidR="0052476E" w:rsidRPr="00DB56ED" w:rsidRDefault="0052476E" w:rsidP="0052476E">
      <w:pPr>
        <w:pStyle w:val="Heading2"/>
        <w:numPr>
          <w:ilvl w:val="1"/>
          <w:numId w:val="1"/>
        </w:numPr>
        <w:rPr>
          <w:lang w:val="fr-FR"/>
        </w:rPr>
      </w:pPr>
      <w:r w:rsidRPr="00DB56ED">
        <w:rPr>
          <w:lang w:val="fr-FR"/>
        </w:rPr>
        <w:lastRenderedPageBreak/>
        <w:t>Examen et comparaison des bases de données d’importation, de quotas et d’octroi de permis, surveillance du commerce, participation à la PIC ; mise en œuvre d’un plan pilote sur l’utilisation de bouteilles réutilisables ; participation au système d’étiquetage du GHS pour améliorer l’étiquetage des HCFC (50 000 $ US) (PNUE).</w:t>
      </w:r>
    </w:p>
    <w:p w:rsidR="0052476E" w:rsidRPr="00DB56ED" w:rsidRDefault="0052476E" w:rsidP="0052476E">
      <w:pPr>
        <w:pStyle w:val="Heading2"/>
        <w:numPr>
          <w:ilvl w:val="1"/>
          <w:numId w:val="1"/>
        </w:numPr>
        <w:rPr>
          <w:lang w:val="fr-FR"/>
        </w:rPr>
      </w:pPr>
      <w:r w:rsidRPr="00DB56ED">
        <w:rPr>
          <w:lang w:val="fr-FR"/>
        </w:rPr>
        <w:t>Poursuite de l’examen des réglementations, l’évaluation des impacts économiques et l’assistance au Système colombien d’information environnementale concernant les SAO (15 000 $ US) (PNUD).</w:t>
      </w:r>
    </w:p>
    <w:p w:rsidR="0052476E" w:rsidRPr="00DB56ED" w:rsidRDefault="0052476E" w:rsidP="0052476E">
      <w:pPr>
        <w:pStyle w:val="Heading2"/>
        <w:numPr>
          <w:ilvl w:val="1"/>
          <w:numId w:val="1"/>
        </w:numPr>
        <w:rPr>
          <w:lang w:val="fr-FR"/>
        </w:rPr>
      </w:pPr>
      <w:r w:rsidRPr="00DB56ED">
        <w:rPr>
          <w:lang w:val="fr-FR"/>
        </w:rPr>
        <w:t xml:space="preserve">Développement d’instruments d’évaluation des nouvelles normes de compétence de la main-d’œuvre (5 000 $ US), consultant local pour la promotion de la certification des compétences de la main-d’œuvre (5 000 $ US) et approvisionnement de 150 outils pour l’installation et la maintenance des équipements de réfrigération et de climatisation résidentielle aux HC (260 000 $ US) (PNUD). </w:t>
      </w:r>
    </w:p>
    <w:p w:rsidR="0052476E" w:rsidRPr="00DB56ED" w:rsidRDefault="0052476E" w:rsidP="0052476E">
      <w:pPr>
        <w:pStyle w:val="Heading2"/>
        <w:numPr>
          <w:ilvl w:val="1"/>
          <w:numId w:val="1"/>
        </w:numPr>
        <w:rPr>
          <w:lang w:val="fr-FR"/>
        </w:rPr>
      </w:pPr>
      <w:r w:rsidRPr="00DB56ED">
        <w:rPr>
          <w:lang w:val="fr-FR"/>
        </w:rPr>
        <w:t>Étude de faisabilité pour le développement d’une machine de récupération de frigorigène à faible coût, comprenant la sélection de l’entreprise, la conception de la machine et l’assemblage du prototype ; et surveillance continue du réseau de RRR (30 000 $ US) (PNUD).</w:t>
      </w:r>
    </w:p>
    <w:p w:rsidR="0052476E" w:rsidRPr="00DB56ED" w:rsidRDefault="0052476E" w:rsidP="0052476E">
      <w:pPr>
        <w:pStyle w:val="Heading2"/>
        <w:numPr>
          <w:ilvl w:val="1"/>
          <w:numId w:val="1"/>
        </w:numPr>
        <w:rPr>
          <w:lang w:val="fr-FR"/>
        </w:rPr>
      </w:pPr>
      <w:r w:rsidRPr="00DB56ED">
        <w:rPr>
          <w:lang w:val="fr-FR"/>
        </w:rPr>
        <w:t>Coordination et ateliers avec les utilisateurs finaux (20 000 $ US), formation à l’utilisation de l’exemption de TVA (20 000 $ US) et assistance technique pour l’utilisation sans danger des solutions de remplacement à faible PRP dans un projet pilote qui reste à sélectionner (41 000 $ US) (PNUD).</w:t>
      </w:r>
    </w:p>
    <w:p w:rsidR="0052476E" w:rsidRPr="00DB56ED" w:rsidRDefault="0052476E" w:rsidP="0052476E">
      <w:pPr>
        <w:pStyle w:val="Heading2"/>
        <w:numPr>
          <w:ilvl w:val="1"/>
          <w:numId w:val="1"/>
        </w:numPr>
        <w:rPr>
          <w:lang w:val="fr-FR"/>
        </w:rPr>
      </w:pPr>
      <w:r w:rsidRPr="00DB56ED">
        <w:rPr>
          <w:lang w:val="fr-FR"/>
        </w:rPr>
        <w:t>Poursuite de la sensibilisation et de la collaboration avec les écoles pour la promotion de la protection de la couche d’ozone (PNUD) (20 000 $US).</w:t>
      </w:r>
    </w:p>
    <w:p w:rsidR="0052476E" w:rsidRPr="00DB56ED" w:rsidRDefault="0052476E" w:rsidP="0052476E">
      <w:pPr>
        <w:pStyle w:val="Heading2"/>
        <w:numPr>
          <w:ilvl w:val="1"/>
          <w:numId w:val="1"/>
        </w:numPr>
        <w:rPr>
          <w:lang w:val="fr-FR"/>
        </w:rPr>
      </w:pPr>
      <w:r w:rsidRPr="00DB56ED">
        <w:rPr>
          <w:lang w:val="fr-FR"/>
        </w:rPr>
        <w:t>Poursuite de la gestion de projet et du suivi, comprenant les consultants (180 749 $ US), les réunions de suivi (11 000 $ US), les frais de déplacement (15 000 $ US), les dépenses diverses (1 000 $ US) et la vérification indépendante de la consommation (12 000 $ US) (PNUD).</w:t>
      </w:r>
    </w:p>
    <w:p w:rsidR="0052476E" w:rsidRPr="00DB56ED" w:rsidRDefault="0052476E" w:rsidP="0052476E">
      <w:pPr>
        <w:keepNext/>
        <w:keepLines/>
        <w:jc w:val="center"/>
        <w:rPr>
          <w:b/>
          <w:lang w:val="fr-FR"/>
        </w:rPr>
      </w:pPr>
      <w:r w:rsidRPr="00DB56ED">
        <w:rPr>
          <w:b/>
          <w:lang w:val="fr-FR"/>
        </w:rPr>
        <w:t>OBSERVATIONS ET RECOMMENDATION DU SECRÉTARIAT</w:t>
      </w:r>
    </w:p>
    <w:p w:rsidR="0052476E" w:rsidRPr="00DB56ED" w:rsidRDefault="0052476E" w:rsidP="0052476E">
      <w:pPr>
        <w:keepNext/>
        <w:keepLines/>
        <w:rPr>
          <w:lang w:val="fr-FR"/>
        </w:rPr>
      </w:pPr>
    </w:p>
    <w:p w:rsidR="0052476E" w:rsidRPr="00DB56ED" w:rsidRDefault="0052476E" w:rsidP="0052476E">
      <w:pPr>
        <w:keepNext/>
        <w:keepLines/>
        <w:rPr>
          <w:b/>
          <w:lang w:val="fr-FR"/>
        </w:rPr>
      </w:pPr>
      <w:r w:rsidRPr="00DB56ED">
        <w:rPr>
          <w:b/>
          <w:lang w:val="fr-FR"/>
        </w:rPr>
        <w:t>OBSERVATIONS</w:t>
      </w:r>
    </w:p>
    <w:p w:rsidR="0052476E" w:rsidRPr="00DB56ED" w:rsidRDefault="0052476E" w:rsidP="0052476E">
      <w:pPr>
        <w:keepNext/>
        <w:keepLines/>
        <w:rPr>
          <w:lang w:val="fr-FR"/>
        </w:rPr>
      </w:pPr>
    </w:p>
    <w:p w:rsidR="0052476E" w:rsidRPr="00DB56ED" w:rsidRDefault="0052476E" w:rsidP="0052476E">
      <w:pPr>
        <w:keepNext/>
        <w:keepLines/>
        <w:rPr>
          <w:u w:val="single"/>
          <w:lang w:val="fr-FR"/>
        </w:rPr>
      </w:pPr>
      <w:r w:rsidRPr="00DB56ED">
        <w:rPr>
          <w:u w:val="single"/>
          <w:lang w:val="fr-FR"/>
        </w:rPr>
        <w:t>Rapport sur la consommation de HCFC</w:t>
      </w:r>
    </w:p>
    <w:p w:rsidR="0052476E" w:rsidRPr="00DB56ED" w:rsidRDefault="0052476E" w:rsidP="0052476E">
      <w:pPr>
        <w:keepNext/>
        <w:keepLines/>
        <w:rPr>
          <w:u w:val="single"/>
          <w:lang w:val="fr-FR"/>
        </w:rPr>
      </w:pPr>
    </w:p>
    <w:p w:rsidR="0052476E" w:rsidRPr="00DB56ED" w:rsidRDefault="0052476E" w:rsidP="0052476E">
      <w:pPr>
        <w:pStyle w:val="Heading1"/>
        <w:keepNext/>
        <w:keepLines/>
        <w:rPr>
          <w:lang w:val="fr-FR"/>
        </w:rPr>
      </w:pPr>
      <w:r w:rsidRPr="00DB56ED">
        <w:rPr>
          <w:lang w:val="fr-FR"/>
        </w:rPr>
        <w:t xml:space="preserve">Nonobstant que, conformément à la décision 68/42(c), le pays dispose d’un système national pour enregistrer la quantité de HCFC-141b contenu dans les polyols </w:t>
      </w:r>
      <w:proofErr w:type="spellStart"/>
      <w:r w:rsidRPr="00DB56ED">
        <w:rPr>
          <w:lang w:val="fr-FR"/>
        </w:rPr>
        <w:t>prémélangés</w:t>
      </w:r>
      <w:proofErr w:type="spellEnd"/>
      <w:r w:rsidRPr="00DB56ED">
        <w:rPr>
          <w:lang w:val="fr-FR"/>
        </w:rPr>
        <w:t xml:space="preserve"> exportés (et importés), le pays n’intègre pas de telles exportations dans son rapport de mise en œuvre du programme, car le pays considère le HCFC-141b contenu dans les polyols </w:t>
      </w:r>
      <w:proofErr w:type="spellStart"/>
      <w:r w:rsidRPr="00DB56ED">
        <w:rPr>
          <w:lang w:val="fr-FR"/>
        </w:rPr>
        <w:t>prémélangés</w:t>
      </w:r>
      <w:proofErr w:type="spellEnd"/>
      <w:r w:rsidRPr="00DB56ED">
        <w:rPr>
          <w:lang w:val="fr-FR"/>
        </w:rPr>
        <w:t xml:space="preserve"> exportés comme un produit. Le PNUD a confirmé que la Colombie avait précédemment exporté du HCFC-141b dans des polyols </w:t>
      </w:r>
      <w:proofErr w:type="spellStart"/>
      <w:r w:rsidRPr="00DB56ED">
        <w:rPr>
          <w:lang w:val="fr-FR"/>
        </w:rPr>
        <w:t>prémélangés</w:t>
      </w:r>
      <w:proofErr w:type="spellEnd"/>
      <w:r w:rsidRPr="00DB56ED">
        <w:rPr>
          <w:lang w:val="fr-FR"/>
        </w:rPr>
        <w:t>, et avait recommencé en 2018.</w:t>
      </w:r>
    </w:p>
    <w:p w:rsidR="0052476E" w:rsidRPr="00DB56ED" w:rsidRDefault="0052476E" w:rsidP="0052476E">
      <w:pPr>
        <w:rPr>
          <w:u w:val="single"/>
          <w:lang w:val="fr-FR"/>
        </w:rPr>
      </w:pPr>
      <w:r w:rsidRPr="00DB56ED">
        <w:rPr>
          <w:u w:val="single"/>
          <w:lang w:val="fr-FR"/>
        </w:rPr>
        <w:t>Rapport périodique sur la mise en œuvre de la deuxième tranche du PGEH</w:t>
      </w:r>
    </w:p>
    <w:p w:rsidR="0052476E" w:rsidRPr="00DB56ED" w:rsidRDefault="0052476E" w:rsidP="0052476E">
      <w:pPr>
        <w:rPr>
          <w:lang w:val="fr-FR"/>
        </w:rPr>
      </w:pPr>
    </w:p>
    <w:p w:rsidR="0052476E" w:rsidRPr="00DB56ED" w:rsidRDefault="0052476E" w:rsidP="0052476E">
      <w:pPr>
        <w:rPr>
          <w:i/>
          <w:lang w:val="fr-FR"/>
        </w:rPr>
      </w:pPr>
      <w:r w:rsidRPr="00DB56ED">
        <w:rPr>
          <w:i/>
          <w:lang w:val="fr-FR"/>
        </w:rPr>
        <w:t>Cadre juridique</w:t>
      </w:r>
    </w:p>
    <w:p w:rsidR="0052476E" w:rsidRPr="00DB56ED" w:rsidRDefault="0052476E" w:rsidP="0052476E">
      <w:pPr>
        <w:rPr>
          <w:lang w:val="fr-FR"/>
        </w:rPr>
      </w:pPr>
    </w:p>
    <w:p w:rsidR="0052476E" w:rsidRPr="00DB56ED" w:rsidRDefault="0052476E" w:rsidP="0052476E">
      <w:pPr>
        <w:pStyle w:val="Heading1"/>
        <w:rPr>
          <w:lang w:val="fr-FR"/>
        </w:rPr>
      </w:pPr>
      <w:r w:rsidRPr="00DB56ED">
        <w:rPr>
          <w:lang w:val="fr-FR"/>
        </w:rPr>
        <w:t xml:space="preserve">Le gouvernement de la Colombie a déjà émis des contingents d’importation de HCFC pour 2019 conformément aux objectifs de réglementation du Protocole de Montréal. </w:t>
      </w:r>
    </w:p>
    <w:p w:rsidR="0052476E" w:rsidRPr="00DB56ED" w:rsidRDefault="0052476E" w:rsidP="0052476E">
      <w:pPr>
        <w:pStyle w:val="Heading1"/>
        <w:rPr>
          <w:lang w:val="fr-FR"/>
        </w:rPr>
      </w:pPr>
      <w:r w:rsidRPr="00DB56ED">
        <w:rPr>
          <w:lang w:val="fr-FR"/>
        </w:rPr>
        <w:lastRenderedPageBreak/>
        <w:t>À la 81</w:t>
      </w:r>
      <w:r w:rsidRPr="00DB56ED">
        <w:rPr>
          <w:vertAlign w:val="superscript"/>
          <w:lang w:val="fr-FR"/>
        </w:rPr>
        <w:t>ème</w:t>
      </w:r>
      <w:r w:rsidRPr="00DB56ED">
        <w:rPr>
          <w:lang w:val="fr-FR"/>
        </w:rPr>
        <w:t> réunion, il a été déclaré qu’un projet de résolution pour la mise en application de l’interdiction de l’utilisation de HCFC</w:t>
      </w:r>
      <w:r w:rsidRPr="00DB56ED">
        <w:rPr>
          <w:lang w:val="fr-FR"/>
        </w:rPr>
        <w:noBreakHyphen/>
        <w:t xml:space="preserve">141b dans le secteur de la protection contre l’incendie, qui devait être mise en application au 31 décembre 2017 conformément à la décision 75/44(b)(ii), était en cours d’examen par le ministère de l’Environnement et du Développement durable, pour une mise en application prévue d’ici la fin 2018. Bien que cet examen ait été achevé, l’interdiction n’a pas encore été mise en application, car l’instrument juridique pour la mise en application de l’interdiction fait partie d’une plus grande loi englobante qui reste à être adoptée. La loi a été élaborée, et comprend l’interdiction de l’utilisation de HCFC-141b dans le secteur de la protection contre l’incendie et de la fabrication et l’importation d’équipements conditionnés et d’équipements de climatisation à condensation qui utilisent du HCFC-22 avec une puissance frigorifique inférieure à 5 tonnes (qui était prévue d’ici le 31 décembre 2020). La loi est en cours d’examen par plusieurs ministères et sera ensuite mise en consultation publique. Étant donné la complexité de l’instrument juridique, sa finalisation et sa mise en application pourrait prendre jusqu’à 2021. Tout en remarquant que la Colombie n’aura pas satisfait à ses engagements apparaissant dans la décision 75/44, le Secrétariat considère que la stratégie de rassemblement de mesures législatives dans une seule loi est efficace et donc que le retard de mise en application des interdictions est raisonnable. </w:t>
      </w:r>
    </w:p>
    <w:p w:rsidR="0052476E" w:rsidRPr="00DB56ED" w:rsidRDefault="0052476E" w:rsidP="0052476E">
      <w:pPr>
        <w:keepNext/>
        <w:keepLines/>
        <w:rPr>
          <w:i/>
          <w:lang w:val="fr-FR"/>
        </w:rPr>
      </w:pPr>
      <w:r w:rsidRPr="00DB56ED">
        <w:rPr>
          <w:i/>
          <w:lang w:val="fr-FR"/>
        </w:rPr>
        <w:t>Activités du secteur des mousses</w:t>
      </w:r>
    </w:p>
    <w:p w:rsidR="0052476E" w:rsidRPr="00DB56ED" w:rsidRDefault="0052476E" w:rsidP="0052476E">
      <w:pPr>
        <w:keepNext/>
        <w:keepLines/>
        <w:rPr>
          <w:highlight w:val="yellow"/>
          <w:lang w:val="fr-FR"/>
        </w:rPr>
      </w:pPr>
    </w:p>
    <w:p w:rsidR="0052476E" w:rsidRPr="00DB56ED" w:rsidRDefault="0052476E" w:rsidP="0052476E">
      <w:pPr>
        <w:pStyle w:val="Heading1"/>
        <w:keepNext/>
        <w:keepLines/>
        <w:rPr>
          <w:lang w:val="fr-FR"/>
        </w:rPr>
      </w:pPr>
      <w:r w:rsidRPr="00DB56ED">
        <w:rPr>
          <w:lang w:val="fr-FR"/>
        </w:rPr>
        <w:t>Tandis que les reconversions au cyclopentane se sont achevées, la mise en œuvre des reconversions aux HFO ont été retardées à cause de la disponibilité commerciale limitée des HFO sur le marché. En conséquence, le PNUD a proposé de reporter l’échéance des projets de reconversion des sociétés de formulation et du projet de fabrication de feuilles rigides de mousse d’</w:t>
      </w:r>
      <w:proofErr w:type="spellStart"/>
      <w:r w:rsidRPr="00DB56ED">
        <w:rPr>
          <w:lang w:val="fr-FR"/>
        </w:rPr>
        <w:t>Espumlatex</w:t>
      </w:r>
      <w:proofErr w:type="spellEnd"/>
      <w:r w:rsidRPr="00DB56ED">
        <w:rPr>
          <w:lang w:val="fr-FR"/>
        </w:rPr>
        <w:t xml:space="preserve"> au 31 juillet 2021. </w:t>
      </w:r>
    </w:p>
    <w:p w:rsidR="0052476E" w:rsidRPr="00DB56ED" w:rsidRDefault="0052476E" w:rsidP="0052476E">
      <w:pPr>
        <w:pStyle w:val="Heading1"/>
        <w:rPr>
          <w:lang w:val="fr-FR"/>
        </w:rPr>
      </w:pPr>
      <w:r w:rsidRPr="00DB56ED">
        <w:rPr>
          <w:lang w:val="fr-FR"/>
        </w:rPr>
        <w:t xml:space="preserve">Remarquant que le gouvernement avait déjà prévu de publier l’interdiction des importations de HCFC-141b en vrac et contenu dans des polyols </w:t>
      </w:r>
      <w:proofErr w:type="spellStart"/>
      <w:r w:rsidRPr="00DB56ED">
        <w:rPr>
          <w:lang w:val="fr-FR"/>
        </w:rPr>
        <w:t>prémélangés</w:t>
      </w:r>
      <w:proofErr w:type="spellEnd"/>
      <w:r w:rsidRPr="00DB56ED">
        <w:rPr>
          <w:lang w:val="fr-FR"/>
        </w:rPr>
        <w:t xml:space="preserve"> d’ici le 31 décembre 2020, le Secrétariat a suggéré que cette date serait peut-être plus appropriée. Le PNUD a suggéré une prolongation jusqu’au 31 juillet 2021 pour que les sociétés de formulation puissent utiliser les stocks restants de HCFC-141b en exportant le HCFC-141b contenu dans des polyols </w:t>
      </w:r>
      <w:proofErr w:type="spellStart"/>
      <w:r w:rsidRPr="00DB56ED">
        <w:rPr>
          <w:lang w:val="fr-FR"/>
        </w:rPr>
        <w:t>prémélangés</w:t>
      </w:r>
      <w:proofErr w:type="spellEnd"/>
      <w:r w:rsidRPr="00DB56ED">
        <w:rPr>
          <w:lang w:val="fr-FR"/>
        </w:rPr>
        <w:t xml:space="preserve"> jusqu’à cette date. Bien qu’il soit possible que de telles exportations puissent faire obstacle à l’élimination du HCFC-141b par les pays de la région, il est probable que ces exportations soient faibles étant donné la grande disponibilité des systèmes à PRP élevé dans la région. </w:t>
      </w:r>
    </w:p>
    <w:p w:rsidR="0052476E" w:rsidRPr="00DB56ED" w:rsidRDefault="0052476E" w:rsidP="0052476E">
      <w:pPr>
        <w:pStyle w:val="Heading1"/>
        <w:rPr>
          <w:lang w:val="fr-FR"/>
        </w:rPr>
      </w:pPr>
      <w:r w:rsidRPr="00DB56ED">
        <w:rPr>
          <w:lang w:val="fr-FR"/>
        </w:rPr>
        <w:t xml:space="preserve">En ce qui concerne la participation de GMP au projet, le PNUD a expliqué que la société de formulation suit un processus pour devenir distributeur de formulations de PU, en collaboration avec une société de formulation multinationale qui formule des polyols en Colombie. Les </w:t>
      </w:r>
      <w:proofErr w:type="spellStart"/>
      <w:r w:rsidRPr="00DB56ED">
        <w:rPr>
          <w:lang w:val="fr-FR"/>
        </w:rPr>
        <w:t>négotiations</w:t>
      </w:r>
      <w:proofErr w:type="spellEnd"/>
      <w:r w:rsidRPr="00DB56ED">
        <w:rPr>
          <w:lang w:val="fr-FR"/>
        </w:rPr>
        <w:t xml:space="preserve"> avec la société de formulation pour la participation au projet se poursuivent, et il est prévu que la société de formulation signe l’accord en 2020. Si, au cours du processus de négociation, GMP décidait de ne pas participer, d’autres sociétés de formulation seraient capables de convertir les clients de GMP. </w:t>
      </w:r>
    </w:p>
    <w:p w:rsidR="0052476E" w:rsidRPr="00DB56ED" w:rsidRDefault="0052476E" w:rsidP="0052476E">
      <w:pPr>
        <w:pStyle w:val="Heading1"/>
        <w:rPr>
          <w:lang w:val="fr-FR"/>
        </w:rPr>
      </w:pPr>
      <w:r w:rsidRPr="00DB56ED">
        <w:rPr>
          <w:lang w:val="fr-FR"/>
        </w:rPr>
        <w:t xml:space="preserve">Étant donné que la reconversion aux HFO n’a pas encore eu lieu, le Secrétariat note que le PNUD déclarera les surcoûts d’exploitation réels (IOC) engagés durant la reconversion à des formulations réduites de HFO dans le secteur des mousses lors de la demande de la quatrième et dernière tranche de la phase II du PGEH, étant entendu que, si les surcoûts d’exploitation étaient inférieurs à 2,13 $ US/kg, le gouvernement de la Colombie retournerait le financement associé au Fonds multilatéral en conformité avec les décisions 75/44(b)(vi) et 81/34(a). </w:t>
      </w:r>
    </w:p>
    <w:p w:rsidR="0052476E" w:rsidRPr="00DB56ED" w:rsidRDefault="0052476E" w:rsidP="0052476E">
      <w:pPr>
        <w:rPr>
          <w:i/>
          <w:lang w:val="fr-FR"/>
        </w:rPr>
      </w:pPr>
      <w:r w:rsidRPr="00DB56ED">
        <w:rPr>
          <w:i/>
          <w:lang w:val="fr-FR"/>
        </w:rPr>
        <w:t>Activités du secteur de l’entretien</w:t>
      </w:r>
    </w:p>
    <w:p w:rsidR="0052476E" w:rsidRPr="00DB56ED" w:rsidRDefault="0052476E" w:rsidP="0052476E">
      <w:pPr>
        <w:rPr>
          <w:lang w:val="fr-FR"/>
        </w:rPr>
      </w:pPr>
    </w:p>
    <w:p w:rsidR="0052476E" w:rsidRPr="00DB56ED" w:rsidRDefault="0052476E" w:rsidP="0052476E">
      <w:pPr>
        <w:pStyle w:val="Heading1"/>
        <w:rPr>
          <w:lang w:val="fr-FR"/>
        </w:rPr>
      </w:pPr>
      <w:r w:rsidRPr="00DB56ED">
        <w:rPr>
          <w:lang w:val="fr-FR"/>
        </w:rPr>
        <w:t>En ce qui concerne la promotion de l’exemption de TVA pour le refroidissement à faible PRP efficace en énergie, le PNUD a expliqué que, bien qu’un certificat d’exemption de TVA n’a</w:t>
      </w:r>
      <w:r w:rsidR="00DB56ED">
        <w:rPr>
          <w:lang w:val="fr-FR"/>
        </w:rPr>
        <w:t>it</w:t>
      </w:r>
      <w:r w:rsidRPr="00DB56ED">
        <w:rPr>
          <w:lang w:val="fr-FR"/>
        </w:rPr>
        <w:t xml:space="preserve"> pas été émis, plusieurs projets préparent le dossier nécessaire, dont deux projets de climatisation dans les bâtiments avec des systèmes de cogénération et de refroidissement par absorption.</w:t>
      </w:r>
    </w:p>
    <w:p w:rsidR="0052476E" w:rsidRPr="00DB56ED" w:rsidRDefault="0052476E" w:rsidP="0052476E">
      <w:pPr>
        <w:pStyle w:val="Heading1"/>
        <w:rPr>
          <w:lang w:val="fr-FR"/>
        </w:rPr>
      </w:pPr>
      <w:r w:rsidRPr="00DB56ED">
        <w:rPr>
          <w:lang w:val="fr-FR"/>
        </w:rPr>
        <w:lastRenderedPageBreak/>
        <w:t>À la 81</w:t>
      </w:r>
      <w:r w:rsidRPr="00DB56ED">
        <w:rPr>
          <w:vertAlign w:val="superscript"/>
          <w:lang w:val="fr-FR"/>
        </w:rPr>
        <w:t>ème</w:t>
      </w:r>
      <w:r w:rsidRPr="00DB56ED">
        <w:rPr>
          <w:lang w:val="fr-FR"/>
        </w:rPr>
        <w:t xml:space="preserve"> réunion, le PNUD, au nom du gouvernement de la Colombie, avait présenté le rapport final du projet de démonstration pour l’utilisation de R-290 comme frigorigène de remplacement dans la fabrication de climatiseurs commerciaux chez </w:t>
      </w:r>
      <w:proofErr w:type="spellStart"/>
      <w:r w:rsidRPr="00DB56ED">
        <w:rPr>
          <w:lang w:val="fr-FR"/>
        </w:rPr>
        <w:t>Industrias</w:t>
      </w:r>
      <w:proofErr w:type="spellEnd"/>
      <w:r w:rsidRPr="00DB56ED">
        <w:rPr>
          <w:lang w:val="fr-FR"/>
        </w:rPr>
        <w:t xml:space="preserve"> </w:t>
      </w:r>
      <w:proofErr w:type="spellStart"/>
      <w:r w:rsidRPr="00DB56ED">
        <w:rPr>
          <w:lang w:val="fr-FR"/>
        </w:rPr>
        <w:t>Thermotar</w:t>
      </w:r>
      <w:proofErr w:type="spellEnd"/>
      <w:r w:rsidRPr="00DB56ED">
        <w:rPr>
          <w:lang w:val="fr-FR"/>
        </w:rPr>
        <w:t xml:space="preserve"> </w:t>
      </w:r>
      <w:proofErr w:type="spellStart"/>
      <w:r w:rsidRPr="00DB56ED">
        <w:rPr>
          <w:lang w:val="fr-FR"/>
        </w:rPr>
        <w:t>Ltda</w:t>
      </w:r>
      <w:proofErr w:type="spellEnd"/>
      <w:r w:rsidRPr="00DB56ED">
        <w:rPr>
          <w:lang w:val="fr-FR"/>
        </w:rPr>
        <w:t xml:space="preserve">. Le Secrétariat avait alors remarqué que l’entreprise n’avait pas encore été capable de vendre d’équipements au R-290 ; le PNUD avait indiqué qu’il n’existait aucun obstacle commercial et que l’entreprise attendait le premier stock de compresseurs au R-290 et la fin de la formation des techniciens d’entretien. Le premier stock de compresseurs au R-290 a maintenant été expédié, et </w:t>
      </w:r>
      <w:proofErr w:type="spellStart"/>
      <w:r w:rsidRPr="00DB56ED">
        <w:rPr>
          <w:lang w:val="fr-FR"/>
        </w:rPr>
        <w:t>Industrias</w:t>
      </w:r>
      <w:proofErr w:type="spellEnd"/>
      <w:r w:rsidRPr="00DB56ED">
        <w:rPr>
          <w:lang w:val="fr-FR"/>
        </w:rPr>
        <w:t xml:space="preserve"> </w:t>
      </w:r>
      <w:proofErr w:type="spellStart"/>
      <w:r w:rsidRPr="00DB56ED">
        <w:rPr>
          <w:lang w:val="fr-FR"/>
        </w:rPr>
        <w:t>Thermotar</w:t>
      </w:r>
      <w:proofErr w:type="spellEnd"/>
      <w:r w:rsidRPr="00DB56ED">
        <w:rPr>
          <w:lang w:val="fr-FR"/>
        </w:rPr>
        <w:t xml:space="preserve"> </w:t>
      </w:r>
      <w:proofErr w:type="spellStart"/>
      <w:r w:rsidRPr="00DB56ED">
        <w:rPr>
          <w:lang w:val="fr-FR"/>
        </w:rPr>
        <w:t>Ltda</w:t>
      </w:r>
      <w:proofErr w:type="spellEnd"/>
      <w:r w:rsidRPr="00DB56ED">
        <w:rPr>
          <w:lang w:val="fr-FR"/>
        </w:rPr>
        <w:t xml:space="preserve">. </w:t>
      </w:r>
      <w:proofErr w:type="gramStart"/>
      <w:r w:rsidRPr="00DB56ED">
        <w:rPr>
          <w:lang w:val="fr-FR"/>
        </w:rPr>
        <w:t>prévoit</w:t>
      </w:r>
      <w:proofErr w:type="gramEnd"/>
      <w:r w:rsidRPr="00DB56ED">
        <w:rPr>
          <w:lang w:val="fr-FR"/>
        </w:rPr>
        <w:t xml:space="preserve"> de commencer la fabrication une fois les compresseurs livrés à la fin novembre 2019. De plus, l’entreprise a terminé la formation des techniciens d’entretien et prévoit de commencer à vendre des systèmes commerciaux de climatisation au R-290 en janvier 2020. En outre, l’entreprise développe un refroidisseur au R-290, et une mise à jour sera fournie une fois que l’entreprise aura terminé la conception de cet équipement. </w:t>
      </w:r>
    </w:p>
    <w:p w:rsidR="0052476E" w:rsidRPr="00DB56ED" w:rsidRDefault="0052476E" w:rsidP="0052476E">
      <w:pPr>
        <w:keepNext/>
        <w:keepLines/>
        <w:rPr>
          <w:u w:val="single"/>
          <w:lang w:val="fr-FR"/>
        </w:rPr>
      </w:pPr>
      <w:r w:rsidRPr="00DB56ED">
        <w:rPr>
          <w:u w:val="single"/>
          <w:lang w:val="fr-FR"/>
        </w:rPr>
        <w:t xml:space="preserve">Durabilité de l’élimination des HCFC </w:t>
      </w:r>
    </w:p>
    <w:p w:rsidR="0052476E" w:rsidRPr="00DB56ED" w:rsidRDefault="0052476E" w:rsidP="0052476E">
      <w:pPr>
        <w:rPr>
          <w:u w:val="single"/>
          <w:lang w:val="fr-FR"/>
        </w:rPr>
      </w:pPr>
    </w:p>
    <w:p w:rsidR="0052476E" w:rsidRPr="00DB56ED" w:rsidRDefault="0052476E" w:rsidP="0052476E">
      <w:pPr>
        <w:pStyle w:val="Heading1"/>
        <w:rPr>
          <w:lang w:val="fr-FR"/>
        </w:rPr>
      </w:pPr>
      <w:r w:rsidRPr="00DB56ED">
        <w:rPr>
          <w:lang w:val="fr-FR"/>
        </w:rPr>
        <w:t xml:space="preserve">Le gouvernement de la Colombie dispose d’un programme d’octroi de permis et de quotas applicable, et a mis en application des interdictions relatives à la fabrication et l’importation de réfrigérateurs, congélateurs et combinés réfrigérateur-congélateur aux HCFC à usage domestique et à l’importation de HCFC-141b en vrac et contenu dans des polyols </w:t>
      </w:r>
      <w:proofErr w:type="spellStart"/>
      <w:r w:rsidRPr="00DB56ED">
        <w:rPr>
          <w:lang w:val="fr-FR"/>
        </w:rPr>
        <w:t>prémélangés</w:t>
      </w:r>
      <w:proofErr w:type="spellEnd"/>
      <w:r w:rsidRPr="00DB56ED">
        <w:rPr>
          <w:lang w:val="fr-FR"/>
        </w:rPr>
        <w:t xml:space="preserve"> (en vigueur au 31 décembre 2020). Les interdictions à venir, ainsi que l’utilisation du RRTP, de la classification GHS et de l’étiquetage des produits chimiques, et le contrôle strict et la surveillance des importations, renforceront encore la durabilité de l’élimination des HCFC. Le rapport d’achèvement de projet pour la phase I du PGEH rendait compte du démantèlement et de l’élimination des 16 machines de moussage au HCFC exploitées par les quatre entreprises reconverties dans le cadre de la phase I. </w:t>
      </w:r>
    </w:p>
    <w:p w:rsidR="0052476E" w:rsidRPr="00DB56ED" w:rsidRDefault="0052476E" w:rsidP="0052476E">
      <w:pPr>
        <w:rPr>
          <w:u w:val="single"/>
          <w:lang w:val="fr-FR"/>
        </w:rPr>
      </w:pPr>
      <w:r w:rsidRPr="00DB56ED">
        <w:rPr>
          <w:u w:val="single"/>
          <w:lang w:val="fr-FR"/>
        </w:rPr>
        <w:t xml:space="preserve">Conclusion </w:t>
      </w:r>
    </w:p>
    <w:p w:rsidR="0052476E" w:rsidRPr="00DB56ED" w:rsidRDefault="0052476E" w:rsidP="0052476E">
      <w:pPr>
        <w:rPr>
          <w:lang w:val="fr-FR"/>
        </w:rPr>
      </w:pPr>
    </w:p>
    <w:p w:rsidR="0052476E" w:rsidRPr="00DB56ED" w:rsidRDefault="0052476E" w:rsidP="0052476E">
      <w:pPr>
        <w:pStyle w:val="Heading1"/>
        <w:rPr>
          <w:lang w:val="fr-FR"/>
        </w:rPr>
      </w:pPr>
      <w:r w:rsidRPr="00DB56ED">
        <w:rPr>
          <w:lang w:val="fr-FR"/>
        </w:rPr>
        <w:t>La consommation vérifiée du pays était inférieure de 65 pour cent à la valeur de référence du pays pour la conformité, et le programme d’octroi de permis et de quotas pour l’importation du pays est opérationnel et permettra des réductions de la consommation de HCFC en avance par rapport au calendrier d’élimination du Protocole de Montréal. Les reconversions du secteur de la fabrication de mousse PU vers le cyclopentane ont été achevées, ce qui a permis l’élimination de 65,76 </w:t>
      </w:r>
      <w:proofErr w:type="spellStart"/>
      <w:r w:rsidRPr="00DB56ED">
        <w:rPr>
          <w:lang w:val="fr-FR"/>
        </w:rPr>
        <w:t>tm</w:t>
      </w:r>
      <w:proofErr w:type="spellEnd"/>
      <w:r w:rsidRPr="00DB56ED">
        <w:rPr>
          <w:lang w:val="fr-FR"/>
        </w:rPr>
        <w:t xml:space="preserve"> (7,23 tonnes PAO) de HCFC-141b, tandis que celles vers le HFO ont été retardées à cause de la disponibilité commerciale limitée des HFO sur le marché, un problème sur lequel le pays n’a qu’un contrôle limité. Bien que la pratique dangereuse consistant à utiliser du HCFC-141b dans le secteur de la lutte contre l’incendie persiste bien après l’élimination prévue de cette utilisation, les activités mises en œuvre dans le cadre du PGEH ont considérablement réduit cette consommation. L’interdiction des importations de HCFC-141b en vrac et contenu dans des polyols </w:t>
      </w:r>
      <w:proofErr w:type="spellStart"/>
      <w:r w:rsidRPr="00DB56ED">
        <w:rPr>
          <w:lang w:val="fr-FR"/>
        </w:rPr>
        <w:t>prémélangés</w:t>
      </w:r>
      <w:proofErr w:type="spellEnd"/>
      <w:r w:rsidRPr="00DB56ED">
        <w:rPr>
          <w:lang w:val="fr-FR"/>
        </w:rPr>
        <w:t xml:space="preserve"> d’ici le 31 décembre 2020 a été mise en application, tandis que d’autres interdictions dont la mise en application était prévue ont été retardées à cause du rassemblement de ces interdictions au sein d’une loi réglementaire unique. Le Secrétariat considère que la stratégie de rassemblement de mesures législatives est efficace et donc que le retard de la mise en application des interdictions est raisonnable. Le niveau de décaissement pour la deuxième tranche est de 23 pour cent, et de 53 pour cent du financement total approuvé. Les activités entreprises dans le secteur de l’entretien font partie d’un cadre cohérent bien planifié pour renforcer le secteur et faciliter l’introduction de solutions de remplacement à faible PRP respectueuses de l’environnement ; il est prévu qu’elles assurent la durabilité à long terme des activités et qu’elles continuent à aider le pays à satisfaire à ses obligations de conformité dans le cadre du Protocole.</w:t>
      </w:r>
    </w:p>
    <w:p w:rsidR="0052476E" w:rsidRPr="00DB56ED" w:rsidRDefault="0052476E" w:rsidP="00E54BB6">
      <w:pPr>
        <w:keepNext/>
        <w:keepLines/>
        <w:rPr>
          <w:lang w:val="fr-FR"/>
        </w:rPr>
      </w:pPr>
      <w:r w:rsidRPr="00DB56ED">
        <w:rPr>
          <w:b/>
          <w:lang w:val="fr-FR"/>
        </w:rPr>
        <w:lastRenderedPageBreak/>
        <w:t>RECOMMANDATION</w:t>
      </w:r>
    </w:p>
    <w:p w:rsidR="0052476E" w:rsidRPr="00DB56ED" w:rsidRDefault="0052476E" w:rsidP="00E54BB6">
      <w:pPr>
        <w:keepNext/>
        <w:keepLines/>
        <w:rPr>
          <w:lang w:val="fr-FR"/>
        </w:rPr>
      </w:pPr>
    </w:p>
    <w:p w:rsidR="0052476E" w:rsidRPr="00DB56ED" w:rsidRDefault="0052476E" w:rsidP="00E54BB6">
      <w:pPr>
        <w:pStyle w:val="Heading1"/>
        <w:keepNext/>
        <w:keepLines/>
        <w:rPr>
          <w:lang w:val="fr-FR"/>
        </w:rPr>
      </w:pPr>
      <w:r w:rsidRPr="00DB56ED">
        <w:rPr>
          <w:lang w:val="fr-FR"/>
        </w:rPr>
        <w:t>Le Secrétariat du Fonds recommande que le Comité exécutif prenne note du rapport périodique sur la mise en œuvre de la deuxième tranche de la phase I</w:t>
      </w:r>
      <w:r w:rsidR="00E54BB6">
        <w:rPr>
          <w:lang w:val="fr-FR"/>
        </w:rPr>
        <w:t>I</w:t>
      </w:r>
      <w:r w:rsidRPr="00DB56ED">
        <w:rPr>
          <w:lang w:val="fr-FR"/>
        </w:rPr>
        <w:t xml:space="preserve"> du plan de gestion de l’élimination des HCFC du (PGEH) pour la Colombie ; et recommande en outre l’approbation globale de la troisième tranche de la phase I</w:t>
      </w:r>
      <w:r w:rsidR="00E54BB6">
        <w:rPr>
          <w:lang w:val="fr-FR"/>
        </w:rPr>
        <w:t>I</w:t>
      </w:r>
      <w:bookmarkStart w:id="0" w:name="_GoBack"/>
      <w:bookmarkEnd w:id="0"/>
      <w:r w:rsidRPr="00DB56ED">
        <w:rPr>
          <w:lang w:val="fr-FR"/>
        </w:rPr>
        <w:t xml:space="preserve"> du PGEH pour la Colombie, et le plan de mise en œuvre de la tranche 2019-2021 correspondant, aux niveaux de financement indiqués dans le tableau suivant, étant entendu que le PNUD déclarera les surcoûts d’exploitation (IOC) réels engagés pendant la reconversion aux formulations d’</w:t>
      </w:r>
      <w:proofErr w:type="spellStart"/>
      <w:r w:rsidRPr="00DB56ED">
        <w:rPr>
          <w:lang w:val="fr-FR"/>
        </w:rPr>
        <w:t>hydrofluoroléfines</w:t>
      </w:r>
      <w:proofErr w:type="spellEnd"/>
      <w:r w:rsidRPr="00DB56ED">
        <w:rPr>
          <w:lang w:val="fr-FR"/>
        </w:rPr>
        <w:t xml:space="preserve"> dans le secteur des mousses lors de la demande de la quatrième et dernière tranche de la phase II du PGEH, et que, si l’IOC était inférieur à 2,13 $ US/kg, le gouvernement de la Colombie retournerait le financement associé au Fonds multilatéral en conformité avec les décisions 75/44(b)(vi) et 81/34(a)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52476E" w:rsidRPr="00E54BB6" w:rsidTr="00AF4A9C">
        <w:trPr>
          <w:tblHeader/>
        </w:trPr>
        <w:tc>
          <w:tcPr>
            <w:tcW w:w="540" w:type="dxa"/>
          </w:tcPr>
          <w:p w:rsidR="0052476E" w:rsidRPr="00DB56ED" w:rsidRDefault="0052476E" w:rsidP="00E54BB6">
            <w:pPr>
              <w:keepNext/>
              <w:keepLines/>
              <w:jc w:val="center"/>
              <w:rPr>
                <w:b/>
                <w:bCs/>
                <w:sz w:val="20"/>
                <w:szCs w:val="20"/>
                <w:lang w:val="fr-FR"/>
              </w:rPr>
            </w:pPr>
          </w:p>
        </w:tc>
        <w:tc>
          <w:tcPr>
            <w:tcW w:w="4320" w:type="dxa"/>
          </w:tcPr>
          <w:p w:rsidR="0052476E" w:rsidRPr="00DB56ED" w:rsidRDefault="0052476E" w:rsidP="00E54BB6">
            <w:pPr>
              <w:keepNext/>
              <w:keepLines/>
              <w:jc w:val="center"/>
              <w:rPr>
                <w:b/>
                <w:bCs/>
                <w:sz w:val="20"/>
                <w:szCs w:val="20"/>
                <w:lang w:val="fr-FR"/>
              </w:rPr>
            </w:pPr>
            <w:r w:rsidRPr="00DB56ED">
              <w:rPr>
                <w:b/>
                <w:bCs/>
                <w:sz w:val="20"/>
                <w:szCs w:val="20"/>
                <w:lang w:val="fr-FR"/>
              </w:rPr>
              <w:t>Titre du projet</w:t>
            </w:r>
          </w:p>
        </w:tc>
        <w:tc>
          <w:tcPr>
            <w:tcW w:w="1461" w:type="dxa"/>
            <w:tcMar>
              <w:left w:w="29" w:type="dxa"/>
              <w:right w:w="29" w:type="dxa"/>
            </w:tcMar>
          </w:tcPr>
          <w:p w:rsidR="0052476E" w:rsidRPr="00DB56ED" w:rsidRDefault="0052476E" w:rsidP="00E54BB6">
            <w:pPr>
              <w:keepNext/>
              <w:keepLines/>
              <w:jc w:val="center"/>
              <w:rPr>
                <w:b/>
                <w:bCs/>
                <w:sz w:val="20"/>
                <w:szCs w:val="20"/>
                <w:lang w:val="fr-FR"/>
              </w:rPr>
            </w:pPr>
            <w:r w:rsidRPr="00DB56ED">
              <w:rPr>
                <w:b/>
                <w:bCs/>
                <w:sz w:val="20"/>
                <w:szCs w:val="20"/>
                <w:lang w:val="fr-FR"/>
              </w:rPr>
              <w:t>Financement du projet ($ US)</w:t>
            </w:r>
          </w:p>
        </w:tc>
        <w:tc>
          <w:tcPr>
            <w:tcW w:w="1461" w:type="dxa"/>
            <w:tcMar>
              <w:left w:w="29" w:type="dxa"/>
              <w:right w:w="29" w:type="dxa"/>
            </w:tcMar>
          </w:tcPr>
          <w:p w:rsidR="0052476E" w:rsidRPr="00DB56ED" w:rsidRDefault="0052476E" w:rsidP="00E54BB6">
            <w:pPr>
              <w:keepNext/>
              <w:keepLines/>
              <w:jc w:val="center"/>
              <w:rPr>
                <w:b/>
                <w:bCs/>
                <w:sz w:val="20"/>
                <w:szCs w:val="20"/>
                <w:lang w:val="fr-FR"/>
              </w:rPr>
            </w:pPr>
            <w:r w:rsidRPr="00DB56ED">
              <w:rPr>
                <w:b/>
                <w:bCs/>
                <w:sz w:val="20"/>
                <w:szCs w:val="20"/>
                <w:lang w:val="fr-FR"/>
              </w:rPr>
              <w:t>Coûts d’appui ($ US)</w:t>
            </w:r>
          </w:p>
        </w:tc>
        <w:tc>
          <w:tcPr>
            <w:tcW w:w="1461" w:type="dxa"/>
            <w:tcMar>
              <w:left w:w="29" w:type="dxa"/>
              <w:right w:w="29" w:type="dxa"/>
            </w:tcMar>
          </w:tcPr>
          <w:p w:rsidR="0052476E" w:rsidRPr="00DB56ED" w:rsidRDefault="0052476E" w:rsidP="00E54BB6">
            <w:pPr>
              <w:keepNext/>
              <w:keepLines/>
              <w:jc w:val="center"/>
              <w:rPr>
                <w:b/>
                <w:bCs/>
                <w:sz w:val="20"/>
                <w:szCs w:val="20"/>
                <w:lang w:val="fr-FR"/>
              </w:rPr>
            </w:pPr>
            <w:r w:rsidRPr="00DB56ED">
              <w:rPr>
                <w:b/>
                <w:bCs/>
                <w:sz w:val="20"/>
                <w:szCs w:val="20"/>
                <w:lang w:val="fr-FR"/>
              </w:rPr>
              <w:t>Agence de mise en œuvre</w:t>
            </w:r>
          </w:p>
        </w:tc>
      </w:tr>
      <w:tr w:rsidR="0052476E" w:rsidRPr="00DB56ED" w:rsidTr="009D7CDB">
        <w:tc>
          <w:tcPr>
            <w:tcW w:w="540" w:type="dxa"/>
          </w:tcPr>
          <w:p w:rsidR="0052476E" w:rsidRPr="00DB56ED" w:rsidRDefault="0052476E" w:rsidP="00E54BB6">
            <w:pPr>
              <w:keepNext/>
              <w:keepLines/>
              <w:rPr>
                <w:sz w:val="20"/>
                <w:szCs w:val="20"/>
                <w:lang w:val="fr-FR"/>
              </w:rPr>
            </w:pPr>
            <w:r w:rsidRPr="00DB56ED">
              <w:rPr>
                <w:sz w:val="20"/>
                <w:szCs w:val="20"/>
                <w:lang w:val="fr-FR"/>
              </w:rPr>
              <w:t>(a)</w:t>
            </w:r>
          </w:p>
        </w:tc>
        <w:tc>
          <w:tcPr>
            <w:tcW w:w="4320" w:type="dxa"/>
          </w:tcPr>
          <w:p w:rsidR="0052476E" w:rsidRPr="00DB56ED" w:rsidRDefault="0052476E" w:rsidP="00E54BB6">
            <w:pPr>
              <w:keepNext/>
              <w:keepLines/>
              <w:jc w:val="left"/>
              <w:rPr>
                <w:sz w:val="20"/>
                <w:szCs w:val="20"/>
                <w:lang w:val="fr-FR"/>
              </w:rPr>
            </w:pPr>
            <w:r w:rsidRPr="00DB56ED">
              <w:rPr>
                <w:sz w:val="20"/>
                <w:szCs w:val="20"/>
                <w:lang w:val="fr-FR"/>
              </w:rPr>
              <w:t>Plan de gestion de l’élimination des HCFC (phase I, troisième tranche)</w:t>
            </w:r>
          </w:p>
        </w:tc>
        <w:tc>
          <w:tcPr>
            <w:tcW w:w="1461" w:type="dxa"/>
          </w:tcPr>
          <w:p w:rsidR="0052476E" w:rsidRPr="00DB56ED" w:rsidRDefault="0052476E" w:rsidP="00E54BB6">
            <w:pPr>
              <w:keepNext/>
              <w:keepLines/>
              <w:jc w:val="right"/>
              <w:rPr>
                <w:sz w:val="20"/>
                <w:szCs w:val="20"/>
                <w:lang w:val="fr-FR"/>
              </w:rPr>
            </w:pPr>
            <w:r w:rsidRPr="00DB56ED">
              <w:rPr>
                <w:sz w:val="20"/>
                <w:szCs w:val="20"/>
                <w:lang w:val="fr-FR"/>
              </w:rPr>
              <w:t>635 749</w:t>
            </w:r>
          </w:p>
        </w:tc>
        <w:tc>
          <w:tcPr>
            <w:tcW w:w="1461" w:type="dxa"/>
          </w:tcPr>
          <w:p w:rsidR="0052476E" w:rsidRPr="00DB56ED" w:rsidRDefault="0052476E" w:rsidP="00E54BB6">
            <w:pPr>
              <w:keepNext/>
              <w:keepLines/>
              <w:jc w:val="right"/>
              <w:rPr>
                <w:sz w:val="20"/>
                <w:szCs w:val="20"/>
                <w:lang w:val="fr-FR"/>
              </w:rPr>
            </w:pPr>
            <w:r w:rsidRPr="00DB56ED">
              <w:rPr>
                <w:sz w:val="20"/>
                <w:szCs w:val="20"/>
                <w:lang w:val="fr-FR"/>
              </w:rPr>
              <w:t>44 502</w:t>
            </w:r>
          </w:p>
        </w:tc>
        <w:tc>
          <w:tcPr>
            <w:tcW w:w="1461" w:type="dxa"/>
          </w:tcPr>
          <w:p w:rsidR="0052476E" w:rsidRPr="00DB56ED" w:rsidRDefault="0052476E" w:rsidP="00E54BB6">
            <w:pPr>
              <w:keepNext/>
              <w:keepLines/>
              <w:jc w:val="center"/>
              <w:rPr>
                <w:sz w:val="20"/>
                <w:szCs w:val="20"/>
                <w:lang w:val="fr-FR"/>
              </w:rPr>
            </w:pPr>
            <w:r w:rsidRPr="00DB56ED">
              <w:rPr>
                <w:sz w:val="20"/>
                <w:szCs w:val="20"/>
                <w:lang w:val="fr-FR"/>
              </w:rPr>
              <w:t>PNUD</w:t>
            </w:r>
          </w:p>
        </w:tc>
      </w:tr>
      <w:tr w:rsidR="0052476E" w:rsidRPr="00DB56ED" w:rsidTr="009D7CDB">
        <w:tc>
          <w:tcPr>
            <w:tcW w:w="540" w:type="dxa"/>
          </w:tcPr>
          <w:p w:rsidR="0052476E" w:rsidRPr="00DB56ED" w:rsidRDefault="0052476E" w:rsidP="00E54BB6">
            <w:pPr>
              <w:keepNext/>
              <w:keepLines/>
              <w:rPr>
                <w:sz w:val="20"/>
                <w:szCs w:val="20"/>
                <w:lang w:val="fr-FR"/>
              </w:rPr>
            </w:pPr>
            <w:r w:rsidRPr="00DB56ED">
              <w:rPr>
                <w:sz w:val="20"/>
                <w:szCs w:val="20"/>
                <w:lang w:val="fr-FR"/>
              </w:rPr>
              <w:t>(b)</w:t>
            </w:r>
          </w:p>
        </w:tc>
        <w:tc>
          <w:tcPr>
            <w:tcW w:w="4320" w:type="dxa"/>
          </w:tcPr>
          <w:p w:rsidR="0052476E" w:rsidRPr="00DB56ED" w:rsidRDefault="0052476E" w:rsidP="00E54BB6">
            <w:pPr>
              <w:keepNext/>
              <w:keepLines/>
              <w:jc w:val="left"/>
              <w:rPr>
                <w:sz w:val="20"/>
                <w:szCs w:val="20"/>
                <w:lang w:val="fr-FR"/>
              </w:rPr>
            </w:pPr>
            <w:r w:rsidRPr="00DB56ED">
              <w:rPr>
                <w:sz w:val="20"/>
                <w:szCs w:val="20"/>
                <w:lang w:val="fr-FR"/>
              </w:rPr>
              <w:t>Plan de gestion de l’élimination des HCFC (phase I, troisième tranche)</w:t>
            </w:r>
          </w:p>
        </w:tc>
        <w:tc>
          <w:tcPr>
            <w:tcW w:w="1461" w:type="dxa"/>
          </w:tcPr>
          <w:p w:rsidR="0052476E" w:rsidRPr="00DB56ED" w:rsidRDefault="0052476E" w:rsidP="00E54BB6">
            <w:pPr>
              <w:keepNext/>
              <w:keepLines/>
              <w:jc w:val="right"/>
              <w:rPr>
                <w:sz w:val="20"/>
                <w:szCs w:val="20"/>
                <w:lang w:val="fr-FR"/>
              </w:rPr>
            </w:pPr>
            <w:r w:rsidRPr="00DB56ED">
              <w:rPr>
                <w:sz w:val="20"/>
                <w:szCs w:val="20"/>
                <w:lang w:val="fr-FR"/>
              </w:rPr>
              <w:t>50 000</w:t>
            </w:r>
          </w:p>
        </w:tc>
        <w:tc>
          <w:tcPr>
            <w:tcW w:w="1461" w:type="dxa"/>
          </w:tcPr>
          <w:p w:rsidR="0052476E" w:rsidRPr="00DB56ED" w:rsidRDefault="0052476E" w:rsidP="00E54BB6">
            <w:pPr>
              <w:keepNext/>
              <w:keepLines/>
              <w:jc w:val="right"/>
              <w:rPr>
                <w:sz w:val="20"/>
                <w:szCs w:val="20"/>
                <w:lang w:val="fr-FR"/>
              </w:rPr>
            </w:pPr>
            <w:r w:rsidRPr="00DB56ED">
              <w:rPr>
                <w:sz w:val="20"/>
                <w:szCs w:val="20"/>
                <w:lang w:val="fr-FR"/>
              </w:rPr>
              <w:t>6 500</w:t>
            </w:r>
          </w:p>
        </w:tc>
        <w:tc>
          <w:tcPr>
            <w:tcW w:w="1461" w:type="dxa"/>
          </w:tcPr>
          <w:p w:rsidR="0052476E" w:rsidRPr="00DB56ED" w:rsidRDefault="0052476E" w:rsidP="00E54BB6">
            <w:pPr>
              <w:keepNext/>
              <w:keepLines/>
              <w:jc w:val="center"/>
              <w:rPr>
                <w:sz w:val="20"/>
                <w:szCs w:val="20"/>
                <w:lang w:val="fr-FR"/>
              </w:rPr>
            </w:pPr>
            <w:r w:rsidRPr="00DB56ED">
              <w:rPr>
                <w:sz w:val="20"/>
                <w:szCs w:val="20"/>
                <w:lang w:val="fr-FR"/>
              </w:rPr>
              <w:t>PNUE</w:t>
            </w:r>
          </w:p>
        </w:tc>
      </w:tr>
    </w:tbl>
    <w:p w:rsidR="0052476E" w:rsidRPr="00DB56ED" w:rsidRDefault="0052476E" w:rsidP="0052476E">
      <w:pPr>
        <w:rPr>
          <w:lang w:val="fr-FR"/>
        </w:rPr>
      </w:pPr>
    </w:p>
    <w:p w:rsidR="0052476E" w:rsidRPr="00DB56ED" w:rsidRDefault="0052476E" w:rsidP="0052476E">
      <w:pPr>
        <w:tabs>
          <w:tab w:val="left" w:pos="8280"/>
        </w:tabs>
        <w:rPr>
          <w:lang w:val="fr-FR"/>
        </w:rPr>
      </w:pPr>
    </w:p>
    <w:p w:rsidR="0052476E" w:rsidRPr="00DB56ED" w:rsidRDefault="0052476E" w:rsidP="0052476E">
      <w:pPr>
        <w:tabs>
          <w:tab w:val="left" w:pos="8280"/>
        </w:tabs>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52476E" w:rsidRPr="00DB56ED" w:rsidTr="009D7CDB">
        <w:tc>
          <w:tcPr>
            <w:tcW w:w="1915" w:type="dxa"/>
          </w:tcPr>
          <w:p w:rsidR="0052476E" w:rsidRPr="00DB56ED" w:rsidRDefault="0052476E" w:rsidP="009D7CDB">
            <w:pPr>
              <w:tabs>
                <w:tab w:val="left" w:pos="8280"/>
              </w:tabs>
              <w:rPr>
                <w:lang w:val="fr-FR"/>
              </w:rPr>
            </w:pPr>
          </w:p>
        </w:tc>
        <w:tc>
          <w:tcPr>
            <w:tcW w:w="1915" w:type="dxa"/>
          </w:tcPr>
          <w:p w:rsidR="0052476E" w:rsidRPr="00DB56ED" w:rsidRDefault="0052476E" w:rsidP="009D7CDB">
            <w:pPr>
              <w:tabs>
                <w:tab w:val="left" w:pos="8280"/>
              </w:tabs>
              <w:rPr>
                <w:lang w:val="fr-FR"/>
              </w:rPr>
            </w:pPr>
          </w:p>
        </w:tc>
        <w:tc>
          <w:tcPr>
            <w:tcW w:w="1915" w:type="dxa"/>
            <w:tcBorders>
              <w:bottom w:val="single" w:sz="4" w:space="0" w:color="auto"/>
            </w:tcBorders>
          </w:tcPr>
          <w:p w:rsidR="0052476E" w:rsidRPr="00DB56ED" w:rsidRDefault="0052476E" w:rsidP="009D7CDB">
            <w:pPr>
              <w:tabs>
                <w:tab w:val="left" w:pos="8280"/>
              </w:tabs>
              <w:rPr>
                <w:lang w:val="fr-FR"/>
              </w:rPr>
            </w:pPr>
          </w:p>
        </w:tc>
        <w:tc>
          <w:tcPr>
            <w:tcW w:w="1915" w:type="dxa"/>
          </w:tcPr>
          <w:p w:rsidR="0052476E" w:rsidRPr="00DB56ED" w:rsidRDefault="0052476E" w:rsidP="009D7CDB">
            <w:pPr>
              <w:tabs>
                <w:tab w:val="left" w:pos="8280"/>
              </w:tabs>
              <w:rPr>
                <w:lang w:val="fr-FR"/>
              </w:rPr>
            </w:pPr>
          </w:p>
        </w:tc>
        <w:tc>
          <w:tcPr>
            <w:tcW w:w="1916" w:type="dxa"/>
          </w:tcPr>
          <w:p w:rsidR="0052476E" w:rsidRPr="00DB56ED" w:rsidRDefault="0052476E" w:rsidP="009D7CDB">
            <w:pPr>
              <w:tabs>
                <w:tab w:val="left" w:pos="8280"/>
              </w:tabs>
              <w:rPr>
                <w:lang w:val="fr-FR"/>
              </w:rPr>
            </w:pPr>
          </w:p>
        </w:tc>
      </w:tr>
    </w:tbl>
    <w:p w:rsidR="0052476E" w:rsidRPr="00DB56ED" w:rsidRDefault="0052476E" w:rsidP="0052476E">
      <w:pPr>
        <w:tabs>
          <w:tab w:val="left" w:pos="8280"/>
        </w:tabs>
        <w:rPr>
          <w:lang w:val="fr-FR"/>
        </w:rPr>
      </w:pPr>
    </w:p>
    <w:p w:rsidR="00441083" w:rsidRPr="00DB56ED" w:rsidRDefault="00441083">
      <w:pPr>
        <w:pStyle w:val="StyleHeader4Para4Left0Firstline0"/>
        <w:numPr>
          <w:ilvl w:val="0"/>
          <w:numId w:val="0"/>
        </w:numPr>
        <w:rPr>
          <w:lang w:val="fr-FR"/>
        </w:rPr>
      </w:pPr>
    </w:p>
    <w:p w:rsidR="00441083" w:rsidRPr="00DB56ED" w:rsidRDefault="00441083" w:rsidP="0052476E">
      <w:pPr>
        <w:rPr>
          <w:lang w:val="fr-FR"/>
        </w:rPr>
      </w:pPr>
    </w:p>
    <w:sectPr w:rsidR="00441083" w:rsidRPr="00DB56ED">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B1" w:rsidRDefault="00C258B1">
      <w:r>
        <w:separator/>
      </w:r>
    </w:p>
  </w:endnote>
  <w:endnote w:type="continuationSeparator" w:id="0">
    <w:p w:rsidR="00C258B1" w:rsidRDefault="00C2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063004"/>
      <w:docPartObj>
        <w:docPartGallery w:val="Page Numbers (Bottom of Page)"/>
        <w:docPartUnique/>
      </w:docPartObj>
    </w:sdtPr>
    <w:sdtEndPr>
      <w:rPr>
        <w:noProof/>
      </w:rPr>
    </w:sdtEndPr>
    <w:sdtContent>
      <w:p w:rsidR="00DB3329" w:rsidRDefault="00DB3329" w:rsidP="00AF4A9C">
        <w:pPr>
          <w:pStyle w:val="Footer"/>
          <w:jc w:val="center"/>
        </w:pPr>
        <w:r>
          <w:fldChar w:fldCharType="begin"/>
        </w:r>
        <w:r>
          <w:instrText xml:space="preserve"> PAGE   \* MERGEFORMAT </w:instrText>
        </w:r>
        <w:r>
          <w:fldChar w:fldCharType="separate"/>
        </w:r>
        <w:r w:rsidR="00E54BB6">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905964"/>
      <w:docPartObj>
        <w:docPartGallery w:val="Page Numbers (Bottom of Page)"/>
        <w:docPartUnique/>
      </w:docPartObj>
    </w:sdtPr>
    <w:sdtEndPr>
      <w:rPr>
        <w:noProof/>
      </w:rPr>
    </w:sdtEndPr>
    <w:sdtContent>
      <w:p w:rsidR="000C44E6" w:rsidRDefault="000C44E6" w:rsidP="00AF4A9C">
        <w:pPr>
          <w:pStyle w:val="Footer"/>
          <w:jc w:val="center"/>
        </w:pPr>
        <w:r>
          <w:fldChar w:fldCharType="begin"/>
        </w:r>
        <w:r>
          <w:instrText xml:space="preserve"> PAGE   \* MERGEFORMAT </w:instrText>
        </w:r>
        <w:r>
          <w:fldChar w:fldCharType="separate"/>
        </w:r>
        <w:r w:rsidR="00E54BB6">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441083" w:rsidP="00DB3329">
    <w:pPr>
      <w:pStyle w:val="Footer"/>
    </w:pPr>
  </w:p>
  <w:p w:rsidR="00DB3329" w:rsidRDefault="00DB3329" w:rsidP="00DB3329">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w:t>
    </w:r>
    <w:proofErr w:type="spellStart"/>
    <w:r>
      <w:rPr>
        <w:rFonts w:cs="MS Serif"/>
        <w:sz w:val="20"/>
        <w:lang w:val="fr-FR"/>
      </w:rPr>
      <w:t>présession</w:t>
    </w:r>
    <w:proofErr w:type="spellEnd"/>
    <w:r>
      <w:rPr>
        <w:rFonts w:cs="MS Serif"/>
        <w:sz w:val="20"/>
        <w:lang w:val="fr-FR"/>
      </w:rPr>
      <w:t xml:space="preserve"> du Comité exécutif du Fonds multilatéral aux fins d’application du Protocole de </w:t>
    </w:r>
  </w:p>
  <w:p w:rsidR="00441083" w:rsidRDefault="00DB3329" w:rsidP="00DB3329">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p w:rsidR="00DB3329" w:rsidRPr="00DB3329" w:rsidRDefault="00DB3329" w:rsidP="00DB3329">
    <w:pPr>
      <w:pBdr>
        <w:top w:val="single" w:sz="4" w:space="1" w:color="auto"/>
        <w:left w:val="single" w:sz="4" w:space="4" w:color="auto"/>
        <w:bottom w:val="single" w:sz="4" w:space="1" w:color="auto"/>
        <w:right w:val="single" w:sz="4" w:space="4" w:color="auto"/>
      </w:pBdr>
      <w:jc w:val="center"/>
      <w:rPr>
        <w:rFonts w:cs="MS Serif"/>
        <w:sz w:val="20"/>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B1" w:rsidRDefault="00C258B1">
      <w:r>
        <w:separator/>
      </w:r>
    </w:p>
  </w:footnote>
  <w:footnote w:type="continuationSeparator" w:id="0">
    <w:p w:rsidR="00C258B1" w:rsidRDefault="00C258B1">
      <w:r>
        <w:continuationSeparator/>
      </w:r>
    </w:p>
  </w:footnote>
  <w:footnote w:id="1">
    <w:p w:rsidR="0052476E" w:rsidRPr="00FE3307" w:rsidRDefault="0052476E" w:rsidP="0052476E">
      <w:pPr>
        <w:pStyle w:val="FootnoteText"/>
      </w:pPr>
      <w:r>
        <w:rPr>
          <w:rStyle w:val="FootnoteReference"/>
        </w:rPr>
        <w:footnoteRef/>
      </w:r>
      <w:r>
        <w:t xml:space="preserve"> Selon la lettre du 4 septembre 2019 du ministère de l’Environnement et du Développement durable de la Colombie au PNUD.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29" w:rsidRPr="00DB56ED" w:rsidRDefault="00DB3329" w:rsidP="00DB3329">
    <w:pPr>
      <w:rPr>
        <w:lang w:val="fr-FR"/>
      </w:rPr>
    </w:pPr>
    <w:r w:rsidRPr="00DB56ED">
      <w:rPr>
        <w:lang w:val="fr-FR"/>
      </w:rPr>
      <w:fldChar w:fldCharType="begin"/>
    </w:r>
    <w:r w:rsidRPr="00DB56ED">
      <w:rPr>
        <w:lang w:val="fr-FR"/>
      </w:rPr>
      <w:instrText xml:space="preserve"> DOCPROPERTY "Document number"  \* MERGEFORMAT </w:instrText>
    </w:r>
    <w:r w:rsidRPr="00DB56ED">
      <w:rPr>
        <w:lang w:val="fr-FR"/>
      </w:rPr>
      <w:fldChar w:fldCharType="separate"/>
    </w:r>
    <w:r>
      <w:rPr>
        <w:lang w:val="fr-FR"/>
      </w:rPr>
      <w:t>UNEP/</w:t>
    </w:r>
    <w:proofErr w:type="spellStart"/>
    <w:r>
      <w:rPr>
        <w:lang w:val="fr-FR"/>
      </w:rPr>
      <w:t>OzL.Pro</w:t>
    </w:r>
    <w:proofErr w:type="spellEnd"/>
    <w:r>
      <w:rPr>
        <w:lang w:val="fr-FR"/>
      </w:rPr>
      <w:t>/</w:t>
    </w:r>
    <w:proofErr w:type="spellStart"/>
    <w:r>
      <w:rPr>
        <w:lang w:val="fr-FR"/>
      </w:rPr>
      <w:t>ExCom</w:t>
    </w:r>
    <w:proofErr w:type="spellEnd"/>
    <w:r>
      <w:rPr>
        <w:lang w:val="fr-FR"/>
      </w:rPr>
      <w:t>/84/43</w:t>
    </w:r>
    <w:r w:rsidRPr="00DB56ED">
      <w:rPr>
        <w:lang w:val="fr-FR"/>
      </w:rPr>
      <w:fldChar w:fldCharType="end"/>
    </w:r>
  </w:p>
  <w:p w:rsidR="00DB3329" w:rsidRDefault="00DB3329">
    <w:pPr>
      <w:pStyle w:val="Header"/>
    </w:pPr>
  </w:p>
  <w:p w:rsidR="000C44E6" w:rsidRDefault="000C44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29" w:rsidRPr="00DB56ED" w:rsidRDefault="00DB3329" w:rsidP="00DB3329">
    <w:pPr>
      <w:jc w:val="right"/>
      <w:rPr>
        <w:lang w:val="fr-FR"/>
      </w:rPr>
    </w:pPr>
    <w:r w:rsidRPr="00DB56ED">
      <w:rPr>
        <w:lang w:val="fr-FR"/>
      </w:rPr>
      <w:fldChar w:fldCharType="begin"/>
    </w:r>
    <w:r w:rsidRPr="00DB56ED">
      <w:rPr>
        <w:lang w:val="fr-FR"/>
      </w:rPr>
      <w:instrText xml:space="preserve"> DOCPROPERTY "Document number"  \* MERGEFORMAT </w:instrText>
    </w:r>
    <w:r w:rsidRPr="00DB56ED">
      <w:rPr>
        <w:lang w:val="fr-FR"/>
      </w:rPr>
      <w:fldChar w:fldCharType="separate"/>
    </w:r>
    <w:r>
      <w:rPr>
        <w:lang w:val="fr-FR"/>
      </w:rPr>
      <w:t>UNEP/</w:t>
    </w:r>
    <w:proofErr w:type="spellStart"/>
    <w:r>
      <w:rPr>
        <w:lang w:val="fr-FR"/>
      </w:rPr>
      <w:t>OzL.Pro</w:t>
    </w:r>
    <w:proofErr w:type="spellEnd"/>
    <w:r>
      <w:rPr>
        <w:lang w:val="fr-FR"/>
      </w:rPr>
      <w:t>/</w:t>
    </w:r>
    <w:proofErr w:type="spellStart"/>
    <w:r>
      <w:rPr>
        <w:lang w:val="fr-FR"/>
      </w:rPr>
      <w:t>ExCom</w:t>
    </w:r>
    <w:proofErr w:type="spellEnd"/>
    <w:r>
      <w:rPr>
        <w:lang w:val="fr-FR"/>
      </w:rPr>
      <w:t>/84/43</w:t>
    </w:r>
    <w:r w:rsidRPr="00DB56ED">
      <w:rPr>
        <w:lang w:val="fr-FR"/>
      </w:rPr>
      <w:fldChar w:fldCharType="end"/>
    </w:r>
  </w:p>
  <w:p w:rsidR="00DB3329" w:rsidRDefault="00DB33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8"/>
  </w:num>
  <w:num w:numId="20">
    <w:abstractNumId w:val="14"/>
  </w:num>
  <w:num w:numId="21">
    <w:abstractNumId w:val="11"/>
  </w:num>
  <w:num w:numId="22">
    <w:abstractNumId w:val="12"/>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6E"/>
    <w:rsid w:val="000C44E6"/>
    <w:rsid w:val="000F6C8E"/>
    <w:rsid w:val="001C3D0C"/>
    <w:rsid w:val="001D4CE7"/>
    <w:rsid w:val="00265AF0"/>
    <w:rsid w:val="002F0B57"/>
    <w:rsid w:val="003A0CA4"/>
    <w:rsid w:val="00441083"/>
    <w:rsid w:val="004859F7"/>
    <w:rsid w:val="004C2C87"/>
    <w:rsid w:val="004E3A36"/>
    <w:rsid w:val="0052476E"/>
    <w:rsid w:val="005B3CAD"/>
    <w:rsid w:val="005C278F"/>
    <w:rsid w:val="00605093"/>
    <w:rsid w:val="007034FA"/>
    <w:rsid w:val="0075750B"/>
    <w:rsid w:val="0079551F"/>
    <w:rsid w:val="0091161A"/>
    <w:rsid w:val="00972E99"/>
    <w:rsid w:val="009A5180"/>
    <w:rsid w:val="00AC013C"/>
    <w:rsid w:val="00AE63D8"/>
    <w:rsid w:val="00AF4A9C"/>
    <w:rsid w:val="00B811F2"/>
    <w:rsid w:val="00BC3C7D"/>
    <w:rsid w:val="00C258B1"/>
    <w:rsid w:val="00C6443E"/>
    <w:rsid w:val="00CE77C7"/>
    <w:rsid w:val="00D7654A"/>
    <w:rsid w:val="00DB3329"/>
    <w:rsid w:val="00DB4E64"/>
    <w:rsid w:val="00DB56ED"/>
    <w:rsid w:val="00DD3433"/>
    <w:rsid w:val="00E348C6"/>
    <w:rsid w:val="00E54871"/>
    <w:rsid w:val="00E54BB6"/>
    <w:rsid w:val="00E60D9C"/>
    <w:rsid w:val="00EB2067"/>
    <w:rsid w:val="00F37A42"/>
    <w:rsid w:val="00F557F5"/>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A1EA5C"/>
  <w15:docId w15:val="{6630EA49-ED9F-4204-BCCF-20F2A51C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uiPriority w:val="34"/>
    <w:qFormat/>
    <w:rsid w:val="0052476E"/>
    <w:pPr>
      <w:ind w:left="720"/>
      <w:contextualSpacing/>
    </w:pPr>
    <w:rPr>
      <w:lang w:val="fr-FR"/>
    </w:rPr>
  </w:style>
  <w:style w:type="paragraph" w:styleId="FootnoteText">
    <w:name w:val="footnote text"/>
    <w:basedOn w:val="Normal"/>
    <w:link w:val="FootnoteTextChar"/>
    <w:uiPriority w:val="99"/>
    <w:semiHidden/>
    <w:unhideWhenUsed/>
    <w:rsid w:val="0052476E"/>
    <w:rPr>
      <w:sz w:val="20"/>
      <w:szCs w:val="20"/>
      <w:lang w:val="fr-FR"/>
    </w:rPr>
  </w:style>
  <w:style w:type="character" w:customStyle="1" w:styleId="FootnoteTextChar">
    <w:name w:val="Footnote Text Char"/>
    <w:basedOn w:val="DefaultParagraphFont"/>
    <w:link w:val="FootnoteText"/>
    <w:uiPriority w:val="99"/>
    <w:semiHidden/>
    <w:rsid w:val="0052476E"/>
    <w:rPr>
      <w:lang w:val="fr-FR"/>
    </w:rPr>
  </w:style>
  <w:style w:type="character" w:styleId="FootnoteReference">
    <w:name w:val="footnote reference"/>
    <w:basedOn w:val="DefaultParagraphFont"/>
    <w:uiPriority w:val="99"/>
    <w:semiHidden/>
    <w:unhideWhenUsed/>
    <w:rsid w:val="0052476E"/>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2476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Ind&#233;pendant\ONU\2019\F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UNEP/OzL.Pro/ExCom/84/43</Document_x0020_Number>
  </documentManagement>
</p:properties>
</file>

<file path=customXml/itemProps1.xml><?xml version="1.0" encoding="utf-8"?>
<ds:datastoreItem xmlns:ds="http://schemas.openxmlformats.org/officeDocument/2006/customXml" ds:itemID="{2A399F9F-67ED-4790-BEC0-30641C16E168}"/>
</file>

<file path=customXml/itemProps2.xml><?xml version="1.0" encoding="utf-8"?>
<ds:datastoreItem xmlns:ds="http://schemas.openxmlformats.org/officeDocument/2006/customXml" ds:itemID="{3BB308E4-1D9A-47E1-BBF1-AFD335E75E90}"/>
</file>

<file path=customXml/itemProps3.xml><?xml version="1.0" encoding="utf-8"?>
<ds:datastoreItem xmlns:ds="http://schemas.openxmlformats.org/officeDocument/2006/customXml" ds:itemID="{6D7F9070-87B0-4F5B-9961-656092D8F48D}"/>
</file>

<file path=customXml/itemProps4.xml><?xml version="1.0" encoding="utf-8"?>
<ds:datastoreItem xmlns:ds="http://schemas.openxmlformats.org/officeDocument/2006/customXml" ds:itemID="{AB380A5B-E29D-45E6-ACF3-E9185517A574}"/>
</file>

<file path=docProps/app.xml><?xml version="1.0" encoding="utf-8"?>
<Properties xmlns="http://schemas.openxmlformats.org/officeDocument/2006/extended-properties" xmlns:vt="http://schemas.openxmlformats.org/officeDocument/2006/docPropsVTypes">
  <Template>F84-Template</Template>
  <TotalTime>16</TotalTime>
  <Pages>11</Pages>
  <Words>4977</Words>
  <Characters>26415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Proposition de projet : Colombie</vt:lpstr>
    </vt:vector>
  </TitlesOfParts>
  <Company>UNMFS</Company>
  <LinksUpToDate>false</LinksUpToDate>
  <CharactersWithSpaces>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 Colombie</dc:title>
  <dc:creator>Julien</dc:creator>
  <cp:lastModifiedBy>HBE</cp:lastModifiedBy>
  <cp:revision>7</cp:revision>
  <cp:lastPrinted>2001-05-26T16:40:00Z</cp:lastPrinted>
  <dcterms:created xsi:type="dcterms:W3CDTF">2019-11-28T15:33:00Z</dcterms:created>
  <dcterms:modified xsi:type="dcterms:W3CDTF">2019-12-06T17:30:00Z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UNEP/OzL.Pro/ExCom/84/43</vt:lpwstr>
  </property>
  <property fmtid="{D5CDD505-2E9C-101B-9397-08002B2CF9AE}" pid="3" name="Revision date">
    <vt:lpwstr>11/22/2019</vt:lpwstr>
  </property>
  <property fmtid="{D5CDD505-2E9C-101B-9397-08002B2CF9AE}" pid="4" name="ContentTypeId">
    <vt:lpwstr>0x010100109683CADC4F284EA5F0B82357B5BF3A</vt:lpwstr>
  </property>
</Properties>
</file>