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432" w:type="dxa"/>
        <w:tblLayout w:type="fixed"/>
        <w:tblLook w:val="0000" w:firstRow="0" w:lastRow="0" w:firstColumn="0" w:lastColumn="0" w:noHBand="0" w:noVBand="0"/>
      </w:tblPr>
      <w:tblGrid>
        <w:gridCol w:w="2070"/>
        <w:gridCol w:w="4991"/>
        <w:gridCol w:w="3544"/>
      </w:tblGrid>
      <w:tr w:rsidR="00441083">
        <w:trPr>
          <w:trHeight w:val="720"/>
        </w:trPr>
        <w:tc>
          <w:tcPr>
            <w:tcW w:w="7061" w:type="dxa"/>
            <w:gridSpan w:val="2"/>
            <w:tcBorders>
              <w:bottom w:val="single" w:sz="18" w:space="0" w:color="auto"/>
            </w:tcBorders>
          </w:tcPr>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441083" w:rsidRDefault="00E60D9C">
            <w:pPr>
              <w:tabs>
                <w:tab w:val="left" w:pos="3010"/>
              </w:tabs>
              <w:jc w:val="center"/>
              <w:rPr>
                <w:sz w:val="52"/>
                <w:szCs w:val="52"/>
              </w:rPr>
            </w:pPr>
            <w:r>
              <w:rPr>
                <w:rFonts w:ascii="Univers Bold" w:hAnsi="Univers Bold"/>
                <w:b/>
                <w:sz w:val="72"/>
                <w:lang w:val="fr-CA"/>
              </w:rPr>
              <w:t xml:space="preserve">          EP</w:t>
            </w:r>
          </w:p>
        </w:tc>
      </w:tr>
      <w:tr w:rsidR="00441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441083" w:rsidRDefault="00060325">
            <w:pPr>
              <w:spacing w:before="120"/>
            </w:pPr>
            <w:r>
              <w:rPr>
                <w:noProof/>
                <w:lang w:val="en-CA" w:eastAsia="en-CA"/>
              </w:rPr>
              <w:drawing>
                <wp:anchor distT="0" distB="0" distL="114300" distR="114300" simplePos="0" relativeHeight="251660288" behindDoc="0" locked="0" layoutInCell="1" allowOverlap="1">
                  <wp:simplePos x="0" y="0"/>
                  <wp:positionH relativeFrom="column">
                    <wp:posOffset>300803</wp:posOffset>
                  </wp:positionH>
                  <wp:positionV relativeFrom="paragraph">
                    <wp:posOffset>920115</wp:posOffset>
                  </wp:positionV>
                  <wp:extent cx="800100" cy="705485"/>
                  <wp:effectExtent l="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00100" cy="705485"/>
                          </a:xfrm>
                          <a:prstGeom prst="rect">
                            <a:avLst/>
                          </a:prstGeom>
                          <a:noFill/>
                        </pic:spPr>
                      </pic:pic>
                    </a:graphicData>
                  </a:graphic>
                </wp:anchor>
              </w:drawing>
            </w:r>
            <w:r w:rsidR="001C3D0C">
              <w:rPr>
                <w:noProof/>
                <w:lang w:val="en-CA" w:eastAsia="en-CA"/>
              </w:rPr>
              <w:drawing>
                <wp:anchor distT="0" distB="0" distL="114300" distR="114300" simplePos="0" relativeHeight="251661312" behindDoc="1" locked="0" layoutInCell="0" allowOverlap="1">
                  <wp:simplePos x="0" y="0"/>
                  <wp:positionH relativeFrom="column">
                    <wp:posOffset>72390</wp:posOffset>
                  </wp:positionH>
                  <wp:positionV relativeFrom="paragraph">
                    <wp:posOffset>112395</wp:posOffset>
                  </wp:positionV>
                  <wp:extent cx="760809" cy="67627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60809" cy="676275"/>
                          </a:xfrm>
                          <a:prstGeom prst="rect">
                            <a:avLst/>
                          </a:prstGeom>
                          <a:noFill/>
                        </pic:spPr>
                      </pic:pic>
                    </a:graphicData>
                  </a:graphic>
                </wp:anchor>
              </w:drawing>
            </w:r>
          </w:p>
        </w:tc>
        <w:tc>
          <w:tcPr>
            <w:tcW w:w="4991" w:type="dxa"/>
            <w:tcBorders>
              <w:top w:val="nil"/>
              <w:left w:val="nil"/>
              <w:bottom w:val="single" w:sz="36" w:space="0" w:color="auto"/>
              <w:right w:val="nil"/>
            </w:tcBorders>
          </w:tcPr>
          <w:p w:rsidR="00441083" w:rsidRDefault="00441083">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441083" w:rsidRDefault="00E60D9C">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Pr>
                <w:rFonts w:ascii="Univers" w:hAnsi="Univers"/>
                <w:b/>
                <w:sz w:val="32"/>
                <w:lang w:val="fr-CA"/>
              </w:rPr>
              <w:t>Programme des</w:t>
            </w:r>
          </w:p>
          <w:p w:rsidR="00441083" w:rsidRDefault="00E60D9C">
            <w:pPr>
              <w:rPr>
                <w:rFonts w:ascii="Univers" w:hAnsi="Univers"/>
                <w:b/>
                <w:sz w:val="32"/>
                <w:lang w:val="fr-CA"/>
              </w:rPr>
            </w:pPr>
            <w:r>
              <w:rPr>
                <w:rFonts w:ascii="Univers" w:hAnsi="Univers"/>
                <w:b/>
                <w:sz w:val="32"/>
                <w:lang w:val="fr-CA"/>
              </w:rPr>
              <w:t>Nations Unies pour</w:t>
            </w:r>
          </w:p>
          <w:p w:rsidR="00441083" w:rsidRDefault="00E60D9C">
            <w:pPr>
              <w:rPr>
                <w:rFonts w:ascii="Univers" w:hAnsi="Univers"/>
                <w:b/>
                <w:sz w:val="32"/>
                <w:lang w:val="fr-CA"/>
              </w:rPr>
            </w:pPr>
            <w:r>
              <w:rPr>
                <w:rFonts w:ascii="Univers" w:hAnsi="Univers"/>
                <w:b/>
                <w:sz w:val="32"/>
                <w:lang w:val="fr-CA"/>
              </w:rPr>
              <w:t>l’environnement</w:t>
            </w:r>
          </w:p>
          <w:p w:rsidR="00441083" w:rsidRDefault="00E60D9C">
            <w:pPr>
              <w:spacing w:before="720"/>
              <w:ind w:left="158"/>
              <w:rPr>
                <w:lang w:val="fr-FR"/>
              </w:rPr>
            </w:pPr>
            <w:r>
              <w:rPr>
                <w:lang w:val="fr-FR"/>
              </w:rPr>
              <w:t xml:space="preserve"> </w:t>
            </w:r>
          </w:p>
        </w:tc>
        <w:tc>
          <w:tcPr>
            <w:tcW w:w="3544" w:type="dxa"/>
            <w:tcBorders>
              <w:top w:val="nil"/>
              <w:left w:val="nil"/>
              <w:bottom w:val="single" w:sz="36" w:space="0" w:color="auto"/>
              <w:right w:val="nil"/>
            </w:tcBorders>
          </w:tcPr>
          <w:p w:rsidR="00441083" w:rsidRDefault="00441083">
            <w:pPr>
              <w:rPr>
                <w:lang w:val="fr-FR"/>
              </w:rPr>
            </w:pPr>
          </w:p>
          <w:p w:rsidR="00441083" w:rsidRPr="00DD3433" w:rsidRDefault="00E60D9C">
            <w:pPr>
              <w:rPr>
                <w:lang w:val="fr-FR"/>
              </w:rPr>
            </w:pPr>
            <w:r w:rsidRPr="00DD3433">
              <w:rPr>
                <w:lang w:val="fr-FR"/>
              </w:rPr>
              <w:t>Distr.</w:t>
            </w:r>
          </w:p>
          <w:p w:rsidR="00441083" w:rsidRPr="00DD3433" w:rsidRDefault="00E60D9C" w:rsidP="00DD3433">
            <w:pPr>
              <w:rPr>
                <w:lang w:val="fr-FR"/>
              </w:rPr>
            </w:pPr>
            <w:r w:rsidRPr="00DD3433">
              <w:rPr>
                <w:lang w:val="fr-FR"/>
              </w:rPr>
              <w:t>G</w:t>
            </w:r>
            <w:r w:rsidR="00DD3433" w:rsidRPr="00DD3433">
              <w:rPr>
                <w:lang w:val="fr-FR"/>
              </w:rPr>
              <w:t>É</w:t>
            </w:r>
            <w:r w:rsidRPr="00DD3433">
              <w:rPr>
                <w:lang w:val="fr-FR"/>
              </w:rPr>
              <w:t>N</w:t>
            </w:r>
            <w:r w:rsidR="00DD3433" w:rsidRPr="00DD3433">
              <w:rPr>
                <w:lang w:val="fr-FR"/>
              </w:rPr>
              <w:t>É</w:t>
            </w:r>
            <w:r w:rsidRPr="00DD3433">
              <w:rPr>
                <w:lang w:val="fr-FR"/>
              </w:rPr>
              <w:t>RAL</w:t>
            </w:r>
            <w:r w:rsidR="00FF3CF1" w:rsidRPr="00DD3433">
              <w:rPr>
                <w:lang w:val="fr-FR"/>
              </w:rPr>
              <w:t>E</w:t>
            </w:r>
          </w:p>
          <w:p w:rsidR="00441083" w:rsidRPr="00DD3433" w:rsidRDefault="00441083">
            <w:pPr>
              <w:rPr>
                <w:lang w:val="fr-FR"/>
              </w:rPr>
            </w:pPr>
          </w:p>
          <w:p w:rsidR="00441083" w:rsidRPr="00FF3CF1" w:rsidRDefault="00790401">
            <w:pPr>
              <w:rPr>
                <w:lang w:val="fr-FR"/>
              </w:rPr>
            </w:pPr>
            <w:r>
              <w:fldChar w:fldCharType="begin"/>
            </w:r>
            <w:r w:rsidR="00E60D9C" w:rsidRPr="00DD3433">
              <w:rPr>
                <w:lang w:val="fr-FR"/>
              </w:rPr>
              <w:instrText xml:space="preserve"> DOCPROPERTY "Document number"  \* MERGEFORMAT </w:instrText>
            </w:r>
            <w:r>
              <w:fldChar w:fldCharType="separate"/>
            </w:r>
            <w:r w:rsidR="0051666A">
              <w:rPr>
                <w:lang w:val="fr-FR"/>
              </w:rPr>
              <w:t>UNEP/OzL.Pro/ExCom/84/41</w:t>
            </w:r>
            <w:r>
              <w:fldChar w:fldCharType="end"/>
            </w:r>
          </w:p>
          <w:p w:rsidR="002F0B57" w:rsidRPr="00FF3CF1" w:rsidRDefault="00790401" w:rsidP="000F6C8E">
            <w:pPr>
              <w:rPr>
                <w:lang w:val="fr-FR"/>
              </w:rPr>
            </w:pPr>
            <w:r>
              <w:fldChar w:fldCharType="begin"/>
            </w:r>
            <w:r w:rsidR="002F0B57" w:rsidRPr="00FF3CF1">
              <w:rPr>
                <w:lang w:val="fr-FR"/>
              </w:rPr>
              <w:instrText xml:space="preserve"> DOCPROPERTY "Revision date" \@ "d MMMM YYYY"  \* MERGEFORMAT </w:instrText>
            </w:r>
            <w:r>
              <w:fldChar w:fldCharType="separate"/>
            </w:r>
            <w:r w:rsidR="0051666A">
              <w:rPr>
                <w:lang w:val="fr-FR"/>
              </w:rPr>
              <w:t>19 novembre 2019</w:t>
            </w:r>
            <w:r>
              <w:fldChar w:fldCharType="end"/>
            </w:r>
          </w:p>
          <w:p w:rsidR="00441083" w:rsidRDefault="00FC5578">
            <w:pPr>
              <w:rPr>
                <w:caps/>
                <w:lang w:val="fr-FR"/>
              </w:rPr>
            </w:pPr>
            <w:r w:rsidRPr="00FF3CF1">
              <w:rPr>
                <w:caps/>
                <w:lang w:val="fr-FR"/>
              </w:rPr>
              <w:br/>
            </w:r>
            <w:r w:rsidR="00E60D9C">
              <w:rPr>
                <w:caps/>
                <w:lang w:val="fr-FR"/>
              </w:rPr>
              <w:t>FRANÇAIS</w:t>
            </w:r>
          </w:p>
          <w:p w:rsidR="00441083" w:rsidRDefault="00E60D9C">
            <w:r>
              <w:t xml:space="preserve">ORIGINAL: </w:t>
            </w:r>
            <w:r w:rsidR="0091161A">
              <w:t>ANGLAIS</w:t>
            </w:r>
          </w:p>
        </w:tc>
      </w:tr>
    </w:tbl>
    <w:p w:rsidR="00441083" w:rsidRDefault="00441083">
      <w:pPr>
        <w:jc w:val="left"/>
        <w:rPr>
          <w:lang w:val="fr-CA"/>
        </w:rPr>
      </w:pPr>
    </w:p>
    <w:p w:rsidR="00441083" w:rsidRDefault="00E60D9C" w:rsidP="00DD3433">
      <w:pPr>
        <w:jc w:val="left"/>
        <w:rPr>
          <w:lang w:val="fr-CA"/>
        </w:rPr>
      </w:pPr>
      <w:r>
        <w:rPr>
          <w:lang w:val="fr-CA"/>
        </w:rPr>
        <w:t>COMIT</w:t>
      </w:r>
      <w:r w:rsidR="00DD3433">
        <w:rPr>
          <w:lang w:val="fr-CA"/>
        </w:rPr>
        <w:t>É</w:t>
      </w:r>
      <w:r>
        <w:rPr>
          <w:lang w:val="fr-CA"/>
        </w:rPr>
        <w:t xml:space="preserve"> EX</w:t>
      </w:r>
      <w:r w:rsidR="00DD3433">
        <w:rPr>
          <w:lang w:val="fr-CA"/>
        </w:rPr>
        <w:t xml:space="preserve">ÉCUTIF </w:t>
      </w:r>
      <w:r w:rsidR="00DD3433">
        <w:rPr>
          <w:lang w:val="fr-CA"/>
        </w:rPr>
        <w:br/>
        <w:t xml:space="preserve">  DU FONDS MULTILATÉ</w:t>
      </w:r>
      <w:r>
        <w:rPr>
          <w:lang w:val="fr-CA"/>
        </w:rPr>
        <w:t xml:space="preserve">RAL AUX FINS </w:t>
      </w:r>
      <w:r>
        <w:rPr>
          <w:lang w:val="fr-CA"/>
        </w:rPr>
        <w:br/>
        <w:t xml:space="preserve">  D’APPLICATION DU PROTOCOLE DE MONTR</w:t>
      </w:r>
      <w:r w:rsidR="00DD3433">
        <w:rPr>
          <w:lang w:val="fr-CA"/>
        </w:rPr>
        <w:t>É</w:t>
      </w:r>
      <w:r>
        <w:rPr>
          <w:lang w:val="fr-CA"/>
        </w:rPr>
        <w:t>AL</w:t>
      </w:r>
      <w:r>
        <w:rPr>
          <w:lang w:val="fr-CA"/>
        </w:rPr>
        <w:br/>
      </w:r>
      <w:r w:rsidR="00E54871">
        <w:rPr>
          <w:lang w:val="fr-CA"/>
        </w:rPr>
        <w:t>Quatre</w:t>
      </w:r>
      <w:r>
        <w:rPr>
          <w:lang w:val="fr-CA"/>
        </w:rPr>
        <w:t>-</w:t>
      </w:r>
      <w:r w:rsidR="00E54871">
        <w:rPr>
          <w:lang w:val="fr-CA"/>
        </w:rPr>
        <w:t>vingt</w:t>
      </w:r>
      <w:r w:rsidR="00AE63D8">
        <w:rPr>
          <w:lang w:val="fr-CA"/>
        </w:rPr>
        <w:t>-</w:t>
      </w:r>
      <w:r w:rsidR="00AC013C">
        <w:rPr>
          <w:lang w:val="fr-CA"/>
        </w:rPr>
        <w:t>quat</w:t>
      </w:r>
      <w:r w:rsidR="004C2C87">
        <w:rPr>
          <w:lang w:val="fr-CA"/>
        </w:rPr>
        <w:t>ri</w:t>
      </w:r>
      <w:r w:rsidR="00E54871">
        <w:rPr>
          <w:lang w:val="fr-CA"/>
        </w:rPr>
        <w:t>ème</w:t>
      </w:r>
      <w:r w:rsidR="00FC5578" w:rsidRPr="00FC5578">
        <w:rPr>
          <w:lang w:val="fr-CA"/>
        </w:rPr>
        <w:t xml:space="preserve"> </w:t>
      </w:r>
      <w:r>
        <w:rPr>
          <w:lang w:val="fr-CA"/>
        </w:rPr>
        <w:t>réunion</w:t>
      </w:r>
    </w:p>
    <w:p w:rsidR="00441083" w:rsidRDefault="00E54871" w:rsidP="00AC013C">
      <w:pPr>
        <w:jc w:val="left"/>
        <w:rPr>
          <w:lang w:val="fr-CA"/>
        </w:rPr>
      </w:pPr>
      <w:r>
        <w:rPr>
          <w:lang w:val="fr-CA"/>
        </w:rPr>
        <w:t>Montr</w:t>
      </w:r>
      <w:r w:rsidRPr="00C748FA">
        <w:rPr>
          <w:lang w:val="fr-FR"/>
        </w:rPr>
        <w:t>é</w:t>
      </w:r>
      <w:r>
        <w:rPr>
          <w:lang w:val="fr-CA"/>
        </w:rPr>
        <w:t>al,</w:t>
      </w:r>
      <w:r w:rsidR="00FC5578">
        <w:rPr>
          <w:lang w:val="fr-CA"/>
        </w:rPr>
        <w:t xml:space="preserve"> </w:t>
      </w:r>
      <w:r w:rsidR="00AC013C">
        <w:rPr>
          <w:lang w:val="fr-CA"/>
        </w:rPr>
        <w:t xml:space="preserve">16 </w:t>
      </w:r>
      <w:r w:rsidR="00E60D9C">
        <w:rPr>
          <w:lang w:val="fr-CA"/>
        </w:rPr>
        <w:t xml:space="preserve">– </w:t>
      </w:r>
      <w:r w:rsidR="00AC013C">
        <w:rPr>
          <w:lang w:val="fr-CA"/>
        </w:rPr>
        <w:t>20 décembre</w:t>
      </w:r>
      <w:r w:rsidR="004C2C87">
        <w:rPr>
          <w:lang w:val="fr-CA"/>
        </w:rPr>
        <w:t xml:space="preserve"> 2019</w:t>
      </w:r>
    </w:p>
    <w:p w:rsidR="00441083" w:rsidRDefault="00441083">
      <w:pPr>
        <w:jc w:val="left"/>
        <w:rPr>
          <w:lang w:val="fr-CA"/>
        </w:rPr>
      </w:pPr>
    </w:p>
    <w:p w:rsidR="00441083" w:rsidRDefault="00441083">
      <w:pPr>
        <w:pStyle w:val="Heading3"/>
        <w:numPr>
          <w:ilvl w:val="0"/>
          <w:numId w:val="0"/>
        </w:numPr>
        <w:spacing w:after="0"/>
        <w:rPr>
          <w:lang w:val="fr-FR"/>
        </w:rPr>
      </w:pPr>
    </w:p>
    <w:p w:rsidR="00441083" w:rsidRDefault="00441083">
      <w:pPr>
        <w:pStyle w:val="Title1"/>
        <w:rPr>
          <w:lang w:val="fr-FR"/>
        </w:rPr>
      </w:pPr>
    </w:p>
    <w:p w:rsidR="00441083" w:rsidRDefault="00441083">
      <w:pPr>
        <w:pStyle w:val="Title1"/>
        <w:rPr>
          <w:lang w:val="fr-FR"/>
        </w:rPr>
      </w:pPr>
    </w:p>
    <w:p w:rsidR="00441083" w:rsidRPr="00C748FA" w:rsidRDefault="00C748FA">
      <w:pPr>
        <w:jc w:val="center"/>
        <w:rPr>
          <w:lang w:val="fr-FR"/>
        </w:rPr>
      </w:pPr>
      <w:r w:rsidRPr="00C748FA">
        <w:rPr>
          <w:b/>
          <w:lang w:val="fr-FR"/>
        </w:rPr>
        <w:t>PROPOSITIONS DE PROJET : LA BARBADE</w:t>
      </w:r>
    </w:p>
    <w:p w:rsidR="00441083" w:rsidRDefault="00441083">
      <w:pPr>
        <w:jc w:val="center"/>
        <w:rPr>
          <w:lang w:val="fr-CA"/>
        </w:rPr>
      </w:pPr>
    </w:p>
    <w:p w:rsidR="00441083" w:rsidRDefault="00441083">
      <w:pPr>
        <w:jc w:val="center"/>
        <w:rPr>
          <w:lang w:val="fr-CA"/>
        </w:rPr>
      </w:pPr>
    </w:p>
    <w:p w:rsidR="00441083" w:rsidRDefault="00441083">
      <w:pPr>
        <w:jc w:val="center"/>
        <w:rPr>
          <w:lang w:val="fr-CA"/>
        </w:rPr>
      </w:pPr>
    </w:p>
    <w:p w:rsidR="00C748FA" w:rsidRPr="00C748FA" w:rsidRDefault="00C748FA" w:rsidP="00C748FA">
      <w:pPr>
        <w:ind w:firstLine="720"/>
        <w:rPr>
          <w:lang w:val="fr-FR"/>
        </w:rPr>
      </w:pPr>
      <w:r w:rsidRPr="00C748FA">
        <w:rPr>
          <w:lang w:val="fr-FR"/>
        </w:rPr>
        <w:t>Le présent document comprend les observations et la recommandation du Secrétariat sur la p</w:t>
      </w:r>
      <w:r w:rsidR="007F1D3A">
        <w:rPr>
          <w:lang w:val="fr-FR"/>
        </w:rPr>
        <w:t>roposition de projet suivante :</w:t>
      </w:r>
    </w:p>
    <w:p w:rsidR="00C748FA" w:rsidRPr="003646CD" w:rsidRDefault="00C748FA" w:rsidP="00C748FA">
      <w:pPr>
        <w:rPr>
          <w:lang w:val="fr-FR"/>
        </w:rPr>
      </w:pPr>
    </w:p>
    <w:p w:rsidR="00C748FA" w:rsidRPr="003D3E41" w:rsidRDefault="00C748FA" w:rsidP="00C748FA">
      <w:pPr>
        <w:rPr>
          <w:u w:val="single"/>
        </w:rPr>
      </w:pPr>
      <w:r>
        <w:rPr>
          <w:u w:val="single"/>
        </w:rPr>
        <w:t>Élimination</w:t>
      </w:r>
    </w:p>
    <w:p w:rsidR="00C748FA" w:rsidRPr="003D3E41" w:rsidRDefault="00C748FA" w:rsidP="00C748F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C748FA" w:rsidRPr="003D3E41" w:rsidTr="009C53C1">
        <w:tc>
          <w:tcPr>
            <w:tcW w:w="6941" w:type="dxa"/>
          </w:tcPr>
          <w:p w:rsidR="00C748FA" w:rsidRPr="00C748FA" w:rsidRDefault="00C748FA" w:rsidP="00C748FA">
            <w:pPr>
              <w:pStyle w:val="ListParagraph"/>
              <w:numPr>
                <w:ilvl w:val="0"/>
                <w:numId w:val="23"/>
              </w:numPr>
              <w:ind w:hanging="830"/>
              <w:rPr>
                <w:lang w:val="fr-FR"/>
              </w:rPr>
            </w:pPr>
            <w:r w:rsidRPr="00C748FA">
              <w:rPr>
                <w:lang w:val="fr-FR"/>
              </w:rPr>
              <w:t>Plan de gestion de l’élimination des HCFC (phase I, troisième tranche)</w:t>
            </w:r>
          </w:p>
        </w:tc>
        <w:tc>
          <w:tcPr>
            <w:tcW w:w="2409" w:type="dxa"/>
          </w:tcPr>
          <w:p w:rsidR="00C748FA" w:rsidRPr="003D3E41" w:rsidRDefault="00C748FA" w:rsidP="009C53C1">
            <w:pPr>
              <w:jc w:val="right"/>
            </w:pPr>
            <w:r>
              <w:t>PNUE et PNUD</w:t>
            </w:r>
          </w:p>
        </w:tc>
      </w:tr>
    </w:tbl>
    <w:p w:rsidR="00C748FA" w:rsidRDefault="00C748FA">
      <w:pPr>
        <w:jc w:val="center"/>
        <w:rPr>
          <w:lang w:val="fr-CA"/>
        </w:rPr>
      </w:pPr>
    </w:p>
    <w:p w:rsidR="00C748FA" w:rsidRDefault="00C748FA">
      <w:pPr>
        <w:jc w:val="left"/>
        <w:rPr>
          <w:lang w:val="fr-CA"/>
        </w:rPr>
      </w:pPr>
      <w:r>
        <w:rPr>
          <w:lang w:val="fr-CA"/>
        </w:rPr>
        <w:br w:type="page"/>
      </w:r>
    </w:p>
    <w:p w:rsidR="00C748FA" w:rsidRPr="00C748FA" w:rsidRDefault="00C748FA" w:rsidP="00C748FA">
      <w:pPr>
        <w:jc w:val="center"/>
        <w:rPr>
          <w:b/>
          <w:lang w:val="fr-FR"/>
        </w:rPr>
      </w:pPr>
      <w:r w:rsidRPr="00C748FA">
        <w:rPr>
          <w:b/>
          <w:lang w:val="fr-FR"/>
        </w:rPr>
        <w:lastRenderedPageBreak/>
        <w:t>FICHE D’ÉVALUATION DU PROJET – PROJETS PLURIANNUELS</w:t>
      </w:r>
    </w:p>
    <w:p w:rsidR="00C748FA" w:rsidRPr="003646CD" w:rsidRDefault="00C748FA" w:rsidP="00C748FA">
      <w:pPr>
        <w:jc w:val="center"/>
        <w:rPr>
          <w:lang w:val="fr-FR"/>
        </w:rPr>
      </w:pPr>
    </w:p>
    <w:p w:rsidR="00C748FA" w:rsidRPr="003D3E41" w:rsidRDefault="00C748FA" w:rsidP="00C748FA">
      <w:pPr>
        <w:jc w:val="center"/>
        <w:rPr>
          <w:b/>
        </w:rPr>
      </w:pPr>
      <w:r>
        <w:rPr>
          <w:b/>
        </w:rPr>
        <w:t>La Barbade</w:t>
      </w:r>
    </w:p>
    <w:p w:rsidR="00C748FA" w:rsidRPr="003D3E41" w:rsidRDefault="00C748FA" w:rsidP="00C748FA">
      <w:pPr>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499"/>
        <w:gridCol w:w="2499"/>
        <w:gridCol w:w="2501"/>
        <w:gridCol w:w="2501"/>
      </w:tblGrid>
      <w:tr w:rsidR="00C748FA" w:rsidRPr="003D3E41" w:rsidTr="007F1D3A">
        <w:trPr>
          <w:trHeight w:val="240"/>
        </w:trPr>
        <w:tc>
          <w:tcPr>
            <w:tcW w:w="2499" w:type="dxa"/>
            <w:shd w:val="clear" w:color="auto" w:fill="auto"/>
            <w:vAlign w:val="center"/>
          </w:tcPr>
          <w:p w:rsidR="00C748FA" w:rsidRPr="003D3E41" w:rsidRDefault="00C748FA" w:rsidP="007F1D3A">
            <w:pPr>
              <w:spacing w:after="80"/>
              <w:jc w:val="center"/>
              <w:rPr>
                <w:b/>
                <w:sz w:val="18"/>
              </w:rPr>
            </w:pPr>
            <w:r>
              <w:rPr>
                <w:b/>
                <w:sz w:val="18"/>
              </w:rPr>
              <w:t>(I) TITRE DU PROJET</w:t>
            </w:r>
          </w:p>
        </w:tc>
        <w:tc>
          <w:tcPr>
            <w:tcW w:w="2499" w:type="dxa"/>
            <w:shd w:val="clear" w:color="auto" w:fill="auto"/>
            <w:vAlign w:val="center"/>
          </w:tcPr>
          <w:p w:rsidR="00C748FA" w:rsidRPr="003D3E41" w:rsidRDefault="00C748FA" w:rsidP="007F1D3A">
            <w:pPr>
              <w:spacing w:after="80"/>
              <w:jc w:val="center"/>
              <w:rPr>
                <w:b/>
                <w:sz w:val="18"/>
              </w:rPr>
            </w:pPr>
            <w:r>
              <w:rPr>
                <w:b/>
                <w:sz w:val="18"/>
              </w:rPr>
              <w:t>AGENCE</w:t>
            </w:r>
            <w:r w:rsidR="000E519D">
              <w:rPr>
                <w:b/>
                <w:sz w:val="18"/>
              </w:rPr>
              <w:t>S</w:t>
            </w:r>
          </w:p>
        </w:tc>
        <w:tc>
          <w:tcPr>
            <w:tcW w:w="2501" w:type="dxa"/>
            <w:shd w:val="clear" w:color="auto" w:fill="auto"/>
            <w:vAlign w:val="center"/>
          </w:tcPr>
          <w:p w:rsidR="00C748FA" w:rsidRPr="003D3E41" w:rsidRDefault="00C748FA" w:rsidP="007F1D3A">
            <w:pPr>
              <w:spacing w:after="80"/>
              <w:jc w:val="center"/>
              <w:rPr>
                <w:b/>
                <w:sz w:val="18"/>
              </w:rPr>
            </w:pPr>
            <w:r>
              <w:rPr>
                <w:b/>
                <w:sz w:val="18"/>
              </w:rPr>
              <w:t>RÉUNION APPROUVÉE</w:t>
            </w:r>
          </w:p>
        </w:tc>
        <w:tc>
          <w:tcPr>
            <w:tcW w:w="2501" w:type="dxa"/>
            <w:shd w:val="clear" w:color="auto" w:fill="auto"/>
            <w:vAlign w:val="center"/>
          </w:tcPr>
          <w:p w:rsidR="00C748FA" w:rsidRPr="003D3E41" w:rsidRDefault="00C748FA" w:rsidP="007F1D3A">
            <w:pPr>
              <w:spacing w:after="80"/>
              <w:jc w:val="center"/>
              <w:rPr>
                <w:b/>
                <w:sz w:val="18"/>
              </w:rPr>
            </w:pPr>
            <w:r>
              <w:rPr>
                <w:b/>
                <w:sz w:val="18"/>
              </w:rPr>
              <w:t>MESURE DE RÉGLEMENTATION</w:t>
            </w:r>
          </w:p>
        </w:tc>
      </w:tr>
      <w:tr w:rsidR="00C748FA" w:rsidRPr="003D3E41" w:rsidTr="007F1D3A">
        <w:trPr>
          <w:trHeight w:val="240"/>
        </w:trPr>
        <w:tc>
          <w:tcPr>
            <w:tcW w:w="2499" w:type="dxa"/>
            <w:shd w:val="clear" w:color="auto" w:fill="auto"/>
            <w:vAlign w:val="center"/>
          </w:tcPr>
          <w:p w:rsidR="00C748FA" w:rsidRPr="00C748FA" w:rsidRDefault="00C748FA" w:rsidP="007F1D3A">
            <w:pPr>
              <w:spacing w:after="80"/>
              <w:jc w:val="center"/>
              <w:rPr>
                <w:sz w:val="18"/>
                <w:lang w:val="fr-FR"/>
              </w:rPr>
            </w:pPr>
            <w:r w:rsidRPr="00C748FA">
              <w:rPr>
                <w:sz w:val="18"/>
                <w:lang w:val="fr-FR"/>
              </w:rPr>
              <w:t>Plan de gestion de l’élimination des HCFC (phase</w:t>
            </w:r>
            <w:r w:rsidR="007F1D3A">
              <w:rPr>
                <w:sz w:val="18"/>
                <w:lang w:val="fr-FR"/>
              </w:rPr>
              <w:t> </w:t>
            </w:r>
            <w:r w:rsidRPr="00C748FA">
              <w:rPr>
                <w:sz w:val="18"/>
                <w:lang w:val="fr-FR"/>
              </w:rPr>
              <w:t>I)</w:t>
            </w:r>
          </w:p>
        </w:tc>
        <w:tc>
          <w:tcPr>
            <w:tcW w:w="2499" w:type="dxa"/>
            <w:shd w:val="clear" w:color="auto" w:fill="auto"/>
            <w:vAlign w:val="center"/>
          </w:tcPr>
          <w:p w:rsidR="00C748FA" w:rsidRPr="003D3E41" w:rsidRDefault="00C748FA" w:rsidP="007F1D3A">
            <w:pPr>
              <w:spacing w:after="80"/>
              <w:jc w:val="center"/>
              <w:rPr>
                <w:sz w:val="18"/>
              </w:rPr>
            </w:pPr>
            <w:r>
              <w:rPr>
                <w:sz w:val="18"/>
              </w:rPr>
              <w:t>PNUE (principale), PNUD</w:t>
            </w:r>
          </w:p>
        </w:tc>
        <w:tc>
          <w:tcPr>
            <w:tcW w:w="2501" w:type="dxa"/>
            <w:shd w:val="clear" w:color="auto" w:fill="auto"/>
            <w:vAlign w:val="center"/>
          </w:tcPr>
          <w:p w:rsidR="00C748FA" w:rsidRPr="003D3E41" w:rsidRDefault="00C748FA" w:rsidP="007F1D3A">
            <w:pPr>
              <w:spacing w:after="80"/>
              <w:jc w:val="center"/>
              <w:rPr>
                <w:sz w:val="18"/>
              </w:rPr>
            </w:pPr>
            <w:r>
              <w:rPr>
                <w:sz w:val="18"/>
              </w:rPr>
              <w:t>69</w:t>
            </w:r>
            <w:r>
              <w:rPr>
                <w:sz w:val="18"/>
                <w:vertAlign w:val="superscript"/>
              </w:rPr>
              <w:t>e</w:t>
            </w:r>
          </w:p>
        </w:tc>
        <w:tc>
          <w:tcPr>
            <w:tcW w:w="2501" w:type="dxa"/>
            <w:shd w:val="clear" w:color="auto" w:fill="auto"/>
            <w:vAlign w:val="center"/>
          </w:tcPr>
          <w:p w:rsidR="00C748FA" w:rsidRPr="003D3E41" w:rsidRDefault="00C748FA" w:rsidP="007F1D3A">
            <w:pPr>
              <w:spacing w:after="80"/>
              <w:jc w:val="center"/>
              <w:rPr>
                <w:sz w:val="18"/>
              </w:rPr>
            </w:pPr>
            <w:r>
              <w:rPr>
                <w:sz w:val="18"/>
              </w:rPr>
              <w:t>35 % d’ici 2020</w:t>
            </w:r>
          </w:p>
        </w:tc>
      </w:tr>
    </w:tbl>
    <w:p w:rsidR="00C748FA" w:rsidRPr="003D3E41" w:rsidRDefault="00C748FA" w:rsidP="00C748FA">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200"/>
        <w:gridCol w:w="2400"/>
        <w:gridCol w:w="2400"/>
      </w:tblGrid>
      <w:tr w:rsidR="00C748FA" w:rsidRPr="003D3E41" w:rsidTr="007F1D3A">
        <w:trPr>
          <w:trHeight w:val="240"/>
        </w:trPr>
        <w:tc>
          <w:tcPr>
            <w:tcW w:w="5200" w:type="dxa"/>
            <w:shd w:val="clear" w:color="auto" w:fill="auto"/>
            <w:vAlign w:val="center"/>
          </w:tcPr>
          <w:p w:rsidR="00C748FA" w:rsidRPr="00C748FA" w:rsidRDefault="00C748FA" w:rsidP="007F1D3A">
            <w:pPr>
              <w:spacing w:after="60"/>
              <w:jc w:val="center"/>
              <w:rPr>
                <w:b/>
                <w:sz w:val="18"/>
                <w:lang w:val="fr-FR"/>
              </w:rPr>
            </w:pPr>
            <w:r w:rsidRPr="00C748FA">
              <w:rPr>
                <w:b/>
                <w:sz w:val="18"/>
                <w:lang w:val="fr-FR"/>
              </w:rPr>
              <w:t>(II) DERNIÈRES DONNÉES DE L’ARTICLE 7 (Annexe C Groupe l)</w:t>
            </w:r>
          </w:p>
        </w:tc>
        <w:tc>
          <w:tcPr>
            <w:tcW w:w="2400" w:type="dxa"/>
            <w:shd w:val="clear" w:color="auto" w:fill="auto"/>
            <w:vAlign w:val="center"/>
          </w:tcPr>
          <w:p w:rsidR="00C748FA" w:rsidRPr="003D3E41" w:rsidRDefault="00C748FA" w:rsidP="007F1D3A">
            <w:pPr>
              <w:spacing w:after="60"/>
              <w:jc w:val="center"/>
              <w:rPr>
                <w:sz w:val="18"/>
              </w:rPr>
            </w:pPr>
            <w:r>
              <w:rPr>
                <w:sz w:val="18"/>
              </w:rPr>
              <w:t>Année : 2018</w:t>
            </w:r>
          </w:p>
        </w:tc>
        <w:tc>
          <w:tcPr>
            <w:tcW w:w="2400" w:type="dxa"/>
            <w:shd w:val="clear" w:color="auto" w:fill="auto"/>
            <w:vAlign w:val="center"/>
          </w:tcPr>
          <w:p w:rsidR="00C748FA" w:rsidRPr="003D3E41" w:rsidRDefault="00C748FA" w:rsidP="007F1D3A">
            <w:pPr>
              <w:spacing w:after="60"/>
              <w:jc w:val="center"/>
              <w:rPr>
                <w:sz w:val="18"/>
              </w:rPr>
            </w:pPr>
            <w:r>
              <w:rPr>
                <w:sz w:val="18"/>
              </w:rPr>
              <w:t>1,37 (tonnes PAO)</w:t>
            </w:r>
          </w:p>
        </w:tc>
      </w:tr>
    </w:tbl>
    <w:p w:rsidR="00C748FA" w:rsidRPr="003D3E41" w:rsidRDefault="00C748FA" w:rsidP="00C748FA">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163"/>
        <w:gridCol w:w="786"/>
        <w:gridCol w:w="777"/>
        <w:gridCol w:w="936"/>
        <w:gridCol w:w="1036"/>
        <w:gridCol w:w="876"/>
        <w:gridCol w:w="837"/>
        <w:gridCol w:w="1276"/>
        <w:gridCol w:w="996"/>
        <w:gridCol w:w="1317"/>
      </w:tblGrid>
      <w:tr w:rsidR="00C748FA" w:rsidRPr="003D3E41" w:rsidTr="007F1D3A">
        <w:trPr>
          <w:trHeight w:val="240"/>
        </w:trPr>
        <w:tc>
          <w:tcPr>
            <w:tcW w:w="0" w:type="auto"/>
            <w:gridSpan w:val="8"/>
            <w:shd w:val="clear" w:color="auto" w:fill="auto"/>
            <w:vAlign w:val="center"/>
          </w:tcPr>
          <w:p w:rsidR="00C748FA" w:rsidRPr="00C748FA" w:rsidRDefault="00C748FA" w:rsidP="007F1D3A">
            <w:pPr>
              <w:spacing w:after="60"/>
              <w:jc w:val="center"/>
              <w:rPr>
                <w:b/>
                <w:sz w:val="18"/>
                <w:lang w:val="fr-FR"/>
              </w:rPr>
            </w:pPr>
            <w:r w:rsidRPr="00C748FA">
              <w:rPr>
                <w:b/>
                <w:sz w:val="18"/>
                <w:lang w:val="fr-FR"/>
              </w:rPr>
              <w:t>(III) DERNIÈRES DONNÉES SECTORIELLES DU PROGRAMME DE PAYS (tonnes PAO)</w:t>
            </w:r>
          </w:p>
        </w:tc>
        <w:tc>
          <w:tcPr>
            <w:tcW w:w="0" w:type="auto"/>
            <w:gridSpan w:val="2"/>
            <w:shd w:val="clear" w:color="auto" w:fill="auto"/>
            <w:vAlign w:val="center"/>
          </w:tcPr>
          <w:p w:rsidR="00C748FA" w:rsidRPr="003D3E41" w:rsidRDefault="00C748FA" w:rsidP="007F1D3A">
            <w:pPr>
              <w:spacing w:after="60"/>
              <w:jc w:val="center"/>
              <w:rPr>
                <w:b/>
                <w:sz w:val="18"/>
              </w:rPr>
            </w:pPr>
            <w:r>
              <w:rPr>
                <w:b/>
                <w:sz w:val="18"/>
              </w:rPr>
              <w:t>Année : 2018</w:t>
            </w:r>
          </w:p>
        </w:tc>
      </w:tr>
      <w:tr w:rsidR="00C748FA" w:rsidRPr="003D3E41" w:rsidTr="007F1D3A">
        <w:trPr>
          <w:trHeight w:val="240"/>
        </w:trPr>
        <w:tc>
          <w:tcPr>
            <w:tcW w:w="0" w:type="auto"/>
            <w:shd w:val="clear" w:color="auto" w:fill="auto"/>
            <w:vAlign w:val="center"/>
          </w:tcPr>
          <w:p w:rsidR="00C748FA" w:rsidRPr="003D3E41" w:rsidRDefault="00C748FA" w:rsidP="007F1D3A">
            <w:pPr>
              <w:spacing w:after="60"/>
              <w:jc w:val="center"/>
              <w:rPr>
                <w:sz w:val="18"/>
              </w:rPr>
            </w:pPr>
            <w:r>
              <w:rPr>
                <w:sz w:val="18"/>
              </w:rPr>
              <w:t>Produits chimiques</w:t>
            </w:r>
          </w:p>
        </w:tc>
        <w:tc>
          <w:tcPr>
            <w:tcW w:w="0" w:type="auto"/>
            <w:shd w:val="clear" w:color="auto" w:fill="auto"/>
            <w:vAlign w:val="center"/>
          </w:tcPr>
          <w:p w:rsidR="00C748FA" w:rsidRPr="003D3E41" w:rsidRDefault="00C748FA" w:rsidP="007F1D3A">
            <w:pPr>
              <w:spacing w:after="60"/>
              <w:jc w:val="center"/>
              <w:rPr>
                <w:sz w:val="18"/>
              </w:rPr>
            </w:pPr>
            <w:r>
              <w:rPr>
                <w:sz w:val="18"/>
              </w:rPr>
              <w:t>Aérosol</w:t>
            </w:r>
          </w:p>
        </w:tc>
        <w:tc>
          <w:tcPr>
            <w:tcW w:w="0" w:type="auto"/>
            <w:shd w:val="clear" w:color="auto" w:fill="auto"/>
            <w:vAlign w:val="center"/>
          </w:tcPr>
          <w:p w:rsidR="00C748FA" w:rsidRPr="003D3E41" w:rsidRDefault="00C748FA" w:rsidP="007F1D3A">
            <w:pPr>
              <w:spacing w:after="60"/>
              <w:jc w:val="center"/>
              <w:rPr>
                <w:sz w:val="18"/>
              </w:rPr>
            </w:pPr>
            <w:r>
              <w:rPr>
                <w:sz w:val="18"/>
              </w:rPr>
              <w:t>Mousse</w:t>
            </w:r>
          </w:p>
        </w:tc>
        <w:tc>
          <w:tcPr>
            <w:tcW w:w="0" w:type="auto"/>
            <w:shd w:val="clear" w:color="auto" w:fill="auto"/>
            <w:vAlign w:val="center"/>
          </w:tcPr>
          <w:p w:rsidR="00C748FA" w:rsidRPr="003D3E41" w:rsidRDefault="00C748FA" w:rsidP="007F1D3A">
            <w:pPr>
              <w:spacing w:after="60"/>
              <w:jc w:val="center"/>
              <w:rPr>
                <w:sz w:val="18"/>
              </w:rPr>
            </w:pPr>
            <w:r>
              <w:rPr>
                <w:sz w:val="18"/>
              </w:rPr>
              <w:t>Lutte contre l’incendie</w:t>
            </w:r>
          </w:p>
        </w:tc>
        <w:tc>
          <w:tcPr>
            <w:tcW w:w="0" w:type="auto"/>
            <w:gridSpan w:val="2"/>
            <w:shd w:val="clear" w:color="auto" w:fill="auto"/>
            <w:vAlign w:val="center"/>
          </w:tcPr>
          <w:p w:rsidR="00C748FA" w:rsidRPr="003D3E41" w:rsidRDefault="00C748FA" w:rsidP="007F1D3A">
            <w:pPr>
              <w:spacing w:after="60"/>
              <w:jc w:val="center"/>
              <w:rPr>
                <w:sz w:val="18"/>
              </w:rPr>
            </w:pPr>
            <w:r>
              <w:rPr>
                <w:sz w:val="18"/>
              </w:rPr>
              <w:t>Réfrigération</w:t>
            </w:r>
          </w:p>
        </w:tc>
        <w:tc>
          <w:tcPr>
            <w:tcW w:w="0" w:type="auto"/>
            <w:shd w:val="clear" w:color="auto" w:fill="auto"/>
            <w:vAlign w:val="center"/>
          </w:tcPr>
          <w:p w:rsidR="00C748FA" w:rsidRPr="003D3E41" w:rsidRDefault="00C748FA" w:rsidP="007F1D3A">
            <w:pPr>
              <w:spacing w:after="60"/>
              <w:jc w:val="center"/>
              <w:rPr>
                <w:sz w:val="18"/>
              </w:rPr>
            </w:pPr>
            <w:r>
              <w:rPr>
                <w:sz w:val="18"/>
              </w:rPr>
              <w:t>Solvants</w:t>
            </w:r>
          </w:p>
        </w:tc>
        <w:tc>
          <w:tcPr>
            <w:tcW w:w="0" w:type="auto"/>
            <w:shd w:val="clear" w:color="auto" w:fill="auto"/>
            <w:vAlign w:val="center"/>
          </w:tcPr>
          <w:p w:rsidR="00C748FA" w:rsidRPr="003D3E41" w:rsidRDefault="00C748FA" w:rsidP="007F1D3A">
            <w:pPr>
              <w:spacing w:after="60"/>
              <w:jc w:val="center"/>
              <w:rPr>
                <w:sz w:val="18"/>
              </w:rPr>
            </w:pPr>
            <w:r>
              <w:rPr>
                <w:sz w:val="18"/>
              </w:rPr>
              <w:t>Agent de transformation</w:t>
            </w:r>
          </w:p>
        </w:tc>
        <w:tc>
          <w:tcPr>
            <w:tcW w:w="0" w:type="auto"/>
            <w:shd w:val="clear" w:color="auto" w:fill="auto"/>
            <w:vAlign w:val="center"/>
          </w:tcPr>
          <w:p w:rsidR="00C748FA" w:rsidRPr="003D3E41" w:rsidRDefault="00C748FA" w:rsidP="007F1D3A">
            <w:pPr>
              <w:spacing w:after="60"/>
              <w:jc w:val="center"/>
              <w:rPr>
                <w:sz w:val="18"/>
              </w:rPr>
            </w:pPr>
            <w:r>
              <w:rPr>
                <w:sz w:val="18"/>
              </w:rPr>
              <w:t>Utilisation en laboratoire</w:t>
            </w:r>
          </w:p>
        </w:tc>
        <w:tc>
          <w:tcPr>
            <w:tcW w:w="0" w:type="auto"/>
            <w:shd w:val="clear" w:color="auto" w:fill="auto"/>
            <w:vAlign w:val="center"/>
          </w:tcPr>
          <w:p w:rsidR="00C748FA" w:rsidRPr="003D3E41" w:rsidRDefault="00C748FA" w:rsidP="007F1D3A">
            <w:pPr>
              <w:spacing w:after="60"/>
              <w:jc w:val="center"/>
              <w:rPr>
                <w:sz w:val="18"/>
              </w:rPr>
            </w:pPr>
            <w:r>
              <w:rPr>
                <w:sz w:val="18"/>
              </w:rPr>
              <w:t>Consommation totale du secteur</w:t>
            </w:r>
          </w:p>
        </w:tc>
      </w:tr>
      <w:tr w:rsidR="00C748FA" w:rsidRPr="003D3E41" w:rsidTr="007F1D3A">
        <w:trPr>
          <w:trHeight w:val="240"/>
        </w:trPr>
        <w:tc>
          <w:tcPr>
            <w:tcW w:w="0" w:type="auto"/>
            <w:gridSpan w:val="4"/>
            <w:shd w:val="clear" w:color="auto" w:fill="auto"/>
            <w:vAlign w:val="center"/>
          </w:tcPr>
          <w:p w:rsidR="00C748FA" w:rsidRPr="003D3E41" w:rsidRDefault="00C748FA" w:rsidP="007F1D3A">
            <w:pPr>
              <w:spacing w:after="60"/>
              <w:jc w:val="center"/>
              <w:rPr>
                <w:sz w:val="18"/>
              </w:rPr>
            </w:pPr>
          </w:p>
        </w:tc>
        <w:tc>
          <w:tcPr>
            <w:tcW w:w="0" w:type="auto"/>
            <w:shd w:val="clear" w:color="auto" w:fill="auto"/>
            <w:vAlign w:val="center"/>
          </w:tcPr>
          <w:p w:rsidR="00C748FA" w:rsidRPr="003D3E41" w:rsidRDefault="00C748FA" w:rsidP="007F1D3A">
            <w:pPr>
              <w:spacing w:after="60"/>
              <w:jc w:val="center"/>
              <w:rPr>
                <w:sz w:val="18"/>
              </w:rPr>
            </w:pPr>
            <w:r>
              <w:rPr>
                <w:sz w:val="18"/>
              </w:rPr>
              <w:t>Fabrication</w:t>
            </w:r>
          </w:p>
        </w:tc>
        <w:tc>
          <w:tcPr>
            <w:tcW w:w="0" w:type="auto"/>
            <w:shd w:val="clear" w:color="auto" w:fill="auto"/>
            <w:vAlign w:val="center"/>
          </w:tcPr>
          <w:p w:rsidR="00C748FA" w:rsidRPr="003D3E41" w:rsidRDefault="00C748FA" w:rsidP="007F1D3A">
            <w:pPr>
              <w:spacing w:after="60"/>
              <w:jc w:val="center"/>
              <w:rPr>
                <w:sz w:val="18"/>
              </w:rPr>
            </w:pPr>
            <w:r>
              <w:rPr>
                <w:sz w:val="18"/>
              </w:rPr>
              <w:t>Entretien</w:t>
            </w:r>
          </w:p>
        </w:tc>
        <w:tc>
          <w:tcPr>
            <w:tcW w:w="0" w:type="auto"/>
            <w:gridSpan w:val="4"/>
            <w:shd w:val="clear" w:color="auto" w:fill="auto"/>
            <w:vAlign w:val="center"/>
          </w:tcPr>
          <w:p w:rsidR="00C748FA" w:rsidRPr="003D3E41" w:rsidRDefault="00C748FA" w:rsidP="007F1D3A">
            <w:pPr>
              <w:spacing w:after="60"/>
              <w:jc w:val="center"/>
              <w:rPr>
                <w:sz w:val="18"/>
                <w:lang w:val="en-CA"/>
              </w:rPr>
            </w:pPr>
          </w:p>
        </w:tc>
      </w:tr>
      <w:tr w:rsidR="00C748FA" w:rsidRPr="003D3E41" w:rsidTr="007F1D3A">
        <w:trPr>
          <w:trHeight w:val="240"/>
        </w:trPr>
        <w:tc>
          <w:tcPr>
            <w:tcW w:w="1200" w:type="dxa"/>
            <w:shd w:val="clear" w:color="auto" w:fill="auto"/>
            <w:vAlign w:val="center"/>
          </w:tcPr>
          <w:p w:rsidR="00C748FA" w:rsidRPr="003D3E41" w:rsidRDefault="00C748FA" w:rsidP="007F1D3A">
            <w:pPr>
              <w:spacing w:after="60"/>
              <w:jc w:val="center"/>
              <w:rPr>
                <w:sz w:val="18"/>
              </w:rPr>
            </w:pPr>
            <w:r>
              <w:rPr>
                <w:sz w:val="18"/>
              </w:rPr>
              <w:t>HCFC-142b</w:t>
            </w: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rPr>
            </w:pPr>
            <w:r>
              <w:rPr>
                <w:sz w:val="18"/>
              </w:rPr>
              <w:t>0,0</w:t>
            </w:r>
          </w:p>
        </w:tc>
      </w:tr>
      <w:tr w:rsidR="00C748FA" w:rsidRPr="003D3E41" w:rsidTr="007F1D3A">
        <w:trPr>
          <w:trHeight w:val="240"/>
        </w:trPr>
        <w:tc>
          <w:tcPr>
            <w:tcW w:w="1200" w:type="dxa"/>
            <w:shd w:val="clear" w:color="auto" w:fill="auto"/>
            <w:vAlign w:val="center"/>
          </w:tcPr>
          <w:p w:rsidR="00C748FA" w:rsidRPr="003D3E41" w:rsidRDefault="00C748FA" w:rsidP="007F1D3A">
            <w:pPr>
              <w:spacing w:after="60"/>
              <w:jc w:val="center"/>
              <w:rPr>
                <w:sz w:val="18"/>
              </w:rPr>
            </w:pPr>
            <w:r>
              <w:rPr>
                <w:sz w:val="18"/>
              </w:rPr>
              <w:t>HCFC-22</w:t>
            </w: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rPr>
            </w:pPr>
            <w:r>
              <w:rPr>
                <w:sz w:val="18"/>
              </w:rPr>
              <w:t>1,37</w:t>
            </w: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C748FA" w:rsidP="007F1D3A">
            <w:pPr>
              <w:spacing w:after="60"/>
              <w:jc w:val="center"/>
              <w:rPr>
                <w:sz w:val="18"/>
              </w:rPr>
            </w:pPr>
            <w:r>
              <w:rPr>
                <w:sz w:val="18"/>
              </w:rPr>
              <w:t>1,37</w:t>
            </w:r>
          </w:p>
        </w:tc>
      </w:tr>
    </w:tbl>
    <w:p w:rsidR="00C748FA" w:rsidRPr="003D3E41" w:rsidRDefault="00C748FA" w:rsidP="00C748FA">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77"/>
        <w:gridCol w:w="781"/>
        <w:gridCol w:w="5561"/>
        <w:gridCol w:w="781"/>
      </w:tblGrid>
      <w:tr w:rsidR="00C748FA" w:rsidRPr="0051666A" w:rsidTr="007F1D3A">
        <w:trPr>
          <w:trHeight w:val="240"/>
        </w:trPr>
        <w:tc>
          <w:tcPr>
            <w:tcW w:w="0" w:type="auto"/>
            <w:gridSpan w:val="4"/>
            <w:shd w:val="clear" w:color="auto" w:fill="auto"/>
            <w:vAlign w:val="center"/>
          </w:tcPr>
          <w:p w:rsidR="00C748FA" w:rsidRPr="00C748FA" w:rsidRDefault="00C748FA" w:rsidP="007F1D3A">
            <w:pPr>
              <w:spacing w:after="60"/>
              <w:jc w:val="left"/>
              <w:rPr>
                <w:b/>
                <w:sz w:val="18"/>
                <w:lang w:val="fr-FR"/>
              </w:rPr>
            </w:pPr>
            <w:r w:rsidRPr="00C748FA">
              <w:rPr>
                <w:b/>
                <w:sz w:val="18"/>
                <w:lang w:val="fr-FR"/>
              </w:rPr>
              <w:t>(IV) DONNÉES SUR LA CONSOMMATION (tonnes PAO)</w:t>
            </w:r>
          </w:p>
        </w:tc>
      </w:tr>
      <w:tr w:rsidR="00C748FA" w:rsidRPr="003D3E41" w:rsidTr="007F1D3A">
        <w:trPr>
          <w:trHeight w:val="240"/>
        </w:trPr>
        <w:tc>
          <w:tcPr>
            <w:tcW w:w="0" w:type="auto"/>
            <w:shd w:val="clear" w:color="auto" w:fill="auto"/>
            <w:vAlign w:val="center"/>
          </w:tcPr>
          <w:p w:rsidR="00C748FA" w:rsidRPr="003D3E41" w:rsidRDefault="00C748FA" w:rsidP="007F1D3A">
            <w:pPr>
              <w:spacing w:after="60"/>
              <w:jc w:val="center"/>
              <w:rPr>
                <w:sz w:val="18"/>
              </w:rPr>
            </w:pPr>
            <w:r>
              <w:rPr>
                <w:sz w:val="18"/>
              </w:rPr>
              <w:t>Référence 2009 - 2010 :</w:t>
            </w:r>
          </w:p>
        </w:tc>
        <w:tc>
          <w:tcPr>
            <w:tcW w:w="0" w:type="auto"/>
            <w:shd w:val="clear" w:color="auto" w:fill="auto"/>
            <w:vAlign w:val="center"/>
          </w:tcPr>
          <w:p w:rsidR="00C748FA" w:rsidRPr="003D3E41" w:rsidRDefault="00C748FA" w:rsidP="007F1D3A">
            <w:pPr>
              <w:spacing w:after="60"/>
              <w:jc w:val="center"/>
              <w:rPr>
                <w:sz w:val="18"/>
              </w:rPr>
            </w:pPr>
            <w:r>
              <w:rPr>
                <w:sz w:val="18"/>
              </w:rPr>
              <w:t>3,69</w:t>
            </w:r>
          </w:p>
        </w:tc>
        <w:tc>
          <w:tcPr>
            <w:tcW w:w="0" w:type="auto"/>
            <w:shd w:val="clear" w:color="auto" w:fill="auto"/>
            <w:vAlign w:val="center"/>
          </w:tcPr>
          <w:p w:rsidR="00C748FA" w:rsidRPr="00C748FA" w:rsidRDefault="00C748FA" w:rsidP="007F1D3A">
            <w:pPr>
              <w:spacing w:after="60"/>
              <w:jc w:val="center"/>
              <w:rPr>
                <w:sz w:val="18"/>
                <w:lang w:val="fr-FR"/>
              </w:rPr>
            </w:pPr>
            <w:r w:rsidRPr="00C748FA">
              <w:rPr>
                <w:sz w:val="18"/>
                <w:lang w:val="fr-FR"/>
              </w:rPr>
              <w:t>Point de départ des réductions globales durables :</w:t>
            </w:r>
          </w:p>
        </w:tc>
        <w:tc>
          <w:tcPr>
            <w:tcW w:w="0" w:type="auto"/>
            <w:shd w:val="clear" w:color="auto" w:fill="auto"/>
            <w:vAlign w:val="center"/>
          </w:tcPr>
          <w:p w:rsidR="00C748FA" w:rsidRPr="003D3E41" w:rsidRDefault="00C748FA" w:rsidP="007F1D3A">
            <w:pPr>
              <w:spacing w:after="60"/>
              <w:jc w:val="center"/>
              <w:rPr>
                <w:sz w:val="18"/>
              </w:rPr>
            </w:pPr>
            <w:r>
              <w:rPr>
                <w:sz w:val="18"/>
              </w:rPr>
              <w:t>3,69</w:t>
            </w:r>
          </w:p>
        </w:tc>
      </w:tr>
      <w:tr w:rsidR="00C748FA" w:rsidRPr="0051666A" w:rsidTr="007F1D3A">
        <w:trPr>
          <w:trHeight w:val="240"/>
        </w:trPr>
        <w:tc>
          <w:tcPr>
            <w:tcW w:w="0" w:type="auto"/>
            <w:gridSpan w:val="4"/>
            <w:shd w:val="clear" w:color="auto" w:fill="auto"/>
            <w:vAlign w:val="center"/>
          </w:tcPr>
          <w:p w:rsidR="00C748FA" w:rsidRPr="00C748FA" w:rsidRDefault="00C748FA" w:rsidP="007F1D3A">
            <w:pPr>
              <w:spacing w:after="60"/>
              <w:jc w:val="center"/>
              <w:rPr>
                <w:b/>
                <w:sz w:val="18"/>
                <w:lang w:val="fr-FR"/>
              </w:rPr>
            </w:pPr>
            <w:r w:rsidRPr="00C748FA">
              <w:rPr>
                <w:b/>
                <w:sz w:val="18"/>
                <w:lang w:val="fr-FR"/>
              </w:rPr>
              <w:t>CONSOMMATION ADMISSIBLE AU FINANCEMENT (tonnes PAO)</w:t>
            </w:r>
          </w:p>
        </w:tc>
      </w:tr>
      <w:tr w:rsidR="00C748FA" w:rsidRPr="003D3E41" w:rsidTr="007F1D3A">
        <w:trPr>
          <w:trHeight w:val="240"/>
        </w:trPr>
        <w:tc>
          <w:tcPr>
            <w:tcW w:w="0" w:type="auto"/>
            <w:shd w:val="clear" w:color="auto" w:fill="auto"/>
            <w:vAlign w:val="center"/>
          </w:tcPr>
          <w:p w:rsidR="00C748FA" w:rsidRPr="003D3E41" w:rsidRDefault="00C748FA" w:rsidP="007F1D3A">
            <w:pPr>
              <w:spacing w:after="60"/>
              <w:jc w:val="center"/>
              <w:rPr>
                <w:sz w:val="18"/>
              </w:rPr>
            </w:pPr>
            <w:r>
              <w:rPr>
                <w:sz w:val="18"/>
              </w:rPr>
              <w:t>Déjà approuvée :</w:t>
            </w:r>
          </w:p>
        </w:tc>
        <w:tc>
          <w:tcPr>
            <w:tcW w:w="0" w:type="auto"/>
            <w:shd w:val="clear" w:color="auto" w:fill="auto"/>
            <w:vAlign w:val="center"/>
          </w:tcPr>
          <w:p w:rsidR="00C748FA" w:rsidRPr="003D3E41" w:rsidRDefault="00C748FA" w:rsidP="007F1D3A">
            <w:pPr>
              <w:spacing w:after="60"/>
              <w:jc w:val="center"/>
              <w:rPr>
                <w:sz w:val="18"/>
              </w:rPr>
            </w:pPr>
            <w:r>
              <w:rPr>
                <w:sz w:val="18"/>
              </w:rPr>
              <w:t>1,29</w:t>
            </w:r>
          </w:p>
        </w:tc>
        <w:tc>
          <w:tcPr>
            <w:tcW w:w="0" w:type="auto"/>
            <w:shd w:val="clear" w:color="auto" w:fill="auto"/>
            <w:vAlign w:val="center"/>
          </w:tcPr>
          <w:p w:rsidR="00C748FA" w:rsidRPr="003D3E41" w:rsidRDefault="00C748FA" w:rsidP="007F1D3A">
            <w:pPr>
              <w:spacing w:after="60"/>
              <w:jc w:val="center"/>
              <w:rPr>
                <w:sz w:val="18"/>
              </w:rPr>
            </w:pPr>
            <w:r>
              <w:rPr>
                <w:sz w:val="18"/>
              </w:rPr>
              <w:t>Restante :</w:t>
            </w:r>
          </w:p>
        </w:tc>
        <w:tc>
          <w:tcPr>
            <w:tcW w:w="0" w:type="auto"/>
            <w:shd w:val="clear" w:color="auto" w:fill="auto"/>
            <w:vAlign w:val="center"/>
          </w:tcPr>
          <w:p w:rsidR="00C748FA" w:rsidRPr="003D3E41" w:rsidRDefault="00C748FA" w:rsidP="007F1D3A">
            <w:pPr>
              <w:spacing w:after="60"/>
              <w:jc w:val="center"/>
              <w:rPr>
                <w:sz w:val="18"/>
              </w:rPr>
            </w:pPr>
            <w:r>
              <w:rPr>
                <w:sz w:val="18"/>
              </w:rPr>
              <w:t>2,40</w:t>
            </w:r>
          </w:p>
        </w:tc>
      </w:tr>
    </w:tbl>
    <w:p w:rsidR="00C748FA" w:rsidRPr="003D3E41" w:rsidRDefault="00C748FA" w:rsidP="00C748FA">
      <w:pPr>
        <w:spacing w:after="60"/>
        <w:jc w:val="center"/>
        <w:rPr>
          <w:lang w:val="en-CA"/>
        </w:rPr>
      </w:pPr>
    </w:p>
    <w:tbl>
      <w:tblPr>
        <w:tblStyle w:val="TableGrid"/>
        <w:tblW w:w="10002"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741"/>
        <w:gridCol w:w="3016"/>
        <w:gridCol w:w="2081"/>
        <w:gridCol w:w="2082"/>
        <w:gridCol w:w="2082"/>
      </w:tblGrid>
      <w:tr w:rsidR="00C748FA" w:rsidRPr="003D3E41" w:rsidTr="009C53C1">
        <w:trPr>
          <w:trHeight w:val="252"/>
        </w:trPr>
        <w:tc>
          <w:tcPr>
            <w:tcW w:w="0" w:type="auto"/>
            <w:gridSpan w:val="2"/>
            <w:shd w:val="clear" w:color="auto" w:fill="auto"/>
          </w:tcPr>
          <w:p w:rsidR="00C748FA" w:rsidRPr="003D3E41" w:rsidRDefault="00C748FA" w:rsidP="009C53C1">
            <w:pPr>
              <w:spacing w:after="60"/>
              <w:jc w:val="left"/>
              <w:rPr>
                <w:b/>
                <w:sz w:val="18"/>
              </w:rPr>
            </w:pPr>
            <w:r>
              <w:rPr>
                <w:b/>
                <w:sz w:val="18"/>
              </w:rPr>
              <w:t>(V) PLAN D’ACTIVITÉS</w:t>
            </w:r>
          </w:p>
        </w:tc>
        <w:tc>
          <w:tcPr>
            <w:tcW w:w="2081" w:type="dxa"/>
            <w:shd w:val="clear" w:color="auto" w:fill="auto"/>
          </w:tcPr>
          <w:p w:rsidR="00C748FA" w:rsidRPr="003D3E41" w:rsidRDefault="00C748FA" w:rsidP="009C53C1">
            <w:pPr>
              <w:spacing w:after="60"/>
              <w:jc w:val="center"/>
              <w:rPr>
                <w:b/>
                <w:sz w:val="18"/>
              </w:rPr>
            </w:pPr>
            <w:r>
              <w:rPr>
                <w:b/>
                <w:sz w:val="18"/>
              </w:rPr>
              <w:t>2019</w:t>
            </w:r>
          </w:p>
        </w:tc>
        <w:tc>
          <w:tcPr>
            <w:tcW w:w="2082" w:type="dxa"/>
            <w:shd w:val="clear" w:color="auto" w:fill="auto"/>
          </w:tcPr>
          <w:p w:rsidR="00C748FA" w:rsidRPr="003D3E41" w:rsidRDefault="00C748FA" w:rsidP="009C53C1">
            <w:pPr>
              <w:spacing w:after="60"/>
              <w:jc w:val="center"/>
              <w:rPr>
                <w:b/>
                <w:sz w:val="18"/>
              </w:rPr>
            </w:pPr>
            <w:r>
              <w:rPr>
                <w:b/>
                <w:sz w:val="18"/>
              </w:rPr>
              <w:t>2020</w:t>
            </w:r>
          </w:p>
        </w:tc>
        <w:tc>
          <w:tcPr>
            <w:tcW w:w="2082" w:type="dxa"/>
            <w:shd w:val="clear" w:color="auto" w:fill="auto"/>
          </w:tcPr>
          <w:p w:rsidR="00C748FA" w:rsidRPr="003D3E41" w:rsidRDefault="00C748FA" w:rsidP="009C53C1">
            <w:pPr>
              <w:spacing w:after="60"/>
              <w:jc w:val="center"/>
              <w:rPr>
                <w:b/>
                <w:sz w:val="18"/>
              </w:rPr>
            </w:pPr>
            <w:r>
              <w:rPr>
                <w:b/>
                <w:sz w:val="18"/>
              </w:rPr>
              <w:t>Total</w:t>
            </w:r>
          </w:p>
        </w:tc>
      </w:tr>
      <w:tr w:rsidR="00C748FA" w:rsidRPr="003D3E41" w:rsidTr="007F1D3A">
        <w:trPr>
          <w:trHeight w:val="252"/>
        </w:trPr>
        <w:tc>
          <w:tcPr>
            <w:tcW w:w="0" w:type="auto"/>
            <w:vMerge w:val="restart"/>
            <w:shd w:val="clear" w:color="auto" w:fill="auto"/>
            <w:vAlign w:val="center"/>
          </w:tcPr>
          <w:p w:rsidR="00C748FA" w:rsidRPr="003D3E41" w:rsidRDefault="00C748FA" w:rsidP="007F1D3A">
            <w:pPr>
              <w:spacing w:after="60"/>
              <w:jc w:val="center"/>
              <w:rPr>
                <w:sz w:val="18"/>
              </w:rPr>
            </w:pPr>
            <w:r>
              <w:rPr>
                <w:sz w:val="18"/>
              </w:rPr>
              <w:t>PNUE</w:t>
            </w:r>
          </w:p>
        </w:tc>
        <w:tc>
          <w:tcPr>
            <w:tcW w:w="0" w:type="auto"/>
            <w:shd w:val="clear" w:color="auto" w:fill="auto"/>
            <w:vAlign w:val="center"/>
          </w:tcPr>
          <w:p w:rsidR="00C748FA" w:rsidRPr="00C748FA" w:rsidRDefault="00C748FA" w:rsidP="007F1D3A">
            <w:pPr>
              <w:spacing w:after="60"/>
              <w:jc w:val="left"/>
              <w:rPr>
                <w:sz w:val="18"/>
                <w:lang w:val="fr-FR"/>
              </w:rPr>
            </w:pPr>
            <w:r w:rsidRPr="00C748FA">
              <w:rPr>
                <w:sz w:val="18"/>
                <w:lang w:val="fr-FR"/>
              </w:rPr>
              <w:t>Élimination des SAO (tonnes PAO)</w:t>
            </w:r>
          </w:p>
        </w:tc>
        <w:tc>
          <w:tcPr>
            <w:tcW w:w="2081" w:type="dxa"/>
            <w:shd w:val="clear" w:color="auto" w:fill="auto"/>
            <w:vAlign w:val="center"/>
          </w:tcPr>
          <w:p w:rsidR="00C748FA" w:rsidRPr="003D3E41" w:rsidRDefault="00C748FA" w:rsidP="007F1D3A">
            <w:pPr>
              <w:spacing w:after="60"/>
              <w:jc w:val="center"/>
              <w:rPr>
                <w:sz w:val="18"/>
              </w:rPr>
            </w:pPr>
            <w:r>
              <w:rPr>
                <w:sz w:val="18"/>
              </w:rPr>
              <w:t>0,19</w:t>
            </w:r>
          </w:p>
        </w:tc>
        <w:tc>
          <w:tcPr>
            <w:tcW w:w="2082" w:type="dxa"/>
            <w:shd w:val="clear" w:color="auto" w:fill="auto"/>
            <w:vAlign w:val="center"/>
          </w:tcPr>
          <w:p w:rsidR="00C748FA" w:rsidRPr="003D3E41" w:rsidRDefault="00C748FA" w:rsidP="007F1D3A">
            <w:pPr>
              <w:spacing w:after="60"/>
              <w:jc w:val="center"/>
              <w:rPr>
                <w:sz w:val="18"/>
              </w:rPr>
            </w:pPr>
            <w:r>
              <w:rPr>
                <w:sz w:val="18"/>
              </w:rPr>
              <w:t>0,13</w:t>
            </w:r>
          </w:p>
        </w:tc>
        <w:tc>
          <w:tcPr>
            <w:tcW w:w="2082" w:type="dxa"/>
            <w:shd w:val="clear" w:color="auto" w:fill="auto"/>
            <w:vAlign w:val="center"/>
          </w:tcPr>
          <w:p w:rsidR="00C748FA" w:rsidRPr="003D3E41" w:rsidRDefault="00C748FA" w:rsidP="007F1D3A">
            <w:pPr>
              <w:spacing w:after="60"/>
              <w:jc w:val="center"/>
              <w:rPr>
                <w:sz w:val="18"/>
              </w:rPr>
            </w:pPr>
            <w:r>
              <w:rPr>
                <w:sz w:val="18"/>
              </w:rPr>
              <w:t>0,32</w:t>
            </w:r>
          </w:p>
        </w:tc>
      </w:tr>
      <w:tr w:rsidR="00C748FA" w:rsidRPr="003D3E41" w:rsidTr="007F1D3A">
        <w:trPr>
          <w:trHeight w:val="252"/>
        </w:trPr>
        <w:tc>
          <w:tcPr>
            <w:tcW w:w="0" w:type="auto"/>
            <w:vMerge/>
            <w:shd w:val="clear" w:color="auto" w:fill="auto"/>
            <w:vAlign w:val="center"/>
          </w:tcPr>
          <w:p w:rsidR="00C748FA" w:rsidRPr="003D3E41" w:rsidRDefault="00C748FA" w:rsidP="007F1D3A">
            <w:pPr>
              <w:spacing w:after="60"/>
              <w:jc w:val="center"/>
              <w:rPr>
                <w:sz w:val="18"/>
                <w:lang w:val="en-CA"/>
              </w:rPr>
            </w:pPr>
          </w:p>
        </w:tc>
        <w:tc>
          <w:tcPr>
            <w:tcW w:w="0" w:type="auto"/>
            <w:shd w:val="clear" w:color="auto" w:fill="auto"/>
            <w:vAlign w:val="center"/>
          </w:tcPr>
          <w:p w:rsidR="00C748FA" w:rsidRPr="003D3E41" w:rsidRDefault="007F1D3A" w:rsidP="007F1D3A">
            <w:pPr>
              <w:spacing w:after="60"/>
              <w:jc w:val="left"/>
              <w:rPr>
                <w:sz w:val="18"/>
              </w:rPr>
            </w:pPr>
            <w:r>
              <w:rPr>
                <w:sz w:val="18"/>
              </w:rPr>
              <w:t>Financement ($ </w:t>
            </w:r>
            <w:r w:rsidR="00C748FA">
              <w:rPr>
                <w:sz w:val="18"/>
              </w:rPr>
              <w:t>US)</w:t>
            </w:r>
          </w:p>
        </w:tc>
        <w:tc>
          <w:tcPr>
            <w:tcW w:w="2081" w:type="dxa"/>
            <w:shd w:val="clear" w:color="auto" w:fill="auto"/>
            <w:vAlign w:val="center"/>
          </w:tcPr>
          <w:p w:rsidR="00C748FA" w:rsidRPr="003D3E41" w:rsidRDefault="00C748FA" w:rsidP="007F1D3A">
            <w:pPr>
              <w:spacing w:after="60"/>
              <w:jc w:val="center"/>
              <w:rPr>
                <w:sz w:val="18"/>
              </w:rPr>
            </w:pPr>
            <w:r>
              <w:rPr>
                <w:sz w:val="18"/>
              </w:rPr>
              <w:t>47 460</w:t>
            </w:r>
          </w:p>
        </w:tc>
        <w:tc>
          <w:tcPr>
            <w:tcW w:w="2082" w:type="dxa"/>
            <w:shd w:val="clear" w:color="auto" w:fill="auto"/>
            <w:vAlign w:val="center"/>
          </w:tcPr>
          <w:p w:rsidR="00C748FA" w:rsidRPr="003D3E41" w:rsidRDefault="00C748FA" w:rsidP="007F1D3A">
            <w:pPr>
              <w:spacing w:after="60"/>
              <w:jc w:val="center"/>
              <w:rPr>
                <w:sz w:val="18"/>
              </w:rPr>
            </w:pPr>
            <w:r>
              <w:rPr>
                <w:sz w:val="18"/>
              </w:rPr>
              <w:t>31 640</w:t>
            </w:r>
          </w:p>
        </w:tc>
        <w:tc>
          <w:tcPr>
            <w:tcW w:w="2082" w:type="dxa"/>
            <w:shd w:val="clear" w:color="auto" w:fill="auto"/>
            <w:vAlign w:val="center"/>
          </w:tcPr>
          <w:p w:rsidR="00C748FA" w:rsidRPr="003D3E41" w:rsidRDefault="00C748FA" w:rsidP="007F1D3A">
            <w:pPr>
              <w:spacing w:after="60"/>
              <w:jc w:val="center"/>
              <w:rPr>
                <w:sz w:val="18"/>
              </w:rPr>
            </w:pPr>
            <w:r>
              <w:rPr>
                <w:sz w:val="18"/>
              </w:rPr>
              <w:t>79 100</w:t>
            </w:r>
          </w:p>
        </w:tc>
      </w:tr>
    </w:tbl>
    <w:p w:rsidR="00C748FA" w:rsidRPr="003D3E41" w:rsidRDefault="00C748FA" w:rsidP="00C748FA">
      <w:pPr>
        <w:spacing w:after="60"/>
        <w:jc w:val="center"/>
        <w:rPr>
          <w:lang w:val="en-CA"/>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272"/>
        <w:gridCol w:w="897"/>
        <w:gridCol w:w="1522"/>
        <w:gridCol w:w="801"/>
        <w:gridCol w:w="576"/>
        <w:gridCol w:w="576"/>
        <w:gridCol w:w="711"/>
        <w:gridCol w:w="711"/>
        <w:gridCol w:w="711"/>
        <w:gridCol w:w="711"/>
        <w:gridCol w:w="711"/>
        <w:gridCol w:w="801"/>
      </w:tblGrid>
      <w:tr w:rsidR="00C748FA" w:rsidRPr="003D3E41" w:rsidTr="009C53C1">
        <w:tc>
          <w:tcPr>
            <w:tcW w:w="0" w:type="auto"/>
            <w:gridSpan w:val="3"/>
            <w:shd w:val="clear" w:color="auto" w:fill="auto"/>
          </w:tcPr>
          <w:p w:rsidR="00C748FA" w:rsidRPr="003D3E41" w:rsidRDefault="00C748FA" w:rsidP="009C53C1">
            <w:pPr>
              <w:spacing w:after="60"/>
              <w:jc w:val="left"/>
              <w:rPr>
                <w:b/>
                <w:sz w:val="18"/>
              </w:rPr>
            </w:pPr>
            <w:r>
              <w:rPr>
                <w:b/>
                <w:sz w:val="18"/>
              </w:rPr>
              <w:t>(VI) DONNÉES DU PROJET</w:t>
            </w:r>
          </w:p>
        </w:tc>
        <w:tc>
          <w:tcPr>
            <w:tcW w:w="0" w:type="auto"/>
            <w:shd w:val="clear" w:color="auto" w:fill="auto"/>
          </w:tcPr>
          <w:p w:rsidR="00C748FA" w:rsidRPr="003D3E41" w:rsidRDefault="00C748FA" w:rsidP="009C53C1">
            <w:pPr>
              <w:spacing w:after="60"/>
              <w:jc w:val="center"/>
              <w:rPr>
                <w:b/>
                <w:sz w:val="18"/>
              </w:rPr>
            </w:pPr>
            <w:r>
              <w:rPr>
                <w:b/>
                <w:sz w:val="18"/>
              </w:rPr>
              <w:t>2013</w:t>
            </w:r>
          </w:p>
        </w:tc>
        <w:tc>
          <w:tcPr>
            <w:tcW w:w="0" w:type="auto"/>
            <w:shd w:val="clear" w:color="auto" w:fill="auto"/>
          </w:tcPr>
          <w:p w:rsidR="00C748FA" w:rsidRPr="003D3E41" w:rsidRDefault="00C748FA" w:rsidP="009C53C1">
            <w:pPr>
              <w:spacing w:after="60"/>
              <w:jc w:val="center"/>
              <w:rPr>
                <w:b/>
                <w:sz w:val="18"/>
              </w:rPr>
            </w:pPr>
            <w:r>
              <w:rPr>
                <w:b/>
                <w:sz w:val="18"/>
              </w:rPr>
              <w:t>2014</w:t>
            </w:r>
          </w:p>
        </w:tc>
        <w:tc>
          <w:tcPr>
            <w:tcW w:w="0" w:type="auto"/>
            <w:shd w:val="clear" w:color="auto" w:fill="auto"/>
          </w:tcPr>
          <w:p w:rsidR="00C748FA" w:rsidRPr="003D3E41" w:rsidRDefault="00C748FA" w:rsidP="009C53C1">
            <w:pPr>
              <w:spacing w:after="60"/>
              <w:jc w:val="center"/>
              <w:rPr>
                <w:b/>
                <w:sz w:val="18"/>
              </w:rPr>
            </w:pPr>
            <w:r>
              <w:rPr>
                <w:b/>
                <w:sz w:val="18"/>
              </w:rPr>
              <w:t>2015</w:t>
            </w:r>
          </w:p>
        </w:tc>
        <w:tc>
          <w:tcPr>
            <w:tcW w:w="0" w:type="auto"/>
            <w:shd w:val="clear" w:color="auto" w:fill="auto"/>
          </w:tcPr>
          <w:p w:rsidR="00C748FA" w:rsidRPr="003D3E41" w:rsidRDefault="00C748FA" w:rsidP="009C53C1">
            <w:pPr>
              <w:spacing w:after="60"/>
              <w:jc w:val="center"/>
              <w:rPr>
                <w:b/>
                <w:sz w:val="18"/>
              </w:rPr>
            </w:pPr>
            <w:r>
              <w:rPr>
                <w:b/>
                <w:sz w:val="18"/>
              </w:rPr>
              <w:t>2016</w:t>
            </w:r>
          </w:p>
        </w:tc>
        <w:tc>
          <w:tcPr>
            <w:tcW w:w="0" w:type="auto"/>
            <w:shd w:val="clear" w:color="auto" w:fill="auto"/>
          </w:tcPr>
          <w:p w:rsidR="00C748FA" w:rsidRPr="003D3E41" w:rsidRDefault="00C748FA" w:rsidP="009C53C1">
            <w:pPr>
              <w:spacing w:after="60"/>
              <w:jc w:val="center"/>
              <w:rPr>
                <w:b/>
                <w:sz w:val="18"/>
              </w:rPr>
            </w:pPr>
            <w:r>
              <w:rPr>
                <w:b/>
                <w:sz w:val="18"/>
              </w:rPr>
              <w:t>2017</w:t>
            </w:r>
          </w:p>
        </w:tc>
        <w:tc>
          <w:tcPr>
            <w:tcW w:w="0" w:type="auto"/>
            <w:shd w:val="clear" w:color="auto" w:fill="auto"/>
          </w:tcPr>
          <w:p w:rsidR="00C748FA" w:rsidRPr="003D3E41" w:rsidRDefault="00C748FA" w:rsidP="009C53C1">
            <w:pPr>
              <w:spacing w:after="60"/>
              <w:jc w:val="center"/>
              <w:rPr>
                <w:b/>
                <w:sz w:val="18"/>
              </w:rPr>
            </w:pPr>
            <w:r>
              <w:rPr>
                <w:b/>
                <w:sz w:val="18"/>
              </w:rPr>
              <w:t>2018</w:t>
            </w:r>
          </w:p>
        </w:tc>
        <w:tc>
          <w:tcPr>
            <w:tcW w:w="0" w:type="auto"/>
            <w:shd w:val="clear" w:color="auto" w:fill="auto"/>
          </w:tcPr>
          <w:p w:rsidR="00C748FA" w:rsidRPr="003D3E41" w:rsidRDefault="00C748FA" w:rsidP="009C53C1">
            <w:pPr>
              <w:spacing w:after="60"/>
              <w:jc w:val="center"/>
              <w:rPr>
                <w:b/>
                <w:sz w:val="18"/>
              </w:rPr>
            </w:pPr>
            <w:r>
              <w:rPr>
                <w:b/>
                <w:sz w:val="18"/>
              </w:rPr>
              <w:t>2019*</w:t>
            </w:r>
          </w:p>
        </w:tc>
        <w:tc>
          <w:tcPr>
            <w:tcW w:w="0" w:type="auto"/>
            <w:shd w:val="clear" w:color="auto" w:fill="auto"/>
          </w:tcPr>
          <w:p w:rsidR="00C748FA" w:rsidRPr="003D3E41" w:rsidRDefault="00C748FA" w:rsidP="009C53C1">
            <w:pPr>
              <w:spacing w:after="60"/>
              <w:jc w:val="center"/>
              <w:rPr>
                <w:b/>
                <w:sz w:val="18"/>
              </w:rPr>
            </w:pPr>
            <w:r>
              <w:rPr>
                <w:b/>
                <w:sz w:val="18"/>
              </w:rPr>
              <w:t>2020</w:t>
            </w:r>
          </w:p>
        </w:tc>
        <w:tc>
          <w:tcPr>
            <w:tcW w:w="0" w:type="auto"/>
            <w:shd w:val="clear" w:color="auto" w:fill="auto"/>
          </w:tcPr>
          <w:p w:rsidR="00C748FA" w:rsidRPr="003D3E41" w:rsidRDefault="00C748FA" w:rsidP="009C53C1">
            <w:pPr>
              <w:spacing w:after="60"/>
              <w:jc w:val="center"/>
              <w:rPr>
                <w:b/>
                <w:sz w:val="18"/>
              </w:rPr>
            </w:pPr>
            <w:r>
              <w:rPr>
                <w:b/>
                <w:sz w:val="18"/>
              </w:rPr>
              <w:t>Total</w:t>
            </w:r>
          </w:p>
        </w:tc>
      </w:tr>
      <w:tr w:rsidR="00C748FA" w:rsidRPr="003D3E41" w:rsidTr="007F7DFC">
        <w:tc>
          <w:tcPr>
            <w:tcW w:w="0" w:type="auto"/>
            <w:gridSpan w:val="3"/>
            <w:shd w:val="clear" w:color="auto" w:fill="auto"/>
            <w:vAlign w:val="center"/>
          </w:tcPr>
          <w:p w:rsidR="00C748FA" w:rsidRPr="00C748FA" w:rsidRDefault="00C748FA" w:rsidP="007F7DFC">
            <w:pPr>
              <w:spacing w:after="60"/>
              <w:jc w:val="left"/>
              <w:rPr>
                <w:sz w:val="18"/>
                <w:lang w:val="fr-FR"/>
              </w:rPr>
            </w:pPr>
            <w:r w:rsidRPr="00C748FA">
              <w:rPr>
                <w:sz w:val="18"/>
                <w:lang w:val="fr-FR"/>
              </w:rPr>
              <w:t>Limites de consommation du Protocole de Montréal</w:t>
            </w:r>
          </w:p>
        </w:tc>
        <w:tc>
          <w:tcPr>
            <w:tcW w:w="0" w:type="auto"/>
            <w:shd w:val="clear" w:color="auto" w:fill="auto"/>
            <w:vAlign w:val="center"/>
          </w:tcPr>
          <w:p w:rsidR="00C748FA" w:rsidRPr="003D3E41" w:rsidRDefault="00C748FA" w:rsidP="007F7DFC">
            <w:pPr>
              <w:spacing w:after="60"/>
              <w:jc w:val="center"/>
              <w:rPr>
                <w:sz w:val="18"/>
              </w:rPr>
            </w:pPr>
            <w:r>
              <w:rPr>
                <w:sz w:val="18"/>
              </w:rPr>
              <w:t>3,69</w:t>
            </w:r>
          </w:p>
        </w:tc>
        <w:tc>
          <w:tcPr>
            <w:tcW w:w="0" w:type="auto"/>
            <w:shd w:val="clear" w:color="auto" w:fill="auto"/>
            <w:vAlign w:val="center"/>
          </w:tcPr>
          <w:p w:rsidR="00C748FA" w:rsidRPr="003D3E41" w:rsidRDefault="00C748FA" w:rsidP="007F7DFC">
            <w:pPr>
              <w:spacing w:after="60"/>
              <w:jc w:val="center"/>
              <w:rPr>
                <w:sz w:val="18"/>
              </w:rPr>
            </w:pPr>
            <w:r>
              <w:rPr>
                <w:sz w:val="18"/>
              </w:rPr>
              <w:t>3,69</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2,40</w:t>
            </w:r>
          </w:p>
        </w:tc>
        <w:tc>
          <w:tcPr>
            <w:tcW w:w="0" w:type="auto"/>
            <w:shd w:val="clear" w:color="auto" w:fill="auto"/>
            <w:vAlign w:val="center"/>
          </w:tcPr>
          <w:p w:rsidR="00C748FA" w:rsidRPr="003D3E41" w:rsidRDefault="00C748FA" w:rsidP="007F7DFC">
            <w:pPr>
              <w:spacing w:after="60"/>
              <w:jc w:val="center"/>
              <w:rPr>
                <w:sz w:val="18"/>
              </w:rPr>
            </w:pPr>
            <w:r>
              <w:rPr>
                <w:sz w:val="18"/>
              </w:rPr>
              <w:t>s.o.</w:t>
            </w:r>
          </w:p>
        </w:tc>
      </w:tr>
      <w:tr w:rsidR="00C748FA" w:rsidRPr="003D3E41" w:rsidTr="007F7DFC">
        <w:tc>
          <w:tcPr>
            <w:tcW w:w="0" w:type="auto"/>
            <w:gridSpan w:val="3"/>
            <w:shd w:val="clear" w:color="auto" w:fill="auto"/>
            <w:vAlign w:val="center"/>
          </w:tcPr>
          <w:p w:rsidR="00C748FA" w:rsidRPr="00C748FA" w:rsidRDefault="00C748FA" w:rsidP="007F7DFC">
            <w:pPr>
              <w:spacing w:after="60"/>
              <w:jc w:val="left"/>
              <w:rPr>
                <w:sz w:val="18"/>
                <w:lang w:val="fr-FR"/>
              </w:rPr>
            </w:pPr>
            <w:r w:rsidRPr="00C748FA">
              <w:rPr>
                <w:sz w:val="18"/>
                <w:lang w:val="fr-FR"/>
              </w:rPr>
              <w:t>Consommat</w:t>
            </w:r>
            <w:r w:rsidR="000E519D">
              <w:rPr>
                <w:sz w:val="18"/>
                <w:lang w:val="fr-FR"/>
              </w:rPr>
              <w:t>ion maximale admissible (tonnes </w:t>
            </w:r>
            <w:r w:rsidRPr="00C748FA">
              <w:rPr>
                <w:sz w:val="18"/>
                <w:lang w:val="fr-FR"/>
              </w:rPr>
              <w:t>PAO)</w:t>
            </w:r>
          </w:p>
        </w:tc>
        <w:tc>
          <w:tcPr>
            <w:tcW w:w="0" w:type="auto"/>
            <w:shd w:val="clear" w:color="auto" w:fill="auto"/>
            <w:vAlign w:val="center"/>
          </w:tcPr>
          <w:p w:rsidR="00C748FA" w:rsidRPr="003D3E41" w:rsidRDefault="00C748FA" w:rsidP="007F7DFC">
            <w:pPr>
              <w:spacing w:after="60"/>
              <w:jc w:val="center"/>
              <w:rPr>
                <w:sz w:val="18"/>
              </w:rPr>
            </w:pPr>
            <w:r>
              <w:rPr>
                <w:sz w:val="18"/>
              </w:rPr>
              <w:t>3,69</w:t>
            </w:r>
          </w:p>
        </w:tc>
        <w:tc>
          <w:tcPr>
            <w:tcW w:w="0" w:type="auto"/>
            <w:shd w:val="clear" w:color="auto" w:fill="auto"/>
            <w:vAlign w:val="center"/>
          </w:tcPr>
          <w:p w:rsidR="00C748FA" w:rsidRPr="003D3E41" w:rsidRDefault="00C748FA" w:rsidP="007F7DFC">
            <w:pPr>
              <w:spacing w:after="60"/>
              <w:jc w:val="center"/>
              <w:rPr>
                <w:sz w:val="18"/>
              </w:rPr>
            </w:pPr>
            <w:r>
              <w:rPr>
                <w:sz w:val="18"/>
              </w:rPr>
              <w:t>3,69</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3,32</w:t>
            </w:r>
          </w:p>
        </w:tc>
        <w:tc>
          <w:tcPr>
            <w:tcW w:w="0" w:type="auto"/>
            <w:shd w:val="clear" w:color="auto" w:fill="auto"/>
            <w:vAlign w:val="center"/>
          </w:tcPr>
          <w:p w:rsidR="00C748FA" w:rsidRPr="003D3E41" w:rsidRDefault="00C748FA" w:rsidP="007F7DFC">
            <w:pPr>
              <w:spacing w:after="60"/>
              <w:jc w:val="center"/>
              <w:rPr>
                <w:sz w:val="18"/>
              </w:rPr>
            </w:pPr>
            <w:r>
              <w:rPr>
                <w:sz w:val="18"/>
              </w:rPr>
              <w:t>2,40</w:t>
            </w:r>
          </w:p>
        </w:tc>
        <w:tc>
          <w:tcPr>
            <w:tcW w:w="0" w:type="auto"/>
            <w:shd w:val="clear" w:color="auto" w:fill="auto"/>
            <w:vAlign w:val="center"/>
          </w:tcPr>
          <w:p w:rsidR="00C748FA" w:rsidRPr="003D3E41" w:rsidRDefault="00C748FA" w:rsidP="007F7DFC">
            <w:pPr>
              <w:spacing w:after="60"/>
              <w:jc w:val="center"/>
              <w:rPr>
                <w:sz w:val="18"/>
              </w:rPr>
            </w:pPr>
            <w:r>
              <w:rPr>
                <w:sz w:val="18"/>
              </w:rPr>
              <w:t>s.o.</w:t>
            </w:r>
          </w:p>
        </w:tc>
      </w:tr>
      <w:tr w:rsidR="00C748FA" w:rsidRPr="003D3E41" w:rsidTr="007F7DFC">
        <w:tc>
          <w:tcPr>
            <w:tcW w:w="1214" w:type="dxa"/>
            <w:vMerge w:val="restart"/>
            <w:shd w:val="clear" w:color="auto" w:fill="auto"/>
            <w:vAlign w:val="center"/>
          </w:tcPr>
          <w:p w:rsidR="00C748FA" w:rsidRPr="003D3E41" w:rsidRDefault="007F1D3A" w:rsidP="007F7DFC">
            <w:pPr>
              <w:spacing w:after="60"/>
              <w:jc w:val="left"/>
              <w:rPr>
                <w:sz w:val="18"/>
              </w:rPr>
            </w:pPr>
            <w:r>
              <w:rPr>
                <w:sz w:val="18"/>
              </w:rPr>
              <w:t>Financement convenu ($ </w:t>
            </w:r>
            <w:r w:rsidR="00C748FA">
              <w:rPr>
                <w:sz w:val="18"/>
              </w:rPr>
              <w:t>US)</w:t>
            </w:r>
          </w:p>
        </w:tc>
        <w:tc>
          <w:tcPr>
            <w:tcW w:w="880" w:type="dxa"/>
            <w:vMerge w:val="restart"/>
            <w:shd w:val="clear" w:color="auto" w:fill="auto"/>
            <w:vAlign w:val="center"/>
          </w:tcPr>
          <w:p w:rsidR="00C748FA" w:rsidRPr="003D3E41" w:rsidRDefault="00C748FA" w:rsidP="007F7DFC">
            <w:pPr>
              <w:spacing w:after="60"/>
              <w:jc w:val="left"/>
              <w:rPr>
                <w:sz w:val="18"/>
              </w:rPr>
            </w:pPr>
            <w:r>
              <w:rPr>
                <w:sz w:val="18"/>
              </w:rPr>
              <w:t>PNUE</w:t>
            </w:r>
          </w:p>
        </w:tc>
        <w:tc>
          <w:tcPr>
            <w:tcW w:w="1597" w:type="dxa"/>
            <w:shd w:val="clear" w:color="auto" w:fill="auto"/>
            <w:vAlign w:val="center"/>
          </w:tcPr>
          <w:p w:rsidR="00C748FA" w:rsidRPr="003D3E41" w:rsidRDefault="00C748FA" w:rsidP="007F7DFC">
            <w:pPr>
              <w:spacing w:after="60"/>
              <w:jc w:val="left"/>
              <w:rPr>
                <w:sz w:val="18"/>
              </w:rPr>
            </w:pPr>
            <w:r>
              <w:rPr>
                <w:sz w:val="18"/>
              </w:rPr>
              <w:t>Coûts de projet</w:t>
            </w:r>
          </w:p>
        </w:tc>
        <w:tc>
          <w:tcPr>
            <w:tcW w:w="0" w:type="auto"/>
            <w:shd w:val="clear" w:color="auto" w:fill="auto"/>
            <w:vAlign w:val="center"/>
          </w:tcPr>
          <w:p w:rsidR="00C748FA" w:rsidRPr="003D3E41" w:rsidRDefault="00C748FA" w:rsidP="007F7DFC">
            <w:pPr>
              <w:spacing w:after="60"/>
              <w:jc w:val="center"/>
              <w:rPr>
                <w:sz w:val="18"/>
              </w:rPr>
            </w:pPr>
            <w:r>
              <w:rPr>
                <w:sz w:val="18"/>
              </w:rPr>
              <w:t>74 000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48 000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42 000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28 000</w:t>
            </w:r>
          </w:p>
        </w:tc>
        <w:tc>
          <w:tcPr>
            <w:tcW w:w="0" w:type="auto"/>
            <w:shd w:val="clear" w:color="auto" w:fill="auto"/>
            <w:vAlign w:val="center"/>
          </w:tcPr>
          <w:p w:rsidR="00C748FA" w:rsidRPr="003D3E41" w:rsidRDefault="00C748FA" w:rsidP="007F7DFC">
            <w:pPr>
              <w:spacing w:after="60"/>
              <w:jc w:val="center"/>
              <w:rPr>
                <w:sz w:val="18"/>
              </w:rPr>
            </w:pPr>
            <w:r>
              <w:rPr>
                <w:sz w:val="18"/>
              </w:rPr>
              <w:t>192 000</w:t>
            </w:r>
          </w:p>
        </w:tc>
      </w:tr>
      <w:tr w:rsidR="00C748FA" w:rsidRPr="003D3E41" w:rsidTr="007F7DFC">
        <w:tc>
          <w:tcPr>
            <w:tcW w:w="1214" w:type="dxa"/>
            <w:vMerge/>
            <w:shd w:val="clear" w:color="auto" w:fill="auto"/>
            <w:vAlign w:val="center"/>
          </w:tcPr>
          <w:p w:rsidR="00C748FA" w:rsidRPr="003D3E41" w:rsidRDefault="00C748FA" w:rsidP="007F7DFC">
            <w:pPr>
              <w:spacing w:after="60"/>
              <w:jc w:val="left"/>
              <w:rPr>
                <w:sz w:val="18"/>
                <w:lang w:val="en-CA"/>
              </w:rPr>
            </w:pPr>
          </w:p>
        </w:tc>
        <w:tc>
          <w:tcPr>
            <w:tcW w:w="880" w:type="dxa"/>
            <w:vMerge/>
            <w:shd w:val="clear" w:color="auto" w:fill="auto"/>
            <w:vAlign w:val="center"/>
          </w:tcPr>
          <w:p w:rsidR="00C748FA" w:rsidRPr="003D3E41" w:rsidRDefault="00C748FA" w:rsidP="007F7DFC">
            <w:pPr>
              <w:spacing w:after="60"/>
              <w:jc w:val="left"/>
              <w:rPr>
                <w:sz w:val="18"/>
                <w:lang w:val="en-CA"/>
              </w:rPr>
            </w:pPr>
          </w:p>
        </w:tc>
        <w:tc>
          <w:tcPr>
            <w:tcW w:w="1597" w:type="dxa"/>
            <w:shd w:val="clear" w:color="auto" w:fill="auto"/>
            <w:vAlign w:val="center"/>
          </w:tcPr>
          <w:p w:rsidR="00C748FA" w:rsidRPr="003D3E41" w:rsidRDefault="00C748FA" w:rsidP="007F7DFC">
            <w:pPr>
              <w:spacing w:after="60"/>
              <w:jc w:val="left"/>
              <w:rPr>
                <w:sz w:val="18"/>
              </w:rPr>
            </w:pPr>
            <w:r>
              <w:rPr>
                <w:sz w:val="18"/>
              </w:rPr>
              <w:t>Coûts d’appui</w:t>
            </w:r>
          </w:p>
        </w:tc>
        <w:tc>
          <w:tcPr>
            <w:tcW w:w="0" w:type="auto"/>
            <w:shd w:val="clear" w:color="auto" w:fill="auto"/>
            <w:vAlign w:val="center"/>
          </w:tcPr>
          <w:p w:rsidR="00C748FA" w:rsidRPr="003D3E41" w:rsidRDefault="00C748FA" w:rsidP="007F7DFC">
            <w:pPr>
              <w:spacing w:after="60"/>
              <w:jc w:val="center"/>
              <w:rPr>
                <w:sz w:val="18"/>
              </w:rPr>
            </w:pPr>
            <w:r>
              <w:rPr>
                <w:sz w:val="18"/>
              </w:rPr>
              <w:t>9 620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6 240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5 460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3 640</w:t>
            </w:r>
          </w:p>
        </w:tc>
        <w:tc>
          <w:tcPr>
            <w:tcW w:w="0" w:type="auto"/>
            <w:shd w:val="clear" w:color="auto" w:fill="auto"/>
            <w:vAlign w:val="center"/>
          </w:tcPr>
          <w:p w:rsidR="00C748FA" w:rsidRPr="003D3E41" w:rsidRDefault="00C748FA" w:rsidP="007F7DFC">
            <w:pPr>
              <w:spacing w:after="60"/>
              <w:jc w:val="center"/>
              <w:rPr>
                <w:sz w:val="18"/>
              </w:rPr>
            </w:pPr>
            <w:r>
              <w:rPr>
                <w:sz w:val="18"/>
              </w:rPr>
              <w:t>24 960</w:t>
            </w:r>
          </w:p>
        </w:tc>
      </w:tr>
      <w:tr w:rsidR="00C748FA" w:rsidRPr="003D3E41" w:rsidTr="007F7DFC">
        <w:tc>
          <w:tcPr>
            <w:tcW w:w="1214" w:type="dxa"/>
            <w:vMerge/>
            <w:shd w:val="clear" w:color="auto" w:fill="auto"/>
            <w:vAlign w:val="center"/>
          </w:tcPr>
          <w:p w:rsidR="00C748FA" w:rsidRPr="003D3E41" w:rsidRDefault="00C748FA" w:rsidP="007F7DFC">
            <w:pPr>
              <w:spacing w:after="60"/>
              <w:jc w:val="left"/>
              <w:rPr>
                <w:sz w:val="18"/>
                <w:lang w:val="en-CA"/>
              </w:rPr>
            </w:pPr>
          </w:p>
        </w:tc>
        <w:tc>
          <w:tcPr>
            <w:tcW w:w="880" w:type="dxa"/>
            <w:vMerge w:val="restart"/>
            <w:shd w:val="clear" w:color="auto" w:fill="auto"/>
            <w:vAlign w:val="center"/>
          </w:tcPr>
          <w:p w:rsidR="00C748FA" w:rsidRPr="003D3E41" w:rsidRDefault="00C748FA" w:rsidP="007F7DFC">
            <w:pPr>
              <w:spacing w:after="60"/>
              <w:jc w:val="left"/>
              <w:rPr>
                <w:sz w:val="18"/>
              </w:rPr>
            </w:pPr>
            <w:r>
              <w:rPr>
                <w:sz w:val="18"/>
              </w:rPr>
              <w:t>PNUD</w:t>
            </w:r>
          </w:p>
        </w:tc>
        <w:tc>
          <w:tcPr>
            <w:tcW w:w="1597" w:type="dxa"/>
            <w:shd w:val="clear" w:color="auto" w:fill="auto"/>
            <w:vAlign w:val="center"/>
          </w:tcPr>
          <w:p w:rsidR="00C748FA" w:rsidRPr="003D3E41" w:rsidRDefault="00C748FA" w:rsidP="007F7DFC">
            <w:pPr>
              <w:spacing w:after="60"/>
              <w:jc w:val="left"/>
              <w:rPr>
                <w:sz w:val="18"/>
              </w:rPr>
            </w:pPr>
            <w:r>
              <w:rPr>
                <w:sz w:val="18"/>
              </w:rPr>
              <w:t>Coûts de projet</w:t>
            </w:r>
          </w:p>
        </w:tc>
        <w:tc>
          <w:tcPr>
            <w:tcW w:w="0" w:type="auto"/>
            <w:shd w:val="clear" w:color="auto" w:fill="auto"/>
            <w:vAlign w:val="center"/>
          </w:tcPr>
          <w:p w:rsidR="00C748FA" w:rsidRPr="003D3E41" w:rsidRDefault="00C748FA" w:rsidP="007F7DFC">
            <w:pPr>
              <w:spacing w:after="60"/>
              <w:jc w:val="center"/>
              <w:rPr>
                <w:sz w:val="18"/>
              </w:rPr>
            </w:pPr>
            <w:r>
              <w:rPr>
                <w:sz w:val="18"/>
              </w:rPr>
              <w:t>50 000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38 000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88 000</w:t>
            </w:r>
          </w:p>
        </w:tc>
      </w:tr>
      <w:tr w:rsidR="00C748FA" w:rsidRPr="003D3E41" w:rsidTr="007F7DFC">
        <w:tc>
          <w:tcPr>
            <w:tcW w:w="1214" w:type="dxa"/>
            <w:vMerge/>
            <w:shd w:val="clear" w:color="auto" w:fill="auto"/>
            <w:vAlign w:val="center"/>
          </w:tcPr>
          <w:p w:rsidR="00C748FA" w:rsidRPr="003D3E41" w:rsidRDefault="00C748FA" w:rsidP="007F7DFC">
            <w:pPr>
              <w:spacing w:after="60"/>
              <w:jc w:val="left"/>
              <w:rPr>
                <w:sz w:val="18"/>
                <w:lang w:val="en-CA"/>
              </w:rPr>
            </w:pPr>
          </w:p>
        </w:tc>
        <w:tc>
          <w:tcPr>
            <w:tcW w:w="880" w:type="dxa"/>
            <w:vMerge/>
            <w:shd w:val="clear" w:color="auto" w:fill="auto"/>
            <w:vAlign w:val="center"/>
          </w:tcPr>
          <w:p w:rsidR="00C748FA" w:rsidRPr="003D3E41" w:rsidRDefault="00C748FA" w:rsidP="007F7DFC">
            <w:pPr>
              <w:spacing w:after="60"/>
              <w:jc w:val="left"/>
              <w:rPr>
                <w:sz w:val="18"/>
                <w:lang w:val="en-CA"/>
              </w:rPr>
            </w:pPr>
          </w:p>
        </w:tc>
        <w:tc>
          <w:tcPr>
            <w:tcW w:w="1597" w:type="dxa"/>
            <w:shd w:val="clear" w:color="auto" w:fill="auto"/>
            <w:vAlign w:val="center"/>
          </w:tcPr>
          <w:p w:rsidR="00C748FA" w:rsidRPr="003D3E41" w:rsidRDefault="00C748FA" w:rsidP="007F7DFC">
            <w:pPr>
              <w:spacing w:after="60"/>
              <w:jc w:val="left"/>
              <w:rPr>
                <w:sz w:val="18"/>
              </w:rPr>
            </w:pPr>
            <w:r>
              <w:rPr>
                <w:sz w:val="18"/>
              </w:rPr>
              <w:t>Coûts d’appui</w:t>
            </w:r>
          </w:p>
        </w:tc>
        <w:tc>
          <w:tcPr>
            <w:tcW w:w="0" w:type="auto"/>
            <w:shd w:val="clear" w:color="auto" w:fill="auto"/>
            <w:vAlign w:val="center"/>
          </w:tcPr>
          <w:p w:rsidR="00C748FA" w:rsidRPr="003D3E41" w:rsidRDefault="00C748FA" w:rsidP="007F7DFC">
            <w:pPr>
              <w:spacing w:after="60"/>
              <w:jc w:val="center"/>
              <w:rPr>
                <w:sz w:val="18"/>
              </w:rPr>
            </w:pPr>
            <w:r>
              <w:rPr>
                <w:sz w:val="18"/>
              </w:rPr>
              <w:t>4 500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3 420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7 920</w:t>
            </w:r>
          </w:p>
        </w:tc>
      </w:tr>
      <w:tr w:rsidR="00C748FA" w:rsidRPr="003D3E41" w:rsidTr="007F7DFC">
        <w:tc>
          <w:tcPr>
            <w:tcW w:w="2094" w:type="dxa"/>
            <w:gridSpan w:val="2"/>
            <w:vMerge w:val="restart"/>
            <w:shd w:val="clear" w:color="auto" w:fill="auto"/>
            <w:vAlign w:val="center"/>
          </w:tcPr>
          <w:p w:rsidR="00C748FA" w:rsidRPr="00C748FA" w:rsidRDefault="00C748FA" w:rsidP="007F7DFC">
            <w:pPr>
              <w:spacing w:after="60"/>
              <w:jc w:val="left"/>
              <w:rPr>
                <w:sz w:val="18"/>
                <w:lang w:val="fr-FR"/>
              </w:rPr>
            </w:pPr>
            <w:r w:rsidRPr="00C748FA">
              <w:rPr>
                <w:sz w:val="18"/>
                <w:lang w:val="fr-FR"/>
              </w:rPr>
              <w:t>Financement approuvé par ExCom ($ US)</w:t>
            </w:r>
          </w:p>
        </w:tc>
        <w:tc>
          <w:tcPr>
            <w:tcW w:w="1597" w:type="dxa"/>
            <w:shd w:val="clear" w:color="auto" w:fill="auto"/>
            <w:vAlign w:val="center"/>
          </w:tcPr>
          <w:p w:rsidR="00C748FA" w:rsidRPr="003D3E41" w:rsidRDefault="00C748FA" w:rsidP="007F7DFC">
            <w:pPr>
              <w:spacing w:after="60"/>
              <w:jc w:val="left"/>
              <w:rPr>
                <w:sz w:val="18"/>
              </w:rPr>
            </w:pPr>
            <w:r>
              <w:rPr>
                <w:sz w:val="18"/>
              </w:rPr>
              <w:t>Coûts de projet</w:t>
            </w:r>
          </w:p>
        </w:tc>
        <w:tc>
          <w:tcPr>
            <w:tcW w:w="0" w:type="auto"/>
            <w:shd w:val="clear" w:color="auto" w:fill="auto"/>
            <w:vAlign w:val="center"/>
          </w:tcPr>
          <w:p w:rsidR="00C748FA" w:rsidRPr="003D3E41" w:rsidRDefault="00C748FA" w:rsidP="007F7DFC">
            <w:pPr>
              <w:spacing w:after="60"/>
              <w:jc w:val="center"/>
              <w:rPr>
                <w:sz w:val="18"/>
              </w:rPr>
            </w:pPr>
            <w:r>
              <w:rPr>
                <w:sz w:val="18"/>
              </w:rPr>
              <w:t>124 000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86 000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210 000</w:t>
            </w:r>
          </w:p>
        </w:tc>
      </w:tr>
      <w:tr w:rsidR="00C748FA" w:rsidRPr="003D3E41" w:rsidTr="007F7DFC">
        <w:tc>
          <w:tcPr>
            <w:tcW w:w="2094" w:type="dxa"/>
            <w:gridSpan w:val="2"/>
            <w:vMerge/>
            <w:shd w:val="clear" w:color="auto" w:fill="auto"/>
            <w:vAlign w:val="center"/>
          </w:tcPr>
          <w:p w:rsidR="00C748FA" w:rsidRPr="003D3E41" w:rsidRDefault="00C748FA" w:rsidP="007F7DFC">
            <w:pPr>
              <w:spacing w:after="60"/>
              <w:jc w:val="left"/>
              <w:rPr>
                <w:sz w:val="18"/>
                <w:lang w:val="en-CA"/>
              </w:rPr>
            </w:pPr>
          </w:p>
        </w:tc>
        <w:tc>
          <w:tcPr>
            <w:tcW w:w="1597" w:type="dxa"/>
            <w:shd w:val="clear" w:color="auto" w:fill="auto"/>
            <w:vAlign w:val="center"/>
          </w:tcPr>
          <w:p w:rsidR="00C748FA" w:rsidRPr="003D3E41" w:rsidRDefault="00C748FA" w:rsidP="007F7DFC">
            <w:pPr>
              <w:spacing w:after="60"/>
              <w:jc w:val="left"/>
              <w:rPr>
                <w:sz w:val="18"/>
              </w:rPr>
            </w:pPr>
            <w:r>
              <w:rPr>
                <w:sz w:val="18"/>
              </w:rPr>
              <w:t>Coûts d’appui</w:t>
            </w:r>
          </w:p>
        </w:tc>
        <w:tc>
          <w:tcPr>
            <w:tcW w:w="0" w:type="auto"/>
            <w:shd w:val="clear" w:color="auto" w:fill="auto"/>
            <w:vAlign w:val="center"/>
          </w:tcPr>
          <w:p w:rsidR="00C748FA" w:rsidRPr="003D3E41" w:rsidRDefault="00C748FA" w:rsidP="007F7DFC">
            <w:pPr>
              <w:spacing w:after="60"/>
              <w:jc w:val="center"/>
              <w:rPr>
                <w:sz w:val="18"/>
              </w:rPr>
            </w:pPr>
            <w:r>
              <w:rPr>
                <w:sz w:val="18"/>
              </w:rPr>
              <w:t>14 120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9 660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23 780</w:t>
            </w:r>
          </w:p>
        </w:tc>
      </w:tr>
      <w:tr w:rsidR="00C748FA" w:rsidRPr="003D3E41" w:rsidTr="007F7DFC">
        <w:tc>
          <w:tcPr>
            <w:tcW w:w="2094" w:type="dxa"/>
            <w:gridSpan w:val="2"/>
            <w:vMerge w:val="restart"/>
            <w:shd w:val="clear" w:color="auto" w:fill="auto"/>
            <w:vAlign w:val="center"/>
          </w:tcPr>
          <w:p w:rsidR="00C748FA" w:rsidRPr="00C748FA" w:rsidRDefault="00C748FA" w:rsidP="007F7DFC">
            <w:pPr>
              <w:spacing w:after="60"/>
              <w:jc w:val="left"/>
              <w:rPr>
                <w:sz w:val="18"/>
                <w:lang w:val="fr-FR"/>
              </w:rPr>
            </w:pPr>
            <w:r w:rsidRPr="00C748FA">
              <w:rPr>
                <w:sz w:val="18"/>
                <w:lang w:val="fr-FR"/>
              </w:rPr>
              <w:t>Financement total demandé pour appro</w:t>
            </w:r>
            <w:r w:rsidR="007F1D3A">
              <w:rPr>
                <w:sz w:val="18"/>
                <w:lang w:val="fr-FR"/>
              </w:rPr>
              <w:t>bation à la présente réunion ($ </w:t>
            </w:r>
            <w:r w:rsidRPr="00C748FA">
              <w:rPr>
                <w:sz w:val="18"/>
                <w:lang w:val="fr-FR"/>
              </w:rPr>
              <w:t>US)</w:t>
            </w:r>
          </w:p>
        </w:tc>
        <w:tc>
          <w:tcPr>
            <w:tcW w:w="1597" w:type="dxa"/>
            <w:shd w:val="clear" w:color="auto" w:fill="auto"/>
            <w:vAlign w:val="center"/>
          </w:tcPr>
          <w:p w:rsidR="00C748FA" w:rsidRPr="003D3E41" w:rsidRDefault="00C748FA" w:rsidP="007F7DFC">
            <w:pPr>
              <w:spacing w:after="60"/>
              <w:jc w:val="left"/>
              <w:rPr>
                <w:sz w:val="18"/>
              </w:rPr>
            </w:pPr>
            <w:r>
              <w:rPr>
                <w:sz w:val="18"/>
              </w:rPr>
              <w:t>Coûts de projet</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b/>
                <w:sz w:val="18"/>
              </w:rPr>
            </w:pPr>
            <w:r>
              <w:rPr>
                <w:b/>
                <w:sz w:val="18"/>
              </w:rPr>
              <w:t>42 000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42 000</w:t>
            </w:r>
          </w:p>
        </w:tc>
      </w:tr>
      <w:tr w:rsidR="00C748FA" w:rsidRPr="003D3E41" w:rsidTr="007F7DFC">
        <w:tc>
          <w:tcPr>
            <w:tcW w:w="2094" w:type="dxa"/>
            <w:gridSpan w:val="2"/>
            <w:vMerge/>
            <w:shd w:val="clear" w:color="auto" w:fill="auto"/>
            <w:vAlign w:val="center"/>
          </w:tcPr>
          <w:p w:rsidR="00C748FA" w:rsidRPr="003D3E41" w:rsidRDefault="00C748FA" w:rsidP="007F7DFC">
            <w:pPr>
              <w:spacing w:after="60"/>
              <w:jc w:val="left"/>
              <w:rPr>
                <w:sz w:val="18"/>
                <w:lang w:val="en-CA"/>
              </w:rPr>
            </w:pPr>
          </w:p>
        </w:tc>
        <w:tc>
          <w:tcPr>
            <w:tcW w:w="1597" w:type="dxa"/>
            <w:shd w:val="clear" w:color="auto" w:fill="auto"/>
            <w:vAlign w:val="center"/>
          </w:tcPr>
          <w:p w:rsidR="00C748FA" w:rsidRPr="003D3E41" w:rsidRDefault="00C748FA" w:rsidP="007F7DFC">
            <w:pPr>
              <w:spacing w:after="60"/>
              <w:jc w:val="left"/>
              <w:rPr>
                <w:sz w:val="18"/>
              </w:rPr>
            </w:pPr>
            <w:r>
              <w:rPr>
                <w:sz w:val="18"/>
              </w:rPr>
              <w:t>Coûts d’appui</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b/>
                <w:sz w:val="18"/>
              </w:rPr>
            </w:pPr>
            <w:r>
              <w:rPr>
                <w:b/>
                <w:sz w:val="18"/>
              </w:rPr>
              <w:t>5 460</w:t>
            </w:r>
          </w:p>
        </w:tc>
        <w:tc>
          <w:tcPr>
            <w:tcW w:w="0" w:type="auto"/>
            <w:shd w:val="clear" w:color="auto" w:fill="auto"/>
            <w:vAlign w:val="center"/>
          </w:tcPr>
          <w:p w:rsidR="00C748FA" w:rsidRPr="003D3E41" w:rsidRDefault="00C748FA" w:rsidP="007F7DFC">
            <w:pPr>
              <w:spacing w:after="60"/>
              <w:jc w:val="center"/>
              <w:rPr>
                <w:sz w:val="18"/>
              </w:rPr>
            </w:pPr>
            <w:r>
              <w:rPr>
                <w:sz w:val="18"/>
              </w:rPr>
              <w:t>0</w:t>
            </w:r>
          </w:p>
        </w:tc>
        <w:tc>
          <w:tcPr>
            <w:tcW w:w="0" w:type="auto"/>
            <w:shd w:val="clear" w:color="auto" w:fill="auto"/>
            <w:vAlign w:val="center"/>
          </w:tcPr>
          <w:p w:rsidR="00C748FA" w:rsidRPr="003D3E41" w:rsidRDefault="00C748FA" w:rsidP="007F7DFC">
            <w:pPr>
              <w:spacing w:after="60"/>
              <w:jc w:val="center"/>
              <w:rPr>
                <w:sz w:val="18"/>
              </w:rPr>
            </w:pPr>
            <w:r>
              <w:rPr>
                <w:sz w:val="18"/>
              </w:rPr>
              <w:t>5 460</w:t>
            </w:r>
          </w:p>
        </w:tc>
      </w:tr>
    </w:tbl>
    <w:p w:rsidR="00C748FA" w:rsidRPr="00C748FA" w:rsidRDefault="00C748FA" w:rsidP="00C748FA">
      <w:pPr>
        <w:spacing w:after="60"/>
        <w:jc w:val="left"/>
        <w:rPr>
          <w:sz w:val="18"/>
          <w:szCs w:val="18"/>
          <w:lang w:val="fr-FR"/>
        </w:rPr>
      </w:pPr>
      <w:r w:rsidRPr="00C748FA">
        <w:rPr>
          <w:sz w:val="18"/>
          <w:szCs w:val="18"/>
          <w:lang w:val="fr-FR"/>
        </w:rPr>
        <w:t>* La troisième tranche aurait due être présentée en 2018.</w:t>
      </w:r>
    </w:p>
    <w:p w:rsidR="00C748FA" w:rsidRPr="003646CD" w:rsidRDefault="00C748FA" w:rsidP="00C748FA">
      <w:pPr>
        <w:spacing w:after="60"/>
        <w:jc w:val="center"/>
        <w:rPr>
          <w:lang w:val="fr-FR"/>
        </w:rPr>
      </w:pPr>
    </w:p>
    <w:tbl>
      <w:tblPr>
        <w:tblStyle w:val="TableGrid"/>
        <w:tblW w:w="10000"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3000"/>
        <w:gridCol w:w="7000"/>
      </w:tblGrid>
      <w:tr w:rsidR="00C748FA" w:rsidRPr="003D3E41" w:rsidTr="009C53C1">
        <w:trPr>
          <w:trHeight w:val="240"/>
        </w:trPr>
        <w:tc>
          <w:tcPr>
            <w:tcW w:w="3000" w:type="dxa"/>
            <w:shd w:val="clear" w:color="auto" w:fill="auto"/>
          </w:tcPr>
          <w:p w:rsidR="00C748FA" w:rsidRPr="003D3E41" w:rsidRDefault="00C748FA" w:rsidP="009C53C1">
            <w:pPr>
              <w:spacing w:after="60"/>
              <w:jc w:val="left"/>
              <w:rPr>
                <w:b/>
                <w:sz w:val="18"/>
              </w:rPr>
            </w:pPr>
            <w:r>
              <w:rPr>
                <w:b/>
                <w:sz w:val="18"/>
              </w:rPr>
              <w:t>Recommandation du Secrétariat :</w:t>
            </w:r>
          </w:p>
        </w:tc>
        <w:tc>
          <w:tcPr>
            <w:tcW w:w="7000" w:type="dxa"/>
            <w:shd w:val="clear" w:color="auto" w:fill="auto"/>
          </w:tcPr>
          <w:p w:rsidR="00C748FA" w:rsidRPr="003D3E41" w:rsidRDefault="00C748FA" w:rsidP="009C53C1">
            <w:pPr>
              <w:spacing w:after="60"/>
              <w:jc w:val="center"/>
              <w:rPr>
                <w:sz w:val="18"/>
              </w:rPr>
            </w:pPr>
            <w:r>
              <w:rPr>
                <w:sz w:val="18"/>
              </w:rPr>
              <w:t>Approbation globale</w:t>
            </w:r>
          </w:p>
        </w:tc>
      </w:tr>
    </w:tbl>
    <w:p w:rsidR="00C748FA" w:rsidRPr="003D3E41" w:rsidRDefault="00C748FA" w:rsidP="00C748FA">
      <w:pPr>
        <w:spacing w:after="60"/>
        <w:jc w:val="center"/>
        <w:rPr>
          <w:lang w:val="en-CA"/>
        </w:rPr>
      </w:pPr>
    </w:p>
    <w:p w:rsidR="00C748FA" w:rsidRDefault="00C748FA">
      <w:pPr>
        <w:jc w:val="left"/>
        <w:rPr>
          <w:lang w:val="fr-CA"/>
        </w:rPr>
      </w:pPr>
    </w:p>
    <w:p w:rsidR="00C748FA" w:rsidRPr="003D3E41" w:rsidRDefault="00C748FA" w:rsidP="00C748FA">
      <w:pPr>
        <w:jc w:val="center"/>
        <w:rPr>
          <w:b/>
        </w:rPr>
      </w:pPr>
      <w:r>
        <w:rPr>
          <w:b/>
        </w:rPr>
        <w:lastRenderedPageBreak/>
        <w:t>DESCRIPTION DU PROJET</w:t>
      </w:r>
    </w:p>
    <w:p w:rsidR="00C748FA" w:rsidRDefault="00C748FA" w:rsidP="00C748FA">
      <w:pPr>
        <w:rPr>
          <w:lang w:val="fr-CA"/>
        </w:rPr>
      </w:pPr>
    </w:p>
    <w:p w:rsidR="00C748FA" w:rsidRDefault="00C748FA" w:rsidP="00C748FA">
      <w:pPr>
        <w:pStyle w:val="Heading1"/>
        <w:rPr>
          <w:lang w:val="fr-FR"/>
        </w:rPr>
      </w:pPr>
      <w:r w:rsidRPr="00C748FA">
        <w:rPr>
          <w:lang w:val="fr-FR"/>
        </w:rPr>
        <w:t>Au nom du gouvernement de la Barbade, le PNU</w:t>
      </w:r>
      <w:r w:rsidR="00821E97">
        <w:rPr>
          <w:lang w:val="fr-FR"/>
        </w:rPr>
        <w:t>E</w:t>
      </w:r>
      <w:r w:rsidRPr="00C748FA">
        <w:rPr>
          <w:lang w:val="fr-FR"/>
        </w:rPr>
        <w:t>, à titre d’agence d’exécution principale, a présenté une demande de financement pour la troisième tranche de la phase I du plan de gestion de l’élimination des HCFC (PGEH), pour un montant de 42 000 $ US, plus des coûts d’appui d’agence de 5 460 $ US pour le PNUE uniquement.</w:t>
      </w:r>
      <w:r w:rsidRPr="003D3E41">
        <w:rPr>
          <w:rStyle w:val="FootnoteReference"/>
          <w:lang w:val="en-CA"/>
        </w:rPr>
        <w:footnoteReference w:id="1"/>
      </w:r>
      <w:r w:rsidRPr="00C748FA">
        <w:rPr>
          <w:lang w:val="fr-FR"/>
        </w:rPr>
        <w:t xml:space="preserve"> La présentation comprend un rapport périodique sur la mise en œuvre de la </w:t>
      </w:r>
      <w:r w:rsidR="00FC3BA3">
        <w:rPr>
          <w:lang w:val="fr-FR"/>
        </w:rPr>
        <w:t>deuxième tranche et le plan de</w:t>
      </w:r>
      <w:r w:rsidRPr="00C748FA">
        <w:rPr>
          <w:lang w:val="fr-FR"/>
        </w:rPr>
        <w:t xml:space="preserve"> mise en œuvre de la tranche 2019</w:t>
      </w:r>
      <w:r w:rsidR="00FC3BA3">
        <w:rPr>
          <w:lang w:val="fr-FR"/>
        </w:rPr>
        <w:t>-</w:t>
      </w:r>
      <w:r w:rsidRPr="00C748FA">
        <w:rPr>
          <w:lang w:val="fr-FR"/>
        </w:rPr>
        <w:t>2020.</w:t>
      </w:r>
    </w:p>
    <w:p w:rsidR="00C748FA" w:rsidRPr="00C748FA" w:rsidRDefault="00C748FA" w:rsidP="00C748FA">
      <w:pPr>
        <w:rPr>
          <w:u w:val="single"/>
          <w:lang w:val="fr-FR"/>
        </w:rPr>
      </w:pPr>
      <w:r w:rsidRPr="00C748FA">
        <w:rPr>
          <w:u w:val="single"/>
          <w:lang w:val="fr-FR"/>
        </w:rPr>
        <w:t>Rapport sur la consommation de HCFC</w:t>
      </w:r>
    </w:p>
    <w:p w:rsidR="00C748FA" w:rsidRPr="00C748FA" w:rsidRDefault="00C748FA" w:rsidP="00C748FA">
      <w:pPr>
        <w:rPr>
          <w:lang w:val="fr-FR"/>
        </w:rPr>
      </w:pPr>
    </w:p>
    <w:p w:rsidR="00C748FA" w:rsidRPr="00FC3BA3" w:rsidRDefault="00C748FA" w:rsidP="00C748FA">
      <w:pPr>
        <w:pStyle w:val="Heading1"/>
        <w:rPr>
          <w:lang w:val="fr-FR"/>
        </w:rPr>
      </w:pPr>
      <w:r w:rsidRPr="00C748FA">
        <w:rPr>
          <w:lang w:val="fr-FR"/>
        </w:rPr>
        <w:t xml:space="preserve">Le gouvernement de la Barbade a déclaré une consommation de 1,37 tonnes PAO de HCFC en 2018, ce qui est inférieur de 63 % à la valeur de référence des HCFC en ce qui a trait à la conformité. </w:t>
      </w:r>
      <w:r w:rsidRPr="00FC3BA3">
        <w:rPr>
          <w:lang w:val="fr-FR"/>
        </w:rPr>
        <w:t xml:space="preserve">La consommation de HCFC en 2014-2018 est donnée </w:t>
      </w:r>
      <w:r w:rsidR="00FC3BA3" w:rsidRPr="00FC3BA3">
        <w:rPr>
          <w:lang w:val="fr-FR"/>
        </w:rPr>
        <w:t>dans le</w:t>
      </w:r>
      <w:r w:rsidRPr="00FC3BA3">
        <w:rPr>
          <w:lang w:val="fr-FR"/>
        </w:rPr>
        <w:t xml:space="preserve"> tableau 1.</w:t>
      </w:r>
    </w:p>
    <w:p w:rsidR="00C748FA" w:rsidRPr="00C748FA" w:rsidRDefault="00C748FA" w:rsidP="00C748FA">
      <w:pPr>
        <w:rPr>
          <w:b/>
          <w:lang w:val="fr-FR"/>
        </w:rPr>
      </w:pPr>
      <w:r w:rsidRPr="00C748FA">
        <w:rPr>
          <w:b/>
          <w:lang w:val="fr-FR"/>
        </w:rPr>
        <w:t>Tableau 1. Consommation de HCFC à la Barbade (Article 7 - 2014-2018)</w:t>
      </w:r>
    </w:p>
    <w:tbl>
      <w:tblPr>
        <w:tblW w:w="5000" w:type="pct"/>
        <w:tblLayout w:type="fixed"/>
        <w:tblLook w:val="04A0" w:firstRow="1" w:lastRow="0" w:firstColumn="1" w:lastColumn="0" w:noHBand="0" w:noVBand="1"/>
      </w:tblPr>
      <w:tblGrid>
        <w:gridCol w:w="3201"/>
        <w:gridCol w:w="1007"/>
        <w:gridCol w:w="1007"/>
        <w:gridCol w:w="1006"/>
        <w:gridCol w:w="1006"/>
        <w:gridCol w:w="1008"/>
        <w:gridCol w:w="1276"/>
      </w:tblGrid>
      <w:tr w:rsidR="00C748FA" w:rsidRPr="003D3E41" w:rsidTr="00E47F7B">
        <w:trPr>
          <w:tblHeader/>
        </w:trPr>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widowControl w:val="0"/>
              <w:jc w:val="center"/>
              <w:rPr>
                <w:b/>
                <w:bCs/>
                <w:sz w:val="20"/>
                <w:szCs w:val="20"/>
              </w:rPr>
            </w:pPr>
            <w:r>
              <w:rPr>
                <w:b/>
                <w:bCs/>
                <w:sz w:val="20"/>
                <w:szCs w:val="20"/>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b/>
                <w:bCs/>
                <w:sz w:val="20"/>
                <w:szCs w:val="20"/>
              </w:rPr>
            </w:pPr>
            <w:r>
              <w:rPr>
                <w:b/>
                <w:bCs/>
                <w:sz w:val="20"/>
                <w:szCs w:val="20"/>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b/>
                <w:bCs/>
                <w:sz w:val="20"/>
                <w:szCs w:val="20"/>
              </w:rPr>
            </w:pPr>
            <w:r>
              <w:rPr>
                <w:b/>
                <w:bCs/>
                <w:sz w:val="20"/>
                <w:szCs w:val="20"/>
              </w:rPr>
              <w:t>2015</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b/>
                <w:bCs/>
                <w:sz w:val="20"/>
                <w:szCs w:val="20"/>
              </w:rPr>
            </w:pPr>
            <w:r>
              <w:rPr>
                <w:b/>
                <w:bCs/>
                <w:sz w:val="20"/>
                <w:szCs w:val="20"/>
              </w:rPr>
              <w:t>2016</w:t>
            </w:r>
          </w:p>
        </w:tc>
        <w:tc>
          <w:tcPr>
            <w:tcW w:w="529" w:type="pct"/>
            <w:tcBorders>
              <w:top w:val="single" w:sz="4" w:space="0" w:color="auto"/>
              <w:left w:val="nil"/>
              <w:bottom w:val="single" w:sz="4" w:space="0" w:color="auto"/>
              <w:right w:val="single" w:sz="4" w:space="0" w:color="auto"/>
            </w:tcBorders>
            <w:vAlign w:val="center"/>
          </w:tcPr>
          <w:p w:rsidR="00C748FA" w:rsidRPr="003D3E41" w:rsidRDefault="00C748FA" w:rsidP="00E47F7B">
            <w:pPr>
              <w:widowControl w:val="0"/>
              <w:jc w:val="center"/>
              <w:rPr>
                <w:b/>
                <w:bCs/>
                <w:sz w:val="20"/>
                <w:szCs w:val="20"/>
              </w:rPr>
            </w:pPr>
            <w:r>
              <w:rPr>
                <w:b/>
                <w:bCs/>
                <w:sz w:val="20"/>
                <w:szCs w:val="20"/>
              </w:rPr>
              <w:t>2017</w:t>
            </w:r>
          </w:p>
        </w:tc>
        <w:tc>
          <w:tcPr>
            <w:tcW w:w="530"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b/>
                <w:bCs/>
                <w:sz w:val="20"/>
                <w:szCs w:val="20"/>
              </w:rPr>
            </w:pPr>
            <w:r>
              <w:rPr>
                <w:b/>
                <w:bCs/>
                <w:sz w:val="20"/>
                <w:szCs w:val="20"/>
              </w:rPr>
              <w:t>2018</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b/>
                <w:bCs/>
                <w:sz w:val="20"/>
                <w:szCs w:val="20"/>
              </w:rPr>
            </w:pPr>
            <w:r>
              <w:rPr>
                <w:b/>
                <w:bCs/>
                <w:sz w:val="20"/>
                <w:szCs w:val="20"/>
              </w:rPr>
              <w:t>Référence</w:t>
            </w:r>
          </w:p>
        </w:tc>
      </w:tr>
      <w:tr w:rsidR="00C748FA" w:rsidRPr="003D3E41" w:rsidTr="00E47F7B">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widowControl w:val="0"/>
              <w:jc w:val="center"/>
              <w:rPr>
                <w:b/>
                <w:bCs/>
                <w:sz w:val="20"/>
                <w:szCs w:val="20"/>
              </w:rPr>
            </w:pPr>
            <w:r>
              <w:rPr>
                <w:b/>
                <w:bCs/>
                <w:sz w:val="20"/>
                <w:szCs w:val="20"/>
              </w:rPr>
              <w:t>Tonnes métriques</w:t>
            </w:r>
          </w:p>
        </w:tc>
        <w:tc>
          <w:tcPr>
            <w:tcW w:w="529" w:type="pct"/>
            <w:tcBorders>
              <w:top w:val="nil"/>
              <w:left w:val="nil"/>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b/>
                <w:bCs/>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b/>
                <w:bCs/>
                <w:sz w:val="20"/>
                <w:szCs w:val="20"/>
                <w:lang w:val="en-CA"/>
              </w:rPr>
            </w:pPr>
          </w:p>
        </w:tc>
        <w:tc>
          <w:tcPr>
            <w:tcW w:w="529" w:type="pct"/>
            <w:tcBorders>
              <w:top w:val="nil"/>
              <w:left w:val="nil"/>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b/>
                <w:bCs/>
                <w:sz w:val="20"/>
                <w:szCs w:val="20"/>
                <w:lang w:val="en-CA"/>
              </w:rPr>
            </w:pPr>
          </w:p>
        </w:tc>
        <w:tc>
          <w:tcPr>
            <w:tcW w:w="529" w:type="pct"/>
            <w:tcBorders>
              <w:top w:val="single" w:sz="4" w:space="0" w:color="auto"/>
              <w:left w:val="nil"/>
              <w:bottom w:val="single" w:sz="4" w:space="0" w:color="auto"/>
              <w:right w:val="single" w:sz="4" w:space="0" w:color="auto"/>
            </w:tcBorders>
            <w:vAlign w:val="center"/>
          </w:tcPr>
          <w:p w:rsidR="00C748FA" w:rsidRPr="003D3E41" w:rsidRDefault="00C748FA" w:rsidP="00E47F7B">
            <w:pPr>
              <w:widowControl w:val="0"/>
              <w:jc w:val="center"/>
              <w:rPr>
                <w:b/>
                <w:bCs/>
                <w:sz w:val="20"/>
                <w:szCs w:val="20"/>
                <w:lang w:val="en-CA"/>
              </w:rPr>
            </w:pPr>
          </w:p>
        </w:tc>
        <w:tc>
          <w:tcPr>
            <w:tcW w:w="530" w:type="pct"/>
            <w:tcBorders>
              <w:top w:val="nil"/>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b/>
                <w:bCs/>
                <w:sz w:val="20"/>
                <w:szCs w:val="20"/>
                <w:lang w:val="en-CA"/>
              </w:rPr>
            </w:pP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b/>
                <w:bCs/>
                <w:sz w:val="20"/>
                <w:szCs w:val="20"/>
                <w:lang w:val="en-CA"/>
              </w:rPr>
            </w:pPr>
          </w:p>
        </w:tc>
      </w:tr>
      <w:tr w:rsidR="00C748FA" w:rsidRPr="003D3E41" w:rsidTr="00E47F7B">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widowControl w:val="0"/>
              <w:jc w:val="center"/>
              <w:rPr>
                <w:sz w:val="20"/>
                <w:szCs w:val="20"/>
              </w:rPr>
            </w:pPr>
            <w:r>
              <w:rPr>
                <w:sz w:val="20"/>
                <w:szCs w:val="20"/>
              </w:rPr>
              <w:t>HCFC-22</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29,60</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26,09</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40,66</w:t>
            </w:r>
          </w:p>
        </w:tc>
        <w:tc>
          <w:tcPr>
            <w:tcW w:w="529" w:type="pct"/>
            <w:tcBorders>
              <w:top w:val="single" w:sz="4" w:space="0" w:color="auto"/>
              <w:left w:val="nil"/>
              <w:bottom w:val="single" w:sz="4" w:space="0" w:color="auto"/>
              <w:right w:val="single" w:sz="4" w:space="0" w:color="auto"/>
            </w:tcBorders>
            <w:vAlign w:val="center"/>
          </w:tcPr>
          <w:p w:rsidR="00C748FA" w:rsidRPr="003D3E41" w:rsidRDefault="00C748FA" w:rsidP="00E47F7B">
            <w:pPr>
              <w:widowControl w:val="0"/>
              <w:jc w:val="center"/>
              <w:rPr>
                <w:sz w:val="20"/>
                <w:szCs w:val="20"/>
              </w:rPr>
            </w:pPr>
            <w:r>
              <w:rPr>
                <w:sz w:val="20"/>
                <w:szCs w:val="20"/>
              </w:rPr>
              <w:t>33,91</w:t>
            </w:r>
          </w:p>
        </w:tc>
        <w:tc>
          <w:tcPr>
            <w:tcW w:w="530" w:type="pct"/>
            <w:tcBorders>
              <w:top w:val="nil"/>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sz w:val="20"/>
                <w:szCs w:val="20"/>
              </w:rPr>
            </w:pPr>
            <w:r>
              <w:rPr>
                <w:sz w:val="20"/>
                <w:szCs w:val="20"/>
              </w:rPr>
              <w:t>24,92</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jc w:val="center"/>
              <w:rPr>
                <w:sz w:val="20"/>
                <w:szCs w:val="20"/>
              </w:rPr>
            </w:pPr>
            <w:r>
              <w:rPr>
                <w:sz w:val="20"/>
                <w:szCs w:val="20"/>
              </w:rPr>
              <w:t>64,68</w:t>
            </w:r>
          </w:p>
        </w:tc>
      </w:tr>
      <w:tr w:rsidR="00C748FA" w:rsidRPr="003D3E41" w:rsidTr="00E47F7B">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widowControl w:val="0"/>
              <w:jc w:val="center"/>
              <w:rPr>
                <w:sz w:val="20"/>
                <w:szCs w:val="20"/>
              </w:rPr>
            </w:pPr>
            <w:r>
              <w:rPr>
                <w:sz w:val="20"/>
                <w:szCs w:val="20"/>
              </w:rPr>
              <w:t>HCFC-142b</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0,19</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0,76</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0,17</w:t>
            </w:r>
          </w:p>
        </w:tc>
        <w:tc>
          <w:tcPr>
            <w:tcW w:w="529" w:type="pct"/>
            <w:tcBorders>
              <w:top w:val="single" w:sz="4" w:space="0" w:color="auto"/>
              <w:left w:val="nil"/>
              <w:bottom w:val="single" w:sz="4" w:space="0" w:color="auto"/>
              <w:right w:val="single" w:sz="4" w:space="0" w:color="auto"/>
            </w:tcBorders>
            <w:vAlign w:val="center"/>
          </w:tcPr>
          <w:p w:rsidR="00C748FA" w:rsidRPr="003D3E41" w:rsidRDefault="00C748FA" w:rsidP="00E47F7B">
            <w:pPr>
              <w:widowControl w:val="0"/>
              <w:jc w:val="center"/>
              <w:rPr>
                <w:sz w:val="20"/>
                <w:szCs w:val="20"/>
              </w:rPr>
            </w:pPr>
            <w:r>
              <w:rPr>
                <w:sz w:val="20"/>
                <w:szCs w:val="20"/>
              </w:rPr>
              <w:t>0,64</w:t>
            </w:r>
          </w:p>
        </w:tc>
        <w:tc>
          <w:tcPr>
            <w:tcW w:w="530" w:type="pct"/>
            <w:tcBorders>
              <w:top w:val="nil"/>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sz w:val="20"/>
                <w:szCs w:val="20"/>
              </w:rPr>
            </w:pPr>
            <w:r>
              <w:rPr>
                <w:sz w:val="20"/>
                <w:szCs w:val="20"/>
              </w:rPr>
              <w:t>0,00</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2,06</w:t>
            </w:r>
          </w:p>
        </w:tc>
      </w:tr>
      <w:tr w:rsidR="00C748FA" w:rsidRPr="003D3E41" w:rsidTr="00E47F7B">
        <w:tc>
          <w:tcPr>
            <w:tcW w:w="1682"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jc w:val="center"/>
              <w:rPr>
                <w:rFonts w:eastAsiaTheme="minorHAnsi"/>
                <w:b/>
                <w:sz w:val="20"/>
                <w:szCs w:val="20"/>
              </w:rPr>
            </w:pPr>
            <w:r>
              <w:rPr>
                <w:b/>
                <w:sz w:val="20"/>
                <w:szCs w:val="20"/>
              </w:rPr>
              <w:t>Total (tm)</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b/>
                <w:sz w:val="20"/>
                <w:szCs w:val="20"/>
              </w:rPr>
            </w:pPr>
            <w:r>
              <w:rPr>
                <w:b/>
                <w:sz w:val="20"/>
                <w:szCs w:val="20"/>
              </w:rPr>
              <w:t>29,79</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b/>
                <w:sz w:val="20"/>
                <w:szCs w:val="20"/>
              </w:rPr>
            </w:pPr>
            <w:r>
              <w:rPr>
                <w:b/>
                <w:sz w:val="20"/>
                <w:szCs w:val="20"/>
              </w:rPr>
              <w:t>26,85</w:t>
            </w:r>
          </w:p>
        </w:tc>
        <w:tc>
          <w:tcPr>
            <w:tcW w:w="529" w:type="pct"/>
            <w:tcBorders>
              <w:top w:val="nil"/>
              <w:left w:val="nil"/>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b/>
                <w:sz w:val="20"/>
                <w:szCs w:val="20"/>
              </w:rPr>
            </w:pPr>
            <w:r>
              <w:rPr>
                <w:b/>
                <w:sz w:val="20"/>
                <w:szCs w:val="20"/>
              </w:rPr>
              <w:t>40,83</w:t>
            </w:r>
          </w:p>
        </w:tc>
        <w:tc>
          <w:tcPr>
            <w:tcW w:w="529" w:type="pct"/>
            <w:tcBorders>
              <w:top w:val="single" w:sz="4" w:space="0" w:color="auto"/>
              <w:left w:val="nil"/>
              <w:bottom w:val="single" w:sz="4" w:space="0" w:color="auto"/>
              <w:right w:val="single" w:sz="4" w:space="0" w:color="auto"/>
            </w:tcBorders>
            <w:vAlign w:val="center"/>
          </w:tcPr>
          <w:p w:rsidR="00C748FA" w:rsidRPr="003D3E41" w:rsidRDefault="00C748FA" w:rsidP="00E47F7B">
            <w:pPr>
              <w:widowControl w:val="0"/>
              <w:jc w:val="center"/>
              <w:rPr>
                <w:b/>
                <w:sz w:val="20"/>
                <w:szCs w:val="20"/>
              </w:rPr>
            </w:pPr>
            <w:r>
              <w:rPr>
                <w:b/>
                <w:sz w:val="20"/>
                <w:szCs w:val="20"/>
              </w:rPr>
              <w:t>34,55</w:t>
            </w:r>
          </w:p>
        </w:tc>
        <w:tc>
          <w:tcPr>
            <w:tcW w:w="530" w:type="pct"/>
            <w:tcBorders>
              <w:top w:val="nil"/>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b/>
                <w:sz w:val="20"/>
                <w:szCs w:val="20"/>
              </w:rPr>
            </w:pPr>
            <w:r>
              <w:rPr>
                <w:b/>
                <w:sz w:val="20"/>
                <w:szCs w:val="20"/>
              </w:rPr>
              <w:t>24,92</w:t>
            </w:r>
          </w:p>
        </w:tc>
        <w:tc>
          <w:tcPr>
            <w:tcW w:w="671" w:type="pct"/>
            <w:tcBorders>
              <w:top w:val="nil"/>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b/>
                <w:sz w:val="20"/>
                <w:szCs w:val="20"/>
              </w:rPr>
            </w:pPr>
            <w:r>
              <w:rPr>
                <w:b/>
                <w:sz w:val="20"/>
                <w:szCs w:val="20"/>
              </w:rPr>
              <w:t>66,74</w:t>
            </w:r>
          </w:p>
        </w:tc>
      </w:tr>
      <w:tr w:rsidR="00C748FA" w:rsidRPr="003D3E41" w:rsidTr="00E47F7B">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widowControl w:val="0"/>
              <w:jc w:val="center"/>
              <w:rPr>
                <w:b/>
                <w:bCs/>
                <w:sz w:val="20"/>
                <w:szCs w:val="20"/>
              </w:rPr>
            </w:pPr>
            <w:r>
              <w:rPr>
                <w:b/>
                <w:bCs/>
                <w:sz w:val="20"/>
                <w:szCs w:val="20"/>
              </w:rPr>
              <w:t>Tonnes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lang w:val="en-CA"/>
              </w:rPr>
            </w:pPr>
          </w:p>
        </w:tc>
        <w:tc>
          <w:tcPr>
            <w:tcW w:w="529"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sz w:val="20"/>
                <w:szCs w:val="20"/>
                <w:lang w:val="en-CA"/>
              </w:rPr>
            </w:pPr>
          </w:p>
        </w:tc>
        <w:tc>
          <w:tcPr>
            <w:tcW w:w="530"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sz w:val="20"/>
                <w:szCs w:val="20"/>
                <w:lang w:val="en-CA"/>
              </w:rPr>
            </w:pP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8FA" w:rsidRPr="003D3E41" w:rsidRDefault="00C748FA" w:rsidP="00E47F7B">
            <w:pPr>
              <w:widowControl w:val="0"/>
              <w:jc w:val="center"/>
              <w:rPr>
                <w:sz w:val="20"/>
                <w:szCs w:val="20"/>
                <w:lang w:val="en-CA"/>
              </w:rPr>
            </w:pPr>
          </w:p>
        </w:tc>
      </w:tr>
      <w:tr w:rsidR="00C748FA" w:rsidRPr="003D3E41" w:rsidTr="00E47F7B">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widowControl w:val="0"/>
              <w:jc w:val="center"/>
              <w:rPr>
                <w:sz w:val="20"/>
                <w:szCs w:val="20"/>
              </w:rPr>
            </w:pPr>
            <w:r>
              <w:rPr>
                <w:sz w:val="20"/>
                <w:szCs w:val="20"/>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1,63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1,43</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2,24</w:t>
            </w:r>
          </w:p>
        </w:tc>
        <w:tc>
          <w:tcPr>
            <w:tcW w:w="529"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sz w:val="20"/>
                <w:szCs w:val="20"/>
              </w:rPr>
            </w:pPr>
            <w:r>
              <w:rPr>
                <w:sz w:val="20"/>
                <w:szCs w:val="20"/>
              </w:rPr>
              <w:t>1,87</w:t>
            </w:r>
          </w:p>
        </w:tc>
        <w:tc>
          <w:tcPr>
            <w:tcW w:w="530"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sz w:val="20"/>
                <w:szCs w:val="20"/>
              </w:rPr>
            </w:pPr>
            <w:r>
              <w:rPr>
                <w:sz w:val="20"/>
                <w:szCs w:val="20"/>
              </w:rPr>
              <w:t>1,37</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jc w:val="center"/>
              <w:rPr>
                <w:sz w:val="20"/>
                <w:szCs w:val="20"/>
              </w:rPr>
            </w:pPr>
            <w:r>
              <w:rPr>
                <w:sz w:val="20"/>
                <w:szCs w:val="20"/>
              </w:rPr>
              <w:t>3,56</w:t>
            </w:r>
          </w:p>
        </w:tc>
      </w:tr>
      <w:tr w:rsidR="00C748FA" w:rsidRPr="003D3E41" w:rsidTr="00E47F7B">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widowControl w:val="0"/>
              <w:jc w:val="center"/>
              <w:rPr>
                <w:sz w:val="20"/>
                <w:szCs w:val="20"/>
              </w:rPr>
            </w:pPr>
            <w:r>
              <w:rPr>
                <w:sz w:val="20"/>
                <w:szCs w:val="20"/>
              </w:rPr>
              <w:t>HCFC-142b</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0,01</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0,05</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sz w:val="20"/>
                <w:szCs w:val="20"/>
              </w:rPr>
            </w:pPr>
            <w:r>
              <w:rPr>
                <w:sz w:val="20"/>
                <w:szCs w:val="20"/>
              </w:rPr>
              <w:t>0,01</w:t>
            </w:r>
          </w:p>
        </w:tc>
        <w:tc>
          <w:tcPr>
            <w:tcW w:w="529"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sz w:val="20"/>
                <w:szCs w:val="20"/>
              </w:rPr>
            </w:pPr>
            <w:r>
              <w:rPr>
                <w:sz w:val="20"/>
                <w:szCs w:val="20"/>
              </w:rPr>
              <w:t>0,04</w:t>
            </w:r>
          </w:p>
        </w:tc>
        <w:tc>
          <w:tcPr>
            <w:tcW w:w="530"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widowControl w:val="0"/>
              <w:jc w:val="center"/>
              <w:rPr>
                <w:sz w:val="20"/>
                <w:szCs w:val="20"/>
              </w:rPr>
            </w:pPr>
            <w:r>
              <w:rPr>
                <w:sz w:val="20"/>
                <w:szCs w:val="20"/>
              </w:rPr>
              <w:t>0,00</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jc w:val="center"/>
              <w:rPr>
                <w:sz w:val="20"/>
                <w:szCs w:val="20"/>
              </w:rPr>
            </w:pPr>
            <w:r>
              <w:rPr>
                <w:sz w:val="20"/>
                <w:szCs w:val="20"/>
              </w:rPr>
              <w:t>0,13</w:t>
            </w:r>
          </w:p>
        </w:tc>
      </w:tr>
      <w:tr w:rsidR="00C748FA" w:rsidRPr="003D3E41" w:rsidTr="00E47F7B">
        <w:tc>
          <w:tcPr>
            <w:tcW w:w="1682"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748FA" w:rsidRPr="003D3E41" w:rsidRDefault="00C748FA" w:rsidP="00E47F7B">
            <w:pPr>
              <w:jc w:val="center"/>
              <w:rPr>
                <w:rFonts w:eastAsiaTheme="minorHAnsi"/>
                <w:b/>
                <w:sz w:val="20"/>
                <w:szCs w:val="20"/>
              </w:rPr>
            </w:pPr>
            <w:r>
              <w:rPr>
                <w:b/>
                <w:sz w:val="20"/>
                <w:szCs w:val="20"/>
              </w:rPr>
              <w:t>Total (tonnes PAO)</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b/>
                <w:sz w:val="20"/>
                <w:szCs w:val="20"/>
              </w:rPr>
            </w:pPr>
            <w:r>
              <w:rPr>
                <w:b/>
                <w:sz w:val="20"/>
                <w:szCs w:val="20"/>
              </w:rPr>
              <w:t>1,64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b/>
                <w:sz w:val="20"/>
                <w:szCs w:val="20"/>
              </w:rPr>
            </w:pPr>
            <w:r>
              <w:rPr>
                <w:b/>
                <w:sz w:val="20"/>
                <w:szCs w:val="20"/>
              </w:rPr>
              <w:t>1,48</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widowControl w:val="0"/>
              <w:jc w:val="center"/>
              <w:rPr>
                <w:b/>
                <w:sz w:val="20"/>
                <w:szCs w:val="20"/>
              </w:rPr>
            </w:pPr>
            <w:r>
              <w:rPr>
                <w:b/>
                <w:sz w:val="20"/>
                <w:szCs w:val="20"/>
              </w:rPr>
              <w:t>2,25</w:t>
            </w:r>
          </w:p>
        </w:tc>
        <w:tc>
          <w:tcPr>
            <w:tcW w:w="529"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jc w:val="center"/>
              <w:rPr>
                <w:b/>
                <w:sz w:val="20"/>
                <w:szCs w:val="20"/>
              </w:rPr>
            </w:pPr>
            <w:r>
              <w:rPr>
                <w:b/>
                <w:sz w:val="20"/>
                <w:szCs w:val="20"/>
              </w:rPr>
              <w:t>1,91</w:t>
            </w:r>
          </w:p>
        </w:tc>
        <w:tc>
          <w:tcPr>
            <w:tcW w:w="530" w:type="pct"/>
            <w:tcBorders>
              <w:top w:val="single" w:sz="4" w:space="0" w:color="auto"/>
              <w:left w:val="single" w:sz="4" w:space="0" w:color="auto"/>
              <w:bottom w:val="single" w:sz="4" w:space="0" w:color="auto"/>
              <w:right w:val="single" w:sz="4" w:space="0" w:color="auto"/>
            </w:tcBorders>
            <w:vAlign w:val="center"/>
          </w:tcPr>
          <w:p w:rsidR="00C748FA" w:rsidRPr="003D3E41" w:rsidRDefault="00C748FA" w:rsidP="00E47F7B">
            <w:pPr>
              <w:jc w:val="center"/>
              <w:rPr>
                <w:b/>
                <w:sz w:val="20"/>
                <w:szCs w:val="20"/>
              </w:rPr>
            </w:pPr>
            <w:r>
              <w:rPr>
                <w:b/>
                <w:sz w:val="20"/>
                <w:szCs w:val="20"/>
              </w:rPr>
              <w:t>1,37</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48FA" w:rsidRPr="003D3E41" w:rsidRDefault="00C748FA" w:rsidP="00E47F7B">
            <w:pPr>
              <w:jc w:val="center"/>
              <w:rPr>
                <w:rFonts w:eastAsiaTheme="minorHAnsi"/>
                <w:b/>
                <w:sz w:val="20"/>
                <w:szCs w:val="20"/>
              </w:rPr>
            </w:pPr>
            <w:r>
              <w:rPr>
                <w:b/>
                <w:sz w:val="20"/>
                <w:szCs w:val="20"/>
              </w:rPr>
              <w:t>3,69</w:t>
            </w:r>
          </w:p>
        </w:tc>
      </w:tr>
    </w:tbl>
    <w:p w:rsidR="00C748FA" w:rsidRPr="003D3E41" w:rsidRDefault="00C748FA" w:rsidP="00C748FA">
      <w:pPr>
        <w:rPr>
          <w:lang w:val="en-CA"/>
        </w:rPr>
      </w:pPr>
    </w:p>
    <w:p w:rsidR="00C748FA" w:rsidRPr="00C748FA" w:rsidRDefault="00C748FA" w:rsidP="00C748FA">
      <w:pPr>
        <w:pStyle w:val="Heading1"/>
        <w:rPr>
          <w:lang w:val="fr-FR"/>
        </w:rPr>
      </w:pPr>
      <w:r w:rsidRPr="00C748FA">
        <w:rPr>
          <w:lang w:val="fr-FR"/>
        </w:rPr>
        <w:t xml:space="preserve">La consommation a baissé au cours des cinq dernières années, hormis en 2016 du fait d’une croissance du secteur de la construction. La diminution globale est principalement due à la transition du marché vers des </w:t>
      </w:r>
      <w:r w:rsidR="00FC3BA3">
        <w:rPr>
          <w:lang w:val="fr-FR"/>
        </w:rPr>
        <w:t xml:space="preserve">systèmes de </w:t>
      </w:r>
      <w:r w:rsidRPr="00C748FA">
        <w:rPr>
          <w:lang w:val="fr-FR"/>
        </w:rPr>
        <w:t xml:space="preserve">réfrigération et </w:t>
      </w:r>
      <w:r w:rsidR="00FC3BA3">
        <w:rPr>
          <w:lang w:val="fr-FR"/>
        </w:rPr>
        <w:t xml:space="preserve">de </w:t>
      </w:r>
      <w:r w:rsidRPr="00C748FA">
        <w:rPr>
          <w:lang w:val="fr-FR"/>
        </w:rPr>
        <w:t>climatisation</w:t>
      </w:r>
      <w:r w:rsidR="00FC3BA3">
        <w:rPr>
          <w:lang w:val="fr-FR"/>
        </w:rPr>
        <w:t xml:space="preserve"> (</w:t>
      </w:r>
      <w:r w:rsidR="00FC3BA3" w:rsidRPr="00C748FA">
        <w:rPr>
          <w:lang w:val="fr-FR"/>
        </w:rPr>
        <w:t>climatiseurs fixes</w:t>
      </w:r>
      <w:r w:rsidRPr="00C748FA">
        <w:rPr>
          <w:lang w:val="fr-FR"/>
        </w:rPr>
        <w:t xml:space="preserve">) sans HCFC ; à la mise en œuvre du PGEH, </w:t>
      </w:r>
      <w:r w:rsidR="00FC3BA3">
        <w:rPr>
          <w:lang w:val="fr-FR"/>
        </w:rPr>
        <w:t>notamment</w:t>
      </w:r>
      <w:r w:rsidRPr="00C748FA">
        <w:rPr>
          <w:lang w:val="fr-FR"/>
        </w:rPr>
        <w:t xml:space="preserve"> des mesures réglementaires visant à réglementer et contrôler les HCFC ; et à la formation ainsi qu’aux autres activités de renforcement de la capacité en termes de bonnes pratiques d’entretien, qui ont permis de réduire les fuites de frigorigènes et de faciliter le processus d’adoption de solutions de remplacement. Les principaux produits du marché pouvant se substituer aux HCFC sont les HFC (par ex., HFC-134a) et les mélanges de HFC (par ex., R-410A, R-407C) ; cependant il n’existe a priori aucun climatiseur à base de R-290. </w:t>
      </w:r>
    </w:p>
    <w:p w:rsidR="00C748FA" w:rsidRPr="00C748FA" w:rsidRDefault="00C748FA" w:rsidP="00C748FA">
      <w:pPr>
        <w:rPr>
          <w:i/>
          <w:lang w:val="fr-FR"/>
        </w:rPr>
      </w:pPr>
      <w:r w:rsidRPr="00C748FA">
        <w:rPr>
          <w:i/>
          <w:lang w:val="fr-FR"/>
        </w:rPr>
        <w:t>Rapport sur la mise en œuvre du programme de pays</w:t>
      </w:r>
    </w:p>
    <w:p w:rsidR="00C748FA" w:rsidRDefault="00C748FA" w:rsidP="00C748FA">
      <w:pPr>
        <w:rPr>
          <w:lang w:val="fr-FR"/>
        </w:rPr>
      </w:pPr>
    </w:p>
    <w:p w:rsidR="00C748FA" w:rsidRPr="00C748FA" w:rsidRDefault="00C748FA" w:rsidP="00C748FA">
      <w:pPr>
        <w:pStyle w:val="Heading1"/>
        <w:rPr>
          <w:lang w:val="fr-FR"/>
        </w:rPr>
      </w:pPr>
      <w:r w:rsidRPr="00C748FA">
        <w:rPr>
          <w:lang w:val="fr-FR"/>
        </w:rPr>
        <w:t>Le gouvernement de la Barbade a déclaré les données relatives à la consommation sectorielle dans son rapport sur la mise en œuvre du programme de pays pour 2018, lesquelles correspondent aux données communiquées en vertu de l’arti</w:t>
      </w:r>
      <w:r w:rsidR="00FC3BA3">
        <w:rPr>
          <w:lang w:val="fr-FR"/>
        </w:rPr>
        <w:t>cle 7 du Protocole de Montréal.</w:t>
      </w:r>
    </w:p>
    <w:p w:rsidR="00C748FA" w:rsidRPr="00C748FA" w:rsidRDefault="00C748FA" w:rsidP="00C748FA">
      <w:pPr>
        <w:rPr>
          <w:u w:val="single"/>
          <w:lang w:val="fr-FR"/>
        </w:rPr>
      </w:pPr>
      <w:r w:rsidRPr="00C748FA">
        <w:rPr>
          <w:u w:val="single"/>
          <w:lang w:val="fr-FR"/>
        </w:rPr>
        <w:t>Rapport périodique sur la mise en œuvre de la deuxième tranche du PGEH</w:t>
      </w:r>
    </w:p>
    <w:p w:rsidR="00C748FA" w:rsidRPr="003646CD" w:rsidRDefault="00C748FA" w:rsidP="00C748FA">
      <w:pPr>
        <w:rPr>
          <w:lang w:val="fr-FR"/>
        </w:rPr>
      </w:pPr>
    </w:p>
    <w:p w:rsidR="00C748FA" w:rsidRPr="003D3E41" w:rsidRDefault="00C748FA" w:rsidP="00C748FA">
      <w:pPr>
        <w:rPr>
          <w:i/>
        </w:rPr>
      </w:pPr>
      <w:r>
        <w:rPr>
          <w:i/>
        </w:rPr>
        <w:t>Cadre juridique</w:t>
      </w:r>
    </w:p>
    <w:p w:rsidR="00C748FA" w:rsidRPr="003D3E41" w:rsidRDefault="00C748FA" w:rsidP="00C748FA">
      <w:pPr>
        <w:rPr>
          <w:lang w:val="en-CA"/>
        </w:rPr>
      </w:pPr>
    </w:p>
    <w:p w:rsidR="00C748FA" w:rsidRPr="00C748FA" w:rsidRDefault="00C748FA" w:rsidP="00C748FA">
      <w:pPr>
        <w:pStyle w:val="Heading1"/>
        <w:rPr>
          <w:lang w:val="fr-FR"/>
        </w:rPr>
      </w:pPr>
      <w:r w:rsidRPr="00C748FA">
        <w:rPr>
          <w:lang w:val="fr-FR"/>
        </w:rPr>
        <w:t xml:space="preserve">Le gouvernement de la Barbade a émis une ordonnance de douane en 2009 et une ordonnance de douane (amendement) en 2010 établissant le système d’octroi de licences et de quotas pour l’importation et l’exportation de toutes les SAO, y compris les HCFC. L’élaboration de normes d’étiquetage et de sécurité pour le secteur de la réfrigération et de la climatisation est en cours et devrait être achevée d’ici au 31 décembre 2020 ; leur application devrait être effective après les consultations nationales prévues. Des politiques sont actuellement à l’étude concernant l’interdiction des importations </w:t>
      </w:r>
      <w:r w:rsidR="00FC3BA3">
        <w:rPr>
          <w:lang w:val="fr-FR"/>
        </w:rPr>
        <w:t xml:space="preserve">d’équipements de </w:t>
      </w:r>
      <w:r w:rsidR="00FC3BA3">
        <w:rPr>
          <w:lang w:val="fr-FR"/>
        </w:rPr>
        <w:lastRenderedPageBreak/>
        <w:t>réfrigération et de climatisation</w:t>
      </w:r>
      <w:r w:rsidRPr="00C748FA">
        <w:rPr>
          <w:lang w:val="fr-FR"/>
        </w:rPr>
        <w:t xml:space="preserve"> à base de HCFC, la mise en œuvre d’une certification des techniciens visant à réglementer l’achat des frigorigènes pour que seuls des techniciens certifiés puissent s’en procurer, et la promotion des équipements sans HCFC grâce à des incitations fiscales et une conception adéquate des systèmes de réfrigération et de cl</w:t>
      </w:r>
      <w:r w:rsidR="00FC3BA3">
        <w:rPr>
          <w:lang w:val="fr-FR"/>
        </w:rPr>
        <w:t>imatisation dans les bâtiments.</w:t>
      </w:r>
    </w:p>
    <w:p w:rsidR="00C748FA" w:rsidRPr="00C748FA" w:rsidRDefault="00C748FA" w:rsidP="00C748FA">
      <w:pPr>
        <w:keepNext/>
        <w:rPr>
          <w:i/>
          <w:lang w:val="fr-FR"/>
        </w:rPr>
      </w:pPr>
      <w:r w:rsidRPr="00C748FA">
        <w:rPr>
          <w:i/>
          <w:lang w:val="fr-FR"/>
        </w:rPr>
        <w:t>Secteur de l’entretien des équipements de réfrigération</w:t>
      </w:r>
    </w:p>
    <w:p w:rsidR="00C748FA" w:rsidRPr="003646CD" w:rsidRDefault="00C748FA" w:rsidP="00C748FA">
      <w:pPr>
        <w:keepNext/>
        <w:rPr>
          <w:i/>
          <w:lang w:val="fr-FR"/>
        </w:rPr>
      </w:pPr>
    </w:p>
    <w:p w:rsidR="00C748FA" w:rsidRPr="00C748FA" w:rsidRDefault="00C748FA" w:rsidP="00C748FA">
      <w:pPr>
        <w:pStyle w:val="Heading1"/>
        <w:rPr>
          <w:lang w:val="fr-FR"/>
        </w:rPr>
      </w:pPr>
      <w:r w:rsidRPr="00C748FA">
        <w:rPr>
          <w:lang w:val="fr-FR"/>
        </w:rPr>
        <w:t>Voici la liste des activités qui ont été menées :</w:t>
      </w:r>
    </w:p>
    <w:p w:rsidR="00C748FA" w:rsidRPr="00C748FA" w:rsidRDefault="00C748FA" w:rsidP="00C748FA">
      <w:pPr>
        <w:pStyle w:val="Heading2"/>
        <w:numPr>
          <w:ilvl w:val="1"/>
          <w:numId w:val="1"/>
        </w:numPr>
        <w:rPr>
          <w:lang w:val="fr-FR"/>
        </w:rPr>
      </w:pPr>
      <w:r w:rsidRPr="00C748FA">
        <w:rPr>
          <w:lang w:val="fr-FR"/>
        </w:rPr>
        <w:t xml:space="preserve">attribution et notification de quotas d’importation annuels pour la consommation de HCFC en 2018 et 2019 ; diffusion d’informations sur la réglementation des HCFC et leurs solutions de remplacement auprès des importateurs ; identification des normes précisant les exigences environnementales et de sécurité applicables aux frigorigènes et aux </w:t>
      </w:r>
      <w:r w:rsidR="00FC3BA3">
        <w:rPr>
          <w:lang w:val="fr-FR"/>
        </w:rPr>
        <w:t>d’équipements de réfrigération et de climatisation</w:t>
      </w:r>
      <w:r w:rsidRPr="00C748FA">
        <w:rPr>
          <w:lang w:val="fr-FR"/>
        </w:rPr>
        <w:t> ; et examen de réglementations et d’incitations visant à promouvoir l’adoption de solutions de remplacement sans HCFC ;</w:t>
      </w:r>
    </w:p>
    <w:p w:rsidR="00C748FA" w:rsidRPr="00C748FA" w:rsidRDefault="00C748FA" w:rsidP="00C748FA">
      <w:pPr>
        <w:pStyle w:val="Heading2"/>
        <w:numPr>
          <w:ilvl w:val="1"/>
          <w:numId w:val="1"/>
        </w:numPr>
        <w:rPr>
          <w:lang w:val="fr-FR"/>
        </w:rPr>
      </w:pPr>
      <w:r w:rsidRPr="00C748FA">
        <w:rPr>
          <w:lang w:val="fr-FR"/>
        </w:rPr>
        <w:t xml:space="preserve">six sessions de formation dispensées à 63 techniciens </w:t>
      </w:r>
      <w:r w:rsidR="00FC3BA3">
        <w:rPr>
          <w:lang w:val="fr-FR"/>
        </w:rPr>
        <w:t>en</w:t>
      </w:r>
      <w:r w:rsidRPr="00C748FA">
        <w:rPr>
          <w:lang w:val="fr-FR"/>
        </w:rPr>
        <w:t xml:space="preserve"> réfrigération et climatisation sur la mise en œuvre du Protocole de Montréal ; les caractéristiques techniques des HCFC et des frigorigènes sous haute pression toxiques et inflammables, ainsi que les bonnes pratiques en matière d’entretien des équipements utilisant ces frigorigènes ; publication et diffusion d’un guide des bonnes pratiques d’entretien et finalisation du programme d’études des institutions de formation tertiaire ; et formation de six techniciens pour devenir évaluateurs de qualification professionnelle au niveau des Caraïbes (Caribbean Vocational Qualification, CVQ) de Niveau IV ;</w:t>
      </w:r>
    </w:p>
    <w:p w:rsidR="00C748FA" w:rsidRPr="00C748FA" w:rsidRDefault="00C748FA" w:rsidP="00C748FA">
      <w:pPr>
        <w:pStyle w:val="Heading2"/>
        <w:numPr>
          <w:ilvl w:val="1"/>
          <w:numId w:val="1"/>
        </w:numPr>
        <w:rPr>
          <w:lang w:val="fr-FR"/>
        </w:rPr>
      </w:pPr>
      <w:r w:rsidRPr="00C748FA">
        <w:rPr>
          <w:lang w:val="fr-FR"/>
        </w:rPr>
        <w:t>achat et distribution d’équipement</w:t>
      </w:r>
      <w:r w:rsidR="0017157D">
        <w:rPr>
          <w:lang w:val="fr-FR"/>
        </w:rPr>
        <w:t>s</w:t>
      </w:r>
      <w:r w:rsidRPr="00C748FA">
        <w:rPr>
          <w:lang w:val="fr-FR"/>
        </w:rPr>
        <w:t xml:space="preserve"> servant à former les techniciens à la récupération, au recyclage et à la réutilisation des frigorigènes, ainsi qu’à l’entretien avec des frigorigènes de remplacement (par ex., analyseurs de frigorigènes, machines de récupération, détecteurs de fuites de frigorigènes, bonbonnes de récupération, systèmes de chargeme</w:t>
      </w:r>
      <w:r w:rsidR="0017157D">
        <w:rPr>
          <w:lang w:val="fr-FR"/>
        </w:rPr>
        <w:t>nt, jauges, outils à main) ; et</w:t>
      </w:r>
    </w:p>
    <w:p w:rsidR="00C748FA" w:rsidRPr="00C748FA" w:rsidRDefault="00C748FA" w:rsidP="00C748FA">
      <w:pPr>
        <w:pStyle w:val="Heading2"/>
        <w:numPr>
          <w:ilvl w:val="1"/>
          <w:numId w:val="1"/>
        </w:numPr>
        <w:rPr>
          <w:lang w:val="fr-FR"/>
        </w:rPr>
      </w:pPr>
      <w:r w:rsidRPr="00C748FA">
        <w:rPr>
          <w:lang w:val="fr-FR"/>
        </w:rPr>
        <w:t>programmes de sensibilisation et de vulgarisation à travers les journaux locaux</w:t>
      </w:r>
      <w:r w:rsidR="0017157D">
        <w:rPr>
          <w:lang w:val="fr-FR"/>
        </w:rPr>
        <w:t xml:space="preserve"> et</w:t>
      </w:r>
      <w:r w:rsidRPr="00C748FA">
        <w:rPr>
          <w:lang w:val="fr-FR"/>
        </w:rPr>
        <w:t xml:space="preserve"> des annonces à la radio sur l’élimination des HCFC et les activités du PGEH, et quatre séminaires techniques sur les technologies de remplacement sans HCFC et leur adoption</w:t>
      </w:r>
      <w:r w:rsidR="0017157D">
        <w:rPr>
          <w:lang w:val="fr-FR"/>
        </w:rPr>
        <w:t xml:space="preserve"> </w:t>
      </w:r>
      <w:r w:rsidR="0017157D" w:rsidRPr="00C748FA">
        <w:rPr>
          <w:lang w:val="fr-FR"/>
        </w:rPr>
        <w:t>impliquant près de 100 participants</w:t>
      </w:r>
      <w:r w:rsidRPr="00C748FA">
        <w:rPr>
          <w:lang w:val="fr-FR"/>
        </w:rPr>
        <w:t>.</w:t>
      </w:r>
    </w:p>
    <w:p w:rsidR="00C748FA" w:rsidRPr="00C748FA" w:rsidRDefault="00C748FA" w:rsidP="00C748FA">
      <w:pPr>
        <w:rPr>
          <w:i/>
          <w:lang w:val="fr-FR"/>
        </w:rPr>
      </w:pPr>
      <w:r w:rsidRPr="00C748FA">
        <w:rPr>
          <w:i/>
          <w:lang w:val="fr-FR"/>
        </w:rPr>
        <w:t>Mise en œu</w:t>
      </w:r>
      <w:r w:rsidR="0017157D">
        <w:rPr>
          <w:i/>
          <w:lang w:val="fr-FR"/>
        </w:rPr>
        <w:t>vre et surveillance des projets</w:t>
      </w:r>
    </w:p>
    <w:p w:rsidR="00C748FA" w:rsidRPr="003646CD" w:rsidRDefault="00C748FA" w:rsidP="00C748FA">
      <w:pPr>
        <w:rPr>
          <w:lang w:val="fr-FR"/>
        </w:rPr>
      </w:pPr>
    </w:p>
    <w:p w:rsidR="00C748FA" w:rsidRDefault="00C748FA" w:rsidP="00C748FA">
      <w:pPr>
        <w:pStyle w:val="Heading1"/>
        <w:rPr>
          <w:lang w:val="fr-FR"/>
        </w:rPr>
      </w:pPr>
      <w:r w:rsidRPr="00C748FA">
        <w:rPr>
          <w:lang w:val="fr-FR"/>
        </w:rPr>
        <w:t xml:space="preserve">Le Bureau national Ozone (BNO), </w:t>
      </w:r>
      <w:r w:rsidR="0017157D">
        <w:rPr>
          <w:lang w:val="fr-FR"/>
        </w:rPr>
        <w:t>intégré au</w:t>
      </w:r>
      <w:r w:rsidRPr="00C748FA">
        <w:rPr>
          <w:lang w:val="fr-FR"/>
        </w:rPr>
        <w:t xml:space="preserve"> ministère de l’Environnement et de l’Embellissement national (ME</w:t>
      </w:r>
      <w:r w:rsidR="0017157D">
        <w:rPr>
          <w:lang w:val="fr-FR"/>
        </w:rPr>
        <w:t>EN</w:t>
      </w:r>
      <w:r w:rsidRPr="00C748FA">
        <w:rPr>
          <w:lang w:val="fr-FR"/>
        </w:rPr>
        <w:t xml:space="preserve">), supervise la gestion des projets et coordonne la mise en œuvre des activités menées au titre du PGEH. Le BNO est assisté d’un coordinateur de projets et des membres du comité directeur national Ozone qui sont cooptés selon les besoins et aident à superviser les projets. Leurs attributions incluent notamment le recrutement de consultants et le suivi de leur travail ; la préparation de rapports mensuels, trimestriels et/ou annuels, le cas échéant ; l’élaboration de rapports périodiques de tranche, et l’organisation de réunions d’équipe pour suivre l’avancement de la mise en œuvre et discuter des difficultés </w:t>
      </w:r>
      <w:r w:rsidR="00BD660B">
        <w:rPr>
          <w:lang w:val="fr-FR"/>
        </w:rPr>
        <w:t xml:space="preserve">et des solutions à y apporter. </w:t>
      </w:r>
      <w:r w:rsidRPr="00C748FA">
        <w:rPr>
          <w:lang w:val="fr-FR"/>
        </w:rPr>
        <w:t>Comme il n’existe pas d’unité de mise en œuvre et de surveillance des projets en tant que telle, il n’existe pas non plus de budget détaillé et de ventilation</w:t>
      </w:r>
      <w:r w:rsidR="00E47F7B">
        <w:rPr>
          <w:lang w:val="fr-FR"/>
        </w:rPr>
        <w:t xml:space="preserve"> des dépenses associés.</w:t>
      </w:r>
    </w:p>
    <w:p w:rsidR="00556295" w:rsidRDefault="00556295" w:rsidP="00556295">
      <w:pPr>
        <w:rPr>
          <w:lang w:val="fr-FR"/>
        </w:rPr>
      </w:pPr>
    </w:p>
    <w:p w:rsidR="00556295" w:rsidRDefault="00556295" w:rsidP="00556295">
      <w:pPr>
        <w:rPr>
          <w:lang w:val="fr-FR"/>
        </w:rPr>
      </w:pPr>
    </w:p>
    <w:p w:rsidR="00556295" w:rsidRDefault="00556295" w:rsidP="00556295">
      <w:pPr>
        <w:rPr>
          <w:lang w:val="fr-FR"/>
        </w:rPr>
      </w:pPr>
    </w:p>
    <w:p w:rsidR="00556295" w:rsidRPr="00556295" w:rsidRDefault="00556295" w:rsidP="00556295">
      <w:pPr>
        <w:rPr>
          <w:lang w:val="fr-FR"/>
        </w:rPr>
      </w:pPr>
    </w:p>
    <w:p w:rsidR="00C748FA" w:rsidRPr="003D3E41" w:rsidRDefault="00C748FA" w:rsidP="00C748FA">
      <w:pPr>
        <w:rPr>
          <w:u w:val="single"/>
        </w:rPr>
      </w:pPr>
      <w:r>
        <w:rPr>
          <w:u w:val="single"/>
        </w:rPr>
        <w:lastRenderedPageBreak/>
        <w:t>Niveau de décaissement</w:t>
      </w:r>
    </w:p>
    <w:p w:rsidR="00C748FA" w:rsidRPr="003D3E41" w:rsidRDefault="00C748FA" w:rsidP="00C748FA">
      <w:pPr>
        <w:rPr>
          <w:lang w:val="en-CA"/>
        </w:rPr>
      </w:pPr>
    </w:p>
    <w:p w:rsidR="00C748FA" w:rsidRPr="00C748FA" w:rsidRDefault="00C748FA" w:rsidP="00C748FA">
      <w:pPr>
        <w:pStyle w:val="Heading1"/>
        <w:rPr>
          <w:lang w:val="fr-FR"/>
        </w:rPr>
      </w:pPr>
      <w:r w:rsidRPr="00C748FA">
        <w:rPr>
          <w:lang w:val="fr-FR"/>
        </w:rPr>
        <w:t xml:space="preserve">En date d’octobre 2019, sur un montant de 210 000 $ US approuvé jusqu’ici, 171 782 $ US ont été décaissés (83 782 $ US pour le PNUE et 88 000 $ US pour le PNUD). Les détails figurent </w:t>
      </w:r>
      <w:r w:rsidR="00E47F7B">
        <w:rPr>
          <w:lang w:val="fr-FR"/>
        </w:rPr>
        <w:t>dans le</w:t>
      </w:r>
      <w:r w:rsidRPr="00C748FA">
        <w:rPr>
          <w:lang w:val="fr-FR"/>
        </w:rPr>
        <w:t xml:space="preserve"> tableau 2. Le solde, qui s’élève à 38 218 $ US, sera décaissé en 2020.</w:t>
      </w:r>
    </w:p>
    <w:p w:rsidR="00C748FA" w:rsidRPr="00C748FA" w:rsidRDefault="00C748FA" w:rsidP="00C748FA">
      <w:pPr>
        <w:rPr>
          <w:b/>
          <w:lang w:val="fr-FR"/>
        </w:rPr>
      </w:pPr>
      <w:r w:rsidRPr="00C748FA">
        <w:rPr>
          <w:b/>
          <w:lang w:val="fr-FR"/>
        </w:rPr>
        <w:t>Tableau 2. Rapport financier sur la phase I du PGEH de la Barbade ($ US)</w:t>
      </w:r>
    </w:p>
    <w:tbl>
      <w:tblPr>
        <w:tblStyle w:val="TableGrid"/>
        <w:tblW w:w="0" w:type="auto"/>
        <w:tblLook w:val="04A0" w:firstRow="1" w:lastRow="0" w:firstColumn="1" w:lastColumn="0" w:noHBand="0" w:noVBand="1"/>
      </w:tblPr>
      <w:tblGrid>
        <w:gridCol w:w="2153"/>
        <w:gridCol w:w="1078"/>
        <w:gridCol w:w="1237"/>
        <w:gridCol w:w="1119"/>
        <w:gridCol w:w="1256"/>
        <w:gridCol w:w="1251"/>
        <w:gridCol w:w="1256"/>
      </w:tblGrid>
      <w:tr w:rsidR="00C748FA" w:rsidRPr="003D3E41" w:rsidTr="00E47F7B">
        <w:tc>
          <w:tcPr>
            <w:tcW w:w="2153" w:type="dxa"/>
            <w:vMerge w:val="restart"/>
            <w:vAlign w:val="center"/>
          </w:tcPr>
          <w:p w:rsidR="00C748FA" w:rsidRPr="003D3E41" w:rsidRDefault="00C748FA" w:rsidP="00E47F7B">
            <w:pPr>
              <w:keepNext/>
              <w:jc w:val="center"/>
              <w:rPr>
                <w:b/>
                <w:sz w:val="20"/>
                <w:szCs w:val="20"/>
              </w:rPr>
            </w:pPr>
            <w:r>
              <w:rPr>
                <w:b/>
                <w:sz w:val="20"/>
                <w:szCs w:val="20"/>
              </w:rPr>
              <w:t>Agence</w:t>
            </w:r>
          </w:p>
        </w:tc>
        <w:tc>
          <w:tcPr>
            <w:tcW w:w="2315" w:type="dxa"/>
            <w:gridSpan w:val="2"/>
            <w:vAlign w:val="center"/>
          </w:tcPr>
          <w:p w:rsidR="00C748FA" w:rsidRPr="003D3E41" w:rsidRDefault="00C748FA" w:rsidP="00E47F7B">
            <w:pPr>
              <w:keepNext/>
              <w:jc w:val="center"/>
              <w:rPr>
                <w:b/>
                <w:sz w:val="20"/>
                <w:szCs w:val="20"/>
              </w:rPr>
            </w:pPr>
            <w:r>
              <w:rPr>
                <w:b/>
                <w:sz w:val="20"/>
                <w:szCs w:val="20"/>
              </w:rPr>
              <w:t>Première tranche</w:t>
            </w:r>
          </w:p>
        </w:tc>
        <w:tc>
          <w:tcPr>
            <w:tcW w:w="2375" w:type="dxa"/>
            <w:gridSpan w:val="2"/>
            <w:vAlign w:val="center"/>
          </w:tcPr>
          <w:p w:rsidR="00C748FA" w:rsidRPr="003D3E41" w:rsidRDefault="00C748FA" w:rsidP="00E47F7B">
            <w:pPr>
              <w:keepNext/>
              <w:jc w:val="center"/>
              <w:rPr>
                <w:b/>
                <w:sz w:val="20"/>
                <w:szCs w:val="20"/>
              </w:rPr>
            </w:pPr>
            <w:r>
              <w:rPr>
                <w:b/>
                <w:sz w:val="20"/>
                <w:szCs w:val="20"/>
              </w:rPr>
              <w:t>Deuxième tranche</w:t>
            </w:r>
          </w:p>
        </w:tc>
        <w:tc>
          <w:tcPr>
            <w:tcW w:w="2507" w:type="dxa"/>
            <w:gridSpan w:val="2"/>
            <w:vAlign w:val="center"/>
          </w:tcPr>
          <w:p w:rsidR="00C748FA" w:rsidRPr="003D3E41" w:rsidRDefault="00C748FA" w:rsidP="00E47F7B">
            <w:pPr>
              <w:keepNext/>
              <w:jc w:val="center"/>
              <w:rPr>
                <w:b/>
                <w:sz w:val="20"/>
                <w:szCs w:val="20"/>
              </w:rPr>
            </w:pPr>
            <w:r>
              <w:rPr>
                <w:b/>
                <w:sz w:val="20"/>
                <w:szCs w:val="20"/>
              </w:rPr>
              <w:t>Total approuvé</w:t>
            </w:r>
          </w:p>
        </w:tc>
      </w:tr>
      <w:tr w:rsidR="00C748FA" w:rsidRPr="003D3E41" w:rsidTr="00E47F7B">
        <w:tc>
          <w:tcPr>
            <w:tcW w:w="2153" w:type="dxa"/>
            <w:vMerge/>
            <w:vAlign w:val="center"/>
          </w:tcPr>
          <w:p w:rsidR="00C748FA" w:rsidRPr="003D3E41" w:rsidRDefault="00C748FA" w:rsidP="00E47F7B">
            <w:pPr>
              <w:keepNext/>
              <w:jc w:val="center"/>
              <w:rPr>
                <w:b/>
                <w:sz w:val="20"/>
                <w:szCs w:val="20"/>
                <w:lang w:val="en-CA"/>
              </w:rPr>
            </w:pPr>
          </w:p>
        </w:tc>
        <w:tc>
          <w:tcPr>
            <w:tcW w:w="1078" w:type="dxa"/>
            <w:vAlign w:val="center"/>
          </w:tcPr>
          <w:p w:rsidR="00C748FA" w:rsidRPr="003D3E41" w:rsidRDefault="00C748FA" w:rsidP="00E47F7B">
            <w:pPr>
              <w:keepNext/>
              <w:jc w:val="center"/>
              <w:rPr>
                <w:b/>
                <w:sz w:val="20"/>
                <w:szCs w:val="20"/>
              </w:rPr>
            </w:pPr>
            <w:r>
              <w:rPr>
                <w:b/>
                <w:sz w:val="20"/>
                <w:szCs w:val="20"/>
              </w:rPr>
              <w:t>Approuvé</w:t>
            </w:r>
          </w:p>
        </w:tc>
        <w:tc>
          <w:tcPr>
            <w:tcW w:w="1237" w:type="dxa"/>
            <w:vAlign w:val="center"/>
          </w:tcPr>
          <w:p w:rsidR="00C748FA" w:rsidRPr="003D3E41" w:rsidRDefault="00C748FA" w:rsidP="00E47F7B">
            <w:pPr>
              <w:keepNext/>
              <w:jc w:val="center"/>
              <w:rPr>
                <w:b/>
                <w:sz w:val="20"/>
                <w:szCs w:val="20"/>
              </w:rPr>
            </w:pPr>
            <w:r>
              <w:rPr>
                <w:b/>
                <w:sz w:val="20"/>
                <w:szCs w:val="20"/>
              </w:rPr>
              <w:t>Décaissé</w:t>
            </w:r>
          </w:p>
        </w:tc>
        <w:tc>
          <w:tcPr>
            <w:tcW w:w="1119" w:type="dxa"/>
            <w:vAlign w:val="center"/>
          </w:tcPr>
          <w:p w:rsidR="00C748FA" w:rsidRPr="003D3E41" w:rsidRDefault="00C748FA" w:rsidP="00E47F7B">
            <w:pPr>
              <w:keepNext/>
              <w:jc w:val="center"/>
              <w:rPr>
                <w:b/>
                <w:sz w:val="20"/>
                <w:szCs w:val="20"/>
              </w:rPr>
            </w:pPr>
            <w:r>
              <w:rPr>
                <w:b/>
                <w:sz w:val="20"/>
                <w:szCs w:val="20"/>
              </w:rPr>
              <w:t>Approuvé</w:t>
            </w:r>
          </w:p>
        </w:tc>
        <w:tc>
          <w:tcPr>
            <w:tcW w:w="1256" w:type="dxa"/>
            <w:vAlign w:val="center"/>
          </w:tcPr>
          <w:p w:rsidR="00C748FA" w:rsidRPr="003D3E41" w:rsidRDefault="00C748FA" w:rsidP="00E47F7B">
            <w:pPr>
              <w:keepNext/>
              <w:jc w:val="center"/>
              <w:rPr>
                <w:b/>
                <w:sz w:val="20"/>
                <w:szCs w:val="20"/>
              </w:rPr>
            </w:pPr>
            <w:r>
              <w:rPr>
                <w:b/>
                <w:sz w:val="20"/>
                <w:szCs w:val="20"/>
              </w:rPr>
              <w:t>Décaissé</w:t>
            </w:r>
          </w:p>
        </w:tc>
        <w:tc>
          <w:tcPr>
            <w:tcW w:w="1251" w:type="dxa"/>
            <w:vAlign w:val="center"/>
          </w:tcPr>
          <w:p w:rsidR="00C748FA" w:rsidRPr="003D3E41" w:rsidRDefault="00C748FA" w:rsidP="00E47F7B">
            <w:pPr>
              <w:keepNext/>
              <w:jc w:val="center"/>
              <w:rPr>
                <w:b/>
                <w:sz w:val="20"/>
                <w:szCs w:val="20"/>
              </w:rPr>
            </w:pPr>
            <w:r>
              <w:rPr>
                <w:b/>
                <w:sz w:val="20"/>
                <w:szCs w:val="20"/>
              </w:rPr>
              <w:t>Approuvé</w:t>
            </w:r>
          </w:p>
        </w:tc>
        <w:tc>
          <w:tcPr>
            <w:tcW w:w="1256" w:type="dxa"/>
            <w:vAlign w:val="center"/>
          </w:tcPr>
          <w:p w:rsidR="00C748FA" w:rsidRPr="003D3E41" w:rsidRDefault="00C748FA" w:rsidP="00E47F7B">
            <w:pPr>
              <w:keepNext/>
              <w:jc w:val="center"/>
              <w:rPr>
                <w:b/>
                <w:sz w:val="20"/>
                <w:szCs w:val="20"/>
              </w:rPr>
            </w:pPr>
            <w:r>
              <w:rPr>
                <w:b/>
                <w:sz w:val="20"/>
                <w:szCs w:val="20"/>
              </w:rPr>
              <w:t>Décaissé</w:t>
            </w:r>
          </w:p>
        </w:tc>
      </w:tr>
      <w:tr w:rsidR="00C748FA" w:rsidRPr="003D3E41" w:rsidTr="00E47F7B">
        <w:tc>
          <w:tcPr>
            <w:tcW w:w="2153" w:type="dxa"/>
            <w:vAlign w:val="center"/>
          </w:tcPr>
          <w:p w:rsidR="00C748FA" w:rsidRPr="003D3E41" w:rsidRDefault="00C748FA" w:rsidP="00E47F7B">
            <w:pPr>
              <w:keepNext/>
              <w:jc w:val="center"/>
              <w:rPr>
                <w:sz w:val="20"/>
                <w:szCs w:val="20"/>
              </w:rPr>
            </w:pPr>
            <w:r>
              <w:rPr>
                <w:sz w:val="20"/>
                <w:szCs w:val="20"/>
              </w:rPr>
              <w:t>PNUE</w:t>
            </w:r>
          </w:p>
        </w:tc>
        <w:tc>
          <w:tcPr>
            <w:tcW w:w="1078" w:type="dxa"/>
            <w:vAlign w:val="center"/>
          </w:tcPr>
          <w:p w:rsidR="00C748FA" w:rsidRPr="003D3E41" w:rsidRDefault="00C748FA" w:rsidP="00E47F7B">
            <w:pPr>
              <w:keepNext/>
              <w:jc w:val="center"/>
              <w:rPr>
                <w:sz w:val="20"/>
                <w:szCs w:val="20"/>
              </w:rPr>
            </w:pPr>
            <w:r>
              <w:rPr>
                <w:sz w:val="20"/>
                <w:szCs w:val="20"/>
              </w:rPr>
              <w:t>74 000</w:t>
            </w:r>
          </w:p>
        </w:tc>
        <w:tc>
          <w:tcPr>
            <w:tcW w:w="1237" w:type="dxa"/>
            <w:vAlign w:val="center"/>
          </w:tcPr>
          <w:p w:rsidR="00C748FA" w:rsidRPr="003D3E41" w:rsidRDefault="00C748FA" w:rsidP="00E47F7B">
            <w:pPr>
              <w:keepNext/>
              <w:jc w:val="center"/>
              <w:rPr>
                <w:sz w:val="20"/>
                <w:szCs w:val="20"/>
              </w:rPr>
            </w:pPr>
            <w:r>
              <w:rPr>
                <w:sz w:val="20"/>
                <w:szCs w:val="20"/>
              </w:rPr>
              <w:t>60 000</w:t>
            </w:r>
          </w:p>
        </w:tc>
        <w:tc>
          <w:tcPr>
            <w:tcW w:w="1119" w:type="dxa"/>
            <w:vAlign w:val="center"/>
          </w:tcPr>
          <w:p w:rsidR="00C748FA" w:rsidRPr="003D3E41" w:rsidRDefault="00C748FA" w:rsidP="00E47F7B">
            <w:pPr>
              <w:keepNext/>
              <w:jc w:val="center"/>
              <w:rPr>
                <w:sz w:val="20"/>
                <w:szCs w:val="20"/>
              </w:rPr>
            </w:pPr>
            <w:r>
              <w:rPr>
                <w:sz w:val="20"/>
                <w:szCs w:val="20"/>
              </w:rPr>
              <w:t>48 000</w:t>
            </w:r>
          </w:p>
        </w:tc>
        <w:tc>
          <w:tcPr>
            <w:tcW w:w="1256" w:type="dxa"/>
            <w:vAlign w:val="center"/>
          </w:tcPr>
          <w:p w:rsidR="00C748FA" w:rsidRPr="003D3E41" w:rsidRDefault="00C748FA" w:rsidP="00E47F7B">
            <w:pPr>
              <w:keepNext/>
              <w:jc w:val="center"/>
              <w:rPr>
                <w:sz w:val="20"/>
                <w:szCs w:val="20"/>
              </w:rPr>
            </w:pPr>
            <w:r>
              <w:rPr>
                <w:sz w:val="20"/>
                <w:szCs w:val="20"/>
              </w:rPr>
              <w:t>23 782</w:t>
            </w:r>
          </w:p>
        </w:tc>
        <w:tc>
          <w:tcPr>
            <w:tcW w:w="1251" w:type="dxa"/>
            <w:vAlign w:val="center"/>
          </w:tcPr>
          <w:p w:rsidR="00C748FA" w:rsidRPr="003D3E41" w:rsidRDefault="00C748FA" w:rsidP="00E47F7B">
            <w:pPr>
              <w:keepNext/>
              <w:jc w:val="center"/>
              <w:rPr>
                <w:sz w:val="20"/>
                <w:szCs w:val="20"/>
              </w:rPr>
            </w:pPr>
            <w:r>
              <w:rPr>
                <w:sz w:val="20"/>
                <w:szCs w:val="20"/>
              </w:rPr>
              <w:t>122 000</w:t>
            </w:r>
          </w:p>
        </w:tc>
        <w:tc>
          <w:tcPr>
            <w:tcW w:w="1256" w:type="dxa"/>
            <w:vAlign w:val="center"/>
          </w:tcPr>
          <w:p w:rsidR="00C748FA" w:rsidRPr="003D3E41" w:rsidRDefault="00C748FA" w:rsidP="00E47F7B">
            <w:pPr>
              <w:keepNext/>
              <w:jc w:val="center"/>
              <w:rPr>
                <w:sz w:val="20"/>
                <w:szCs w:val="20"/>
              </w:rPr>
            </w:pPr>
            <w:r>
              <w:rPr>
                <w:sz w:val="20"/>
                <w:szCs w:val="20"/>
              </w:rPr>
              <w:t>83 782</w:t>
            </w:r>
          </w:p>
        </w:tc>
      </w:tr>
      <w:tr w:rsidR="00C748FA" w:rsidRPr="003D3E41" w:rsidTr="00E47F7B">
        <w:tc>
          <w:tcPr>
            <w:tcW w:w="2153" w:type="dxa"/>
            <w:vAlign w:val="center"/>
          </w:tcPr>
          <w:p w:rsidR="00C748FA" w:rsidRPr="003D3E41" w:rsidRDefault="00C748FA" w:rsidP="00E47F7B">
            <w:pPr>
              <w:jc w:val="center"/>
              <w:rPr>
                <w:sz w:val="20"/>
                <w:szCs w:val="20"/>
              </w:rPr>
            </w:pPr>
            <w:r>
              <w:rPr>
                <w:sz w:val="20"/>
                <w:szCs w:val="20"/>
              </w:rPr>
              <w:t>PNUD</w:t>
            </w:r>
          </w:p>
        </w:tc>
        <w:tc>
          <w:tcPr>
            <w:tcW w:w="1078" w:type="dxa"/>
            <w:vAlign w:val="center"/>
          </w:tcPr>
          <w:p w:rsidR="00C748FA" w:rsidRPr="003D3E41" w:rsidRDefault="00C748FA" w:rsidP="00E47F7B">
            <w:pPr>
              <w:jc w:val="center"/>
              <w:rPr>
                <w:sz w:val="20"/>
                <w:szCs w:val="20"/>
              </w:rPr>
            </w:pPr>
            <w:r>
              <w:rPr>
                <w:sz w:val="20"/>
                <w:szCs w:val="20"/>
              </w:rPr>
              <w:t>50 000</w:t>
            </w:r>
          </w:p>
        </w:tc>
        <w:tc>
          <w:tcPr>
            <w:tcW w:w="1237" w:type="dxa"/>
            <w:vAlign w:val="center"/>
          </w:tcPr>
          <w:p w:rsidR="00C748FA" w:rsidRPr="003D3E41" w:rsidRDefault="00C748FA" w:rsidP="00E47F7B">
            <w:pPr>
              <w:jc w:val="center"/>
              <w:rPr>
                <w:sz w:val="20"/>
                <w:szCs w:val="20"/>
              </w:rPr>
            </w:pPr>
            <w:r>
              <w:rPr>
                <w:sz w:val="20"/>
                <w:szCs w:val="20"/>
              </w:rPr>
              <w:t>50 000</w:t>
            </w:r>
          </w:p>
        </w:tc>
        <w:tc>
          <w:tcPr>
            <w:tcW w:w="1119" w:type="dxa"/>
            <w:vAlign w:val="center"/>
          </w:tcPr>
          <w:p w:rsidR="00C748FA" w:rsidRPr="003D3E41" w:rsidRDefault="00C748FA" w:rsidP="00E47F7B">
            <w:pPr>
              <w:jc w:val="center"/>
              <w:rPr>
                <w:sz w:val="20"/>
                <w:szCs w:val="20"/>
              </w:rPr>
            </w:pPr>
            <w:r>
              <w:rPr>
                <w:sz w:val="20"/>
                <w:szCs w:val="20"/>
              </w:rPr>
              <w:t>38 000</w:t>
            </w:r>
          </w:p>
        </w:tc>
        <w:tc>
          <w:tcPr>
            <w:tcW w:w="1256" w:type="dxa"/>
            <w:vAlign w:val="center"/>
          </w:tcPr>
          <w:p w:rsidR="00C748FA" w:rsidRPr="003D3E41" w:rsidRDefault="00C748FA" w:rsidP="00E47F7B">
            <w:pPr>
              <w:jc w:val="center"/>
              <w:rPr>
                <w:sz w:val="20"/>
                <w:szCs w:val="20"/>
              </w:rPr>
            </w:pPr>
            <w:r>
              <w:rPr>
                <w:sz w:val="20"/>
                <w:szCs w:val="20"/>
              </w:rPr>
              <w:t>38 000</w:t>
            </w:r>
          </w:p>
        </w:tc>
        <w:tc>
          <w:tcPr>
            <w:tcW w:w="1251" w:type="dxa"/>
            <w:vAlign w:val="center"/>
          </w:tcPr>
          <w:p w:rsidR="00C748FA" w:rsidRPr="003D3E41" w:rsidRDefault="00C748FA" w:rsidP="00E47F7B">
            <w:pPr>
              <w:jc w:val="center"/>
              <w:rPr>
                <w:sz w:val="20"/>
                <w:szCs w:val="20"/>
              </w:rPr>
            </w:pPr>
            <w:r>
              <w:rPr>
                <w:sz w:val="20"/>
                <w:szCs w:val="20"/>
              </w:rPr>
              <w:t>88 000</w:t>
            </w:r>
          </w:p>
        </w:tc>
        <w:tc>
          <w:tcPr>
            <w:tcW w:w="1256" w:type="dxa"/>
            <w:vAlign w:val="center"/>
          </w:tcPr>
          <w:p w:rsidR="00C748FA" w:rsidRPr="003D3E41" w:rsidRDefault="00C748FA" w:rsidP="00E47F7B">
            <w:pPr>
              <w:keepNext/>
              <w:jc w:val="center"/>
              <w:rPr>
                <w:sz w:val="20"/>
                <w:szCs w:val="20"/>
              </w:rPr>
            </w:pPr>
            <w:r>
              <w:rPr>
                <w:sz w:val="20"/>
                <w:szCs w:val="20"/>
              </w:rPr>
              <w:t>88 000</w:t>
            </w:r>
          </w:p>
        </w:tc>
      </w:tr>
      <w:tr w:rsidR="00C748FA" w:rsidRPr="003D3E41" w:rsidTr="00E47F7B">
        <w:tc>
          <w:tcPr>
            <w:tcW w:w="2153" w:type="dxa"/>
            <w:vAlign w:val="center"/>
          </w:tcPr>
          <w:p w:rsidR="00C748FA" w:rsidRPr="003D3E41" w:rsidRDefault="00C748FA" w:rsidP="00E47F7B">
            <w:pPr>
              <w:jc w:val="center"/>
              <w:rPr>
                <w:b/>
                <w:sz w:val="20"/>
                <w:szCs w:val="20"/>
              </w:rPr>
            </w:pPr>
            <w:r>
              <w:rPr>
                <w:b/>
                <w:sz w:val="20"/>
                <w:szCs w:val="20"/>
              </w:rPr>
              <w:t>Total</w:t>
            </w:r>
          </w:p>
        </w:tc>
        <w:tc>
          <w:tcPr>
            <w:tcW w:w="1078" w:type="dxa"/>
            <w:vAlign w:val="center"/>
          </w:tcPr>
          <w:p w:rsidR="00C748FA" w:rsidRPr="003D3E41" w:rsidRDefault="00C748FA" w:rsidP="00E47F7B">
            <w:pPr>
              <w:jc w:val="center"/>
              <w:rPr>
                <w:sz w:val="20"/>
                <w:szCs w:val="20"/>
              </w:rPr>
            </w:pPr>
            <w:r>
              <w:rPr>
                <w:sz w:val="20"/>
                <w:szCs w:val="20"/>
              </w:rPr>
              <w:t>124 000</w:t>
            </w:r>
          </w:p>
        </w:tc>
        <w:tc>
          <w:tcPr>
            <w:tcW w:w="1237" w:type="dxa"/>
            <w:vAlign w:val="center"/>
          </w:tcPr>
          <w:p w:rsidR="00C748FA" w:rsidRPr="003D3E41" w:rsidRDefault="00C748FA" w:rsidP="00E47F7B">
            <w:pPr>
              <w:keepNext/>
              <w:jc w:val="center"/>
              <w:rPr>
                <w:sz w:val="20"/>
                <w:szCs w:val="20"/>
              </w:rPr>
            </w:pPr>
            <w:r>
              <w:rPr>
                <w:sz w:val="20"/>
                <w:szCs w:val="20"/>
              </w:rPr>
              <w:t>110 000</w:t>
            </w:r>
          </w:p>
        </w:tc>
        <w:tc>
          <w:tcPr>
            <w:tcW w:w="1119" w:type="dxa"/>
            <w:vAlign w:val="center"/>
          </w:tcPr>
          <w:p w:rsidR="00C748FA" w:rsidRPr="003D3E41" w:rsidRDefault="00C748FA" w:rsidP="00E47F7B">
            <w:pPr>
              <w:jc w:val="center"/>
              <w:rPr>
                <w:sz w:val="20"/>
                <w:szCs w:val="20"/>
              </w:rPr>
            </w:pPr>
            <w:r>
              <w:rPr>
                <w:sz w:val="20"/>
                <w:szCs w:val="20"/>
              </w:rPr>
              <w:t>86 000</w:t>
            </w:r>
          </w:p>
        </w:tc>
        <w:tc>
          <w:tcPr>
            <w:tcW w:w="1256" w:type="dxa"/>
            <w:vAlign w:val="center"/>
          </w:tcPr>
          <w:p w:rsidR="00C748FA" w:rsidRPr="003D3E41" w:rsidRDefault="00C748FA" w:rsidP="00E47F7B">
            <w:pPr>
              <w:jc w:val="center"/>
              <w:rPr>
                <w:sz w:val="20"/>
                <w:szCs w:val="20"/>
              </w:rPr>
            </w:pPr>
            <w:r>
              <w:rPr>
                <w:sz w:val="20"/>
                <w:szCs w:val="20"/>
              </w:rPr>
              <w:t>61 782</w:t>
            </w:r>
          </w:p>
        </w:tc>
        <w:tc>
          <w:tcPr>
            <w:tcW w:w="1251" w:type="dxa"/>
            <w:vAlign w:val="center"/>
          </w:tcPr>
          <w:p w:rsidR="00C748FA" w:rsidRPr="003D3E41" w:rsidRDefault="00C748FA" w:rsidP="00E47F7B">
            <w:pPr>
              <w:jc w:val="center"/>
              <w:rPr>
                <w:sz w:val="20"/>
                <w:szCs w:val="20"/>
              </w:rPr>
            </w:pPr>
            <w:r>
              <w:rPr>
                <w:sz w:val="20"/>
                <w:szCs w:val="20"/>
              </w:rPr>
              <w:t>210 000</w:t>
            </w:r>
          </w:p>
        </w:tc>
        <w:tc>
          <w:tcPr>
            <w:tcW w:w="1256" w:type="dxa"/>
            <w:vAlign w:val="center"/>
          </w:tcPr>
          <w:p w:rsidR="00C748FA" w:rsidRPr="003D3E41" w:rsidRDefault="00C748FA" w:rsidP="00E47F7B">
            <w:pPr>
              <w:keepNext/>
              <w:jc w:val="center"/>
              <w:rPr>
                <w:sz w:val="20"/>
                <w:szCs w:val="20"/>
              </w:rPr>
            </w:pPr>
            <w:r>
              <w:rPr>
                <w:sz w:val="20"/>
                <w:szCs w:val="20"/>
              </w:rPr>
              <w:t>171 782</w:t>
            </w:r>
          </w:p>
        </w:tc>
      </w:tr>
      <w:tr w:rsidR="00C748FA" w:rsidRPr="003D3E41" w:rsidTr="00E47F7B">
        <w:tc>
          <w:tcPr>
            <w:tcW w:w="2153" w:type="dxa"/>
            <w:vAlign w:val="center"/>
          </w:tcPr>
          <w:p w:rsidR="00C748FA" w:rsidRPr="003D3E41" w:rsidRDefault="00C748FA" w:rsidP="00E47F7B">
            <w:pPr>
              <w:jc w:val="center"/>
              <w:rPr>
                <w:b/>
                <w:sz w:val="20"/>
                <w:szCs w:val="20"/>
              </w:rPr>
            </w:pPr>
            <w:r>
              <w:rPr>
                <w:b/>
                <w:sz w:val="20"/>
                <w:szCs w:val="20"/>
              </w:rPr>
              <w:t>Taux de décaissement (%)</w:t>
            </w:r>
          </w:p>
        </w:tc>
        <w:tc>
          <w:tcPr>
            <w:tcW w:w="2315" w:type="dxa"/>
            <w:gridSpan w:val="2"/>
            <w:vAlign w:val="center"/>
          </w:tcPr>
          <w:p w:rsidR="00C748FA" w:rsidRPr="003D3E41" w:rsidRDefault="00C748FA" w:rsidP="00E47F7B">
            <w:pPr>
              <w:jc w:val="center"/>
              <w:rPr>
                <w:b/>
                <w:sz w:val="20"/>
                <w:szCs w:val="20"/>
              </w:rPr>
            </w:pPr>
            <w:r>
              <w:rPr>
                <w:b/>
                <w:sz w:val="20"/>
                <w:szCs w:val="20"/>
              </w:rPr>
              <w:t>89</w:t>
            </w:r>
          </w:p>
        </w:tc>
        <w:tc>
          <w:tcPr>
            <w:tcW w:w="2375" w:type="dxa"/>
            <w:gridSpan w:val="2"/>
            <w:vAlign w:val="center"/>
          </w:tcPr>
          <w:p w:rsidR="00C748FA" w:rsidRPr="003D3E41" w:rsidRDefault="00C748FA" w:rsidP="00E47F7B">
            <w:pPr>
              <w:jc w:val="center"/>
              <w:rPr>
                <w:b/>
                <w:sz w:val="20"/>
                <w:szCs w:val="20"/>
              </w:rPr>
            </w:pPr>
            <w:r>
              <w:rPr>
                <w:b/>
                <w:sz w:val="20"/>
                <w:szCs w:val="20"/>
              </w:rPr>
              <w:t>72</w:t>
            </w:r>
          </w:p>
        </w:tc>
        <w:tc>
          <w:tcPr>
            <w:tcW w:w="2507" w:type="dxa"/>
            <w:gridSpan w:val="2"/>
            <w:vAlign w:val="center"/>
          </w:tcPr>
          <w:p w:rsidR="00C748FA" w:rsidRPr="003D3E41" w:rsidRDefault="00C748FA" w:rsidP="00E47F7B">
            <w:pPr>
              <w:jc w:val="center"/>
              <w:rPr>
                <w:b/>
                <w:sz w:val="20"/>
                <w:szCs w:val="20"/>
              </w:rPr>
            </w:pPr>
            <w:r>
              <w:rPr>
                <w:b/>
                <w:sz w:val="20"/>
                <w:szCs w:val="20"/>
              </w:rPr>
              <w:t>82</w:t>
            </w:r>
          </w:p>
        </w:tc>
      </w:tr>
    </w:tbl>
    <w:p w:rsidR="00C748FA" w:rsidRPr="003D3E41" w:rsidRDefault="00C748FA" w:rsidP="00C748FA">
      <w:pPr>
        <w:rPr>
          <w:lang w:val="en-CA"/>
        </w:rPr>
      </w:pPr>
    </w:p>
    <w:p w:rsidR="00C748FA" w:rsidRPr="00C748FA" w:rsidRDefault="00C748FA" w:rsidP="00C748FA">
      <w:pPr>
        <w:keepNext/>
        <w:rPr>
          <w:u w:val="single"/>
          <w:lang w:val="fr-FR"/>
        </w:rPr>
      </w:pPr>
      <w:r w:rsidRPr="00C748FA">
        <w:rPr>
          <w:u w:val="single"/>
          <w:lang w:val="fr-FR"/>
        </w:rPr>
        <w:t>Plan de mise en œuvre de la troisième tranche du PGEH</w:t>
      </w:r>
    </w:p>
    <w:p w:rsidR="00C748FA" w:rsidRPr="003646CD" w:rsidRDefault="00C748FA" w:rsidP="00C748FA">
      <w:pPr>
        <w:keepNext/>
        <w:rPr>
          <w:lang w:val="fr-FR"/>
        </w:rPr>
      </w:pPr>
    </w:p>
    <w:p w:rsidR="00C748FA" w:rsidRPr="00C748FA" w:rsidRDefault="00C748FA" w:rsidP="00C748FA">
      <w:pPr>
        <w:pStyle w:val="Heading1"/>
        <w:keepNext/>
        <w:rPr>
          <w:lang w:val="fr-FR"/>
        </w:rPr>
      </w:pPr>
      <w:r w:rsidRPr="00C748FA">
        <w:rPr>
          <w:lang w:val="fr-FR"/>
        </w:rPr>
        <w:t>Les activités suivantes seront mises en œuvre de janvier 2020 à décembre 2020 :</w:t>
      </w:r>
    </w:p>
    <w:p w:rsidR="00C748FA" w:rsidRPr="00C748FA" w:rsidRDefault="00C748FA" w:rsidP="00C748FA">
      <w:pPr>
        <w:pStyle w:val="Heading2"/>
        <w:numPr>
          <w:ilvl w:val="1"/>
          <w:numId w:val="1"/>
        </w:numPr>
        <w:rPr>
          <w:lang w:val="fr-FR"/>
        </w:rPr>
      </w:pPr>
      <w:r w:rsidRPr="00C748FA">
        <w:rPr>
          <w:lang w:val="fr-FR"/>
        </w:rPr>
        <w:t>élaboration de normes d’étiquetage pour le secteur de la réfrigération et de la cli</w:t>
      </w:r>
      <w:r w:rsidR="005243B8">
        <w:rPr>
          <w:lang w:val="fr-FR"/>
        </w:rPr>
        <w:t>matisation (PNUE, 5 000 $ US) ;</w:t>
      </w:r>
    </w:p>
    <w:p w:rsidR="00C748FA" w:rsidRPr="00C748FA" w:rsidRDefault="00C748FA" w:rsidP="00C748FA">
      <w:pPr>
        <w:pStyle w:val="Heading2"/>
        <w:numPr>
          <w:ilvl w:val="1"/>
          <w:numId w:val="1"/>
        </w:numPr>
        <w:rPr>
          <w:lang w:val="fr-FR"/>
        </w:rPr>
      </w:pPr>
      <w:r w:rsidRPr="00C748FA">
        <w:rPr>
          <w:lang w:val="fr-FR"/>
        </w:rPr>
        <w:t xml:space="preserve">réalisation de deux ateliers de formation à l’intention des agents des douanes et d’un atelier de formation à l’intention des commissionnaires en douane portant sur l’identification des SAO, </w:t>
      </w:r>
      <w:r w:rsidR="005243B8">
        <w:rPr>
          <w:lang w:val="fr-FR"/>
        </w:rPr>
        <w:t xml:space="preserve">ainsi que </w:t>
      </w:r>
      <w:r w:rsidRPr="00C748FA">
        <w:rPr>
          <w:lang w:val="fr-FR"/>
        </w:rPr>
        <w:t>les frigorigènes et les produits en contenant ; l’objectif est de former 30 agents des douanes et 15 commissionnaires en douane (PNUE, 5 000 $ US) ;</w:t>
      </w:r>
    </w:p>
    <w:p w:rsidR="00C748FA" w:rsidRPr="00C748FA" w:rsidRDefault="00C748FA" w:rsidP="00C748FA">
      <w:pPr>
        <w:pStyle w:val="Heading2"/>
        <w:numPr>
          <w:ilvl w:val="1"/>
          <w:numId w:val="1"/>
        </w:numPr>
        <w:rPr>
          <w:lang w:val="fr-FR"/>
        </w:rPr>
      </w:pPr>
      <w:r w:rsidRPr="00C748FA">
        <w:rPr>
          <w:lang w:val="fr-FR"/>
        </w:rPr>
        <w:t>certification et délivrance d’autorisation pour les techniciens d’équipement de réfrigération et de climatisation : organisation de réunions et/ou séminaires pour les associations et agences d’entretien afin de les amener à participer aux certifications CVQ (qualification professionnelle au niveau des Caraïbes - Caribbean Vocational Qualification) et NVQ (qualification professionnelles nationale - National Vocational Qualificat</w:t>
      </w:r>
      <w:r w:rsidR="005243B8">
        <w:rPr>
          <w:lang w:val="fr-FR"/>
        </w:rPr>
        <w:t>ion) (PNUE, 15 000 $ US) ;</w:t>
      </w:r>
    </w:p>
    <w:p w:rsidR="00C748FA" w:rsidRPr="00C748FA" w:rsidRDefault="00C748FA" w:rsidP="00C748FA">
      <w:pPr>
        <w:pStyle w:val="Heading2"/>
        <w:numPr>
          <w:ilvl w:val="1"/>
          <w:numId w:val="1"/>
        </w:numPr>
        <w:rPr>
          <w:lang w:val="fr-FR"/>
        </w:rPr>
      </w:pPr>
      <w:r w:rsidRPr="00C748FA">
        <w:rPr>
          <w:lang w:val="fr-FR"/>
        </w:rPr>
        <w:t>élaboration et diffusion de supports de sensibilisation et d’éducation du grand public pour appuyer la mise en œuvre de la troisième tranche du PGEH et la transition vers des solutions de remplacement des HCFC et des HFC (PNUE, 12 000 $ US) ; et</w:t>
      </w:r>
    </w:p>
    <w:p w:rsidR="00C748FA" w:rsidRPr="00C748FA" w:rsidRDefault="00C748FA" w:rsidP="00C748FA">
      <w:pPr>
        <w:pStyle w:val="Heading2"/>
        <w:numPr>
          <w:ilvl w:val="1"/>
          <w:numId w:val="1"/>
        </w:numPr>
        <w:rPr>
          <w:lang w:val="fr-FR"/>
        </w:rPr>
      </w:pPr>
      <w:r w:rsidRPr="00C748FA">
        <w:rPr>
          <w:lang w:val="fr-FR"/>
        </w:rPr>
        <w:t>mise en œuvre et surveillance des projets : poursuite de la surveillance, de l’évaluation et de la communications des résultats des activités réalisées via le BNO dans le cadre du PGEH, afin de garantir la bonne exécution et le déroulement efficace des activités (PNUE, 5 000 $ US).</w:t>
      </w:r>
    </w:p>
    <w:p w:rsidR="00C748FA" w:rsidRPr="003646CD" w:rsidRDefault="00C748FA" w:rsidP="00C748FA">
      <w:pPr>
        <w:rPr>
          <w:lang w:val="fr-FR"/>
        </w:rPr>
      </w:pPr>
    </w:p>
    <w:p w:rsidR="00D35097" w:rsidRDefault="00D35097">
      <w:pPr>
        <w:jc w:val="left"/>
        <w:rPr>
          <w:b/>
          <w:lang w:val="fr-FR"/>
        </w:rPr>
      </w:pPr>
      <w:r>
        <w:rPr>
          <w:b/>
          <w:lang w:val="fr-FR"/>
        </w:rPr>
        <w:br w:type="page"/>
      </w:r>
    </w:p>
    <w:p w:rsidR="00C748FA" w:rsidRPr="00C748FA" w:rsidRDefault="00C748FA" w:rsidP="00C748FA">
      <w:pPr>
        <w:jc w:val="center"/>
        <w:rPr>
          <w:b/>
          <w:lang w:val="fr-FR"/>
        </w:rPr>
      </w:pPr>
      <w:r w:rsidRPr="00C748FA">
        <w:rPr>
          <w:b/>
          <w:lang w:val="fr-FR"/>
        </w:rPr>
        <w:t>OBSERVATIONS ET RECOMMANDATION DU SECRÉTARIAT</w:t>
      </w:r>
    </w:p>
    <w:p w:rsidR="00C748FA" w:rsidRPr="003646CD" w:rsidRDefault="00C748FA" w:rsidP="00C748FA">
      <w:pPr>
        <w:rPr>
          <w:lang w:val="fr-FR"/>
        </w:rPr>
      </w:pPr>
    </w:p>
    <w:p w:rsidR="00C748FA" w:rsidRPr="00C748FA" w:rsidRDefault="00C748FA" w:rsidP="00C748FA">
      <w:pPr>
        <w:rPr>
          <w:b/>
          <w:lang w:val="fr-FR"/>
        </w:rPr>
      </w:pPr>
      <w:r w:rsidRPr="00C748FA">
        <w:rPr>
          <w:b/>
          <w:lang w:val="fr-FR"/>
        </w:rPr>
        <w:t>OBSERVATIONS</w:t>
      </w:r>
    </w:p>
    <w:p w:rsidR="00C748FA" w:rsidRPr="003646CD" w:rsidRDefault="00C748FA" w:rsidP="00C748FA">
      <w:pPr>
        <w:rPr>
          <w:lang w:val="fr-FR"/>
        </w:rPr>
      </w:pPr>
    </w:p>
    <w:p w:rsidR="00C748FA" w:rsidRPr="00C748FA" w:rsidRDefault="00C748FA" w:rsidP="00C748FA">
      <w:pPr>
        <w:rPr>
          <w:u w:val="single"/>
          <w:lang w:val="fr-FR"/>
        </w:rPr>
      </w:pPr>
      <w:r w:rsidRPr="00C748FA">
        <w:rPr>
          <w:u w:val="single"/>
          <w:lang w:val="fr-FR"/>
        </w:rPr>
        <w:t>Rapport sur la consommation de HCFC</w:t>
      </w:r>
    </w:p>
    <w:p w:rsidR="00C748FA" w:rsidRPr="003646CD" w:rsidRDefault="00C748FA" w:rsidP="00C748FA">
      <w:pPr>
        <w:rPr>
          <w:lang w:val="fr-FR"/>
        </w:rPr>
      </w:pPr>
    </w:p>
    <w:p w:rsidR="00C748FA" w:rsidRPr="00C748FA" w:rsidRDefault="00C748FA" w:rsidP="00C748FA">
      <w:pPr>
        <w:pStyle w:val="Heading1"/>
        <w:rPr>
          <w:lang w:val="fr-FR"/>
        </w:rPr>
      </w:pPr>
      <w:r w:rsidRPr="00C748FA">
        <w:rPr>
          <w:lang w:val="fr-FR"/>
        </w:rPr>
        <w:t>Le rapport de vérification présenté à la 80</w:t>
      </w:r>
      <w:r w:rsidRPr="00C748FA">
        <w:rPr>
          <w:vertAlign w:val="superscript"/>
          <w:lang w:val="fr-FR"/>
        </w:rPr>
        <w:t>e</w:t>
      </w:r>
      <w:r w:rsidRPr="00C748FA">
        <w:rPr>
          <w:lang w:val="fr-FR"/>
        </w:rPr>
        <w:t xml:space="preserve"> réunion avec la demande pour la deuxième tranche de la phase I du PGEH recommandait un renforcement supplémentaire de la capacité des agents des douanes </w:t>
      </w:r>
      <w:r w:rsidRPr="00C748FA">
        <w:rPr>
          <w:lang w:val="fr-FR"/>
        </w:rPr>
        <w:lastRenderedPageBreak/>
        <w:t>afin d’éviter de futurs incohérences dans les données.</w:t>
      </w:r>
      <w:r w:rsidRPr="003D3E41">
        <w:rPr>
          <w:rStyle w:val="FootnoteReference"/>
        </w:rPr>
        <w:footnoteReference w:id="2"/>
      </w:r>
      <w:r w:rsidRPr="00C748FA">
        <w:rPr>
          <w:lang w:val="fr-FR"/>
        </w:rPr>
        <w:t xml:space="preserve"> Lors de cette réunion, le PNUE a indiqué que le système d’octroi de licences et de quotas serait renforcé en collaborant avec le ministère des Douanes et le ministère du Commerce et de la Consommation, en vue d’améliorer l’exactitude des données.</w:t>
      </w:r>
      <w:r w:rsidRPr="003D3E41">
        <w:rPr>
          <w:rStyle w:val="FootnoteReference"/>
        </w:rPr>
        <w:footnoteReference w:id="3"/>
      </w:r>
      <w:r w:rsidRPr="00C748FA">
        <w:rPr>
          <w:lang w:val="fr-FR"/>
        </w:rPr>
        <w:t xml:space="preserve"> Après avoir remarqué que les ateliers de formation des agents des douanes prévus dans la deuxième tranche n’avaient pas eu lieu, le Secrétariat a demandé des précisions sur les mesures mises en œuvre depuis la deuxième tranche pour assurer leur mise en application</w:t>
      </w:r>
      <w:r w:rsidR="00BD660B">
        <w:rPr>
          <w:lang w:val="fr-FR"/>
        </w:rPr>
        <w:t xml:space="preserve">. </w:t>
      </w:r>
      <w:r w:rsidRPr="00C748FA">
        <w:rPr>
          <w:lang w:val="fr-FR"/>
        </w:rPr>
        <w:t xml:space="preserve">Le PNUE a déclaré que le retard pris dans la formation des agents des douanes durant la deuxième tranche était dû à un problème de disponibilité desdits agents ; néanmoins le Bureau national Ozone suit le sujet avec le ministère des Douanes et de l’Accise et les sessions de formation auront lieu en 2020 ; le PNUE a également précisé que les activités de formation et de renforcement de la capacité se dérouleront durant la mise en œuvre de la troisième tranche ; la mise en place en septembre 2019 de la mise à jour du système automatisé de gestion des données douanières (ASYCUDA), comprenant les codes HS de 2017 et dont les données sur les importations ont été vérifiées par le ministère du Commerce, devrait contribuer à </w:t>
      </w:r>
      <w:r w:rsidR="00A472CE">
        <w:rPr>
          <w:lang w:val="fr-FR"/>
        </w:rPr>
        <w:t>renforcer</w:t>
      </w:r>
      <w:r w:rsidRPr="00C748FA">
        <w:rPr>
          <w:lang w:val="fr-FR"/>
        </w:rPr>
        <w:t xml:space="preserve"> la communication des données. Ceci devrait permettre au pays de consolider ses systèmes de communi</w:t>
      </w:r>
      <w:r w:rsidR="00A472CE">
        <w:rPr>
          <w:lang w:val="fr-FR"/>
        </w:rPr>
        <w:t>cation et de contrôle des HCFC.</w:t>
      </w:r>
    </w:p>
    <w:p w:rsidR="00C748FA" w:rsidRPr="00C748FA" w:rsidRDefault="00C748FA" w:rsidP="00C748FA">
      <w:pPr>
        <w:keepNext/>
        <w:rPr>
          <w:u w:val="single"/>
          <w:lang w:val="fr-FR"/>
        </w:rPr>
      </w:pPr>
      <w:r w:rsidRPr="00C748FA">
        <w:rPr>
          <w:u w:val="single"/>
          <w:lang w:val="fr-FR"/>
        </w:rPr>
        <w:t>Rapport périodique sur la mise en œuvre de la deuxième tranche du PGEH</w:t>
      </w:r>
    </w:p>
    <w:p w:rsidR="00C748FA" w:rsidRPr="003646CD" w:rsidRDefault="00C748FA" w:rsidP="00C748FA">
      <w:pPr>
        <w:keepNext/>
        <w:rPr>
          <w:lang w:val="fr-FR"/>
        </w:rPr>
      </w:pPr>
    </w:p>
    <w:p w:rsidR="00C748FA" w:rsidRPr="003D3E41" w:rsidRDefault="00C748FA" w:rsidP="00C748FA">
      <w:pPr>
        <w:keepNext/>
        <w:rPr>
          <w:i/>
        </w:rPr>
      </w:pPr>
      <w:r>
        <w:rPr>
          <w:i/>
        </w:rPr>
        <w:t>Cadre juridique</w:t>
      </w:r>
    </w:p>
    <w:p w:rsidR="00C748FA" w:rsidRPr="003D3E41" w:rsidRDefault="00C748FA" w:rsidP="00C748FA">
      <w:pPr>
        <w:keepNext/>
        <w:rPr>
          <w:lang w:val="en-CA"/>
        </w:rPr>
      </w:pPr>
    </w:p>
    <w:p w:rsidR="00C748FA" w:rsidRPr="00C748FA" w:rsidRDefault="00C748FA" w:rsidP="00C748FA">
      <w:pPr>
        <w:pStyle w:val="Heading1"/>
        <w:keepNext/>
        <w:rPr>
          <w:lang w:val="fr-FR"/>
        </w:rPr>
      </w:pPr>
      <w:r w:rsidRPr="00C748FA">
        <w:rPr>
          <w:lang w:val="fr-FR"/>
        </w:rPr>
        <w:t>Le gouvernement de la Barbade a déjà émis des quotas d’importation des HCFC pour 2019, fixés à 2,57 tonnes PAO, qui sont inférieurs aux obje</w:t>
      </w:r>
      <w:r w:rsidR="00A472CE">
        <w:rPr>
          <w:lang w:val="fr-FR"/>
        </w:rPr>
        <w:t>ctifs du Protocole de Montréal.</w:t>
      </w:r>
    </w:p>
    <w:p w:rsidR="00C748FA" w:rsidRPr="00C748FA" w:rsidRDefault="00C748FA" w:rsidP="00C748FA">
      <w:pPr>
        <w:pStyle w:val="Heading1"/>
        <w:rPr>
          <w:lang w:val="fr-FR"/>
        </w:rPr>
      </w:pPr>
      <w:r w:rsidRPr="00C748FA">
        <w:rPr>
          <w:lang w:val="fr-FR"/>
        </w:rPr>
        <w:t>Le Secrétariat a demandé des clarifications sur la raison pour laquelle les importations de HCFC-22 étaient bien inférieures aux quotas annuels fixés pour cette année-là (par ex., en 2018, le quota pou</w:t>
      </w:r>
      <w:r w:rsidR="00A472CE">
        <w:rPr>
          <w:lang w:val="fr-FR"/>
        </w:rPr>
        <w:t>r le HCFC-22 était de 50,06 tm [</w:t>
      </w:r>
      <w:r w:rsidRPr="00C748FA">
        <w:rPr>
          <w:lang w:val="fr-FR"/>
        </w:rPr>
        <w:t>2,75 tonnes PAO</w:t>
      </w:r>
      <w:r w:rsidR="00A472CE">
        <w:rPr>
          <w:lang w:val="fr-FR"/>
        </w:rPr>
        <w:t>]</w:t>
      </w:r>
      <w:r w:rsidRPr="00C748FA">
        <w:rPr>
          <w:lang w:val="fr-FR"/>
        </w:rPr>
        <w:t xml:space="preserve"> alors que les importations ont représenté 24,92 tm </w:t>
      </w:r>
      <w:r w:rsidR="00A472CE">
        <w:rPr>
          <w:lang w:val="fr-FR"/>
        </w:rPr>
        <w:t>[1,37 tonnes PAO]</w:t>
      </w:r>
      <w:r w:rsidRPr="00C748FA">
        <w:rPr>
          <w:lang w:val="fr-FR"/>
        </w:rPr>
        <w:t xml:space="preserve">). Le PNUE a précisé que le BNO communique aux importateurs leurs quotas deux ans à l’avance ; les quotas sont fixés d’après les objectifs de l’Accord du PGEH et l’évaluation de la demande en HCFC-22 (« quota national ») pour l’année en question. Quatre-vingt dix pour cent de ce quota national est alloué aux importateurs, les dix pour cent restants servant aux situations d’urgence et/ou aux importations transitoires. Le Secrétariat a suggéré que le PNUE collabore avec le pays pour fixer des quotas nationaux plus proches de la demande réelle en HCFC-22, afin d’éviter un surcroît de demande en </w:t>
      </w:r>
      <w:r w:rsidR="00F524E7">
        <w:rPr>
          <w:lang w:val="fr-FR"/>
        </w:rPr>
        <w:t>HCFC-22.</w:t>
      </w:r>
    </w:p>
    <w:p w:rsidR="00C748FA" w:rsidRPr="00C748FA" w:rsidRDefault="00C748FA" w:rsidP="00C748FA">
      <w:pPr>
        <w:pStyle w:val="Heading1"/>
        <w:numPr>
          <w:ilvl w:val="0"/>
          <w:numId w:val="0"/>
        </w:numPr>
        <w:rPr>
          <w:i/>
          <w:lang w:val="fr-FR"/>
        </w:rPr>
      </w:pPr>
      <w:r w:rsidRPr="00C748FA">
        <w:rPr>
          <w:i/>
          <w:lang w:val="fr-FR"/>
        </w:rPr>
        <w:t>Secteur de l’entretien des équipements de réfrigération</w:t>
      </w:r>
    </w:p>
    <w:p w:rsidR="00C748FA" w:rsidRDefault="00C748FA" w:rsidP="00C748FA">
      <w:pPr>
        <w:pStyle w:val="Heading1"/>
        <w:rPr>
          <w:lang w:val="fr-FR"/>
        </w:rPr>
      </w:pPr>
      <w:r w:rsidRPr="00C748FA">
        <w:rPr>
          <w:lang w:val="fr-FR"/>
        </w:rPr>
        <w:t xml:space="preserve">Le PNUE a indiqué qu’aucun produit de substitution à faible potentiel de réchauffement de la planète, tel que le R-290 et le HCFC-32, n’étaient disponibles dans le pays, et qu’aucune conversion d’équipement à base de HCFC </w:t>
      </w:r>
      <w:r w:rsidR="00F524E7">
        <w:rPr>
          <w:lang w:val="fr-FR"/>
        </w:rPr>
        <w:t>vers</w:t>
      </w:r>
      <w:r w:rsidRPr="00C748FA">
        <w:rPr>
          <w:lang w:val="fr-FR"/>
        </w:rPr>
        <w:t xml:space="preserve"> des frigorigènes inflammables n’avait été </w:t>
      </w:r>
      <w:r w:rsidR="00F524E7">
        <w:rPr>
          <w:lang w:val="fr-FR"/>
        </w:rPr>
        <w:t>communiquée</w:t>
      </w:r>
      <w:r w:rsidRPr="00C748FA">
        <w:rPr>
          <w:lang w:val="fr-FR"/>
        </w:rPr>
        <w:t>. Concernant les activités de conversion des applications de climatisation du HCFC-22 au R-290, le PNUE a signalé que le gouvernement de la Barbade est parfaitement informé des décisions du Comité exécutif en la matière.</w:t>
      </w:r>
      <w:r w:rsidRPr="003D3E41">
        <w:rPr>
          <w:rStyle w:val="FootnoteReference"/>
          <w:lang w:val="en-CA"/>
        </w:rPr>
        <w:footnoteReference w:id="4"/>
      </w:r>
      <w:r w:rsidRPr="00C748FA">
        <w:rPr>
          <w:lang w:val="fr-FR"/>
        </w:rPr>
        <w:t xml:space="preserve"> Bien que les programmes de formation traitent de l’utilisation en toute sécurité des frigorigènes inflammables et que le processus de certification couvre l’usage sans danger de ces substances lors de l’entretien des équipements, le gouvernement de la Barbade ne souhaite pas encourager la conversion des équipements à base de HCFC vers des solutions de remplacement impliquant des composés inflammables.</w:t>
      </w:r>
    </w:p>
    <w:p w:rsidR="00556295" w:rsidRPr="00556295" w:rsidRDefault="00556295" w:rsidP="00556295">
      <w:pPr>
        <w:rPr>
          <w:lang w:val="fr-FR"/>
        </w:rPr>
      </w:pPr>
      <w:bookmarkStart w:id="0" w:name="_GoBack"/>
      <w:bookmarkEnd w:id="0"/>
    </w:p>
    <w:p w:rsidR="00C748FA" w:rsidRPr="003D3E41" w:rsidRDefault="00C748FA" w:rsidP="00C748FA">
      <w:pPr>
        <w:pStyle w:val="Heading1"/>
        <w:numPr>
          <w:ilvl w:val="0"/>
          <w:numId w:val="0"/>
        </w:numPr>
        <w:rPr>
          <w:u w:val="single"/>
        </w:rPr>
      </w:pPr>
      <w:r>
        <w:rPr>
          <w:u w:val="single"/>
        </w:rPr>
        <w:lastRenderedPageBreak/>
        <w:t xml:space="preserve">Conclusion </w:t>
      </w:r>
    </w:p>
    <w:p w:rsidR="00C748FA" w:rsidRPr="00C748FA" w:rsidRDefault="00C748FA" w:rsidP="00C748FA">
      <w:pPr>
        <w:pStyle w:val="Heading1"/>
        <w:rPr>
          <w:lang w:val="fr-FR"/>
        </w:rPr>
      </w:pPr>
      <w:r w:rsidRPr="00C748FA">
        <w:rPr>
          <w:lang w:val="fr-FR"/>
        </w:rPr>
        <w:t>La mise en œuvre du PGEH progresse malgré le retard pris dans la communication de la troisième tranche. Le système national d’octroi de licences et de quotas d’importation est opérationnel et la consommation actuelle est inférieure de 58,7 % aux objectifs de 2018. La formation des agents chargés de l’application des règlements douaniers va se poursuivre afin d’assurer le renforcement de la capacité d’exécution et des processus de communication des données. La mise en œuvre de programmes de formation sur les bonnes pratiques et l’utilisation sans danger de</w:t>
      </w:r>
      <w:r w:rsidR="00F524E7">
        <w:rPr>
          <w:lang w:val="fr-FR"/>
        </w:rPr>
        <w:t>s</w:t>
      </w:r>
      <w:r w:rsidRPr="00C748FA">
        <w:rPr>
          <w:lang w:val="fr-FR"/>
        </w:rPr>
        <w:t xml:space="preserve"> frigorigènes de remplacement à l’intention des techniciens va continuer. Le déroulement des activités de formation en étroite collaboration avec l’association de la réfrigération et de la climatisation (le diplôme de technicien d’entretien des systèmes de réfrigération et de climatisation est proposé par l’Institut de technologie Samuel Jackman Prescod qui sert également de centre d’évaluation pour la certification CVQ, et les ateliers de formation sont hébergés par la Commission de formation professionnelle de la Barbade et le ministère de l’Environnement et de l’Embellissement national [</w:t>
      </w:r>
      <w:r w:rsidR="0017157D" w:rsidRPr="00C748FA">
        <w:rPr>
          <w:lang w:val="fr-FR"/>
        </w:rPr>
        <w:t>ME</w:t>
      </w:r>
      <w:r w:rsidR="0017157D">
        <w:rPr>
          <w:lang w:val="fr-FR"/>
        </w:rPr>
        <w:t>EN</w:t>
      </w:r>
      <w:r w:rsidRPr="00C748FA">
        <w:rPr>
          <w:lang w:val="fr-FR"/>
        </w:rPr>
        <w:t>]) garantit la continuité et la pérennit</w:t>
      </w:r>
      <w:r w:rsidR="00BD660B">
        <w:rPr>
          <w:lang w:val="fr-FR"/>
        </w:rPr>
        <w:t xml:space="preserve">é des programmes de formation. </w:t>
      </w:r>
      <w:r w:rsidRPr="00C748FA">
        <w:rPr>
          <w:lang w:val="fr-FR"/>
        </w:rPr>
        <w:t>Les activités prévues durant la troisième tranche devraient permettre au pays de satisfaire ses obligations en matière de conformité au titre du Protocole. Le décaissement du financement de la deuxième tranche a atteint 72 %.</w:t>
      </w:r>
    </w:p>
    <w:p w:rsidR="00C748FA" w:rsidRPr="003D3E41" w:rsidRDefault="00C748FA" w:rsidP="00C748FA">
      <w:r>
        <w:rPr>
          <w:b/>
        </w:rPr>
        <w:t>RECOMMANDATION</w:t>
      </w:r>
    </w:p>
    <w:p w:rsidR="00C748FA" w:rsidRPr="003D3E41" w:rsidRDefault="00C748FA" w:rsidP="00C748FA">
      <w:pPr>
        <w:rPr>
          <w:lang w:val="en-CA"/>
        </w:rPr>
      </w:pPr>
    </w:p>
    <w:p w:rsidR="00C748FA" w:rsidRPr="00C748FA" w:rsidRDefault="00C748FA" w:rsidP="00C748FA">
      <w:pPr>
        <w:pStyle w:val="Heading1"/>
        <w:rPr>
          <w:lang w:val="fr-FR"/>
        </w:rPr>
      </w:pPr>
      <w:r w:rsidRPr="00C748FA">
        <w:rPr>
          <w:lang w:val="fr-FR"/>
        </w:rPr>
        <w:t>Le Secrétariat du Fonds recommande que le Comité exécutif prenne note du rapport périodique sur la mise en œuvre de la deuxième tranche de la phase I du plan de gestion de l’élimination des HCFC (PGEH) pour la Barbade; et recommande en outre l’approbation globale de la troisième tranche de la phase I du PGEH pour la Barbade, ainsi que du plan de mise en œuvre de la tranche 2019-2020 correspondant, au niveau de financement figu</w:t>
      </w:r>
      <w:r w:rsidR="00F524E7">
        <w:rPr>
          <w:lang w:val="fr-FR"/>
        </w:rPr>
        <w:t>rant dans le tableau ci-après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C748FA" w:rsidRPr="003D3E41" w:rsidTr="00F524E7">
        <w:tc>
          <w:tcPr>
            <w:tcW w:w="540" w:type="dxa"/>
            <w:vAlign w:val="center"/>
          </w:tcPr>
          <w:p w:rsidR="00C748FA" w:rsidRPr="003646CD" w:rsidRDefault="00C748FA" w:rsidP="00F524E7">
            <w:pPr>
              <w:jc w:val="center"/>
              <w:rPr>
                <w:b/>
                <w:bCs/>
                <w:sz w:val="20"/>
                <w:szCs w:val="20"/>
                <w:lang w:val="fr-FR"/>
              </w:rPr>
            </w:pPr>
          </w:p>
        </w:tc>
        <w:tc>
          <w:tcPr>
            <w:tcW w:w="4320" w:type="dxa"/>
            <w:vAlign w:val="center"/>
          </w:tcPr>
          <w:p w:rsidR="00C748FA" w:rsidRPr="003D3E41" w:rsidRDefault="00C748FA" w:rsidP="00F524E7">
            <w:pPr>
              <w:jc w:val="center"/>
              <w:rPr>
                <w:b/>
                <w:bCs/>
                <w:sz w:val="20"/>
                <w:szCs w:val="20"/>
              </w:rPr>
            </w:pPr>
            <w:r>
              <w:rPr>
                <w:b/>
                <w:bCs/>
                <w:sz w:val="20"/>
                <w:szCs w:val="20"/>
              </w:rPr>
              <w:t>Titre du projet</w:t>
            </w:r>
          </w:p>
        </w:tc>
        <w:tc>
          <w:tcPr>
            <w:tcW w:w="1461" w:type="dxa"/>
            <w:tcMar>
              <w:left w:w="29" w:type="dxa"/>
              <w:right w:w="29" w:type="dxa"/>
            </w:tcMar>
            <w:vAlign w:val="center"/>
          </w:tcPr>
          <w:p w:rsidR="00C748FA" w:rsidRPr="003D3E41" w:rsidRDefault="00C748FA" w:rsidP="00F524E7">
            <w:pPr>
              <w:jc w:val="center"/>
              <w:rPr>
                <w:b/>
                <w:bCs/>
                <w:sz w:val="20"/>
                <w:szCs w:val="20"/>
              </w:rPr>
            </w:pPr>
            <w:r>
              <w:rPr>
                <w:b/>
                <w:bCs/>
                <w:sz w:val="20"/>
                <w:szCs w:val="20"/>
              </w:rPr>
              <w:t>Financement du projet ($ US)</w:t>
            </w:r>
          </w:p>
        </w:tc>
        <w:tc>
          <w:tcPr>
            <w:tcW w:w="1461" w:type="dxa"/>
            <w:tcMar>
              <w:left w:w="29" w:type="dxa"/>
              <w:right w:w="29" w:type="dxa"/>
            </w:tcMar>
            <w:vAlign w:val="center"/>
          </w:tcPr>
          <w:p w:rsidR="00C748FA" w:rsidRPr="003D3E41" w:rsidRDefault="00C748FA" w:rsidP="00F524E7">
            <w:pPr>
              <w:jc w:val="center"/>
              <w:rPr>
                <w:b/>
                <w:bCs/>
                <w:sz w:val="20"/>
                <w:szCs w:val="20"/>
              </w:rPr>
            </w:pPr>
            <w:r>
              <w:rPr>
                <w:b/>
                <w:bCs/>
                <w:sz w:val="20"/>
                <w:szCs w:val="20"/>
              </w:rPr>
              <w:t>Coûts d’appui ($ US)</w:t>
            </w:r>
          </w:p>
        </w:tc>
        <w:tc>
          <w:tcPr>
            <w:tcW w:w="1461" w:type="dxa"/>
            <w:tcMar>
              <w:left w:w="29" w:type="dxa"/>
              <w:right w:w="29" w:type="dxa"/>
            </w:tcMar>
            <w:vAlign w:val="center"/>
          </w:tcPr>
          <w:p w:rsidR="00C748FA" w:rsidRPr="003D3E41" w:rsidRDefault="00C748FA" w:rsidP="00F524E7">
            <w:pPr>
              <w:jc w:val="center"/>
              <w:rPr>
                <w:b/>
                <w:bCs/>
                <w:sz w:val="20"/>
                <w:szCs w:val="20"/>
              </w:rPr>
            </w:pPr>
            <w:r>
              <w:rPr>
                <w:b/>
                <w:bCs/>
                <w:sz w:val="20"/>
                <w:szCs w:val="20"/>
              </w:rPr>
              <w:t>Agence d’exécution principale</w:t>
            </w:r>
          </w:p>
        </w:tc>
      </w:tr>
      <w:tr w:rsidR="00C748FA" w:rsidRPr="003D3E41" w:rsidTr="00F524E7">
        <w:tc>
          <w:tcPr>
            <w:tcW w:w="540" w:type="dxa"/>
            <w:vAlign w:val="center"/>
          </w:tcPr>
          <w:p w:rsidR="00C748FA" w:rsidRPr="003D3E41" w:rsidRDefault="00C748FA" w:rsidP="00F524E7">
            <w:pPr>
              <w:jc w:val="center"/>
              <w:rPr>
                <w:sz w:val="20"/>
                <w:szCs w:val="20"/>
              </w:rPr>
            </w:pPr>
            <w:r>
              <w:rPr>
                <w:sz w:val="20"/>
                <w:szCs w:val="20"/>
              </w:rPr>
              <w:t>(a)</w:t>
            </w:r>
          </w:p>
        </w:tc>
        <w:tc>
          <w:tcPr>
            <w:tcW w:w="4320" w:type="dxa"/>
            <w:vAlign w:val="center"/>
          </w:tcPr>
          <w:p w:rsidR="00C748FA" w:rsidRPr="00C748FA" w:rsidRDefault="00C748FA" w:rsidP="00F524E7">
            <w:pPr>
              <w:jc w:val="center"/>
              <w:rPr>
                <w:sz w:val="20"/>
                <w:szCs w:val="20"/>
                <w:lang w:val="fr-FR"/>
              </w:rPr>
            </w:pPr>
            <w:r w:rsidRPr="00C748FA">
              <w:rPr>
                <w:sz w:val="20"/>
                <w:szCs w:val="20"/>
                <w:lang w:val="fr-FR"/>
              </w:rPr>
              <w:t>Plan de gestion de l’élimination des HCFC (phase I, troisième tranche)</w:t>
            </w:r>
          </w:p>
        </w:tc>
        <w:tc>
          <w:tcPr>
            <w:tcW w:w="1461" w:type="dxa"/>
            <w:vAlign w:val="center"/>
          </w:tcPr>
          <w:p w:rsidR="00C748FA" w:rsidRPr="003D3E41" w:rsidRDefault="00C748FA" w:rsidP="00F524E7">
            <w:pPr>
              <w:jc w:val="center"/>
              <w:rPr>
                <w:sz w:val="20"/>
                <w:szCs w:val="20"/>
              </w:rPr>
            </w:pPr>
            <w:r>
              <w:rPr>
                <w:sz w:val="20"/>
                <w:szCs w:val="20"/>
              </w:rPr>
              <w:t>42 000</w:t>
            </w:r>
          </w:p>
        </w:tc>
        <w:tc>
          <w:tcPr>
            <w:tcW w:w="1461" w:type="dxa"/>
            <w:vAlign w:val="center"/>
          </w:tcPr>
          <w:p w:rsidR="00C748FA" w:rsidRPr="003D3E41" w:rsidRDefault="00C748FA" w:rsidP="00F524E7">
            <w:pPr>
              <w:jc w:val="center"/>
            </w:pPr>
            <w:r>
              <w:rPr>
                <w:sz w:val="20"/>
                <w:szCs w:val="20"/>
              </w:rPr>
              <w:t>5 460</w:t>
            </w:r>
          </w:p>
        </w:tc>
        <w:tc>
          <w:tcPr>
            <w:tcW w:w="1461" w:type="dxa"/>
            <w:vAlign w:val="center"/>
          </w:tcPr>
          <w:p w:rsidR="00C748FA" w:rsidRPr="003D3E41" w:rsidRDefault="00C748FA" w:rsidP="00F524E7">
            <w:pPr>
              <w:jc w:val="center"/>
              <w:rPr>
                <w:sz w:val="20"/>
                <w:szCs w:val="20"/>
              </w:rPr>
            </w:pPr>
            <w:r>
              <w:rPr>
                <w:sz w:val="20"/>
                <w:szCs w:val="20"/>
              </w:rPr>
              <w:t>PNUE</w:t>
            </w:r>
          </w:p>
        </w:tc>
      </w:tr>
    </w:tbl>
    <w:p w:rsidR="00C748FA" w:rsidRPr="003D3E41" w:rsidRDefault="00C748FA" w:rsidP="00C748FA">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C748FA" w:rsidRPr="003D3E41" w:rsidTr="009C53C1">
        <w:tc>
          <w:tcPr>
            <w:tcW w:w="1915" w:type="dxa"/>
          </w:tcPr>
          <w:p w:rsidR="00C748FA" w:rsidRPr="003D3E41" w:rsidRDefault="00C748FA" w:rsidP="009C53C1">
            <w:pPr>
              <w:tabs>
                <w:tab w:val="left" w:pos="8280"/>
              </w:tabs>
            </w:pPr>
          </w:p>
        </w:tc>
        <w:tc>
          <w:tcPr>
            <w:tcW w:w="1915" w:type="dxa"/>
          </w:tcPr>
          <w:p w:rsidR="00C748FA" w:rsidRPr="003D3E41" w:rsidRDefault="00C748FA" w:rsidP="009C53C1">
            <w:pPr>
              <w:tabs>
                <w:tab w:val="left" w:pos="8280"/>
              </w:tabs>
            </w:pPr>
          </w:p>
        </w:tc>
        <w:tc>
          <w:tcPr>
            <w:tcW w:w="1915" w:type="dxa"/>
            <w:tcBorders>
              <w:bottom w:val="single" w:sz="4" w:space="0" w:color="auto"/>
            </w:tcBorders>
          </w:tcPr>
          <w:p w:rsidR="00C748FA" w:rsidRPr="003D3E41" w:rsidRDefault="00C748FA" w:rsidP="009C53C1">
            <w:pPr>
              <w:tabs>
                <w:tab w:val="left" w:pos="8280"/>
              </w:tabs>
            </w:pPr>
          </w:p>
        </w:tc>
        <w:tc>
          <w:tcPr>
            <w:tcW w:w="1915" w:type="dxa"/>
          </w:tcPr>
          <w:p w:rsidR="00C748FA" w:rsidRPr="003D3E41" w:rsidRDefault="00C748FA" w:rsidP="009C53C1">
            <w:pPr>
              <w:tabs>
                <w:tab w:val="left" w:pos="8280"/>
              </w:tabs>
            </w:pPr>
          </w:p>
        </w:tc>
        <w:tc>
          <w:tcPr>
            <w:tcW w:w="1916" w:type="dxa"/>
          </w:tcPr>
          <w:p w:rsidR="00C748FA" w:rsidRPr="003D3E41" w:rsidRDefault="00C748FA" w:rsidP="009C53C1">
            <w:pPr>
              <w:tabs>
                <w:tab w:val="left" w:pos="8280"/>
              </w:tabs>
            </w:pPr>
          </w:p>
        </w:tc>
      </w:tr>
    </w:tbl>
    <w:p w:rsidR="00C748FA" w:rsidRPr="003D3E41" w:rsidRDefault="00C748FA" w:rsidP="00C748FA">
      <w:pPr>
        <w:tabs>
          <w:tab w:val="left" w:pos="8280"/>
        </w:tabs>
        <w:rPr>
          <w:lang w:val="en-CA"/>
        </w:rPr>
      </w:pPr>
    </w:p>
    <w:p w:rsidR="00C748FA" w:rsidRPr="00C748FA" w:rsidRDefault="00C748FA" w:rsidP="00C748FA">
      <w:pPr>
        <w:rPr>
          <w:lang w:val="fr-FR"/>
        </w:rPr>
      </w:pPr>
    </w:p>
    <w:p w:rsidR="00441083" w:rsidRDefault="00441083">
      <w:pPr>
        <w:rPr>
          <w:lang w:val="fr-FR"/>
        </w:rPr>
        <w:sectPr w:rsidR="00441083">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cols w:space="720"/>
          <w:titlePg/>
        </w:sectPr>
      </w:pPr>
    </w:p>
    <w:p w:rsidR="00441083" w:rsidRDefault="00441083" w:rsidP="00756FA7">
      <w:pPr>
        <w:rPr>
          <w:lang w:val="fr-FR"/>
        </w:rPr>
      </w:pPr>
    </w:p>
    <w:sectPr w:rsidR="00441083" w:rsidSect="00F464F9">
      <w:headerReference w:type="first" r:id="rId15"/>
      <w:footerReference w:type="first" r:id="rId16"/>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C6" w:rsidRDefault="00F163C6">
      <w:r>
        <w:separator/>
      </w:r>
    </w:p>
  </w:endnote>
  <w:endnote w:type="continuationSeparator" w:id="0">
    <w:p w:rsidR="00F163C6" w:rsidRDefault="00F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790401">
    <w:pPr>
      <w:jc w:val="center"/>
    </w:pPr>
    <w:r>
      <w:fldChar w:fldCharType="begin"/>
    </w:r>
    <w:r w:rsidR="00E60D9C">
      <w:instrText xml:space="preserve"> PAGE </w:instrText>
    </w:r>
    <w:r>
      <w:fldChar w:fldCharType="separate"/>
    </w:r>
    <w:r w:rsidR="00B65258">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790401">
    <w:pPr>
      <w:jc w:val="center"/>
    </w:pPr>
    <w:r>
      <w:fldChar w:fldCharType="begin"/>
    </w:r>
    <w:r w:rsidR="00E60D9C">
      <w:instrText xml:space="preserve"> PAGE </w:instrText>
    </w:r>
    <w:r>
      <w:fldChar w:fldCharType="separate"/>
    </w:r>
    <w:r w:rsidR="00B65258">
      <w:rPr>
        <w:noProof/>
      </w:rPr>
      <w:t>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Les documents de présession du Comité exécutif du Fonds multilatéral aux fins d’application du Protocole de </w:t>
    </w:r>
  </w:p>
  <w:p w:rsidR="00441083" w:rsidRDefault="00E60D9C">
    <w:pPr>
      <w:pBdr>
        <w:top w:val="single" w:sz="4" w:space="1" w:color="auto"/>
        <w:left w:val="single" w:sz="4" w:space="4" w:color="auto"/>
        <w:bottom w:val="single" w:sz="4" w:space="1" w:color="auto"/>
        <w:right w:val="single" w:sz="4" w:space="4" w:color="auto"/>
      </w:pBdr>
      <w:jc w:val="center"/>
      <w:rPr>
        <w:rFonts w:cs="MS Serif"/>
        <w:sz w:val="20"/>
        <w:lang w:val="fr-FR"/>
      </w:rPr>
    </w:pPr>
    <w:r>
      <w:rPr>
        <w:rFonts w:cs="MS Serif"/>
        <w:sz w:val="20"/>
        <w:lang w:val="fr-FR"/>
      </w:rPr>
      <w:t xml:space="preserve">Montréal sont présentés sous réserve des décisions pouvant être prises par le Comité exécutif après </w:t>
    </w:r>
    <w:r w:rsidR="005B3CAD">
      <w:rPr>
        <w:rFonts w:cs="MS Serif"/>
        <w:sz w:val="20"/>
        <w:lang w:val="fr-FR"/>
      </w:rPr>
      <w:t>leur publication</w:t>
    </w:r>
    <w:r>
      <w:rPr>
        <w:rFonts w:cs="MS Serif"/>
        <w:sz w:val="20"/>
        <w:lang w:val="fr-FR"/>
      </w:rPr>
      <w:t>.</w:t>
    </w:r>
  </w:p>
  <w:p w:rsidR="00441083" w:rsidRDefault="00441083">
    <w:pPr>
      <w:pStyle w:val="Footer"/>
      <w:rPr>
        <w:lang w:val="fr-F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8631"/>
      <w:docPartObj>
        <w:docPartGallery w:val="Page Numbers (Bottom of Page)"/>
        <w:docPartUnique/>
      </w:docPartObj>
    </w:sdtPr>
    <w:sdtEndPr>
      <w:rPr>
        <w:noProof/>
      </w:rPr>
    </w:sdtEndPr>
    <w:sdtContent>
      <w:p w:rsidR="00441083" w:rsidRDefault="00A41506">
        <w:pPr>
          <w:pStyle w:val="Footer"/>
          <w:jc w:val="center"/>
        </w:pPr>
        <w:r>
          <w:t>9</w:t>
        </w:r>
      </w:p>
    </w:sdtContent>
  </w:sdt>
  <w:p w:rsidR="00441083" w:rsidRDefault="00441083">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C6" w:rsidRDefault="00F163C6">
      <w:r>
        <w:separator/>
      </w:r>
    </w:p>
  </w:footnote>
  <w:footnote w:type="continuationSeparator" w:id="0">
    <w:p w:rsidR="00F163C6" w:rsidRDefault="00F163C6">
      <w:r>
        <w:continuationSeparator/>
      </w:r>
    </w:p>
  </w:footnote>
  <w:footnote w:id="1">
    <w:p w:rsidR="00C748FA" w:rsidRPr="00FE3307" w:rsidRDefault="00C748FA" w:rsidP="00C748FA">
      <w:pPr>
        <w:pStyle w:val="FootnoteText"/>
      </w:pPr>
      <w:r>
        <w:rPr>
          <w:rStyle w:val="FootnoteReference"/>
        </w:rPr>
        <w:footnoteRef/>
      </w:r>
      <w:r>
        <w:t xml:space="preserve"> Voir la lettre du 7 octobre 2019 du ministère de l’Environnement et de l’Embellissement national (</w:t>
      </w:r>
      <w:r w:rsidR="0017157D" w:rsidRPr="00C748FA">
        <w:t>ME</w:t>
      </w:r>
      <w:r w:rsidR="0017157D">
        <w:t>EN</w:t>
      </w:r>
      <w:r>
        <w:t>) de la Barbade au Secrétariat.</w:t>
      </w:r>
    </w:p>
  </w:footnote>
  <w:footnote w:id="2">
    <w:p w:rsidR="00C748FA" w:rsidRPr="00A14B3C" w:rsidRDefault="00C748FA" w:rsidP="00C748FA">
      <w:pPr>
        <w:pStyle w:val="FootnoteText"/>
      </w:pPr>
      <w:r>
        <w:rPr>
          <w:rStyle w:val="FootnoteReference"/>
        </w:rPr>
        <w:footnoteRef/>
      </w:r>
      <w:r>
        <w:t xml:space="preserve"> Paragraphe 6 du document UNEP/OzL.Pro/ExCom/80/33</w:t>
      </w:r>
    </w:p>
  </w:footnote>
  <w:footnote w:id="3">
    <w:p w:rsidR="00C748FA" w:rsidRPr="002774E5" w:rsidRDefault="00C748FA" w:rsidP="00C748FA">
      <w:pPr>
        <w:pStyle w:val="FootnoteText"/>
      </w:pPr>
      <w:r>
        <w:rPr>
          <w:rStyle w:val="FootnoteReference"/>
        </w:rPr>
        <w:footnoteRef/>
      </w:r>
      <w:r>
        <w:t xml:space="preserve"> Paragraphe 12 du document UNEP/OzL.Pro/ExCom/80/33</w:t>
      </w:r>
    </w:p>
  </w:footnote>
  <w:footnote w:id="4">
    <w:p w:rsidR="00C748FA" w:rsidRPr="00440705" w:rsidRDefault="00C748FA" w:rsidP="00C748FA">
      <w:pPr>
        <w:pStyle w:val="FootnoteText"/>
      </w:pPr>
      <w:r>
        <w:rPr>
          <w:rStyle w:val="FootnoteReference"/>
        </w:rPr>
        <w:footnoteRef/>
      </w:r>
      <w:r>
        <w:t xml:space="preserve"> Décisions 72/17 et 73/34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790401">
    <w:r>
      <w:fldChar w:fldCharType="begin"/>
    </w:r>
    <w:r w:rsidR="00FE431D">
      <w:instrText xml:space="preserve"> DOCPROPERTY "Document number"  \* MERGEFORMAT </w:instrText>
    </w:r>
    <w:r>
      <w:fldChar w:fldCharType="separate"/>
    </w:r>
    <w:r w:rsidR="0051666A">
      <w:t>UNEP/OzL.Pro/ExCom/84/41</w:t>
    </w:r>
    <w:r>
      <w:fldChar w:fldCharType="end"/>
    </w:r>
  </w:p>
  <w:p w:rsidR="00441083" w:rsidRDefault="00441083"/>
  <w:p w:rsidR="00441083" w:rsidRDefault="004410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790401">
    <w:pPr>
      <w:jc w:val="right"/>
    </w:pPr>
    <w:r>
      <w:fldChar w:fldCharType="begin"/>
    </w:r>
    <w:r w:rsidR="00FE431D">
      <w:instrText xml:space="preserve"> DOCPROPERTY "Document number"  \* MERGEFORMAT </w:instrText>
    </w:r>
    <w:r>
      <w:fldChar w:fldCharType="separate"/>
    </w:r>
    <w:r w:rsidR="0051666A">
      <w:t>UNEP/OzL.Pro/ExCom/84/41</w:t>
    </w:r>
    <w:r>
      <w:fldChar w:fldCharType="end"/>
    </w:r>
  </w:p>
  <w:p w:rsidR="00441083" w:rsidRDefault="00441083"/>
  <w:p w:rsidR="00441083" w:rsidRDefault="004410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83" w:rsidRDefault="00790401">
    <w:pPr>
      <w:jc w:val="right"/>
    </w:pPr>
    <w:r>
      <w:fldChar w:fldCharType="begin"/>
    </w:r>
    <w:r w:rsidR="00FE431D">
      <w:instrText xml:space="preserve"> DOCPROPERTY "Document number"  \* MERGEFORMAT </w:instrText>
    </w:r>
    <w:r>
      <w:fldChar w:fldCharType="separate"/>
    </w:r>
    <w:r w:rsidR="00D05444">
      <w:t>UNEP/OzL.Pro/ExCom/84/1</w:t>
    </w:r>
    <w:r>
      <w:fldChar w:fldCharType="end"/>
    </w:r>
  </w:p>
  <w:p w:rsidR="00441083" w:rsidRDefault="00441083">
    <w:pPr>
      <w:jc w:val="right"/>
    </w:pPr>
  </w:p>
  <w:p w:rsidR="00441083" w:rsidRDefault="0044108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144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05E00F85"/>
    <w:multiLevelType w:val="hybridMultilevel"/>
    <w:tmpl w:val="0262C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7A837CD"/>
    <w:multiLevelType w:val="hybridMultilevel"/>
    <w:tmpl w:val="EA741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5"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8"/>
  </w:num>
  <w:num w:numId="20">
    <w:abstractNumId w:val="14"/>
  </w:num>
  <w:num w:numId="21">
    <w:abstractNumId w:val="11"/>
  </w:num>
  <w:num w:numId="22">
    <w:abstractNumId w:val="12"/>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48FA"/>
    <w:rsid w:val="00000294"/>
    <w:rsid w:val="00060325"/>
    <w:rsid w:val="00060577"/>
    <w:rsid w:val="0007545C"/>
    <w:rsid w:val="000E519D"/>
    <w:rsid w:val="000F6C8E"/>
    <w:rsid w:val="0017157D"/>
    <w:rsid w:val="001C3D0C"/>
    <w:rsid w:val="001D4CE7"/>
    <w:rsid w:val="00243084"/>
    <w:rsid w:val="00265AF0"/>
    <w:rsid w:val="002F0B57"/>
    <w:rsid w:val="003A0CA4"/>
    <w:rsid w:val="00441083"/>
    <w:rsid w:val="004C2C87"/>
    <w:rsid w:val="004E3A36"/>
    <w:rsid w:val="0051666A"/>
    <w:rsid w:val="005243B8"/>
    <w:rsid w:val="00556295"/>
    <w:rsid w:val="005B3CAD"/>
    <w:rsid w:val="005C278F"/>
    <w:rsid w:val="00605093"/>
    <w:rsid w:val="007034FA"/>
    <w:rsid w:val="00756FA7"/>
    <w:rsid w:val="0075750B"/>
    <w:rsid w:val="00790401"/>
    <w:rsid w:val="007F1D3A"/>
    <w:rsid w:val="007F7DFC"/>
    <w:rsid w:val="00821E97"/>
    <w:rsid w:val="00896253"/>
    <w:rsid w:val="0091161A"/>
    <w:rsid w:val="00972E99"/>
    <w:rsid w:val="009A5180"/>
    <w:rsid w:val="009C7E60"/>
    <w:rsid w:val="00A07071"/>
    <w:rsid w:val="00A41506"/>
    <w:rsid w:val="00A472CE"/>
    <w:rsid w:val="00AC013C"/>
    <w:rsid w:val="00AE63D8"/>
    <w:rsid w:val="00B5147E"/>
    <w:rsid w:val="00B65258"/>
    <w:rsid w:val="00B811F2"/>
    <w:rsid w:val="00BC3C7D"/>
    <w:rsid w:val="00BD660B"/>
    <w:rsid w:val="00C5265F"/>
    <w:rsid w:val="00C6443E"/>
    <w:rsid w:val="00C73693"/>
    <w:rsid w:val="00C748FA"/>
    <w:rsid w:val="00D05444"/>
    <w:rsid w:val="00D35097"/>
    <w:rsid w:val="00D7654A"/>
    <w:rsid w:val="00DB4E64"/>
    <w:rsid w:val="00DD3433"/>
    <w:rsid w:val="00E348C6"/>
    <w:rsid w:val="00E47F7B"/>
    <w:rsid w:val="00E54871"/>
    <w:rsid w:val="00E60D9C"/>
    <w:rsid w:val="00EB2067"/>
    <w:rsid w:val="00F163C6"/>
    <w:rsid w:val="00F37A42"/>
    <w:rsid w:val="00F464F9"/>
    <w:rsid w:val="00F524E7"/>
    <w:rsid w:val="00F557F5"/>
    <w:rsid w:val="00FA12E7"/>
    <w:rsid w:val="00FC0D87"/>
    <w:rsid w:val="00FC3BA3"/>
    <w:rsid w:val="00FC5578"/>
    <w:rsid w:val="00FD22FE"/>
    <w:rsid w:val="00FE431D"/>
    <w:rsid w:val="00FF3C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BBD1D-C5EB-4216-A366-A276E485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F9"/>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Título 11"/>
    <w:basedOn w:val="Normal"/>
    <w:next w:val="Normal"/>
    <w:link w:val="Heading1Char1"/>
    <w:qFormat/>
    <w:rsid w:val="00F464F9"/>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qFormat/>
    <w:rsid w:val="00F464F9"/>
    <w:pPr>
      <w:widowControl w:val="0"/>
      <w:numPr>
        <w:ilvl w:val="1"/>
        <w:numId w:val="2"/>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Char"/>
    <w:basedOn w:val="Normal"/>
    <w:next w:val="Normal"/>
    <w:qFormat/>
    <w:rsid w:val="00F464F9"/>
    <w:pPr>
      <w:widowControl w:val="0"/>
      <w:numPr>
        <w:ilvl w:val="2"/>
        <w:numId w:val="3"/>
      </w:numPr>
      <w:spacing w:after="240"/>
      <w:outlineLvl w:val="2"/>
    </w:pPr>
  </w:style>
  <w:style w:type="paragraph" w:styleId="Heading4">
    <w:name w:val="heading 4"/>
    <w:aliases w:val="Heading 11,para 4,Título 41,heading 4,Heading 41"/>
    <w:basedOn w:val="Normal"/>
    <w:next w:val="Heading9"/>
    <w:qFormat/>
    <w:rsid w:val="00F464F9"/>
    <w:pPr>
      <w:keepNext/>
      <w:numPr>
        <w:ilvl w:val="3"/>
        <w:numId w:val="4"/>
      </w:numPr>
      <w:spacing w:before="240" w:after="60"/>
      <w:outlineLvl w:val="3"/>
    </w:pPr>
  </w:style>
  <w:style w:type="paragraph" w:styleId="Heading5">
    <w:name w:val="heading 5"/>
    <w:basedOn w:val="Normal"/>
    <w:next w:val="Normal"/>
    <w:qFormat/>
    <w:rsid w:val="00F464F9"/>
    <w:pPr>
      <w:keepNext/>
      <w:numPr>
        <w:numId w:val="20"/>
      </w:numPr>
      <w:spacing w:after="240"/>
      <w:ind w:left="3600" w:hanging="720"/>
      <w:outlineLvl w:val="4"/>
    </w:pPr>
  </w:style>
  <w:style w:type="paragraph" w:styleId="Heading6">
    <w:name w:val="heading 6"/>
    <w:basedOn w:val="Normal"/>
    <w:next w:val="Normal"/>
    <w:qFormat/>
    <w:rsid w:val="00F464F9"/>
    <w:pPr>
      <w:numPr>
        <w:ilvl w:val="5"/>
        <w:numId w:val="1"/>
      </w:numPr>
      <w:spacing w:before="240" w:after="60"/>
      <w:outlineLvl w:val="5"/>
    </w:pPr>
    <w:rPr>
      <w:rFonts w:ascii="Arial" w:hAnsi="Arial"/>
      <w:i/>
    </w:rPr>
  </w:style>
  <w:style w:type="paragraph" w:styleId="Heading7">
    <w:name w:val="heading 7"/>
    <w:basedOn w:val="Normal"/>
    <w:next w:val="Normal"/>
    <w:qFormat/>
    <w:rsid w:val="00F464F9"/>
    <w:pPr>
      <w:numPr>
        <w:ilvl w:val="6"/>
        <w:numId w:val="1"/>
      </w:numPr>
      <w:spacing w:before="240" w:after="60"/>
      <w:outlineLvl w:val="6"/>
    </w:pPr>
    <w:rPr>
      <w:rFonts w:ascii="Arial" w:hAnsi="Arial"/>
    </w:rPr>
  </w:style>
  <w:style w:type="paragraph" w:styleId="Heading8">
    <w:name w:val="heading 8"/>
    <w:basedOn w:val="Normal"/>
    <w:next w:val="Normal"/>
    <w:qFormat/>
    <w:rsid w:val="00F464F9"/>
    <w:pPr>
      <w:outlineLvl w:val="7"/>
    </w:pPr>
    <w:rPr>
      <w:b/>
    </w:rPr>
  </w:style>
  <w:style w:type="paragraph" w:styleId="Heading9">
    <w:name w:val="heading 9"/>
    <w:basedOn w:val="Normal"/>
    <w:next w:val="Normal"/>
    <w:qFormat/>
    <w:rsid w:val="00F464F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464F9"/>
    <w:pPr>
      <w:numPr>
        <w:numId w:val="16"/>
      </w:numPr>
    </w:pPr>
  </w:style>
  <w:style w:type="paragraph" w:styleId="Header">
    <w:name w:val="header"/>
    <w:basedOn w:val="Normal"/>
    <w:rsid w:val="00F464F9"/>
    <w:pPr>
      <w:tabs>
        <w:tab w:val="center" w:pos="4320"/>
        <w:tab w:val="right" w:pos="8640"/>
      </w:tabs>
    </w:pPr>
  </w:style>
  <w:style w:type="paragraph" w:customStyle="1" w:styleId="sub-title">
    <w:name w:val="sub-title"/>
    <w:rsid w:val="00F464F9"/>
    <w:pPr>
      <w:jc w:val="both"/>
      <w:outlineLvl w:val="0"/>
    </w:pPr>
    <w:rPr>
      <w:b/>
      <w:noProof/>
      <w:sz w:val="22"/>
      <w:szCs w:val="22"/>
    </w:rPr>
  </w:style>
  <w:style w:type="paragraph" w:customStyle="1" w:styleId="Title1">
    <w:name w:val="Title1"/>
    <w:rsid w:val="00F464F9"/>
    <w:pPr>
      <w:jc w:val="center"/>
      <w:outlineLvl w:val="0"/>
    </w:pPr>
    <w:rPr>
      <w:b/>
      <w:caps/>
      <w:sz w:val="22"/>
      <w:szCs w:val="22"/>
      <w:lang w:val="en-GB"/>
    </w:rPr>
  </w:style>
  <w:style w:type="paragraph" w:customStyle="1" w:styleId="Decision">
    <w:name w:val="Decision"/>
    <w:basedOn w:val="Normal"/>
    <w:rsid w:val="00F464F9"/>
    <w:pPr>
      <w:keepLines/>
      <w:jc w:val="right"/>
    </w:pPr>
    <w:rPr>
      <w:b/>
    </w:rPr>
  </w:style>
  <w:style w:type="paragraph" w:customStyle="1" w:styleId="0Heading0">
    <w:name w:val="0 Heading 0"/>
    <w:rsid w:val="00F464F9"/>
    <w:rPr>
      <w:sz w:val="22"/>
      <w:szCs w:val="22"/>
      <w:lang w:val="en-GB"/>
    </w:rPr>
  </w:style>
  <w:style w:type="paragraph" w:styleId="Footer">
    <w:name w:val="footer"/>
    <w:basedOn w:val="Normal"/>
    <w:link w:val="FooterChar"/>
    <w:uiPriority w:val="99"/>
    <w:rsid w:val="00F464F9"/>
    <w:pPr>
      <w:tabs>
        <w:tab w:val="center" w:pos="4320"/>
        <w:tab w:val="right" w:pos="8640"/>
      </w:tabs>
    </w:pPr>
  </w:style>
  <w:style w:type="numbering" w:styleId="1ai">
    <w:name w:val="Outline List 1"/>
    <w:basedOn w:val="NoList"/>
    <w:semiHidden/>
    <w:rsid w:val="00F464F9"/>
    <w:pPr>
      <w:numPr>
        <w:numId w:val="17"/>
      </w:numPr>
    </w:pPr>
  </w:style>
  <w:style w:type="numbering" w:styleId="ArticleSection">
    <w:name w:val="Outline List 3"/>
    <w:basedOn w:val="NoList"/>
    <w:semiHidden/>
    <w:rsid w:val="00F464F9"/>
    <w:pPr>
      <w:numPr>
        <w:numId w:val="18"/>
      </w:numPr>
    </w:pPr>
  </w:style>
  <w:style w:type="paragraph" w:styleId="BlockText">
    <w:name w:val="Block Text"/>
    <w:basedOn w:val="Normal"/>
    <w:semiHidden/>
    <w:rsid w:val="00F464F9"/>
    <w:pPr>
      <w:spacing w:after="120"/>
      <w:ind w:left="1440" w:right="1440"/>
    </w:pPr>
  </w:style>
  <w:style w:type="paragraph" w:styleId="BodyText3">
    <w:name w:val="Body Text 3"/>
    <w:basedOn w:val="Normal"/>
    <w:semiHidden/>
    <w:rsid w:val="00F464F9"/>
    <w:pPr>
      <w:spacing w:after="120"/>
    </w:pPr>
    <w:rPr>
      <w:sz w:val="16"/>
      <w:szCs w:val="16"/>
    </w:rPr>
  </w:style>
  <w:style w:type="paragraph" w:styleId="BodyTextIndent3">
    <w:name w:val="Body Text Indent 3"/>
    <w:basedOn w:val="Normal"/>
    <w:semiHidden/>
    <w:rsid w:val="00F464F9"/>
    <w:pPr>
      <w:spacing w:after="120"/>
      <w:ind w:left="360"/>
    </w:pPr>
    <w:rPr>
      <w:sz w:val="16"/>
      <w:szCs w:val="16"/>
    </w:rPr>
  </w:style>
  <w:style w:type="paragraph" w:styleId="PlainText">
    <w:name w:val="Plain Text"/>
    <w:basedOn w:val="Normal"/>
    <w:semiHidden/>
    <w:rsid w:val="00F464F9"/>
    <w:rPr>
      <w:rFonts w:ascii="Courier New" w:hAnsi="Courier New" w:cs="Courier New"/>
      <w:sz w:val="20"/>
    </w:rPr>
  </w:style>
  <w:style w:type="table" w:styleId="Table3Deffects1">
    <w:name w:val="Table 3D effects 1"/>
    <w:basedOn w:val="TableNormal"/>
    <w:semiHidden/>
    <w:rsid w:val="00F464F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64F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64F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64F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64F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64F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64F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64F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64F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64F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64F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64F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64F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64F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64F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64F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64F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464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464F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64F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64F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64F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64F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64F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64F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64F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64F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64F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64F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64F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64F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64F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64F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64F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64F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64F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64F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64F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64F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64F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64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64F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64F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64F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F464F9"/>
    <w:rPr>
      <w:sz w:val="22"/>
      <w:szCs w:val="22"/>
      <w:lang w:val="en-GB"/>
    </w:rPr>
  </w:style>
  <w:style w:type="paragraph" w:customStyle="1" w:styleId="Header4">
    <w:name w:val="Header4"/>
    <w:aliases w:val="Para 4"/>
    <w:basedOn w:val="Normal"/>
    <w:next w:val="Normal"/>
    <w:rsid w:val="00F464F9"/>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F464F9"/>
    <w:rPr>
      <w:sz w:val="16"/>
      <w:szCs w:val="16"/>
    </w:rPr>
  </w:style>
  <w:style w:type="paragraph" w:styleId="Subtitle">
    <w:name w:val="Subtitle"/>
    <w:basedOn w:val="Normal"/>
    <w:qFormat/>
    <w:rsid w:val="00F464F9"/>
    <w:pPr>
      <w:spacing w:after="60"/>
      <w:jc w:val="center"/>
      <w:outlineLvl w:val="1"/>
    </w:pPr>
    <w:rPr>
      <w:rFonts w:ascii="Arial" w:hAnsi="Arial" w:cs="Arial"/>
    </w:rPr>
  </w:style>
  <w:style w:type="paragraph" w:styleId="Title">
    <w:name w:val="Title"/>
    <w:basedOn w:val="Normal"/>
    <w:qFormat/>
    <w:rsid w:val="00F464F9"/>
    <w:pPr>
      <w:spacing w:before="240" w:after="60"/>
      <w:jc w:val="center"/>
      <w:outlineLvl w:val="0"/>
    </w:pPr>
    <w:rPr>
      <w:rFonts w:ascii="Arial" w:hAnsi="Arial" w:cs="Arial"/>
      <w:b/>
      <w:bCs/>
      <w:kern w:val="28"/>
    </w:rPr>
  </w:style>
  <w:style w:type="paragraph" w:styleId="Date">
    <w:name w:val="Date"/>
    <w:basedOn w:val="Normal"/>
    <w:next w:val="Normal"/>
    <w:rsid w:val="00F464F9"/>
  </w:style>
  <w:style w:type="character" w:styleId="PlaceholderText">
    <w:name w:val="Placeholder Text"/>
    <w:basedOn w:val="DefaultParagraphFont"/>
    <w:uiPriority w:val="99"/>
    <w:semiHidden/>
    <w:rsid w:val="00F464F9"/>
    <w:rPr>
      <w:color w:val="808080"/>
    </w:rPr>
  </w:style>
  <w:style w:type="paragraph" w:styleId="BalloonText">
    <w:name w:val="Balloon Text"/>
    <w:basedOn w:val="Normal"/>
    <w:link w:val="BalloonTextChar"/>
    <w:uiPriority w:val="99"/>
    <w:semiHidden/>
    <w:unhideWhenUsed/>
    <w:rsid w:val="00F464F9"/>
    <w:rPr>
      <w:rFonts w:ascii="Tahoma" w:hAnsi="Tahoma" w:cs="Tahoma"/>
      <w:sz w:val="16"/>
      <w:szCs w:val="16"/>
    </w:rPr>
  </w:style>
  <w:style w:type="character" w:customStyle="1" w:styleId="BalloonTextChar">
    <w:name w:val="Balloon Text Char"/>
    <w:basedOn w:val="DefaultParagraphFont"/>
    <w:link w:val="BalloonText"/>
    <w:uiPriority w:val="99"/>
    <w:semiHidden/>
    <w:rsid w:val="00F464F9"/>
    <w:rPr>
      <w:rFonts w:ascii="Tahoma" w:hAnsi="Tahoma" w:cs="Tahoma"/>
      <w:sz w:val="16"/>
      <w:szCs w:val="16"/>
      <w:lang w:val="en-GB"/>
    </w:rPr>
  </w:style>
  <w:style w:type="paragraph" w:styleId="CommentText">
    <w:name w:val="annotation text"/>
    <w:basedOn w:val="Normal"/>
    <w:link w:val="CommentTextChar"/>
    <w:uiPriority w:val="99"/>
    <w:semiHidden/>
    <w:unhideWhenUsed/>
    <w:rsid w:val="00F464F9"/>
    <w:rPr>
      <w:sz w:val="20"/>
      <w:szCs w:val="20"/>
    </w:rPr>
  </w:style>
  <w:style w:type="character" w:customStyle="1" w:styleId="CommentTextChar">
    <w:name w:val="Comment Text Char"/>
    <w:basedOn w:val="DefaultParagraphFont"/>
    <w:link w:val="CommentText"/>
    <w:uiPriority w:val="99"/>
    <w:semiHidden/>
    <w:rsid w:val="00F464F9"/>
    <w:rPr>
      <w:lang w:val="en-GB"/>
    </w:rPr>
  </w:style>
  <w:style w:type="paragraph" w:styleId="CommentSubject">
    <w:name w:val="annotation subject"/>
    <w:basedOn w:val="CommentText"/>
    <w:next w:val="CommentText"/>
    <w:link w:val="CommentSubjectChar"/>
    <w:uiPriority w:val="99"/>
    <w:semiHidden/>
    <w:unhideWhenUsed/>
    <w:rsid w:val="00F464F9"/>
    <w:rPr>
      <w:b/>
      <w:bCs/>
    </w:rPr>
  </w:style>
  <w:style w:type="character" w:customStyle="1" w:styleId="CommentSubjectChar">
    <w:name w:val="Comment Subject Char"/>
    <w:basedOn w:val="CommentTextChar"/>
    <w:link w:val="CommentSubject"/>
    <w:uiPriority w:val="99"/>
    <w:semiHidden/>
    <w:rsid w:val="00F464F9"/>
    <w:rPr>
      <w:b/>
      <w:bCs/>
      <w:lang w:val="en-GB"/>
    </w:rPr>
  </w:style>
  <w:style w:type="paragraph" w:customStyle="1" w:styleId="StyleHeader4Para4Left0Firstline0">
    <w:name w:val="Style Header4Para 4 + Left:  0&quot; First line:  0&quot;"/>
    <w:basedOn w:val="Header4"/>
    <w:rsid w:val="00F464F9"/>
    <w:pPr>
      <w:ind w:left="0" w:firstLine="0"/>
    </w:pPr>
    <w:rPr>
      <w:sz w:val="20"/>
    </w:rPr>
  </w:style>
  <w:style w:type="paragraph" w:customStyle="1" w:styleId="StyleHeading1Para1Heading1CharHeading1Char3CharHeadin">
    <w:name w:val="Style Heading 1Para (1)Heading 1 CharHeading 1 Char3 CharHeadin..."/>
    <w:basedOn w:val="Heading1"/>
    <w:rsid w:val="00F464F9"/>
    <w:pPr>
      <w:numPr>
        <w:numId w:val="0"/>
      </w:numPr>
      <w:tabs>
        <w:tab w:val="left" w:pos="720"/>
      </w:tabs>
    </w:pPr>
    <w:rPr>
      <w:szCs w:val="20"/>
    </w:rPr>
  </w:style>
  <w:style w:type="character" w:customStyle="1" w:styleId="FooterChar">
    <w:name w:val="Footer Char"/>
    <w:basedOn w:val="DefaultParagraphFont"/>
    <w:link w:val="Footer"/>
    <w:uiPriority w:val="99"/>
    <w:rsid w:val="00F464F9"/>
    <w:rPr>
      <w:sz w:val="22"/>
      <w:szCs w:val="22"/>
      <w:lang w:val="en-GB"/>
    </w:rPr>
  </w:style>
  <w:style w:type="paragraph" w:styleId="ListParagraph">
    <w:name w:val="List Paragraph"/>
    <w:basedOn w:val="Normal"/>
    <w:uiPriority w:val="34"/>
    <w:qFormat/>
    <w:rsid w:val="00C748FA"/>
    <w:pPr>
      <w:ind w:left="720"/>
      <w:contextualSpacing/>
    </w:pPr>
  </w:style>
  <w:style w:type="paragraph" w:styleId="FootnoteText">
    <w:name w:val="footnote text"/>
    <w:basedOn w:val="Normal"/>
    <w:link w:val="FootnoteTextChar"/>
    <w:uiPriority w:val="99"/>
    <w:semiHidden/>
    <w:unhideWhenUsed/>
    <w:rsid w:val="00C748FA"/>
    <w:rPr>
      <w:sz w:val="20"/>
      <w:szCs w:val="20"/>
      <w:lang w:val="fr-FR"/>
    </w:rPr>
  </w:style>
  <w:style w:type="character" w:customStyle="1" w:styleId="FootnoteTextChar">
    <w:name w:val="Footnote Text Char"/>
    <w:basedOn w:val="DefaultParagraphFont"/>
    <w:link w:val="FootnoteText"/>
    <w:uiPriority w:val="99"/>
    <w:semiHidden/>
    <w:rsid w:val="00C748FA"/>
    <w:rPr>
      <w:lang w:val="fr-FR"/>
    </w:rPr>
  </w:style>
  <w:style w:type="character" w:styleId="FootnoteReference">
    <w:name w:val="footnote reference"/>
    <w:basedOn w:val="DefaultParagraphFont"/>
    <w:uiPriority w:val="99"/>
    <w:semiHidden/>
    <w:unhideWhenUsed/>
    <w:rsid w:val="00C74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n%20travail\traducteur\travaux\ONU\2019-11-12\F84-Template%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9683CADC4F284EA5F0B82357B5BF3A" ma:contentTypeVersion="2" ma:contentTypeDescription="Create a new document." ma:contentTypeScope="" ma:versionID="068ecf6b82cce04dbb15b641d5edd95a">
  <xsd:schema xmlns:xsd="http://www.w3.org/2001/XMLSchema" xmlns:p="http://schemas.microsoft.com/office/2006/metadata/properties" xmlns:ns2="8662b4aa-cf42-4f00-a3f0-9d3b4acad230" xmlns:ns3="310e179b-1379-4e79-9b74-d5a32b1812d3" targetNamespace="http://schemas.microsoft.com/office/2006/metadata/properties" ma:root="true" ma:fieldsID="ec3297cc96d292a79aedb3c4ee5cf4fc" ns2:_="" ns3:_="">
    <xsd:import namespace="8662b4aa-cf42-4f00-a3f0-9d3b4acad230"/>
    <xsd:import namespace="310e179b-1379-4e79-9b74-d5a32b1812d3"/>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Pre-session</DocumentType>
    <Document_x0020_Number xmlns="8662b4aa-cf42-4f00-a3f0-9d3b4acad230">UNEP/OzL.Pro/ExCom/84/41</Document_x0020_Number>
  </documentManagement>
</p:properties>
</file>

<file path=customXml/itemProps1.xml><?xml version="1.0" encoding="utf-8"?>
<ds:datastoreItem xmlns:ds="http://schemas.openxmlformats.org/officeDocument/2006/customXml" ds:itemID="{FDD730F5-D1A6-4DE8-A1E5-4450750204A3}"/>
</file>

<file path=customXml/itemProps2.xml><?xml version="1.0" encoding="utf-8"?>
<ds:datastoreItem xmlns:ds="http://schemas.openxmlformats.org/officeDocument/2006/customXml" ds:itemID="{885EA015-B46F-496D-9BCF-4DB67667D920}"/>
</file>

<file path=customXml/itemProps3.xml><?xml version="1.0" encoding="utf-8"?>
<ds:datastoreItem xmlns:ds="http://schemas.openxmlformats.org/officeDocument/2006/customXml" ds:itemID="{0A9D5535-55A6-4383-A1EE-0DBC1E78A56C}"/>
</file>

<file path=customXml/itemProps4.xml><?xml version="1.0" encoding="utf-8"?>
<ds:datastoreItem xmlns:ds="http://schemas.openxmlformats.org/officeDocument/2006/customXml" ds:itemID="{42CBD545-1FF3-40C2-AB37-88B4BED666A4}"/>
</file>

<file path=docProps/app.xml><?xml version="1.0" encoding="utf-8"?>
<Properties xmlns="http://schemas.openxmlformats.org/officeDocument/2006/extended-properties" xmlns:vt="http://schemas.openxmlformats.org/officeDocument/2006/docPropsVTypes">
  <Template>F84-Template v2</Template>
  <TotalTime>50</TotalTime>
  <Pages>9</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Proposition de projet: La Barbde</vt:lpstr>
    </vt:vector>
  </TitlesOfParts>
  <Company>UNMFS</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projet: La Barbade</dc:title>
  <dc:creator>Magali Mourdon-Bertrand</dc:creator>
  <cp:lastModifiedBy>HBE</cp:lastModifiedBy>
  <cp:revision>31</cp:revision>
  <cp:lastPrinted>2019-11-21T15:21:00Z</cp:lastPrinted>
  <dcterms:created xsi:type="dcterms:W3CDTF">2019-11-20T10:27:00Z</dcterms:created>
  <dcterms:modified xsi:type="dcterms:W3CDTF">2019-11-25T21:01:00Z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UNEP/OzL.Pro/ExCom/84/41</vt:lpwstr>
  </property>
  <property fmtid="{D5CDD505-2E9C-101B-9397-08002B2CF9AE}" pid="3" name="Revision date">
    <vt:lpwstr>11/19/2019</vt:lpwstr>
  </property>
  <property fmtid="{D5CDD505-2E9C-101B-9397-08002B2CF9AE}" pid="4" name="ContentTypeId">
    <vt:lpwstr>0x010100109683CADC4F284EA5F0B82357B5BF3A</vt:lpwstr>
  </property>
</Properties>
</file>