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C6443E">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300803</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r>
              <w:rPr>
                <w:rFonts w:ascii="Univers" w:hAnsi="Univers"/>
                <w:b/>
                <w:sz w:val="32"/>
                <w:lang w:val="fr-CA"/>
              </w:rPr>
              <w:t>l’environnement</w:t>
            </w:r>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DD3433" w:rsidRDefault="00E60D9C">
            <w:pPr>
              <w:rPr>
                <w:lang w:val="fr-FR"/>
              </w:rPr>
            </w:pPr>
            <w:r w:rsidRPr="00DD3433">
              <w:rPr>
                <w:lang w:val="fr-FR"/>
              </w:rPr>
              <w:t>Distr.</w:t>
            </w:r>
          </w:p>
          <w:p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rsidR="00441083" w:rsidRPr="00DD3433" w:rsidRDefault="00441083">
            <w:pPr>
              <w:rPr>
                <w:lang w:val="fr-FR"/>
              </w:rPr>
            </w:pPr>
          </w:p>
          <w:p w:rsidR="00441083" w:rsidRPr="00FF3CF1" w:rsidRDefault="00927646">
            <w:pPr>
              <w:rPr>
                <w:lang w:val="fr-FR"/>
              </w:rPr>
            </w:pPr>
            <w:r>
              <w:fldChar w:fldCharType="begin"/>
            </w:r>
            <w:r w:rsidR="00E60D9C" w:rsidRPr="00DD3433">
              <w:rPr>
                <w:lang w:val="fr-FR"/>
              </w:rPr>
              <w:instrText xml:space="preserve"> DOCPROPERTY "Document number"  \* MERGEFORMAT </w:instrText>
            </w:r>
            <w:r>
              <w:fldChar w:fldCharType="separate"/>
            </w:r>
            <w:r w:rsidR="008951C5">
              <w:rPr>
                <w:lang w:val="fr-FR"/>
              </w:rPr>
              <w:t>UNEP/OzL.Pro/ExCom/84/33</w:t>
            </w:r>
            <w:r>
              <w:fldChar w:fldCharType="end"/>
            </w:r>
          </w:p>
          <w:bookmarkStart w:id="0" w:name="_GoBack"/>
          <w:p w:rsidR="002F0B57" w:rsidRPr="00FF3CF1" w:rsidRDefault="00927646" w:rsidP="000F6C8E">
            <w:pPr>
              <w:rPr>
                <w:lang w:val="fr-FR"/>
              </w:rPr>
            </w:pPr>
            <w:r>
              <w:fldChar w:fldCharType="begin"/>
            </w:r>
            <w:r w:rsidR="002F0B57" w:rsidRPr="00FF3CF1">
              <w:rPr>
                <w:lang w:val="fr-FR"/>
              </w:rPr>
              <w:instrText xml:space="preserve"> DOCPROPERTY "Revision date" \@ "d MMMM YYYY"  \* MERGEFORMAT </w:instrText>
            </w:r>
            <w:r>
              <w:fldChar w:fldCharType="separate"/>
            </w:r>
            <w:r w:rsidR="008951C5">
              <w:rPr>
                <w:lang w:val="fr-FR"/>
              </w:rPr>
              <w:t>22 novembre 2019</w:t>
            </w:r>
            <w:r>
              <w:fldChar w:fldCharType="end"/>
            </w:r>
          </w:p>
          <w:bookmarkEnd w:id="0"/>
          <w:p w:rsidR="00441083" w:rsidRDefault="00FC5578">
            <w:pPr>
              <w:rPr>
                <w:caps/>
                <w:lang w:val="fr-FR"/>
              </w:rPr>
            </w:pPr>
            <w:r w:rsidRPr="00FF3CF1">
              <w:rPr>
                <w:caps/>
                <w:lang w:val="fr-FR"/>
              </w:rPr>
              <w:br/>
            </w:r>
            <w:r w:rsidR="00E60D9C">
              <w:rPr>
                <w:caps/>
                <w:lang w:val="fr-FR"/>
              </w:rPr>
              <w:t>FRANÇAIS</w:t>
            </w:r>
          </w:p>
          <w:p w:rsidR="00441083" w:rsidRDefault="00E60D9C">
            <w:r>
              <w:t xml:space="preserve">ORIGINAL: </w:t>
            </w:r>
            <w:r w:rsidR="0091161A">
              <w:t>ANGLAIS</w:t>
            </w:r>
          </w:p>
        </w:tc>
      </w:tr>
    </w:tbl>
    <w:p w:rsidR="00441083" w:rsidRDefault="00441083">
      <w:pPr>
        <w:jc w:val="left"/>
        <w:rPr>
          <w:lang w:val="fr-CA"/>
        </w:rPr>
      </w:pPr>
    </w:p>
    <w:p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AC013C">
        <w:rPr>
          <w:lang w:val="fr-CA"/>
        </w:rPr>
        <w:t>quat</w:t>
      </w:r>
      <w:r w:rsidR="004C2C87">
        <w:rPr>
          <w:lang w:val="fr-CA"/>
        </w:rPr>
        <w:t>ri</w:t>
      </w:r>
      <w:r w:rsidR="00E54871">
        <w:rPr>
          <w:lang w:val="fr-CA"/>
        </w:rPr>
        <w:t>ème</w:t>
      </w:r>
      <w:r w:rsidR="00FC5578" w:rsidRPr="00FC5578">
        <w:rPr>
          <w:lang w:val="fr-CA"/>
        </w:rPr>
        <w:t xml:space="preserve"> </w:t>
      </w:r>
      <w:r>
        <w:rPr>
          <w:lang w:val="fr-CA"/>
        </w:rPr>
        <w:t>réunion</w:t>
      </w:r>
    </w:p>
    <w:p w:rsidR="00441083" w:rsidRDefault="00E54871" w:rsidP="00AC013C">
      <w:pPr>
        <w:jc w:val="left"/>
        <w:rPr>
          <w:lang w:val="fr-CA"/>
        </w:rPr>
      </w:pPr>
      <w:r>
        <w:rPr>
          <w:lang w:val="fr-CA"/>
        </w:rPr>
        <w:t>Montr</w:t>
      </w:r>
      <w:r>
        <w:rPr>
          <w:lang w:val="en-CA"/>
        </w:rPr>
        <w:t>é</w:t>
      </w:r>
      <w:r>
        <w:rPr>
          <w:lang w:val="fr-CA"/>
        </w:rPr>
        <w:t>al,</w:t>
      </w:r>
      <w:r w:rsidR="00FC5578">
        <w:rPr>
          <w:lang w:val="fr-CA"/>
        </w:rPr>
        <w:t xml:space="preserve"> </w:t>
      </w:r>
      <w:r w:rsidR="00AC013C">
        <w:rPr>
          <w:lang w:val="fr-CA"/>
        </w:rPr>
        <w:t xml:space="preserve">16 </w:t>
      </w:r>
      <w:r w:rsidR="00E60D9C">
        <w:rPr>
          <w:lang w:val="fr-CA"/>
        </w:rPr>
        <w:t xml:space="preserve">– </w:t>
      </w:r>
      <w:r w:rsidR="00AC013C">
        <w:rPr>
          <w:lang w:val="fr-CA"/>
        </w:rPr>
        <w:t>20 décembre</w:t>
      </w:r>
      <w:r w:rsidR="004C2C87">
        <w:rPr>
          <w:lang w:val="fr-CA"/>
        </w:rPr>
        <w:t xml:space="preserve"> 2019</w:t>
      </w:r>
    </w:p>
    <w:p w:rsidR="00441083" w:rsidRDefault="00441083">
      <w:pPr>
        <w:jc w:val="left"/>
        <w:rPr>
          <w:lang w:val="fr-CA"/>
        </w:rPr>
      </w:pPr>
    </w:p>
    <w:p w:rsidR="00441083" w:rsidRDefault="00441083">
      <w:pPr>
        <w:pStyle w:val="Heading3"/>
        <w:numPr>
          <w:ilvl w:val="0"/>
          <w:numId w:val="0"/>
        </w:numPr>
        <w:spacing w:after="0"/>
        <w:rPr>
          <w:lang w:val="fr-FR"/>
        </w:rPr>
      </w:pPr>
    </w:p>
    <w:p w:rsidR="00441083" w:rsidRDefault="00441083">
      <w:pPr>
        <w:pStyle w:val="Title1"/>
        <w:rPr>
          <w:lang w:val="fr-FR"/>
        </w:rPr>
      </w:pPr>
    </w:p>
    <w:p w:rsidR="00401D42" w:rsidRDefault="00401D42" w:rsidP="00401D42">
      <w:pPr>
        <w:jc w:val="center"/>
        <w:outlineLvl w:val="0"/>
        <w:rPr>
          <w:b/>
          <w:caps/>
        </w:rPr>
      </w:pPr>
      <w:r>
        <w:rPr>
          <w:b/>
          <w:caps/>
        </w:rPr>
        <w:t>Coopération bilatérale</w:t>
      </w:r>
    </w:p>
    <w:p w:rsidR="008951C5" w:rsidRDefault="008951C5" w:rsidP="00401D42">
      <w:pPr>
        <w:jc w:val="center"/>
        <w:outlineLvl w:val="0"/>
        <w:rPr>
          <w:b/>
          <w:caps/>
        </w:rPr>
      </w:pPr>
    </w:p>
    <w:p w:rsidR="008951C5" w:rsidRDefault="008951C5" w:rsidP="00401D42">
      <w:pPr>
        <w:jc w:val="center"/>
        <w:outlineLvl w:val="0"/>
        <w:rPr>
          <w:b/>
          <w:caps/>
        </w:rPr>
      </w:pPr>
    </w:p>
    <w:p w:rsidR="00401D42" w:rsidRPr="00401D42" w:rsidRDefault="00401D42" w:rsidP="00401D42">
      <w:pPr>
        <w:pStyle w:val="Heading1"/>
        <w:rPr>
          <w:lang w:val="fr-FR"/>
        </w:rPr>
      </w:pPr>
      <w:r w:rsidRPr="00401D42">
        <w:rPr>
          <w:lang w:val="fr-FR"/>
        </w:rPr>
        <w:t>Le présent document donne un aperçu des demandes des agences bilatérales et de leur admissibilité compte tenu du niveau maximum de coopération bilatérale disponible pour 2019 ou pour la période triennale 2018-2020. Il renvoie aux documents de la réunion pertinents qui comprennent une analyse des demandes bilatérales, et formule une recommandation sur l’année d’affectation au titre de la coopération bilatérale.</w:t>
      </w:r>
    </w:p>
    <w:p w:rsidR="008951C5" w:rsidRDefault="008951C5">
      <w:pPr>
        <w:jc w:val="left"/>
        <w:rPr>
          <w:b/>
        </w:rPr>
      </w:pPr>
      <w:r>
        <w:rPr>
          <w:b/>
        </w:rPr>
        <w:br w:type="page"/>
      </w:r>
    </w:p>
    <w:p w:rsidR="00401D42" w:rsidRPr="008557D0" w:rsidRDefault="00401D42" w:rsidP="00401D42">
      <w:pPr>
        <w:pStyle w:val="Heading1"/>
        <w:numPr>
          <w:ilvl w:val="0"/>
          <w:numId w:val="0"/>
        </w:numPr>
      </w:pPr>
      <w:r>
        <w:rPr>
          <w:b/>
        </w:rPr>
        <w:lastRenderedPageBreak/>
        <w:t>Résumé</w:t>
      </w:r>
    </w:p>
    <w:p w:rsidR="00401D42" w:rsidRPr="00401D42" w:rsidRDefault="00401D42" w:rsidP="00401D42">
      <w:pPr>
        <w:pStyle w:val="Heading1"/>
        <w:rPr>
          <w:lang w:val="fr-FR"/>
        </w:rPr>
      </w:pPr>
      <w:r w:rsidRPr="00401D42">
        <w:rPr>
          <w:lang w:val="fr-FR"/>
        </w:rPr>
        <w:t>Huit projets de coopération bilatérale, d’un montant de 3 221 559 $ US, ont été soumis à l’examen de la 84</w:t>
      </w:r>
      <w:r w:rsidRPr="00401D42">
        <w:rPr>
          <w:vertAlign w:val="superscript"/>
          <w:lang w:val="fr-FR"/>
        </w:rPr>
        <w:t>e</w:t>
      </w:r>
      <w:r w:rsidRPr="00401D42">
        <w:rPr>
          <w:lang w:val="fr-FR"/>
        </w:rPr>
        <w:t> réuni</w:t>
      </w:r>
      <w:r w:rsidR="00B451B5">
        <w:rPr>
          <w:lang w:val="fr-FR"/>
        </w:rPr>
        <w:t>on, comme indiqué au tableau 1.</w:t>
      </w:r>
    </w:p>
    <w:p w:rsidR="00401D42" w:rsidRPr="00401D42" w:rsidRDefault="00401D42" w:rsidP="00401D42">
      <w:pPr>
        <w:keepNext/>
        <w:rPr>
          <w:b/>
          <w:lang w:val="fr-FR"/>
        </w:rPr>
      </w:pPr>
      <w:r w:rsidRPr="00401D42">
        <w:rPr>
          <w:b/>
          <w:lang w:val="fr-FR"/>
        </w:rPr>
        <w:t>Tableau 1. Projets de coopération bilatérale soumis à la 84</w:t>
      </w:r>
      <w:r w:rsidRPr="00401D42">
        <w:rPr>
          <w:b/>
          <w:vertAlign w:val="superscript"/>
          <w:lang w:val="fr-FR"/>
        </w:rPr>
        <w:t>e</w:t>
      </w:r>
      <w:r w:rsidRPr="00401D42">
        <w:rPr>
          <w:b/>
          <w:lang w:val="fr-FR"/>
        </w:rPr>
        <w:t> réunion</w:t>
      </w: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16"/>
        <w:gridCol w:w="3453"/>
        <w:gridCol w:w="1227"/>
        <w:gridCol w:w="1170"/>
        <w:gridCol w:w="1422"/>
      </w:tblGrid>
      <w:tr w:rsidR="00401D42" w:rsidRPr="00C00206" w:rsidTr="00B451B5">
        <w:trPr>
          <w:tblHeader/>
        </w:trPr>
        <w:tc>
          <w:tcPr>
            <w:tcW w:w="1134" w:type="dxa"/>
            <w:vAlign w:val="center"/>
          </w:tcPr>
          <w:p w:rsidR="00401D42" w:rsidRPr="00AA0D6D" w:rsidRDefault="00401D42" w:rsidP="00B451B5">
            <w:pPr>
              <w:jc w:val="center"/>
              <w:outlineLvl w:val="0"/>
              <w:rPr>
                <w:b/>
                <w:bCs/>
                <w:sz w:val="20"/>
                <w:szCs w:val="20"/>
              </w:rPr>
            </w:pPr>
            <w:r>
              <w:rPr>
                <w:b/>
                <w:bCs/>
                <w:sz w:val="20"/>
                <w:szCs w:val="20"/>
              </w:rPr>
              <w:t>Agence</w:t>
            </w:r>
          </w:p>
        </w:tc>
        <w:tc>
          <w:tcPr>
            <w:tcW w:w="1116" w:type="dxa"/>
            <w:tcBorders>
              <w:bottom w:val="single" w:sz="4" w:space="0" w:color="auto"/>
            </w:tcBorders>
            <w:vAlign w:val="center"/>
          </w:tcPr>
          <w:p w:rsidR="00401D42" w:rsidRPr="00AA0D6D" w:rsidRDefault="00401D42" w:rsidP="00B451B5">
            <w:pPr>
              <w:jc w:val="center"/>
              <w:rPr>
                <w:b/>
                <w:bCs/>
                <w:sz w:val="20"/>
                <w:szCs w:val="20"/>
              </w:rPr>
            </w:pPr>
            <w:r>
              <w:rPr>
                <w:b/>
                <w:bCs/>
                <w:sz w:val="20"/>
                <w:szCs w:val="20"/>
              </w:rPr>
              <w:t>Pays</w:t>
            </w:r>
          </w:p>
        </w:tc>
        <w:tc>
          <w:tcPr>
            <w:tcW w:w="3453" w:type="dxa"/>
            <w:tcBorders>
              <w:bottom w:val="single" w:sz="4" w:space="0" w:color="auto"/>
            </w:tcBorders>
            <w:vAlign w:val="center"/>
          </w:tcPr>
          <w:p w:rsidR="00401D42" w:rsidRPr="00AA0D6D" w:rsidRDefault="00401D42" w:rsidP="00B451B5">
            <w:pPr>
              <w:jc w:val="center"/>
              <w:rPr>
                <w:b/>
                <w:bCs/>
                <w:sz w:val="20"/>
                <w:szCs w:val="20"/>
              </w:rPr>
            </w:pPr>
            <w:r>
              <w:rPr>
                <w:b/>
                <w:bCs/>
                <w:sz w:val="20"/>
                <w:szCs w:val="20"/>
              </w:rPr>
              <w:t>Intitulé du projet</w:t>
            </w:r>
          </w:p>
        </w:tc>
        <w:tc>
          <w:tcPr>
            <w:tcW w:w="1227" w:type="dxa"/>
            <w:tcBorders>
              <w:bottom w:val="single" w:sz="4" w:space="0" w:color="auto"/>
            </w:tcBorders>
            <w:vAlign w:val="center"/>
          </w:tcPr>
          <w:p w:rsidR="00401D42" w:rsidRPr="00AA0D6D" w:rsidRDefault="00401D42" w:rsidP="00B451B5">
            <w:pPr>
              <w:jc w:val="center"/>
              <w:rPr>
                <w:b/>
                <w:bCs/>
                <w:sz w:val="20"/>
                <w:szCs w:val="20"/>
              </w:rPr>
            </w:pPr>
            <w:r>
              <w:rPr>
                <w:b/>
                <w:bCs/>
                <w:sz w:val="20"/>
                <w:szCs w:val="20"/>
              </w:rPr>
              <w:t>Financement demandé ($ US)</w:t>
            </w:r>
          </w:p>
        </w:tc>
        <w:tc>
          <w:tcPr>
            <w:tcW w:w="1170" w:type="dxa"/>
            <w:tcBorders>
              <w:bottom w:val="single" w:sz="4" w:space="0" w:color="auto"/>
            </w:tcBorders>
            <w:vAlign w:val="center"/>
          </w:tcPr>
          <w:p w:rsidR="00401D42" w:rsidRPr="00AA0D6D" w:rsidRDefault="00401D42" w:rsidP="00B451B5">
            <w:pPr>
              <w:jc w:val="center"/>
              <w:rPr>
                <w:b/>
                <w:bCs/>
                <w:sz w:val="20"/>
                <w:szCs w:val="20"/>
              </w:rPr>
            </w:pPr>
            <w:r>
              <w:rPr>
                <w:b/>
                <w:bCs/>
                <w:sz w:val="20"/>
                <w:szCs w:val="20"/>
              </w:rPr>
              <w:t>Coûts d’appui ($ US)</w:t>
            </w:r>
          </w:p>
        </w:tc>
        <w:tc>
          <w:tcPr>
            <w:tcW w:w="1422" w:type="dxa"/>
            <w:tcBorders>
              <w:bottom w:val="single" w:sz="4" w:space="0" w:color="auto"/>
            </w:tcBorders>
            <w:tcMar>
              <w:left w:w="0" w:type="dxa"/>
              <w:right w:w="0" w:type="dxa"/>
            </w:tcMar>
            <w:vAlign w:val="center"/>
          </w:tcPr>
          <w:p w:rsidR="00401D42" w:rsidRPr="00AA0D6D" w:rsidRDefault="00401D42" w:rsidP="00B451B5">
            <w:pPr>
              <w:jc w:val="center"/>
              <w:rPr>
                <w:b/>
                <w:bCs/>
                <w:sz w:val="20"/>
                <w:szCs w:val="20"/>
              </w:rPr>
            </w:pPr>
            <w:r>
              <w:rPr>
                <w:b/>
                <w:bCs/>
                <w:sz w:val="20"/>
                <w:szCs w:val="20"/>
              </w:rPr>
              <w:t>Montant recommandé ($ US)</w:t>
            </w:r>
          </w:p>
        </w:tc>
      </w:tr>
      <w:tr w:rsidR="00401D42" w:rsidRPr="00C00206" w:rsidTr="00B451B5">
        <w:tc>
          <w:tcPr>
            <w:tcW w:w="1134" w:type="dxa"/>
            <w:vAlign w:val="center"/>
          </w:tcPr>
          <w:p w:rsidR="00401D42" w:rsidRPr="00AA0D6D" w:rsidRDefault="00401D42" w:rsidP="00B451B5">
            <w:pPr>
              <w:jc w:val="center"/>
              <w:rPr>
                <w:sz w:val="20"/>
                <w:szCs w:val="20"/>
              </w:rPr>
            </w:pPr>
            <w:r>
              <w:rPr>
                <w:sz w:val="20"/>
                <w:szCs w:val="20"/>
              </w:rPr>
              <w:t>France</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Tunisie</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01D42" w:rsidRPr="00401D42" w:rsidRDefault="00401D42" w:rsidP="00F93043">
            <w:pPr>
              <w:jc w:val="left"/>
              <w:rPr>
                <w:bCs/>
                <w:sz w:val="20"/>
                <w:szCs w:val="20"/>
                <w:lang w:val="fr-FR"/>
              </w:rPr>
            </w:pPr>
            <w:r w:rsidRPr="00401D42">
              <w:rPr>
                <w:bCs/>
                <w:sz w:val="20"/>
                <w:szCs w:val="20"/>
                <w:lang w:val="fr-FR"/>
              </w:rPr>
              <w:t>Plan de gestion de l’élimination des HCFC (phase I, troisième tranche)</w:t>
            </w: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19 000</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AA0D6D" w:rsidRDefault="00401D42" w:rsidP="00B451B5">
            <w:pPr>
              <w:jc w:val="center"/>
              <w:rPr>
                <w:color w:val="000000"/>
                <w:sz w:val="20"/>
                <w:szCs w:val="20"/>
              </w:rPr>
            </w:pPr>
            <w:r>
              <w:rPr>
                <w:color w:val="000000"/>
                <w:sz w:val="20"/>
                <w:szCs w:val="20"/>
              </w:rPr>
              <w:t>2 470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sz w:val="20"/>
                <w:szCs w:val="20"/>
              </w:rPr>
              <w:t>(1)</w:t>
            </w:r>
          </w:p>
        </w:tc>
      </w:tr>
      <w:tr w:rsidR="00401D42" w:rsidRPr="00C00206" w:rsidTr="00B451B5">
        <w:tc>
          <w:tcPr>
            <w:tcW w:w="1134" w:type="dxa"/>
            <w:vAlign w:val="center"/>
          </w:tcPr>
          <w:p w:rsidR="00401D42" w:rsidRPr="00AA0D6D" w:rsidRDefault="00401D42" w:rsidP="00B451B5">
            <w:pPr>
              <w:jc w:val="center"/>
              <w:rPr>
                <w:sz w:val="20"/>
                <w:szCs w:val="20"/>
              </w:rPr>
            </w:pPr>
            <w:r>
              <w:rPr>
                <w:b/>
                <w:sz w:val="20"/>
                <w:szCs w:val="20"/>
              </w:rPr>
              <w:t>Sous-total</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01D42" w:rsidRPr="00AA0D6D" w:rsidRDefault="00401D42" w:rsidP="00F93043">
            <w:pPr>
              <w:jc w:val="left"/>
              <w:rPr>
                <w:bCs/>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D64DEF" w:rsidRDefault="00401D42" w:rsidP="00B451B5">
            <w:pPr>
              <w:jc w:val="center"/>
              <w:rPr>
                <w:b/>
                <w:color w:val="000000"/>
                <w:sz w:val="20"/>
                <w:szCs w:val="20"/>
              </w:rPr>
            </w:pPr>
            <w:r>
              <w:rPr>
                <w:b/>
                <w:color w:val="000000"/>
                <w:sz w:val="20"/>
                <w:szCs w:val="20"/>
              </w:rPr>
              <w:t>19 000</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D64DEF" w:rsidRDefault="00401D42" w:rsidP="00B451B5">
            <w:pPr>
              <w:jc w:val="center"/>
              <w:rPr>
                <w:b/>
                <w:color w:val="000000"/>
                <w:sz w:val="20"/>
                <w:szCs w:val="20"/>
              </w:rPr>
            </w:pPr>
            <w:r>
              <w:rPr>
                <w:b/>
                <w:color w:val="000000"/>
                <w:sz w:val="20"/>
                <w:szCs w:val="20"/>
              </w:rPr>
              <w:t>2 470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p>
        </w:tc>
      </w:tr>
      <w:tr w:rsidR="00401D42" w:rsidRPr="00C00206" w:rsidTr="00B451B5">
        <w:tc>
          <w:tcPr>
            <w:tcW w:w="1134" w:type="dxa"/>
            <w:vAlign w:val="center"/>
          </w:tcPr>
          <w:p w:rsidR="00401D42" w:rsidRPr="00AA0D6D" w:rsidRDefault="00401D42" w:rsidP="00B451B5">
            <w:pPr>
              <w:jc w:val="center"/>
              <w:rPr>
                <w:sz w:val="20"/>
                <w:szCs w:val="20"/>
              </w:rPr>
            </w:pPr>
            <w:r>
              <w:rPr>
                <w:sz w:val="20"/>
                <w:szCs w:val="20"/>
              </w:rPr>
              <w:t>Allemagne</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color w:val="000000"/>
                <w:sz w:val="20"/>
                <w:szCs w:val="20"/>
              </w:rPr>
              <w:t>Chine</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01D42" w:rsidRPr="00401D42" w:rsidRDefault="00401D42" w:rsidP="00F93043">
            <w:pPr>
              <w:jc w:val="left"/>
              <w:rPr>
                <w:bCs/>
                <w:sz w:val="20"/>
                <w:szCs w:val="20"/>
                <w:lang w:val="fr-FR"/>
              </w:rPr>
            </w:pPr>
            <w:r w:rsidRPr="00401D42">
              <w:rPr>
                <w:bCs/>
                <w:sz w:val="20"/>
                <w:szCs w:val="20"/>
                <w:lang w:val="fr-FR"/>
              </w:rPr>
              <w:t>Plan de gestion de l’élimination des HCFC (phase II, troisième tranches) (plan du secteur des mousses de polystyrène extrudées)</w:t>
            </w: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41268A" w:rsidRDefault="00401D42" w:rsidP="00B451B5">
            <w:pPr>
              <w:jc w:val="center"/>
              <w:rPr>
                <w:color w:val="000000"/>
                <w:sz w:val="20"/>
                <w:szCs w:val="20"/>
              </w:rPr>
            </w:pPr>
            <w:r>
              <w:rPr>
                <w:color w:val="000000"/>
                <w:sz w:val="20"/>
                <w:szCs w:val="20"/>
              </w:rPr>
              <w:t>356 514</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41268A" w:rsidRDefault="00401D42" w:rsidP="00B451B5">
            <w:pPr>
              <w:jc w:val="center"/>
              <w:rPr>
                <w:color w:val="000000"/>
                <w:sz w:val="20"/>
                <w:szCs w:val="20"/>
              </w:rPr>
            </w:pPr>
            <w:r>
              <w:rPr>
                <w:color w:val="000000"/>
                <w:sz w:val="20"/>
                <w:szCs w:val="20"/>
              </w:rPr>
              <w:t>42 502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sz w:val="20"/>
                <w:szCs w:val="20"/>
              </w:rPr>
              <w:t>(2)</w:t>
            </w:r>
          </w:p>
        </w:tc>
      </w:tr>
      <w:tr w:rsidR="00401D42" w:rsidRPr="00C00206" w:rsidTr="00B451B5">
        <w:tc>
          <w:tcPr>
            <w:tcW w:w="1134" w:type="dxa"/>
            <w:vAlign w:val="center"/>
          </w:tcPr>
          <w:p w:rsidR="00401D42" w:rsidRPr="00AA0D6D" w:rsidRDefault="00401D42" w:rsidP="00B451B5">
            <w:pPr>
              <w:jc w:val="center"/>
              <w:rPr>
                <w:sz w:val="20"/>
                <w:szCs w:val="20"/>
              </w:rPr>
            </w:pPr>
            <w:r>
              <w:rPr>
                <w:sz w:val="20"/>
                <w:szCs w:val="20"/>
              </w:rPr>
              <w:t>Allemagne</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color w:val="000000"/>
                <w:sz w:val="20"/>
                <w:szCs w:val="20"/>
              </w:rPr>
              <w:t>Chine</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01D42" w:rsidRPr="00401D42" w:rsidRDefault="00401D42" w:rsidP="00F93043">
            <w:pPr>
              <w:jc w:val="left"/>
              <w:rPr>
                <w:bCs/>
                <w:sz w:val="20"/>
                <w:szCs w:val="20"/>
                <w:lang w:val="fr-FR"/>
              </w:rPr>
            </w:pPr>
            <w:r w:rsidRPr="00401D42">
              <w:rPr>
                <w:bCs/>
                <w:sz w:val="20"/>
                <w:szCs w:val="20"/>
                <w:lang w:val="fr-FR"/>
              </w:rPr>
              <w:t>Plan de gestion de l’élimination des HCFC (phase II, troisième et quatrième tranches) (plan du secteur de l’entretien des équipements de réfrigération et de climatisation et activités de facilitation)</w:t>
            </w: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sz w:val="20"/>
                <w:szCs w:val="20"/>
              </w:rPr>
              <w:t>500 000</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AA0D6D" w:rsidRDefault="00401D42" w:rsidP="00B451B5">
            <w:pPr>
              <w:jc w:val="center"/>
              <w:rPr>
                <w:sz w:val="20"/>
                <w:szCs w:val="20"/>
              </w:rPr>
            </w:pPr>
            <w:r>
              <w:rPr>
                <w:sz w:val="20"/>
                <w:szCs w:val="20"/>
              </w:rPr>
              <w:t>60 000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sz w:val="20"/>
                <w:szCs w:val="20"/>
              </w:rPr>
              <w:t>(2)</w:t>
            </w:r>
          </w:p>
        </w:tc>
      </w:tr>
      <w:tr w:rsidR="00401D42" w:rsidRPr="00C00206" w:rsidTr="00B451B5">
        <w:tc>
          <w:tcPr>
            <w:tcW w:w="1134" w:type="dxa"/>
            <w:vAlign w:val="center"/>
          </w:tcPr>
          <w:p w:rsidR="00401D42" w:rsidRPr="00AA0D6D" w:rsidRDefault="00401D42" w:rsidP="00B451B5">
            <w:pPr>
              <w:jc w:val="center"/>
              <w:rPr>
                <w:sz w:val="20"/>
                <w:szCs w:val="20"/>
              </w:rPr>
            </w:pPr>
            <w:r>
              <w:rPr>
                <w:sz w:val="20"/>
                <w:szCs w:val="20"/>
              </w:rPr>
              <w:t>Allemagne</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Égypte</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401D42" w:rsidRPr="00401D42" w:rsidRDefault="00401D42" w:rsidP="00F93043">
            <w:pPr>
              <w:jc w:val="left"/>
              <w:rPr>
                <w:bCs/>
                <w:sz w:val="20"/>
                <w:szCs w:val="20"/>
                <w:lang w:val="fr-FR"/>
              </w:rPr>
            </w:pPr>
            <w:r w:rsidRPr="00401D42">
              <w:rPr>
                <w:bCs/>
                <w:sz w:val="20"/>
                <w:szCs w:val="20"/>
                <w:lang w:val="fr-FR"/>
              </w:rPr>
              <w:t>Plan de gestion de l’élimination des HCFC (phase II, seconde tranche)</w:t>
            </w: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207 300</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AA0D6D" w:rsidRDefault="00401D42" w:rsidP="00B451B5">
            <w:pPr>
              <w:jc w:val="center"/>
              <w:rPr>
                <w:color w:val="000000"/>
                <w:sz w:val="20"/>
                <w:szCs w:val="20"/>
              </w:rPr>
            </w:pPr>
            <w:r>
              <w:rPr>
                <w:color w:val="000000"/>
                <w:sz w:val="20"/>
                <w:szCs w:val="20"/>
              </w:rPr>
              <w:t>26 949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sz w:val="20"/>
                <w:szCs w:val="20"/>
              </w:rPr>
              <w:t>(3)</w:t>
            </w:r>
          </w:p>
        </w:tc>
      </w:tr>
      <w:tr w:rsidR="00401D42" w:rsidRPr="00C00206" w:rsidTr="00B451B5">
        <w:tc>
          <w:tcPr>
            <w:tcW w:w="1134" w:type="dxa"/>
            <w:vAlign w:val="center"/>
          </w:tcPr>
          <w:p w:rsidR="00401D42" w:rsidRPr="00AA0D6D" w:rsidRDefault="00401D42" w:rsidP="00B451B5">
            <w:pPr>
              <w:jc w:val="center"/>
              <w:rPr>
                <w:sz w:val="20"/>
                <w:szCs w:val="20"/>
              </w:rPr>
            </w:pPr>
            <w:r>
              <w:rPr>
                <w:sz w:val="20"/>
                <w:szCs w:val="20"/>
              </w:rPr>
              <w:t>Allemagne</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Iran (République islamique d’)</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401D42" w:rsidRDefault="00401D42" w:rsidP="00B451B5">
            <w:pPr>
              <w:jc w:val="left"/>
              <w:rPr>
                <w:bCs/>
                <w:sz w:val="20"/>
                <w:szCs w:val="20"/>
                <w:lang w:val="fr-FR"/>
              </w:rPr>
            </w:pPr>
            <w:r w:rsidRPr="00401D42">
              <w:rPr>
                <w:bCs/>
                <w:sz w:val="20"/>
                <w:szCs w:val="20"/>
                <w:lang w:val="fr-FR"/>
              </w:rPr>
              <w:t>Plan de gestion de l’élimination des HCFC (phase II, seconde tranche)</w:t>
            </w: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1 047 035</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AA0D6D" w:rsidRDefault="00401D42" w:rsidP="00B451B5">
            <w:pPr>
              <w:jc w:val="center"/>
              <w:rPr>
                <w:color w:val="000000"/>
                <w:sz w:val="20"/>
                <w:szCs w:val="20"/>
              </w:rPr>
            </w:pPr>
            <w:r>
              <w:rPr>
                <w:color w:val="000000"/>
                <w:sz w:val="20"/>
                <w:szCs w:val="20"/>
              </w:rPr>
              <w:t>119 092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sz w:val="20"/>
                <w:szCs w:val="20"/>
              </w:rPr>
              <w:t>(4)</w:t>
            </w:r>
          </w:p>
        </w:tc>
      </w:tr>
      <w:tr w:rsidR="00401D42" w:rsidRPr="00C00206" w:rsidTr="00B451B5">
        <w:tc>
          <w:tcPr>
            <w:tcW w:w="1134" w:type="dxa"/>
            <w:vAlign w:val="center"/>
          </w:tcPr>
          <w:p w:rsidR="00401D42" w:rsidRPr="00AA0D6D" w:rsidRDefault="00401D42" w:rsidP="00B451B5">
            <w:pPr>
              <w:jc w:val="center"/>
              <w:rPr>
                <w:b/>
                <w:sz w:val="20"/>
                <w:szCs w:val="20"/>
              </w:rPr>
            </w:pPr>
            <w:r>
              <w:rPr>
                <w:b/>
                <w:sz w:val="20"/>
                <w:szCs w:val="20"/>
              </w:rPr>
              <w:t>Sous-total</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b/>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left"/>
              <w:rPr>
                <w:b/>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b/>
                <w:color w:val="000000"/>
                <w:sz w:val="20"/>
                <w:szCs w:val="20"/>
              </w:rPr>
            </w:pPr>
            <w:r>
              <w:rPr>
                <w:b/>
                <w:color w:val="000000"/>
                <w:sz w:val="20"/>
                <w:szCs w:val="20"/>
              </w:rPr>
              <w:t>2 110 849</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AA0D6D" w:rsidRDefault="00401D42" w:rsidP="00B451B5">
            <w:pPr>
              <w:jc w:val="center"/>
              <w:rPr>
                <w:b/>
                <w:color w:val="000000"/>
                <w:sz w:val="20"/>
                <w:szCs w:val="20"/>
              </w:rPr>
            </w:pPr>
            <w:r>
              <w:rPr>
                <w:b/>
                <w:color w:val="000000"/>
                <w:sz w:val="20"/>
                <w:szCs w:val="20"/>
              </w:rPr>
              <w:t>248 543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b/>
                <w:sz w:val="20"/>
                <w:szCs w:val="20"/>
              </w:rPr>
            </w:pPr>
          </w:p>
        </w:tc>
      </w:tr>
      <w:tr w:rsidR="00401D42" w:rsidRPr="00C00206" w:rsidTr="00B451B5">
        <w:tc>
          <w:tcPr>
            <w:tcW w:w="1134" w:type="dxa"/>
            <w:vAlign w:val="center"/>
          </w:tcPr>
          <w:p w:rsidR="00401D42" w:rsidRPr="00AA0D6D" w:rsidRDefault="00401D42" w:rsidP="00B451B5">
            <w:pPr>
              <w:jc w:val="center"/>
              <w:rPr>
                <w:sz w:val="20"/>
                <w:szCs w:val="20"/>
              </w:rPr>
            </w:pPr>
            <w:r>
              <w:rPr>
                <w:sz w:val="20"/>
                <w:szCs w:val="20"/>
              </w:rPr>
              <w:t>Italie</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Iran (République islamique d’)</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401D42" w:rsidRDefault="00401D42" w:rsidP="00B451B5">
            <w:pPr>
              <w:jc w:val="left"/>
              <w:rPr>
                <w:color w:val="000000"/>
                <w:sz w:val="20"/>
                <w:szCs w:val="20"/>
                <w:lang w:val="fr-FR"/>
              </w:rPr>
            </w:pPr>
            <w:r w:rsidRPr="00401D42">
              <w:rPr>
                <w:color w:val="000000"/>
                <w:sz w:val="20"/>
                <w:szCs w:val="20"/>
                <w:lang w:val="fr-FR"/>
              </w:rPr>
              <w:t>Plan de gestion de l’élimination des HCFC (phase II, seconde tranche)</w:t>
            </w: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504 004</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AA0D6D" w:rsidRDefault="00401D42" w:rsidP="00B451B5">
            <w:pPr>
              <w:jc w:val="center"/>
              <w:rPr>
                <w:color w:val="000000"/>
                <w:sz w:val="20"/>
                <w:szCs w:val="20"/>
              </w:rPr>
            </w:pPr>
            <w:r>
              <w:rPr>
                <w:color w:val="000000"/>
                <w:sz w:val="20"/>
                <w:szCs w:val="20"/>
              </w:rPr>
              <w:t>60 996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r>
              <w:rPr>
                <w:sz w:val="20"/>
                <w:szCs w:val="20"/>
              </w:rPr>
              <w:t>(4)</w:t>
            </w:r>
          </w:p>
        </w:tc>
      </w:tr>
      <w:tr w:rsidR="00401D42" w:rsidRPr="00C00206" w:rsidTr="00B451B5">
        <w:tc>
          <w:tcPr>
            <w:tcW w:w="1134" w:type="dxa"/>
            <w:vAlign w:val="center"/>
          </w:tcPr>
          <w:p w:rsidR="00401D42" w:rsidRPr="00C10E40" w:rsidRDefault="00401D42" w:rsidP="00B451B5">
            <w:pPr>
              <w:jc w:val="center"/>
              <w:rPr>
                <w:b/>
                <w:sz w:val="20"/>
                <w:szCs w:val="20"/>
              </w:rPr>
            </w:pPr>
            <w:r>
              <w:rPr>
                <w:b/>
                <w:sz w:val="20"/>
                <w:szCs w:val="20"/>
              </w:rPr>
              <w:t>Sous-total</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Default="00401D42" w:rsidP="00B451B5">
            <w:pPr>
              <w:jc w:val="center"/>
              <w:rPr>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C10E40" w:rsidRDefault="00401D42" w:rsidP="00B451B5">
            <w:pPr>
              <w:jc w:val="left"/>
              <w:rPr>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D64DEF" w:rsidRDefault="00401D42" w:rsidP="00B451B5">
            <w:pPr>
              <w:jc w:val="center"/>
              <w:rPr>
                <w:b/>
                <w:color w:val="000000"/>
                <w:sz w:val="20"/>
                <w:szCs w:val="20"/>
              </w:rPr>
            </w:pPr>
            <w:r>
              <w:rPr>
                <w:b/>
                <w:color w:val="000000"/>
                <w:sz w:val="20"/>
                <w:szCs w:val="20"/>
              </w:rPr>
              <w:t>504 004</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D64DEF" w:rsidRDefault="00401D42" w:rsidP="00B451B5">
            <w:pPr>
              <w:jc w:val="center"/>
              <w:rPr>
                <w:b/>
                <w:color w:val="000000"/>
                <w:sz w:val="20"/>
                <w:szCs w:val="20"/>
              </w:rPr>
            </w:pPr>
            <w:r>
              <w:rPr>
                <w:b/>
                <w:color w:val="000000"/>
                <w:sz w:val="20"/>
                <w:szCs w:val="20"/>
              </w:rPr>
              <w:t>60 996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sz w:val="20"/>
                <w:szCs w:val="20"/>
              </w:rPr>
            </w:pPr>
          </w:p>
        </w:tc>
      </w:tr>
      <w:tr w:rsidR="00401D42" w:rsidRPr="00C00206" w:rsidTr="00B451B5">
        <w:tc>
          <w:tcPr>
            <w:tcW w:w="1134" w:type="dxa"/>
            <w:vAlign w:val="center"/>
          </w:tcPr>
          <w:p w:rsidR="00401D42" w:rsidRPr="00AA0D6D" w:rsidRDefault="00401D42" w:rsidP="00B451B5">
            <w:pPr>
              <w:jc w:val="center"/>
              <w:rPr>
                <w:sz w:val="20"/>
                <w:szCs w:val="20"/>
              </w:rPr>
            </w:pPr>
            <w:r>
              <w:rPr>
                <w:sz w:val="20"/>
                <w:szCs w:val="20"/>
              </w:rPr>
              <w:t>Japon</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Chine</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401D42" w:rsidRDefault="00401D42" w:rsidP="00B451B5">
            <w:pPr>
              <w:jc w:val="left"/>
              <w:rPr>
                <w:color w:val="000000"/>
                <w:sz w:val="20"/>
                <w:szCs w:val="20"/>
                <w:lang w:val="fr-FR"/>
              </w:rPr>
            </w:pPr>
            <w:r w:rsidRPr="00401D42">
              <w:rPr>
                <w:color w:val="000000"/>
                <w:sz w:val="20"/>
                <w:szCs w:val="20"/>
                <w:lang w:val="fr-FR"/>
              </w:rPr>
              <w:t>Plan de gestion de l’élimination des HCFC (phase II, troisième tranche) (plan du secteur de l’entretien des équipements de réfrigération et de climatisation et activités de facilitation)</w:t>
            </w: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Default="00401D42" w:rsidP="00B451B5">
            <w:pPr>
              <w:jc w:val="center"/>
              <w:rPr>
                <w:color w:val="000000"/>
                <w:sz w:val="20"/>
                <w:szCs w:val="20"/>
              </w:rPr>
            </w:pPr>
            <w:r>
              <w:rPr>
                <w:color w:val="000000"/>
                <w:sz w:val="20"/>
                <w:szCs w:val="20"/>
              </w:rPr>
              <w:t>80 000</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Default="00401D42" w:rsidP="00B451B5">
            <w:pPr>
              <w:jc w:val="center"/>
              <w:rPr>
                <w:color w:val="000000"/>
                <w:sz w:val="20"/>
                <w:szCs w:val="20"/>
              </w:rPr>
            </w:pPr>
            <w:r>
              <w:rPr>
                <w:color w:val="000000"/>
                <w:sz w:val="20"/>
                <w:szCs w:val="20"/>
              </w:rPr>
              <w:t>10 400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Default="00401D42" w:rsidP="00B451B5">
            <w:pPr>
              <w:jc w:val="center"/>
              <w:rPr>
                <w:sz w:val="20"/>
                <w:szCs w:val="20"/>
              </w:rPr>
            </w:pPr>
            <w:r>
              <w:rPr>
                <w:sz w:val="20"/>
                <w:szCs w:val="20"/>
              </w:rPr>
              <w:t>(2)</w:t>
            </w:r>
          </w:p>
        </w:tc>
      </w:tr>
      <w:tr w:rsidR="00401D42" w:rsidRPr="00C00206" w:rsidTr="00B451B5">
        <w:tc>
          <w:tcPr>
            <w:tcW w:w="1134" w:type="dxa"/>
            <w:vAlign w:val="center"/>
          </w:tcPr>
          <w:p w:rsidR="00401D42" w:rsidRPr="00AA0D6D" w:rsidRDefault="00401D42" w:rsidP="00B451B5">
            <w:pPr>
              <w:jc w:val="center"/>
              <w:rPr>
                <w:sz w:val="20"/>
                <w:szCs w:val="20"/>
              </w:rPr>
            </w:pPr>
            <w:r>
              <w:rPr>
                <w:sz w:val="20"/>
                <w:szCs w:val="20"/>
              </w:rPr>
              <w:t>Japon</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color w:val="000000"/>
                <w:sz w:val="20"/>
                <w:szCs w:val="20"/>
              </w:rPr>
            </w:pPr>
            <w:r>
              <w:rPr>
                <w:color w:val="000000"/>
                <w:sz w:val="20"/>
                <w:szCs w:val="20"/>
              </w:rPr>
              <w:t>Vietnam</w:t>
            </w: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401D42" w:rsidRDefault="00401D42" w:rsidP="00B451B5">
            <w:pPr>
              <w:jc w:val="left"/>
              <w:rPr>
                <w:color w:val="000000"/>
                <w:sz w:val="20"/>
                <w:szCs w:val="20"/>
                <w:lang w:val="fr-FR"/>
              </w:rPr>
            </w:pPr>
            <w:r w:rsidRPr="00401D42">
              <w:rPr>
                <w:color w:val="000000"/>
                <w:sz w:val="20"/>
                <w:szCs w:val="20"/>
                <w:lang w:val="fr-FR"/>
              </w:rPr>
              <w:t>Plan de gestion de l’élimination des HCFC (phase II, seconde tranche)</w:t>
            </w: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Default="00401D42" w:rsidP="00B451B5">
            <w:pPr>
              <w:jc w:val="center"/>
              <w:rPr>
                <w:color w:val="000000"/>
                <w:sz w:val="20"/>
                <w:szCs w:val="20"/>
              </w:rPr>
            </w:pPr>
            <w:r>
              <w:rPr>
                <w:color w:val="000000"/>
                <w:sz w:val="20"/>
                <w:szCs w:val="20"/>
              </w:rPr>
              <w:t>163 980</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Default="00401D42" w:rsidP="00B451B5">
            <w:pPr>
              <w:jc w:val="center"/>
              <w:rPr>
                <w:color w:val="000000"/>
                <w:sz w:val="20"/>
                <w:szCs w:val="20"/>
              </w:rPr>
            </w:pPr>
            <w:r>
              <w:rPr>
                <w:color w:val="000000"/>
                <w:sz w:val="20"/>
                <w:szCs w:val="20"/>
              </w:rPr>
              <w:t>21 317</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Default="00401D42" w:rsidP="00B451B5">
            <w:pPr>
              <w:jc w:val="center"/>
              <w:rPr>
                <w:sz w:val="20"/>
                <w:szCs w:val="20"/>
              </w:rPr>
            </w:pPr>
            <w:r>
              <w:rPr>
                <w:sz w:val="20"/>
                <w:szCs w:val="20"/>
              </w:rPr>
              <w:t>(5)</w:t>
            </w:r>
          </w:p>
        </w:tc>
      </w:tr>
      <w:tr w:rsidR="00401D42" w:rsidRPr="00C00206" w:rsidTr="00B451B5">
        <w:tc>
          <w:tcPr>
            <w:tcW w:w="1134" w:type="dxa"/>
            <w:vAlign w:val="center"/>
          </w:tcPr>
          <w:p w:rsidR="00401D42" w:rsidRPr="00AA0D6D" w:rsidRDefault="00401D42" w:rsidP="00B451B5">
            <w:pPr>
              <w:jc w:val="center"/>
              <w:rPr>
                <w:b/>
                <w:sz w:val="20"/>
                <w:szCs w:val="20"/>
              </w:rPr>
            </w:pPr>
            <w:r>
              <w:rPr>
                <w:b/>
                <w:sz w:val="20"/>
                <w:szCs w:val="20"/>
              </w:rPr>
              <w:t>Sous-total</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b/>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left"/>
              <w:rPr>
                <w:b/>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b/>
                <w:color w:val="000000"/>
                <w:sz w:val="20"/>
                <w:szCs w:val="20"/>
              </w:rPr>
            </w:pPr>
            <w:r>
              <w:rPr>
                <w:b/>
                <w:color w:val="000000"/>
                <w:sz w:val="20"/>
                <w:szCs w:val="20"/>
              </w:rPr>
              <w:t>243 980</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AA0D6D" w:rsidRDefault="00401D42" w:rsidP="00B451B5">
            <w:pPr>
              <w:jc w:val="center"/>
              <w:rPr>
                <w:b/>
                <w:color w:val="000000"/>
                <w:sz w:val="20"/>
                <w:szCs w:val="20"/>
              </w:rPr>
            </w:pPr>
            <w:r>
              <w:rPr>
                <w:b/>
                <w:color w:val="000000"/>
                <w:sz w:val="20"/>
                <w:szCs w:val="20"/>
              </w:rPr>
              <w:t>31 717</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b/>
                <w:sz w:val="20"/>
                <w:szCs w:val="20"/>
              </w:rPr>
            </w:pPr>
          </w:p>
        </w:tc>
      </w:tr>
      <w:tr w:rsidR="00401D42" w:rsidRPr="00C00206" w:rsidTr="00B451B5">
        <w:tc>
          <w:tcPr>
            <w:tcW w:w="1134" w:type="dxa"/>
            <w:vAlign w:val="center"/>
          </w:tcPr>
          <w:p w:rsidR="00401D42" w:rsidRPr="00AA0D6D" w:rsidRDefault="00401D42" w:rsidP="00B451B5">
            <w:pPr>
              <w:jc w:val="center"/>
              <w:rPr>
                <w:b/>
                <w:sz w:val="20"/>
                <w:szCs w:val="20"/>
              </w:rPr>
            </w:pPr>
            <w:r>
              <w:rPr>
                <w:b/>
                <w:sz w:val="20"/>
                <w:szCs w:val="20"/>
              </w:rPr>
              <w:t>Total</w:t>
            </w:r>
          </w:p>
        </w:tc>
        <w:tc>
          <w:tcPr>
            <w:tcW w:w="1116"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b/>
                <w:color w:val="000000"/>
                <w:sz w:val="20"/>
                <w:szCs w:val="20"/>
              </w:rPr>
            </w:pPr>
          </w:p>
        </w:tc>
        <w:tc>
          <w:tcPr>
            <w:tcW w:w="3453"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left"/>
              <w:rPr>
                <w:b/>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401D42" w:rsidRPr="00AA0D6D" w:rsidRDefault="00401D42" w:rsidP="00B451B5">
            <w:pPr>
              <w:jc w:val="center"/>
              <w:rPr>
                <w:b/>
                <w:color w:val="000000"/>
                <w:sz w:val="20"/>
                <w:szCs w:val="20"/>
              </w:rPr>
            </w:pPr>
            <w:r>
              <w:rPr>
                <w:b/>
                <w:color w:val="000000"/>
                <w:sz w:val="20"/>
                <w:szCs w:val="20"/>
              </w:rPr>
              <w:t>2 877 833</w:t>
            </w:r>
          </w:p>
        </w:tc>
        <w:tc>
          <w:tcPr>
            <w:tcW w:w="1170" w:type="dxa"/>
            <w:tcBorders>
              <w:top w:val="single" w:sz="4" w:space="0" w:color="auto"/>
              <w:left w:val="single" w:sz="4" w:space="0" w:color="auto"/>
              <w:bottom w:val="single" w:sz="4" w:space="0" w:color="auto"/>
              <w:right w:val="nil"/>
            </w:tcBorders>
            <w:shd w:val="clear" w:color="auto" w:fill="auto"/>
            <w:vAlign w:val="center"/>
          </w:tcPr>
          <w:p w:rsidR="00401D42" w:rsidRPr="00AA0D6D" w:rsidRDefault="00401D42" w:rsidP="00B451B5">
            <w:pPr>
              <w:jc w:val="center"/>
              <w:rPr>
                <w:b/>
                <w:color w:val="000000"/>
                <w:sz w:val="20"/>
                <w:szCs w:val="20"/>
              </w:rPr>
            </w:pPr>
            <w:r>
              <w:rPr>
                <w:b/>
                <w:color w:val="000000"/>
                <w:sz w:val="20"/>
                <w:szCs w:val="20"/>
              </w:rPr>
              <w:t>343 726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401D42" w:rsidRPr="00AA0D6D" w:rsidRDefault="00401D42" w:rsidP="00B451B5">
            <w:pPr>
              <w:jc w:val="center"/>
              <w:rPr>
                <w:b/>
                <w:sz w:val="20"/>
                <w:szCs w:val="20"/>
              </w:rPr>
            </w:pPr>
          </w:p>
        </w:tc>
      </w:tr>
    </w:tbl>
    <w:p w:rsidR="00401D42" w:rsidRPr="00330EEC" w:rsidRDefault="00401D42" w:rsidP="00401D42">
      <w:pPr>
        <w:pStyle w:val="Heading1"/>
        <w:numPr>
          <w:ilvl w:val="0"/>
          <w:numId w:val="0"/>
        </w:numPr>
        <w:spacing w:after="0"/>
        <w:rPr>
          <w:sz w:val="19"/>
          <w:szCs w:val="19"/>
        </w:rPr>
      </w:pPr>
      <w:r>
        <w:rPr>
          <w:sz w:val="19"/>
          <w:szCs w:val="19"/>
        </w:rPr>
        <w:t>(1) UNEP/OzL.Pro/ExCom/84/60</w:t>
      </w:r>
    </w:p>
    <w:p w:rsidR="00401D42" w:rsidRPr="00330EEC" w:rsidRDefault="00401D42" w:rsidP="00401D42">
      <w:pPr>
        <w:rPr>
          <w:sz w:val="19"/>
          <w:szCs w:val="19"/>
        </w:rPr>
      </w:pPr>
      <w:r>
        <w:rPr>
          <w:sz w:val="19"/>
          <w:szCs w:val="19"/>
        </w:rPr>
        <w:t>(2) UNEP/OzL.Pro/ExCom/84/42</w:t>
      </w:r>
    </w:p>
    <w:p w:rsidR="00401D42" w:rsidRPr="00330EEC" w:rsidRDefault="00401D42" w:rsidP="00401D42">
      <w:pPr>
        <w:rPr>
          <w:sz w:val="19"/>
          <w:szCs w:val="19"/>
        </w:rPr>
      </w:pPr>
      <w:r>
        <w:rPr>
          <w:sz w:val="19"/>
          <w:szCs w:val="19"/>
        </w:rPr>
        <w:t>(3) UNEP/OzL.Pro/ExCom/84/49</w:t>
      </w:r>
    </w:p>
    <w:p w:rsidR="00401D42" w:rsidRDefault="00401D42" w:rsidP="00401D42">
      <w:pPr>
        <w:rPr>
          <w:sz w:val="19"/>
          <w:szCs w:val="19"/>
        </w:rPr>
      </w:pPr>
      <w:r>
        <w:rPr>
          <w:sz w:val="19"/>
          <w:szCs w:val="19"/>
        </w:rPr>
        <w:t>(4) UNEP/OzL.Pro/ExCom/84/51</w:t>
      </w:r>
    </w:p>
    <w:p w:rsidR="00401D42" w:rsidRDefault="00401D42" w:rsidP="00401D42">
      <w:pPr>
        <w:spacing w:after="240"/>
        <w:rPr>
          <w:sz w:val="19"/>
          <w:szCs w:val="19"/>
        </w:rPr>
      </w:pPr>
      <w:r>
        <w:rPr>
          <w:sz w:val="19"/>
          <w:szCs w:val="19"/>
        </w:rPr>
        <w:t>(5) UNEP/OzL.Pro/ExCom/84/62</w:t>
      </w:r>
    </w:p>
    <w:p w:rsidR="00401D42" w:rsidRDefault="00401D42" w:rsidP="00401D42">
      <w:pPr>
        <w:rPr>
          <w:b/>
        </w:rPr>
      </w:pPr>
      <w:r>
        <w:rPr>
          <w:b/>
        </w:rPr>
        <w:t>Niveau de coopération bilatérale autorisé</w:t>
      </w:r>
    </w:p>
    <w:p w:rsidR="00401D42" w:rsidRPr="00F52745" w:rsidRDefault="00401D42" w:rsidP="00401D42">
      <w:pPr>
        <w:rPr>
          <w:lang w:val="en-US"/>
        </w:rPr>
      </w:pPr>
    </w:p>
    <w:p w:rsidR="00401D42" w:rsidRPr="00401D42" w:rsidRDefault="00401D42" w:rsidP="00401D42">
      <w:pPr>
        <w:pStyle w:val="Heading1"/>
        <w:rPr>
          <w:lang w:val="fr-FR"/>
        </w:rPr>
      </w:pPr>
      <w:r w:rsidRPr="00401D42">
        <w:rPr>
          <w:lang w:val="fr-FR"/>
        </w:rPr>
        <w:t>Le montant des financements demandés à la 84</w:t>
      </w:r>
      <w:r w:rsidRPr="00401D42">
        <w:rPr>
          <w:vertAlign w:val="superscript"/>
          <w:lang w:val="fr-FR"/>
        </w:rPr>
        <w:t>e</w:t>
      </w:r>
      <w:r w:rsidRPr="00401D42">
        <w:rPr>
          <w:lang w:val="fr-FR"/>
        </w:rPr>
        <w:t> réunion par les gouvernements de la France, de l’Allemagne, de l’Italie et du Japon, ajouté à celui des financements déjà approuvés durant la période triennale 2018-2020, ne dépasse pas le niveau de coopération bilatérale autorisé de 20 %, comme le montre le tableau 2.</w:t>
      </w:r>
    </w:p>
    <w:p w:rsidR="00401D42" w:rsidRPr="00401D42" w:rsidRDefault="00401D42" w:rsidP="00401D42">
      <w:pPr>
        <w:rPr>
          <w:b/>
          <w:lang w:val="fr-FR"/>
        </w:rPr>
      </w:pPr>
      <w:r w:rsidRPr="00401D42">
        <w:rPr>
          <w:b/>
          <w:lang w:val="fr-FR"/>
        </w:rPr>
        <w:lastRenderedPageBreak/>
        <w:t>Tableau 2. Niveaux de financement de type coopération bilatérale durant la période triennale 2018-2020 ($ US)</w:t>
      </w:r>
    </w:p>
    <w:tbl>
      <w:tblPr>
        <w:tblW w:w="9394" w:type="dxa"/>
        <w:tblInd w:w="108" w:type="dxa"/>
        <w:tblLayout w:type="fixed"/>
        <w:tblLook w:val="04A0" w:firstRow="1" w:lastRow="0" w:firstColumn="1" w:lastColumn="0" w:noHBand="0" w:noVBand="1"/>
      </w:tblPr>
      <w:tblGrid>
        <w:gridCol w:w="1475"/>
        <w:gridCol w:w="1584"/>
        <w:gridCol w:w="1584"/>
        <w:gridCol w:w="1583"/>
        <w:gridCol w:w="1584"/>
        <w:gridCol w:w="1584"/>
      </w:tblGrid>
      <w:tr w:rsidR="00401D42" w:rsidRPr="00F52745" w:rsidTr="00D211C4">
        <w:tc>
          <w:tcPr>
            <w:tcW w:w="1475" w:type="dxa"/>
            <w:vMerge w:val="restart"/>
            <w:tcBorders>
              <w:top w:val="single" w:sz="4" w:space="0" w:color="auto"/>
              <w:left w:val="single" w:sz="4" w:space="0" w:color="auto"/>
              <w:right w:val="single" w:sz="4" w:space="0" w:color="auto"/>
            </w:tcBorders>
            <w:shd w:val="clear" w:color="auto" w:fill="auto"/>
            <w:noWrap/>
            <w:vAlign w:val="center"/>
          </w:tcPr>
          <w:p w:rsidR="00401D42" w:rsidRPr="00F52745" w:rsidRDefault="00401D42" w:rsidP="00B451B5">
            <w:pPr>
              <w:jc w:val="center"/>
              <w:rPr>
                <w:b/>
                <w:color w:val="000000"/>
                <w:sz w:val="21"/>
                <w:szCs w:val="21"/>
              </w:rPr>
            </w:pPr>
            <w:r>
              <w:rPr>
                <w:b/>
                <w:color w:val="000000"/>
                <w:sz w:val="21"/>
                <w:szCs w:val="21"/>
              </w:rPr>
              <w:t>Agence</w:t>
            </w:r>
          </w:p>
        </w:tc>
        <w:tc>
          <w:tcPr>
            <w:tcW w:w="4751" w:type="dxa"/>
            <w:gridSpan w:val="3"/>
            <w:tcBorders>
              <w:top w:val="single" w:sz="4" w:space="0" w:color="auto"/>
              <w:left w:val="nil"/>
              <w:bottom w:val="single" w:sz="4" w:space="0" w:color="auto"/>
              <w:right w:val="single" w:sz="4" w:space="0" w:color="auto"/>
            </w:tcBorders>
            <w:shd w:val="clear" w:color="auto" w:fill="auto"/>
            <w:noWrap/>
            <w:vAlign w:val="center"/>
          </w:tcPr>
          <w:p w:rsidR="00401D42" w:rsidRPr="00F52745" w:rsidRDefault="00401D42" w:rsidP="00B451B5">
            <w:pPr>
              <w:jc w:val="center"/>
              <w:rPr>
                <w:b/>
                <w:color w:val="000000"/>
                <w:sz w:val="21"/>
                <w:szCs w:val="21"/>
              </w:rPr>
            </w:pPr>
            <w:r>
              <w:rPr>
                <w:b/>
                <w:color w:val="000000"/>
                <w:sz w:val="21"/>
                <w:szCs w:val="21"/>
              </w:rPr>
              <w:t>Financement</w:t>
            </w:r>
          </w:p>
        </w:tc>
        <w:tc>
          <w:tcPr>
            <w:tcW w:w="1584" w:type="dxa"/>
            <w:vMerge w:val="restart"/>
            <w:tcBorders>
              <w:top w:val="single" w:sz="4" w:space="0" w:color="auto"/>
              <w:left w:val="nil"/>
              <w:right w:val="single" w:sz="4" w:space="0" w:color="auto"/>
            </w:tcBorders>
            <w:shd w:val="clear" w:color="auto" w:fill="auto"/>
            <w:noWrap/>
            <w:vAlign w:val="center"/>
          </w:tcPr>
          <w:p w:rsidR="00401D42" w:rsidRPr="00F52745" w:rsidRDefault="00401D42" w:rsidP="00B451B5">
            <w:pPr>
              <w:jc w:val="center"/>
              <w:rPr>
                <w:b/>
                <w:color w:val="000000"/>
                <w:sz w:val="21"/>
                <w:szCs w:val="21"/>
              </w:rPr>
            </w:pPr>
            <w:r>
              <w:rPr>
                <w:b/>
                <w:color w:val="000000"/>
                <w:sz w:val="21"/>
                <w:szCs w:val="21"/>
              </w:rPr>
              <w:t>Niveau autorisé</w:t>
            </w:r>
          </w:p>
        </w:tc>
        <w:tc>
          <w:tcPr>
            <w:tcW w:w="1584" w:type="dxa"/>
            <w:vMerge w:val="restart"/>
            <w:tcBorders>
              <w:top w:val="single" w:sz="4" w:space="0" w:color="auto"/>
              <w:left w:val="nil"/>
              <w:right w:val="single" w:sz="4" w:space="0" w:color="auto"/>
            </w:tcBorders>
            <w:vAlign w:val="center"/>
          </w:tcPr>
          <w:p w:rsidR="00401D42" w:rsidRPr="00F52745" w:rsidRDefault="00401D42" w:rsidP="00B451B5">
            <w:pPr>
              <w:jc w:val="center"/>
              <w:rPr>
                <w:b/>
                <w:color w:val="000000"/>
                <w:sz w:val="21"/>
                <w:szCs w:val="21"/>
              </w:rPr>
            </w:pPr>
            <w:r>
              <w:rPr>
                <w:b/>
                <w:color w:val="000000"/>
                <w:sz w:val="21"/>
                <w:szCs w:val="21"/>
              </w:rPr>
              <w:t>Année d’affectation</w:t>
            </w:r>
          </w:p>
        </w:tc>
      </w:tr>
      <w:tr w:rsidR="00401D42" w:rsidRPr="00F52745" w:rsidTr="00D211C4">
        <w:tc>
          <w:tcPr>
            <w:tcW w:w="1475" w:type="dxa"/>
            <w:vMerge/>
            <w:tcBorders>
              <w:left w:val="single" w:sz="4" w:space="0" w:color="auto"/>
              <w:bottom w:val="single" w:sz="4" w:space="0" w:color="auto"/>
              <w:right w:val="single" w:sz="4" w:space="0" w:color="auto"/>
            </w:tcBorders>
            <w:shd w:val="clear" w:color="auto" w:fill="auto"/>
            <w:noWrap/>
            <w:vAlign w:val="center"/>
            <w:hideMark/>
          </w:tcPr>
          <w:p w:rsidR="00401D42" w:rsidRPr="00F52745" w:rsidRDefault="00401D42" w:rsidP="00B451B5">
            <w:pPr>
              <w:jc w:val="center"/>
              <w:rPr>
                <w:b/>
                <w:color w:val="000000"/>
                <w:sz w:val="21"/>
                <w:szCs w:val="21"/>
                <w:lang w:val="en-CA" w:eastAsia="en-CA"/>
              </w:rPr>
            </w:pP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401D42" w:rsidRPr="00F52745" w:rsidRDefault="00401D42" w:rsidP="00B451B5">
            <w:pPr>
              <w:jc w:val="center"/>
              <w:rPr>
                <w:b/>
                <w:color w:val="000000"/>
                <w:sz w:val="21"/>
                <w:szCs w:val="21"/>
              </w:rPr>
            </w:pPr>
            <w:r>
              <w:rPr>
                <w:b/>
                <w:color w:val="000000"/>
                <w:sz w:val="21"/>
                <w:szCs w:val="21"/>
              </w:rPr>
              <w:t>Approuvé</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rsidR="00401D42" w:rsidRPr="00F52745" w:rsidRDefault="00401D42" w:rsidP="00B451B5">
            <w:pPr>
              <w:jc w:val="center"/>
              <w:rPr>
                <w:b/>
                <w:color w:val="000000"/>
                <w:sz w:val="21"/>
                <w:szCs w:val="21"/>
              </w:rPr>
            </w:pPr>
            <w:r>
              <w:rPr>
                <w:b/>
                <w:color w:val="000000"/>
                <w:sz w:val="21"/>
                <w:szCs w:val="21"/>
              </w:rPr>
              <w:t>84</w:t>
            </w:r>
            <w:r>
              <w:rPr>
                <w:b/>
                <w:color w:val="000000"/>
                <w:sz w:val="21"/>
                <w:szCs w:val="21"/>
                <w:vertAlign w:val="superscript"/>
              </w:rPr>
              <w:t>e</w:t>
            </w:r>
            <w:r>
              <w:rPr>
                <w:b/>
                <w:color w:val="000000"/>
                <w:sz w:val="21"/>
                <w:szCs w:val="21"/>
              </w:rPr>
              <w:t> réunion</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401D42" w:rsidRPr="00F52745" w:rsidRDefault="00401D42" w:rsidP="00B451B5">
            <w:pPr>
              <w:jc w:val="center"/>
              <w:rPr>
                <w:b/>
                <w:color w:val="000000"/>
                <w:sz w:val="21"/>
                <w:szCs w:val="21"/>
              </w:rPr>
            </w:pPr>
            <w:r>
              <w:rPr>
                <w:b/>
                <w:color w:val="000000"/>
                <w:sz w:val="21"/>
                <w:szCs w:val="21"/>
              </w:rPr>
              <w:t>Total</w:t>
            </w:r>
          </w:p>
        </w:tc>
        <w:tc>
          <w:tcPr>
            <w:tcW w:w="1584" w:type="dxa"/>
            <w:vMerge/>
            <w:tcBorders>
              <w:left w:val="nil"/>
              <w:bottom w:val="single" w:sz="4" w:space="0" w:color="auto"/>
              <w:right w:val="single" w:sz="4" w:space="0" w:color="auto"/>
            </w:tcBorders>
            <w:shd w:val="clear" w:color="auto" w:fill="auto"/>
            <w:noWrap/>
            <w:vAlign w:val="center"/>
            <w:hideMark/>
          </w:tcPr>
          <w:p w:rsidR="00401D42" w:rsidRPr="00F52745" w:rsidRDefault="00401D42" w:rsidP="00B451B5">
            <w:pPr>
              <w:jc w:val="center"/>
              <w:rPr>
                <w:b/>
                <w:color w:val="000000"/>
                <w:sz w:val="21"/>
                <w:szCs w:val="21"/>
                <w:lang w:val="en-CA" w:eastAsia="en-CA"/>
              </w:rPr>
            </w:pPr>
          </w:p>
        </w:tc>
        <w:tc>
          <w:tcPr>
            <w:tcW w:w="1584" w:type="dxa"/>
            <w:vMerge/>
            <w:tcBorders>
              <w:left w:val="nil"/>
              <w:bottom w:val="single" w:sz="4" w:space="0" w:color="auto"/>
              <w:right w:val="single" w:sz="4" w:space="0" w:color="auto"/>
            </w:tcBorders>
            <w:vAlign w:val="center"/>
          </w:tcPr>
          <w:p w:rsidR="00401D42" w:rsidRPr="00F52745" w:rsidRDefault="00401D42" w:rsidP="00B451B5">
            <w:pPr>
              <w:jc w:val="center"/>
              <w:rPr>
                <w:b/>
                <w:color w:val="000000"/>
                <w:sz w:val="21"/>
                <w:szCs w:val="21"/>
                <w:lang w:val="en-CA" w:eastAsia="en-CA"/>
              </w:rPr>
            </w:pPr>
          </w:p>
        </w:tc>
      </w:tr>
      <w:tr w:rsidR="00401D42" w:rsidRPr="00F52745" w:rsidTr="00D211C4">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401D42" w:rsidRPr="00F52745" w:rsidRDefault="00401D42" w:rsidP="00B451B5">
            <w:pPr>
              <w:jc w:val="center"/>
              <w:rPr>
                <w:color w:val="000000"/>
                <w:sz w:val="21"/>
                <w:szCs w:val="21"/>
              </w:rPr>
            </w:pPr>
            <w:r>
              <w:rPr>
                <w:color w:val="000000"/>
                <w:sz w:val="21"/>
                <w:szCs w:val="21"/>
              </w:rPr>
              <w:t>France</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113 000</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21 470</w:t>
            </w:r>
          </w:p>
        </w:tc>
        <w:tc>
          <w:tcPr>
            <w:tcW w:w="1583"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134 470</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7 347 300</w:t>
            </w:r>
          </w:p>
        </w:tc>
        <w:tc>
          <w:tcPr>
            <w:tcW w:w="1584" w:type="dxa"/>
            <w:tcBorders>
              <w:top w:val="nil"/>
              <w:left w:val="nil"/>
              <w:bottom w:val="single" w:sz="4" w:space="0" w:color="auto"/>
              <w:right w:val="single" w:sz="4" w:space="0" w:color="auto"/>
            </w:tcBorders>
            <w:tcMar>
              <w:right w:w="288" w:type="dxa"/>
            </w:tcMar>
            <w:vAlign w:val="center"/>
          </w:tcPr>
          <w:p w:rsidR="00401D42" w:rsidRPr="00F52745" w:rsidRDefault="00401D42" w:rsidP="00B451B5">
            <w:pPr>
              <w:jc w:val="center"/>
              <w:rPr>
                <w:color w:val="000000"/>
                <w:sz w:val="21"/>
                <w:szCs w:val="21"/>
              </w:rPr>
            </w:pPr>
            <w:r>
              <w:rPr>
                <w:color w:val="000000"/>
                <w:sz w:val="21"/>
                <w:szCs w:val="21"/>
              </w:rPr>
              <w:t>2019</w:t>
            </w:r>
          </w:p>
        </w:tc>
      </w:tr>
      <w:tr w:rsidR="00401D42" w:rsidRPr="00F52745" w:rsidTr="00D211C4">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401D42" w:rsidRPr="00F52745" w:rsidRDefault="00401D42" w:rsidP="00B451B5">
            <w:pPr>
              <w:jc w:val="center"/>
              <w:rPr>
                <w:color w:val="000000"/>
                <w:sz w:val="21"/>
                <w:szCs w:val="21"/>
              </w:rPr>
            </w:pPr>
            <w:r>
              <w:rPr>
                <w:color w:val="000000"/>
                <w:sz w:val="21"/>
                <w:szCs w:val="21"/>
              </w:rPr>
              <w:t>Allemagne</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5 068 337</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2 359 392</w:t>
            </w:r>
          </w:p>
        </w:tc>
        <w:tc>
          <w:tcPr>
            <w:tcW w:w="1583"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7 427 729</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9 660 800</w:t>
            </w:r>
          </w:p>
        </w:tc>
        <w:tc>
          <w:tcPr>
            <w:tcW w:w="1584" w:type="dxa"/>
            <w:tcBorders>
              <w:top w:val="nil"/>
              <w:left w:val="nil"/>
              <w:bottom w:val="single" w:sz="4" w:space="0" w:color="auto"/>
              <w:right w:val="single" w:sz="4" w:space="0" w:color="auto"/>
            </w:tcBorders>
            <w:tcMar>
              <w:right w:w="288" w:type="dxa"/>
            </w:tcMar>
            <w:vAlign w:val="center"/>
          </w:tcPr>
          <w:p w:rsidR="00401D42" w:rsidRPr="00F52745" w:rsidRDefault="00401D42" w:rsidP="00B451B5">
            <w:pPr>
              <w:jc w:val="center"/>
              <w:rPr>
                <w:color w:val="000000"/>
                <w:sz w:val="21"/>
                <w:szCs w:val="21"/>
              </w:rPr>
            </w:pPr>
            <w:r>
              <w:rPr>
                <w:color w:val="000000"/>
                <w:sz w:val="21"/>
                <w:szCs w:val="21"/>
              </w:rPr>
              <w:t>2018-2020</w:t>
            </w:r>
          </w:p>
        </w:tc>
      </w:tr>
      <w:tr w:rsidR="00401D42" w:rsidRPr="00F52745" w:rsidTr="00D211C4">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401D42" w:rsidRPr="00F52745" w:rsidRDefault="00401D42" w:rsidP="00B451B5">
            <w:pPr>
              <w:jc w:val="center"/>
              <w:rPr>
                <w:color w:val="000000"/>
                <w:sz w:val="21"/>
                <w:szCs w:val="21"/>
              </w:rPr>
            </w:pPr>
            <w:r>
              <w:rPr>
                <w:color w:val="000000"/>
                <w:sz w:val="21"/>
                <w:szCs w:val="21"/>
              </w:rPr>
              <w:t>Italie</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371 762</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565 000</w:t>
            </w:r>
          </w:p>
        </w:tc>
        <w:tc>
          <w:tcPr>
            <w:tcW w:w="1583"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936 762</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5 667 300</w:t>
            </w:r>
          </w:p>
        </w:tc>
        <w:tc>
          <w:tcPr>
            <w:tcW w:w="1584" w:type="dxa"/>
            <w:tcBorders>
              <w:top w:val="nil"/>
              <w:left w:val="nil"/>
              <w:bottom w:val="single" w:sz="4" w:space="0" w:color="auto"/>
              <w:right w:val="single" w:sz="4" w:space="0" w:color="auto"/>
            </w:tcBorders>
            <w:tcMar>
              <w:right w:w="288" w:type="dxa"/>
            </w:tcMar>
            <w:vAlign w:val="center"/>
          </w:tcPr>
          <w:p w:rsidR="00401D42" w:rsidRDefault="00401D42" w:rsidP="00B451B5">
            <w:pPr>
              <w:jc w:val="center"/>
            </w:pPr>
            <w:r>
              <w:rPr>
                <w:color w:val="000000"/>
                <w:sz w:val="21"/>
                <w:szCs w:val="21"/>
              </w:rPr>
              <w:t>2019</w:t>
            </w:r>
          </w:p>
        </w:tc>
      </w:tr>
      <w:tr w:rsidR="00401D42" w:rsidRPr="00F52745" w:rsidTr="00D211C4">
        <w:tc>
          <w:tcPr>
            <w:tcW w:w="1475" w:type="dxa"/>
            <w:tcBorders>
              <w:top w:val="nil"/>
              <w:left w:val="single" w:sz="4" w:space="0" w:color="auto"/>
              <w:bottom w:val="single" w:sz="4" w:space="0" w:color="auto"/>
              <w:right w:val="single" w:sz="4" w:space="0" w:color="auto"/>
            </w:tcBorders>
            <w:shd w:val="clear" w:color="auto" w:fill="auto"/>
            <w:noWrap/>
            <w:vAlign w:val="center"/>
            <w:hideMark/>
          </w:tcPr>
          <w:p w:rsidR="00401D42" w:rsidRPr="00F52745" w:rsidRDefault="00401D42" w:rsidP="00B451B5">
            <w:pPr>
              <w:jc w:val="center"/>
              <w:rPr>
                <w:color w:val="000000"/>
                <w:sz w:val="21"/>
                <w:szCs w:val="21"/>
              </w:rPr>
            </w:pPr>
            <w:r>
              <w:rPr>
                <w:color w:val="000000"/>
                <w:sz w:val="21"/>
                <w:szCs w:val="21"/>
              </w:rPr>
              <w:t>Japon</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90 400</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275 697</w:t>
            </w:r>
          </w:p>
        </w:tc>
        <w:tc>
          <w:tcPr>
            <w:tcW w:w="1583"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366 097</w:t>
            </w:r>
          </w:p>
        </w:tc>
        <w:tc>
          <w:tcPr>
            <w:tcW w:w="1584" w:type="dxa"/>
            <w:tcBorders>
              <w:top w:val="nil"/>
              <w:left w:val="nil"/>
              <w:bottom w:val="single" w:sz="4" w:space="0" w:color="auto"/>
              <w:right w:val="single" w:sz="4" w:space="0" w:color="auto"/>
            </w:tcBorders>
            <w:shd w:val="clear" w:color="auto" w:fill="auto"/>
            <w:noWrap/>
            <w:tcMar>
              <w:left w:w="115" w:type="dxa"/>
              <w:right w:w="288" w:type="dxa"/>
            </w:tcMar>
            <w:vAlign w:val="center"/>
            <w:hideMark/>
          </w:tcPr>
          <w:p w:rsidR="00401D42" w:rsidRPr="00F52745" w:rsidRDefault="00401D42" w:rsidP="00C77FCB">
            <w:pPr>
              <w:jc w:val="right"/>
              <w:rPr>
                <w:color w:val="000000"/>
                <w:sz w:val="21"/>
                <w:szCs w:val="21"/>
              </w:rPr>
            </w:pPr>
            <w:r>
              <w:rPr>
                <w:color w:val="000000"/>
                <w:sz w:val="21"/>
                <w:szCs w:val="21"/>
              </w:rPr>
              <w:t>14 637 099</w:t>
            </w:r>
          </w:p>
        </w:tc>
        <w:tc>
          <w:tcPr>
            <w:tcW w:w="1584" w:type="dxa"/>
            <w:tcBorders>
              <w:top w:val="nil"/>
              <w:left w:val="nil"/>
              <w:bottom w:val="single" w:sz="4" w:space="0" w:color="auto"/>
              <w:right w:val="single" w:sz="4" w:space="0" w:color="auto"/>
            </w:tcBorders>
            <w:tcMar>
              <w:right w:w="288" w:type="dxa"/>
            </w:tcMar>
            <w:vAlign w:val="center"/>
          </w:tcPr>
          <w:p w:rsidR="00401D42" w:rsidRDefault="00401D42" w:rsidP="00B451B5">
            <w:pPr>
              <w:jc w:val="center"/>
            </w:pPr>
            <w:r>
              <w:rPr>
                <w:color w:val="000000"/>
                <w:sz w:val="21"/>
                <w:szCs w:val="21"/>
              </w:rPr>
              <w:t>2019</w:t>
            </w:r>
          </w:p>
        </w:tc>
      </w:tr>
    </w:tbl>
    <w:p w:rsidR="00401D42" w:rsidRDefault="00401D42" w:rsidP="00401D42">
      <w:pPr>
        <w:pStyle w:val="Heading1"/>
        <w:numPr>
          <w:ilvl w:val="0"/>
          <w:numId w:val="0"/>
        </w:numPr>
        <w:spacing w:after="0"/>
        <w:rPr>
          <w:b/>
          <w:lang w:val="en-US"/>
        </w:rPr>
      </w:pPr>
    </w:p>
    <w:p w:rsidR="00401D42" w:rsidRDefault="00401D42" w:rsidP="00401D42">
      <w:pPr>
        <w:pStyle w:val="Heading1"/>
        <w:numPr>
          <w:ilvl w:val="0"/>
          <w:numId w:val="0"/>
        </w:numPr>
        <w:spacing w:after="0"/>
        <w:rPr>
          <w:b/>
        </w:rPr>
      </w:pPr>
      <w:r>
        <w:rPr>
          <w:b/>
        </w:rPr>
        <w:t>Recommandation</w:t>
      </w:r>
    </w:p>
    <w:p w:rsidR="00401D42" w:rsidRPr="00E812F5" w:rsidRDefault="00401D42" w:rsidP="00401D42">
      <w:pPr>
        <w:rPr>
          <w:lang w:val="en-US"/>
        </w:rPr>
      </w:pPr>
    </w:p>
    <w:p w:rsidR="00401D42" w:rsidRPr="00401D42" w:rsidRDefault="00401D42" w:rsidP="00401D42">
      <w:pPr>
        <w:pStyle w:val="Heading1"/>
        <w:spacing w:after="0"/>
        <w:rPr>
          <w:lang w:val="fr-FR"/>
        </w:rPr>
      </w:pPr>
      <w:r w:rsidRPr="00401D42">
        <w:rPr>
          <w:lang w:val="fr-FR"/>
        </w:rPr>
        <w:t>Le Comité exécutif pourrait souhaiter demander au Trésorier de déduire les coûts des projets bilatéraux approuvés à la 84</w:t>
      </w:r>
      <w:r w:rsidRPr="00401D42">
        <w:rPr>
          <w:vertAlign w:val="superscript"/>
          <w:lang w:val="fr-FR"/>
        </w:rPr>
        <w:t>e</w:t>
      </w:r>
      <w:r w:rsidRPr="00401D42">
        <w:rPr>
          <w:lang w:val="fr-FR"/>
        </w:rPr>
        <w:t> réunion comme suit :</w:t>
      </w:r>
    </w:p>
    <w:p w:rsidR="00401D42" w:rsidRPr="00DC39C6" w:rsidRDefault="00401D42" w:rsidP="00401D42">
      <w:pPr>
        <w:rPr>
          <w:lang w:val="fr-FR"/>
        </w:rPr>
      </w:pPr>
    </w:p>
    <w:p w:rsidR="00401D42" w:rsidRPr="00401D42" w:rsidRDefault="00401D42" w:rsidP="00401D42">
      <w:pPr>
        <w:widowControl w:val="0"/>
        <w:numPr>
          <w:ilvl w:val="1"/>
          <w:numId w:val="1"/>
        </w:numPr>
        <w:tabs>
          <w:tab w:val="num" w:pos="-153"/>
        </w:tabs>
        <w:outlineLvl w:val="1"/>
        <w:rPr>
          <w:lang w:val="fr-FR"/>
        </w:rPr>
      </w:pPr>
      <w:r w:rsidRPr="00401D42">
        <w:rPr>
          <w:lang w:val="fr-FR"/>
        </w:rPr>
        <w:t>XX $ US (coûts d’appui d’agence compris) du solde de la contribution bilatérale du gouver</w:t>
      </w:r>
      <w:r w:rsidR="00B451B5">
        <w:rPr>
          <w:lang w:val="fr-FR"/>
        </w:rPr>
        <w:t>nement de la France pour 2019 ;</w:t>
      </w:r>
    </w:p>
    <w:p w:rsidR="00401D42" w:rsidRPr="00DC39C6" w:rsidRDefault="00401D42" w:rsidP="00401D42">
      <w:pPr>
        <w:widowControl w:val="0"/>
        <w:ind w:left="1440"/>
        <w:outlineLvl w:val="1"/>
        <w:rPr>
          <w:lang w:val="fr-FR"/>
        </w:rPr>
      </w:pPr>
    </w:p>
    <w:p w:rsidR="00401D42" w:rsidRPr="00401D42" w:rsidRDefault="00401D42" w:rsidP="00401D42">
      <w:pPr>
        <w:widowControl w:val="0"/>
        <w:numPr>
          <w:ilvl w:val="1"/>
          <w:numId w:val="1"/>
        </w:numPr>
        <w:tabs>
          <w:tab w:val="num" w:pos="-153"/>
        </w:tabs>
        <w:outlineLvl w:val="1"/>
        <w:rPr>
          <w:lang w:val="fr-FR"/>
        </w:rPr>
      </w:pPr>
      <w:r w:rsidRPr="00401D42">
        <w:rPr>
          <w:lang w:val="fr-FR"/>
        </w:rPr>
        <w:t>XX $ US (coûts d’appui d’agence compris) du solde de la contribution bilatérale du gouvernement de l’Allemagne pour 2018-2020 ;</w:t>
      </w:r>
    </w:p>
    <w:p w:rsidR="00401D42" w:rsidRDefault="00401D42" w:rsidP="00401D42">
      <w:pPr>
        <w:pStyle w:val="ListParagraph"/>
      </w:pPr>
    </w:p>
    <w:p w:rsidR="00401D42" w:rsidRPr="00401D42" w:rsidRDefault="00401D42" w:rsidP="00401D42">
      <w:pPr>
        <w:pStyle w:val="Heading2"/>
        <w:numPr>
          <w:ilvl w:val="1"/>
          <w:numId w:val="1"/>
        </w:numPr>
        <w:rPr>
          <w:lang w:val="fr-FR"/>
        </w:rPr>
      </w:pPr>
      <w:r w:rsidRPr="00401D42">
        <w:rPr>
          <w:lang w:val="fr-FR"/>
        </w:rPr>
        <w:t>XX $ US (coûts d’appui d’agence compris) du solde de la contribution bilatérale du gouvernement de l’Italie pour 2019 ; et</w:t>
      </w:r>
    </w:p>
    <w:p w:rsidR="00401D42" w:rsidRPr="00401D42" w:rsidRDefault="00401D42" w:rsidP="00401D42">
      <w:pPr>
        <w:pStyle w:val="Heading2"/>
        <w:numPr>
          <w:ilvl w:val="1"/>
          <w:numId w:val="1"/>
        </w:numPr>
        <w:rPr>
          <w:lang w:val="fr-FR"/>
        </w:rPr>
      </w:pPr>
      <w:r w:rsidRPr="00401D42">
        <w:rPr>
          <w:lang w:val="fr-FR"/>
        </w:rPr>
        <w:t>XX $ US (coûts d’appui d’agence compris) du solde de la contribution bilatérale du gouvernement du Japon pour 2019.</w:t>
      </w:r>
    </w:p>
    <w:p w:rsidR="00401D42" w:rsidRPr="00401D42" w:rsidRDefault="00401D42" w:rsidP="00401D42">
      <w:pPr>
        <w:pStyle w:val="Title1"/>
        <w:jc w:val="both"/>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01D42" w:rsidRPr="008951C5" w:rsidTr="00F93043">
        <w:tc>
          <w:tcPr>
            <w:tcW w:w="1871" w:type="dxa"/>
          </w:tcPr>
          <w:p w:rsidR="00401D42" w:rsidRPr="00401D42" w:rsidRDefault="00401D42" w:rsidP="00F93043">
            <w:pPr>
              <w:rPr>
                <w:lang w:val="fr-FR"/>
              </w:rPr>
            </w:pPr>
          </w:p>
        </w:tc>
        <w:tc>
          <w:tcPr>
            <w:tcW w:w="1872" w:type="dxa"/>
          </w:tcPr>
          <w:p w:rsidR="00401D42" w:rsidRPr="00401D42" w:rsidRDefault="00401D42" w:rsidP="00F93043">
            <w:pPr>
              <w:rPr>
                <w:lang w:val="fr-FR"/>
              </w:rPr>
            </w:pPr>
          </w:p>
        </w:tc>
        <w:tc>
          <w:tcPr>
            <w:tcW w:w="1872" w:type="dxa"/>
            <w:tcBorders>
              <w:bottom w:val="single" w:sz="4" w:space="0" w:color="auto"/>
            </w:tcBorders>
          </w:tcPr>
          <w:p w:rsidR="00401D42" w:rsidRPr="00401D42" w:rsidRDefault="00401D42" w:rsidP="00F93043">
            <w:pPr>
              <w:rPr>
                <w:lang w:val="fr-FR"/>
              </w:rPr>
            </w:pPr>
          </w:p>
        </w:tc>
        <w:tc>
          <w:tcPr>
            <w:tcW w:w="1872" w:type="dxa"/>
          </w:tcPr>
          <w:p w:rsidR="00401D42" w:rsidRPr="00401D42" w:rsidRDefault="00401D42" w:rsidP="00F93043">
            <w:pPr>
              <w:rPr>
                <w:lang w:val="fr-FR"/>
              </w:rPr>
            </w:pPr>
          </w:p>
        </w:tc>
        <w:tc>
          <w:tcPr>
            <w:tcW w:w="1873" w:type="dxa"/>
          </w:tcPr>
          <w:p w:rsidR="00401D42" w:rsidRPr="00401D42" w:rsidRDefault="00401D42" w:rsidP="00F93043">
            <w:pPr>
              <w:rPr>
                <w:lang w:val="fr-FR"/>
              </w:rPr>
            </w:pPr>
          </w:p>
        </w:tc>
      </w:tr>
    </w:tbl>
    <w:p w:rsidR="00441083" w:rsidRDefault="00441083" w:rsidP="0072439B">
      <w:pPr>
        <w:jc w:val="left"/>
        <w:rPr>
          <w:lang w:val="fr-FR"/>
        </w:rPr>
        <w:sectPr w:rsidR="0044108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441083" w:rsidRDefault="00441083">
      <w:pPr>
        <w:rPr>
          <w:lang w:val="fr-FR"/>
        </w:rPr>
      </w:pPr>
    </w:p>
    <w:sectPr w:rsidR="00441083" w:rsidSect="00927646">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DF" w:rsidRDefault="00980DDF">
      <w:r>
        <w:separator/>
      </w:r>
    </w:p>
  </w:endnote>
  <w:endnote w:type="continuationSeparator" w:id="0">
    <w:p w:rsidR="00980DDF" w:rsidRDefault="0098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roman"/>
    <w:notTrueType/>
    <w:pitch w:val="default"/>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927646">
    <w:pPr>
      <w:jc w:val="center"/>
    </w:pPr>
    <w:r>
      <w:fldChar w:fldCharType="begin"/>
    </w:r>
    <w:r w:rsidR="00E60D9C">
      <w:instrText xml:space="preserve"> PAGE </w:instrText>
    </w:r>
    <w:r>
      <w:fldChar w:fldCharType="separate"/>
    </w:r>
    <w:r w:rsidR="00CE1EFA">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927646">
    <w:pPr>
      <w:jc w:val="center"/>
    </w:pPr>
    <w:r>
      <w:fldChar w:fldCharType="begin"/>
    </w:r>
    <w:r w:rsidR="00E60D9C">
      <w:instrText xml:space="preserve"> PAGE </w:instrText>
    </w:r>
    <w:r>
      <w:fldChar w:fldCharType="separate"/>
    </w:r>
    <w:r w:rsidR="00CE1EFA">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Montréal sont présentés sous réserve des décisions pouvant être prises par le Comité exécutif après </w:t>
    </w:r>
    <w:r w:rsidR="005B3CAD">
      <w:rPr>
        <w:rFonts w:cs="MS Serif"/>
        <w:sz w:val="20"/>
        <w:lang w:val="fr-FR"/>
      </w:rPr>
      <w:t>leur publication</w:t>
    </w:r>
    <w:r>
      <w:rPr>
        <w:rFonts w:cs="MS Serif"/>
        <w:sz w:val="20"/>
        <w:lang w:val="fr-FR"/>
      </w:rPr>
      <w:t>.</w:t>
    </w:r>
  </w:p>
  <w:p w:rsidR="00441083" w:rsidRDefault="00441083">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441083" w:rsidRDefault="00927646">
        <w:pPr>
          <w:pStyle w:val="Footer"/>
          <w:jc w:val="center"/>
        </w:pPr>
        <w:r>
          <w:fldChar w:fldCharType="begin"/>
        </w:r>
        <w:r w:rsidR="00E60D9C">
          <w:instrText xml:space="preserve"> PAGE   \* MERGEFORMAT </w:instrText>
        </w:r>
        <w:r>
          <w:fldChar w:fldCharType="separate"/>
        </w:r>
        <w:r w:rsidR="00CE1EFA">
          <w:rPr>
            <w:noProof/>
          </w:rPr>
          <w:t>1</w:t>
        </w:r>
        <w:r>
          <w:rPr>
            <w:noProof/>
          </w:rPr>
          <w:fldChar w:fldCharType="end"/>
        </w:r>
      </w:p>
    </w:sdtContent>
  </w:sdt>
  <w:p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DF" w:rsidRDefault="00980DDF">
      <w:r>
        <w:separator/>
      </w:r>
    </w:p>
  </w:footnote>
  <w:footnote w:type="continuationSeparator" w:id="0">
    <w:p w:rsidR="00980DDF" w:rsidRDefault="00980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927646">
    <w:r>
      <w:fldChar w:fldCharType="begin"/>
    </w:r>
    <w:r w:rsidR="00FE431D">
      <w:instrText xml:space="preserve"> DOCPROPERTY "Document number"  \* MERGEFORMAT </w:instrText>
    </w:r>
    <w:r>
      <w:fldChar w:fldCharType="separate"/>
    </w:r>
    <w:r w:rsidR="00401D42">
      <w:t>UNEP/OzL.Pro/ExCom/84/33</w:t>
    </w:r>
    <w:r>
      <w:fldChar w:fldCharType="end"/>
    </w:r>
  </w:p>
  <w:p w:rsidR="00441083" w:rsidRDefault="00441083"/>
  <w:p w:rsidR="00441083" w:rsidRDefault="004410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927646">
    <w:pPr>
      <w:jc w:val="right"/>
    </w:pPr>
    <w:r>
      <w:fldChar w:fldCharType="begin"/>
    </w:r>
    <w:r w:rsidR="00FE431D">
      <w:instrText xml:space="preserve"> DOCPROPERTY "Document number"  \* MERGEFORMAT </w:instrText>
    </w:r>
    <w:r>
      <w:fldChar w:fldCharType="separate"/>
    </w:r>
    <w:r w:rsidR="00401D42">
      <w:t>UNEP/OzL.Pro/ExCom/84/33</w:t>
    </w:r>
    <w:r>
      <w:fldChar w:fldCharType="end"/>
    </w:r>
  </w:p>
  <w:p w:rsidR="00441083" w:rsidRDefault="00441083"/>
  <w:p w:rsidR="00441083" w:rsidRDefault="004410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927646">
    <w:pPr>
      <w:jc w:val="right"/>
    </w:pPr>
    <w:r>
      <w:fldChar w:fldCharType="begin"/>
    </w:r>
    <w:r w:rsidR="00FE431D">
      <w:instrText xml:space="preserve"> DOCPROPERTY "Document number"  \* MERGEFORMAT </w:instrText>
    </w:r>
    <w:r>
      <w:fldChar w:fldCharType="separate"/>
    </w:r>
    <w:r w:rsidR="00401D42">
      <w:t>UNEP/OzL.Pro/ExCom/84/33</w:t>
    </w:r>
    <w:r>
      <w:fldChar w:fldCharType="end"/>
    </w:r>
  </w:p>
  <w:p w:rsidR="00441083" w:rsidRDefault="00441083">
    <w:pPr>
      <w:jc w:val="right"/>
    </w:pPr>
  </w:p>
  <w:p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1"/>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51B5"/>
    <w:rsid w:val="000F6C8E"/>
    <w:rsid w:val="001C3D0C"/>
    <w:rsid w:val="001D4CE7"/>
    <w:rsid w:val="00265AF0"/>
    <w:rsid w:val="002F0B57"/>
    <w:rsid w:val="00386F26"/>
    <w:rsid w:val="003A0CA4"/>
    <w:rsid w:val="00401D42"/>
    <w:rsid w:val="00441083"/>
    <w:rsid w:val="004C2C87"/>
    <w:rsid w:val="004C64A0"/>
    <w:rsid w:val="004E3A36"/>
    <w:rsid w:val="005B3CAD"/>
    <w:rsid w:val="005C278F"/>
    <w:rsid w:val="00605093"/>
    <w:rsid w:val="007034FA"/>
    <w:rsid w:val="0072439B"/>
    <w:rsid w:val="0075750B"/>
    <w:rsid w:val="008951C5"/>
    <w:rsid w:val="0091161A"/>
    <w:rsid w:val="00927646"/>
    <w:rsid w:val="00972E99"/>
    <w:rsid w:val="00980DDF"/>
    <w:rsid w:val="009953FF"/>
    <w:rsid w:val="009A5180"/>
    <w:rsid w:val="00AC013C"/>
    <w:rsid w:val="00AE63D8"/>
    <w:rsid w:val="00B250D4"/>
    <w:rsid w:val="00B33349"/>
    <w:rsid w:val="00B451B5"/>
    <w:rsid w:val="00B811F2"/>
    <w:rsid w:val="00BC3C7D"/>
    <w:rsid w:val="00C6443E"/>
    <w:rsid w:val="00C77FCB"/>
    <w:rsid w:val="00CE1EFA"/>
    <w:rsid w:val="00D211C4"/>
    <w:rsid w:val="00D7654A"/>
    <w:rsid w:val="00DB4E64"/>
    <w:rsid w:val="00DD3433"/>
    <w:rsid w:val="00E348C6"/>
    <w:rsid w:val="00E54871"/>
    <w:rsid w:val="00E60D9C"/>
    <w:rsid w:val="00EB2067"/>
    <w:rsid w:val="00F37A42"/>
    <w:rsid w:val="00F557F5"/>
    <w:rsid w:val="00FC0D87"/>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61845"/>
  <w15:docId w15:val="{66982F9C-81DB-4FAC-A98C-B89B4C98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46"/>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927646"/>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927646"/>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rsid w:val="00927646"/>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927646"/>
    <w:pPr>
      <w:keepNext/>
      <w:numPr>
        <w:ilvl w:val="3"/>
        <w:numId w:val="4"/>
      </w:numPr>
      <w:spacing w:before="240" w:after="60"/>
      <w:outlineLvl w:val="3"/>
    </w:pPr>
  </w:style>
  <w:style w:type="paragraph" w:styleId="Heading5">
    <w:name w:val="heading 5"/>
    <w:basedOn w:val="Normal"/>
    <w:next w:val="Normal"/>
    <w:qFormat/>
    <w:rsid w:val="00927646"/>
    <w:pPr>
      <w:keepNext/>
      <w:numPr>
        <w:numId w:val="20"/>
      </w:numPr>
      <w:spacing w:after="240"/>
      <w:ind w:left="3600" w:hanging="720"/>
      <w:outlineLvl w:val="4"/>
    </w:pPr>
  </w:style>
  <w:style w:type="paragraph" w:styleId="Heading6">
    <w:name w:val="heading 6"/>
    <w:basedOn w:val="Normal"/>
    <w:next w:val="Normal"/>
    <w:qFormat/>
    <w:rsid w:val="00927646"/>
    <w:pPr>
      <w:numPr>
        <w:ilvl w:val="5"/>
        <w:numId w:val="1"/>
      </w:numPr>
      <w:spacing w:before="240" w:after="60"/>
      <w:outlineLvl w:val="5"/>
    </w:pPr>
    <w:rPr>
      <w:rFonts w:ascii="Arial" w:hAnsi="Arial"/>
      <w:i/>
    </w:rPr>
  </w:style>
  <w:style w:type="paragraph" w:styleId="Heading7">
    <w:name w:val="heading 7"/>
    <w:basedOn w:val="Normal"/>
    <w:next w:val="Normal"/>
    <w:qFormat/>
    <w:rsid w:val="00927646"/>
    <w:pPr>
      <w:numPr>
        <w:ilvl w:val="6"/>
        <w:numId w:val="1"/>
      </w:numPr>
      <w:spacing w:before="240" w:after="60"/>
      <w:outlineLvl w:val="6"/>
    </w:pPr>
    <w:rPr>
      <w:rFonts w:ascii="Arial" w:hAnsi="Arial"/>
    </w:rPr>
  </w:style>
  <w:style w:type="paragraph" w:styleId="Heading8">
    <w:name w:val="heading 8"/>
    <w:basedOn w:val="Normal"/>
    <w:next w:val="Normal"/>
    <w:qFormat/>
    <w:rsid w:val="00927646"/>
    <w:pPr>
      <w:outlineLvl w:val="7"/>
    </w:pPr>
    <w:rPr>
      <w:b/>
    </w:rPr>
  </w:style>
  <w:style w:type="paragraph" w:styleId="Heading9">
    <w:name w:val="heading 9"/>
    <w:basedOn w:val="Normal"/>
    <w:next w:val="Normal"/>
    <w:qFormat/>
    <w:rsid w:val="0092764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927646"/>
    <w:pPr>
      <w:numPr>
        <w:numId w:val="16"/>
      </w:numPr>
    </w:pPr>
  </w:style>
  <w:style w:type="paragraph" w:styleId="Header">
    <w:name w:val="header"/>
    <w:basedOn w:val="Normal"/>
    <w:rsid w:val="00927646"/>
    <w:pPr>
      <w:tabs>
        <w:tab w:val="center" w:pos="4320"/>
        <w:tab w:val="right" w:pos="8640"/>
      </w:tabs>
    </w:pPr>
  </w:style>
  <w:style w:type="paragraph" w:customStyle="1" w:styleId="sub-title">
    <w:name w:val="sub-title"/>
    <w:rsid w:val="00927646"/>
    <w:pPr>
      <w:jc w:val="both"/>
      <w:outlineLvl w:val="0"/>
    </w:pPr>
    <w:rPr>
      <w:b/>
      <w:noProof/>
      <w:sz w:val="22"/>
      <w:szCs w:val="22"/>
    </w:rPr>
  </w:style>
  <w:style w:type="paragraph" w:customStyle="1" w:styleId="Title1">
    <w:name w:val="Title1"/>
    <w:rsid w:val="00927646"/>
    <w:pPr>
      <w:jc w:val="center"/>
      <w:outlineLvl w:val="0"/>
    </w:pPr>
    <w:rPr>
      <w:b/>
      <w:caps/>
      <w:sz w:val="22"/>
      <w:szCs w:val="22"/>
      <w:lang w:val="en-GB"/>
    </w:rPr>
  </w:style>
  <w:style w:type="paragraph" w:customStyle="1" w:styleId="Decision">
    <w:name w:val="Decision"/>
    <w:basedOn w:val="Normal"/>
    <w:rsid w:val="00927646"/>
    <w:pPr>
      <w:keepLines/>
      <w:jc w:val="right"/>
    </w:pPr>
    <w:rPr>
      <w:b/>
    </w:rPr>
  </w:style>
  <w:style w:type="paragraph" w:customStyle="1" w:styleId="0Heading0">
    <w:name w:val="0 Heading 0"/>
    <w:rsid w:val="00927646"/>
    <w:rPr>
      <w:sz w:val="22"/>
      <w:szCs w:val="22"/>
      <w:lang w:val="en-GB"/>
    </w:rPr>
  </w:style>
  <w:style w:type="paragraph" w:styleId="Footer">
    <w:name w:val="footer"/>
    <w:basedOn w:val="Normal"/>
    <w:link w:val="FooterChar"/>
    <w:uiPriority w:val="99"/>
    <w:rsid w:val="00927646"/>
    <w:pPr>
      <w:tabs>
        <w:tab w:val="center" w:pos="4320"/>
        <w:tab w:val="right" w:pos="8640"/>
      </w:tabs>
    </w:pPr>
  </w:style>
  <w:style w:type="numbering" w:styleId="1ai">
    <w:name w:val="Outline List 1"/>
    <w:basedOn w:val="NoList"/>
    <w:semiHidden/>
    <w:rsid w:val="00927646"/>
    <w:pPr>
      <w:numPr>
        <w:numId w:val="17"/>
      </w:numPr>
    </w:pPr>
  </w:style>
  <w:style w:type="numbering" w:styleId="ArticleSection">
    <w:name w:val="Outline List 3"/>
    <w:basedOn w:val="NoList"/>
    <w:semiHidden/>
    <w:rsid w:val="00927646"/>
    <w:pPr>
      <w:numPr>
        <w:numId w:val="18"/>
      </w:numPr>
    </w:pPr>
  </w:style>
  <w:style w:type="paragraph" w:styleId="BlockText">
    <w:name w:val="Block Text"/>
    <w:basedOn w:val="Normal"/>
    <w:semiHidden/>
    <w:rsid w:val="00927646"/>
    <w:pPr>
      <w:spacing w:after="120"/>
      <w:ind w:left="1440" w:right="1440"/>
    </w:pPr>
  </w:style>
  <w:style w:type="paragraph" w:styleId="BodyText3">
    <w:name w:val="Body Text 3"/>
    <w:basedOn w:val="Normal"/>
    <w:semiHidden/>
    <w:rsid w:val="00927646"/>
    <w:pPr>
      <w:spacing w:after="120"/>
    </w:pPr>
    <w:rPr>
      <w:sz w:val="16"/>
      <w:szCs w:val="16"/>
    </w:rPr>
  </w:style>
  <w:style w:type="paragraph" w:styleId="BodyTextIndent3">
    <w:name w:val="Body Text Indent 3"/>
    <w:basedOn w:val="Normal"/>
    <w:semiHidden/>
    <w:rsid w:val="00927646"/>
    <w:pPr>
      <w:spacing w:after="120"/>
      <w:ind w:left="360"/>
    </w:pPr>
    <w:rPr>
      <w:sz w:val="16"/>
      <w:szCs w:val="16"/>
    </w:rPr>
  </w:style>
  <w:style w:type="paragraph" w:styleId="PlainText">
    <w:name w:val="Plain Text"/>
    <w:basedOn w:val="Normal"/>
    <w:semiHidden/>
    <w:rsid w:val="00927646"/>
    <w:rPr>
      <w:rFonts w:ascii="Courier New" w:hAnsi="Courier New" w:cs="Courier New"/>
      <w:sz w:val="20"/>
    </w:rPr>
  </w:style>
  <w:style w:type="table" w:styleId="Table3Deffects1">
    <w:name w:val="Table 3D effects 1"/>
    <w:basedOn w:val="TableNormal"/>
    <w:semiHidden/>
    <w:rsid w:val="0092764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64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64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64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64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64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64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64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64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64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64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64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64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64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64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64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64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2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2764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64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6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64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64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64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64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64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64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64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64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64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64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64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64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64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64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64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64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64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64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64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764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64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64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927646"/>
    <w:rPr>
      <w:sz w:val="22"/>
      <w:szCs w:val="22"/>
      <w:lang w:val="en-GB"/>
    </w:rPr>
  </w:style>
  <w:style w:type="paragraph" w:customStyle="1" w:styleId="Header4">
    <w:name w:val="Header4"/>
    <w:aliases w:val="Para 4"/>
    <w:basedOn w:val="Normal"/>
    <w:next w:val="Normal"/>
    <w:rsid w:val="00927646"/>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927646"/>
    <w:rPr>
      <w:sz w:val="16"/>
      <w:szCs w:val="16"/>
    </w:rPr>
  </w:style>
  <w:style w:type="paragraph" w:styleId="Subtitle">
    <w:name w:val="Subtitle"/>
    <w:basedOn w:val="Normal"/>
    <w:qFormat/>
    <w:rsid w:val="00927646"/>
    <w:pPr>
      <w:spacing w:after="60"/>
      <w:jc w:val="center"/>
      <w:outlineLvl w:val="1"/>
    </w:pPr>
    <w:rPr>
      <w:rFonts w:ascii="Arial" w:hAnsi="Arial" w:cs="Arial"/>
    </w:rPr>
  </w:style>
  <w:style w:type="paragraph" w:styleId="Title">
    <w:name w:val="Title"/>
    <w:basedOn w:val="Normal"/>
    <w:qFormat/>
    <w:rsid w:val="00927646"/>
    <w:pPr>
      <w:spacing w:before="240" w:after="60"/>
      <w:jc w:val="center"/>
      <w:outlineLvl w:val="0"/>
    </w:pPr>
    <w:rPr>
      <w:rFonts w:ascii="Arial" w:hAnsi="Arial" w:cs="Arial"/>
      <w:b/>
      <w:bCs/>
      <w:kern w:val="28"/>
    </w:rPr>
  </w:style>
  <w:style w:type="paragraph" w:styleId="Date">
    <w:name w:val="Date"/>
    <w:basedOn w:val="Normal"/>
    <w:next w:val="Normal"/>
    <w:rsid w:val="00927646"/>
  </w:style>
  <w:style w:type="character" w:styleId="PlaceholderText">
    <w:name w:val="Placeholder Text"/>
    <w:basedOn w:val="DefaultParagraphFont"/>
    <w:uiPriority w:val="99"/>
    <w:semiHidden/>
    <w:rsid w:val="00927646"/>
    <w:rPr>
      <w:color w:val="808080"/>
    </w:rPr>
  </w:style>
  <w:style w:type="paragraph" w:styleId="BalloonText">
    <w:name w:val="Balloon Text"/>
    <w:basedOn w:val="Normal"/>
    <w:link w:val="BalloonTextChar"/>
    <w:uiPriority w:val="99"/>
    <w:semiHidden/>
    <w:unhideWhenUsed/>
    <w:rsid w:val="00927646"/>
    <w:rPr>
      <w:rFonts w:ascii="Tahoma" w:hAnsi="Tahoma" w:cs="Tahoma"/>
      <w:sz w:val="16"/>
      <w:szCs w:val="16"/>
    </w:rPr>
  </w:style>
  <w:style w:type="character" w:customStyle="1" w:styleId="BalloonTextChar">
    <w:name w:val="Balloon Text Char"/>
    <w:basedOn w:val="DefaultParagraphFont"/>
    <w:link w:val="BalloonText"/>
    <w:uiPriority w:val="99"/>
    <w:semiHidden/>
    <w:rsid w:val="00927646"/>
    <w:rPr>
      <w:rFonts w:ascii="Tahoma" w:hAnsi="Tahoma" w:cs="Tahoma"/>
      <w:sz w:val="16"/>
      <w:szCs w:val="16"/>
      <w:lang w:val="en-GB"/>
    </w:rPr>
  </w:style>
  <w:style w:type="paragraph" w:styleId="CommentText">
    <w:name w:val="annotation text"/>
    <w:basedOn w:val="Normal"/>
    <w:link w:val="CommentTextChar"/>
    <w:uiPriority w:val="99"/>
    <w:semiHidden/>
    <w:unhideWhenUsed/>
    <w:rsid w:val="00927646"/>
    <w:rPr>
      <w:sz w:val="20"/>
      <w:szCs w:val="20"/>
    </w:rPr>
  </w:style>
  <w:style w:type="character" w:customStyle="1" w:styleId="CommentTextChar">
    <w:name w:val="Comment Text Char"/>
    <w:basedOn w:val="DefaultParagraphFont"/>
    <w:link w:val="CommentText"/>
    <w:uiPriority w:val="99"/>
    <w:semiHidden/>
    <w:rsid w:val="00927646"/>
    <w:rPr>
      <w:lang w:val="en-GB"/>
    </w:rPr>
  </w:style>
  <w:style w:type="paragraph" w:styleId="CommentSubject">
    <w:name w:val="annotation subject"/>
    <w:basedOn w:val="CommentText"/>
    <w:next w:val="CommentText"/>
    <w:link w:val="CommentSubjectChar"/>
    <w:uiPriority w:val="99"/>
    <w:semiHidden/>
    <w:unhideWhenUsed/>
    <w:rsid w:val="00927646"/>
    <w:rPr>
      <w:b/>
      <w:bCs/>
    </w:rPr>
  </w:style>
  <w:style w:type="character" w:customStyle="1" w:styleId="CommentSubjectChar">
    <w:name w:val="Comment Subject Char"/>
    <w:basedOn w:val="CommentTextChar"/>
    <w:link w:val="CommentSubject"/>
    <w:uiPriority w:val="99"/>
    <w:semiHidden/>
    <w:rsid w:val="00927646"/>
    <w:rPr>
      <w:b/>
      <w:bCs/>
      <w:lang w:val="en-GB"/>
    </w:rPr>
  </w:style>
  <w:style w:type="paragraph" w:customStyle="1" w:styleId="StyleHeader4Para4Left0Firstline0">
    <w:name w:val="Style Header4Para 4 + Left:  0&quot; First line:  0&quot;"/>
    <w:basedOn w:val="Header4"/>
    <w:rsid w:val="00927646"/>
    <w:pPr>
      <w:ind w:left="0" w:firstLine="0"/>
    </w:pPr>
    <w:rPr>
      <w:sz w:val="20"/>
    </w:rPr>
  </w:style>
  <w:style w:type="paragraph" w:customStyle="1" w:styleId="StyleHeading1Para1Heading1CharHeading1Char3CharHeadin">
    <w:name w:val="Style Heading 1Para (1)Heading 1 CharHeading 1 Char3 CharHeadin..."/>
    <w:basedOn w:val="Heading1"/>
    <w:rsid w:val="00927646"/>
    <w:pPr>
      <w:numPr>
        <w:numId w:val="0"/>
      </w:numPr>
      <w:tabs>
        <w:tab w:val="left" w:pos="720"/>
      </w:tabs>
    </w:pPr>
    <w:rPr>
      <w:szCs w:val="20"/>
    </w:rPr>
  </w:style>
  <w:style w:type="character" w:customStyle="1" w:styleId="FooterChar">
    <w:name w:val="Footer Char"/>
    <w:basedOn w:val="DefaultParagraphFont"/>
    <w:link w:val="Footer"/>
    <w:uiPriority w:val="99"/>
    <w:rsid w:val="00927646"/>
    <w:rPr>
      <w:sz w:val="22"/>
      <w:szCs w:val="22"/>
      <w:lang w:val="en-GB"/>
    </w:rPr>
  </w:style>
  <w:style w:type="paragraph" w:styleId="ListParagraph">
    <w:name w:val="List Paragraph"/>
    <w:basedOn w:val="Normal"/>
    <w:uiPriority w:val="34"/>
    <w:qFormat/>
    <w:rsid w:val="00401D42"/>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n%20travail\traducteur\travaux\ONU\2019-11-12\F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UNEP/OzL.Pro/ExCom/84/33</Document_x0020_Number>
  </documentManagement>
</p:properties>
</file>

<file path=customXml/itemProps1.xml><?xml version="1.0" encoding="utf-8"?>
<ds:datastoreItem xmlns:ds="http://schemas.openxmlformats.org/officeDocument/2006/customXml" ds:itemID="{DC120722-232A-4724-93D9-FC5406662842}"/>
</file>

<file path=customXml/itemProps2.xml><?xml version="1.0" encoding="utf-8"?>
<ds:datastoreItem xmlns:ds="http://schemas.openxmlformats.org/officeDocument/2006/customXml" ds:itemID="{F60E8130-9029-4542-922E-D4F4D3644A87}"/>
</file>

<file path=customXml/itemProps3.xml><?xml version="1.0" encoding="utf-8"?>
<ds:datastoreItem xmlns:ds="http://schemas.openxmlformats.org/officeDocument/2006/customXml" ds:itemID="{26013F8B-7E72-4638-B930-2156DB3696DA}"/>
</file>

<file path=customXml/itemProps4.xml><?xml version="1.0" encoding="utf-8"?>
<ds:datastoreItem xmlns:ds="http://schemas.openxmlformats.org/officeDocument/2006/customXml" ds:itemID="{BB14578B-2A1A-4AFD-A792-8DBF16B96F78}"/>
</file>

<file path=docProps/app.xml><?xml version="1.0" encoding="utf-8"?>
<Properties xmlns="http://schemas.openxmlformats.org/officeDocument/2006/extended-properties" xmlns:vt="http://schemas.openxmlformats.org/officeDocument/2006/docPropsVTypes">
  <Template>F84-Template</Template>
  <TotalTime>48</TotalTime>
  <Pages>5</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Coopération bilatérale</vt:lpstr>
    </vt:vector>
  </TitlesOfParts>
  <Company>UNMFS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bilatérale</dc:title>
  <dc:creator>Magali Mourdon-Bertrand</dc:creator>
  <cp:lastModifiedBy>HBE</cp:lastModifiedBy>
  <cp:revision>11</cp:revision>
  <cp:lastPrinted>2001-05-26T16:40:00Z</cp:lastPrinted>
  <dcterms:created xsi:type="dcterms:W3CDTF">2019-11-26T18:11:00Z</dcterms:created>
  <dcterms:modified xsi:type="dcterms:W3CDTF">2019-11-27T22:48:00Z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UNEP/OzL.Pro/ExCom/84/33</vt:lpwstr>
  </property>
  <property fmtid="{D5CDD505-2E9C-101B-9397-08002B2CF9AE}" pid="3" name="Revision date">
    <vt:lpwstr>11/22/2019</vt:lpwstr>
  </property>
  <property fmtid="{D5CDD505-2E9C-101B-9397-08002B2CF9AE}" pid="4" name="ContentTypeId">
    <vt:lpwstr>0x010100109683CADC4F284EA5F0B82357B5BF3A</vt:lpwstr>
  </property>
</Properties>
</file>