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rsidRPr="0010404B" w14:paraId="0B71486F" w14:textId="77777777">
        <w:trPr>
          <w:trHeight w:val="720"/>
        </w:trPr>
        <w:tc>
          <w:tcPr>
            <w:tcW w:w="7061" w:type="dxa"/>
            <w:gridSpan w:val="2"/>
            <w:tcBorders>
              <w:bottom w:val="single" w:sz="18" w:space="0" w:color="auto"/>
            </w:tcBorders>
          </w:tcPr>
          <w:p w14:paraId="3FA97890" w14:textId="77777777" w:rsidR="00441083" w:rsidRPr="0010404B"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10404B">
              <w:rPr>
                <w:rFonts w:ascii="Univers" w:hAnsi="Univers"/>
                <w:b/>
                <w:sz w:val="28"/>
                <w:szCs w:val="28"/>
                <w:lang w:val="fr-FR"/>
              </w:rPr>
              <w:t>NATIONS</w:t>
            </w:r>
          </w:p>
          <w:p w14:paraId="63830374" w14:textId="77777777" w:rsidR="00441083" w:rsidRPr="0010404B"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10404B">
              <w:rPr>
                <w:rFonts w:ascii="Univers" w:hAnsi="Univers"/>
                <w:b/>
                <w:sz w:val="28"/>
                <w:szCs w:val="28"/>
                <w:lang w:val="fr-FR"/>
              </w:rPr>
              <w:t xml:space="preserve">UNIES </w:t>
            </w:r>
          </w:p>
        </w:tc>
        <w:tc>
          <w:tcPr>
            <w:tcW w:w="3544" w:type="dxa"/>
            <w:tcBorders>
              <w:bottom w:val="single" w:sz="18" w:space="0" w:color="auto"/>
            </w:tcBorders>
          </w:tcPr>
          <w:p w14:paraId="34285C7F" w14:textId="77777777" w:rsidR="00441083" w:rsidRPr="0010404B" w:rsidRDefault="00E60D9C">
            <w:pPr>
              <w:tabs>
                <w:tab w:val="left" w:pos="3010"/>
              </w:tabs>
              <w:jc w:val="center"/>
              <w:rPr>
                <w:sz w:val="52"/>
                <w:szCs w:val="52"/>
                <w:lang w:val="fr-FR"/>
              </w:rPr>
            </w:pPr>
            <w:r w:rsidRPr="0010404B">
              <w:rPr>
                <w:rFonts w:ascii="Univers Bold" w:hAnsi="Univers Bold"/>
                <w:b/>
                <w:sz w:val="72"/>
                <w:lang w:val="fr-FR"/>
              </w:rPr>
              <w:t xml:space="preserve">          EP</w:t>
            </w:r>
          </w:p>
        </w:tc>
      </w:tr>
      <w:tr w:rsidR="00441083" w:rsidRPr="0010404B" w14:paraId="226EA2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3F48B11" w14:textId="77777777" w:rsidR="00441083" w:rsidRPr="0010404B" w:rsidRDefault="00C6443E">
            <w:pPr>
              <w:spacing w:before="120"/>
              <w:rPr>
                <w:lang w:val="fr-FR"/>
              </w:rPr>
            </w:pPr>
            <w:bookmarkStart w:id="0" w:name="_GoBack"/>
            <w:r w:rsidRPr="0010404B">
              <w:rPr>
                <w:noProof/>
                <w:lang w:val="en-CA" w:eastAsia="en-CA"/>
              </w:rPr>
              <w:drawing>
                <wp:anchor distT="0" distB="0" distL="114300" distR="114300" simplePos="0" relativeHeight="251660288" behindDoc="0" locked="0" layoutInCell="1" allowOverlap="1" wp14:anchorId="6B56AE97" wp14:editId="407B4827">
                  <wp:simplePos x="0" y="0"/>
                  <wp:positionH relativeFrom="column">
                    <wp:posOffset>407409</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bookmarkEnd w:id="0"/>
            <w:r w:rsidR="001C3D0C" w:rsidRPr="0010404B">
              <w:rPr>
                <w:noProof/>
                <w:lang w:val="en-CA" w:eastAsia="en-CA"/>
              </w:rPr>
              <w:drawing>
                <wp:anchor distT="0" distB="0" distL="114300" distR="114300" simplePos="0" relativeHeight="251661312" behindDoc="1" locked="0" layoutInCell="0" allowOverlap="1" wp14:anchorId="58C73EFC" wp14:editId="6EC82F86">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2787BC41" w14:textId="77777777" w:rsidR="00441083" w:rsidRPr="0010404B"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1D4DE27B" w14:textId="77777777" w:rsidR="00441083" w:rsidRPr="0010404B"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10404B">
              <w:rPr>
                <w:rFonts w:ascii="Univers" w:hAnsi="Univers"/>
                <w:b/>
                <w:sz w:val="32"/>
                <w:lang w:val="fr-FR"/>
              </w:rPr>
              <w:t>Programme des</w:t>
            </w:r>
          </w:p>
          <w:p w14:paraId="4FF64C7E" w14:textId="77777777" w:rsidR="00441083" w:rsidRPr="0010404B" w:rsidRDefault="00E60D9C">
            <w:pPr>
              <w:rPr>
                <w:rFonts w:ascii="Univers" w:hAnsi="Univers"/>
                <w:b/>
                <w:sz w:val="32"/>
                <w:lang w:val="fr-FR"/>
              </w:rPr>
            </w:pPr>
            <w:r w:rsidRPr="0010404B">
              <w:rPr>
                <w:rFonts w:ascii="Univers" w:hAnsi="Univers"/>
                <w:b/>
                <w:sz w:val="32"/>
                <w:lang w:val="fr-FR"/>
              </w:rPr>
              <w:t>Nations Unies pour</w:t>
            </w:r>
          </w:p>
          <w:p w14:paraId="36E16660" w14:textId="77777777" w:rsidR="00441083" w:rsidRPr="0010404B" w:rsidRDefault="00E60D9C">
            <w:pPr>
              <w:rPr>
                <w:rFonts w:ascii="Univers" w:hAnsi="Univers"/>
                <w:b/>
                <w:sz w:val="32"/>
                <w:lang w:val="fr-FR"/>
              </w:rPr>
            </w:pPr>
            <w:r w:rsidRPr="0010404B">
              <w:rPr>
                <w:rFonts w:ascii="Univers" w:hAnsi="Univers"/>
                <w:b/>
                <w:sz w:val="32"/>
                <w:lang w:val="fr-FR"/>
              </w:rPr>
              <w:t>l’environnement</w:t>
            </w:r>
          </w:p>
          <w:p w14:paraId="00213A3C" w14:textId="77777777" w:rsidR="00441083" w:rsidRPr="0010404B" w:rsidRDefault="00E60D9C">
            <w:pPr>
              <w:spacing w:before="720"/>
              <w:ind w:left="158"/>
              <w:rPr>
                <w:lang w:val="fr-FR"/>
              </w:rPr>
            </w:pPr>
            <w:r w:rsidRPr="0010404B">
              <w:rPr>
                <w:lang w:val="fr-FR"/>
              </w:rPr>
              <w:t xml:space="preserve"> </w:t>
            </w:r>
          </w:p>
        </w:tc>
        <w:tc>
          <w:tcPr>
            <w:tcW w:w="3544" w:type="dxa"/>
            <w:tcBorders>
              <w:top w:val="nil"/>
              <w:left w:val="nil"/>
              <w:bottom w:val="single" w:sz="36" w:space="0" w:color="auto"/>
              <w:right w:val="nil"/>
            </w:tcBorders>
          </w:tcPr>
          <w:p w14:paraId="15C3BC9B" w14:textId="77777777" w:rsidR="00441083" w:rsidRPr="0010404B" w:rsidRDefault="00441083">
            <w:pPr>
              <w:rPr>
                <w:lang w:val="fr-FR"/>
              </w:rPr>
            </w:pPr>
          </w:p>
          <w:p w14:paraId="1127519E" w14:textId="77777777" w:rsidR="00441083" w:rsidRPr="0010404B" w:rsidRDefault="00E60D9C">
            <w:pPr>
              <w:rPr>
                <w:lang w:val="fr-FR"/>
              </w:rPr>
            </w:pPr>
            <w:r w:rsidRPr="0010404B">
              <w:rPr>
                <w:lang w:val="fr-FR"/>
              </w:rPr>
              <w:t>Distr.</w:t>
            </w:r>
          </w:p>
          <w:p w14:paraId="2C72CAEF" w14:textId="77777777" w:rsidR="00441083" w:rsidRPr="0010404B" w:rsidRDefault="00E60D9C" w:rsidP="00DD3433">
            <w:pPr>
              <w:rPr>
                <w:lang w:val="fr-FR"/>
              </w:rPr>
            </w:pPr>
            <w:r w:rsidRPr="0010404B">
              <w:rPr>
                <w:lang w:val="fr-FR"/>
              </w:rPr>
              <w:t>G</w:t>
            </w:r>
            <w:r w:rsidR="00DD3433" w:rsidRPr="0010404B">
              <w:rPr>
                <w:lang w:val="fr-FR"/>
              </w:rPr>
              <w:t>É</w:t>
            </w:r>
            <w:r w:rsidRPr="0010404B">
              <w:rPr>
                <w:lang w:val="fr-FR"/>
              </w:rPr>
              <w:t>N</w:t>
            </w:r>
            <w:r w:rsidR="00DD3433" w:rsidRPr="0010404B">
              <w:rPr>
                <w:lang w:val="fr-FR"/>
              </w:rPr>
              <w:t>É</w:t>
            </w:r>
            <w:r w:rsidRPr="0010404B">
              <w:rPr>
                <w:lang w:val="fr-FR"/>
              </w:rPr>
              <w:t>RAL</w:t>
            </w:r>
            <w:r w:rsidR="00FF3CF1" w:rsidRPr="0010404B">
              <w:rPr>
                <w:lang w:val="fr-FR"/>
              </w:rPr>
              <w:t>E</w:t>
            </w:r>
          </w:p>
          <w:p w14:paraId="4AE0091F" w14:textId="77777777" w:rsidR="00441083" w:rsidRPr="0010404B" w:rsidRDefault="00441083">
            <w:pPr>
              <w:rPr>
                <w:lang w:val="fr-FR"/>
              </w:rPr>
            </w:pPr>
          </w:p>
          <w:p w14:paraId="0FCAD590" w14:textId="651C7743" w:rsidR="00441083" w:rsidRPr="0010404B" w:rsidRDefault="00E60D9C">
            <w:pPr>
              <w:rPr>
                <w:lang w:val="fr-FR"/>
              </w:rPr>
            </w:pPr>
            <w:r w:rsidRPr="0010404B">
              <w:rPr>
                <w:lang w:val="fr-FR"/>
              </w:rPr>
              <w:fldChar w:fldCharType="begin"/>
            </w:r>
            <w:r w:rsidRPr="0010404B">
              <w:rPr>
                <w:lang w:val="fr-FR"/>
              </w:rPr>
              <w:instrText xml:space="preserve"> DOCPROPERTY "Document number"  \* MERGEFORMAT </w:instrText>
            </w:r>
            <w:r w:rsidRPr="0010404B">
              <w:rPr>
                <w:lang w:val="fr-FR"/>
              </w:rPr>
              <w:fldChar w:fldCharType="separate"/>
            </w:r>
            <w:r w:rsidR="00072AC6">
              <w:rPr>
                <w:lang w:val="fr-FR"/>
              </w:rPr>
              <w:t>UNEP/OzL.Pro/ExCom/84/26</w:t>
            </w:r>
            <w:r w:rsidRPr="0010404B">
              <w:rPr>
                <w:lang w:val="fr-FR"/>
              </w:rPr>
              <w:fldChar w:fldCharType="end"/>
            </w:r>
          </w:p>
          <w:p w14:paraId="736FACFB" w14:textId="77777777" w:rsidR="002F0B57" w:rsidRPr="0010404B" w:rsidRDefault="002F0B57" w:rsidP="000F6C8E">
            <w:pPr>
              <w:rPr>
                <w:lang w:val="fr-FR"/>
              </w:rPr>
            </w:pPr>
            <w:r w:rsidRPr="0010404B">
              <w:rPr>
                <w:lang w:val="fr-FR"/>
              </w:rPr>
              <w:fldChar w:fldCharType="begin"/>
            </w:r>
            <w:r w:rsidRPr="0010404B">
              <w:rPr>
                <w:lang w:val="fr-FR"/>
              </w:rPr>
              <w:instrText xml:space="preserve"> DOCPROPERTY "Revision date" \@ "d MMMM YYYY"  \* MERGEFORMAT </w:instrText>
            </w:r>
            <w:r w:rsidRPr="0010404B">
              <w:rPr>
                <w:lang w:val="fr-FR"/>
              </w:rPr>
              <w:fldChar w:fldCharType="separate"/>
            </w:r>
            <w:r w:rsidR="006819ED" w:rsidRPr="0010404B">
              <w:rPr>
                <w:lang w:val="fr-FR"/>
              </w:rPr>
              <w:t>20 n</w:t>
            </w:r>
            <w:r w:rsidR="00573A11" w:rsidRPr="0010404B">
              <w:rPr>
                <w:lang w:val="fr-FR"/>
              </w:rPr>
              <w:t>o</w:t>
            </w:r>
            <w:r w:rsidR="006819ED" w:rsidRPr="0010404B">
              <w:rPr>
                <w:lang w:val="fr-FR"/>
              </w:rPr>
              <w:t>vem</w:t>
            </w:r>
            <w:r w:rsidR="00573A11" w:rsidRPr="0010404B">
              <w:rPr>
                <w:lang w:val="fr-FR"/>
              </w:rPr>
              <w:t>bre 2019</w:t>
            </w:r>
            <w:r w:rsidRPr="0010404B">
              <w:rPr>
                <w:lang w:val="fr-FR"/>
              </w:rPr>
              <w:fldChar w:fldCharType="end"/>
            </w:r>
          </w:p>
          <w:p w14:paraId="1E4C17D1" w14:textId="77777777" w:rsidR="00441083" w:rsidRPr="0010404B" w:rsidRDefault="00FC5578">
            <w:pPr>
              <w:rPr>
                <w:caps/>
                <w:lang w:val="fr-FR"/>
              </w:rPr>
            </w:pPr>
            <w:r w:rsidRPr="0010404B">
              <w:rPr>
                <w:caps/>
                <w:lang w:val="fr-FR"/>
              </w:rPr>
              <w:br/>
            </w:r>
            <w:r w:rsidR="00E60D9C" w:rsidRPr="0010404B">
              <w:rPr>
                <w:caps/>
                <w:lang w:val="fr-FR"/>
              </w:rPr>
              <w:t>FRANÇAIS</w:t>
            </w:r>
          </w:p>
          <w:p w14:paraId="683A5F80" w14:textId="77777777" w:rsidR="00441083" w:rsidRPr="0010404B" w:rsidRDefault="00E60D9C">
            <w:pPr>
              <w:rPr>
                <w:lang w:val="fr-FR"/>
              </w:rPr>
            </w:pPr>
            <w:r w:rsidRPr="0010404B">
              <w:rPr>
                <w:lang w:val="fr-FR"/>
              </w:rPr>
              <w:t xml:space="preserve">ORIGINAL: </w:t>
            </w:r>
            <w:r w:rsidR="0091161A" w:rsidRPr="0010404B">
              <w:rPr>
                <w:lang w:val="fr-FR"/>
              </w:rPr>
              <w:t>ANGLAIS</w:t>
            </w:r>
          </w:p>
        </w:tc>
      </w:tr>
    </w:tbl>
    <w:p w14:paraId="09625210" w14:textId="77777777" w:rsidR="00441083" w:rsidRPr="0010404B" w:rsidRDefault="00441083">
      <w:pPr>
        <w:jc w:val="left"/>
        <w:rPr>
          <w:lang w:val="fr-FR"/>
        </w:rPr>
      </w:pPr>
    </w:p>
    <w:p w14:paraId="1BF2D32E" w14:textId="77777777" w:rsidR="00441083" w:rsidRPr="0010404B" w:rsidRDefault="00E60D9C" w:rsidP="00DD3433">
      <w:pPr>
        <w:jc w:val="left"/>
        <w:rPr>
          <w:lang w:val="fr-FR"/>
        </w:rPr>
      </w:pPr>
      <w:r w:rsidRPr="0010404B">
        <w:rPr>
          <w:lang w:val="fr-FR"/>
        </w:rPr>
        <w:t>COMIT</w:t>
      </w:r>
      <w:r w:rsidR="00DD3433" w:rsidRPr="0010404B">
        <w:rPr>
          <w:lang w:val="fr-FR"/>
        </w:rPr>
        <w:t>É</w:t>
      </w:r>
      <w:r w:rsidRPr="0010404B">
        <w:rPr>
          <w:lang w:val="fr-FR"/>
        </w:rPr>
        <w:t xml:space="preserve"> EX</w:t>
      </w:r>
      <w:r w:rsidR="00DD3433" w:rsidRPr="0010404B">
        <w:rPr>
          <w:lang w:val="fr-FR"/>
        </w:rPr>
        <w:t xml:space="preserve">ÉCUTIF </w:t>
      </w:r>
      <w:r w:rsidR="00DD3433" w:rsidRPr="0010404B">
        <w:rPr>
          <w:lang w:val="fr-FR"/>
        </w:rPr>
        <w:br/>
        <w:t xml:space="preserve">  DU FONDS MULTILATÉ</w:t>
      </w:r>
      <w:r w:rsidRPr="0010404B">
        <w:rPr>
          <w:lang w:val="fr-FR"/>
        </w:rPr>
        <w:t xml:space="preserve">RAL AUX FINS </w:t>
      </w:r>
      <w:r w:rsidRPr="0010404B">
        <w:rPr>
          <w:lang w:val="fr-FR"/>
        </w:rPr>
        <w:br/>
        <w:t xml:space="preserve">  D’APPLICATION DU PROTOCOLE DE MONTR</w:t>
      </w:r>
      <w:r w:rsidR="00DD3433" w:rsidRPr="0010404B">
        <w:rPr>
          <w:lang w:val="fr-FR"/>
        </w:rPr>
        <w:t>É</w:t>
      </w:r>
      <w:r w:rsidRPr="0010404B">
        <w:rPr>
          <w:lang w:val="fr-FR"/>
        </w:rPr>
        <w:t>AL</w:t>
      </w:r>
      <w:r w:rsidRPr="0010404B">
        <w:rPr>
          <w:lang w:val="fr-FR"/>
        </w:rPr>
        <w:br/>
      </w:r>
      <w:r w:rsidR="00E54871" w:rsidRPr="0010404B">
        <w:rPr>
          <w:lang w:val="fr-FR"/>
        </w:rPr>
        <w:t>Quatre</w:t>
      </w:r>
      <w:r w:rsidRPr="0010404B">
        <w:rPr>
          <w:lang w:val="fr-FR"/>
        </w:rPr>
        <w:t>-</w:t>
      </w:r>
      <w:r w:rsidR="00E54871" w:rsidRPr="0010404B">
        <w:rPr>
          <w:lang w:val="fr-FR"/>
        </w:rPr>
        <w:t>vingt</w:t>
      </w:r>
      <w:r w:rsidR="00AE63D8" w:rsidRPr="0010404B">
        <w:rPr>
          <w:lang w:val="fr-FR"/>
        </w:rPr>
        <w:t>-</w:t>
      </w:r>
      <w:r w:rsidR="00AC013C" w:rsidRPr="0010404B">
        <w:rPr>
          <w:lang w:val="fr-FR"/>
        </w:rPr>
        <w:t>quat</w:t>
      </w:r>
      <w:r w:rsidR="004C2C87" w:rsidRPr="0010404B">
        <w:rPr>
          <w:lang w:val="fr-FR"/>
        </w:rPr>
        <w:t>ri</w:t>
      </w:r>
      <w:r w:rsidR="00E54871" w:rsidRPr="0010404B">
        <w:rPr>
          <w:lang w:val="fr-FR"/>
        </w:rPr>
        <w:t>ème</w:t>
      </w:r>
      <w:r w:rsidR="00FC5578" w:rsidRPr="0010404B">
        <w:rPr>
          <w:lang w:val="fr-FR"/>
        </w:rPr>
        <w:t xml:space="preserve"> </w:t>
      </w:r>
      <w:r w:rsidRPr="0010404B">
        <w:rPr>
          <w:lang w:val="fr-FR"/>
        </w:rPr>
        <w:t>réunion</w:t>
      </w:r>
    </w:p>
    <w:p w14:paraId="183DC3C8" w14:textId="02172A2F" w:rsidR="00441083" w:rsidRPr="0010404B" w:rsidRDefault="00E54871" w:rsidP="00D6532D">
      <w:pPr>
        <w:jc w:val="left"/>
        <w:rPr>
          <w:lang w:val="fr-FR"/>
        </w:rPr>
      </w:pPr>
      <w:r w:rsidRPr="0010404B">
        <w:rPr>
          <w:lang w:val="fr-FR"/>
        </w:rPr>
        <w:t>Montréal,</w:t>
      </w:r>
      <w:r w:rsidR="00FC5578" w:rsidRPr="0010404B">
        <w:rPr>
          <w:lang w:val="fr-FR"/>
        </w:rPr>
        <w:t xml:space="preserve"> </w:t>
      </w:r>
      <w:r w:rsidR="00AC013C" w:rsidRPr="0010404B">
        <w:rPr>
          <w:lang w:val="fr-FR"/>
        </w:rPr>
        <w:t xml:space="preserve">16 </w:t>
      </w:r>
      <w:r w:rsidR="00E60D9C" w:rsidRPr="0010404B">
        <w:rPr>
          <w:lang w:val="fr-FR"/>
        </w:rPr>
        <w:t xml:space="preserve">– </w:t>
      </w:r>
      <w:r w:rsidR="00AC013C" w:rsidRPr="0010404B">
        <w:rPr>
          <w:lang w:val="fr-FR"/>
        </w:rPr>
        <w:t>20 décembre</w:t>
      </w:r>
      <w:r w:rsidR="004C2C87" w:rsidRPr="0010404B">
        <w:rPr>
          <w:lang w:val="fr-FR"/>
        </w:rPr>
        <w:t xml:space="preserve"> 2019</w:t>
      </w:r>
    </w:p>
    <w:p w14:paraId="148C9EA2" w14:textId="7529614A" w:rsidR="00441083" w:rsidRDefault="00441083">
      <w:pPr>
        <w:pStyle w:val="Title1"/>
        <w:rPr>
          <w:lang w:val="fr-FR"/>
        </w:rPr>
      </w:pPr>
    </w:p>
    <w:p w14:paraId="4F865A87" w14:textId="77777777" w:rsidR="00E916F2" w:rsidRPr="0010404B" w:rsidRDefault="00E916F2">
      <w:pPr>
        <w:pStyle w:val="Title1"/>
        <w:rPr>
          <w:lang w:val="fr-FR"/>
        </w:rPr>
      </w:pPr>
    </w:p>
    <w:p w14:paraId="0DF83BBB" w14:textId="77777777" w:rsidR="00E916F2" w:rsidRDefault="00E916F2">
      <w:pPr>
        <w:jc w:val="center"/>
        <w:rPr>
          <w:b/>
          <w:bCs/>
          <w:lang w:val="fr-FR"/>
        </w:rPr>
      </w:pPr>
    </w:p>
    <w:p w14:paraId="6F2A86B7" w14:textId="398066E5" w:rsidR="004713DE" w:rsidRPr="0010404B" w:rsidRDefault="004713DE">
      <w:pPr>
        <w:jc w:val="center"/>
        <w:rPr>
          <w:b/>
          <w:bCs/>
          <w:lang w:val="fr-FR"/>
        </w:rPr>
      </w:pPr>
      <w:r w:rsidRPr="0010404B">
        <w:rPr>
          <w:b/>
          <w:bCs/>
          <w:lang w:val="fr-FR"/>
        </w:rPr>
        <w:t xml:space="preserve">PLAN D’ACTIVITÉS GÉNÉRAL DU FONDS MULTILATÉRAL </w:t>
      </w:r>
    </w:p>
    <w:p w14:paraId="4C476A71" w14:textId="17FCBC2E" w:rsidR="00441083" w:rsidRDefault="004713DE">
      <w:pPr>
        <w:jc w:val="center"/>
        <w:rPr>
          <w:b/>
          <w:bCs/>
          <w:lang w:val="fr-FR"/>
        </w:rPr>
      </w:pPr>
      <w:r w:rsidRPr="0010404B">
        <w:rPr>
          <w:b/>
          <w:bCs/>
          <w:lang w:val="fr-FR"/>
        </w:rPr>
        <w:t xml:space="preserve">POUR LA PÉRIODE 2020-2022 </w:t>
      </w:r>
    </w:p>
    <w:p w14:paraId="55CBE3E3" w14:textId="77777777" w:rsidR="00E916F2" w:rsidRPr="0010404B" w:rsidRDefault="00E916F2">
      <w:pPr>
        <w:jc w:val="center"/>
        <w:rPr>
          <w:lang w:val="fr-FR"/>
        </w:rPr>
      </w:pPr>
    </w:p>
    <w:p w14:paraId="6ACB55AD" w14:textId="77777777" w:rsidR="00441083" w:rsidRPr="0010404B" w:rsidRDefault="00441083">
      <w:pPr>
        <w:jc w:val="center"/>
        <w:rPr>
          <w:lang w:val="fr-FR"/>
        </w:rPr>
      </w:pPr>
    </w:p>
    <w:p w14:paraId="1E71F14B" w14:textId="1442963A" w:rsidR="004713DE" w:rsidRPr="0010404B" w:rsidRDefault="004713DE" w:rsidP="004713DE">
      <w:pPr>
        <w:rPr>
          <w:b/>
          <w:lang w:val="fr-FR"/>
        </w:rPr>
      </w:pPr>
      <w:r w:rsidRPr="0010404B">
        <w:rPr>
          <w:b/>
          <w:lang w:val="fr-FR"/>
        </w:rPr>
        <w:t>Introduction</w:t>
      </w:r>
    </w:p>
    <w:p w14:paraId="15A2CBE1" w14:textId="77777777" w:rsidR="00441083" w:rsidRPr="0010404B" w:rsidRDefault="00441083">
      <w:pPr>
        <w:jc w:val="center"/>
        <w:rPr>
          <w:lang w:val="fr-FR"/>
        </w:rPr>
      </w:pPr>
    </w:p>
    <w:p w14:paraId="61D37BA7" w14:textId="6F4D710C" w:rsidR="004A2759" w:rsidRPr="0010404B" w:rsidRDefault="004713DE" w:rsidP="004A2759">
      <w:pPr>
        <w:pStyle w:val="StyleHeading1Para1Heading1CharHeading1Char3CharHeadin"/>
        <w:numPr>
          <w:ilvl w:val="0"/>
          <w:numId w:val="1"/>
        </w:numPr>
        <w:tabs>
          <w:tab w:val="clear" w:pos="0"/>
        </w:tabs>
        <w:rPr>
          <w:lang w:val="fr-FR"/>
        </w:rPr>
      </w:pPr>
      <w:r w:rsidRPr="0010404B">
        <w:rPr>
          <w:lang w:val="fr-FR"/>
        </w:rPr>
        <w:t xml:space="preserve">Le Secrétariat </w:t>
      </w:r>
      <w:r w:rsidR="004A2759" w:rsidRPr="0010404B">
        <w:rPr>
          <w:lang w:val="fr-FR"/>
        </w:rPr>
        <w:t xml:space="preserve">et les agences </w:t>
      </w:r>
      <w:r w:rsidR="001A2B59">
        <w:rPr>
          <w:lang w:val="fr-FR"/>
        </w:rPr>
        <w:t xml:space="preserve">bilatérales et </w:t>
      </w:r>
      <w:r w:rsidR="004A2759" w:rsidRPr="0010404B">
        <w:rPr>
          <w:lang w:val="fr-FR"/>
        </w:rPr>
        <w:t xml:space="preserve">d’exécution ont entamé </w:t>
      </w:r>
      <w:r w:rsidR="001A2B59">
        <w:rPr>
          <w:lang w:val="fr-FR"/>
        </w:rPr>
        <w:t>conjointement</w:t>
      </w:r>
      <w:r w:rsidR="004A2759" w:rsidRPr="0010404B">
        <w:rPr>
          <w:lang w:val="fr-FR"/>
        </w:rPr>
        <w:t xml:space="preserve"> la préparation du plan d’activités du Fonds multilatéral pour 2020-2022, </w:t>
      </w:r>
      <w:r w:rsidR="001A2B59">
        <w:rPr>
          <w:lang w:val="fr-FR"/>
        </w:rPr>
        <w:t xml:space="preserve">avec la soumission des </w:t>
      </w:r>
      <w:r w:rsidR="004A2759" w:rsidRPr="0010404B">
        <w:rPr>
          <w:lang w:val="fr-FR"/>
        </w:rPr>
        <w:t xml:space="preserve">tableaux du plan d’activités initial le 23 septembre 2019.  La valeur </w:t>
      </w:r>
      <w:r w:rsidR="001A2B59">
        <w:rPr>
          <w:lang w:val="fr-FR"/>
        </w:rPr>
        <w:t xml:space="preserve">totale </w:t>
      </w:r>
      <w:r w:rsidR="004A2759" w:rsidRPr="0010404B">
        <w:rPr>
          <w:lang w:val="fr-FR"/>
        </w:rPr>
        <w:t xml:space="preserve">des tableaux du plan </w:t>
      </w:r>
      <w:r w:rsidR="00D81678" w:rsidRPr="0010404B">
        <w:rPr>
          <w:lang w:val="fr-FR"/>
        </w:rPr>
        <w:t>d’activités pour 2020-2022, tel</w:t>
      </w:r>
      <w:r w:rsidR="004A2759" w:rsidRPr="0010404B">
        <w:rPr>
          <w:lang w:val="fr-FR"/>
        </w:rPr>
        <w:t xml:space="preserve"> que </w:t>
      </w:r>
      <w:r w:rsidR="00D81678" w:rsidRPr="0010404B">
        <w:rPr>
          <w:lang w:val="fr-FR"/>
        </w:rPr>
        <w:t>soumis</w:t>
      </w:r>
      <w:r w:rsidR="004A2759" w:rsidRPr="0010404B">
        <w:rPr>
          <w:lang w:val="fr-FR"/>
        </w:rPr>
        <w:t>, est résumée dans le Tableau 1.</w:t>
      </w:r>
    </w:p>
    <w:p w14:paraId="2DD36836" w14:textId="6CF37188" w:rsidR="001762FB" w:rsidRPr="0010404B" w:rsidRDefault="001762FB" w:rsidP="001762FB">
      <w:pPr>
        <w:rPr>
          <w:b/>
          <w:lang w:val="fr-FR"/>
        </w:rPr>
      </w:pPr>
      <w:r w:rsidRPr="0010404B">
        <w:rPr>
          <w:b/>
          <w:lang w:val="fr-FR"/>
        </w:rPr>
        <w:t>Tableau 1. Valeurs totales du plan d’activités initial pour</w:t>
      </w:r>
      <w:r w:rsidR="003E3289" w:rsidRPr="0010404B">
        <w:rPr>
          <w:b/>
          <w:lang w:val="fr-FR"/>
        </w:rPr>
        <w:t xml:space="preserve"> 2020–2022 (</w:t>
      </w:r>
      <w:r w:rsidRPr="0010404B">
        <w:rPr>
          <w:b/>
          <w:lang w:val="fr-FR"/>
        </w:rPr>
        <w:t>000</w:t>
      </w:r>
      <w:r w:rsidR="003E3289" w:rsidRPr="0010404B">
        <w:rPr>
          <w:b/>
          <w:lang w:val="fr-FR"/>
        </w:rPr>
        <w:t xml:space="preserve"> $US</w:t>
      </w:r>
      <w:r w:rsidRPr="0010404B">
        <w:rPr>
          <w:b/>
          <w:lang w:val="fr-FR"/>
        </w:rPr>
        <w:t>)</w:t>
      </w:r>
    </w:p>
    <w:tbl>
      <w:tblPr>
        <w:tblW w:w="9247" w:type="dxa"/>
        <w:tblInd w:w="108" w:type="dxa"/>
        <w:tblLayout w:type="fixed"/>
        <w:tblLook w:val="04A0" w:firstRow="1" w:lastRow="0" w:firstColumn="1" w:lastColumn="0" w:noHBand="0" w:noVBand="1"/>
      </w:tblPr>
      <w:tblGrid>
        <w:gridCol w:w="2047"/>
        <w:gridCol w:w="1440"/>
        <w:gridCol w:w="1440"/>
        <w:gridCol w:w="1440"/>
        <w:gridCol w:w="1440"/>
        <w:gridCol w:w="1440"/>
      </w:tblGrid>
      <w:tr w:rsidR="001762FB" w:rsidRPr="0010404B" w14:paraId="5730918A" w14:textId="77777777" w:rsidTr="00AC05CC">
        <w:trPr>
          <w:trHeight w:val="255"/>
        </w:trPr>
        <w:tc>
          <w:tcPr>
            <w:tcW w:w="2047" w:type="dxa"/>
            <w:tcBorders>
              <w:top w:val="single" w:sz="4" w:space="0" w:color="auto"/>
              <w:left w:val="single" w:sz="4" w:space="0" w:color="auto"/>
              <w:bottom w:val="single" w:sz="4" w:space="0" w:color="auto"/>
              <w:right w:val="single" w:sz="4" w:space="0" w:color="auto"/>
            </w:tcBorders>
            <w:shd w:val="clear" w:color="auto" w:fill="auto"/>
            <w:noWrap/>
            <w:hideMark/>
          </w:tcPr>
          <w:p w14:paraId="2251BCE8" w14:textId="0110BA8C" w:rsidR="001762FB" w:rsidRPr="0010404B" w:rsidRDefault="001A2B59" w:rsidP="001762FB">
            <w:pPr>
              <w:jc w:val="left"/>
              <w:rPr>
                <w:b/>
                <w:bCs/>
                <w:lang w:val="fr-FR" w:eastAsia="en-CA"/>
              </w:rPr>
            </w:pPr>
            <w:r>
              <w:rPr>
                <w:b/>
                <w:bCs/>
                <w:lang w:val="fr-FR" w:eastAsia="en-CA"/>
              </w:rPr>
              <w:t>Poste</w:t>
            </w:r>
          </w:p>
        </w:tc>
        <w:tc>
          <w:tcPr>
            <w:tcW w:w="1440" w:type="dxa"/>
            <w:tcBorders>
              <w:top w:val="single" w:sz="4" w:space="0" w:color="auto"/>
              <w:left w:val="nil"/>
              <w:bottom w:val="single" w:sz="4" w:space="0" w:color="auto"/>
              <w:right w:val="single" w:sz="4" w:space="0" w:color="auto"/>
            </w:tcBorders>
            <w:shd w:val="clear" w:color="auto" w:fill="auto"/>
            <w:noWrap/>
            <w:hideMark/>
          </w:tcPr>
          <w:p w14:paraId="34C8C93A" w14:textId="77777777" w:rsidR="001762FB" w:rsidRPr="0010404B" w:rsidRDefault="001762FB" w:rsidP="001762FB">
            <w:pPr>
              <w:jc w:val="center"/>
              <w:rPr>
                <w:b/>
                <w:bCs/>
                <w:lang w:val="fr-FR"/>
              </w:rPr>
            </w:pPr>
            <w:r w:rsidRPr="0010404B">
              <w:rPr>
                <w:b/>
                <w:bCs/>
                <w:lang w:val="fr-FR"/>
              </w:rPr>
              <w:t>2020</w:t>
            </w:r>
          </w:p>
        </w:tc>
        <w:tc>
          <w:tcPr>
            <w:tcW w:w="1440" w:type="dxa"/>
            <w:tcBorders>
              <w:top w:val="single" w:sz="4" w:space="0" w:color="auto"/>
              <w:left w:val="nil"/>
              <w:bottom w:val="single" w:sz="4" w:space="0" w:color="auto"/>
              <w:right w:val="single" w:sz="4" w:space="0" w:color="auto"/>
            </w:tcBorders>
            <w:shd w:val="clear" w:color="auto" w:fill="auto"/>
            <w:noWrap/>
            <w:hideMark/>
          </w:tcPr>
          <w:p w14:paraId="15DC91B6" w14:textId="77777777" w:rsidR="001762FB" w:rsidRPr="0010404B" w:rsidRDefault="001762FB" w:rsidP="001762FB">
            <w:pPr>
              <w:jc w:val="center"/>
              <w:rPr>
                <w:b/>
                <w:bCs/>
                <w:lang w:val="fr-FR"/>
              </w:rPr>
            </w:pPr>
            <w:r w:rsidRPr="0010404B">
              <w:rPr>
                <w:b/>
                <w:bCs/>
                <w:lang w:val="fr-FR"/>
              </w:rPr>
              <w:t>2021</w:t>
            </w:r>
          </w:p>
        </w:tc>
        <w:tc>
          <w:tcPr>
            <w:tcW w:w="1440" w:type="dxa"/>
            <w:tcBorders>
              <w:top w:val="single" w:sz="4" w:space="0" w:color="auto"/>
              <w:left w:val="nil"/>
              <w:bottom w:val="single" w:sz="4" w:space="0" w:color="auto"/>
              <w:right w:val="single" w:sz="4" w:space="0" w:color="auto"/>
            </w:tcBorders>
            <w:shd w:val="clear" w:color="auto" w:fill="auto"/>
            <w:noWrap/>
            <w:hideMark/>
          </w:tcPr>
          <w:p w14:paraId="49CEAC36" w14:textId="77777777" w:rsidR="001762FB" w:rsidRPr="0010404B" w:rsidRDefault="001762FB" w:rsidP="001762FB">
            <w:pPr>
              <w:jc w:val="center"/>
              <w:rPr>
                <w:b/>
                <w:bCs/>
                <w:lang w:val="fr-FR"/>
              </w:rPr>
            </w:pPr>
            <w:r w:rsidRPr="0010404B">
              <w:rPr>
                <w:b/>
                <w:bCs/>
                <w:lang w:val="fr-FR"/>
              </w:rPr>
              <w:t>2022</w:t>
            </w:r>
          </w:p>
        </w:tc>
        <w:tc>
          <w:tcPr>
            <w:tcW w:w="1440" w:type="dxa"/>
            <w:tcBorders>
              <w:top w:val="single" w:sz="4" w:space="0" w:color="auto"/>
              <w:left w:val="nil"/>
              <w:bottom w:val="single" w:sz="4" w:space="0" w:color="auto"/>
              <w:right w:val="single" w:sz="4" w:space="0" w:color="auto"/>
            </w:tcBorders>
            <w:shd w:val="clear" w:color="auto" w:fill="auto"/>
            <w:noWrap/>
            <w:hideMark/>
          </w:tcPr>
          <w:p w14:paraId="18B17D32" w14:textId="77777777" w:rsidR="001762FB" w:rsidRPr="0010404B" w:rsidRDefault="001762FB" w:rsidP="001762FB">
            <w:pPr>
              <w:jc w:val="center"/>
              <w:rPr>
                <w:b/>
                <w:bCs/>
                <w:lang w:val="fr-FR"/>
              </w:rPr>
            </w:pPr>
            <w:r w:rsidRPr="0010404B">
              <w:rPr>
                <w:b/>
                <w:bCs/>
                <w:lang w:val="fr-FR"/>
              </w:rPr>
              <w:t xml:space="preserve">Total </w:t>
            </w:r>
          </w:p>
          <w:p w14:paraId="6C1C9804" w14:textId="77777777" w:rsidR="001762FB" w:rsidRPr="0010404B" w:rsidRDefault="001762FB" w:rsidP="001762FB">
            <w:pPr>
              <w:jc w:val="center"/>
              <w:rPr>
                <w:b/>
                <w:bCs/>
                <w:lang w:val="fr-FR"/>
              </w:rPr>
            </w:pPr>
            <w:r w:rsidRPr="0010404B">
              <w:rPr>
                <w:b/>
                <w:bCs/>
                <w:lang w:val="fr-FR"/>
              </w:rPr>
              <w:t>(2020–2022)</w:t>
            </w:r>
          </w:p>
        </w:tc>
        <w:tc>
          <w:tcPr>
            <w:tcW w:w="1440" w:type="dxa"/>
            <w:tcBorders>
              <w:top w:val="single" w:sz="4" w:space="0" w:color="auto"/>
              <w:left w:val="nil"/>
              <w:bottom w:val="single" w:sz="4" w:space="0" w:color="auto"/>
              <w:right w:val="single" w:sz="4" w:space="0" w:color="auto"/>
            </w:tcBorders>
            <w:shd w:val="clear" w:color="auto" w:fill="auto"/>
            <w:noWrap/>
            <w:hideMark/>
          </w:tcPr>
          <w:p w14:paraId="2000BBC7" w14:textId="7776F90C" w:rsidR="001762FB" w:rsidRPr="0010404B" w:rsidRDefault="001762FB" w:rsidP="001762FB">
            <w:pPr>
              <w:jc w:val="center"/>
              <w:rPr>
                <w:b/>
                <w:bCs/>
                <w:lang w:val="fr-FR"/>
              </w:rPr>
            </w:pPr>
            <w:r w:rsidRPr="0010404B">
              <w:rPr>
                <w:b/>
                <w:bCs/>
                <w:lang w:val="fr-FR"/>
              </w:rPr>
              <w:t>Total a</w:t>
            </w:r>
            <w:r w:rsidR="003E3289" w:rsidRPr="0010404B">
              <w:rPr>
                <w:b/>
                <w:bCs/>
                <w:lang w:val="fr-FR"/>
              </w:rPr>
              <w:t xml:space="preserve">près </w:t>
            </w:r>
            <w:r w:rsidRPr="0010404B">
              <w:rPr>
                <w:b/>
                <w:bCs/>
                <w:lang w:val="fr-FR"/>
              </w:rPr>
              <w:t>2022</w:t>
            </w:r>
          </w:p>
        </w:tc>
      </w:tr>
      <w:tr w:rsidR="001762FB" w:rsidRPr="0010404B" w14:paraId="05E3169D" w14:textId="77777777" w:rsidTr="00AC05CC">
        <w:trPr>
          <w:trHeight w:val="25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7D4C4993" w14:textId="5B34968D" w:rsidR="001762FB" w:rsidRPr="0010404B" w:rsidRDefault="001A2B59" w:rsidP="001762FB">
            <w:pPr>
              <w:jc w:val="left"/>
              <w:rPr>
                <w:b/>
                <w:bCs/>
                <w:lang w:val="fr-FR" w:eastAsia="en-CA"/>
              </w:rPr>
            </w:pPr>
            <w:r>
              <w:rPr>
                <w:b/>
                <w:bCs/>
                <w:lang w:val="fr-FR" w:eastAsia="en-CA"/>
              </w:rPr>
              <w:t>T</w:t>
            </w:r>
            <w:r w:rsidR="001762FB" w:rsidRPr="0010404B">
              <w:rPr>
                <w:b/>
                <w:bCs/>
                <w:lang w:val="fr-FR" w:eastAsia="en-CA"/>
              </w:rPr>
              <w:t>otal</w:t>
            </w:r>
            <w:r>
              <w:rPr>
                <w:b/>
                <w:bCs/>
                <w:lang w:val="fr-FR" w:eastAsia="en-CA"/>
              </w:rPr>
              <w:t xml:space="preserve"> général</w:t>
            </w:r>
          </w:p>
        </w:tc>
        <w:tc>
          <w:tcPr>
            <w:tcW w:w="1440" w:type="dxa"/>
            <w:tcBorders>
              <w:top w:val="nil"/>
              <w:left w:val="nil"/>
              <w:bottom w:val="single" w:sz="4" w:space="0" w:color="auto"/>
              <w:right w:val="single" w:sz="4" w:space="0" w:color="auto"/>
            </w:tcBorders>
            <w:shd w:val="clear" w:color="auto" w:fill="auto"/>
            <w:noWrap/>
            <w:hideMark/>
          </w:tcPr>
          <w:p w14:paraId="72AF8290" w14:textId="5C95FEB1" w:rsidR="001762FB" w:rsidRPr="0010404B" w:rsidRDefault="003E3289" w:rsidP="001762FB">
            <w:pPr>
              <w:jc w:val="right"/>
              <w:rPr>
                <w:b/>
                <w:lang w:val="fr-FR"/>
              </w:rPr>
            </w:pPr>
            <w:r w:rsidRPr="0010404B">
              <w:rPr>
                <w:b/>
                <w:lang w:val="fr-FR"/>
              </w:rPr>
              <w:t xml:space="preserve">231 </w:t>
            </w:r>
            <w:r w:rsidR="001762FB" w:rsidRPr="0010404B">
              <w:rPr>
                <w:b/>
                <w:lang w:val="fr-FR"/>
              </w:rPr>
              <w:t>764</w:t>
            </w:r>
          </w:p>
        </w:tc>
        <w:tc>
          <w:tcPr>
            <w:tcW w:w="1440" w:type="dxa"/>
            <w:tcBorders>
              <w:top w:val="nil"/>
              <w:left w:val="nil"/>
              <w:bottom w:val="single" w:sz="4" w:space="0" w:color="auto"/>
              <w:right w:val="single" w:sz="4" w:space="0" w:color="auto"/>
            </w:tcBorders>
            <w:shd w:val="clear" w:color="auto" w:fill="auto"/>
            <w:noWrap/>
            <w:hideMark/>
          </w:tcPr>
          <w:p w14:paraId="5230B962" w14:textId="40531242" w:rsidR="001762FB" w:rsidRPr="0010404B" w:rsidRDefault="003E3289" w:rsidP="001762FB">
            <w:pPr>
              <w:jc w:val="right"/>
              <w:rPr>
                <w:b/>
                <w:lang w:val="fr-FR"/>
              </w:rPr>
            </w:pPr>
            <w:r w:rsidRPr="0010404B">
              <w:rPr>
                <w:b/>
                <w:lang w:val="fr-FR"/>
              </w:rPr>
              <w:t xml:space="preserve">188 </w:t>
            </w:r>
            <w:r w:rsidR="001762FB" w:rsidRPr="0010404B">
              <w:rPr>
                <w:b/>
                <w:lang w:val="fr-FR"/>
              </w:rPr>
              <w:t>376</w:t>
            </w:r>
          </w:p>
        </w:tc>
        <w:tc>
          <w:tcPr>
            <w:tcW w:w="1440" w:type="dxa"/>
            <w:tcBorders>
              <w:top w:val="nil"/>
              <w:left w:val="nil"/>
              <w:bottom w:val="single" w:sz="4" w:space="0" w:color="auto"/>
              <w:right w:val="single" w:sz="4" w:space="0" w:color="auto"/>
            </w:tcBorders>
            <w:shd w:val="clear" w:color="auto" w:fill="auto"/>
            <w:noWrap/>
            <w:hideMark/>
          </w:tcPr>
          <w:p w14:paraId="3244D42C" w14:textId="362CBBE9" w:rsidR="001762FB" w:rsidRPr="0010404B" w:rsidRDefault="003E3289" w:rsidP="001762FB">
            <w:pPr>
              <w:jc w:val="right"/>
              <w:rPr>
                <w:b/>
                <w:lang w:val="fr-FR"/>
              </w:rPr>
            </w:pPr>
            <w:r w:rsidRPr="0010404B">
              <w:rPr>
                <w:b/>
                <w:lang w:val="fr-FR"/>
              </w:rPr>
              <w:t xml:space="preserve">177 </w:t>
            </w:r>
            <w:r w:rsidR="001762FB" w:rsidRPr="0010404B">
              <w:rPr>
                <w:b/>
                <w:lang w:val="fr-FR"/>
              </w:rPr>
              <w:t>667</w:t>
            </w:r>
          </w:p>
        </w:tc>
        <w:tc>
          <w:tcPr>
            <w:tcW w:w="1440" w:type="dxa"/>
            <w:tcBorders>
              <w:top w:val="nil"/>
              <w:left w:val="nil"/>
              <w:bottom w:val="single" w:sz="4" w:space="0" w:color="auto"/>
              <w:right w:val="single" w:sz="4" w:space="0" w:color="auto"/>
            </w:tcBorders>
            <w:shd w:val="clear" w:color="auto" w:fill="auto"/>
            <w:noWrap/>
            <w:hideMark/>
          </w:tcPr>
          <w:p w14:paraId="158C6139" w14:textId="1313C84F" w:rsidR="001762FB" w:rsidRPr="0010404B" w:rsidRDefault="003E3289" w:rsidP="001762FB">
            <w:pPr>
              <w:jc w:val="right"/>
              <w:rPr>
                <w:b/>
                <w:lang w:val="fr-FR"/>
              </w:rPr>
            </w:pPr>
            <w:r w:rsidRPr="0010404B">
              <w:rPr>
                <w:b/>
                <w:lang w:val="fr-FR"/>
              </w:rPr>
              <w:t xml:space="preserve">597 </w:t>
            </w:r>
            <w:r w:rsidR="001762FB" w:rsidRPr="0010404B">
              <w:rPr>
                <w:b/>
                <w:lang w:val="fr-FR"/>
              </w:rPr>
              <w:t>807</w:t>
            </w:r>
          </w:p>
        </w:tc>
        <w:tc>
          <w:tcPr>
            <w:tcW w:w="1440" w:type="dxa"/>
            <w:tcBorders>
              <w:top w:val="nil"/>
              <w:left w:val="nil"/>
              <w:bottom w:val="single" w:sz="4" w:space="0" w:color="auto"/>
              <w:right w:val="single" w:sz="4" w:space="0" w:color="auto"/>
            </w:tcBorders>
            <w:shd w:val="clear" w:color="auto" w:fill="auto"/>
            <w:noWrap/>
            <w:hideMark/>
          </w:tcPr>
          <w:p w14:paraId="457A74E4" w14:textId="7D07D6E6" w:rsidR="001762FB" w:rsidRPr="0010404B" w:rsidRDefault="003E3289" w:rsidP="001762FB">
            <w:pPr>
              <w:jc w:val="right"/>
              <w:rPr>
                <w:b/>
                <w:bCs/>
                <w:lang w:val="fr-FR"/>
              </w:rPr>
            </w:pPr>
            <w:r w:rsidRPr="0010404B">
              <w:rPr>
                <w:b/>
                <w:bCs/>
                <w:lang w:val="fr-FR"/>
              </w:rPr>
              <w:t xml:space="preserve">420 </w:t>
            </w:r>
            <w:r w:rsidR="001762FB" w:rsidRPr="0010404B">
              <w:rPr>
                <w:b/>
                <w:bCs/>
                <w:lang w:val="fr-FR"/>
              </w:rPr>
              <w:t>048</w:t>
            </w:r>
          </w:p>
        </w:tc>
      </w:tr>
      <w:tr w:rsidR="001762FB" w:rsidRPr="0010404B" w14:paraId="7DDD7DF6" w14:textId="77777777" w:rsidTr="00AC05CC">
        <w:trPr>
          <w:trHeight w:val="25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73E738F5" w14:textId="3213AC8D" w:rsidR="001762FB" w:rsidRPr="0010404B" w:rsidRDefault="003E3289" w:rsidP="001762FB">
            <w:pPr>
              <w:jc w:val="left"/>
              <w:rPr>
                <w:lang w:val="fr-FR" w:eastAsia="en-CA"/>
              </w:rPr>
            </w:pPr>
            <w:r w:rsidRPr="0010404B">
              <w:rPr>
                <w:lang w:val="fr-FR" w:eastAsia="en-CA"/>
              </w:rPr>
              <w:t>Budget i</w:t>
            </w:r>
            <w:r w:rsidR="001762FB" w:rsidRPr="0010404B">
              <w:rPr>
                <w:lang w:val="fr-FR" w:eastAsia="en-CA"/>
              </w:rPr>
              <w:t>ndicati</w:t>
            </w:r>
            <w:r w:rsidRPr="0010404B">
              <w:rPr>
                <w:lang w:val="fr-FR" w:eastAsia="en-CA"/>
              </w:rPr>
              <w:t>f</w:t>
            </w:r>
          </w:p>
        </w:tc>
        <w:tc>
          <w:tcPr>
            <w:tcW w:w="1440" w:type="dxa"/>
            <w:tcBorders>
              <w:top w:val="nil"/>
              <w:left w:val="nil"/>
              <w:bottom w:val="single" w:sz="4" w:space="0" w:color="auto"/>
              <w:right w:val="single" w:sz="4" w:space="0" w:color="auto"/>
            </w:tcBorders>
            <w:shd w:val="clear" w:color="auto" w:fill="auto"/>
            <w:noWrap/>
            <w:hideMark/>
          </w:tcPr>
          <w:p w14:paraId="08810A7D" w14:textId="40C811C4" w:rsidR="001762FB" w:rsidRPr="0010404B" w:rsidRDefault="003E3289" w:rsidP="001762FB">
            <w:pPr>
              <w:jc w:val="right"/>
              <w:rPr>
                <w:lang w:val="fr-FR"/>
              </w:rPr>
            </w:pPr>
            <w:r w:rsidRPr="0010404B">
              <w:rPr>
                <w:lang w:val="fr-FR"/>
              </w:rPr>
              <w:t xml:space="preserve">171 </w:t>
            </w:r>
            <w:r w:rsidR="001762FB" w:rsidRPr="0010404B">
              <w:rPr>
                <w:lang w:val="fr-FR"/>
              </w:rPr>
              <w:t>000</w:t>
            </w:r>
          </w:p>
        </w:tc>
        <w:tc>
          <w:tcPr>
            <w:tcW w:w="1440" w:type="dxa"/>
            <w:tcBorders>
              <w:top w:val="nil"/>
              <w:left w:val="nil"/>
              <w:bottom w:val="single" w:sz="4" w:space="0" w:color="auto"/>
              <w:right w:val="single" w:sz="4" w:space="0" w:color="auto"/>
            </w:tcBorders>
            <w:shd w:val="clear" w:color="auto" w:fill="auto"/>
            <w:noWrap/>
            <w:hideMark/>
          </w:tcPr>
          <w:p w14:paraId="597C1E12" w14:textId="168CC843" w:rsidR="001762FB" w:rsidRPr="0010404B" w:rsidRDefault="003E3289" w:rsidP="001762FB">
            <w:pPr>
              <w:jc w:val="right"/>
              <w:rPr>
                <w:lang w:val="fr-FR"/>
              </w:rPr>
            </w:pPr>
            <w:r w:rsidRPr="0010404B">
              <w:rPr>
                <w:lang w:val="fr-FR"/>
              </w:rPr>
              <w:t xml:space="preserve">180 </w:t>
            </w:r>
            <w:r w:rsidR="001762FB" w:rsidRPr="0010404B">
              <w:rPr>
                <w:lang w:val="fr-FR"/>
              </w:rPr>
              <w:t>000*</w:t>
            </w:r>
          </w:p>
        </w:tc>
        <w:tc>
          <w:tcPr>
            <w:tcW w:w="1440" w:type="dxa"/>
            <w:tcBorders>
              <w:top w:val="nil"/>
              <w:left w:val="nil"/>
              <w:bottom w:val="single" w:sz="4" w:space="0" w:color="auto"/>
              <w:right w:val="single" w:sz="4" w:space="0" w:color="auto"/>
            </w:tcBorders>
            <w:shd w:val="clear" w:color="auto" w:fill="auto"/>
            <w:noWrap/>
            <w:hideMark/>
          </w:tcPr>
          <w:p w14:paraId="099A8F61" w14:textId="244FA9C9" w:rsidR="001762FB" w:rsidRPr="0010404B" w:rsidRDefault="003E3289" w:rsidP="001762FB">
            <w:pPr>
              <w:jc w:val="right"/>
              <w:rPr>
                <w:lang w:val="fr-FR"/>
              </w:rPr>
            </w:pPr>
            <w:r w:rsidRPr="0010404B">
              <w:rPr>
                <w:lang w:val="fr-FR"/>
              </w:rPr>
              <w:t xml:space="preserve">180 </w:t>
            </w:r>
            <w:r w:rsidR="001762FB" w:rsidRPr="0010404B">
              <w:rPr>
                <w:lang w:val="fr-FR"/>
              </w:rPr>
              <w:t>000*</w:t>
            </w:r>
          </w:p>
        </w:tc>
        <w:tc>
          <w:tcPr>
            <w:tcW w:w="1440" w:type="dxa"/>
            <w:tcBorders>
              <w:top w:val="nil"/>
              <w:left w:val="nil"/>
              <w:bottom w:val="single" w:sz="4" w:space="0" w:color="auto"/>
              <w:right w:val="single" w:sz="4" w:space="0" w:color="auto"/>
            </w:tcBorders>
            <w:shd w:val="clear" w:color="auto" w:fill="auto"/>
            <w:noWrap/>
            <w:hideMark/>
          </w:tcPr>
          <w:p w14:paraId="097B32DD" w14:textId="6783D92B" w:rsidR="001762FB" w:rsidRPr="0010404B" w:rsidRDefault="003E3289" w:rsidP="001762FB">
            <w:pPr>
              <w:jc w:val="right"/>
              <w:rPr>
                <w:lang w:val="fr-FR"/>
              </w:rPr>
            </w:pPr>
            <w:r w:rsidRPr="0010404B">
              <w:rPr>
                <w:lang w:val="fr-FR"/>
              </w:rPr>
              <w:t xml:space="preserve">531 </w:t>
            </w:r>
            <w:r w:rsidR="001762FB" w:rsidRPr="0010404B">
              <w:rPr>
                <w:lang w:val="fr-FR"/>
              </w:rPr>
              <w:t>000</w:t>
            </w:r>
          </w:p>
        </w:tc>
        <w:tc>
          <w:tcPr>
            <w:tcW w:w="1440" w:type="dxa"/>
            <w:tcBorders>
              <w:top w:val="nil"/>
              <w:left w:val="nil"/>
              <w:bottom w:val="single" w:sz="4" w:space="0" w:color="auto"/>
              <w:right w:val="single" w:sz="4" w:space="0" w:color="auto"/>
            </w:tcBorders>
            <w:shd w:val="clear" w:color="auto" w:fill="auto"/>
            <w:noWrap/>
          </w:tcPr>
          <w:p w14:paraId="565B0BB8" w14:textId="77777777" w:rsidR="001762FB" w:rsidRPr="0010404B" w:rsidRDefault="001762FB" w:rsidP="001762FB">
            <w:pPr>
              <w:jc w:val="right"/>
              <w:rPr>
                <w:lang w:val="fr-FR"/>
              </w:rPr>
            </w:pPr>
          </w:p>
        </w:tc>
      </w:tr>
      <w:tr w:rsidR="001762FB" w:rsidRPr="0010404B" w14:paraId="022AFB39" w14:textId="77777777" w:rsidTr="00AC05CC">
        <w:trPr>
          <w:trHeight w:val="25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14:paraId="35364AB1" w14:textId="2C317CD5" w:rsidR="001762FB" w:rsidRPr="0010404B" w:rsidRDefault="003E3289" w:rsidP="001762FB">
            <w:pPr>
              <w:jc w:val="left"/>
              <w:rPr>
                <w:lang w:val="fr-FR" w:eastAsia="en-CA"/>
              </w:rPr>
            </w:pPr>
            <w:r w:rsidRPr="0010404B">
              <w:rPr>
                <w:lang w:val="fr-FR" w:eastAsia="en-CA"/>
              </w:rPr>
              <w:t>Diffé</w:t>
            </w:r>
            <w:r w:rsidR="001762FB" w:rsidRPr="0010404B">
              <w:rPr>
                <w:lang w:val="fr-FR" w:eastAsia="en-CA"/>
              </w:rPr>
              <w:t>rence</w:t>
            </w:r>
          </w:p>
        </w:tc>
        <w:tc>
          <w:tcPr>
            <w:tcW w:w="1440" w:type="dxa"/>
            <w:tcBorders>
              <w:top w:val="nil"/>
              <w:left w:val="nil"/>
              <w:bottom w:val="single" w:sz="4" w:space="0" w:color="auto"/>
              <w:right w:val="single" w:sz="4" w:space="0" w:color="auto"/>
            </w:tcBorders>
            <w:shd w:val="clear" w:color="auto" w:fill="auto"/>
            <w:noWrap/>
            <w:vAlign w:val="bottom"/>
            <w:hideMark/>
          </w:tcPr>
          <w:p w14:paraId="7EDC39BF" w14:textId="7EE22C9A" w:rsidR="001762FB" w:rsidRPr="0010404B" w:rsidRDefault="003E3289" w:rsidP="001762FB">
            <w:pPr>
              <w:jc w:val="right"/>
              <w:rPr>
                <w:lang w:val="fr-FR"/>
              </w:rPr>
            </w:pPr>
            <w:r w:rsidRPr="0010404B">
              <w:rPr>
                <w:lang w:val="fr-FR"/>
              </w:rPr>
              <w:t xml:space="preserve">60 </w:t>
            </w:r>
            <w:r w:rsidR="001762FB" w:rsidRPr="0010404B">
              <w:rPr>
                <w:lang w:val="fr-FR"/>
              </w:rPr>
              <w:t>764</w:t>
            </w:r>
          </w:p>
        </w:tc>
        <w:tc>
          <w:tcPr>
            <w:tcW w:w="1440" w:type="dxa"/>
            <w:tcBorders>
              <w:top w:val="nil"/>
              <w:left w:val="nil"/>
              <w:bottom w:val="single" w:sz="4" w:space="0" w:color="auto"/>
              <w:right w:val="single" w:sz="4" w:space="0" w:color="auto"/>
            </w:tcBorders>
            <w:shd w:val="clear" w:color="auto" w:fill="auto"/>
            <w:noWrap/>
            <w:vAlign w:val="bottom"/>
            <w:hideMark/>
          </w:tcPr>
          <w:p w14:paraId="61A03F3C" w14:textId="32D8449E" w:rsidR="001762FB" w:rsidRPr="0010404B" w:rsidRDefault="003E3289" w:rsidP="001762FB">
            <w:pPr>
              <w:jc w:val="right"/>
              <w:rPr>
                <w:lang w:val="fr-FR"/>
              </w:rPr>
            </w:pPr>
            <w:r w:rsidRPr="0010404B">
              <w:rPr>
                <w:lang w:val="fr-FR"/>
              </w:rPr>
              <w:t xml:space="preserve">8 </w:t>
            </w:r>
            <w:r w:rsidR="001762FB" w:rsidRPr="0010404B">
              <w:rPr>
                <w:lang w:val="fr-FR"/>
              </w:rPr>
              <w:t>376</w:t>
            </w:r>
          </w:p>
        </w:tc>
        <w:tc>
          <w:tcPr>
            <w:tcW w:w="1440" w:type="dxa"/>
            <w:tcBorders>
              <w:top w:val="nil"/>
              <w:left w:val="nil"/>
              <w:bottom w:val="single" w:sz="4" w:space="0" w:color="auto"/>
              <w:right w:val="single" w:sz="4" w:space="0" w:color="auto"/>
            </w:tcBorders>
            <w:shd w:val="clear" w:color="auto" w:fill="auto"/>
            <w:noWrap/>
            <w:vAlign w:val="bottom"/>
            <w:hideMark/>
          </w:tcPr>
          <w:p w14:paraId="5BA6BB89" w14:textId="3FE580E5" w:rsidR="001762FB" w:rsidRPr="0010404B" w:rsidRDefault="003E3289" w:rsidP="001762FB">
            <w:pPr>
              <w:jc w:val="right"/>
              <w:rPr>
                <w:lang w:val="fr-FR"/>
              </w:rPr>
            </w:pPr>
            <w:r w:rsidRPr="0010404B">
              <w:rPr>
                <w:lang w:val="fr-FR"/>
              </w:rPr>
              <w:t xml:space="preserve">(2 </w:t>
            </w:r>
            <w:r w:rsidR="001762FB" w:rsidRPr="0010404B">
              <w:rPr>
                <w:lang w:val="fr-FR"/>
              </w:rPr>
              <w:t>333)</w:t>
            </w:r>
          </w:p>
        </w:tc>
        <w:tc>
          <w:tcPr>
            <w:tcW w:w="1440" w:type="dxa"/>
            <w:tcBorders>
              <w:top w:val="nil"/>
              <w:left w:val="nil"/>
              <w:bottom w:val="single" w:sz="4" w:space="0" w:color="auto"/>
              <w:right w:val="single" w:sz="4" w:space="0" w:color="auto"/>
            </w:tcBorders>
            <w:shd w:val="clear" w:color="auto" w:fill="auto"/>
            <w:noWrap/>
            <w:hideMark/>
          </w:tcPr>
          <w:p w14:paraId="26754F56" w14:textId="5707F1FB" w:rsidR="001762FB" w:rsidRPr="0010404B" w:rsidRDefault="003E3289" w:rsidP="001762FB">
            <w:pPr>
              <w:jc w:val="right"/>
              <w:rPr>
                <w:lang w:val="fr-FR"/>
              </w:rPr>
            </w:pPr>
            <w:r w:rsidRPr="0010404B">
              <w:rPr>
                <w:lang w:val="fr-FR"/>
              </w:rPr>
              <w:t xml:space="preserve">66 </w:t>
            </w:r>
            <w:r w:rsidR="001762FB" w:rsidRPr="0010404B">
              <w:rPr>
                <w:lang w:val="fr-FR"/>
              </w:rPr>
              <w:t>807</w:t>
            </w:r>
          </w:p>
        </w:tc>
        <w:tc>
          <w:tcPr>
            <w:tcW w:w="1440" w:type="dxa"/>
            <w:tcBorders>
              <w:top w:val="nil"/>
              <w:left w:val="nil"/>
              <w:bottom w:val="single" w:sz="4" w:space="0" w:color="auto"/>
              <w:right w:val="single" w:sz="4" w:space="0" w:color="auto"/>
            </w:tcBorders>
            <w:shd w:val="clear" w:color="auto" w:fill="auto"/>
            <w:noWrap/>
          </w:tcPr>
          <w:p w14:paraId="7D71648A" w14:textId="77777777" w:rsidR="001762FB" w:rsidRPr="0010404B" w:rsidRDefault="001762FB" w:rsidP="001762FB">
            <w:pPr>
              <w:jc w:val="right"/>
              <w:rPr>
                <w:lang w:val="fr-FR"/>
              </w:rPr>
            </w:pPr>
          </w:p>
        </w:tc>
      </w:tr>
    </w:tbl>
    <w:p w14:paraId="19D2249D" w14:textId="3BEB03E1" w:rsidR="001762FB" w:rsidRPr="0010404B" w:rsidRDefault="001762FB" w:rsidP="00EC2947">
      <w:pPr>
        <w:jc w:val="left"/>
        <w:rPr>
          <w:sz w:val="20"/>
          <w:szCs w:val="20"/>
          <w:lang w:val="fr-FR"/>
        </w:rPr>
      </w:pPr>
      <w:r w:rsidRPr="0010404B">
        <w:rPr>
          <w:sz w:val="20"/>
          <w:szCs w:val="20"/>
          <w:lang w:val="fr-FR"/>
        </w:rPr>
        <w:t xml:space="preserve">* </w:t>
      </w:r>
      <w:r w:rsidR="003E3289" w:rsidRPr="0010404B">
        <w:rPr>
          <w:sz w:val="20"/>
          <w:szCs w:val="20"/>
          <w:lang w:val="fr-FR"/>
        </w:rPr>
        <w:t>En supposant un niveau de réapprovisionnement du Fonds multilatéral identique à celui de 2018–2020</w:t>
      </w:r>
      <w:r w:rsidRPr="0010404B">
        <w:rPr>
          <w:sz w:val="20"/>
          <w:szCs w:val="20"/>
          <w:lang w:val="fr-FR"/>
        </w:rPr>
        <w:t>.</w:t>
      </w:r>
    </w:p>
    <w:p w14:paraId="4200A714" w14:textId="77777777" w:rsidR="00EC2947" w:rsidRPr="0010404B" w:rsidRDefault="00EC2947" w:rsidP="00EC2947">
      <w:pPr>
        <w:jc w:val="left"/>
        <w:rPr>
          <w:sz w:val="20"/>
          <w:szCs w:val="20"/>
          <w:lang w:val="fr-FR"/>
        </w:rPr>
      </w:pPr>
    </w:p>
    <w:p w14:paraId="01D1789B" w14:textId="280923FF" w:rsidR="00666687" w:rsidRPr="0010404B" w:rsidRDefault="00EC2947" w:rsidP="004A2759">
      <w:pPr>
        <w:pStyle w:val="StyleHeading1Para1Heading1CharHeading1Char3CharHeadin"/>
        <w:numPr>
          <w:ilvl w:val="0"/>
          <w:numId w:val="1"/>
        </w:numPr>
        <w:tabs>
          <w:tab w:val="clear" w:pos="0"/>
        </w:tabs>
        <w:rPr>
          <w:lang w:val="fr-FR"/>
        </w:rPr>
      </w:pPr>
      <w:r w:rsidRPr="0010404B">
        <w:rPr>
          <w:lang w:val="fr-FR"/>
        </w:rPr>
        <w:t xml:space="preserve">Le Secrétariat a examiné les nouvelles activités, en particulier la phase II des plans de gestion de l’élimination des HCFC (PGEH) à la lumière de la phase I des PGEH, </w:t>
      </w:r>
      <w:r w:rsidR="001A2B59">
        <w:rPr>
          <w:lang w:val="fr-FR"/>
        </w:rPr>
        <w:t xml:space="preserve">du financement admissible </w:t>
      </w:r>
      <w:r w:rsidR="00CC6DE0">
        <w:rPr>
          <w:lang w:val="fr-FR"/>
        </w:rPr>
        <w:t xml:space="preserve">restant </w:t>
      </w:r>
      <w:r w:rsidR="001A2B59">
        <w:rPr>
          <w:lang w:val="fr-FR"/>
        </w:rPr>
        <w:t>et des</w:t>
      </w:r>
      <w:r w:rsidR="00D81678" w:rsidRPr="0010404B">
        <w:rPr>
          <w:lang w:val="fr-FR"/>
        </w:rPr>
        <w:t xml:space="preserve"> coûts résiduels</w:t>
      </w:r>
      <w:r w:rsidR="00CC6DE0">
        <w:rPr>
          <w:lang w:val="fr-FR"/>
        </w:rPr>
        <w:t>, et</w:t>
      </w:r>
      <w:r w:rsidRPr="0010404B">
        <w:rPr>
          <w:lang w:val="fr-FR"/>
        </w:rPr>
        <w:t xml:space="preserve"> </w:t>
      </w:r>
      <w:r w:rsidR="00CC6DE0">
        <w:rPr>
          <w:lang w:val="fr-FR"/>
        </w:rPr>
        <w:t xml:space="preserve">il </w:t>
      </w:r>
      <w:r w:rsidRPr="0010404B">
        <w:rPr>
          <w:lang w:val="fr-FR"/>
        </w:rPr>
        <w:t xml:space="preserve">a </w:t>
      </w:r>
      <w:r w:rsidR="00D81678" w:rsidRPr="0010404B">
        <w:rPr>
          <w:lang w:val="fr-FR"/>
        </w:rPr>
        <w:t>transmis</w:t>
      </w:r>
      <w:r w:rsidRPr="0010404B">
        <w:rPr>
          <w:lang w:val="fr-FR"/>
        </w:rPr>
        <w:t xml:space="preserve"> ses observations aux agenc</w:t>
      </w:r>
      <w:r w:rsidR="00AC05CC">
        <w:rPr>
          <w:lang w:val="fr-FR"/>
        </w:rPr>
        <w:t xml:space="preserve">es bilatérales et d’exécution. </w:t>
      </w:r>
      <w:r w:rsidR="00F86CA7">
        <w:rPr>
          <w:lang w:val="fr-FR"/>
        </w:rPr>
        <w:t>Lors de</w:t>
      </w:r>
      <w:r w:rsidR="00666687" w:rsidRPr="0010404B">
        <w:rPr>
          <w:lang w:val="fr-FR"/>
        </w:rPr>
        <w:t xml:space="preserve"> la réunion de coordination inter-agences</w:t>
      </w:r>
      <w:r w:rsidR="00AC05CC">
        <w:rPr>
          <w:lang w:val="fr-FR"/>
        </w:rPr>
        <w:t>,</w:t>
      </w:r>
      <w:r w:rsidR="00666687" w:rsidRPr="0010404B">
        <w:rPr>
          <w:rStyle w:val="FootnoteReference"/>
          <w:lang w:val="fr-FR"/>
        </w:rPr>
        <w:footnoteReference w:id="1"/>
      </w:r>
      <w:r w:rsidR="00666687" w:rsidRPr="0010404B">
        <w:rPr>
          <w:lang w:val="fr-FR"/>
        </w:rPr>
        <w:t xml:space="preserve"> le Secrétariat a discuté des questions soulevées </w:t>
      </w:r>
      <w:r w:rsidR="003C0E89" w:rsidRPr="0010404B">
        <w:rPr>
          <w:lang w:val="fr-FR"/>
        </w:rPr>
        <w:t>durant</w:t>
      </w:r>
      <w:r w:rsidR="00666687" w:rsidRPr="0010404B">
        <w:rPr>
          <w:lang w:val="fr-FR"/>
        </w:rPr>
        <w:t xml:space="preserve"> l’examen des tableaux du plan d’activités initial, incluant </w:t>
      </w:r>
      <w:r w:rsidR="00666687" w:rsidRPr="0010404B">
        <w:rPr>
          <w:i/>
          <w:lang w:val="fr-FR"/>
        </w:rPr>
        <w:t>entre autres </w:t>
      </w:r>
      <w:r w:rsidR="00666687" w:rsidRPr="0010404B">
        <w:rPr>
          <w:lang w:val="fr-FR"/>
        </w:rPr>
        <w:t>: la surprogrammation, les activités reliées aux PGEH, les projets in</w:t>
      </w:r>
      <w:r w:rsidR="00CC6DE0">
        <w:rPr>
          <w:lang w:val="fr-FR"/>
        </w:rPr>
        <w:t>clus</w:t>
      </w:r>
      <w:r w:rsidR="00666687" w:rsidRPr="0010404B">
        <w:rPr>
          <w:lang w:val="fr-FR"/>
        </w:rPr>
        <w:t xml:space="preserve"> dans les plans d’activités de 2019 mais qui ne sont pas soumis à la 84</w:t>
      </w:r>
      <w:r w:rsidR="00666687" w:rsidRPr="0010404B">
        <w:rPr>
          <w:vertAlign w:val="superscript"/>
          <w:lang w:val="fr-FR"/>
        </w:rPr>
        <w:t>e</w:t>
      </w:r>
      <w:r w:rsidR="00AC05CC">
        <w:rPr>
          <w:lang w:val="fr-FR"/>
        </w:rPr>
        <w:t> </w:t>
      </w:r>
      <w:r w:rsidR="00666687" w:rsidRPr="0010404B">
        <w:rPr>
          <w:lang w:val="fr-FR"/>
        </w:rPr>
        <w:t xml:space="preserve">réunion, le secteur de la production, </w:t>
      </w:r>
      <w:r w:rsidR="00CC6DE0">
        <w:rPr>
          <w:lang w:val="fr-FR"/>
        </w:rPr>
        <w:t>y compris</w:t>
      </w:r>
      <w:r w:rsidR="00666687" w:rsidRPr="0010404B">
        <w:rPr>
          <w:lang w:val="fr-FR"/>
        </w:rPr>
        <w:t xml:space="preserve"> les tranches associées au plan de gestion de l’élimination de la production de HCFC (PGEPH) pour la Chine et les activités rel</w:t>
      </w:r>
      <w:r w:rsidR="00CC6DE0">
        <w:rPr>
          <w:lang w:val="fr-FR"/>
        </w:rPr>
        <w:t>ié</w:t>
      </w:r>
      <w:r w:rsidR="00666687" w:rsidRPr="0010404B">
        <w:rPr>
          <w:lang w:val="fr-FR"/>
        </w:rPr>
        <w:t>es aux HFC.</w:t>
      </w:r>
    </w:p>
    <w:p w14:paraId="0386AEFF" w14:textId="338FF0DF" w:rsidR="00441083" w:rsidRPr="0010404B" w:rsidRDefault="00666687" w:rsidP="004A2759">
      <w:pPr>
        <w:pStyle w:val="StyleHeading1Para1Heading1CharHeading1Char3CharHeadin"/>
        <w:numPr>
          <w:ilvl w:val="0"/>
          <w:numId w:val="1"/>
        </w:numPr>
        <w:tabs>
          <w:tab w:val="clear" w:pos="0"/>
        </w:tabs>
        <w:rPr>
          <w:lang w:val="fr-FR"/>
        </w:rPr>
      </w:pPr>
      <w:r w:rsidRPr="0010404B">
        <w:rPr>
          <w:lang w:val="fr-FR"/>
        </w:rPr>
        <w:lastRenderedPageBreak/>
        <w:t>À la suite des discussions durant la réunion de coordination, les agences bilatérales et d’exécution ont révisé les tableaux de leurs plans d’activités et les ont soumis de nouveau</w:t>
      </w:r>
      <w:r w:rsidR="00D6532D" w:rsidRPr="0010404B">
        <w:rPr>
          <w:lang w:val="fr-FR"/>
        </w:rPr>
        <w:t>,</w:t>
      </w:r>
      <w:r w:rsidRPr="0010404B">
        <w:rPr>
          <w:lang w:val="fr-FR"/>
        </w:rPr>
        <w:t xml:space="preserve"> avec des sections </w:t>
      </w:r>
      <w:r w:rsidR="00D6532D" w:rsidRPr="0010404B">
        <w:rPr>
          <w:lang w:val="fr-FR"/>
        </w:rPr>
        <w:t>narratives.  La valeur totale du plan d’activités révisé pour 2020-2022 est résumée dans le Tableau 2.</w:t>
      </w:r>
    </w:p>
    <w:p w14:paraId="676CFA06" w14:textId="0D351720" w:rsidR="00D6532D" w:rsidRPr="0010404B" w:rsidRDefault="00D6532D" w:rsidP="00D6532D">
      <w:pPr>
        <w:keepNext/>
        <w:rPr>
          <w:b/>
          <w:lang w:val="fr-FR"/>
        </w:rPr>
      </w:pPr>
      <w:r w:rsidRPr="0010404B">
        <w:rPr>
          <w:b/>
          <w:lang w:val="fr-FR"/>
        </w:rPr>
        <w:t xml:space="preserve">Tableau 2. Valeurs totales du plan d’activités révisé pour 2020–2022, tel que </w:t>
      </w:r>
      <w:r w:rsidR="00D81678" w:rsidRPr="0010404B">
        <w:rPr>
          <w:b/>
          <w:lang w:val="fr-FR"/>
        </w:rPr>
        <w:t>soumis</w:t>
      </w:r>
      <w:r w:rsidRPr="0010404B">
        <w:rPr>
          <w:b/>
          <w:lang w:val="fr-FR"/>
        </w:rPr>
        <w:t xml:space="preserve"> (000 $US)</w:t>
      </w:r>
    </w:p>
    <w:tbl>
      <w:tblPr>
        <w:tblW w:w="4944" w:type="pct"/>
        <w:tblInd w:w="108" w:type="dxa"/>
        <w:tblLayout w:type="fixed"/>
        <w:tblLook w:val="04A0" w:firstRow="1" w:lastRow="0" w:firstColumn="1" w:lastColumn="0" w:noHBand="0" w:noVBand="1"/>
      </w:tblPr>
      <w:tblGrid>
        <w:gridCol w:w="1912"/>
        <w:gridCol w:w="1512"/>
        <w:gridCol w:w="1512"/>
        <w:gridCol w:w="1511"/>
        <w:gridCol w:w="1511"/>
        <w:gridCol w:w="1511"/>
      </w:tblGrid>
      <w:tr w:rsidR="00D6532D" w:rsidRPr="0010404B" w14:paraId="0E6BD686" w14:textId="77777777" w:rsidTr="00C76B85">
        <w:trPr>
          <w:trHeight w:val="255"/>
          <w:tblHeader/>
        </w:trPr>
        <w:tc>
          <w:tcPr>
            <w:tcW w:w="1009" w:type="pct"/>
            <w:tcBorders>
              <w:top w:val="single" w:sz="4" w:space="0" w:color="auto"/>
              <w:left w:val="single" w:sz="4" w:space="0" w:color="auto"/>
              <w:bottom w:val="single" w:sz="4" w:space="0" w:color="auto"/>
              <w:right w:val="single" w:sz="4" w:space="0" w:color="auto"/>
            </w:tcBorders>
            <w:shd w:val="clear" w:color="auto" w:fill="auto"/>
            <w:noWrap/>
            <w:hideMark/>
          </w:tcPr>
          <w:p w14:paraId="5AC0AF8A" w14:textId="316E17FB" w:rsidR="00D6532D" w:rsidRPr="0010404B" w:rsidRDefault="00CC6DE0" w:rsidP="00D6532D">
            <w:pPr>
              <w:jc w:val="left"/>
              <w:rPr>
                <w:b/>
                <w:bCs/>
                <w:lang w:val="fr-FR" w:eastAsia="en-CA"/>
              </w:rPr>
            </w:pPr>
            <w:r>
              <w:rPr>
                <w:b/>
                <w:bCs/>
                <w:lang w:val="fr-FR" w:eastAsia="en-CA"/>
              </w:rPr>
              <w:t>Poste</w:t>
            </w:r>
          </w:p>
        </w:tc>
        <w:tc>
          <w:tcPr>
            <w:tcW w:w="798" w:type="pct"/>
            <w:tcBorders>
              <w:top w:val="single" w:sz="4" w:space="0" w:color="auto"/>
              <w:left w:val="nil"/>
              <w:bottom w:val="single" w:sz="4" w:space="0" w:color="auto"/>
              <w:right w:val="single" w:sz="4" w:space="0" w:color="auto"/>
            </w:tcBorders>
            <w:shd w:val="clear" w:color="auto" w:fill="auto"/>
            <w:noWrap/>
            <w:hideMark/>
          </w:tcPr>
          <w:p w14:paraId="2D1B2889" w14:textId="77777777" w:rsidR="00D6532D" w:rsidRPr="0010404B" w:rsidRDefault="00D6532D" w:rsidP="00D6532D">
            <w:pPr>
              <w:jc w:val="center"/>
              <w:rPr>
                <w:b/>
                <w:bCs/>
                <w:lang w:val="fr-FR" w:eastAsia="en-CA"/>
              </w:rPr>
            </w:pPr>
            <w:r w:rsidRPr="0010404B">
              <w:rPr>
                <w:b/>
                <w:bCs/>
                <w:lang w:val="fr-FR" w:eastAsia="en-CA"/>
              </w:rPr>
              <w:t>2020</w:t>
            </w:r>
          </w:p>
        </w:tc>
        <w:tc>
          <w:tcPr>
            <w:tcW w:w="798" w:type="pct"/>
            <w:tcBorders>
              <w:top w:val="single" w:sz="4" w:space="0" w:color="auto"/>
              <w:left w:val="nil"/>
              <w:bottom w:val="single" w:sz="4" w:space="0" w:color="auto"/>
              <w:right w:val="single" w:sz="4" w:space="0" w:color="auto"/>
            </w:tcBorders>
            <w:shd w:val="clear" w:color="auto" w:fill="auto"/>
            <w:noWrap/>
            <w:hideMark/>
          </w:tcPr>
          <w:p w14:paraId="05EEDCBA" w14:textId="77777777" w:rsidR="00D6532D" w:rsidRPr="0010404B" w:rsidRDefault="00D6532D" w:rsidP="00D6532D">
            <w:pPr>
              <w:jc w:val="center"/>
              <w:rPr>
                <w:b/>
                <w:bCs/>
                <w:lang w:val="fr-FR" w:eastAsia="en-CA"/>
              </w:rPr>
            </w:pPr>
            <w:r w:rsidRPr="0010404B">
              <w:rPr>
                <w:b/>
                <w:bCs/>
                <w:lang w:val="fr-FR" w:eastAsia="en-CA"/>
              </w:rPr>
              <w:t>2021</w:t>
            </w:r>
          </w:p>
        </w:tc>
        <w:tc>
          <w:tcPr>
            <w:tcW w:w="798" w:type="pct"/>
            <w:tcBorders>
              <w:top w:val="single" w:sz="4" w:space="0" w:color="auto"/>
              <w:left w:val="nil"/>
              <w:bottom w:val="single" w:sz="4" w:space="0" w:color="auto"/>
              <w:right w:val="single" w:sz="4" w:space="0" w:color="auto"/>
            </w:tcBorders>
            <w:shd w:val="clear" w:color="auto" w:fill="auto"/>
            <w:noWrap/>
            <w:hideMark/>
          </w:tcPr>
          <w:p w14:paraId="37966D97" w14:textId="77777777" w:rsidR="00D6532D" w:rsidRPr="0010404B" w:rsidRDefault="00D6532D" w:rsidP="00D6532D">
            <w:pPr>
              <w:jc w:val="center"/>
              <w:rPr>
                <w:b/>
                <w:bCs/>
                <w:lang w:val="fr-FR" w:eastAsia="en-CA"/>
              </w:rPr>
            </w:pPr>
            <w:r w:rsidRPr="0010404B">
              <w:rPr>
                <w:b/>
                <w:bCs/>
                <w:lang w:val="fr-FR" w:eastAsia="en-CA"/>
              </w:rPr>
              <w:t>2022</w:t>
            </w:r>
          </w:p>
        </w:tc>
        <w:tc>
          <w:tcPr>
            <w:tcW w:w="798" w:type="pct"/>
            <w:tcBorders>
              <w:top w:val="single" w:sz="4" w:space="0" w:color="auto"/>
              <w:left w:val="nil"/>
              <w:bottom w:val="single" w:sz="4" w:space="0" w:color="auto"/>
              <w:right w:val="single" w:sz="4" w:space="0" w:color="auto"/>
            </w:tcBorders>
            <w:shd w:val="clear" w:color="auto" w:fill="auto"/>
            <w:noWrap/>
            <w:hideMark/>
          </w:tcPr>
          <w:p w14:paraId="20F6FF2B" w14:textId="77777777" w:rsidR="00D6532D" w:rsidRPr="0010404B" w:rsidRDefault="00D6532D" w:rsidP="00D6532D">
            <w:pPr>
              <w:jc w:val="center"/>
              <w:rPr>
                <w:b/>
                <w:bCs/>
                <w:lang w:val="fr-FR" w:eastAsia="en-CA"/>
              </w:rPr>
            </w:pPr>
            <w:r w:rsidRPr="0010404B">
              <w:rPr>
                <w:b/>
                <w:bCs/>
                <w:lang w:val="fr-FR" w:eastAsia="en-CA"/>
              </w:rPr>
              <w:t xml:space="preserve">Total </w:t>
            </w:r>
          </w:p>
          <w:p w14:paraId="3EA7C8C6" w14:textId="77777777" w:rsidR="00D6532D" w:rsidRPr="0010404B" w:rsidRDefault="00D6532D" w:rsidP="00D6532D">
            <w:pPr>
              <w:jc w:val="center"/>
              <w:rPr>
                <w:b/>
                <w:bCs/>
                <w:lang w:val="fr-FR" w:eastAsia="en-CA"/>
              </w:rPr>
            </w:pPr>
            <w:r w:rsidRPr="0010404B">
              <w:rPr>
                <w:b/>
                <w:bCs/>
                <w:lang w:val="fr-FR" w:eastAsia="en-CA"/>
              </w:rPr>
              <w:t>(2020–2022)</w:t>
            </w:r>
          </w:p>
        </w:tc>
        <w:tc>
          <w:tcPr>
            <w:tcW w:w="798" w:type="pct"/>
            <w:tcBorders>
              <w:top w:val="single" w:sz="4" w:space="0" w:color="auto"/>
              <w:left w:val="nil"/>
              <w:bottom w:val="single" w:sz="4" w:space="0" w:color="auto"/>
              <w:right w:val="single" w:sz="4" w:space="0" w:color="auto"/>
            </w:tcBorders>
            <w:shd w:val="clear" w:color="auto" w:fill="auto"/>
            <w:noWrap/>
            <w:hideMark/>
          </w:tcPr>
          <w:p w14:paraId="45CE1797" w14:textId="18959991" w:rsidR="00D6532D" w:rsidRPr="0010404B" w:rsidRDefault="00D6532D" w:rsidP="00D6532D">
            <w:pPr>
              <w:jc w:val="center"/>
              <w:rPr>
                <w:b/>
                <w:bCs/>
                <w:lang w:val="fr-FR" w:eastAsia="en-CA"/>
              </w:rPr>
            </w:pPr>
            <w:r w:rsidRPr="0010404B">
              <w:rPr>
                <w:b/>
                <w:bCs/>
                <w:lang w:val="fr-FR" w:eastAsia="en-CA"/>
              </w:rPr>
              <w:t>Total après 2022</w:t>
            </w:r>
          </w:p>
        </w:tc>
      </w:tr>
      <w:tr w:rsidR="00D6532D" w:rsidRPr="0010404B" w14:paraId="55F9CB67" w14:textId="77777777" w:rsidTr="00C76B85">
        <w:trPr>
          <w:trHeight w:val="255"/>
        </w:trPr>
        <w:tc>
          <w:tcPr>
            <w:tcW w:w="1009" w:type="pct"/>
            <w:tcBorders>
              <w:top w:val="nil"/>
              <w:left w:val="single" w:sz="4" w:space="0" w:color="auto"/>
              <w:bottom w:val="single" w:sz="4" w:space="0" w:color="auto"/>
              <w:right w:val="single" w:sz="4" w:space="0" w:color="auto"/>
            </w:tcBorders>
            <w:shd w:val="clear" w:color="auto" w:fill="auto"/>
            <w:noWrap/>
            <w:hideMark/>
          </w:tcPr>
          <w:p w14:paraId="5A117DE9" w14:textId="679ABCD1" w:rsidR="00D6532D" w:rsidRPr="0010404B" w:rsidRDefault="00E529D5" w:rsidP="00D6532D">
            <w:pPr>
              <w:jc w:val="left"/>
              <w:rPr>
                <w:b/>
                <w:bCs/>
                <w:lang w:val="fr-FR" w:eastAsia="en-CA"/>
              </w:rPr>
            </w:pPr>
            <w:r w:rsidRPr="0010404B">
              <w:rPr>
                <w:b/>
                <w:bCs/>
                <w:lang w:val="fr-FR" w:eastAsia="en-CA"/>
              </w:rPr>
              <w:t>T</w:t>
            </w:r>
            <w:r w:rsidR="00D6532D" w:rsidRPr="0010404B">
              <w:rPr>
                <w:b/>
                <w:bCs/>
                <w:lang w:val="fr-FR" w:eastAsia="en-CA"/>
              </w:rPr>
              <w:t>otal</w:t>
            </w:r>
            <w:r w:rsidR="00CC6DE0">
              <w:rPr>
                <w:b/>
                <w:bCs/>
                <w:lang w:val="fr-FR" w:eastAsia="en-CA"/>
              </w:rPr>
              <w:t xml:space="preserve"> général</w:t>
            </w:r>
          </w:p>
        </w:tc>
        <w:tc>
          <w:tcPr>
            <w:tcW w:w="798" w:type="pct"/>
            <w:tcBorders>
              <w:top w:val="nil"/>
              <w:left w:val="nil"/>
              <w:bottom w:val="single" w:sz="4" w:space="0" w:color="auto"/>
              <w:right w:val="single" w:sz="4" w:space="0" w:color="auto"/>
            </w:tcBorders>
            <w:shd w:val="clear" w:color="auto" w:fill="auto"/>
            <w:noWrap/>
          </w:tcPr>
          <w:p w14:paraId="6C184C6D" w14:textId="788C69C3" w:rsidR="00D6532D" w:rsidRPr="0010404B" w:rsidRDefault="00D6532D" w:rsidP="00D6532D">
            <w:pPr>
              <w:jc w:val="right"/>
              <w:rPr>
                <w:b/>
                <w:bCs/>
                <w:lang w:val="fr-FR" w:eastAsia="en-CA"/>
              </w:rPr>
            </w:pPr>
            <w:r w:rsidRPr="0010404B">
              <w:rPr>
                <w:b/>
                <w:bCs/>
                <w:lang w:val="fr-FR" w:eastAsia="en-CA"/>
              </w:rPr>
              <w:t>214 860</w:t>
            </w:r>
          </w:p>
        </w:tc>
        <w:tc>
          <w:tcPr>
            <w:tcW w:w="798" w:type="pct"/>
            <w:tcBorders>
              <w:top w:val="nil"/>
              <w:left w:val="nil"/>
              <w:bottom w:val="single" w:sz="4" w:space="0" w:color="auto"/>
              <w:right w:val="single" w:sz="4" w:space="0" w:color="auto"/>
            </w:tcBorders>
            <w:shd w:val="clear" w:color="auto" w:fill="auto"/>
            <w:noWrap/>
          </w:tcPr>
          <w:p w14:paraId="7B38EA4E" w14:textId="2B37BCDC" w:rsidR="00D6532D" w:rsidRPr="0010404B" w:rsidRDefault="00D6532D" w:rsidP="00D6532D">
            <w:pPr>
              <w:jc w:val="right"/>
              <w:rPr>
                <w:b/>
                <w:bCs/>
                <w:lang w:val="fr-FR" w:eastAsia="en-CA"/>
              </w:rPr>
            </w:pPr>
            <w:r w:rsidRPr="0010404B">
              <w:rPr>
                <w:b/>
                <w:bCs/>
                <w:lang w:val="fr-FR" w:eastAsia="en-CA"/>
              </w:rPr>
              <w:t>178 190</w:t>
            </w:r>
          </w:p>
        </w:tc>
        <w:tc>
          <w:tcPr>
            <w:tcW w:w="798" w:type="pct"/>
            <w:tcBorders>
              <w:top w:val="nil"/>
              <w:left w:val="nil"/>
              <w:bottom w:val="single" w:sz="4" w:space="0" w:color="auto"/>
              <w:right w:val="single" w:sz="4" w:space="0" w:color="auto"/>
            </w:tcBorders>
            <w:shd w:val="clear" w:color="auto" w:fill="auto"/>
            <w:noWrap/>
          </w:tcPr>
          <w:p w14:paraId="5181A427" w14:textId="1206AC60" w:rsidR="00D6532D" w:rsidRPr="0010404B" w:rsidRDefault="00D6532D" w:rsidP="00D6532D">
            <w:pPr>
              <w:jc w:val="right"/>
              <w:rPr>
                <w:b/>
                <w:bCs/>
                <w:lang w:val="fr-FR" w:eastAsia="en-CA"/>
              </w:rPr>
            </w:pPr>
            <w:r w:rsidRPr="0010404B">
              <w:rPr>
                <w:b/>
                <w:bCs/>
                <w:lang w:val="fr-FR" w:eastAsia="en-CA"/>
              </w:rPr>
              <w:t>181 692</w:t>
            </w:r>
          </w:p>
        </w:tc>
        <w:tc>
          <w:tcPr>
            <w:tcW w:w="798" w:type="pct"/>
            <w:tcBorders>
              <w:top w:val="nil"/>
              <w:left w:val="nil"/>
              <w:bottom w:val="single" w:sz="4" w:space="0" w:color="auto"/>
              <w:right w:val="single" w:sz="4" w:space="0" w:color="auto"/>
            </w:tcBorders>
            <w:shd w:val="clear" w:color="auto" w:fill="auto"/>
            <w:noWrap/>
          </w:tcPr>
          <w:p w14:paraId="758342B5" w14:textId="4A278B8F" w:rsidR="00D6532D" w:rsidRPr="0010404B" w:rsidRDefault="00D6532D" w:rsidP="00D6532D">
            <w:pPr>
              <w:jc w:val="right"/>
              <w:rPr>
                <w:b/>
                <w:bCs/>
                <w:lang w:val="fr-FR" w:eastAsia="en-CA"/>
              </w:rPr>
            </w:pPr>
            <w:r w:rsidRPr="0010404B">
              <w:rPr>
                <w:b/>
                <w:bCs/>
                <w:lang w:val="fr-FR" w:eastAsia="en-CA"/>
              </w:rPr>
              <w:t>574 743</w:t>
            </w:r>
          </w:p>
        </w:tc>
        <w:tc>
          <w:tcPr>
            <w:tcW w:w="798" w:type="pct"/>
            <w:tcBorders>
              <w:top w:val="nil"/>
              <w:left w:val="nil"/>
              <w:bottom w:val="single" w:sz="4" w:space="0" w:color="auto"/>
              <w:right w:val="single" w:sz="4" w:space="0" w:color="auto"/>
            </w:tcBorders>
            <w:shd w:val="clear" w:color="auto" w:fill="auto"/>
            <w:noWrap/>
          </w:tcPr>
          <w:p w14:paraId="47A31217" w14:textId="3DE8A48C" w:rsidR="00D6532D" w:rsidRPr="0010404B" w:rsidRDefault="00D6532D" w:rsidP="00D6532D">
            <w:pPr>
              <w:jc w:val="right"/>
              <w:rPr>
                <w:b/>
                <w:bCs/>
                <w:lang w:val="fr-FR" w:eastAsia="en-CA"/>
              </w:rPr>
            </w:pPr>
            <w:r w:rsidRPr="0010404B">
              <w:rPr>
                <w:b/>
                <w:bCs/>
                <w:lang w:val="fr-FR" w:eastAsia="en-CA"/>
              </w:rPr>
              <w:t>436 495</w:t>
            </w:r>
          </w:p>
        </w:tc>
      </w:tr>
      <w:tr w:rsidR="00D6532D" w:rsidRPr="0010404B" w14:paraId="6957C019" w14:textId="77777777" w:rsidTr="00C76B85">
        <w:trPr>
          <w:trHeight w:val="255"/>
        </w:trPr>
        <w:tc>
          <w:tcPr>
            <w:tcW w:w="1009" w:type="pct"/>
            <w:tcBorders>
              <w:top w:val="nil"/>
              <w:left w:val="single" w:sz="4" w:space="0" w:color="auto"/>
              <w:bottom w:val="single" w:sz="4" w:space="0" w:color="auto"/>
              <w:right w:val="single" w:sz="4" w:space="0" w:color="auto"/>
            </w:tcBorders>
            <w:shd w:val="clear" w:color="auto" w:fill="auto"/>
            <w:noWrap/>
            <w:hideMark/>
          </w:tcPr>
          <w:p w14:paraId="6AFD2075" w14:textId="77777777" w:rsidR="00D6532D" w:rsidRPr="0010404B" w:rsidRDefault="00D6532D" w:rsidP="00D6532D">
            <w:pPr>
              <w:jc w:val="left"/>
              <w:rPr>
                <w:lang w:val="fr-FR" w:eastAsia="en-CA"/>
              </w:rPr>
            </w:pPr>
            <w:r w:rsidRPr="0010404B">
              <w:rPr>
                <w:lang w:val="fr-FR" w:eastAsia="en-CA"/>
              </w:rPr>
              <w:t>Indicative budget</w:t>
            </w:r>
          </w:p>
        </w:tc>
        <w:tc>
          <w:tcPr>
            <w:tcW w:w="798" w:type="pct"/>
            <w:tcBorders>
              <w:top w:val="nil"/>
              <w:left w:val="nil"/>
              <w:bottom w:val="single" w:sz="4" w:space="0" w:color="auto"/>
              <w:right w:val="single" w:sz="4" w:space="0" w:color="auto"/>
            </w:tcBorders>
            <w:shd w:val="clear" w:color="auto" w:fill="auto"/>
            <w:noWrap/>
            <w:hideMark/>
          </w:tcPr>
          <w:p w14:paraId="0BD313E1" w14:textId="612C255F" w:rsidR="00D6532D" w:rsidRPr="0010404B" w:rsidRDefault="00D6532D" w:rsidP="00D6532D">
            <w:pPr>
              <w:jc w:val="right"/>
              <w:rPr>
                <w:lang w:val="fr-FR" w:eastAsia="en-CA"/>
              </w:rPr>
            </w:pPr>
            <w:r w:rsidRPr="0010404B">
              <w:rPr>
                <w:lang w:val="fr-FR" w:eastAsia="en-CA"/>
              </w:rPr>
              <w:t>171 000</w:t>
            </w:r>
          </w:p>
        </w:tc>
        <w:tc>
          <w:tcPr>
            <w:tcW w:w="798" w:type="pct"/>
            <w:tcBorders>
              <w:top w:val="nil"/>
              <w:left w:val="nil"/>
              <w:bottom w:val="single" w:sz="4" w:space="0" w:color="auto"/>
              <w:right w:val="single" w:sz="4" w:space="0" w:color="auto"/>
            </w:tcBorders>
            <w:shd w:val="clear" w:color="auto" w:fill="auto"/>
            <w:noWrap/>
            <w:hideMark/>
          </w:tcPr>
          <w:p w14:paraId="3BAE5D74" w14:textId="1C2DA403" w:rsidR="00D6532D" w:rsidRPr="0010404B" w:rsidRDefault="00D6532D" w:rsidP="00D6532D">
            <w:pPr>
              <w:jc w:val="right"/>
              <w:rPr>
                <w:lang w:val="fr-FR" w:eastAsia="en-CA"/>
              </w:rPr>
            </w:pPr>
            <w:r w:rsidRPr="0010404B">
              <w:rPr>
                <w:lang w:val="fr-FR" w:eastAsia="en-CA"/>
              </w:rPr>
              <w:t>180 000*</w:t>
            </w:r>
          </w:p>
        </w:tc>
        <w:tc>
          <w:tcPr>
            <w:tcW w:w="798" w:type="pct"/>
            <w:tcBorders>
              <w:top w:val="nil"/>
              <w:left w:val="nil"/>
              <w:bottom w:val="single" w:sz="4" w:space="0" w:color="auto"/>
              <w:right w:val="single" w:sz="4" w:space="0" w:color="auto"/>
            </w:tcBorders>
            <w:shd w:val="clear" w:color="auto" w:fill="auto"/>
            <w:noWrap/>
            <w:hideMark/>
          </w:tcPr>
          <w:p w14:paraId="2B440641" w14:textId="61C1B49D" w:rsidR="00D6532D" w:rsidRPr="0010404B" w:rsidRDefault="00D6532D" w:rsidP="00D6532D">
            <w:pPr>
              <w:jc w:val="right"/>
              <w:rPr>
                <w:lang w:val="fr-FR" w:eastAsia="en-CA"/>
              </w:rPr>
            </w:pPr>
            <w:r w:rsidRPr="0010404B">
              <w:rPr>
                <w:lang w:val="fr-FR" w:eastAsia="en-CA"/>
              </w:rPr>
              <w:t>180 000*</w:t>
            </w:r>
          </w:p>
        </w:tc>
        <w:tc>
          <w:tcPr>
            <w:tcW w:w="798" w:type="pct"/>
            <w:tcBorders>
              <w:top w:val="nil"/>
              <w:left w:val="nil"/>
              <w:bottom w:val="single" w:sz="4" w:space="0" w:color="auto"/>
              <w:right w:val="single" w:sz="4" w:space="0" w:color="auto"/>
            </w:tcBorders>
            <w:shd w:val="clear" w:color="auto" w:fill="auto"/>
            <w:noWrap/>
            <w:hideMark/>
          </w:tcPr>
          <w:p w14:paraId="6BB0C0A8" w14:textId="2CE26469" w:rsidR="00D6532D" w:rsidRPr="0010404B" w:rsidRDefault="00D6532D" w:rsidP="00D6532D">
            <w:pPr>
              <w:jc w:val="right"/>
              <w:rPr>
                <w:lang w:val="fr-FR" w:eastAsia="en-CA"/>
              </w:rPr>
            </w:pPr>
            <w:r w:rsidRPr="0010404B">
              <w:rPr>
                <w:lang w:val="fr-FR" w:eastAsia="en-CA"/>
              </w:rPr>
              <w:t>531 000</w:t>
            </w:r>
          </w:p>
        </w:tc>
        <w:tc>
          <w:tcPr>
            <w:tcW w:w="798" w:type="pct"/>
            <w:tcBorders>
              <w:top w:val="nil"/>
              <w:left w:val="nil"/>
              <w:bottom w:val="single" w:sz="4" w:space="0" w:color="auto"/>
              <w:right w:val="single" w:sz="4" w:space="0" w:color="auto"/>
            </w:tcBorders>
            <w:shd w:val="clear" w:color="auto" w:fill="auto"/>
            <w:noWrap/>
          </w:tcPr>
          <w:p w14:paraId="76DBCD16" w14:textId="77777777" w:rsidR="00D6532D" w:rsidRPr="0010404B" w:rsidRDefault="00D6532D" w:rsidP="00D6532D">
            <w:pPr>
              <w:jc w:val="left"/>
              <w:rPr>
                <w:lang w:val="fr-FR" w:eastAsia="en-CA"/>
              </w:rPr>
            </w:pPr>
            <w:r w:rsidRPr="0010404B">
              <w:rPr>
                <w:lang w:val="fr-FR" w:eastAsia="en-CA"/>
              </w:rPr>
              <w:t> </w:t>
            </w:r>
          </w:p>
        </w:tc>
      </w:tr>
      <w:tr w:rsidR="00D6532D" w:rsidRPr="0010404B" w14:paraId="39E899E4" w14:textId="77777777" w:rsidTr="00C76B85">
        <w:trPr>
          <w:trHeight w:val="255"/>
        </w:trPr>
        <w:tc>
          <w:tcPr>
            <w:tcW w:w="1009" w:type="pct"/>
            <w:tcBorders>
              <w:top w:val="nil"/>
              <w:left w:val="single" w:sz="4" w:space="0" w:color="auto"/>
              <w:bottom w:val="single" w:sz="4" w:space="0" w:color="auto"/>
              <w:right w:val="single" w:sz="4" w:space="0" w:color="auto"/>
            </w:tcBorders>
            <w:shd w:val="clear" w:color="auto" w:fill="auto"/>
            <w:noWrap/>
            <w:hideMark/>
          </w:tcPr>
          <w:p w14:paraId="667169B4" w14:textId="790B7B0A" w:rsidR="00D6532D" w:rsidRPr="0010404B" w:rsidRDefault="00E91DB9" w:rsidP="00D6532D">
            <w:pPr>
              <w:jc w:val="left"/>
              <w:rPr>
                <w:lang w:val="fr-FR" w:eastAsia="en-CA"/>
              </w:rPr>
            </w:pPr>
            <w:r w:rsidRPr="0010404B">
              <w:rPr>
                <w:lang w:val="fr-FR" w:eastAsia="en-CA"/>
              </w:rPr>
              <w:t>Différence</w:t>
            </w:r>
          </w:p>
        </w:tc>
        <w:tc>
          <w:tcPr>
            <w:tcW w:w="798" w:type="pct"/>
            <w:tcBorders>
              <w:top w:val="nil"/>
              <w:left w:val="nil"/>
              <w:bottom w:val="single" w:sz="4" w:space="0" w:color="auto"/>
              <w:right w:val="single" w:sz="4" w:space="0" w:color="auto"/>
            </w:tcBorders>
            <w:shd w:val="clear" w:color="auto" w:fill="auto"/>
            <w:noWrap/>
          </w:tcPr>
          <w:p w14:paraId="27F10A70" w14:textId="76FE7B90" w:rsidR="00D6532D" w:rsidRPr="0010404B" w:rsidRDefault="00D6532D" w:rsidP="00D6532D">
            <w:pPr>
              <w:jc w:val="right"/>
              <w:rPr>
                <w:lang w:val="fr-FR" w:eastAsia="en-CA"/>
              </w:rPr>
            </w:pPr>
            <w:r w:rsidRPr="0010404B">
              <w:rPr>
                <w:lang w:val="fr-FR" w:eastAsia="en-CA"/>
              </w:rPr>
              <w:t>43 860</w:t>
            </w:r>
          </w:p>
        </w:tc>
        <w:tc>
          <w:tcPr>
            <w:tcW w:w="798" w:type="pct"/>
            <w:tcBorders>
              <w:top w:val="nil"/>
              <w:left w:val="nil"/>
              <w:bottom w:val="single" w:sz="4" w:space="0" w:color="auto"/>
              <w:right w:val="single" w:sz="4" w:space="0" w:color="auto"/>
            </w:tcBorders>
            <w:shd w:val="clear" w:color="auto" w:fill="auto"/>
            <w:noWrap/>
          </w:tcPr>
          <w:p w14:paraId="652A41AD" w14:textId="23021E9D" w:rsidR="00D6532D" w:rsidRPr="0010404B" w:rsidRDefault="00D6532D" w:rsidP="00D6532D">
            <w:pPr>
              <w:jc w:val="right"/>
              <w:rPr>
                <w:lang w:val="fr-FR" w:eastAsia="en-CA"/>
              </w:rPr>
            </w:pPr>
            <w:r w:rsidRPr="0010404B">
              <w:rPr>
                <w:lang w:val="fr-FR" w:eastAsia="en-CA"/>
              </w:rPr>
              <w:t>(1 810)</w:t>
            </w:r>
          </w:p>
        </w:tc>
        <w:tc>
          <w:tcPr>
            <w:tcW w:w="798" w:type="pct"/>
            <w:tcBorders>
              <w:top w:val="nil"/>
              <w:left w:val="nil"/>
              <w:bottom w:val="single" w:sz="4" w:space="0" w:color="auto"/>
              <w:right w:val="single" w:sz="4" w:space="0" w:color="auto"/>
            </w:tcBorders>
            <w:shd w:val="clear" w:color="auto" w:fill="auto"/>
            <w:noWrap/>
          </w:tcPr>
          <w:p w14:paraId="212685A2" w14:textId="71A47D3C" w:rsidR="00D6532D" w:rsidRPr="0010404B" w:rsidRDefault="00D6532D" w:rsidP="00D6532D">
            <w:pPr>
              <w:jc w:val="right"/>
              <w:rPr>
                <w:lang w:val="fr-FR" w:eastAsia="en-CA"/>
              </w:rPr>
            </w:pPr>
            <w:r w:rsidRPr="0010404B">
              <w:rPr>
                <w:lang w:val="fr-FR" w:eastAsia="en-CA"/>
              </w:rPr>
              <w:t>1 692</w:t>
            </w:r>
          </w:p>
        </w:tc>
        <w:tc>
          <w:tcPr>
            <w:tcW w:w="798" w:type="pct"/>
            <w:tcBorders>
              <w:top w:val="nil"/>
              <w:left w:val="nil"/>
              <w:bottom w:val="single" w:sz="4" w:space="0" w:color="auto"/>
              <w:right w:val="single" w:sz="4" w:space="0" w:color="auto"/>
            </w:tcBorders>
            <w:shd w:val="clear" w:color="auto" w:fill="auto"/>
            <w:noWrap/>
          </w:tcPr>
          <w:p w14:paraId="5DE14E06" w14:textId="2D1F7E90" w:rsidR="00D6532D" w:rsidRPr="0010404B" w:rsidRDefault="00D6532D" w:rsidP="00D6532D">
            <w:pPr>
              <w:jc w:val="right"/>
              <w:rPr>
                <w:lang w:val="fr-FR" w:eastAsia="en-CA"/>
              </w:rPr>
            </w:pPr>
            <w:r w:rsidRPr="0010404B">
              <w:rPr>
                <w:lang w:val="fr-FR" w:eastAsia="en-CA"/>
              </w:rPr>
              <w:t>43 743</w:t>
            </w:r>
          </w:p>
        </w:tc>
        <w:tc>
          <w:tcPr>
            <w:tcW w:w="798" w:type="pct"/>
            <w:tcBorders>
              <w:top w:val="nil"/>
              <w:left w:val="nil"/>
              <w:bottom w:val="single" w:sz="4" w:space="0" w:color="auto"/>
              <w:right w:val="single" w:sz="4" w:space="0" w:color="auto"/>
            </w:tcBorders>
            <w:shd w:val="clear" w:color="auto" w:fill="auto"/>
            <w:noWrap/>
          </w:tcPr>
          <w:p w14:paraId="277B2289" w14:textId="77777777" w:rsidR="00D6532D" w:rsidRPr="0010404B" w:rsidRDefault="00D6532D" w:rsidP="00D6532D">
            <w:pPr>
              <w:jc w:val="left"/>
              <w:rPr>
                <w:lang w:val="fr-FR" w:eastAsia="en-CA"/>
              </w:rPr>
            </w:pPr>
            <w:r w:rsidRPr="0010404B">
              <w:rPr>
                <w:lang w:val="fr-FR" w:eastAsia="en-CA"/>
              </w:rPr>
              <w:t> </w:t>
            </w:r>
          </w:p>
        </w:tc>
      </w:tr>
    </w:tbl>
    <w:p w14:paraId="5D98169E" w14:textId="468B052C" w:rsidR="00D6532D" w:rsidRPr="0010404B" w:rsidRDefault="00D6532D" w:rsidP="003C0E89">
      <w:pPr>
        <w:pStyle w:val="ListParagraph"/>
        <w:numPr>
          <w:ilvl w:val="0"/>
          <w:numId w:val="24"/>
        </w:numPr>
        <w:jc w:val="left"/>
        <w:rPr>
          <w:sz w:val="20"/>
          <w:szCs w:val="20"/>
          <w:lang w:val="fr-FR"/>
        </w:rPr>
      </w:pPr>
      <w:r w:rsidRPr="0010404B">
        <w:rPr>
          <w:sz w:val="20"/>
          <w:szCs w:val="20"/>
          <w:lang w:val="fr-FR"/>
        </w:rPr>
        <w:t>En supposant un niveau de réapprovisionnement du Fonds multilatéral identique à celui de 2018–2020.</w:t>
      </w:r>
    </w:p>
    <w:p w14:paraId="5E52449F" w14:textId="77777777" w:rsidR="003C0E89" w:rsidRPr="0010404B" w:rsidRDefault="003C0E89" w:rsidP="00D6532D">
      <w:pPr>
        <w:rPr>
          <w:u w:val="single"/>
          <w:lang w:val="fr-FR"/>
        </w:rPr>
      </w:pPr>
    </w:p>
    <w:p w14:paraId="6FB9CA66" w14:textId="563D06F2" w:rsidR="00D6532D" w:rsidRPr="0010404B" w:rsidRDefault="00D6532D" w:rsidP="00D6532D">
      <w:pPr>
        <w:rPr>
          <w:u w:val="single"/>
          <w:lang w:val="fr-FR"/>
        </w:rPr>
      </w:pPr>
      <w:r w:rsidRPr="0010404B">
        <w:rPr>
          <w:u w:val="single"/>
          <w:lang w:val="fr-FR"/>
        </w:rPr>
        <w:t>Contenu</w:t>
      </w:r>
    </w:p>
    <w:p w14:paraId="4596A902" w14:textId="77777777" w:rsidR="00D6532D" w:rsidRPr="0010404B" w:rsidRDefault="00D6532D" w:rsidP="00D6532D">
      <w:pPr>
        <w:rPr>
          <w:lang w:val="fr-FR"/>
        </w:rPr>
      </w:pPr>
    </w:p>
    <w:p w14:paraId="3FDE989A" w14:textId="242770F4" w:rsidR="00D6532D" w:rsidRPr="0010404B" w:rsidRDefault="00D6532D" w:rsidP="00D6532D">
      <w:pPr>
        <w:pStyle w:val="Heading1"/>
        <w:rPr>
          <w:lang w:val="fr-FR"/>
        </w:rPr>
      </w:pPr>
      <w:r w:rsidRPr="0010404B">
        <w:rPr>
          <w:lang w:val="fr-FR"/>
        </w:rPr>
        <w:t xml:space="preserve">Ce document présente </w:t>
      </w:r>
      <w:r w:rsidR="00AE75A8" w:rsidRPr="0010404B">
        <w:rPr>
          <w:lang w:val="fr-FR"/>
        </w:rPr>
        <w:t>le</w:t>
      </w:r>
      <w:r w:rsidR="00CC6DE0">
        <w:rPr>
          <w:lang w:val="fr-FR"/>
        </w:rPr>
        <w:t>s</w:t>
      </w:r>
      <w:r w:rsidR="00AE75A8" w:rsidRPr="0010404B">
        <w:rPr>
          <w:lang w:val="fr-FR"/>
        </w:rPr>
        <w:t xml:space="preserve"> plan</w:t>
      </w:r>
      <w:r w:rsidR="00CC6DE0">
        <w:rPr>
          <w:lang w:val="fr-FR"/>
        </w:rPr>
        <w:t>s</w:t>
      </w:r>
      <w:r w:rsidR="00AE75A8" w:rsidRPr="0010404B">
        <w:rPr>
          <w:lang w:val="fr-FR"/>
        </w:rPr>
        <w:t xml:space="preserve"> d’activités généra</w:t>
      </w:r>
      <w:r w:rsidR="00CC6DE0">
        <w:rPr>
          <w:lang w:val="fr-FR"/>
        </w:rPr>
        <w:t>ux</w:t>
      </w:r>
      <w:r w:rsidRPr="0010404B">
        <w:rPr>
          <w:lang w:val="fr-FR"/>
        </w:rPr>
        <w:t xml:space="preserve"> du Fonds multilatéral pour 2020–2022 </w:t>
      </w:r>
      <w:r w:rsidR="00AE75A8" w:rsidRPr="0010404B">
        <w:rPr>
          <w:lang w:val="fr-FR"/>
        </w:rPr>
        <w:t>et co</w:t>
      </w:r>
      <w:r w:rsidR="00F86CA7">
        <w:rPr>
          <w:lang w:val="fr-FR"/>
        </w:rPr>
        <w:t>ntient</w:t>
      </w:r>
      <w:r w:rsidR="00AE75A8" w:rsidRPr="0010404B">
        <w:rPr>
          <w:lang w:val="fr-FR"/>
        </w:rPr>
        <w:t xml:space="preserve"> les plans d’activités pour 2020–2022 des agences bilatérales</w:t>
      </w:r>
      <w:r w:rsidR="00AE75A8" w:rsidRPr="0010404B">
        <w:rPr>
          <w:rStyle w:val="FootnoteReference"/>
          <w:lang w:val="fr-FR"/>
        </w:rPr>
        <w:footnoteReference w:id="2"/>
      </w:r>
      <w:r w:rsidR="00F86CA7">
        <w:rPr>
          <w:lang w:val="fr-FR"/>
        </w:rPr>
        <w:t>,</w:t>
      </w:r>
      <w:r w:rsidR="00AE75A8" w:rsidRPr="0010404B">
        <w:rPr>
          <w:lang w:val="fr-FR"/>
        </w:rPr>
        <w:t xml:space="preserve"> du PNUD</w:t>
      </w:r>
      <w:r w:rsidR="00AE75A8" w:rsidRPr="0010404B">
        <w:rPr>
          <w:rStyle w:val="FootnoteReference"/>
          <w:lang w:val="fr-FR"/>
        </w:rPr>
        <w:footnoteReference w:id="3"/>
      </w:r>
      <w:r w:rsidRPr="0010404B">
        <w:rPr>
          <w:lang w:val="fr-FR"/>
        </w:rPr>
        <w:t xml:space="preserve">, </w:t>
      </w:r>
      <w:r w:rsidR="00AE75A8" w:rsidRPr="0010404B">
        <w:rPr>
          <w:lang w:val="fr-FR"/>
        </w:rPr>
        <w:t>du PNU</w:t>
      </w:r>
      <w:r w:rsidRPr="0010404B">
        <w:rPr>
          <w:lang w:val="fr-FR"/>
        </w:rPr>
        <w:t>E</w:t>
      </w:r>
      <w:r w:rsidRPr="0010404B">
        <w:rPr>
          <w:rStyle w:val="FootnoteReference"/>
          <w:lang w:val="fr-FR"/>
        </w:rPr>
        <w:footnoteReference w:id="4"/>
      </w:r>
      <w:r w:rsidRPr="0010404B">
        <w:rPr>
          <w:lang w:val="fr-FR"/>
        </w:rPr>
        <w:t xml:space="preserve">, </w:t>
      </w:r>
      <w:r w:rsidR="00AE75A8" w:rsidRPr="0010404B">
        <w:rPr>
          <w:lang w:val="fr-FR"/>
        </w:rPr>
        <w:t>de l’ONUDI</w:t>
      </w:r>
      <w:r w:rsidRPr="0010404B">
        <w:rPr>
          <w:rStyle w:val="FootnoteReference"/>
          <w:lang w:val="fr-FR"/>
        </w:rPr>
        <w:footnoteReference w:id="5"/>
      </w:r>
      <w:r w:rsidRPr="0010404B">
        <w:rPr>
          <w:lang w:val="fr-FR"/>
        </w:rPr>
        <w:t xml:space="preserve"> </w:t>
      </w:r>
      <w:r w:rsidR="00AE75A8" w:rsidRPr="0010404B">
        <w:rPr>
          <w:lang w:val="fr-FR"/>
        </w:rPr>
        <w:t>et de la Banque  mondiale</w:t>
      </w:r>
      <w:r w:rsidRPr="0010404B">
        <w:rPr>
          <w:rStyle w:val="FootnoteReference"/>
          <w:lang w:val="fr-FR"/>
        </w:rPr>
        <w:footnoteReference w:id="6"/>
      </w:r>
      <w:r w:rsidR="00AE75A8" w:rsidRPr="0010404B">
        <w:rPr>
          <w:lang w:val="fr-FR"/>
        </w:rPr>
        <w:t xml:space="preserve"> soumis à la 8</w:t>
      </w:r>
      <w:r w:rsidR="00F86CA7">
        <w:rPr>
          <w:lang w:val="fr-FR"/>
        </w:rPr>
        <w:t>4</w:t>
      </w:r>
      <w:r w:rsidR="00F86CA7" w:rsidRPr="00F86CA7">
        <w:rPr>
          <w:vertAlign w:val="superscript"/>
          <w:lang w:val="fr-FR"/>
        </w:rPr>
        <w:t>e</w:t>
      </w:r>
      <w:r w:rsidR="00AE75A8" w:rsidRPr="0010404B">
        <w:rPr>
          <w:lang w:val="fr-FR"/>
        </w:rPr>
        <w:t xml:space="preserve"> réunion</w:t>
      </w:r>
      <w:r w:rsidRPr="0010404B">
        <w:rPr>
          <w:lang w:val="fr-FR"/>
        </w:rPr>
        <w:t xml:space="preserve">. </w:t>
      </w:r>
    </w:p>
    <w:p w14:paraId="599134D8" w14:textId="57E50EFA" w:rsidR="00D6532D" w:rsidRPr="0010404B" w:rsidRDefault="00AE75A8" w:rsidP="00D6532D">
      <w:pPr>
        <w:pStyle w:val="Heading1"/>
        <w:rPr>
          <w:lang w:val="fr-FR"/>
        </w:rPr>
      </w:pPr>
      <w:r w:rsidRPr="0010404B">
        <w:rPr>
          <w:lang w:val="fr-FR"/>
        </w:rPr>
        <w:t>Ce</w:t>
      </w:r>
      <w:r w:rsidR="00D6532D" w:rsidRPr="0010404B">
        <w:rPr>
          <w:lang w:val="fr-FR"/>
        </w:rPr>
        <w:t xml:space="preserve"> document co</w:t>
      </w:r>
      <w:r w:rsidRPr="0010404B">
        <w:rPr>
          <w:lang w:val="fr-FR"/>
        </w:rPr>
        <w:t xml:space="preserve">mprend les </w:t>
      </w:r>
      <w:r w:rsidR="00D6532D" w:rsidRPr="0010404B">
        <w:rPr>
          <w:lang w:val="fr-FR"/>
        </w:rPr>
        <w:t>sections</w:t>
      </w:r>
      <w:r w:rsidRPr="0010404B">
        <w:rPr>
          <w:lang w:val="fr-FR"/>
        </w:rPr>
        <w:t xml:space="preserve"> suivantes </w:t>
      </w:r>
      <w:r w:rsidR="00D6532D" w:rsidRPr="0010404B">
        <w:rPr>
          <w:lang w:val="fr-FR"/>
        </w:rPr>
        <w:t>:</w:t>
      </w:r>
    </w:p>
    <w:p w14:paraId="32A527B3" w14:textId="29D0E558" w:rsidR="00D6532D" w:rsidRPr="0010404B" w:rsidRDefault="00AE75A8" w:rsidP="00D6532D">
      <w:pPr>
        <w:pStyle w:val="ListParagraph"/>
        <w:numPr>
          <w:ilvl w:val="0"/>
          <w:numId w:val="23"/>
        </w:numPr>
        <w:rPr>
          <w:lang w:val="fr-FR"/>
        </w:rPr>
      </w:pPr>
      <w:r w:rsidRPr="0010404B">
        <w:rPr>
          <w:lang w:val="fr-FR"/>
        </w:rPr>
        <w:t>Affectation des r</w:t>
      </w:r>
      <w:r w:rsidR="00D6532D" w:rsidRPr="0010404B">
        <w:rPr>
          <w:lang w:val="fr-FR"/>
        </w:rPr>
        <w:t>es</w:t>
      </w:r>
      <w:r w:rsidRPr="0010404B">
        <w:rPr>
          <w:lang w:val="fr-FR"/>
        </w:rPr>
        <w:t>s</w:t>
      </w:r>
      <w:r w:rsidR="00D6532D" w:rsidRPr="0010404B">
        <w:rPr>
          <w:lang w:val="fr-FR"/>
        </w:rPr>
        <w:t>ource</w:t>
      </w:r>
      <w:r w:rsidRPr="0010404B">
        <w:rPr>
          <w:lang w:val="fr-FR"/>
        </w:rPr>
        <w:t>s dans le plan d’activités pour</w:t>
      </w:r>
      <w:r w:rsidR="00D6532D" w:rsidRPr="0010404B">
        <w:rPr>
          <w:lang w:val="fr-FR"/>
        </w:rPr>
        <w:t xml:space="preserve"> 2020–2022</w:t>
      </w:r>
    </w:p>
    <w:p w14:paraId="04F0C0B8" w14:textId="786BC2D6" w:rsidR="00D6532D" w:rsidRPr="0010404B" w:rsidRDefault="00AE75A8" w:rsidP="00D6532D">
      <w:pPr>
        <w:pStyle w:val="ListParagraph"/>
        <w:numPr>
          <w:ilvl w:val="0"/>
          <w:numId w:val="23"/>
        </w:numPr>
        <w:rPr>
          <w:lang w:val="fr-FR"/>
        </w:rPr>
      </w:pPr>
      <w:r w:rsidRPr="0010404B">
        <w:rPr>
          <w:lang w:val="fr-FR"/>
        </w:rPr>
        <w:t xml:space="preserve">Observations du </w:t>
      </w:r>
      <w:r w:rsidR="00E91DB9" w:rsidRPr="0010404B">
        <w:rPr>
          <w:lang w:val="fr-FR"/>
        </w:rPr>
        <w:t>Secrétariat</w:t>
      </w:r>
      <w:r w:rsidR="00D6532D" w:rsidRPr="0010404B">
        <w:rPr>
          <w:lang w:val="fr-FR"/>
        </w:rPr>
        <w:t xml:space="preserve"> </w:t>
      </w:r>
    </w:p>
    <w:p w14:paraId="231DF949" w14:textId="2C76B817" w:rsidR="00D6532D" w:rsidRPr="0010404B" w:rsidRDefault="008369B7" w:rsidP="00D6532D">
      <w:pPr>
        <w:pStyle w:val="ListParagraph"/>
        <w:numPr>
          <w:ilvl w:val="0"/>
          <w:numId w:val="23"/>
        </w:numPr>
        <w:rPr>
          <w:lang w:val="fr-FR"/>
        </w:rPr>
      </w:pPr>
      <w:r>
        <w:rPr>
          <w:lang w:val="fr-FR"/>
        </w:rPr>
        <w:t xml:space="preserve">Modifications </w:t>
      </w:r>
      <w:r w:rsidR="00AE75A8" w:rsidRPr="0010404B">
        <w:rPr>
          <w:lang w:val="fr-FR"/>
        </w:rPr>
        <w:t>apporté</w:t>
      </w:r>
      <w:r>
        <w:rPr>
          <w:lang w:val="fr-FR"/>
        </w:rPr>
        <w:t>e</w:t>
      </w:r>
      <w:r w:rsidR="00AE75A8" w:rsidRPr="0010404B">
        <w:rPr>
          <w:lang w:val="fr-FR"/>
        </w:rPr>
        <w:t xml:space="preserve">s au plan d’activités général du Fonds multilatéral pour </w:t>
      </w:r>
      <w:r w:rsidR="00D6532D" w:rsidRPr="0010404B">
        <w:rPr>
          <w:lang w:val="fr-FR"/>
        </w:rPr>
        <w:t>2020–2022</w:t>
      </w:r>
    </w:p>
    <w:p w14:paraId="4FF11FF7" w14:textId="739CA1F2" w:rsidR="00D6532D" w:rsidRPr="0010404B" w:rsidRDefault="00D81678" w:rsidP="00D6532D">
      <w:pPr>
        <w:pStyle w:val="ListParagraph"/>
        <w:numPr>
          <w:ilvl w:val="0"/>
          <w:numId w:val="23"/>
        </w:numPr>
        <w:rPr>
          <w:lang w:val="fr-FR"/>
        </w:rPr>
      </w:pPr>
      <w:r w:rsidRPr="0010404B">
        <w:rPr>
          <w:lang w:val="fr-FR"/>
        </w:rPr>
        <w:t>Autres questions d’orientation</w:t>
      </w:r>
    </w:p>
    <w:p w14:paraId="70641447" w14:textId="502378E5" w:rsidR="00D6532D" w:rsidRPr="0010404B" w:rsidRDefault="00D81678" w:rsidP="00D6532D">
      <w:pPr>
        <w:pStyle w:val="ListParagraph"/>
        <w:numPr>
          <w:ilvl w:val="0"/>
          <w:numId w:val="23"/>
        </w:numPr>
        <w:rPr>
          <w:lang w:val="fr-FR"/>
        </w:rPr>
      </w:pPr>
      <w:r w:rsidRPr="0010404B">
        <w:rPr>
          <w:lang w:val="fr-FR"/>
        </w:rPr>
        <w:t>Recomma</w:t>
      </w:r>
      <w:r w:rsidR="00D6532D" w:rsidRPr="0010404B">
        <w:rPr>
          <w:lang w:val="fr-FR"/>
        </w:rPr>
        <w:t xml:space="preserve">ndation </w:t>
      </w:r>
    </w:p>
    <w:p w14:paraId="4A6AE7EC" w14:textId="77777777" w:rsidR="00D6532D" w:rsidRPr="0010404B" w:rsidRDefault="00D6532D" w:rsidP="00D6532D">
      <w:pPr>
        <w:ind w:left="720"/>
        <w:rPr>
          <w:lang w:val="fr-FR"/>
        </w:rPr>
      </w:pPr>
    </w:p>
    <w:p w14:paraId="02501398" w14:textId="32D6F0C0" w:rsidR="00D6532D" w:rsidRPr="0010404B" w:rsidRDefault="00D81678" w:rsidP="00D6532D">
      <w:pPr>
        <w:rPr>
          <w:b/>
          <w:lang w:val="fr-FR"/>
        </w:rPr>
      </w:pPr>
      <w:r w:rsidRPr="0010404B">
        <w:rPr>
          <w:b/>
          <w:lang w:val="fr-FR"/>
        </w:rPr>
        <w:t>Affectation des res</w:t>
      </w:r>
      <w:r w:rsidR="00D6532D" w:rsidRPr="0010404B">
        <w:rPr>
          <w:b/>
          <w:lang w:val="fr-FR"/>
        </w:rPr>
        <w:t>source</w:t>
      </w:r>
      <w:r w:rsidRPr="0010404B">
        <w:rPr>
          <w:b/>
          <w:lang w:val="fr-FR"/>
        </w:rPr>
        <w:t xml:space="preserve">s dans le plan d’activités pour </w:t>
      </w:r>
      <w:r w:rsidR="00D6532D" w:rsidRPr="0010404B">
        <w:rPr>
          <w:b/>
          <w:lang w:val="fr-FR"/>
        </w:rPr>
        <w:t>2020–2022</w:t>
      </w:r>
    </w:p>
    <w:p w14:paraId="550C4CF0" w14:textId="77777777" w:rsidR="00D6532D" w:rsidRPr="0010404B" w:rsidRDefault="00D6532D" w:rsidP="00D6532D">
      <w:pPr>
        <w:rPr>
          <w:lang w:val="fr-FR"/>
        </w:rPr>
      </w:pPr>
    </w:p>
    <w:p w14:paraId="53F07F29" w14:textId="69C3FF1F" w:rsidR="00D6532D" w:rsidRPr="0010404B" w:rsidRDefault="00D81678" w:rsidP="00D6532D">
      <w:pPr>
        <w:pStyle w:val="Heading1"/>
        <w:rPr>
          <w:lang w:val="fr-FR"/>
        </w:rPr>
      </w:pPr>
      <w:r w:rsidRPr="0010404B">
        <w:rPr>
          <w:lang w:val="fr-FR"/>
        </w:rPr>
        <w:t xml:space="preserve">Le </w:t>
      </w:r>
      <w:r w:rsidR="00D6532D" w:rsidRPr="0010404B">
        <w:rPr>
          <w:lang w:val="fr-FR"/>
        </w:rPr>
        <w:t>Table</w:t>
      </w:r>
      <w:r w:rsidRPr="0010404B">
        <w:rPr>
          <w:lang w:val="fr-FR"/>
        </w:rPr>
        <w:t>au 3 présente</w:t>
      </w:r>
      <w:r w:rsidR="00D6532D" w:rsidRPr="0010404B">
        <w:rPr>
          <w:lang w:val="fr-FR"/>
        </w:rPr>
        <w:t xml:space="preserve">, </w:t>
      </w:r>
      <w:r w:rsidR="00F86CA7">
        <w:rPr>
          <w:lang w:val="fr-FR"/>
        </w:rPr>
        <w:t>pour chaque</w:t>
      </w:r>
      <w:r w:rsidRPr="0010404B">
        <w:rPr>
          <w:lang w:val="fr-FR"/>
        </w:rPr>
        <w:t xml:space="preserve"> année</w:t>
      </w:r>
      <w:r w:rsidR="00D6532D" w:rsidRPr="0010404B">
        <w:rPr>
          <w:lang w:val="fr-FR"/>
        </w:rPr>
        <w:t xml:space="preserve">, </w:t>
      </w:r>
      <w:r w:rsidRPr="0010404B">
        <w:rPr>
          <w:lang w:val="fr-FR"/>
        </w:rPr>
        <w:t xml:space="preserve">la valeur des activités incluses dans le plan d’activités pour </w:t>
      </w:r>
      <w:r w:rsidR="00D6532D" w:rsidRPr="0010404B">
        <w:rPr>
          <w:lang w:val="fr-FR"/>
        </w:rPr>
        <w:t xml:space="preserve">2020–2022. </w:t>
      </w:r>
      <w:r w:rsidRPr="0010404B">
        <w:rPr>
          <w:lang w:val="fr-FR"/>
        </w:rPr>
        <w:t xml:space="preserve">Ces valeurs dépassent le budget </w:t>
      </w:r>
      <w:r w:rsidR="00CC6DE0">
        <w:rPr>
          <w:lang w:val="fr-FR"/>
        </w:rPr>
        <w:t>indicatif</w:t>
      </w:r>
      <w:r w:rsidRPr="0010404B">
        <w:rPr>
          <w:lang w:val="fr-FR"/>
        </w:rPr>
        <w:t xml:space="preserve"> de 43,</w:t>
      </w:r>
      <w:r w:rsidR="00D6532D" w:rsidRPr="0010404B">
        <w:rPr>
          <w:lang w:val="fr-FR"/>
        </w:rPr>
        <w:t>74 million</w:t>
      </w:r>
      <w:r w:rsidRPr="0010404B">
        <w:rPr>
          <w:lang w:val="fr-FR"/>
        </w:rPr>
        <w:t>s $US</w:t>
      </w:r>
      <w:r w:rsidR="00D6532D" w:rsidRPr="0010404B">
        <w:rPr>
          <w:lang w:val="fr-FR"/>
        </w:rPr>
        <w:t xml:space="preserve"> (</w:t>
      </w:r>
      <w:r w:rsidRPr="0010404B">
        <w:rPr>
          <w:lang w:val="fr-FR"/>
        </w:rPr>
        <w:t>soit 8,2 pour cent du budget indicat</w:t>
      </w:r>
      <w:r w:rsidR="00D6532D" w:rsidRPr="0010404B">
        <w:rPr>
          <w:lang w:val="fr-FR"/>
        </w:rPr>
        <w:t>i</w:t>
      </w:r>
      <w:r w:rsidRPr="0010404B">
        <w:rPr>
          <w:lang w:val="fr-FR"/>
        </w:rPr>
        <w:t>f).</w:t>
      </w:r>
    </w:p>
    <w:p w14:paraId="1FFE5236" w14:textId="6A194EAE" w:rsidR="00D81678" w:rsidRPr="0010404B" w:rsidRDefault="00D6532D" w:rsidP="00D6532D">
      <w:pPr>
        <w:rPr>
          <w:b/>
          <w:lang w:val="fr-FR"/>
        </w:rPr>
      </w:pPr>
      <w:r w:rsidRPr="0010404B">
        <w:rPr>
          <w:b/>
          <w:lang w:val="fr-FR"/>
        </w:rPr>
        <w:t>Table</w:t>
      </w:r>
      <w:r w:rsidR="00D81678" w:rsidRPr="0010404B">
        <w:rPr>
          <w:b/>
          <w:lang w:val="fr-FR"/>
        </w:rPr>
        <w:t>au</w:t>
      </w:r>
      <w:r w:rsidRPr="0010404B">
        <w:rPr>
          <w:b/>
          <w:lang w:val="fr-FR"/>
        </w:rPr>
        <w:t xml:space="preserve"> 3. </w:t>
      </w:r>
      <w:r w:rsidR="00D81678" w:rsidRPr="0010404B">
        <w:rPr>
          <w:b/>
          <w:lang w:val="fr-FR"/>
        </w:rPr>
        <w:t>Affectation des r</w:t>
      </w:r>
      <w:r w:rsidRPr="0010404B">
        <w:rPr>
          <w:b/>
          <w:lang w:val="fr-FR"/>
        </w:rPr>
        <w:t>es</w:t>
      </w:r>
      <w:r w:rsidR="00D81678" w:rsidRPr="0010404B">
        <w:rPr>
          <w:b/>
          <w:lang w:val="fr-FR"/>
        </w:rPr>
        <w:t>s</w:t>
      </w:r>
      <w:r w:rsidRPr="0010404B">
        <w:rPr>
          <w:b/>
          <w:lang w:val="fr-FR"/>
        </w:rPr>
        <w:t>ource</w:t>
      </w:r>
      <w:r w:rsidR="00D81678" w:rsidRPr="0010404B">
        <w:rPr>
          <w:b/>
          <w:lang w:val="fr-FR"/>
        </w:rPr>
        <w:t>s</w:t>
      </w:r>
      <w:r w:rsidRPr="0010404B">
        <w:rPr>
          <w:b/>
          <w:lang w:val="fr-FR"/>
        </w:rPr>
        <w:t xml:space="preserve"> </w:t>
      </w:r>
      <w:r w:rsidR="00D81678" w:rsidRPr="0010404B">
        <w:rPr>
          <w:b/>
          <w:lang w:val="fr-FR"/>
        </w:rPr>
        <w:t>d</w:t>
      </w:r>
      <w:r w:rsidRPr="0010404B">
        <w:rPr>
          <w:b/>
          <w:lang w:val="fr-FR"/>
        </w:rPr>
        <w:t>a</w:t>
      </w:r>
      <w:r w:rsidR="00D81678" w:rsidRPr="0010404B">
        <w:rPr>
          <w:b/>
          <w:lang w:val="fr-FR"/>
        </w:rPr>
        <w:t xml:space="preserve">ns le plan d’activités pour </w:t>
      </w:r>
      <w:r w:rsidRPr="0010404B">
        <w:rPr>
          <w:b/>
          <w:lang w:val="fr-FR"/>
        </w:rPr>
        <w:t>2020–2022</w:t>
      </w:r>
      <w:r w:rsidR="00D81678" w:rsidRPr="0010404B">
        <w:rPr>
          <w:b/>
          <w:lang w:val="fr-FR"/>
        </w:rPr>
        <w:t>,</w:t>
      </w:r>
      <w:r w:rsidRPr="0010404B">
        <w:rPr>
          <w:b/>
          <w:lang w:val="fr-FR"/>
        </w:rPr>
        <w:t xml:space="preserve"> </w:t>
      </w:r>
      <w:r w:rsidR="00C76B85">
        <w:rPr>
          <w:b/>
          <w:lang w:val="fr-FR"/>
        </w:rPr>
        <w:t>tel que soumis</w:t>
      </w:r>
    </w:p>
    <w:p w14:paraId="4C4B2EEC" w14:textId="7AA494DD" w:rsidR="00D6532D" w:rsidRPr="0010404B" w:rsidRDefault="00D81678" w:rsidP="00D6532D">
      <w:pPr>
        <w:rPr>
          <w:b/>
          <w:lang w:val="fr-FR"/>
        </w:rPr>
      </w:pPr>
      <w:r w:rsidRPr="0010404B">
        <w:rPr>
          <w:b/>
          <w:lang w:val="fr-FR"/>
        </w:rPr>
        <w:t>(</w:t>
      </w:r>
      <w:r w:rsidR="00D6532D" w:rsidRPr="0010404B">
        <w:rPr>
          <w:b/>
          <w:lang w:val="fr-FR"/>
        </w:rPr>
        <w:t>000</w:t>
      </w:r>
      <w:r w:rsidRPr="0010404B">
        <w:rPr>
          <w:b/>
          <w:lang w:val="fr-FR"/>
        </w:rPr>
        <w:t xml:space="preserve"> $US</w:t>
      </w:r>
      <w:r w:rsidR="00D6532D" w:rsidRPr="0010404B">
        <w:rPr>
          <w:b/>
          <w:lang w:val="fr-FR"/>
        </w:rPr>
        <w:t>)*</w:t>
      </w: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1134"/>
        <w:gridCol w:w="1276"/>
        <w:gridCol w:w="1134"/>
        <w:gridCol w:w="1417"/>
        <w:gridCol w:w="1276"/>
      </w:tblGrid>
      <w:tr w:rsidR="00D6532D" w:rsidRPr="0010404B" w14:paraId="5461DAFB" w14:textId="77777777" w:rsidTr="00C76B85">
        <w:trPr>
          <w:trHeight w:val="276"/>
          <w:tblHeader/>
        </w:trPr>
        <w:tc>
          <w:tcPr>
            <w:tcW w:w="3001" w:type="dxa"/>
            <w:shd w:val="clear" w:color="auto" w:fill="auto"/>
            <w:noWrap/>
            <w:hideMark/>
          </w:tcPr>
          <w:p w14:paraId="7B53E434" w14:textId="3634A8A1" w:rsidR="00D6532D" w:rsidRPr="0010404B" w:rsidRDefault="00F86CA7" w:rsidP="00D6532D">
            <w:pPr>
              <w:jc w:val="left"/>
              <w:rPr>
                <w:b/>
                <w:bCs/>
                <w:sz w:val="20"/>
                <w:szCs w:val="20"/>
                <w:lang w:val="fr-FR" w:eastAsia="en-CA"/>
              </w:rPr>
            </w:pPr>
            <w:r>
              <w:rPr>
                <w:b/>
                <w:bCs/>
                <w:sz w:val="20"/>
                <w:szCs w:val="20"/>
                <w:lang w:val="fr-FR" w:eastAsia="en-CA"/>
              </w:rPr>
              <w:t>Poste</w:t>
            </w:r>
          </w:p>
        </w:tc>
        <w:tc>
          <w:tcPr>
            <w:tcW w:w="1134" w:type="dxa"/>
            <w:shd w:val="clear" w:color="auto" w:fill="auto"/>
            <w:noWrap/>
            <w:hideMark/>
          </w:tcPr>
          <w:p w14:paraId="5C66A23D" w14:textId="77777777" w:rsidR="00D6532D" w:rsidRPr="0010404B" w:rsidRDefault="00D6532D" w:rsidP="00D6532D">
            <w:pPr>
              <w:jc w:val="center"/>
              <w:rPr>
                <w:b/>
                <w:bCs/>
                <w:sz w:val="20"/>
                <w:szCs w:val="20"/>
                <w:lang w:val="fr-FR" w:eastAsia="en-CA"/>
              </w:rPr>
            </w:pPr>
            <w:r w:rsidRPr="0010404B">
              <w:rPr>
                <w:b/>
                <w:bCs/>
                <w:sz w:val="20"/>
                <w:szCs w:val="20"/>
                <w:lang w:val="fr-FR" w:eastAsia="en-CA"/>
              </w:rPr>
              <w:t>2020</w:t>
            </w:r>
          </w:p>
        </w:tc>
        <w:tc>
          <w:tcPr>
            <w:tcW w:w="1276" w:type="dxa"/>
            <w:shd w:val="clear" w:color="auto" w:fill="auto"/>
            <w:noWrap/>
            <w:hideMark/>
          </w:tcPr>
          <w:p w14:paraId="686AE808" w14:textId="77777777" w:rsidR="00D6532D" w:rsidRPr="0010404B" w:rsidRDefault="00D6532D" w:rsidP="00D6532D">
            <w:pPr>
              <w:jc w:val="center"/>
              <w:rPr>
                <w:b/>
                <w:bCs/>
                <w:sz w:val="20"/>
                <w:szCs w:val="20"/>
                <w:lang w:val="fr-FR" w:eastAsia="en-CA"/>
              </w:rPr>
            </w:pPr>
            <w:r w:rsidRPr="0010404B">
              <w:rPr>
                <w:b/>
                <w:bCs/>
                <w:sz w:val="20"/>
                <w:szCs w:val="20"/>
                <w:lang w:val="fr-FR" w:eastAsia="en-CA"/>
              </w:rPr>
              <w:t>2021</w:t>
            </w:r>
          </w:p>
        </w:tc>
        <w:tc>
          <w:tcPr>
            <w:tcW w:w="1134" w:type="dxa"/>
            <w:shd w:val="clear" w:color="auto" w:fill="auto"/>
            <w:noWrap/>
            <w:hideMark/>
          </w:tcPr>
          <w:p w14:paraId="68546DFE" w14:textId="77777777" w:rsidR="00D6532D" w:rsidRPr="0010404B" w:rsidRDefault="00D6532D" w:rsidP="00D6532D">
            <w:pPr>
              <w:jc w:val="center"/>
              <w:rPr>
                <w:b/>
                <w:bCs/>
                <w:sz w:val="20"/>
                <w:szCs w:val="20"/>
                <w:lang w:val="fr-FR" w:eastAsia="en-CA"/>
              </w:rPr>
            </w:pPr>
            <w:r w:rsidRPr="0010404B">
              <w:rPr>
                <w:b/>
                <w:bCs/>
                <w:sz w:val="20"/>
                <w:szCs w:val="20"/>
                <w:lang w:val="fr-FR" w:eastAsia="en-CA"/>
              </w:rPr>
              <w:t>2022</w:t>
            </w:r>
          </w:p>
        </w:tc>
        <w:tc>
          <w:tcPr>
            <w:tcW w:w="1417" w:type="dxa"/>
            <w:shd w:val="clear" w:color="auto" w:fill="auto"/>
            <w:noWrap/>
            <w:hideMark/>
          </w:tcPr>
          <w:p w14:paraId="0A0CA97B" w14:textId="77777777" w:rsidR="00D6532D" w:rsidRPr="0010404B" w:rsidRDefault="00D6532D" w:rsidP="00D6532D">
            <w:pPr>
              <w:jc w:val="center"/>
              <w:rPr>
                <w:b/>
                <w:bCs/>
                <w:sz w:val="20"/>
                <w:szCs w:val="20"/>
                <w:lang w:val="fr-FR" w:eastAsia="en-CA"/>
              </w:rPr>
            </w:pPr>
            <w:r w:rsidRPr="0010404B">
              <w:rPr>
                <w:b/>
                <w:bCs/>
                <w:sz w:val="20"/>
                <w:szCs w:val="20"/>
                <w:lang w:val="fr-FR" w:eastAsia="en-CA"/>
              </w:rPr>
              <w:t xml:space="preserve">Total </w:t>
            </w:r>
          </w:p>
          <w:p w14:paraId="22CE7EFF" w14:textId="77777777" w:rsidR="00D6532D" w:rsidRPr="0010404B" w:rsidRDefault="00D6532D" w:rsidP="00D6532D">
            <w:pPr>
              <w:jc w:val="center"/>
              <w:rPr>
                <w:b/>
                <w:bCs/>
                <w:sz w:val="20"/>
                <w:szCs w:val="20"/>
                <w:lang w:val="fr-FR" w:eastAsia="en-CA"/>
              </w:rPr>
            </w:pPr>
            <w:r w:rsidRPr="0010404B">
              <w:rPr>
                <w:b/>
                <w:bCs/>
                <w:sz w:val="20"/>
                <w:szCs w:val="20"/>
                <w:lang w:val="fr-FR" w:eastAsia="en-CA"/>
              </w:rPr>
              <w:t>(2020–2022)</w:t>
            </w:r>
          </w:p>
        </w:tc>
        <w:tc>
          <w:tcPr>
            <w:tcW w:w="1276" w:type="dxa"/>
            <w:shd w:val="clear" w:color="auto" w:fill="auto"/>
            <w:noWrap/>
            <w:hideMark/>
          </w:tcPr>
          <w:p w14:paraId="66EAAFA9" w14:textId="4EFB647D" w:rsidR="00D6532D" w:rsidRPr="0010404B" w:rsidRDefault="00D6532D" w:rsidP="00D6532D">
            <w:pPr>
              <w:jc w:val="center"/>
              <w:rPr>
                <w:b/>
                <w:bCs/>
                <w:sz w:val="20"/>
                <w:szCs w:val="20"/>
                <w:lang w:val="fr-FR" w:eastAsia="en-CA"/>
              </w:rPr>
            </w:pPr>
            <w:r w:rsidRPr="0010404B">
              <w:rPr>
                <w:b/>
                <w:bCs/>
                <w:sz w:val="20"/>
                <w:szCs w:val="20"/>
                <w:lang w:val="fr-FR" w:eastAsia="en-CA"/>
              </w:rPr>
              <w:t>Total a</w:t>
            </w:r>
            <w:r w:rsidR="003C0E89" w:rsidRPr="0010404B">
              <w:rPr>
                <w:b/>
                <w:bCs/>
                <w:sz w:val="20"/>
                <w:szCs w:val="20"/>
                <w:lang w:val="fr-FR" w:eastAsia="en-CA"/>
              </w:rPr>
              <w:t>près</w:t>
            </w:r>
            <w:r w:rsidRPr="0010404B">
              <w:rPr>
                <w:b/>
                <w:bCs/>
                <w:sz w:val="20"/>
                <w:szCs w:val="20"/>
                <w:lang w:val="fr-FR" w:eastAsia="en-CA"/>
              </w:rPr>
              <w:t xml:space="preserve"> 2022</w:t>
            </w:r>
          </w:p>
        </w:tc>
      </w:tr>
      <w:tr w:rsidR="00D6532D" w:rsidRPr="0010404B" w14:paraId="227672F4" w14:textId="77777777" w:rsidTr="00C76B85">
        <w:trPr>
          <w:trHeight w:val="276"/>
        </w:trPr>
        <w:tc>
          <w:tcPr>
            <w:tcW w:w="9238" w:type="dxa"/>
            <w:gridSpan w:val="6"/>
            <w:shd w:val="clear" w:color="auto" w:fill="auto"/>
            <w:noWrap/>
            <w:hideMark/>
          </w:tcPr>
          <w:p w14:paraId="491AC14D" w14:textId="1D35E7F4" w:rsidR="00D6532D" w:rsidRPr="0010404B" w:rsidRDefault="00A026C9" w:rsidP="00D6532D">
            <w:pPr>
              <w:jc w:val="left"/>
              <w:rPr>
                <w:b/>
                <w:bCs/>
                <w:sz w:val="20"/>
                <w:szCs w:val="20"/>
                <w:lang w:val="fr-FR" w:eastAsia="en-CA"/>
              </w:rPr>
            </w:pPr>
            <w:r w:rsidRPr="0010404B">
              <w:rPr>
                <w:b/>
                <w:bCs/>
                <w:sz w:val="20"/>
                <w:szCs w:val="20"/>
                <w:lang w:val="fr-FR" w:eastAsia="en-CA"/>
              </w:rPr>
              <w:t xml:space="preserve">Activités </w:t>
            </w:r>
            <w:r w:rsidR="00F86CA7">
              <w:rPr>
                <w:b/>
                <w:bCs/>
                <w:sz w:val="20"/>
                <w:szCs w:val="20"/>
                <w:lang w:val="fr-FR" w:eastAsia="en-CA"/>
              </w:rPr>
              <w:t>re</w:t>
            </w:r>
            <w:r w:rsidR="003C0E89" w:rsidRPr="0010404B">
              <w:rPr>
                <w:b/>
                <w:bCs/>
                <w:sz w:val="20"/>
                <w:szCs w:val="20"/>
                <w:lang w:val="fr-FR" w:eastAsia="en-CA"/>
              </w:rPr>
              <w:t>liées aux HCFC</w:t>
            </w:r>
          </w:p>
        </w:tc>
      </w:tr>
      <w:tr w:rsidR="00D6532D" w:rsidRPr="0010404B" w14:paraId="3914F7B2" w14:textId="77777777" w:rsidTr="00C76B85">
        <w:trPr>
          <w:trHeight w:val="276"/>
        </w:trPr>
        <w:tc>
          <w:tcPr>
            <w:tcW w:w="3001" w:type="dxa"/>
            <w:shd w:val="clear" w:color="auto" w:fill="auto"/>
            <w:noWrap/>
            <w:hideMark/>
          </w:tcPr>
          <w:p w14:paraId="3524B529" w14:textId="15167BAC" w:rsidR="00D6532D" w:rsidRPr="0010404B" w:rsidRDefault="003C0E89" w:rsidP="00D6532D">
            <w:pPr>
              <w:jc w:val="left"/>
              <w:rPr>
                <w:sz w:val="20"/>
                <w:szCs w:val="20"/>
                <w:lang w:val="fr-FR" w:eastAsia="en-CA"/>
              </w:rPr>
            </w:pPr>
            <w:r w:rsidRPr="0010404B">
              <w:rPr>
                <w:sz w:val="20"/>
                <w:szCs w:val="20"/>
                <w:lang w:val="fr-FR" w:eastAsia="en-CA"/>
              </w:rPr>
              <w:t>PGEH approuvés</w:t>
            </w:r>
          </w:p>
        </w:tc>
        <w:tc>
          <w:tcPr>
            <w:tcW w:w="1134" w:type="dxa"/>
            <w:shd w:val="clear" w:color="auto" w:fill="auto"/>
            <w:noWrap/>
            <w:hideMark/>
          </w:tcPr>
          <w:p w14:paraId="5C46BA6A" w14:textId="70C7B8EA" w:rsidR="00D6532D" w:rsidRPr="0010404B" w:rsidRDefault="003C0E89" w:rsidP="00D6532D">
            <w:pPr>
              <w:jc w:val="right"/>
              <w:rPr>
                <w:sz w:val="20"/>
                <w:szCs w:val="20"/>
                <w:lang w:val="fr-FR" w:eastAsia="en-CA"/>
              </w:rPr>
            </w:pPr>
            <w:r w:rsidRPr="0010404B">
              <w:rPr>
                <w:sz w:val="20"/>
                <w:szCs w:val="20"/>
                <w:lang w:val="fr-FR" w:eastAsia="en-CA"/>
              </w:rPr>
              <w:t xml:space="preserve">127 </w:t>
            </w:r>
            <w:r w:rsidR="00D6532D" w:rsidRPr="0010404B">
              <w:rPr>
                <w:sz w:val="20"/>
                <w:szCs w:val="20"/>
                <w:lang w:val="fr-FR" w:eastAsia="en-CA"/>
              </w:rPr>
              <w:t>430</w:t>
            </w:r>
          </w:p>
        </w:tc>
        <w:tc>
          <w:tcPr>
            <w:tcW w:w="1276" w:type="dxa"/>
            <w:shd w:val="clear" w:color="auto" w:fill="auto"/>
            <w:noWrap/>
            <w:hideMark/>
          </w:tcPr>
          <w:p w14:paraId="206A4A27" w14:textId="59264F67" w:rsidR="00D6532D" w:rsidRPr="0010404B" w:rsidRDefault="003C0E89" w:rsidP="00D6532D">
            <w:pPr>
              <w:jc w:val="right"/>
              <w:rPr>
                <w:sz w:val="20"/>
                <w:szCs w:val="20"/>
                <w:lang w:val="fr-FR" w:eastAsia="en-CA"/>
              </w:rPr>
            </w:pPr>
            <w:r w:rsidRPr="0010404B">
              <w:rPr>
                <w:sz w:val="20"/>
                <w:szCs w:val="20"/>
                <w:lang w:val="fr-FR" w:eastAsia="en-CA"/>
              </w:rPr>
              <w:t xml:space="preserve">94 </w:t>
            </w:r>
            <w:r w:rsidR="00D6532D" w:rsidRPr="0010404B">
              <w:rPr>
                <w:sz w:val="20"/>
                <w:szCs w:val="20"/>
                <w:lang w:val="fr-FR" w:eastAsia="en-CA"/>
              </w:rPr>
              <w:t>423</w:t>
            </w:r>
          </w:p>
        </w:tc>
        <w:tc>
          <w:tcPr>
            <w:tcW w:w="1134" w:type="dxa"/>
            <w:shd w:val="clear" w:color="auto" w:fill="auto"/>
            <w:noWrap/>
            <w:hideMark/>
          </w:tcPr>
          <w:p w14:paraId="28AB853F" w14:textId="25C1DAE0" w:rsidR="00D6532D" w:rsidRPr="0010404B" w:rsidRDefault="003C0E89" w:rsidP="00D6532D">
            <w:pPr>
              <w:jc w:val="right"/>
              <w:rPr>
                <w:sz w:val="20"/>
                <w:szCs w:val="20"/>
                <w:lang w:val="fr-FR" w:eastAsia="en-CA"/>
              </w:rPr>
            </w:pPr>
            <w:r w:rsidRPr="0010404B">
              <w:rPr>
                <w:sz w:val="20"/>
                <w:szCs w:val="20"/>
                <w:lang w:val="fr-FR" w:eastAsia="en-CA"/>
              </w:rPr>
              <w:t xml:space="preserve">95 </w:t>
            </w:r>
            <w:r w:rsidR="00D6532D" w:rsidRPr="0010404B">
              <w:rPr>
                <w:sz w:val="20"/>
                <w:szCs w:val="20"/>
                <w:lang w:val="fr-FR" w:eastAsia="en-CA"/>
              </w:rPr>
              <w:t>544</w:t>
            </w:r>
          </w:p>
        </w:tc>
        <w:tc>
          <w:tcPr>
            <w:tcW w:w="1417" w:type="dxa"/>
            <w:shd w:val="clear" w:color="auto" w:fill="auto"/>
            <w:noWrap/>
            <w:hideMark/>
          </w:tcPr>
          <w:p w14:paraId="57239BE0" w14:textId="72E57779" w:rsidR="00D6532D" w:rsidRPr="0010404B" w:rsidRDefault="003C0E89" w:rsidP="00D6532D">
            <w:pPr>
              <w:jc w:val="right"/>
              <w:rPr>
                <w:sz w:val="20"/>
                <w:szCs w:val="20"/>
                <w:lang w:val="fr-FR" w:eastAsia="en-CA"/>
              </w:rPr>
            </w:pPr>
            <w:r w:rsidRPr="0010404B">
              <w:rPr>
                <w:sz w:val="20"/>
                <w:szCs w:val="20"/>
                <w:lang w:val="fr-FR" w:eastAsia="en-CA"/>
              </w:rPr>
              <w:t xml:space="preserve">317 </w:t>
            </w:r>
            <w:r w:rsidR="00D6532D" w:rsidRPr="0010404B">
              <w:rPr>
                <w:sz w:val="20"/>
                <w:szCs w:val="20"/>
                <w:lang w:val="fr-FR" w:eastAsia="en-CA"/>
              </w:rPr>
              <w:t>397</w:t>
            </w:r>
          </w:p>
        </w:tc>
        <w:tc>
          <w:tcPr>
            <w:tcW w:w="1276" w:type="dxa"/>
            <w:shd w:val="clear" w:color="auto" w:fill="auto"/>
            <w:noWrap/>
            <w:hideMark/>
          </w:tcPr>
          <w:p w14:paraId="0C1FBFFD" w14:textId="7F42612E" w:rsidR="00D6532D" w:rsidRPr="0010404B" w:rsidRDefault="00CA4F11" w:rsidP="00D6532D">
            <w:pPr>
              <w:jc w:val="right"/>
              <w:rPr>
                <w:sz w:val="20"/>
                <w:szCs w:val="20"/>
                <w:lang w:val="fr-FR" w:eastAsia="en-CA"/>
              </w:rPr>
            </w:pPr>
            <w:r w:rsidRPr="0010404B">
              <w:rPr>
                <w:sz w:val="20"/>
                <w:szCs w:val="20"/>
                <w:lang w:val="fr-FR" w:eastAsia="en-CA"/>
              </w:rPr>
              <w:t xml:space="preserve">147 </w:t>
            </w:r>
            <w:r w:rsidR="00D6532D" w:rsidRPr="0010404B">
              <w:rPr>
                <w:sz w:val="20"/>
                <w:szCs w:val="20"/>
                <w:lang w:val="fr-FR" w:eastAsia="en-CA"/>
              </w:rPr>
              <w:t>714</w:t>
            </w:r>
          </w:p>
        </w:tc>
      </w:tr>
      <w:tr w:rsidR="00D6532D" w:rsidRPr="0010404B" w14:paraId="13CE3ED2" w14:textId="77777777" w:rsidTr="00C76B85">
        <w:trPr>
          <w:trHeight w:val="276"/>
        </w:trPr>
        <w:tc>
          <w:tcPr>
            <w:tcW w:w="3001" w:type="dxa"/>
            <w:shd w:val="clear" w:color="auto" w:fill="auto"/>
            <w:noWrap/>
            <w:hideMark/>
          </w:tcPr>
          <w:p w14:paraId="746F36A3" w14:textId="5E14A4CA" w:rsidR="00D6532D" w:rsidRPr="0010404B" w:rsidRDefault="003C0E89" w:rsidP="005D5B55">
            <w:pPr>
              <w:jc w:val="left"/>
              <w:rPr>
                <w:sz w:val="20"/>
                <w:szCs w:val="20"/>
                <w:lang w:val="fr-FR" w:eastAsia="en-CA"/>
              </w:rPr>
            </w:pPr>
            <w:r w:rsidRPr="0010404B">
              <w:rPr>
                <w:sz w:val="20"/>
                <w:szCs w:val="20"/>
                <w:lang w:val="fr-FR" w:eastAsia="en-CA"/>
              </w:rPr>
              <w:t xml:space="preserve">Préparation de projet </w:t>
            </w:r>
            <w:r w:rsidR="005D5B55">
              <w:rPr>
                <w:sz w:val="20"/>
                <w:szCs w:val="20"/>
                <w:lang w:val="fr-FR" w:eastAsia="en-CA"/>
              </w:rPr>
              <w:t>de</w:t>
            </w:r>
            <w:r w:rsidRPr="0010404B">
              <w:rPr>
                <w:sz w:val="20"/>
                <w:szCs w:val="20"/>
                <w:lang w:val="fr-FR" w:eastAsia="en-CA"/>
              </w:rPr>
              <w:t xml:space="preserve"> production de </w:t>
            </w:r>
            <w:r w:rsidR="00D6532D" w:rsidRPr="0010404B">
              <w:rPr>
                <w:sz w:val="20"/>
                <w:szCs w:val="20"/>
                <w:lang w:val="fr-FR" w:eastAsia="en-CA"/>
              </w:rPr>
              <w:t>HCF</w:t>
            </w:r>
            <w:r w:rsidRPr="0010404B">
              <w:rPr>
                <w:sz w:val="20"/>
                <w:szCs w:val="20"/>
                <w:lang w:val="fr-FR" w:eastAsia="en-CA"/>
              </w:rPr>
              <w:t>C (PRP) – phas</w:t>
            </w:r>
            <w:r w:rsidR="00D6532D" w:rsidRPr="0010404B">
              <w:rPr>
                <w:sz w:val="20"/>
                <w:szCs w:val="20"/>
                <w:lang w:val="fr-FR" w:eastAsia="en-CA"/>
              </w:rPr>
              <w:t>e I</w:t>
            </w:r>
          </w:p>
        </w:tc>
        <w:tc>
          <w:tcPr>
            <w:tcW w:w="1134" w:type="dxa"/>
            <w:shd w:val="clear" w:color="auto" w:fill="auto"/>
            <w:noWrap/>
            <w:hideMark/>
          </w:tcPr>
          <w:p w14:paraId="698FF649" w14:textId="77777777" w:rsidR="00D6532D" w:rsidRPr="0010404B" w:rsidRDefault="00D6532D" w:rsidP="00D6532D">
            <w:pPr>
              <w:jc w:val="right"/>
              <w:rPr>
                <w:sz w:val="20"/>
                <w:szCs w:val="20"/>
                <w:lang w:val="fr-FR" w:eastAsia="en-CA"/>
              </w:rPr>
            </w:pPr>
            <w:r w:rsidRPr="0010404B">
              <w:rPr>
                <w:sz w:val="20"/>
                <w:szCs w:val="20"/>
                <w:lang w:val="fr-FR" w:eastAsia="en-CA"/>
              </w:rPr>
              <w:t>80</w:t>
            </w:r>
          </w:p>
        </w:tc>
        <w:tc>
          <w:tcPr>
            <w:tcW w:w="1276" w:type="dxa"/>
            <w:shd w:val="clear" w:color="auto" w:fill="auto"/>
            <w:noWrap/>
            <w:hideMark/>
          </w:tcPr>
          <w:p w14:paraId="52E83E16"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134" w:type="dxa"/>
            <w:shd w:val="clear" w:color="auto" w:fill="auto"/>
            <w:noWrap/>
            <w:hideMark/>
          </w:tcPr>
          <w:p w14:paraId="32A2BD97"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417" w:type="dxa"/>
            <w:shd w:val="clear" w:color="auto" w:fill="auto"/>
            <w:noWrap/>
            <w:hideMark/>
          </w:tcPr>
          <w:p w14:paraId="28501D67" w14:textId="77777777" w:rsidR="00D6532D" w:rsidRPr="0010404B" w:rsidRDefault="00D6532D" w:rsidP="00D6532D">
            <w:pPr>
              <w:jc w:val="right"/>
              <w:rPr>
                <w:sz w:val="20"/>
                <w:szCs w:val="20"/>
                <w:lang w:val="fr-FR" w:eastAsia="en-CA"/>
              </w:rPr>
            </w:pPr>
            <w:r w:rsidRPr="0010404B">
              <w:rPr>
                <w:sz w:val="20"/>
                <w:szCs w:val="20"/>
                <w:lang w:val="fr-FR" w:eastAsia="en-CA"/>
              </w:rPr>
              <w:t>80</w:t>
            </w:r>
          </w:p>
        </w:tc>
        <w:tc>
          <w:tcPr>
            <w:tcW w:w="1276" w:type="dxa"/>
            <w:shd w:val="clear" w:color="auto" w:fill="auto"/>
            <w:noWrap/>
            <w:hideMark/>
          </w:tcPr>
          <w:p w14:paraId="2484C034"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1E785AA8" w14:textId="77777777" w:rsidTr="00C76B85">
        <w:trPr>
          <w:trHeight w:val="276"/>
        </w:trPr>
        <w:tc>
          <w:tcPr>
            <w:tcW w:w="3001" w:type="dxa"/>
            <w:shd w:val="clear" w:color="auto" w:fill="auto"/>
            <w:noWrap/>
            <w:hideMark/>
          </w:tcPr>
          <w:p w14:paraId="6A4CAD0B" w14:textId="7F8DA02F" w:rsidR="00D6532D" w:rsidRPr="0010404B" w:rsidRDefault="003C0E89" w:rsidP="00D6532D">
            <w:pPr>
              <w:jc w:val="left"/>
              <w:rPr>
                <w:sz w:val="20"/>
                <w:szCs w:val="20"/>
                <w:lang w:val="fr-FR" w:eastAsia="en-CA"/>
              </w:rPr>
            </w:pPr>
            <w:r w:rsidRPr="0010404B">
              <w:rPr>
                <w:sz w:val="20"/>
                <w:szCs w:val="20"/>
                <w:lang w:val="fr-FR" w:eastAsia="en-CA"/>
              </w:rPr>
              <w:t>Production de HCFC  – phas</w:t>
            </w:r>
            <w:r w:rsidR="00D6532D" w:rsidRPr="0010404B">
              <w:rPr>
                <w:sz w:val="20"/>
                <w:szCs w:val="20"/>
                <w:lang w:val="fr-FR" w:eastAsia="en-CA"/>
              </w:rPr>
              <w:t>e I</w:t>
            </w:r>
          </w:p>
        </w:tc>
        <w:tc>
          <w:tcPr>
            <w:tcW w:w="1134" w:type="dxa"/>
            <w:shd w:val="clear" w:color="auto" w:fill="auto"/>
            <w:noWrap/>
            <w:hideMark/>
          </w:tcPr>
          <w:p w14:paraId="1A976606"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276" w:type="dxa"/>
            <w:shd w:val="clear" w:color="auto" w:fill="auto"/>
            <w:noWrap/>
            <w:hideMark/>
          </w:tcPr>
          <w:p w14:paraId="3D31C4A7" w14:textId="617A4C0D" w:rsidR="00D6532D" w:rsidRPr="0010404B" w:rsidRDefault="003C0E89"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070</w:t>
            </w:r>
          </w:p>
        </w:tc>
        <w:tc>
          <w:tcPr>
            <w:tcW w:w="1134" w:type="dxa"/>
            <w:shd w:val="clear" w:color="auto" w:fill="auto"/>
            <w:noWrap/>
            <w:hideMark/>
          </w:tcPr>
          <w:p w14:paraId="395217A8" w14:textId="45DAD118" w:rsidR="00D6532D" w:rsidRPr="0010404B" w:rsidRDefault="003C0E89" w:rsidP="00D6532D">
            <w:pPr>
              <w:jc w:val="right"/>
              <w:rPr>
                <w:sz w:val="20"/>
                <w:szCs w:val="20"/>
                <w:lang w:val="fr-FR" w:eastAsia="en-CA"/>
              </w:rPr>
            </w:pPr>
            <w:r w:rsidRPr="0010404B">
              <w:rPr>
                <w:sz w:val="20"/>
                <w:szCs w:val="20"/>
                <w:lang w:val="fr-FR" w:eastAsia="en-CA"/>
              </w:rPr>
              <w:t xml:space="preserve">2 </w:t>
            </w:r>
            <w:r w:rsidR="00D6532D" w:rsidRPr="0010404B">
              <w:rPr>
                <w:sz w:val="20"/>
                <w:szCs w:val="20"/>
                <w:lang w:val="fr-FR" w:eastAsia="en-CA"/>
              </w:rPr>
              <w:t>140</w:t>
            </w:r>
          </w:p>
        </w:tc>
        <w:tc>
          <w:tcPr>
            <w:tcW w:w="1417" w:type="dxa"/>
            <w:shd w:val="clear" w:color="auto" w:fill="auto"/>
            <w:noWrap/>
            <w:hideMark/>
          </w:tcPr>
          <w:p w14:paraId="1D624B78" w14:textId="7B516CC6" w:rsidR="00D6532D" w:rsidRPr="0010404B" w:rsidRDefault="003C0E89" w:rsidP="00D6532D">
            <w:pPr>
              <w:jc w:val="right"/>
              <w:rPr>
                <w:sz w:val="20"/>
                <w:szCs w:val="20"/>
                <w:lang w:val="fr-FR" w:eastAsia="en-CA"/>
              </w:rPr>
            </w:pPr>
            <w:r w:rsidRPr="0010404B">
              <w:rPr>
                <w:sz w:val="20"/>
                <w:szCs w:val="20"/>
                <w:lang w:val="fr-FR" w:eastAsia="en-CA"/>
              </w:rPr>
              <w:t xml:space="preserve">3 </w:t>
            </w:r>
            <w:r w:rsidR="00D6532D" w:rsidRPr="0010404B">
              <w:rPr>
                <w:sz w:val="20"/>
                <w:szCs w:val="20"/>
                <w:lang w:val="fr-FR" w:eastAsia="en-CA"/>
              </w:rPr>
              <w:t>210</w:t>
            </w:r>
          </w:p>
        </w:tc>
        <w:tc>
          <w:tcPr>
            <w:tcW w:w="1276" w:type="dxa"/>
            <w:shd w:val="clear" w:color="auto" w:fill="auto"/>
            <w:noWrap/>
            <w:hideMark/>
          </w:tcPr>
          <w:p w14:paraId="5EF6005A" w14:textId="323ED145" w:rsidR="00D6532D" w:rsidRPr="0010404B" w:rsidRDefault="00CA4F11" w:rsidP="00D6532D">
            <w:pPr>
              <w:jc w:val="right"/>
              <w:rPr>
                <w:sz w:val="20"/>
                <w:szCs w:val="20"/>
                <w:lang w:val="fr-FR" w:eastAsia="en-CA"/>
              </w:rPr>
            </w:pPr>
            <w:r w:rsidRPr="0010404B">
              <w:rPr>
                <w:sz w:val="20"/>
                <w:szCs w:val="20"/>
                <w:lang w:val="fr-FR" w:eastAsia="en-CA"/>
              </w:rPr>
              <w:t xml:space="preserve">2 </w:t>
            </w:r>
            <w:r w:rsidR="00D6532D" w:rsidRPr="0010404B">
              <w:rPr>
                <w:sz w:val="20"/>
                <w:szCs w:val="20"/>
                <w:lang w:val="fr-FR" w:eastAsia="en-CA"/>
              </w:rPr>
              <w:t>140</w:t>
            </w:r>
          </w:p>
        </w:tc>
      </w:tr>
      <w:tr w:rsidR="00D6532D" w:rsidRPr="0010404B" w14:paraId="5261B46A" w14:textId="77777777" w:rsidTr="00C76B85">
        <w:trPr>
          <w:trHeight w:val="276"/>
        </w:trPr>
        <w:tc>
          <w:tcPr>
            <w:tcW w:w="3001" w:type="dxa"/>
            <w:shd w:val="clear" w:color="auto" w:fill="auto"/>
            <w:noWrap/>
            <w:hideMark/>
          </w:tcPr>
          <w:p w14:paraId="0A3AB055" w14:textId="4250393D" w:rsidR="00D6532D" w:rsidRPr="0010404B" w:rsidRDefault="003C0E89" w:rsidP="00D6532D">
            <w:pPr>
              <w:jc w:val="left"/>
              <w:rPr>
                <w:sz w:val="20"/>
                <w:szCs w:val="20"/>
                <w:lang w:val="fr-FR" w:eastAsia="en-CA"/>
              </w:rPr>
            </w:pPr>
            <w:r w:rsidRPr="0010404B">
              <w:rPr>
                <w:sz w:val="20"/>
                <w:szCs w:val="20"/>
                <w:lang w:val="fr-FR" w:eastAsia="en-CA"/>
              </w:rPr>
              <w:t>Production de HCFC – phas</w:t>
            </w:r>
            <w:r w:rsidR="00D6532D" w:rsidRPr="0010404B">
              <w:rPr>
                <w:sz w:val="20"/>
                <w:szCs w:val="20"/>
                <w:lang w:val="fr-FR" w:eastAsia="en-CA"/>
              </w:rPr>
              <w:t>e II</w:t>
            </w:r>
          </w:p>
        </w:tc>
        <w:tc>
          <w:tcPr>
            <w:tcW w:w="1134" w:type="dxa"/>
            <w:shd w:val="clear" w:color="auto" w:fill="auto"/>
            <w:noWrap/>
            <w:hideMark/>
          </w:tcPr>
          <w:p w14:paraId="088B636E" w14:textId="6553F2D0" w:rsidR="00D6532D" w:rsidRPr="0010404B" w:rsidRDefault="003C0E89" w:rsidP="00D6532D">
            <w:pPr>
              <w:jc w:val="right"/>
              <w:rPr>
                <w:sz w:val="20"/>
                <w:szCs w:val="20"/>
                <w:lang w:val="fr-FR" w:eastAsia="en-CA"/>
              </w:rPr>
            </w:pPr>
            <w:r w:rsidRPr="0010404B">
              <w:rPr>
                <w:sz w:val="20"/>
                <w:szCs w:val="20"/>
                <w:lang w:val="fr-FR" w:eastAsia="en-CA"/>
              </w:rPr>
              <w:t xml:space="preserve">26 </w:t>
            </w:r>
            <w:r w:rsidR="00D6532D" w:rsidRPr="0010404B">
              <w:rPr>
                <w:sz w:val="20"/>
                <w:szCs w:val="20"/>
                <w:lang w:val="fr-FR" w:eastAsia="en-CA"/>
              </w:rPr>
              <w:t>140</w:t>
            </w:r>
          </w:p>
        </w:tc>
        <w:tc>
          <w:tcPr>
            <w:tcW w:w="1276" w:type="dxa"/>
            <w:shd w:val="clear" w:color="auto" w:fill="auto"/>
            <w:noWrap/>
            <w:hideMark/>
          </w:tcPr>
          <w:p w14:paraId="66722F6D" w14:textId="29340AC1" w:rsidR="00D6532D" w:rsidRPr="0010404B" w:rsidRDefault="003C0E89" w:rsidP="00D6532D">
            <w:pPr>
              <w:jc w:val="right"/>
              <w:rPr>
                <w:sz w:val="20"/>
                <w:szCs w:val="20"/>
                <w:lang w:val="fr-FR" w:eastAsia="en-CA"/>
              </w:rPr>
            </w:pPr>
            <w:r w:rsidRPr="0010404B">
              <w:rPr>
                <w:sz w:val="20"/>
                <w:szCs w:val="20"/>
                <w:lang w:val="fr-FR" w:eastAsia="en-CA"/>
              </w:rPr>
              <w:t xml:space="preserve">26 </w:t>
            </w:r>
            <w:r w:rsidR="00D6532D" w:rsidRPr="0010404B">
              <w:rPr>
                <w:sz w:val="20"/>
                <w:szCs w:val="20"/>
                <w:lang w:val="fr-FR" w:eastAsia="en-CA"/>
              </w:rPr>
              <w:t>140</w:t>
            </w:r>
          </w:p>
        </w:tc>
        <w:tc>
          <w:tcPr>
            <w:tcW w:w="1134" w:type="dxa"/>
            <w:shd w:val="clear" w:color="auto" w:fill="auto"/>
            <w:noWrap/>
            <w:hideMark/>
          </w:tcPr>
          <w:p w14:paraId="459258D7" w14:textId="36CF0F5A" w:rsidR="00D6532D" w:rsidRPr="0010404B" w:rsidRDefault="003C0E89" w:rsidP="00D6532D">
            <w:pPr>
              <w:jc w:val="right"/>
              <w:rPr>
                <w:sz w:val="20"/>
                <w:szCs w:val="20"/>
                <w:lang w:val="fr-FR" w:eastAsia="en-CA"/>
              </w:rPr>
            </w:pPr>
            <w:r w:rsidRPr="0010404B">
              <w:rPr>
                <w:sz w:val="20"/>
                <w:szCs w:val="20"/>
                <w:lang w:val="fr-FR" w:eastAsia="en-CA"/>
              </w:rPr>
              <w:t xml:space="preserve">25 </w:t>
            </w:r>
            <w:r w:rsidR="00D6532D" w:rsidRPr="0010404B">
              <w:rPr>
                <w:sz w:val="20"/>
                <w:szCs w:val="20"/>
                <w:lang w:val="fr-FR" w:eastAsia="en-CA"/>
              </w:rPr>
              <w:t>677</w:t>
            </w:r>
          </w:p>
        </w:tc>
        <w:tc>
          <w:tcPr>
            <w:tcW w:w="1417" w:type="dxa"/>
            <w:shd w:val="clear" w:color="auto" w:fill="auto"/>
            <w:noWrap/>
            <w:hideMark/>
          </w:tcPr>
          <w:p w14:paraId="1A670DB2" w14:textId="53EC44DA" w:rsidR="00D6532D" w:rsidRPr="0010404B" w:rsidRDefault="003C0E89" w:rsidP="00D6532D">
            <w:pPr>
              <w:jc w:val="right"/>
              <w:rPr>
                <w:sz w:val="20"/>
                <w:szCs w:val="20"/>
                <w:lang w:val="fr-FR" w:eastAsia="en-CA"/>
              </w:rPr>
            </w:pPr>
            <w:r w:rsidRPr="0010404B">
              <w:rPr>
                <w:sz w:val="20"/>
                <w:szCs w:val="20"/>
                <w:lang w:val="fr-FR" w:eastAsia="en-CA"/>
              </w:rPr>
              <w:t xml:space="preserve">77 </w:t>
            </w:r>
            <w:r w:rsidR="00D6532D" w:rsidRPr="0010404B">
              <w:rPr>
                <w:sz w:val="20"/>
                <w:szCs w:val="20"/>
                <w:lang w:val="fr-FR" w:eastAsia="en-CA"/>
              </w:rPr>
              <w:t>956</w:t>
            </w:r>
          </w:p>
        </w:tc>
        <w:tc>
          <w:tcPr>
            <w:tcW w:w="1276" w:type="dxa"/>
            <w:shd w:val="clear" w:color="auto" w:fill="auto"/>
            <w:noWrap/>
            <w:hideMark/>
          </w:tcPr>
          <w:p w14:paraId="7E85141E" w14:textId="272735C6" w:rsidR="00D6532D" w:rsidRPr="0010404B" w:rsidRDefault="00CA4F11" w:rsidP="00D6532D">
            <w:pPr>
              <w:jc w:val="right"/>
              <w:rPr>
                <w:sz w:val="20"/>
                <w:szCs w:val="20"/>
                <w:lang w:val="fr-FR" w:eastAsia="en-CA"/>
              </w:rPr>
            </w:pPr>
            <w:r w:rsidRPr="0010404B">
              <w:rPr>
                <w:sz w:val="20"/>
                <w:szCs w:val="20"/>
                <w:lang w:val="fr-FR" w:eastAsia="en-CA"/>
              </w:rPr>
              <w:t xml:space="preserve">181 </w:t>
            </w:r>
            <w:r w:rsidR="00D6532D" w:rsidRPr="0010404B">
              <w:rPr>
                <w:sz w:val="20"/>
                <w:szCs w:val="20"/>
                <w:lang w:val="fr-FR" w:eastAsia="en-CA"/>
              </w:rPr>
              <w:t>561</w:t>
            </w:r>
          </w:p>
        </w:tc>
      </w:tr>
      <w:tr w:rsidR="00D6532D" w:rsidRPr="0010404B" w14:paraId="013E8FC5" w14:textId="77777777" w:rsidTr="00C76B85">
        <w:trPr>
          <w:trHeight w:val="276"/>
        </w:trPr>
        <w:tc>
          <w:tcPr>
            <w:tcW w:w="3001" w:type="dxa"/>
            <w:shd w:val="clear" w:color="auto" w:fill="auto"/>
            <w:noWrap/>
            <w:hideMark/>
          </w:tcPr>
          <w:p w14:paraId="0953278B" w14:textId="6BB3DF63" w:rsidR="00D6532D" w:rsidRPr="0010404B" w:rsidRDefault="003C0E89" w:rsidP="00D6532D">
            <w:pPr>
              <w:jc w:val="left"/>
              <w:rPr>
                <w:sz w:val="20"/>
                <w:szCs w:val="20"/>
                <w:lang w:val="fr-FR" w:eastAsia="en-CA"/>
              </w:rPr>
            </w:pPr>
            <w:r w:rsidRPr="0010404B">
              <w:rPr>
                <w:sz w:val="20"/>
                <w:szCs w:val="20"/>
                <w:lang w:val="fr-FR" w:eastAsia="en-CA"/>
              </w:rPr>
              <w:t>PGEH</w:t>
            </w:r>
            <w:r w:rsidR="00F86CA7">
              <w:rPr>
                <w:sz w:val="20"/>
                <w:szCs w:val="20"/>
                <w:lang w:val="fr-FR" w:eastAsia="en-CA"/>
              </w:rPr>
              <w:t xml:space="preserve"> phase I</w:t>
            </w:r>
          </w:p>
        </w:tc>
        <w:tc>
          <w:tcPr>
            <w:tcW w:w="1134" w:type="dxa"/>
            <w:shd w:val="clear" w:color="auto" w:fill="auto"/>
            <w:noWrap/>
            <w:hideMark/>
          </w:tcPr>
          <w:p w14:paraId="5620BB96" w14:textId="77777777" w:rsidR="00D6532D" w:rsidRPr="0010404B" w:rsidRDefault="00D6532D" w:rsidP="00D6532D">
            <w:pPr>
              <w:jc w:val="right"/>
              <w:rPr>
                <w:sz w:val="20"/>
                <w:szCs w:val="20"/>
                <w:lang w:val="fr-FR" w:eastAsia="en-CA"/>
              </w:rPr>
            </w:pPr>
            <w:r w:rsidRPr="0010404B">
              <w:rPr>
                <w:sz w:val="20"/>
                <w:szCs w:val="20"/>
                <w:lang w:val="fr-FR" w:eastAsia="en-CA"/>
              </w:rPr>
              <w:t>346</w:t>
            </w:r>
          </w:p>
        </w:tc>
        <w:tc>
          <w:tcPr>
            <w:tcW w:w="1276" w:type="dxa"/>
            <w:shd w:val="clear" w:color="auto" w:fill="auto"/>
            <w:noWrap/>
            <w:hideMark/>
          </w:tcPr>
          <w:p w14:paraId="40C95D42"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134" w:type="dxa"/>
            <w:shd w:val="clear" w:color="auto" w:fill="auto"/>
            <w:noWrap/>
            <w:hideMark/>
          </w:tcPr>
          <w:p w14:paraId="080B78CF" w14:textId="77777777" w:rsidR="00D6532D" w:rsidRPr="0010404B" w:rsidRDefault="00D6532D" w:rsidP="00D6532D">
            <w:pPr>
              <w:jc w:val="right"/>
              <w:rPr>
                <w:sz w:val="20"/>
                <w:szCs w:val="20"/>
                <w:lang w:val="fr-FR" w:eastAsia="en-CA"/>
              </w:rPr>
            </w:pPr>
            <w:r w:rsidRPr="0010404B">
              <w:rPr>
                <w:sz w:val="20"/>
                <w:szCs w:val="20"/>
                <w:lang w:val="fr-FR" w:eastAsia="en-CA"/>
              </w:rPr>
              <w:t>500</w:t>
            </w:r>
          </w:p>
        </w:tc>
        <w:tc>
          <w:tcPr>
            <w:tcW w:w="1417" w:type="dxa"/>
            <w:shd w:val="clear" w:color="auto" w:fill="auto"/>
            <w:noWrap/>
            <w:hideMark/>
          </w:tcPr>
          <w:p w14:paraId="3B2649C8" w14:textId="77777777" w:rsidR="00D6532D" w:rsidRPr="0010404B" w:rsidRDefault="00D6532D" w:rsidP="00D6532D">
            <w:pPr>
              <w:jc w:val="right"/>
              <w:rPr>
                <w:sz w:val="20"/>
                <w:szCs w:val="20"/>
                <w:lang w:val="fr-FR" w:eastAsia="en-CA"/>
              </w:rPr>
            </w:pPr>
            <w:r w:rsidRPr="0010404B">
              <w:rPr>
                <w:sz w:val="20"/>
                <w:szCs w:val="20"/>
                <w:lang w:val="fr-FR" w:eastAsia="en-CA"/>
              </w:rPr>
              <w:t>846</w:t>
            </w:r>
          </w:p>
        </w:tc>
        <w:tc>
          <w:tcPr>
            <w:tcW w:w="1276" w:type="dxa"/>
            <w:shd w:val="clear" w:color="auto" w:fill="auto"/>
            <w:noWrap/>
            <w:hideMark/>
          </w:tcPr>
          <w:p w14:paraId="46E95A6B"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62C5E904" w14:textId="77777777" w:rsidTr="00C76B85">
        <w:trPr>
          <w:trHeight w:val="276"/>
        </w:trPr>
        <w:tc>
          <w:tcPr>
            <w:tcW w:w="3001" w:type="dxa"/>
            <w:shd w:val="clear" w:color="auto" w:fill="auto"/>
            <w:noWrap/>
            <w:hideMark/>
          </w:tcPr>
          <w:p w14:paraId="581E2453" w14:textId="30B880CA" w:rsidR="00D6532D" w:rsidRPr="0010404B" w:rsidRDefault="003C0E89" w:rsidP="00902A26">
            <w:pPr>
              <w:jc w:val="left"/>
              <w:rPr>
                <w:sz w:val="20"/>
                <w:szCs w:val="20"/>
                <w:lang w:val="fr-FR" w:eastAsia="en-CA"/>
              </w:rPr>
            </w:pPr>
            <w:r w:rsidRPr="0010404B">
              <w:rPr>
                <w:sz w:val="20"/>
                <w:szCs w:val="20"/>
                <w:lang w:val="fr-FR" w:eastAsia="en-CA"/>
              </w:rPr>
              <w:t>P</w:t>
            </w:r>
            <w:r w:rsidR="00902A26">
              <w:rPr>
                <w:sz w:val="20"/>
                <w:szCs w:val="20"/>
                <w:lang w:val="fr-FR" w:eastAsia="en-CA"/>
              </w:rPr>
              <w:t xml:space="preserve">RP </w:t>
            </w:r>
            <w:r w:rsidRPr="0010404B">
              <w:rPr>
                <w:sz w:val="20"/>
                <w:szCs w:val="20"/>
                <w:lang w:val="fr-FR" w:eastAsia="en-CA"/>
              </w:rPr>
              <w:t>de PGEH</w:t>
            </w:r>
            <w:r w:rsidR="00902A26">
              <w:rPr>
                <w:sz w:val="20"/>
                <w:szCs w:val="20"/>
                <w:lang w:val="fr-FR" w:eastAsia="en-CA"/>
              </w:rPr>
              <w:t xml:space="preserve"> </w:t>
            </w:r>
            <w:r w:rsidR="00D6532D" w:rsidRPr="0010404B">
              <w:rPr>
                <w:sz w:val="20"/>
                <w:szCs w:val="20"/>
                <w:lang w:val="fr-FR" w:eastAsia="en-CA"/>
              </w:rPr>
              <w:t xml:space="preserve">– </w:t>
            </w:r>
            <w:r w:rsidRPr="0010404B">
              <w:rPr>
                <w:sz w:val="20"/>
                <w:szCs w:val="20"/>
                <w:lang w:val="fr-FR" w:eastAsia="en-CA"/>
              </w:rPr>
              <w:t>phase</w:t>
            </w:r>
            <w:r w:rsidR="00D6532D" w:rsidRPr="0010404B">
              <w:rPr>
                <w:sz w:val="20"/>
                <w:szCs w:val="20"/>
                <w:lang w:val="fr-FR" w:eastAsia="en-CA"/>
              </w:rPr>
              <w:t xml:space="preserve"> II</w:t>
            </w:r>
          </w:p>
        </w:tc>
        <w:tc>
          <w:tcPr>
            <w:tcW w:w="1134" w:type="dxa"/>
            <w:shd w:val="clear" w:color="auto" w:fill="auto"/>
            <w:noWrap/>
            <w:hideMark/>
          </w:tcPr>
          <w:p w14:paraId="176460FE" w14:textId="77777777" w:rsidR="00D6532D" w:rsidRPr="0010404B" w:rsidRDefault="00D6532D" w:rsidP="00D6532D">
            <w:pPr>
              <w:jc w:val="right"/>
              <w:rPr>
                <w:sz w:val="20"/>
                <w:szCs w:val="20"/>
                <w:lang w:val="fr-FR" w:eastAsia="en-CA"/>
              </w:rPr>
            </w:pPr>
            <w:r w:rsidRPr="0010404B">
              <w:rPr>
                <w:sz w:val="20"/>
                <w:szCs w:val="20"/>
                <w:lang w:val="fr-FR" w:eastAsia="en-CA"/>
              </w:rPr>
              <w:t>462</w:t>
            </w:r>
          </w:p>
        </w:tc>
        <w:tc>
          <w:tcPr>
            <w:tcW w:w="1276" w:type="dxa"/>
            <w:shd w:val="clear" w:color="auto" w:fill="auto"/>
            <w:noWrap/>
            <w:hideMark/>
          </w:tcPr>
          <w:p w14:paraId="00E9B13E" w14:textId="77777777" w:rsidR="00D6532D" w:rsidRPr="0010404B" w:rsidRDefault="00D6532D" w:rsidP="00D6532D">
            <w:pPr>
              <w:jc w:val="right"/>
              <w:rPr>
                <w:sz w:val="20"/>
                <w:szCs w:val="20"/>
                <w:lang w:val="fr-FR" w:eastAsia="en-CA"/>
              </w:rPr>
            </w:pPr>
            <w:r w:rsidRPr="0010404B">
              <w:rPr>
                <w:sz w:val="20"/>
                <w:szCs w:val="20"/>
                <w:lang w:val="fr-FR" w:eastAsia="en-CA"/>
              </w:rPr>
              <w:t>360</w:t>
            </w:r>
          </w:p>
        </w:tc>
        <w:tc>
          <w:tcPr>
            <w:tcW w:w="1134" w:type="dxa"/>
            <w:shd w:val="clear" w:color="auto" w:fill="auto"/>
            <w:noWrap/>
            <w:hideMark/>
          </w:tcPr>
          <w:p w14:paraId="20413725"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417" w:type="dxa"/>
            <w:shd w:val="clear" w:color="auto" w:fill="auto"/>
            <w:noWrap/>
            <w:hideMark/>
          </w:tcPr>
          <w:p w14:paraId="00ED52F3" w14:textId="77777777" w:rsidR="00D6532D" w:rsidRPr="0010404B" w:rsidRDefault="00D6532D" w:rsidP="00D6532D">
            <w:pPr>
              <w:jc w:val="right"/>
              <w:rPr>
                <w:sz w:val="20"/>
                <w:szCs w:val="20"/>
                <w:lang w:val="fr-FR" w:eastAsia="en-CA"/>
              </w:rPr>
            </w:pPr>
            <w:r w:rsidRPr="0010404B">
              <w:rPr>
                <w:sz w:val="20"/>
                <w:szCs w:val="20"/>
                <w:lang w:val="fr-FR" w:eastAsia="en-CA"/>
              </w:rPr>
              <w:t>822</w:t>
            </w:r>
          </w:p>
        </w:tc>
        <w:tc>
          <w:tcPr>
            <w:tcW w:w="1276" w:type="dxa"/>
            <w:shd w:val="clear" w:color="auto" w:fill="auto"/>
            <w:noWrap/>
            <w:hideMark/>
          </w:tcPr>
          <w:p w14:paraId="2B93DE5A" w14:textId="77777777" w:rsidR="00D6532D" w:rsidRPr="0010404B" w:rsidRDefault="00D6532D" w:rsidP="00D6532D">
            <w:pPr>
              <w:jc w:val="right"/>
              <w:rPr>
                <w:sz w:val="20"/>
                <w:szCs w:val="20"/>
                <w:lang w:val="fr-FR" w:eastAsia="en-CA"/>
              </w:rPr>
            </w:pPr>
            <w:r w:rsidRPr="0010404B">
              <w:rPr>
                <w:sz w:val="20"/>
                <w:szCs w:val="20"/>
                <w:lang w:val="fr-FR" w:eastAsia="en-CA"/>
              </w:rPr>
              <w:t>34</w:t>
            </w:r>
          </w:p>
        </w:tc>
      </w:tr>
      <w:tr w:rsidR="00D6532D" w:rsidRPr="0010404B" w14:paraId="71663D29" w14:textId="77777777" w:rsidTr="00C76B85">
        <w:trPr>
          <w:trHeight w:val="276"/>
        </w:trPr>
        <w:tc>
          <w:tcPr>
            <w:tcW w:w="3001" w:type="dxa"/>
            <w:shd w:val="clear" w:color="auto" w:fill="auto"/>
            <w:noWrap/>
            <w:hideMark/>
          </w:tcPr>
          <w:p w14:paraId="5D8922A1" w14:textId="319D7B06" w:rsidR="00D6532D" w:rsidRPr="0010404B" w:rsidRDefault="003C0E89" w:rsidP="00D6532D">
            <w:pPr>
              <w:jc w:val="left"/>
              <w:rPr>
                <w:sz w:val="20"/>
                <w:szCs w:val="20"/>
                <w:lang w:val="fr-FR" w:eastAsia="en-CA"/>
              </w:rPr>
            </w:pPr>
            <w:r w:rsidRPr="0010404B">
              <w:rPr>
                <w:sz w:val="20"/>
                <w:szCs w:val="20"/>
                <w:lang w:val="fr-FR" w:eastAsia="en-CA"/>
              </w:rPr>
              <w:t>PGEH</w:t>
            </w:r>
            <w:r w:rsidR="00757598">
              <w:rPr>
                <w:sz w:val="20"/>
                <w:szCs w:val="20"/>
                <w:lang w:val="fr-FR" w:eastAsia="en-CA"/>
              </w:rPr>
              <w:t xml:space="preserve"> phase II</w:t>
            </w:r>
          </w:p>
        </w:tc>
        <w:tc>
          <w:tcPr>
            <w:tcW w:w="1134" w:type="dxa"/>
            <w:shd w:val="clear" w:color="auto" w:fill="auto"/>
            <w:noWrap/>
            <w:hideMark/>
          </w:tcPr>
          <w:p w14:paraId="71027511" w14:textId="1DB8028F" w:rsidR="00D6532D" w:rsidRPr="0010404B" w:rsidRDefault="003C0E89" w:rsidP="00D6532D">
            <w:pPr>
              <w:jc w:val="right"/>
              <w:rPr>
                <w:sz w:val="20"/>
                <w:szCs w:val="20"/>
                <w:lang w:val="fr-FR" w:eastAsia="en-CA"/>
              </w:rPr>
            </w:pPr>
            <w:r w:rsidRPr="0010404B">
              <w:rPr>
                <w:sz w:val="20"/>
                <w:szCs w:val="20"/>
                <w:lang w:val="fr-FR" w:eastAsia="en-CA"/>
              </w:rPr>
              <w:t xml:space="preserve">12 </w:t>
            </w:r>
            <w:r w:rsidR="00D6532D" w:rsidRPr="0010404B">
              <w:rPr>
                <w:sz w:val="20"/>
                <w:szCs w:val="20"/>
                <w:lang w:val="fr-FR" w:eastAsia="en-CA"/>
              </w:rPr>
              <w:t>160</w:t>
            </w:r>
          </w:p>
        </w:tc>
        <w:tc>
          <w:tcPr>
            <w:tcW w:w="1276" w:type="dxa"/>
            <w:shd w:val="clear" w:color="auto" w:fill="auto"/>
            <w:noWrap/>
            <w:hideMark/>
          </w:tcPr>
          <w:p w14:paraId="065213AD" w14:textId="63D79B7B" w:rsidR="00D6532D" w:rsidRPr="0010404B" w:rsidRDefault="003C0E89" w:rsidP="00D6532D">
            <w:pPr>
              <w:jc w:val="right"/>
              <w:rPr>
                <w:sz w:val="20"/>
                <w:szCs w:val="20"/>
                <w:lang w:val="fr-FR" w:eastAsia="en-CA"/>
              </w:rPr>
            </w:pPr>
            <w:r w:rsidRPr="0010404B">
              <w:rPr>
                <w:sz w:val="20"/>
                <w:szCs w:val="20"/>
                <w:lang w:val="fr-FR" w:eastAsia="en-CA"/>
              </w:rPr>
              <w:t xml:space="preserve">10 </w:t>
            </w:r>
            <w:r w:rsidR="00D6532D" w:rsidRPr="0010404B">
              <w:rPr>
                <w:sz w:val="20"/>
                <w:szCs w:val="20"/>
                <w:lang w:val="fr-FR" w:eastAsia="en-CA"/>
              </w:rPr>
              <w:t>976</w:t>
            </w:r>
          </w:p>
        </w:tc>
        <w:tc>
          <w:tcPr>
            <w:tcW w:w="1134" w:type="dxa"/>
            <w:shd w:val="clear" w:color="auto" w:fill="auto"/>
            <w:noWrap/>
            <w:hideMark/>
          </w:tcPr>
          <w:p w14:paraId="15C98920" w14:textId="74055F79" w:rsidR="00D6532D" w:rsidRPr="0010404B" w:rsidRDefault="003C0E89" w:rsidP="00D6532D">
            <w:pPr>
              <w:jc w:val="right"/>
              <w:rPr>
                <w:sz w:val="20"/>
                <w:szCs w:val="20"/>
                <w:lang w:val="fr-FR" w:eastAsia="en-CA"/>
              </w:rPr>
            </w:pPr>
            <w:r w:rsidRPr="0010404B">
              <w:rPr>
                <w:sz w:val="20"/>
                <w:szCs w:val="20"/>
                <w:lang w:val="fr-FR" w:eastAsia="en-CA"/>
              </w:rPr>
              <w:t xml:space="preserve">7 </w:t>
            </w:r>
            <w:r w:rsidR="00D6532D" w:rsidRPr="0010404B">
              <w:rPr>
                <w:sz w:val="20"/>
                <w:szCs w:val="20"/>
                <w:lang w:val="fr-FR" w:eastAsia="en-CA"/>
              </w:rPr>
              <w:t>316</w:t>
            </w:r>
          </w:p>
        </w:tc>
        <w:tc>
          <w:tcPr>
            <w:tcW w:w="1417" w:type="dxa"/>
            <w:shd w:val="clear" w:color="auto" w:fill="auto"/>
            <w:noWrap/>
            <w:hideMark/>
          </w:tcPr>
          <w:p w14:paraId="6F9E49B8" w14:textId="4CB44CCD" w:rsidR="00D6532D" w:rsidRPr="0010404B" w:rsidRDefault="003C0E89" w:rsidP="00D6532D">
            <w:pPr>
              <w:jc w:val="right"/>
              <w:rPr>
                <w:sz w:val="20"/>
                <w:szCs w:val="20"/>
                <w:lang w:val="fr-FR" w:eastAsia="en-CA"/>
              </w:rPr>
            </w:pPr>
            <w:r w:rsidRPr="0010404B">
              <w:rPr>
                <w:sz w:val="20"/>
                <w:szCs w:val="20"/>
                <w:lang w:val="fr-FR" w:eastAsia="en-CA"/>
              </w:rPr>
              <w:t xml:space="preserve">30 </w:t>
            </w:r>
            <w:r w:rsidR="00D6532D" w:rsidRPr="0010404B">
              <w:rPr>
                <w:sz w:val="20"/>
                <w:szCs w:val="20"/>
                <w:lang w:val="fr-FR" w:eastAsia="en-CA"/>
              </w:rPr>
              <w:t>452</w:t>
            </w:r>
          </w:p>
        </w:tc>
        <w:tc>
          <w:tcPr>
            <w:tcW w:w="1276" w:type="dxa"/>
            <w:shd w:val="clear" w:color="auto" w:fill="auto"/>
            <w:noWrap/>
            <w:hideMark/>
          </w:tcPr>
          <w:p w14:paraId="267F016B" w14:textId="00984F88" w:rsidR="00D6532D" w:rsidRPr="0010404B" w:rsidRDefault="00CA4F11" w:rsidP="00D6532D">
            <w:pPr>
              <w:jc w:val="right"/>
              <w:rPr>
                <w:sz w:val="20"/>
                <w:szCs w:val="20"/>
                <w:lang w:val="fr-FR" w:eastAsia="en-CA"/>
              </w:rPr>
            </w:pPr>
            <w:r w:rsidRPr="0010404B">
              <w:rPr>
                <w:sz w:val="20"/>
                <w:szCs w:val="20"/>
                <w:lang w:val="fr-FR" w:eastAsia="en-CA"/>
              </w:rPr>
              <w:t xml:space="preserve">65 </w:t>
            </w:r>
            <w:r w:rsidR="00D6532D" w:rsidRPr="0010404B">
              <w:rPr>
                <w:sz w:val="20"/>
                <w:szCs w:val="20"/>
                <w:lang w:val="fr-FR" w:eastAsia="en-CA"/>
              </w:rPr>
              <w:t>836</w:t>
            </w:r>
          </w:p>
        </w:tc>
      </w:tr>
      <w:tr w:rsidR="00D6532D" w:rsidRPr="0010404B" w14:paraId="44887152" w14:textId="77777777" w:rsidTr="00C76B85">
        <w:trPr>
          <w:trHeight w:val="276"/>
        </w:trPr>
        <w:tc>
          <w:tcPr>
            <w:tcW w:w="3001" w:type="dxa"/>
            <w:shd w:val="clear" w:color="auto" w:fill="auto"/>
            <w:noWrap/>
            <w:hideMark/>
          </w:tcPr>
          <w:p w14:paraId="7A453F2F" w14:textId="5E68F3BD" w:rsidR="00D6532D" w:rsidRPr="0010404B" w:rsidRDefault="003C0E89" w:rsidP="00D6532D">
            <w:pPr>
              <w:jc w:val="left"/>
              <w:rPr>
                <w:sz w:val="20"/>
                <w:szCs w:val="20"/>
                <w:lang w:val="fr-FR" w:eastAsia="en-CA"/>
              </w:rPr>
            </w:pPr>
            <w:r w:rsidRPr="0010404B">
              <w:rPr>
                <w:sz w:val="20"/>
                <w:szCs w:val="20"/>
                <w:lang w:val="fr-FR" w:eastAsia="en-CA"/>
              </w:rPr>
              <w:lastRenderedPageBreak/>
              <w:t>P</w:t>
            </w:r>
            <w:r w:rsidR="00CC6DE0">
              <w:rPr>
                <w:sz w:val="20"/>
                <w:szCs w:val="20"/>
                <w:lang w:val="fr-FR" w:eastAsia="en-CA"/>
              </w:rPr>
              <w:t xml:space="preserve">RP </w:t>
            </w:r>
            <w:r w:rsidR="00757598">
              <w:rPr>
                <w:sz w:val="20"/>
                <w:szCs w:val="20"/>
                <w:lang w:val="fr-FR" w:eastAsia="en-CA"/>
              </w:rPr>
              <w:t>de</w:t>
            </w:r>
            <w:r w:rsidRPr="0010404B">
              <w:rPr>
                <w:sz w:val="20"/>
                <w:szCs w:val="20"/>
                <w:lang w:val="fr-FR" w:eastAsia="en-CA"/>
              </w:rPr>
              <w:t xml:space="preserve"> PGEH</w:t>
            </w:r>
            <w:r w:rsidR="00D6532D" w:rsidRPr="0010404B">
              <w:rPr>
                <w:sz w:val="20"/>
                <w:szCs w:val="20"/>
                <w:lang w:val="fr-FR" w:eastAsia="en-CA"/>
              </w:rPr>
              <w:t xml:space="preserve"> </w:t>
            </w:r>
            <w:r w:rsidR="00CC6DE0">
              <w:rPr>
                <w:sz w:val="20"/>
                <w:szCs w:val="20"/>
                <w:lang w:val="fr-FR" w:eastAsia="en-CA"/>
              </w:rPr>
              <w:t xml:space="preserve"> </w:t>
            </w:r>
            <w:r w:rsidR="00D6532D" w:rsidRPr="0010404B">
              <w:rPr>
                <w:sz w:val="20"/>
                <w:szCs w:val="20"/>
                <w:lang w:val="fr-FR" w:eastAsia="en-CA"/>
              </w:rPr>
              <w:t xml:space="preserve">– </w:t>
            </w:r>
            <w:r w:rsidRPr="0010404B">
              <w:rPr>
                <w:sz w:val="20"/>
                <w:szCs w:val="20"/>
                <w:lang w:val="fr-FR" w:eastAsia="en-CA"/>
              </w:rPr>
              <w:t>phas</w:t>
            </w:r>
            <w:r w:rsidR="00D6532D" w:rsidRPr="0010404B">
              <w:rPr>
                <w:sz w:val="20"/>
                <w:szCs w:val="20"/>
                <w:lang w:val="fr-FR" w:eastAsia="en-CA"/>
              </w:rPr>
              <w:t>e III</w:t>
            </w:r>
          </w:p>
        </w:tc>
        <w:tc>
          <w:tcPr>
            <w:tcW w:w="1134" w:type="dxa"/>
            <w:shd w:val="clear" w:color="auto" w:fill="auto"/>
            <w:noWrap/>
            <w:hideMark/>
          </w:tcPr>
          <w:p w14:paraId="4D95E07D" w14:textId="39395E46" w:rsidR="00D6532D" w:rsidRPr="0010404B" w:rsidRDefault="003C0E89"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304</w:t>
            </w:r>
          </w:p>
        </w:tc>
        <w:tc>
          <w:tcPr>
            <w:tcW w:w="1276" w:type="dxa"/>
            <w:shd w:val="clear" w:color="auto" w:fill="auto"/>
            <w:noWrap/>
            <w:hideMark/>
          </w:tcPr>
          <w:p w14:paraId="09D20357" w14:textId="52D70AFA" w:rsidR="00D6532D" w:rsidRPr="0010404B" w:rsidRDefault="003C0E89"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153</w:t>
            </w:r>
          </w:p>
        </w:tc>
        <w:tc>
          <w:tcPr>
            <w:tcW w:w="1134" w:type="dxa"/>
            <w:shd w:val="clear" w:color="auto" w:fill="auto"/>
            <w:noWrap/>
            <w:hideMark/>
          </w:tcPr>
          <w:p w14:paraId="58D6D19B" w14:textId="77777777" w:rsidR="00D6532D" w:rsidRPr="0010404B" w:rsidRDefault="00D6532D" w:rsidP="00D6532D">
            <w:pPr>
              <w:jc w:val="right"/>
              <w:rPr>
                <w:sz w:val="20"/>
                <w:szCs w:val="20"/>
                <w:lang w:val="fr-FR" w:eastAsia="en-CA"/>
              </w:rPr>
            </w:pPr>
            <w:r w:rsidRPr="0010404B">
              <w:rPr>
                <w:sz w:val="20"/>
                <w:szCs w:val="20"/>
                <w:lang w:val="fr-FR" w:eastAsia="en-CA"/>
              </w:rPr>
              <w:t>182</w:t>
            </w:r>
          </w:p>
        </w:tc>
        <w:tc>
          <w:tcPr>
            <w:tcW w:w="1417" w:type="dxa"/>
            <w:shd w:val="clear" w:color="auto" w:fill="auto"/>
            <w:noWrap/>
            <w:hideMark/>
          </w:tcPr>
          <w:p w14:paraId="44341F92" w14:textId="7BC8BEC8" w:rsidR="00D6532D" w:rsidRPr="0010404B" w:rsidRDefault="003C0E89" w:rsidP="00D6532D">
            <w:pPr>
              <w:jc w:val="right"/>
              <w:rPr>
                <w:sz w:val="20"/>
                <w:szCs w:val="20"/>
                <w:lang w:val="fr-FR" w:eastAsia="en-CA"/>
              </w:rPr>
            </w:pPr>
            <w:r w:rsidRPr="0010404B">
              <w:rPr>
                <w:sz w:val="20"/>
                <w:szCs w:val="20"/>
                <w:lang w:val="fr-FR" w:eastAsia="en-CA"/>
              </w:rPr>
              <w:t xml:space="preserve">2 </w:t>
            </w:r>
            <w:r w:rsidR="00D6532D" w:rsidRPr="0010404B">
              <w:rPr>
                <w:sz w:val="20"/>
                <w:szCs w:val="20"/>
                <w:lang w:val="fr-FR" w:eastAsia="en-CA"/>
              </w:rPr>
              <w:t>639</w:t>
            </w:r>
          </w:p>
        </w:tc>
        <w:tc>
          <w:tcPr>
            <w:tcW w:w="1276" w:type="dxa"/>
            <w:shd w:val="clear" w:color="auto" w:fill="auto"/>
            <w:noWrap/>
            <w:hideMark/>
          </w:tcPr>
          <w:p w14:paraId="1EABEBF9"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08302724" w14:textId="77777777" w:rsidTr="00C76B85">
        <w:trPr>
          <w:trHeight w:val="276"/>
        </w:trPr>
        <w:tc>
          <w:tcPr>
            <w:tcW w:w="3001" w:type="dxa"/>
            <w:shd w:val="clear" w:color="auto" w:fill="auto"/>
            <w:noWrap/>
            <w:hideMark/>
          </w:tcPr>
          <w:p w14:paraId="417023AA" w14:textId="6F9CE31E" w:rsidR="00D6532D" w:rsidRPr="0010404B" w:rsidRDefault="003C0E89" w:rsidP="00D6532D">
            <w:pPr>
              <w:jc w:val="left"/>
              <w:rPr>
                <w:sz w:val="20"/>
                <w:szCs w:val="20"/>
                <w:lang w:val="fr-FR" w:eastAsia="en-CA"/>
              </w:rPr>
            </w:pPr>
            <w:r w:rsidRPr="0010404B">
              <w:rPr>
                <w:sz w:val="20"/>
                <w:szCs w:val="20"/>
                <w:lang w:val="fr-FR" w:eastAsia="en-CA"/>
              </w:rPr>
              <w:t>PGEH</w:t>
            </w:r>
            <w:r w:rsidR="00757598">
              <w:rPr>
                <w:sz w:val="20"/>
                <w:szCs w:val="20"/>
                <w:lang w:val="fr-FR" w:eastAsia="en-CA"/>
              </w:rPr>
              <w:t xml:space="preserve"> phase III</w:t>
            </w:r>
          </w:p>
        </w:tc>
        <w:tc>
          <w:tcPr>
            <w:tcW w:w="1134" w:type="dxa"/>
            <w:shd w:val="clear" w:color="auto" w:fill="auto"/>
            <w:noWrap/>
            <w:hideMark/>
          </w:tcPr>
          <w:p w14:paraId="0615188A" w14:textId="50E75487" w:rsidR="00D6532D" w:rsidRPr="0010404B" w:rsidRDefault="003C0E89"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178</w:t>
            </w:r>
          </w:p>
        </w:tc>
        <w:tc>
          <w:tcPr>
            <w:tcW w:w="1276" w:type="dxa"/>
            <w:shd w:val="clear" w:color="auto" w:fill="auto"/>
            <w:noWrap/>
            <w:hideMark/>
          </w:tcPr>
          <w:p w14:paraId="725B0932" w14:textId="39D9144C" w:rsidR="00D6532D" w:rsidRPr="0010404B" w:rsidRDefault="003C0E89" w:rsidP="00D6532D">
            <w:pPr>
              <w:jc w:val="right"/>
              <w:rPr>
                <w:sz w:val="20"/>
                <w:szCs w:val="20"/>
                <w:lang w:val="fr-FR" w:eastAsia="en-CA"/>
              </w:rPr>
            </w:pPr>
            <w:r w:rsidRPr="0010404B">
              <w:rPr>
                <w:sz w:val="20"/>
                <w:szCs w:val="20"/>
                <w:lang w:val="fr-FR" w:eastAsia="en-CA"/>
              </w:rPr>
              <w:t xml:space="preserve">6 </w:t>
            </w:r>
            <w:r w:rsidR="00D6532D" w:rsidRPr="0010404B">
              <w:rPr>
                <w:sz w:val="20"/>
                <w:szCs w:val="20"/>
                <w:lang w:val="fr-FR" w:eastAsia="en-CA"/>
              </w:rPr>
              <w:t>102</w:t>
            </w:r>
          </w:p>
        </w:tc>
        <w:tc>
          <w:tcPr>
            <w:tcW w:w="1134" w:type="dxa"/>
            <w:shd w:val="clear" w:color="auto" w:fill="auto"/>
            <w:noWrap/>
            <w:hideMark/>
          </w:tcPr>
          <w:p w14:paraId="297CC3AB" w14:textId="03E8B1BC" w:rsidR="00D6532D" w:rsidRPr="0010404B" w:rsidRDefault="003C0E89" w:rsidP="00D6532D">
            <w:pPr>
              <w:jc w:val="right"/>
              <w:rPr>
                <w:sz w:val="20"/>
                <w:szCs w:val="20"/>
                <w:lang w:val="fr-FR" w:eastAsia="en-CA"/>
              </w:rPr>
            </w:pPr>
            <w:r w:rsidRPr="0010404B">
              <w:rPr>
                <w:sz w:val="20"/>
                <w:szCs w:val="20"/>
                <w:lang w:val="fr-FR" w:eastAsia="en-CA"/>
              </w:rPr>
              <w:t xml:space="preserve">4 </w:t>
            </w:r>
            <w:r w:rsidR="00D6532D" w:rsidRPr="0010404B">
              <w:rPr>
                <w:sz w:val="20"/>
                <w:szCs w:val="20"/>
                <w:lang w:val="fr-FR" w:eastAsia="en-CA"/>
              </w:rPr>
              <w:t>407</w:t>
            </w:r>
          </w:p>
        </w:tc>
        <w:tc>
          <w:tcPr>
            <w:tcW w:w="1417" w:type="dxa"/>
            <w:shd w:val="clear" w:color="auto" w:fill="auto"/>
            <w:noWrap/>
            <w:hideMark/>
          </w:tcPr>
          <w:p w14:paraId="326B3E61" w14:textId="01C20C92" w:rsidR="00D6532D" w:rsidRPr="0010404B" w:rsidRDefault="003C0E89" w:rsidP="00D6532D">
            <w:pPr>
              <w:jc w:val="right"/>
              <w:rPr>
                <w:sz w:val="20"/>
                <w:szCs w:val="20"/>
                <w:lang w:val="fr-FR" w:eastAsia="en-CA"/>
              </w:rPr>
            </w:pPr>
            <w:r w:rsidRPr="0010404B">
              <w:rPr>
                <w:sz w:val="20"/>
                <w:szCs w:val="20"/>
                <w:lang w:val="fr-FR" w:eastAsia="en-CA"/>
              </w:rPr>
              <w:t xml:space="preserve">11 </w:t>
            </w:r>
            <w:r w:rsidR="00D6532D" w:rsidRPr="0010404B">
              <w:rPr>
                <w:sz w:val="20"/>
                <w:szCs w:val="20"/>
                <w:lang w:val="fr-FR" w:eastAsia="en-CA"/>
              </w:rPr>
              <w:t>687</w:t>
            </w:r>
          </w:p>
        </w:tc>
        <w:tc>
          <w:tcPr>
            <w:tcW w:w="1276" w:type="dxa"/>
            <w:shd w:val="clear" w:color="auto" w:fill="auto"/>
            <w:noWrap/>
            <w:hideMark/>
          </w:tcPr>
          <w:p w14:paraId="5744DF1C" w14:textId="3ABD9325" w:rsidR="00D6532D" w:rsidRPr="0010404B" w:rsidRDefault="00CA4F11" w:rsidP="00D6532D">
            <w:pPr>
              <w:jc w:val="right"/>
              <w:rPr>
                <w:sz w:val="20"/>
                <w:szCs w:val="20"/>
                <w:lang w:val="fr-FR" w:eastAsia="en-CA"/>
              </w:rPr>
            </w:pPr>
            <w:r w:rsidRPr="0010404B">
              <w:rPr>
                <w:sz w:val="20"/>
                <w:szCs w:val="20"/>
                <w:lang w:val="fr-FR" w:eastAsia="en-CA"/>
              </w:rPr>
              <w:t xml:space="preserve">38 </w:t>
            </w:r>
            <w:r w:rsidR="00D6532D" w:rsidRPr="0010404B">
              <w:rPr>
                <w:sz w:val="20"/>
                <w:szCs w:val="20"/>
                <w:lang w:val="fr-FR" w:eastAsia="en-CA"/>
              </w:rPr>
              <w:t>534</w:t>
            </w:r>
          </w:p>
        </w:tc>
      </w:tr>
      <w:tr w:rsidR="00D6532D" w:rsidRPr="0010404B" w14:paraId="40BAD6E4" w14:textId="77777777" w:rsidTr="00C76B85">
        <w:trPr>
          <w:trHeight w:val="276"/>
        </w:trPr>
        <w:tc>
          <w:tcPr>
            <w:tcW w:w="3001" w:type="dxa"/>
            <w:shd w:val="clear" w:color="auto" w:fill="auto"/>
            <w:noWrap/>
            <w:hideMark/>
          </w:tcPr>
          <w:p w14:paraId="3A5A4E1F" w14:textId="40E5C871" w:rsidR="00D6532D" w:rsidRPr="0010404B" w:rsidRDefault="003C0E89" w:rsidP="00D6532D">
            <w:pPr>
              <w:jc w:val="left"/>
              <w:rPr>
                <w:sz w:val="20"/>
                <w:szCs w:val="20"/>
                <w:lang w:val="fr-FR" w:eastAsia="en-CA"/>
              </w:rPr>
            </w:pPr>
            <w:r w:rsidRPr="0010404B">
              <w:rPr>
                <w:sz w:val="20"/>
                <w:szCs w:val="20"/>
                <w:lang w:val="fr-FR" w:eastAsia="en-CA"/>
              </w:rPr>
              <w:t>Vérification des PGEH</w:t>
            </w:r>
          </w:p>
        </w:tc>
        <w:tc>
          <w:tcPr>
            <w:tcW w:w="1134" w:type="dxa"/>
            <w:shd w:val="clear" w:color="auto" w:fill="auto"/>
            <w:noWrap/>
            <w:hideMark/>
          </w:tcPr>
          <w:p w14:paraId="3573BE06" w14:textId="77777777" w:rsidR="00D6532D" w:rsidRPr="0010404B" w:rsidRDefault="00D6532D" w:rsidP="00D6532D">
            <w:pPr>
              <w:jc w:val="right"/>
              <w:rPr>
                <w:sz w:val="20"/>
                <w:szCs w:val="20"/>
                <w:lang w:val="fr-FR" w:eastAsia="en-CA"/>
              </w:rPr>
            </w:pPr>
            <w:r w:rsidRPr="0010404B">
              <w:rPr>
                <w:sz w:val="20"/>
                <w:szCs w:val="20"/>
                <w:lang w:val="fr-FR" w:eastAsia="en-CA"/>
              </w:rPr>
              <w:t>589</w:t>
            </w:r>
          </w:p>
        </w:tc>
        <w:tc>
          <w:tcPr>
            <w:tcW w:w="1276" w:type="dxa"/>
            <w:shd w:val="clear" w:color="auto" w:fill="auto"/>
            <w:noWrap/>
            <w:hideMark/>
          </w:tcPr>
          <w:p w14:paraId="344DBFF3" w14:textId="77777777" w:rsidR="00D6532D" w:rsidRPr="0010404B" w:rsidRDefault="00D6532D" w:rsidP="00D6532D">
            <w:pPr>
              <w:jc w:val="right"/>
              <w:rPr>
                <w:sz w:val="20"/>
                <w:szCs w:val="20"/>
                <w:lang w:val="fr-FR" w:eastAsia="en-CA"/>
              </w:rPr>
            </w:pPr>
            <w:r w:rsidRPr="0010404B">
              <w:rPr>
                <w:sz w:val="20"/>
                <w:szCs w:val="20"/>
                <w:lang w:val="fr-FR" w:eastAsia="en-CA"/>
              </w:rPr>
              <w:t>589</w:t>
            </w:r>
          </w:p>
        </w:tc>
        <w:tc>
          <w:tcPr>
            <w:tcW w:w="1134" w:type="dxa"/>
            <w:shd w:val="clear" w:color="auto" w:fill="auto"/>
            <w:noWrap/>
            <w:hideMark/>
          </w:tcPr>
          <w:p w14:paraId="25C9A9F7" w14:textId="77777777" w:rsidR="00D6532D" w:rsidRPr="0010404B" w:rsidRDefault="00D6532D" w:rsidP="00D6532D">
            <w:pPr>
              <w:jc w:val="right"/>
              <w:rPr>
                <w:sz w:val="20"/>
                <w:szCs w:val="20"/>
                <w:lang w:val="fr-FR" w:eastAsia="en-CA"/>
              </w:rPr>
            </w:pPr>
            <w:r w:rsidRPr="0010404B">
              <w:rPr>
                <w:sz w:val="20"/>
                <w:szCs w:val="20"/>
                <w:lang w:val="fr-FR" w:eastAsia="en-CA"/>
              </w:rPr>
              <w:t>589</w:t>
            </w:r>
          </w:p>
        </w:tc>
        <w:tc>
          <w:tcPr>
            <w:tcW w:w="1417" w:type="dxa"/>
            <w:shd w:val="clear" w:color="auto" w:fill="auto"/>
            <w:noWrap/>
            <w:hideMark/>
          </w:tcPr>
          <w:p w14:paraId="448A36A8" w14:textId="2E8704A8" w:rsidR="00D6532D" w:rsidRPr="0010404B" w:rsidRDefault="003C0E89"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766</w:t>
            </w:r>
          </w:p>
        </w:tc>
        <w:tc>
          <w:tcPr>
            <w:tcW w:w="1276" w:type="dxa"/>
            <w:shd w:val="clear" w:color="auto" w:fill="auto"/>
            <w:noWrap/>
            <w:hideMark/>
          </w:tcPr>
          <w:p w14:paraId="055FA147"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43698660" w14:textId="77777777" w:rsidTr="00C76B85">
        <w:trPr>
          <w:trHeight w:val="276"/>
        </w:trPr>
        <w:tc>
          <w:tcPr>
            <w:tcW w:w="3001" w:type="dxa"/>
            <w:shd w:val="clear" w:color="auto" w:fill="auto"/>
            <w:noWrap/>
            <w:hideMark/>
          </w:tcPr>
          <w:p w14:paraId="5AD2C836" w14:textId="5A0CCBEC" w:rsidR="00D6532D" w:rsidRPr="0010404B" w:rsidRDefault="003C0E89" w:rsidP="0063090F">
            <w:pPr>
              <w:jc w:val="left"/>
              <w:rPr>
                <w:sz w:val="20"/>
                <w:szCs w:val="20"/>
                <w:lang w:val="fr-FR" w:eastAsia="en-CA"/>
              </w:rPr>
            </w:pPr>
            <w:r w:rsidRPr="0010404B">
              <w:rPr>
                <w:sz w:val="20"/>
                <w:szCs w:val="20"/>
                <w:lang w:val="fr-FR" w:eastAsia="en-CA"/>
              </w:rPr>
              <w:t xml:space="preserve">Assistance technique HCFC </w:t>
            </w:r>
          </w:p>
        </w:tc>
        <w:tc>
          <w:tcPr>
            <w:tcW w:w="1134" w:type="dxa"/>
            <w:shd w:val="clear" w:color="auto" w:fill="auto"/>
            <w:noWrap/>
            <w:hideMark/>
          </w:tcPr>
          <w:p w14:paraId="6357A239" w14:textId="77777777" w:rsidR="00D6532D" w:rsidRPr="0010404B" w:rsidRDefault="00D6532D" w:rsidP="00D6532D">
            <w:pPr>
              <w:jc w:val="right"/>
              <w:rPr>
                <w:sz w:val="20"/>
                <w:szCs w:val="20"/>
                <w:lang w:val="fr-FR" w:eastAsia="en-CA"/>
              </w:rPr>
            </w:pPr>
            <w:r w:rsidRPr="0010404B">
              <w:rPr>
                <w:sz w:val="20"/>
                <w:szCs w:val="20"/>
                <w:lang w:val="fr-FR" w:eastAsia="en-CA"/>
              </w:rPr>
              <w:t>990</w:t>
            </w:r>
          </w:p>
        </w:tc>
        <w:tc>
          <w:tcPr>
            <w:tcW w:w="1276" w:type="dxa"/>
            <w:shd w:val="clear" w:color="auto" w:fill="auto"/>
            <w:noWrap/>
            <w:hideMark/>
          </w:tcPr>
          <w:p w14:paraId="33F7400C"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134" w:type="dxa"/>
            <w:shd w:val="clear" w:color="auto" w:fill="auto"/>
            <w:noWrap/>
            <w:hideMark/>
          </w:tcPr>
          <w:p w14:paraId="2F60CFF2"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417" w:type="dxa"/>
            <w:shd w:val="clear" w:color="auto" w:fill="auto"/>
            <w:noWrap/>
            <w:hideMark/>
          </w:tcPr>
          <w:p w14:paraId="30164A9C" w14:textId="77777777" w:rsidR="00D6532D" w:rsidRPr="0010404B" w:rsidRDefault="00D6532D" w:rsidP="00D6532D">
            <w:pPr>
              <w:jc w:val="right"/>
              <w:rPr>
                <w:sz w:val="20"/>
                <w:szCs w:val="20"/>
                <w:lang w:val="fr-FR" w:eastAsia="en-CA"/>
              </w:rPr>
            </w:pPr>
            <w:r w:rsidRPr="0010404B">
              <w:rPr>
                <w:sz w:val="20"/>
                <w:szCs w:val="20"/>
                <w:lang w:val="fr-FR" w:eastAsia="en-CA"/>
              </w:rPr>
              <w:t>990</w:t>
            </w:r>
          </w:p>
        </w:tc>
        <w:tc>
          <w:tcPr>
            <w:tcW w:w="1276" w:type="dxa"/>
            <w:shd w:val="clear" w:color="auto" w:fill="auto"/>
            <w:noWrap/>
            <w:hideMark/>
          </w:tcPr>
          <w:p w14:paraId="62391863"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5CE045F8" w14:textId="77777777" w:rsidTr="00C76B85">
        <w:trPr>
          <w:trHeight w:val="276"/>
        </w:trPr>
        <w:tc>
          <w:tcPr>
            <w:tcW w:w="3001" w:type="dxa"/>
            <w:shd w:val="clear" w:color="auto" w:fill="auto"/>
            <w:noWrap/>
            <w:hideMark/>
          </w:tcPr>
          <w:p w14:paraId="4254E6BE" w14:textId="5B11005E" w:rsidR="00D6532D" w:rsidRPr="0010404B" w:rsidRDefault="00A026C9" w:rsidP="00CA4F11">
            <w:pPr>
              <w:jc w:val="left"/>
              <w:rPr>
                <w:b/>
                <w:bCs/>
                <w:sz w:val="20"/>
                <w:szCs w:val="20"/>
                <w:lang w:val="fr-FR" w:eastAsia="en-CA"/>
              </w:rPr>
            </w:pPr>
            <w:r w:rsidRPr="0010404B">
              <w:rPr>
                <w:b/>
                <w:bCs/>
                <w:sz w:val="20"/>
                <w:szCs w:val="20"/>
                <w:lang w:val="fr-FR" w:eastAsia="en-CA"/>
              </w:rPr>
              <w:t xml:space="preserve">Sous-total des activités </w:t>
            </w:r>
            <w:r w:rsidR="00757598">
              <w:rPr>
                <w:b/>
                <w:bCs/>
                <w:sz w:val="20"/>
                <w:szCs w:val="20"/>
                <w:lang w:val="fr-FR" w:eastAsia="en-CA"/>
              </w:rPr>
              <w:t>re</w:t>
            </w:r>
            <w:r w:rsidR="00CA4F11" w:rsidRPr="0010404B">
              <w:rPr>
                <w:b/>
                <w:bCs/>
                <w:sz w:val="20"/>
                <w:szCs w:val="20"/>
                <w:lang w:val="fr-FR" w:eastAsia="en-CA"/>
              </w:rPr>
              <w:t xml:space="preserve">liées aux </w:t>
            </w:r>
            <w:r w:rsidR="00D6532D" w:rsidRPr="0010404B">
              <w:rPr>
                <w:b/>
                <w:bCs/>
                <w:sz w:val="20"/>
                <w:szCs w:val="20"/>
                <w:lang w:val="fr-FR" w:eastAsia="en-CA"/>
              </w:rPr>
              <w:t xml:space="preserve">HCFC </w:t>
            </w:r>
          </w:p>
        </w:tc>
        <w:tc>
          <w:tcPr>
            <w:tcW w:w="1134" w:type="dxa"/>
            <w:shd w:val="clear" w:color="auto" w:fill="auto"/>
            <w:noWrap/>
            <w:hideMark/>
          </w:tcPr>
          <w:p w14:paraId="4E24E702" w14:textId="6CDEBAEE" w:rsidR="00D6532D" w:rsidRPr="0010404B" w:rsidRDefault="00CA4F11" w:rsidP="00D6532D">
            <w:pPr>
              <w:jc w:val="right"/>
              <w:rPr>
                <w:b/>
                <w:bCs/>
                <w:sz w:val="20"/>
                <w:szCs w:val="20"/>
                <w:lang w:val="fr-FR" w:eastAsia="en-CA"/>
              </w:rPr>
            </w:pPr>
            <w:r w:rsidRPr="0010404B">
              <w:rPr>
                <w:b/>
                <w:bCs/>
                <w:sz w:val="20"/>
                <w:szCs w:val="20"/>
                <w:lang w:val="fr-FR" w:eastAsia="en-CA"/>
              </w:rPr>
              <w:t xml:space="preserve">170 </w:t>
            </w:r>
            <w:r w:rsidR="00D6532D" w:rsidRPr="0010404B">
              <w:rPr>
                <w:b/>
                <w:bCs/>
                <w:sz w:val="20"/>
                <w:szCs w:val="20"/>
                <w:lang w:val="fr-FR" w:eastAsia="en-CA"/>
              </w:rPr>
              <w:t>679</w:t>
            </w:r>
          </w:p>
        </w:tc>
        <w:tc>
          <w:tcPr>
            <w:tcW w:w="1276" w:type="dxa"/>
            <w:shd w:val="clear" w:color="auto" w:fill="auto"/>
            <w:noWrap/>
            <w:hideMark/>
          </w:tcPr>
          <w:p w14:paraId="78BF0559" w14:textId="1B186894" w:rsidR="00D6532D" w:rsidRPr="0010404B" w:rsidRDefault="00CA4F11" w:rsidP="00D6532D">
            <w:pPr>
              <w:jc w:val="right"/>
              <w:rPr>
                <w:b/>
                <w:bCs/>
                <w:sz w:val="20"/>
                <w:szCs w:val="20"/>
                <w:lang w:val="fr-FR" w:eastAsia="en-CA"/>
              </w:rPr>
            </w:pPr>
            <w:r w:rsidRPr="0010404B">
              <w:rPr>
                <w:b/>
                <w:bCs/>
                <w:sz w:val="20"/>
                <w:szCs w:val="20"/>
                <w:lang w:val="fr-FR" w:eastAsia="en-CA"/>
              </w:rPr>
              <w:t xml:space="preserve">140 </w:t>
            </w:r>
            <w:r w:rsidR="00D6532D" w:rsidRPr="0010404B">
              <w:rPr>
                <w:b/>
                <w:bCs/>
                <w:sz w:val="20"/>
                <w:szCs w:val="20"/>
                <w:lang w:val="fr-FR" w:eastAsia="en-CA"/>
              </w:rPr>
              <w:t>811</w:t>
            </w:r>
          </w:p>
        </w:tc>
        <w:tc>
          <w:tcPr>
            <w:tcW w:w="1134" w:type="dxa"/>
            <w:shd w:val="clear" w:color="auto" w:fill="auto"/>
            <w:noWrap/>
            <w:hideMark/>
          </w:tcPr>
          <w:p w14:paraId="533D2E6D" w14:textId="77777777" w:rsidR="00D6532D" w:rsidRPr="0010404B" w:rsidRDefault="00D6532D" w:rsidP="00D6532D">
            <w:pPr>
              <w:jc w:val="right"/>
              <w:rPr>
                <w:b/>
                <w:bCs/>
                <w:sz w:val="20"/>
                <w:szCs w:val="20"/>
                <w:lang w:val="fr-FR" w:eastAsia="en-CA"/>
              </w:rPr>
            </w:pPr>
            <w:r w:rsidRPr="0010404B">
              <w:rPr>
                <w:b/>
                <w:bCs/>
                <w:sz w:val="20"/>
                <w:szCs w:val="20"/>
                <w:lang w:val="fr-FR" w:eastAsia="en-CA"/>
              </w:rPr>
              <w:t>136,354</w:t>
            </w:r>
          </w:p>
        </w:tc>
        <w:tc>
          <w:tcPr>
            <w:tcW w:w="1417" w:type="dxa"/>
            <w:shd w:val="clear" w:color="auto" w:fill="auto"/>
            <w:noWrap/>
            <w:hideMark/>
          </w:tcPr>
          <w:p w14:paraId="6D2AF89E" w14:textId="5CB5A8EC" w:rsidR="00D6532D" w:rsidRPr="0010404B" w:rsidRDefault="005D5B55" w:rsidP="00D6532D">
            <w:pPr>
              <w:jc w:val="right"/>
              <w:rPr>
                <w:b/>
                <w:bCs/>
                <w:sz w:val="20"/>
                <w:szCs w:val="20"/>
                <w:lang w:val="fr-FR" w:eastAsia="en-CA"/>
              </w:rPr>
            </w:pPr>
            <w:r>
              <w:rPr>
                <w:b/>
                <w:bCs/>
                <w:sz w:val="20"/>
                <w:szCs w:val="20"/>
                <w:lang w:val="fr-FR" w:eastAsia="en-CA"/>
              </w:rPr>
              <w:t xml:space="preserve">447 </w:t>
            </w:r>
            <w:r w:rsidR="00D6532D" w:rsidRPr="0010404B">
              <w:rPr>
                <w:b/>
                <w:bCs/>
                <w:sz w:val="20"/>
                <w:szCs w:val="20"/>
                <w:lang w:val="fr-FR" w:eastAsia="en-CA"/>
              </w:rPr>
              <w:t>845</w:t>
            </w:r>
          </w:p>
        </w:tc>
        <w:tc>
          <w:tcPr>
            <w:tcW w:w="1276" w:type="dxa"/>
            <w:shd w:val="clear" w:color="auto" w:fill="auto"/>
            <w:noWrap/>
            <w:hideMark/>
          </w:tcPr>
          <w:p w14:paraId="2490AA41" w14:textId="65F7DF5D" w:rsidR="00D6532D" w:rsidRPr="0010404B" w:rsidRDefault="005D5B55" w:rsidP="00D6532D">
            <w:pPr>
              <w:jc w:val="right"/>
              <w:rPr>
                <w:b/>
                <w:bCs/>
                <w:sz w:val="20"/>
                <w:szCs w:val="20"/>
                <w:lang w:val="fr-FR" w:eastAsia="en-CA"/>
              </w:rPr>
            </w:pPr>
            <w:r>
              <w:rPr>
                <w:b/>
                <w:bCs/>
                <w:sz w:val="20"/>
                <w:szCs w:val="20"/>
                <w:lang w:val="fr-FR" w:eastAsia="en-CA"/>
              </w:rPr>
              <w:t xml:space="preserve">435 </w:t>
            </w:r>
            <w:r w:rsidR="00D6532D" w:rsidRPr="0010404B">
              <w:rPr>
                <w:b/>
                <w:bCs/>
                <w:sz w:val="20"/>
                <w:szCs w:val="20"/>
                <w:lang w:val="fr-FR" w:eastAsia="en-CA"/>
              </w:rPr>
              <w:t>819</w:t>
            </w:r>
          </w:p>
        </w:tc>
      </w:tr>
      <w:tr w:rsidR="00D6532D" w:rsidRPr="0010404B" w14:paraId="660DE161" w14:textId="77777777" w:rsidTr="00C76B85">
        <w:trPr>
          <w:trHeight w:val="276"/>
        </w:trPr>
        <w:tc>
          <w:tcPr>
            <w:tcW w:w="9238" w:type="dxa"/>
            <w:gridSpan w:val="6"/>
            <w:shd w:val="clear" w:color="auto" w:fill="auto"/>
            <w:noWrap/>
            <w:hideMark/>
          </w:tcPr>
          <w:p w14:paraId="22E92A70" w14:textId="02BCF858" w:rsidR="00D6532D" w:rsidRPr="0010404B" w:rsidRDefault="00A026C9" w:rsidP="00D6532D">
            <w:pPr>
              <w:jc w:val="left"/>
              <w:rPr>
                <w:b/>
                <w:bCs/>
                <w:sz w:val="20"/>
                <w:szCs w:val="20"/>
                <w:lang w:val="fr-FR" w:eastAsia="en-CA"/>
              </w:rPr>
            </w:pPr>
            <w:r w:rsidRPr="0010404B">
              <w:rPr>
                <w:b/>
                <w:bCs/>
                <w:sz w:val="20"/>
                <w:szCs w:val="20"/>
                <w:lang w:val="fr-FR" w:eastAsia="en-CA"/>
              </w:rPr>
              <w:t xml:space="preserve">Activités </w:t>
            </w:r>
            <w:r w:rsidR="00757598">
              <w:rPr>
                <w:b/>
                <w:bCs/>
                <w:sz w:val="20"/>
                <w:szCs w:val="20"/>
                <w:lang w:val="fr-FR" w:eastAsia="en-CA"/>
              </w:rPr>
              <w:t>rel</w:t>
            </w:r>
            <w:r w:rsidR="00CA4F11" w:rsidRPr="0010404B">
              <w:rPr>
                <w:b/>
                <w:bCs/>
                <w:sz w:val="20"/>
                <w:szCs w:val="20"/>
                <w:lang w:val="fr-FR" w:eastAsia="en-CA"/>
              </w:rPr>
              <w:t xml:space="preserve">iées aux HFC </w:t>
            </w:r>
          </w:p>
        </w:tc>
      </w:tr>
      <w:tr w:rsidR="00D6532D" w:rsidRPr="0010404B" w14:paraId="148736B6" w14:textId="77777777" w:rsidTr="00C76B85">
        <w:trPr>
          <w:trHeight w:val="276"/>
        </w:trPr>
        <w:tc>
          <w:tcPr>
            <w:tcW w:w="3001" w:type="dxa"/>
            <w:shd w:val="clear" w:color="auto" w:fill="auto"/>
            <w:noWrap/>
            <w:hideMark/>
          </w:tcPr>
          <w:p w14:paraId="3D8C2626" w14:textId="66724AEF" w:rsidR="00D6532D" w:rsidRPr="0010404B" w:rsidRDefault="00D6532D" w:rsidP="00D6532D">
            <w:pPr>
              <w:jc w:val="left"/>
              <w:rPr>
                <w:sz w:val="20"/>
                <w:szCs w:val="20"/>
                <w:lang w:val="fr-FR" w:eastAsia="en-CA"/>
              </w:rPr>
            </w:pPr>
            <w:r w:rsidRPr="0010404B">
              <w:rPr>
                <w:sz w:val="20"/>
                <w:szCs w:val="20"/>
                <w:lang w:val="fr-FR" w:eastAsia="en-CA"/>
              </w:rPr>
              <w:t xml:space="preserve">HFC – </w:t>
            </w:r>
            <w:r w:rsidR="00CA4F11" w:rsidRPr="0010404B">
              <w:rPr>
                <w:sz w:val="20"/>
                <w:szCs w:val="20"/>
                <w:lang w:val="fr-FR" w:eastAsia="en-CA"/>
              </w:rPr>
              <w:t>activités de facilitation</w:t>
            </w:r>
          </w:p>
        </w:tc>
        <w:tc>
          <w:tcPr>
            <w:tcW w:w="1134" w:type="dxa"/>
            <w:shd w:val="clear" w:color="auto" w:fill="auto"/>
            <w:noWrap/>
            <w:hideMark/>
          </w:tcPr>
          <w:p w14:paraId="44A04676" w14:textId="77777777" w:rsidR="00D6532D" w:rsidRPr="0010404B" w:rsidRDefault="00D6532D" w:rsidP="00D6532D">
            <w:pPr>
              <w:jc w:val="right"/>
              <w:rPr>
                <w:sz w:val="20"/>
                <w:szCs w:val="20"/>
                <w:lang w:val="fr-FR" w:eastAsia="en-CA"/>
              </w:rPr>
            </w:pPr>
            <w:r w:rsidRPr="0010404B">
              <w:rPr>
                <w:sz w:val="20"/>
                <w:szCs w:val="20"/>
                <w:lang w:val="fr-FR" w:eastAsia="en-CA"/>
              </w:rPr>
              <w:t>316</w:t>
            </w:r>
          </w:p>
        </w:tc>
        <w:tc>
          <w:tcPr>
            <w:tcW w:w="1276" w:type="dxa"/>
            <w:shd w:val="clear" w:color="auto" w:fill="auto"/>
            <w:noWrap/>
            <w:hideMark/>
          </w:tcPr>
          <w:p w14:paraId="53BC01B8" w14:textId="77777777" w:rsidR="00D6532D" w:rsidRPr="0010404B" w:rsidRDefault="00D6532D" w:rsidP="00D6532D">
            <w:pPr>
              <w:jc w:val="right"/>
              <w:rPr>
                <w:sz w:val="20"/>
                <w:szCs w:val="20"/>
                <w:lang w:val="fr-FR" w:eastAsia="en-CA"/>
              </w:rPr>
            </w:pPr>
            <w:r w:rsidRPr="0010404B">
              <w:rPr>
                <w:sz w:val="20"/>
                <w:szCs w:val="20"/>
                <w:lang w:val="fr-FR" w:eastAsia="en-CA"/>
              </w:rPr>
              <w:t>262</w:t>
            </w:r>
          </w:p>
        </w:tc>
        <w:tc>
          <w:tcPr>
            <w:tcW w:w="1134" w:type="dxa"/>
            <w:shd w:val="clear" w:color="auto" w:fill="auto"/>
            <w:noWrap/>
            <w:hideMark/>
          </w:tcPr>
          <w:p w14:paraId="6E9ADC6A"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417" w:type="dxa"/>
            <w:shd w:val="clear" w:color="auto" w:fill="auto"/>
            <w:noWrap/>
            <w:hideMark/>
          </w:tcPr>
          <w:p w14:paraId="4606AFEA" w14:textId="77777777" w:rsidR="00D6532D" w:rsidRPr="0010404B" w:rsidRDefault="00D6532D" w:rsidP="00D6532D">
            <w:pPr>
              <w:jc w:val="right"/>
              <w:rPr>
                <w:sz w:val="20"/>
                <w:szCs w:val="20"/>
                <w:lang w:val="fr-FR" w:eastAsia="en-CA"/>
              </w:rPr>
            </w:pPr>
            <w:r w:rsidRPr="0010404B">
              <w:rPr>
                <w:sz w:val="20"/>
                <w:szCs w:val="20"/>
                <w:lang w:val="fr-FR" w:eastAsia="en-CA"/>
              </w:rPr>
              <w:t>578</w:t>
            </w:r>
          </w:p>
        </w:tc>
        <w:tc>
          <w:tcPr>
            <w:tcW w:w="1276" w:type="dxa"/>
            <w:shd w:val="clear" w:color="auto" w:fill="auto"/>
            <w:noWrap/>
            <w:hideMark/>
          </w:tcPr>
          <w:p w14:paraId="099782F2"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489E0C26" w14:textId="77777777" w:rsidTr="00C76B85">
        <w:trPr>
          <w:trHeight w:val="276"/>
        </w:trPr>
        <w:tc>
          <w:tcPr>
            <w:tcW w:w="3001" w:type="dxa"/>
            <w:shd w:val="clear" w:color="auto" w:fill="auto"/>
            <w:noWrap/>
            <w:hideMark/>
          </w:tcPr>
          <w:p w14:paraId="224AB1D2" w14:textId="49B1A8B0" w:rsidR="00D6532D" w:rsidRPr="0010404B" w:rsidRDefault="00D6532D" w:rsidP="00D6532D">
            <w:pPr>
              <w:jc w:val="left"/>
              <w:rPr>
                <w:sz w:val="20"/>
                <w:szCs w:val="20"/>
                <w:lang w:val="fr-FR" w:eastAsia="en-CA"/>
              </w:rPr>
            </w:pPr>
            <w:r w:rsidRPr="0010404B">
              <w:rPr>
                <w:sz w:val="20"/>
                <w:szCs w:val="20"/>
                <w:lang w:val="fr-FR" w:eastAsia="en-CA"/>
              </w:rPr>
              <w:t>HFC – invest</w:t>
            </w:r>
            <w:r w:rsidR="00CA4F11" w:rsidRPr="0010404B">
              <w:rPr>
                <w:sz w:val="20"/>
                <w:szCs w:val="20"/>
                <w:lang w:val="fr-FR" w:eastAsia="en-CA"/>
              </w:rPr>
              <w:t>isse</w:t>
            </w:r>
            <w:r w:rsidRPr="0010404B">
              <w:rPr>
                <w:sz w:val="20"/>
                <w:szCs w:val="20"/>
                <w:lang w:val="fr-FR" w:eastAsia="en-CA"/>
              </w:rPr>
              <w:t>ment</w:t>
            </w:r>
          </w:p>
        </w:tc>
        <w:tc>
          <w:tcPr>
            <w:tcW w:w="1134" w:type="dxa"/>
            <w:shd w:val="clear" w:color="auto" w:fill="auto"/>
            <w:noWrap/>
            <w:hideMark/>
          </w:tcPr>
          <w:p w14:paraId="269486A1" w14:textId="62C3F437" w:rsidR="00D6532D" w:rsidRPr="0010404B" w:rsidRDefault="00CA4F11"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819</w:t>
            </w:r>
          </w:p>
        </w:tc>
        <w:tc>
          <w:tcPr>
            <w:tcW w:w="1276" w:type="dxa"/>
            <w:shd w:val="clear" w:color="auto" w:fill="auto"/>
            <w:noWrap/>
            <w:hideMark/>
          </w:tcPr>
          <w:p w14:paraId="2AFD90F4"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134" w:type="dxa"/>
            <w:shd w:val="clear" w:color="auto" w:fill="auto"/>
            <w:noWrap/>
            <w:hideMark/>
          </w:tcPr>
          <w:p w14:paraId="5CAE9889"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417" w:type="dxa"/>
            <w:shd w:val="clear" w:color="auto" w:fill="auto"/>
            <w:noWrap/>
            <w:hideMark/>
          </w:tcPr>
          <w:p w14:paraId="311EACF1" w14:textId="44AB939B" w:rsidR="00D6532D" w:rsidRPr="0010404B" w:rsidRDefault="00CA4F11"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819</w:t>
            </w:r>
          </w:p>
        </w:tc>
        <w:tc>
          <w:tcPr>
            <w:tcW w:w="1276" w:type="dxa"/>
            <w:shd w:val="clear" w:color="auto" w:fill="auto"/>
            <w:noWrap/>
            <w:hideMark/>
          </w:tcPr>
          <w:p w14:paraId="00DD65FB"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55DBB3ED" w14:textId="77777777" w:rsidTr="00C76B85">
        <w:trPr>
          <w:trHeight w:val="276"/>
        </w:trPr>
        <w:tc>
          <w:tcPr>
            <w:tcW w:w="3001" w:type="dxa"/>
            <w:shd w:val="clear" w:color="auto" w:fill="auto"/>
            <w:noWrap/>
            <w:hideMark/>
          </w:tcPr>
          <w:p w14:paraId="7244EFF6" w14:textId="04F6E890" w:rsidR="00D6532D" w:rsidRPr="0010404B" w:rsidRDefault="00A026C9" w:rsidP="00D6532D">
            <w:pPr>
              <w:jc w:val="left"/>
              <w:rPr>
                <w:sz w:val="20"/>
                <w:szCs w:val="20"/>
                <w:lang w:val="fr-FR" w:eastAsia="en-CA"/>
              </w:rPr>
            </w:pPr>
            <w:r w:rsidRPr="0010404B">
              <w:rPr>
                <w:sz w:val="20"/>
                <w:szCs w:val="20"/>
                <w:lang w:val="fr-FR" w:eastAsia="en-CA"/>
              </w:rPr>
              <w:t xml:space="preserve">Plan de </w:t>
            </w:r>
            <w:r w:rsidR="00E91DB9" w:rsidRPr="0010404B">
              <w:rPr>
                <w:sz w:val="20"/>
                <w:szCs w:val="20"/>
                <w:lang w:val="fr-FR" w:eastAsia="en-CA"/>
              </w:rPr>
              <w:t>réduction</w:t>
            </w:r>
            <w:r w:rsidRPr="0010404B">
              <w:rPr>
                <w:sz w:val="20"/>
                <w:szCs w:val="20"/>
                <w:lang w:val="fr-FR" w:eastAsia="en-CA"/>
              </w:rPr>
              <w:t xml:space="preserve"> progressive des HFC</w:t>
            </w:r>
            <w:r w:rsidR="00D6532D" w:rsidRPr="0010404B">
              <w:rPr>
                <w:sz w:val="20"/>
                <w:szCs w:val="20"/>
                <w:lang w:val="fr-FR" w:eastAsia="en-CA"/>
              </w:rPr>
              <w:t xml:space="preserve"> – PRP</w:t>
            </w:r>
          </w:p>
        </w:tc>
        <w:tc>
          <w:tcPr>
            <w:tcW w:w="1134" w:type="dxa"/>
            <w:shd w:val="clear" w:color="auto" w:fill="auto"/>
            <w:noWrap/>
            <w:hideMark/>
          </w:tcPr>
          <w:p w14:paraId="59B693B9" w14:textId="565817CC" w:rsidR="00D6532D" w:rsidRPr="0010404B" w:rsidRDefault="00CA4F11" w:rsidP="00D6532D">
            <w:pPr>
              <w:jc w:val="right"/>
              <w:rPr>
                <w:sz w:val="20"/>
                <w:szCs w:val="20"/>
                <w:lang w:val="fr-FR" w:eastAsia="en-CA"/>
              </w:rPr>
            </w:pPr>
            <w:r w:rsidRPr="0010404B">
              <w:rPr>
                <w:sz w:val="20"/>
                <w:szCs w:val="20"/>
                <w:lang w:val="fr-FR" w:eastAsia="en-CA"/>
              </w:rPr>
              <w:t xml:space="preserve">6 </w:t>
            </w:r>
            <w:r w:rsidR="00D6532D" w:rsidRPr="0010404B">
              <w:rPr>
                <w:sz w:val="20"/>
                <w:szCs w:val="20"/>
                <w:lang w:val="fr-FR" w:eastAsia="en-CA"/>
              </w:rPr>
              <w:t>054</w:t>
            </w:r>
          </w:p>
        </w:tc>
        <w:tc>
          <w:tcPr>
            <w:tcW w:w="1276" w:type="dxa"/>
            <w:shd w:val="clear" w:color="auto" w:fill="auto"/>
            <w:noWrap/>
            <w:hideMark/>
          </w:tcPr>
          <w:p w14:paraId="4C4DF4A7" w14:textId="0AAE77F2" w:rsidR="00D6532D" w:rsidRPr="0010404B" w:rsidRDefault="00CA4F11"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976</w:t>
            </w:r>
          </w:p>
        </w:tc>
        <w:tc>
          <w:tcPr>
            <w:tcW w:w="1134" w:type="dxa"/>
            <w:shd w:val="clear" w:color="auto" w:fill="auto"/>
            <w:noWrap/>
            <w:hideMark/>
          </w:tcPr>
          <w:p w14:paraId="65AF7957" w14:textId="77777777" w:rsidR="00D6532D" w:rsidRPr="0010404B" w:rsidRDefault="00D6532D" w:rsidP="00D6532D">
            <w:pPr>
              <w:jc w:val="right"/>
              <w:rPr>
                <w:sz w:val="20"/>
                <w:szCs w:val="20"/>
                <w:lang w:val="fr-FR" w:eastAsia="en-CA"/>
              </w:rPr>
            </w:pPr>
            <w:r w:rsidRPr="0010404B">
              <w:rPr>
                <w:sz w:val="20"/>
                <w:szCs w:val="20"/>
                <w:lang w:val="fr-FR" w:eastAsia="en-CA"/>
              </w:rPr>
              <w:t>478</w:t>
            </w:r>
          </w:p>
        </w:tc>
        <w:tc>
          <w:tcPr>
            <w:tcW w:w="1417" w:type="dxa"/>
            <w:shd w:val="clear" w:color="auto" w:fill="auto"/>
            <w:noWrap/>
            <w:hideMark/>
          </w:tcPr>
          <w:p w14:paraId="17CEF42C" w14:textId="14F31786" w:rsidR="00D6532D" w:rsidRPr="0010404B" w:rsidRDefault="00CA4F11" w:rsidP="00D6532D">
            <w:pPr>
              <w:jc w:val="right"/>
              <w:rPr>
                <w:sz w:val="20"/>
                <w:szCs w:val="20"/>
                <w:lang w:val="fr-FR" w:eastAsia="en-CA"/>
              </w:rPr>
            </w:pPr>
            <w:r w:rsidRPr="0010404B">
              <w:rPr>
                <w:sz w:val="20"/>
                <w:szCs w:val="20"/>
                <w:lang w:val="fr-FR" w:eastAsia="en-CA"/>
              </w:rPr>
              <w:t xml:space="preserve">8 </w:t>
            </w:r>
            <w:r w:rsidR="00D6532D" w:rsidRPr="0010404B">
              <w:rPr>
                <w:sz w:val="20"/>
                <w:szCs w:val="20"/>
                <w:lang w:val="fr-FR" w:eastAsia="en-CA"/>
              </w:rPr>
              <w:t>508</w:t>
            </w:r>
          </w:p>
        </w:tc>
        <w:tc>
          <w:tcPr>
            <w:tcW w:w="1276" w:type="dxa"/>
            <w:shd w:val="clear" w:color="auto" w:fill="auto"/>
            <w:noWrap/>
            <w:hideMark/>
          </w:tcPr>
          <w:p w14:paraId="7979EF3B"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71C9FC65" w14:textId="77777777" w:rsidTr="00C76B85">
        <w:trPr>
          <w:trHeight w:val="276"/>
        </w:trPr>
        <w:tc>
          <w:tcPr>
            <w:tcW w:w="3001" w:type="dxa"/>
            <w:shd w:val="clear" w:color="auto" w:fill="auto"/>
            <w:noWrap/>
            <w:hideMark/>
          </w:tcPr>
          <w:p w14:paraId="689270EC" w14:textId="544A2A2F" w:rsidR="00D6532D" w:rsidRPr="0010404B" w:rsidRDefault="00A026C9" w:rsidP="00D6532D">
            <w:pPr>
              <w:jc w:val="left"/>
              <w:rPr>
                <w:sz w:val="20"/>
                <w:szCs w:val="20"/>
                <w:lang w:val="fr-FR" w:eastAsia="en-CA"/>
              </w:rPr>
            </w:pPr>
            <w:r w:rsidRPr="0010404B">
              <w:rPr>
                <w:sz w:val="20"/>
                <w:szCs w:val="20"/>
                <w:lang w:val="fr-FR" w:eastAsia="en-CA"/>
              </w:rPr>
              <w:t xml:space="preserve">Plan de </w:t>
            </w:r>
            <w:r w:rsidR="00E91DB9" w:rsidRPr="0010404B">
              <w:rPr>
                <w:sz w:val="20"/>
                <w:szCs w:val="20"/>
                <w:lang w:val="fr-FR" w:eastAsia="en-CA"/>
              </w:rPr>
              <w:t>réduction</w:t>
            </w:r>
            <w:r w:rsidRPr="0010404B">
              <w:rPr>
                <w:sz w:val="20"/>
                <w:szCs w:val="20"/>
                <w:lang w:val="fr-FR" w:eastAsia="en-CA"/>
              </w:rPr>
              <w:t xml:space="preserve"> progressive des HFC</w:t>
            </w:r>
            <w:r w:rsidR="00D6532D" w:rsidRPr="0010404B">
              <w:rPr>
                <w:sz w:val="20"/>
                <w:szCs w:val="20"/>
                <w:lang w:val="fr-FR" w:eastAsia="en-CA"/>
              </w:rPr>
              <w:t xml:space="preserve"> </w:t>
            </w:r>
          </w:p>
        </w:tc>
        <w:tc>
          <w:tcPr>
            <w:tcW w:w="1134" w:type="dxa"/>
            <w:shd w:val="clear" w:color="auto" w:fill="auto"/>
            <w:noWrap/>
            <w:hideMark/>
          </w:tcPr>
          <w:p w14:paraId="5503082B"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276" w:type="dxa"/>
            <w:shd w:val="clear" w:color="auto" w:fill="auto"/>
            <w:noWrap/>
            <w:hideMark/>
          </w:tcPr>
          <w:p w14:paraId="705D2BD1" w14:textId="77777777" w:rsidR="00D6532D" w:rsidRPr="0010404B" w:rsidRDefault="00D6532D" w:rsidP="00D6532D">
            <w:pPr>
              <w:jc w:val="right"/>
              <w:rPr>
                <w:sz w:val="20"/>
                <w:szCs w:val="20"/>
                <w:lang w:val="fr-FR" w:eastAsia="en-CA"/>
              </w:rPr>
            </w:pPr>
            <w:r w:rsidRPr="0010404B">
              <w:rPr>
                <w:sz w:val="20"/>
                <w:szCs w:val="20"/>
                <w:lang w:val="fr-FR" w:eastAsia="en-CA"/>
              </w:rPr>
              <w:t>0</w:t>
            </w:r>
          </w:p>
        </w:tc>
        <w:tc>
          <w:tcPr>
            <w:tcW w:w="1134" w:type="dxa"/>
            <w:shd w:val="clear" w:color="auto" w:fill="auto"/>
            <w:noWrap/>
            <w:hideMark/>
          </w:tcPr>
          <w:p w14:paraId="4166D4BB" w14:textId="29838A8F" w:rsidR="00D6532D" w:rsidRPr="0010404B" w:rsidRDefault="00CA4F11" w:rsidP="00D6532D">
            <w:pPr>
              <w:jc w:val="right"/>
              <w:rPr>
                <w:sz w:val="20"/>
                <w:szCs w:val="20"/>
                <w:lang w:val="fr-FR" w:eastAsia="en-CA"/>
              </w:rPr>
            </w:pPr>
            <w:r w:rsidRPr="0010404B">
              <w:rPr>
                <w:sz w:val="20"/>
                <w:szCs w:val="20"/>
                <w:lang w:val="fr-FR" w:eastAsia="en-CA"/>
              </w:rPr>
              <w:t xml:space="preserve">7 </w:t>
            </w:r>
            <w:r w:rsidR="00D6532D" w:rsidRPr="0010404B">
              <w:rPr>
                <w:sz w:val="20"/>
                <w:szCs w:val="20"/>
                <w:lang w:val="fr-FR" w:eastAsia="en-CA"/>
              </w:rPr>
              <w:t>290</w:t>
            </w:r>
          </w:p>
        </w:tc>
        <w:tc>
          <w:tcPr>
            <w:tcW w:w="1417" w:type="dxa"/>
            <w:shd w:val="clear" w:color="auto" w:fill="auto"/>
            <w:noWrap/>
            <w:hideMark/>
          </w:tcPr>
          <w:p w14:paraId="20FBE1AD" w14:textId="68891B6F" w:rsidR="00D6532D" w:rsidRPr="0010404B" w:rsidRDefault="00CA4F11" w:rsidP="00D6532D">
            <w:pPr>
              <w:jc w:val="right"/>
              <w:rPr>
                <w:sz w:val="20"/>
                <w:szCs w:val="20"/>
                <w:lang w:val="fr-FR" w:eastAsia="en-CA"/>
              </w:rPr>
            </w:pPr>
            <w:r w:rsidRPr="0010404B">
              <w:rPr>
                <w:sz w:val="20"/>
                <w:szCs w:val="20"/>
                <w:lang w:val="fr-FR" w:eastAsia="en-CA"/>
              </w:rPr>
              <w:t xml:space="preserve">7 </w:t>
            </w:r>
            <w:r w:rsidR="00D6532D" w:rsidRPr="0010404B">
              <w:rPr>
                <w:sz w:val="20"/>
                <w:szCs w:val="20"/>
                <w:lang w:val="fr-FR" w:eastAsia="en-CA"/>
              </w:rPr>
              <w:t>290</w:t>
            </w:r>
          </w:p>
        </w:tc>
        <w:tc>
          <w:tcPr>
            <w:tcW w:w="1276" w:type="dxa"/>
            <w:shd w:val="clear" w:color="auto" w:fill="auto"/>
            <w:noWrap/>
            <w:hideMark/>
          </w:tcPr>
          <w:p w14:paraId="7A0D7838"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6A6D9979" w14:textId="77777777" w:rsidTr="00C76B85">
        <w:trPr>
          <w:trHeight w:val="276"/>
        </w:trPr>
        <w:tc>
          <w:tcPr>
            <w:tcW w:w="3001" w:type="dxa"/>
            <w:shd w:val="clear" w:color="auto" w:fill="auto"/>
            <w:noWrap/>
            <w:hideMark/>
          </w:tcPr>
          <w:p w14:paraId="6CE498DD" w14:textId="268FE8B7" w:rsidR="00D6532D" w:rsidRPr="0010404B" w:rsidRDefault="00A026C9" w:rsidP="00D6532D">
            <w:pPr>
              <w:jc w:val="left"/>
              <w:rPr>
                <w:b/>
                <w:bCs/>
                <w:sz w:val="20"/>
                <w:szCs w:val="20"/>
                <w:lang w:val="fr-FR" w:eastAsia="en-CA"/>
              </w:rPr>
            </w:pPr>
            <w:r w:rsidRPr="0010404B">
              <w:rPr>
                <w:b/>
                <w:bCs/>
                <w:sz w:val="20"/>
                <w:szCs w:val="20"/>
                <w:lang w:val="fr-FR" w:eastAsia="en-CA"/>
              </w:rPr>
              <w:t xml:space="preserve">Sous-total des activités </w:t>
            </w:r>
            <w:r w:rsidR="00757598">
              <w:rPr>
                <w:b/>
                <w:bCs/>
                <w:sz w:val="20"/>
                <w:szCs w:val="20"/>
                <w:lang w:val="fr-FR" w:eastAsia="en-CA"/>
              </w:rPr>
              <w:t>re</w:t>
            </w:r>
            <w:r w:rsidRPr="0010404B">
              <w:rPr>
                <w:b/>
                <w:bCs/>
                <w:sz w:val="20"/>
                <w:szCs w:val="20"/>
                <w:lang w:val="fr-FR" w:eastAsia="en-CA"/>
              </w:rPr>
              <w:t xml:space="preserve">liées aux HFC </w:t>
            </w:r>
          </w:p>
        </w:tc>
        <w:tc>
          <w:tcPr>
            <w:tcW w:w="1134" w:type="dxa"/>
            <w:shd w:val="clear" w:color="auto" w:fill="auto"/>
            <w:noWrap/>
            <w:hideMark/>
          </w:tcPr>
          <w:p w14:paraId="18C93EF6" w14:textId="691DC886" w:rsidR="00D6532D" w:rsidRPr="0010404B" w:rsidRDefault="00CA4F11" w:rsidP="00D6532D">
            <w:pPr>
              <w:jc w:val="right"/>
              <w:rPr>
                <w:b/>
                <w:bCs/>
                <w:sz w:val="20"/>
                <w:szCs w:val="20"/>
                <w:lang w:val="fr-FR" w:eastAsia="en-CA"/>
              </w:rPr>
            </w:pPr>
            <w:r w:rsidRPr="0010404B">
              <w:rPr>
                <w:b/>
                <w:bCs/>
                <w:sz w:val="20"/>
                <w:szCs w:val="20"/>
                <w:lang w:val="fr-FR" w:eastAsia="en-CA"/>
              </w:rPr>
              <w:t xml:space="preserve">8 </w:t>
            </w:r>
            <w:r w:rsidR="00D6532D" w:rsidRPr="0010404B">
              <w:rPr>
                <w:b/>
                <w:bCs/>
                <w:sz w:val="20"/>
                <w:szCs w:val="20"/>
                <w:lang w:val="fr-FR" w:eastAsia="en-CA"/>
              </w:rPr>
              <w:t>188</w:t>
            </w:r>
          </w:p>
        </w:tc>
        <w:tc>
          <w:tcPr>
            <w:tcW w:w="1276" w:type="dxa"/>
            <w:shd w:val="clear" w:color="auto" w:fill="auto"/>
            <w:noWrap/>
            <w:hideMark/>
          </w:tcPr>
          <w:p w14:paraId="7B8133C3" w14:textId="38CAEA7F" w:rsidR="00D6532D" w:rsidRPr="0010404B" w:rsidRDefault="00CA4F11" w:rsidP="00D6532D">
            <w:pPr>
              <w:jc w:val="right"/>
              <w:rPr>
                <w:b/>
                <w:bCs/>
                <w:sz w:val="20"/>
                <w:szCs w:val="20"/>
                <w:lang w:val="fr-FR" w:eastAsia="en-CA"/>
              </w:rPr>
            </w:pPr>
            <w:r w:rsidRPr="0010404B">
              <w:rPr>
                <w:b/>
                <w:bCs/>
                <w:sz w:val="20"/>
                <w:szCs w:val="20"/>
                <w:lang w:val="fr-FR" w:eastAsia="en-CA"/>
              </w:rPr>
              <w:t xml:space="preserve">2 </w:t>
            </w:r>
            <w:r w:rsidR="00D6532D" w:rsidRPr="0010404B">
              <w:rPr>
                <w:b/>
                <w:bCs/>
                <w:sz w:val="20"/>
                <w:szCs w:val="20"/>
                <w:lang w:val="fr-FR" w:eastAsia="en-CA"/>
              </w:rPr>
              <w:t>238</w:t>
            </w:r>
          </w:p>
        </w:tc>
        <w:tc>
          <w:tcPr>
            <w:tcW w:w="1134" w:type="dxa"/>
            <w:shd w:val="clear" w:color="auto" w:fill="auto"/>
            <w:noWrap/>
            <w:hideMark/>
          </w:tcPr>
          <w:p w14:paraId="26ABBC39" w14:textId="36F0ABF6" w:rsidR="00D6532D" w:rsidRPr="0010404B" w:rsidRDefault="00CA4F11" w:rsidP="00D6532D">
            <w:pPr>
              <w:jc w:val="right"/>
              <w:rPr>
                <w:b/>
                <w:bCs/>
                <w:sz w:val="20"/>
                <w:szCs w:val="20"/>
                <w:lang w:val="fr-FR" w:eastAsia="en-CA"/>
              </w:rPr>
            </w:pPr>
            <w:r w:rsidRPr="0010404B">
              <w:rPr>
                <w:b/>
                <w:bCs/>
                <w:sz w:val="20"/>
                <w:szCs w:val="20"/>
                <w:lang w:val="fr-FR" w:eastAsia="en-CA"/>
              </w:rPr>
              <w:t xml:space="preserve">7 </w:t>
            </w:r>
            <w:r w:rsidR="00D6532D" w:rsidRPr="0010404B">
              <w:rPr>
                <w:b/>
                <w:bCs/>
                <w:sz w:val="20"/>
                <w:szCs w:val="20"/>
                <w:lang w:val="fr-FR" w:eastAsia="en-CA"/>
              </w:rPr>
              <w:t>768</w:t>
            </w:r>
          </w:p>
        </w:tc>
        <w:tc>
          <w:tcPr>
            <w:tcW w:w="1417" w:type="dxa"/>
            <w:shd w:val="clear" w:color="auto" w:fill="auto"/>
            <w:noWrap/>
            <w:hideMark/>
          </w:tcPr>
          <w:p w14:paraId="25609E44" w14:textId="47FFADD5" w:rsidR="00D6532D" w:rsidRPr="0010404B" w:rsidRDefault="00CA4F11" w:rsidP="00D6532D">
            <w:pPr>
              <w:jc w:val="right"/>
              <w:rPr>
                <w:b/>
                <w:bCs/>
                <w:sz w:val="20"/>
                <w:szCs w:val="20"/>
                <w:lang w:val="fr-FR" w:eastAsia="en-CA"/>
              </w:rPr>
            </w:pPr>
            <w:r w:rsidRPr="0010404B">
              <w:rPr>
                <w:b/>
                <w:bCs/>
                <w:sz w:val="20"/>
                <w:szCs w:val="20"/>
                <w:lang w:val="fr-FR" w:eastAsia="en-CA"/>
              </w:rPr>
              <w:t xml:space="preserve">18 </w:t>
            </w:r>
            <w:r w:rsidR="00D6532D" w:rsidRPr="0010404B">
              <w:rPr>
                <w:b/>
                <w:bCs/>
                <w:sz w:val="20"/>
                <w:szCs w:val="20"/>
                <w:lang w:val="fr-FR" w:eastAsia="en-CA"/>
              </w:rPr>
              <w:t>195</w:t>
            </w:r>
          </w:p>
        </w:tc>
        <w:tc>
          <w:tcPr>
            <w:tcW w:w="1276" w:type="dxa"/>
            <w:shd w:val="clear" w:color="auto" w:fill="auto"/>
            <w:noWrap/>
            <w:hideMark/>
          </w:tcPr>
          <w:p w14:paraId="06A45C17" w14:textId="77777777" w:rsidR="00D6532D" w:rsidRPr="0010404B" w:rsidRDefault="00D6532D" w:rsidP="00D6532D">
            <w:pPr>
              <w:jc w:val="right"/>
              <w:rPr>
                <w:b/>
                <w:bCs/>
                <w:sz w:val="20"/>
                <w:szCs w:val="20"/>
                <w:lang w:val="fr-FR" w:eastAsia="en-CA"/>
              </w:rPr>
            </w:pPr>
            <w:r w:rsidRPr="0010404B">
              <w:rPr>
                <w:b/>
                <w:bCs/>
                <w:sz w:val="20"/>
                <w:szCs w:val="20"/>
                <w:lang w:val="fr-FR" w:eastAsia="en-CA"/>
              </w:rPr>
              <w:t>0</w:t>
            </w:r>
          </w:p>
        </w:tc>
      </w:tr>
      <w:tr w:rsidR="00D6532D" w:rsidRPr="0010404B" w14:paraId="317F7EF6" w14:textId="77777777" w:rsidTr="00C76B85">
        <w:trPr>
          <w:trHeight w:val="276"/>
        </w:trPr>
        <w:tc>
          <w:tcPr>
            <w:tcW w:w="9238" w:type="dxa"/>
            <w:gridSpan w:val="6"/>
            <w:shd w:val="clear" w:color="auto" w:fill="auto"/>
            <w:noWrap/>
            <w:hideMark/>
          </w:tcPr>
          <w:p w14:paraId="09A59CDD" w14:textId="75505A94" w:rsidR="00D6532D" w:rsidRPr="0010404B" w:rsidRDefault="00A026C9" w:rsidP="00CA357E">
            <w:pPr>
              <w:jc w:val="left"/>
              <w:rPr>
                <w:b/>
                <w:bCs/>
                <w:sz w:val="20"/>
                <w:szCs w:val="20"/>
                <w:lang w:val="fr-FR" w:eastAsia="en-CA"/>
              </w:rPr>
            </w:pPr>
            <w:r w:rsidRPr="0010404B">
              <w:rPr>
                <w:b/>
                <w:bCs/>
                <w:sz w:val="20"/>
                <w:szCs w:val="20"/>
                <w:lang w:val="fr-FR" w:eastAsia="en-CA"/>
              </w:rPr>
              <w:t>Activités</w:t>
            </w:r>
            <w:r w:rsidR="00757598">
              <w:rPr>
                <w:b/>
                <w:bCs/>
                <w:sz w:val="20"/>
                <w:szCs w:val="20"/>
                <w:lang w:val="fr-FR" w:eastAsia="en-CA"/>
              </w:rPr>
              <w:t xml:space="preserve"> standard</w:t>
            </w:r>
            <w:r w:rsidRPr="0010404B">
              <w:rPr>
                <w:b/>
                <w:bCs/>
                <w:sz w:val="20"/>
                <w:szCs w:val="20"/>
                <w:lang w:val="fr-FR" w:eastAsia="en-CA"/>
              </w:rPr>
              <w:t xml:space="preserve"> </w:t>
            </w:r>
          </w:p>
        </w:tc>
      </w:tr>
      <w:tr w:rsidR="00D6532D" w:rsidRPr="0010404B" w14:paraId="0333A86D" w14:textId="77777777" w:rsidTr="00C76B85">
        <w:trPr>
          <w:trHeight w:val="276"/>
        </w:trPr>
        <w:tc>
          <w:tcPr>
            <w:tcW w:w="3001" w:type="dxa"/>
            <w:shd w:val="clear" w:color="auto" w:fill="auto"/>
            <w:noWrap/>
            <w:hideMark/>
          </w:tcPr>
          <w:p w14:paraId="03367172" w14:textId="462E121E" w:rsidR="00D6532D" w:rsidRPr="0010404B" w:rsidRDefault="00D6532D" w:rsidP="00D6532D">
            <w:pPr>
              <w:jc w:val="left"/>
              <w:rPr>
                <w:sz w:val="20"/>
                <w:szCs w:val="20"/>
                <w:lang w:val="fr-FR" w:eastAsia="en-CA"/>
              </w:rPr>
            </w:pPr>
            <w:r w:rsidRPr="0010404B">
              <w:rPr>
                <w:sz w:val="20"/>
                <w:szCs w:val="20"/>
                <w:lang w:val="fr-FR" w:eastAsia="en-CA"/>
              </w:rPr>
              <w:t xml:space="preserve"> Programme </w:t>
            </w:r>
            <w:r w:rsidR="00A026C9" w:rsidRPr="0010404B">
              <w:rPr>
                <w:sz w:val="20"/>
                <w:szCs w:val="20"/>
                <w:lang w:val="fr-FR" w:eastAsia="en-CA"/>
              </w:rPr>
              <w:t>d’aide à la conformité (</w:t>
            </w:r>
            <w:r w:rsidRPr="0010404B">
              <w:rPr>
                <w:sz w:val="20"/>
                <w:szCs w:val="20"/>
                <w:lang w:val="fr-FR" w:eastAsia="en-CA"/>
              </w:rPr>
              <w:t>P</w:t>
            </w:r>
            <w:r w:rsidR="00A026C9" w:rsidRPr="0010404B">
              <w:rPr>
                <w:sz w:val="20"/>
                <w:szCs w:val="20"/>
                <w:lang w:val="fr-FR" w:eastAsia="en-CA"/>
              </w:rPr>
              <w:t>AC</w:t>
            </w:r>
            <w:r w:rsidRPr="0010404B">
              <w:rPr>
                <w:sz w:val="20"/>
                <w:szCs w:val="20"/>
                <w:lang w:val="fr-FR" w:eastAsia="en-CA"/>
              </w:rPr>
              <w:t>)</w:t>
            </w:r>
          </w:p>
        </w:tc>
        <w:tc>
          <w:tcPr>
            <w:tcW w:w="1134" w:type="dxa"/>
            <w:shd w:val="clear" w:color="auto" w:fill="auto"/>
            <w:noWrap/>
            <w:hideMark/>
          </w:tcPr>
          <w:p w14:paraId="5AAAE03B" w14:textId="1749BF01" w:rsidR="00D6532D" w:rsidRPr="0010404B" w:rsidRDefault="00CA4F11" w:rsidP="00D6532D">
            <w:pPr>
              <w:jc w:val="right"/>
              <w:rPr>
                <w:sz w:val="20"/>
                <w:szCs w:val="20"/>
                <w:lang w:val="fr-FR" w:eastAsia="en-CA"/>
              </w:rPr>
            </w:pPr>
            <w:r w:rsidRPr="0010404B">
              <w:rPr>
                <w:sz w:val="20"/>
                <w:szCs w:val="20"/>
                <w:lang w:val="fr-FR" w:eastAsia="en-CA"/>
              </w:rPr>
              <w:t xml:space="preserve">11 </w:t>
            </w:r>
            <w:r w:rsidR="00D6532D" w:rsidRPr="0010404B">
              <w:rPr>
                <w:sz w:val="20"/>
                <w:szCs w:val="20"/>
                <w:lang w:val="fr-FR" w:eastAsia="en-CA"/>
              </w:rPr>
              <w:t>428</w:t>
            </w:r>
          </w:p>
        </w:tc>
        <w:tc>
          <w:tcPr>
            <w:tcW w:w="1276" w:type="dxa"/>
            <w:shd w:val="clear" w:color="auto" w:fill="auto"/>
            <w:noWrap/>
            <w:hideMark/>
          </w:tcPr>
          <w:p w14:paraId="68690BA7" w14:textId="2C59B8BE" w:rsidR="00D6532D" w:rsidRPr="0010404B" w:rsidRDefault="00CA4F11" w:rsidP="00D6532D">
            <w:pPr>
              <w:jc w:val="right"/>
              <w:rPr>
                <w:sz w:val="20"/>
                <w:szCs w:val="20"/>
                <w:lang w:val="fr-FR" w:eastAsia="en-CA"/>
              </w:rPr>
            </w:pPr>
            <w:r w:rsidRPr="0010404B">
              <w:rPr>
                <w:sz w:val="20"/>
                <w:szCs w:val="20"/>
                <w:lang w:val="fr-FR" w:eastAsia="en-CA"/>
              </w:rPr>
              <w:t xml:space="preserve">11 </w:t>
            </w:r>
            <w:r w:rsidR="00D6532D" w:rsidRPr="0010404B">
              <w:rPr>
                <w:sz w:val="20"/>
                <w:szCs w:val="20"/>
                <w:lang w:val="fr-FR" w:eastAsia="en-CA"/>
              </w:rPr>
              <w:t>771</w:t>
            </w:r>
          </w:p>
        </w:tc>
        <w:tc>
          <w:tcPr>
            <w:tcW w:w="1134" w:type="dxa"/>
            <w:shd w:val="clear" w:color="auto" w:fill="auto"/>
            <w:noWrap/>
            <w:hideMark/>
          </w:tcPr>
          <w:p w14:paraId="20F0FCCE" w14:textId="53C8ABAB" w:rsidR="00D6532D" w:rsidRPr="0010404B" w:rsidRDefault="00CA4F11" w:rsidP="00D6532D">
            <w:pPr>
              <w:jc w:val="right"/>
              <w:rPr>
                <w:sz w:val="20"/>
                <w:szCs w:val="20"/>
                <w:lang w:val="fr-FR" w:eastAsia="en-CA"/>
              </w:rPr>
            </w:pPr>
            <w:r w:rsidRPr="0010404B">
              <w:rPr>
                <w:sz w:val="20"/>
                <w:szCs w:val="20"/>
                <w:lang w:val="fr-FR" w:eastAsia="en-CA"/>
              </w:rPr>
              <w:t xml:space="preserve">12 </w:t>
            </w:r>
            <w:r w:rsidR="00D6532D" w:rsidRPr="0010404B">
              <w:rPr>
                <w:sz w:val="20"/>
                <w:szCs w:val="20"/>
                <w:lang w:val="fr-FR" w:eastAsia="en-CA"/>
              </w:rPr>
              <w:t>124</w:t>
            </w:r>
          </w:p>
        </w:tc>
        <w:tc>
          <w:tcPr>
            <w:tcW w:w="1417" w:type="dxa"/>
            <w:shd w:val="clear" w:color="auto" w:fill="auto"/>
            <w:noWrap/>
            <w:hideMark/>
          </w:tcPr>
          <w:p w14:paraId="581F3D55" w14:textId="7EAC8964" w:rsidR="00D6532D" w:rsidRPr="0010404B" w:rsidRDefault="00CA4F11" w:rsidP="00D6532D">
            <w:pPr>
              <w:jc w:val="right"/>
              <w:rPr>
                <w:sz w:val="20"/>
                <w:szCs w:val="20"/>
                <w:lang w:val="fr-FR" w:eastAsia="en-CA"/>
              </w:rPr>
            </w:pPr>
            <w:r w:rsidRPr="0010404B">
              <w:rPr>
                <w:sz w:val="20"/>
                <w:szCs w:val="20"/>
                <w:lang w:val="fr-FR" w:eastAsia="en-CA"/>
              </w:rPr>
              <w:t xml:space="preserve">35 </w:t>
            </w:r>
            <w:r w:rsidR="00D6532D" w:rsidRPr="0010404B">
              <w:rPr>
                <w:sz w:val="20"/>
                <w:szCs w:val="20"/>
                <w:lang w:val="fr-FR" w:eastAsia="en-CA"/>
              </w:rPr>
              <w:t>324</w:t>
            </w:r>
          </w:p>
        </w:tc>
        <w:tc>
          <w:tcPr>
            <w:tcW w:w="1276" w:type="dxa"/>
            <w:shd w:val="clear" w:color="auto" w:fill="auto"/>
            <w:noWrap/>
            <w:hideMark/>
          </w:tcPr>
          <w:p w14:paraId="4180BF32"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791694D6" w14:textId="77777777" w:rsidTr="00C76B85">
        <w:trPr>
          <w:trHeight w:val="276"/>
        </w:trPr>
        <w:tc>
          <w:tcPr>
            <w:tcW w:w="3001" w:type="dxa"/>
            <w:shd w:val="clear" w:color="auto" w:fill="auto"/>
            <w:noWrap/>
            <w:hideMark/>
          </w:tcPr>
          <w:p w14:paraId="6FD1071B" w14:textId="393D2AA7" w:rsidR="00D6532D" w:rsidRPr="0010404B" w:rsidRDefault="00757598" w:rsidP="00D6532D">
            <w:pPr>
              <w:jc w:val="left"/>
              <w:rPr>
                <w:sz w:val="20"/>
                <w:szCs w:val="20"/>
                <w:lang w:val="fr-FR" w:eastAsia="en-CA"/>
              </w:rPr>
            </w:pPr>
            <w:r>
              <w:rPr>
                <w:sz w:val="20"/>
                <w:szCs w:val="20"/>
                <w:lang w:val="fr-FR" w:eastAsia="en-CA"/>
              </w:rPr>
              <w:t>Coûts de base</w:t>
            </w:r>
          </w:p>
        </w:tc>
        <w:tc>
          <w:tcPr>
            <w:tcW w:w="1134" w:type="dxa"/>
            <w:shd w:val="clear" w:color="auto" w:fill="auto"/>
            <w:noWrap/>
            <w:hideMark/>
          </w:tcPr>
          <w:p w14:paraId="410A88C7" w14:textId="16DD48E7" w:rsidR="00D6532D" w:rsidRPr="0010404B" w:rsidRDefault="00CA4F11" w:rsidP="00D6532D">
            <w:pPr>
              <w:jc w:val="right"/>
              <w:rPr>
                <w:sz w:val="20"/>
                <w:szCs w:val="20"/>
                <w:lang w:val="fr-FR" w:eastAsia="en-CA"/>
              </w:rPr>
            </w:pPr>
            <w:r w:rsidRPr="0010404B">
              <w:rPr>
                <w:sz w:val="20"/>
                <w:szCs w:val="20"/>
                <w:lang w:val="fr-FR" w:eastAsia="en-CA"/>
              </w:rPr>
              <w:t xml:space="preserve">5 </w:t>
            </w:r>
            <w:r w:rsidR="00D6532D" w:rsidRPr="0010404B">
              <w:rPr>
                <w:sz w:val="20"/>
                <w:szCs w:val="20"/>
                <w:lang w:val="fr-FR" w:eastAsia="en-CA"/>
              </w:rPr>
              <w:t>961</w:t>
            </w:r>
          </w:p>
        </w:tc>
        <w:tc>
          <w:tcPr>
            <w:tcW w:w="1276" w:type="dxa"/>
            <w:shd w:val="clear" w:color="auto" w:fill="auto"/>
            <w:noWrap/>
            <w:hideMark/>
          </w:tcPr>
          <w:p w14:paraId="4C2E0F56" w14:textId="719DBDDA" w:rsidR="00D6532D" w:rsidRPr="0010404B" w:rsidRDefault="00CA4F11" w:rsidP="00D6532D">
            <w:pPr>
              <w:jc w:val="right"/>
              <w:rPr>
                <w:sz w:val="20"/>
                <w:szCs w:val="20"/>
                <w:lang w:val="fr-FR" w:eastAsia="en-CA"/>
              </w:rPr>
            </w:pPr>
            <w:r w:rsidRPr="0010404B">
              <w:rPr>
                <w:sz w:val="20"/>
                <w:szCs w:val="20"/>
                <w:lang w:val="fr-FR" w:eastAsia="en-CA"/>
              </w:rPr>
              <w:t xml:space="preserve">6 </w:t>
            </w:r>
            <w:r w:rsidR="00D6532D" w:rsidRPr="0010404B">
              <w:rPr>
                <w:sz w:val="20"/>
                <w:szCs w:val="20"/>
                <w:lang w:val="fr-FR" w:eastAsia="en-CA"/>
              </w:rPr>
              <w:t>003</w:t>
            </w:r>
          </w:p>
        </w:tc>
        <w:tc>
          <w:tcPr>
            <w:tcW w:w="1134" w:type="dxa"/>
            <w:shd w:val="clear" w:color="auto" w:fill="auto"/>
            <w:noWrap/>
            <w:hideMark/>
          </w:tcPr>
          <w:p w14:paraId="1E0F364D" w14:textId="30599946" w:rsidR="00D6532D" w:rsidRPr="0010404B" w:rsidRDefault="00CA4F11" w:rsidP="00D6532D">
            <w:pPr>
              <w:jc w:val="right"/>
              <w:rPr>
                <w:sz w:val="20"/>
                <w:szCs w:val="20"/>
                <w:lang w:val="fr-FR" w:eastAsia="en-CA"/>
              </w:rPr>
            </w:pPr>
            <w:r w:rsidRPr="0010404B">
              <w:rPr>
                <w:sz w:val="20"/>
                <w:szCs w:val="20"/>
                <w:lang w:val="fr-FR" w:eastAsia="en-CA"/>
              </w:rPr>
              <w:t xml:space="preserve">6 </w:t>
            </w:r>
            <w:r w:rsidR="00D6532D" w:rsidRPr="0010404B">
              <w:rPr>
                <w:sz w:val="20"/>
                <w:szCs w:val="20"/>
                <w:lang w:val="fr-FR" w:eastAsia="en-CA"/>
              </w:rPr>
              <w:t>045</w:t>
            </w:r>
          </w:p>
        </w:tc>
        <w:tc>
          <w:tcPr>
            <w:tcW w:w="1417" w:type="dxa"/>
            <w:shd w:val="clear" w:color="auto" w:fill="auto"/>
            <w:noWrap/>
            <w:hideMark/>
          </w:tcPr>
          <w:p w14:paraId="48A2FC91" w14:textId="268D2FF8" w:rsidR="00D6532D" w:rsidRPr="0010404B" w:rsidRDefault="00CA4F11" w:rsidP="00D6532D">
            <w:pPr>
              <w:jc w:val="right"/>
              <w:rPr>
                <w:sz w:val="20"/>
                <w:szCs w:val="20"/>
                <w:lang w:val="fr-FR" w:eastAsia="en-CA"/>
              </w:rPr>
            </w:pPr>
            <w:r w:rsidRPr="0010404B">
              <w:rPr>
                <w:sz w:val="20"/>
                <w:szCs w:val="20"/>
                <w:lang w:val="fr-FR" w:eastAsia="en-CA"/>
              </w:rPr>
              <w:t xml:space="preserve">18 </w:t>
            </w:r>
            <w:r w:rsidR="00D6532D" w:rsidRPr="0010404B">
              <w:rPr>
                <w:sz w:val="20"/>
                <w:szCs w:val="20"/>
                <w:lang w:val="fr-FR" w:eastAsia="en-CA"/>
              </w:rPr>
              <w:t>009</w:t>
            </w:r>
          </w:p>
        </w:tc>
        <w:tc>
          <w:tcPr>
            <w:tcW w:w="1276" w:type="dxa"/>
            <w:shd w:val="clear" w:color="auto" w:fill="auto"/>
            <w:noWrap/>
            <w:hideMark/>
          </w:tcPr>
          <w:p w14:paraId="2FC0234A"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780D2B23" w14:textId="77777777" w:rsidTr="00C76B85">
        <w:trPr>
          <w:trHeight w:val="276"/>
        </w:trPr>
        <w:tc>
          <w:tcPr>
            <w:tcW w:w="3001" w:type="dxa"/>
            <w:shd w:val="clear" w:color="auto" w:fill="auto"/>
            <w:noWrap/>
            <w:hideMark/>
          </w:tcPr>
          <w:p w14:paraId="7258D677" w14:textId="0FF913C7" w:rsidR="00D6532D" w:rsidRPr="0010404B" w:rsidRDefault="00CA357E" w:rsidP="00D6532D">
            <w:pPr>
              <w:jc w:val="left"/>
              <w:rPr>
                <w:sz w:val="20"/>
                <w:szCs w:val="20"/>
                <w:lang w:val="fr-FR" w:eastAsia="en-CA"/>
              </w:rPr>
            </w:pPr>
            <w:r w:rsidRPr="0010404B">
              <w:rPr>
                <w:sz w:val="20"/>
                <w:szCs w:val="20"/>
                <w:lang w:val="fr-FR" w:eastAsia="en-CA"/>
              </w:rPr>
              <w:t>Renforcement des i</w:t>
            </w:r>
            <w:r w:rsidR="00D6532D" w:rsidRPr="0010404B">
              <w:rPr>
                <w:sz w:val="20"/>
                <w:szCs w:val="20"/>
                <w:lang w:val="fr-FR" w:eastAsia="en-CA"/>
              </w:rPr>
              <w:t>nstitution</w:t>
            </w:r>
            <w:r w:rsidRPr="0010404B">
              <w:rPr>
                <w:sz w:val="20"/>
                <w:szCs w:val="20"/>
                <w:lang w:val="fr-FR" w:eastAsia="en-CA"/>
              </w:rPr>
              <w:t xml:space="preserve">s </w:t>
            </w:r>
          </w:p>
        </w:tc>
        <w:tc>
          <w:tcPr>
            <w:tcW w:w="1134" w:type="dxa"/>
            <w:shd w:val="clear" w:color="auto" w:fill="auto"/>
            <w:noWrap/>
            <w:hideMark/>
          </w:tcPr>
          <w:p w14:paraId="552895D4" w14:textId="0F51312A" w:rsidR="00D6532D" w:rsidRPr="0010404B" w:rsidRDefault="00CA4F11" w:rsidP="00D6532D">
            <w:pPr>
              <w:jc w:val="right"/>
              <w:rPr>
                <w:sz w:val="20"/>
                <w:szCs w:val="20"/>
                <w:lang w:val="fr-FR" w:eastAsia="en-CA"/>
              </w:rPr>
            </w:pPr>
            <w:r w:rsidRPr="0010404B">
              <w:rPr>
                <w:sz w:val="20"/>
                <w:szCs w:val="20"/>
                <w:lang w:val="fr-FR" w:eastAsia="en-CA"/>
              </w:rPr>
              <w:t xml:space="preserve">11 </w:t>
            </w:r>
            <w:r w:rsidR="00D6532D" w:rsidRPr="0010404B">
              <w:rPr>
                <w:sz w:val="20"/>
                <w:szCs w:val="20"/>
                <w:lang w:val="fr-FR" w:eastAsia="en-CA"/>
              </w:rPr>
              <w:t>741</w:t>
            </w:r>
          </w:p>
        </w:tc>
        <w:tc>
          <w:tcPr>
            <w:tcW w:w="1276" w:type="dxa"/>
            <w:shd w:val="clear" w:color="auto" w:fill="auto"/>
            <w:noWrap/>
            <w:hideMark/>
          </w:tcPr>
          <w:p w14:paraId="1108D6F0" w14:textId="6DB9E756" w:rsidR="00D6532D" w:rsidRPr="0010404B" w:rsidRDefault="00CA4F11" w:rsidP="00D6532D">
            <w:pPr>
              <w:jc w:val="right"/>
              <w:rPr>
                <w:sz w:val="20"/>
                <w:szCs w:val="20"/>
                <w:lang w:val="fr-FR" w:eastAsia="en-CA"/>
              </w:rPr>
            </w:pPr>
            <w:r w:rsidRPr="0010404B">
              <w:rPr>
                <w:sz w:val="20"/>
                <w:szCs w:val="20"/>
                <w:lang w:val="fr-FR" w:eastAsia="en-CA"/>
              </w:rPr>
              <w:t xml:space="preserve">9 </w:t>
            </w:r>
            <w:r w:rsidR="00D6532D" w:rsidRPr="0010404B">
              <w:rPr>
                <w:sz w:val="20"/>
                <w:szCs w:val="20"/>
                <w:lang w:val="fr-FR" w:eastAsia="en-CA"/>
              </w:rPr>
              <w:t>858</w:t>
            </w:r>
          </w:p>
        </w:tc>
        <w:tc>
          <w:tcPr>
            <w:tcW w:w="1134" w:type="dxa"/>
            <w:shd w:val="clear" w:color="auto" w:fill="auto"/>
            <w:noWrap/>
            <w:hideMark/>
          </w:tcPr>
          <w:p w14:paraId="1B2A5E67" w14:textId="2D903BD1" w:rsidR="00D6532D" w:rsidRPr="0010404B" w:rsidRDefault="00CA4F11" w:rsidP="00D6532D">
            <w:pPr>
              <w:jc w:val="right"/>
              <w:rPr>
                <w:sz w:val="20"/>
                <w:szCs w:val="20"/>
                <w:lang w:val="fr-FR" w:eastAsia="en-CA"/>
              </w:rPr>
            </w:pPr>
            <w:r w:rsidRPr="0010404B">
              <w:rPr>
                <w:sz w:val="20"/>
                <w:szCs w:val="20"/>
                <w:lang w:val="fr-FR" w:eastAsia="en-CA"/>
              </w:rPr>
              <w:t xml:space="preserve">11 </w:t>
            </w:r>
            <w:r w:rsidR="00D6532D" w:rsidRPr="0010404B">
              <w:rPr>
                <w:sz w:val="20"/>
                <w:szCs w:val="20"/>
                <w:lang w:val="fr-FR" w:eastAsia="en-CA"/>
              </w:rPr>
              <w:t>741</w:t>
            </w:r>
          </w:p>
        </w:tc>
        <w:tc>
          <w:tcPr>
            <w:tcW w:w="1417" w:type="dxa"/>
            <w:shd w:val="clear" w:color="auto" w:fill="auto"/>
            <w:noWrap/>
            <w:hideMark/>
          </w:tcPr>
          <w:p w14:paraId="43744526" w14:textId="78079B43" w:rsidR="00D6532D" w:rsidRPr="0010404B" w:rsidRDefault="00CA4F11" w:rsidP="00D6532D">
            <w:pPr>
              <w:jc w:val="right"/>
              <w:rPr>
                <w:sz w:val="20"/>
                <w:szCs w:val="20"/>
                <w:lang w:val="fr-FR" w:eastAsia="en-CA"/>
              </w:rPr>
            </w:pPr>
            <w:r w:rsidRPr="0010404B">
              <w:rPr>
                <w:sz w:val="20"/>
                <w:szCs w:val="20"/>
                <w:lang w:val="fr-FR" w:eastAsia="en-CA"/>
              </w:rPr>
              <w:t xml:space="preserve">33 </w:t>
            </w:r>
            <w:r w:rsidR="00D6532D" w:rsidRPr="0010404B">
              <w:rPr>
                <w:sz w:val="20"/>
                <w:szCs w:val="20"/>
                <w:lang w:val="fr-FR" w:eastAsia="en-CA"/>
              </w:rPr>
              <w:t>340</w:t>
            </w:r>
          </w:p>
        </w:tc>
        <w:tc>
          <w:tcPr>
            <w:tcW w:w="1276" w:type="dxa"/>
            <w:shd w:val="clear" w:color="auto" w:fill="auto"/>
            <w:noWrap/>
            <w:hideMark/>
          </w:tcPr>
          <w:p w14:paraId="5E8D9154" w14:textId="77777777" w:rsidR="00D6532D" w:rsidRPr="0010404B" w:rsidRDefault="00D6532D" w:rsidP="00D6532D">
            <w:pPr>
              <w:jc w:val="right"/>
              <w:rPr>
                <w:sz w:val="20"/>
                <w:szCs w:val="20"/>
                <w:lang w:val="fr-FR" w:eastAsia="en-CA"/>
              </w:rPr>
            </w:pPr>
            <w:r w:rsidRPr="0010404B">
              <w:rPr>
                <w:sz w:val="20"/>
                <w:szCs w:val="20"/>
                <w:lang w:val="fr-FR" w:eastAsia="en-CA"/>
              </w:rPr>
              <w:t>677</w:t>
            </w:r>
          </w:p>
        </w:tc>
      </w:tr>
      <w:tr w:rsidR="00D6532D" w:rsidRPr="0010404B" w14:paraId="03A37A8A" w14:textId="77777777" w:rsidTr="00C76B85">
        <w:trPr>
          <w:trHeight w:val="276"/>
        </w:trPr>
        <w:tc>
          <w:tcPr>
            <w:tcW w:w="3001" w:type="dxa"/>
            <w:shd w:val="clear" w:color="auto" w:fill="auto"/>
            <w:noWrap/>
            <w:hideMark/>
          </w:tcPr>
          <w:p w14:paraId="2C3CE5F0" w14:textId="46C2B774" w:rsidR="00D6532D" w:rsidRPr="0010404B" w:rsidRDefault="00E91DB9" w:rsidP="00D6532D">
            <w:pPr>
              <w:jc w:val="left"/>
              <w:rPr>
                <w:sz w:val="20"/>
                <w:szCs w:val="20"/>
                <w:lang w:val="fr-FR" w:eastAsia="en-CA"/>
              </w:rPr>
            </w:pPr>
            <w:r w:rsidRPr="0010404B">
              <w:rPr>
                <w:sz w:val="20"/>
                <w:szCs w:val="20"/>
                <w:lang w:val="fr-FR" w:eastAsia="en-CA"/>
              </w:rPr>
              <w:t>Secrétariat</w:t>
            </w:r>
            <w:r w:rsidR="00D6532D" w:rsidRPr="0010404B">
              <w:rPr>
                <w:sz w:val="20"/>
                <w:szCs w:val="20"/>
                <w:lang w:val="fr-FR" w:eastAsia="en-CA"/>
              </w:rPr>
              <w:t xml:space="preserve">, </w:t>
            </w:r>
            <w:r w:rsidR="00CA357E" w:rsidRPr="0010404B">
              <w:rPr>
                <w:sz w:val="20"/>
                <w:szCs w:val="20"/>
                <w:lang w:val="fr-FR" w:eastAsia="en-CA"/>
              </w:rPr>
              <w:t xml:space="preserve">Comité </w:t>
            </w:r>
            <w:r w:rsidRPr="0010404B">
              <w:rPr>
                <w:sz w:val="20"/>
                <w:szCs w:val="20"/>
                <w:lang w:val="fr-FR" w:eastAsia="en-CA"/>
              </w:rPr>
              <w:t>exécutif</w:t>
            </w:r>
            <w:r w:rsidR="00CA357E" w:rsidRPr="0010404B">
              <w:rPr>
                <w:sz w:val="20"/>
                <w:szCs w:val="20"/>
                <w:lang w:val="fr-FR" w:eastAsia="en-CA"/>
              </w:rPr>
              <w:t xml:space="preserve"> et coûts du suivi et de l’évaluation moins la contrepartie </w:t>
            </w:r>
            <w:r w:rsidR="00757598">
              <w:rPr>
                <w:sz w:val="20"/>
                <w:szCs w:val="20"/>
                <w:lang w:val="fr-FR" w:eastAsia="en-CA"/>
              </w:rPr>
              <w:t>canadienne</w:t>
            </w:r>
          </w:p>
        </w:tc>
        <w:tc>
          <w:tcPr>
            <w:tcW w:w="1134" w:type="dxa"/>
            <w:shd w:val="clear" w:color="auto" w:fill="auto"/>
            <w:noWrap/>
            <w:hideMark/>
          </w:tcPr>
          <w:p w14:paraId="374DE45B" w14:textId="4CCED904" w:rsidR="00D6532D" w:rsidRPr="0010404B" w:rsidRDefault="00CA4F11" w:rsidP="00D6532D">
            <w:pPr>
              <w:jc w:val="right"/>
              <w:rPr>
                <w:sz w:val="20"/>
                <w:szCs w:val="20"/>
                <w:lang w:val="fr-FR" w:eastAsia="en-CA"/>
              </w:rPr>
            </w:pPr>
            <w:r w:rsidRPr="0010404B">
              <w:rPr>
                <w:sz w:val="20"/>
                <w:szCs w:val="20"/>
                <w:lang w:val="fr-FR" w:eastAsia="en-CA"/>
              </w:rPr>
              <w:t xml:space="preserve">6 </w:t>
            </w:r>
            <w:r w:rsidR="00D6532D" w:rsidRPr="0010404B">
              <w:rPr>
                <w:sz w:val="20"/>
                <w:szCs w:val="20"/>
                <w:lang w:val="fr-FR" w:eastAsia="en-CA"/>
              </w:rPr>
              <w:t>362</w:t>
            </w:r>
          </w:p>
        </w:tc>
        <w:tc>
          <w:tcPr>
            <w:tcW w:w="1276" w:type="dxa"/>
            <w:shd w:val="clear" w:color="auto" w:fill="auto"/>
            <w:noWrap/>
            <w:hideMark/>
          </w:tcPr>
          <w:p w14:paraId="423E4B6E" w14:textId="06774E1B" w:rsidR="00D6532D" w:rsidRPr="0010404B" w:rsidRDefault="00CA4F11" w:rsidP="00D6532D">
            <w:pPr>
              <w:jc w:val="right"/>
              <w:rPr>
                <w:sz w:val="20"/>
                <w:szCs w:val="20"/>
                <w:lang w:val="fr-FR" w:eastAsia="en-CA"/>
              </w:rPr>
            </w:pPr>
            <w:r w:rsidRPr="0010404B">
              <w:rPr>
                <w:sz w:val="20"/>
                <w:szCs w:val="20"/>
                <w:lang w:val="fr-FR" w:eastAsia="en-CA"/>
              </w:rPr>
              <w:t xml:space="preserve">7 </w:t>
            </w:r>
            <w:r w:rsidR="00D6532D" w:rsidRPr="0010404B">
              <w:rPr>
                <w:sz w:val="20"/>
                <w:szCs w:val="20"/>
                <w:lang w:val="fr-FR" w:eastAsia="en-CA"/>
              </w:rPr>
              <w:t>009</w:t>
            </w:r>
          </w:p>
        </w:tc>
        <w:tc>
          <w:tcPr>
            <w:tcW w:w="1134" w:type="dxa"/>
            <w:shd w:val="clear" w:color="auto" w:fill="auto"/>
            <w:noWrap/>
            <w:hideMark/>
          </w:tcPr>
          <w:p w14:paraId="6AE082AA" w14:textId="4CF83ECF" w:rsidR="00D6532D" w:rsidRPr="0010404B" w:rsidRDefault="00CA4F11" w:rsidP="00D6532D">
            <w:pPr>
              <w:jc w:val="right"/>
              <w:rPr>
                <w:sz w:val="20"/>
                <w:szCs w:val="20"/>
                <w:lang w:val="fr-FR" w:eastAsia="en-CA"/>
              </w:rPr>
            </w:pPr>
            <w:r w:rsidRPr="0010404B">
              <w:rPr>
                <w:sz w:val="20"/>
                <w:szCs w:val="20"/>
                <w:lang w:val="fr-FR" w:eastAsia="en-CA"/>
              </w:rPr>
              <w:t xml:space="preserve">7 </w:t>
            </w:r>
            <w:r w:rsidR="00D6532D" w:rsidRPr="0010404B">
              <w:rPr>
                <w:sz w:val="20"/>
                <w:szCs w:val="20"/>
                <w:lang w:val="fr-FR" w:eastAsia="en-CA"/>
              </w:rPr>
              <w:t>159</w:t>
            </w:r>
          </w:p>
        </w:tc>
        <w:tc>
          <w:tcPr>
            <w:tcW w:w="1417" w:type="dxa"/>
            <w:shd w:val="clear" w:color="auto" w:fill="auto"/>
            <w:noWrap/>
            <w:hideMark/>
          </w:tcPr>
          <w:p w14:paraId="4201AD71" w14:textId="5FAE8C72" w:rsidR="00D6532D" w:rsidRPr="0010404B" w:rsidRDefault="00CA4F11" w:rsidP="00D6532D">
            <w:pPr>
              <w:jc w:val="right"/>
              <w:rPr>
                <w:sz w:val="20"/>
                <w:szCs w:val="20"/>
                <w:lang w:val="fr-FR" w:eastAsia="en-CA"/>
              </w:rPr>
            </w:pPr>
            <w:r w:rsidRPr="0010404B">
              <w:rPr>
                <w:sz w:val="20"/>
                <w:szCs w:val="20"/>
                <w:lang w:val="fr-FR" w:eastAsia="en-CA"/>
              </w:rPr>
              <w:t xml:space="preserve">20 </w:t>
            </w:r>
            <w:r w:rsidR="00D6532D" w:rsidRPr="0010404B">
              <w:rPr>
                <w:sz w:val="20"/>
                <w:szCs w:val="20"/>
                <w:lang w:val="fr-FR" w:eastAsia="en-CA"/>
              </w:rPr>
              <w:t>530</w:t>
            </w:r>
          </w:p>
        </w:tc>
        <w:tc>
          <w:tcPr>
            <w:tcW w:w="1276" w:type="dxa"/>
            <w:shd w:val="clear" w:color="auto" w:fill="auto"/>
            <w:noWrap/>
            <w:hideMark/>
          </w:tcPr>
          <w:p w14:paraId="5567A14A"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397916A3" w14:textId="77777777" w:rsidTr="00C76B85">
        <w:trPr>
          <w:trHeight w:val="276"/>
        </w:trPr>
        <w:tc>
          <w:tcPr>
            <w:tcW w:w="3001" w:type="dxa"/>
            <w:shd w:val="clear" w:color="auto" w:fill="auto"/>
            <w:noWrap/>
            <w:hideMark/>
          </w:tcPr>
          <w:p w14:paraId="31A0ADC4" w14:textId="40A52C5A" w:rsidR="00D6532D" w:rsidRPr="0010404B" w:rsidRDefault="00E91DB9" w:rsidP="00D6532D">
            <w:pPr>
              <w:jc w:val="left"/>
              <w:rPr>
                <w:sz w:val="20"/>
                <w:szCs w:val="20"/>
                <w:lang w:val="fr-FR" w:eastAsia="en-CA"/>
              </w:rPr>
            </w:pPr>
            <w:r w:rsidRPr="0010404B">
              <w:rPr>
                <w:sz w:val="20"/>
                <w:szCs w:val="20"/>
                <w:lang w:val="fr-FR" w:eastAsia="en-CA"/>
              </w:rPr>
              <w:t>Trésorier</w:t>
            </w:r>
          </w:p>
        </w:tc>
        <w:tc>
          <w:tcPr>
            <w:tcW w:w="1134" w:type="dxa"/>
            <w:shd w:val="clear" w:color="auto" w:fill="auto"/>
            <w:noWrap/>
            <w:hideMark/>
          </w:tcPr>
          <w:p w14:paraId="7C37036E" w14:textId="77777777" w:rsidR="00D6532D" w:rsidRPr="0010404B" w:rsidRDefault="00D6532D" w:rsidP="00D6532D">
            <w:pPr>
              <w:jc w:val="right"/>
              <w:rPr>
                <w:sz w:val="20"/>
                <w:szCs w:val="20"/>
                <w:lang w:val="fr-FR" w:eastAsia="en-CA"/>
              </w:rPr>
            </w:pPr>
            <w:r w:rsidRPr="0010404B">
              <w:rPr>
                <w:sz w:val="20"/>
                <w:szCs w:val="20"/>
                <w:lang w:val="fr-FR" w:eastAsia="en-CA"/>
              </w:rPr>
              <w:t>500</w:t>
            </w:r>
          </w:p>
        </w:tc>
        <w:tc>
          <w:tcPr>
            <w:tcW w:w="1276" w:type="dxa"/>
            <w:shd w:val="clear" w:color="auto" w:fill="auto"/>
            <w:noWrap/>
            <w:hideMark/>
          </w:tcPr>
          <w:p w14:paraId="658B7AE2" w14:textId="77777777" w:rsidR="00D6532D" w:rsidRPr="0010404B" w:rsidRDefault="00D6532D" w:rsidP="00D6532D">
            <w:pPr>
              <w:jc w:val="right"/>
              <w:rPr>
                <w:sz w:val="20"/>
                <w:szCs w:val="20"/>
                <w:lang w:val="fr-FR" w:eastAsia="en-CA"/>
              </w:rPr>
            </w:pPr>
            <w:r w:rsidRPr="0010404B">
              <w:rPr>
                <w:sz w:val="20"/>
                <w:szCs w:val="20"/>
                <w:lang w:val="fr-FR" w:eastAsia="en-CA"/>
              </w:rPr>
              <w:t>500</w:t>
            </w:r>
          </w:p>
        </w:tc>
        <w:tc>
          <w:tcPr>
            <w:tcW w:w="1134" w:type="dxa"/>
            <w:shd w:val="clear" w:color="auto" w:fill="auto"/>
            <w:noWrap/>
            <w:hideMark/>
          </w:tcPr>
          <w:p w14:paraId="32F62DE8" w14:textId="77777777" w:rsidR="00D6532D" w:rsidRPr="0010404B" w:rsidRDefault="00D6532D" w:rsidP="00D6532D">
            <w:pPr>
              <w:jc w:val="right"/>
              <w:rPr>
                <w:sz w:val="20"/>
                <w:szCs w:val="20"/>
                <w:lang w:val="fr-FR" w:eastAsia="en-CA"/>
              </w:rPr>
            </w:pPr>
            <w:r w:rsidRPr="0010404B">
              <w:rPr>
                <w:sz w:val="20"/>
                <w:szCs w:val="20"/>
                <w:lang w:val="fr-FR" w:eastAsia="en-CA"/>
              </w:rPr>
              <w:t>500</w:t>
            </w:r>
          </w:p>
        </w:tc>
        <w:tc>
          <w:tcPr>
            <w:tcW w:w="1417" w:type="dxa"/>
            <w:shd w:val="clear" w:color="auto" w:fill="auto"/>
            <w:noWrap/>
            <w:hideMark/>
          </w:tcPr>
          <w:p w14:paraId="294BF626" w14:textId="57D56E6A" w:rsidR="00D6532D" w:rsidRPr="0010404B" w:rsidRDefault="00CA4F11"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500</w:t>
            </w:r>
          </w:p>
        </w:tc>
        <w:tc>
          <w:tcPr>
            <w:tcW w:w="1276" w:type="dxa"/>
            <w:shd w:val="clear" w:color="auto" w:fill="auto"/>
            <w:noWrap/>
            <w:hideMark/>
          </w:tcPr>
          <w:p w14:paraId="622ED39D" w14:textId="77777777" w:rsidR="00D6532D" w:rsidRPr="0010404B" w:rsidRDefault="00D6532D" w:rsidP="00D6532D">
            <w:pPr>
              <w:jc w:val="right"/>
              <w:rPr>
                <w:sz w:val="20"/>
                <w:szCs w:val="20"/>
                <w:lang w:val="fr-FR" w:eastAsia="en-CA"/>
              </w:rPr>
            </w:pPr>
            <w:r w:rsidRPr="0010404B">
              <w:rPr>
                <w:sz w:val="20"/>
                <w:szCs w:val="20"/>
                <w:lang w:val="fr-FR" w:eastAsia="en-CA"/>
              </w:rPr>
              <w:t>0</w:t>
            </w:r>
          </w:p>
        </w:tc>
      </w:tr>
      <w:tr w:rsidR="00D6532D" w:rsidRPr="0010404B" w14:paraId="0DEA0394" w14:textId="77777777" w:rsidTr="00C76B85">
        <w:trPr>
          <w:trHeight w:val="276"/>
        </w:trPr>
        <w:tc>
          <w:tcPr>
            <w:tcW w:w="3001" w:type="dxa"/>
            <w:shd w:val="clear" w:color="auto" w:fill="auto"/>
            <w:noWrap/>
            <w:hideMark/>
          </w:tcPr>
          <w:p w14:paraId="75663491" w14:textId="4834EC27" w:rsidR="00D6532D" w:rsidRPr="0010404B" w:rsidRDefault="00D6532D" w:rsidP="00D6532D">
            <w:pPr>
              <w:jc w:val="left"/>
              <w:rPr>
                <w:b/>
                <w:bCs/>
                <w:sz w:val="20"/>
                <w:szCs w:val="20"/>
                <w:lang w:val="fr-FR" w:eastAsia="en-CA"/>
              </w:rPr>
            </w:pPr>
            <w:r w:rsidRPr="0010404B">
              <w:rPr>
                <w:b/>
                <w:bCs/>
                <w:sz w:val="20"/>
                <w:szCs w:val="20"/>
                <w:lang w:val="fr-FR" w:eastAsia="en-CA"/>
              </w:rPr>
              <w:t>S</w:t>
            </w:r>
            <w:r w:rsidR="00CA357E" w:rsidRPr="0010404B">
              <w:rPr>
                <w:b/>
                <w:bCs/>
                <w:sz w:val="20"/>
                <w:szCs w:val="20"/>
                <w:lang w:val="fr-FR" w:eastAsia="en-CA"/>
              </w:rPr>
              <w:t xml:space="preserve">ous-total des activités </w:t>
            </w:r>
            <w:r w:rsidR="00757598">
              <w:rPr>
                <w:b/>
                <w:bCs/>
                <w:sz w:val="20"/>
                <w:szCs w:val="20"/>
                <w:lang w:val="fr-FR" w:eastAsia="en-CA"/>
              </w:rPr>
              <w:t>standard</w:t>
            </w:r>
            <w:r w:rsidR="00CA357E" w:rsidRPr="0010404B">
              <w:rPr>
                <w:b/>
                <w:bCs/>
                <w:sz w:val="20"/>
                <w:szCs w:val="20"/>
                <w:lang w:val="fr-FR" w:eastAsia="en-CA"/>
              </w:rPr>
              <w:t xml:space="preserve"> </w:t>
            </w:r>
          </w:p>
        </w:tc>
        <w:tc>
          <w:tcPr>
            <w:tcW w:w="1134" w:type="dxa"/>
            <w:shd w:val="clear" w:color="auto" w:fill="auto"/>
            <w:noWrap/>
            <w:hideMark/>
          </w:tcPr>
          <w:p w14:paraId="6CFB9835" w14:textId="5A622EA4" w:rsidR="00D6532D" w:rsidRPr="0010404B" w:rsidRDefault="00CA4F11" w:rsidP="00D6532D">
            <w:pPr>
              <w:jc w:val="right"/>
              <w:rPr>
                <w:b/>
                <w:bCs/>
                <w:sz w:val="20"/>
                <w:szCs w:val="20"/>
                <w:lang w:val="fr-FR" w:eastAsia="en-CA"/>
              </w:rPr>
            </w:pPr>
            <w:r w:rsidRPr="0010404B">
              <w:rPr>
                <w:b/>
                <w:bCs/>
                <w:sz w:val="20"/>
                <w:szCs w:val="20"/>
                <w:lang w:val="fr-FR" w:eastAsia="en-CA"/>
              </w:rPr>
              <w:t xml:space="preserve">35 </w:t>
            </w:r>
            <w:r w:rsidR="00D6532D" w:rsidRPr="0010404B">
              <w:rPr>
                <w:b/>
                <w:bCs/>
                <w:sz w:val="20"/>
                <w:szCs w:val="20"/>
                <w:lang w:val="fr-FR" w:eastAsia="en-CA"/>
              </w:rPr>
              <w:t>993</w:t>
            </w:r>
          </w:p>
        </w:tc>
        <w:tc>
          <w:tcPr>
            <w:tcW w:w="1276" w:type="dxa"/>
            <w:shd w:val="clear" w:color="auto" w:fill="auto"/>
            <w:noWrap/>
            <w:hideMark/>
          </w:tcPr>
          <w:p w14:paraId="0B0B1B13" w14:textId="451196FA" w:rsidR="00D6532D" w:rsidRPr="0010404B" w:rsidRDefault="00CA4F11" w:rsidP="00D6532D">
            <w:pPr>
              <w:jc w:val="right"/>
              <w:rPr>
                <w:b/>
                <w:bCs/>
                <w:sz w:val="20"/>
                <w:szCs w:val="20"/>
                <w:lang w:val="fr-FR" w:eastAsia="en-CA"/>
              </w:rPr>
            </w:pPr>
            <w:r w:rsidRPr="0010404B">
              <w:rPr>
                <w:b/>
                <w:bCs/>
                <w:sz w:val="20"/>
                <w:szCs w:val="20"/>
                <w:lang w:val="fr-FR" w:eastAsia="en-CA"/>
              </w:rPr>
              <w:t xml:space="preserve">35 </w:t>
            </w:r>
            <w:r w:rsidR="00D6532D" w:rsidRPr="0010404B">
              <w:rPr>
                <w:b/>
                <w:bCs/>
                <w:sz w:val="20"/>
                <w:szCs w:val="20"/>
                <w:lang w:val="fr-FR" w:eastAsia="en-CA"/>
              </w:rPr>
              <w:t>141</w:t>
            </w:r>
          </w:p>
        </w:tc>
        <w:tc>
          <w:tcPr>
            <w:tcW w:w="1134" w:type="dxa"/>
            <w:shd w:val="clear" w:color="auto" w:fill="auto"/>
            <w:noWrap/>
            <w:hideMark/>
          </w:tcPr>
          <w:p w14:paraId="441A5815" w14:textId="74E0B5A1" w:rsidR="00D6532D" w:rsidRPr="0010404B" w:rsidRDefault="00CA4F11" w:rsidP="00D6532D">
            <w:pPr>
              <w:jc w:val="right"/>
              <w:rPr>
                <w:b/>
                <w:bCs/>
                <w:sz w:val="20"/>
                <w:szCs w:val="20"/>
                <w:lang w:val="fr-FR" w:eastAsia="en-CA"/>
              </w:rPr>
            </w:pPr>
            <w:r w:rsidRPr="0010404B">
              <w:rPr>
                <w:b/>
                <w:bCs/>
                <w:sz w:val="20"/>
                <w:szCs w:val="20"/>
                <w:lang w:val="fr-FR" w:eastAsia="en-CA"/>
              </w:rPr>
              <w:t xml:space="preserve">37 </w:t>
            </w:r>
            <w:r w:rsidR="00D6532D" w:rsidRPr="0010404B">
              <w:rPr>
                <w:b/>
                <w:bCs/>
                <w:sz w:val="20"/>
                <w:szCs w:val="20"/>
                <w:lang w:val="fr-FR" w:eastAsia="en-CA"/>
              </w:rPr>
              <w:t>569</w:t>
            </w:r>
          </w:p>
        </w:tc>
        <w:tc>
          <w:tcPr>
            <w:tcW w:w="1417" w:type="dxa"/>
            <w:shd w:val="clear" w:color="auto" w:fill="auto"/>
            <w:noWrap/>
            <w:hideMark/>
          </w:tcPr>
          <w:p w14:paraId="41B1EF9A" w14:textId="205DC2FB" w:rsidR="00D6532D" w:rsidRPr="0010404B" w:rsidRDefault="00CA4F11" w:rsidP="00D6532D">
            <w:pPr>
              <w:jc w:val="right"/>
              <w:rPr>
                <w:b/>
                <w:bCs/>
                <w:sz w:val="20"/>
                <w:szCs w:val="20"/>
                <w:lang w:val="fr-FR" w:eastAsia="en-CA"/>
              </w:rPr>
            </w:pPr>
            <w:r w:rsidRPr="0010404B">
              <w:rPr>
                <w:b/>
                <w:bCs/>
                <w:sz w:val="20"/>
                <w:szCs w:val="20"/>
                <w:lang w:val="fr-FR" w:eastAsia="en-CA"/>
              </w:rPr>
              <w:t xml:space="preserve">108 </w:t>
            </w:r>
            <w:r w:rsidR="00D6532D" w:rsidRPr="0010404B">
              <w:rPr>
                <w:b/>
                <w:bCs/>
                <w:sz w:val="20"/>
                <w:szCs w:val="20"/>
                <w:lang w:val="fr-FR" w:eastAsia="en-CA"/>
              </w:rPr>
              <w:t>702</w:t>
            </w:r>
          </w:p>
        </w:tc>
        <w:tc>
          <w:tcPr>
            <w:tcW w:w="1276" w:type="dxa"/>
            <w:shd w:val="clear" w:color="auto" w:fill="auto"/>
            <w:noWrap/>
            <w:hideMark/>
          </w:tcPr>
          <w:p w14:paraId="6241B5D8" w14:textId="77777777" w:rsidR="00D6532D" w:rsidRPr="0010404B" w:rsidRDefault="00D6532D" w:rsidP="00D6532D">
            <w:pPr>
              <w:jc w:val="right"/>
              <w:rPr>
                <w:b/>
                <w:bCs/>
                <w:sz w:val="20"/>
                <w:szCs w:val="20"/>
                <w:lang w:val="fr-FR" w:eastAsia="en-CA"/>
              </w:rPr>
            </w:pPr>
            <w:r w:rsidRPr="0010404B">
              <w:rPr>
                <w:b/>
                <w:bCs/>
                <w:sz w:val="20"/>
                <w:szCs w:val="20"/>
                <w:lang w:val="fr-FR" w:eastAsia="en-CA"/>
              </w:rPr>
              <w:t>677</w:t>
            </w:r>
          </w:p>
        </w:tc>
      </w:tr>
      <w:tr w:rsidR="00D6532D" w:rsidRPr="0010404B" w14:paraId="2BF48C5A" w14:textId="77777777" w:rsidTr="00C76B85">
        <w:trPr>
          <w:trHeight w:val="276"/>
        </w:trPr>
        <w:tc>
          <w:tcPr>
            <w:tcW w:w="3001" w:type="dxa"/>
            <w:shd w:val="clear" w:color="auto" w:fill="auto"/>
            <w:noWrap/>
            <w:hideMark/>
          </w:tcPr>
          <w:p w14:paraId="6597EBA7" w14:textId="31546D69" w:rsidR="00D6532D" w:rsidRPr="0010404B" w:rsidRDefault="00E529D5" w:rsidP="00D6532D">
            <w:pPr>
              <w:jc w:val="left"/>
              <w:rPr>
                <w:b/>
                <w:bCs/>
                <w:sz w:val="20"/>
                <w:szCs w:val="20"/>
                <w:lang w:val="fr-FR" w:eastAsia="en-CA"/>
              </w:rPr>
            </w:pPr>
            <w:r w:rsidRPr="0010404B">
              <w:rPr>
                <w:b/>
                <w:bCs/>
                <w:sz w:val="20"/>
                <w:szCs w:val="20"/>
                <w:lang w:val="fr-FR" w:eastAsia="en-CA"/>
              </w:rPr>
              <w:t>T</w:t>
            </w:r>
            <w:r w:rsidR="00D6532D" w:rsidRPr="0010404B">
              <w:rPr>
                <w:b/>
                <w:bCs/>
                <w:sz w:val="20"/>
                <w:szCs w:val="20"/>
                <w:lang w:val="fr-FR" w:eastAsia="en-CA"/>
              </w:rPr>
              <w:t>otal</w:t>
            </w:r>
            <w:r w:rsidR="00757598">
              <w:rPr>
                <w:b/>
                <w:bCs/>
                <w:sz w:val="20"/>
                <w:szCs w:val="20"/>
                <w:lang w:val="fr-FR" w:eastAsia="en-CA"/>
              </w:rPr>
              <w:t xml:space="preserve"> général</w:t>
            </w:r>
          </w:p>
        </w:tc>
        <w:tc>
          <w:tcPr>
            <w:tcW w:w="1134" w:type="dxa"/>
            <w:shd w:val="clear" w:color="auto" w:fill="auto"/>
            <w:noWrap/>
            <w:hideMark/>
          </w:tcPr>
          <w:p w14:paraId="103849ED" w14:textId="4B964A0B" w:rsidR="00D6532D" w:rsidRPr="0010404B" w:rsidRDefault="00CA4F11" w:rsidP="00D6532D">
            <w:pPr>
              <w:jc w:val="right"/>
              <w:rPr>
                <w:b/>
                <w:bCs/>
                <w:sz w:val="20"/>
                <w:szCs w:val="20"/>
                <w:lang w:val="fr-FR" w:eastAsia="en-CA"/>
              </w:rPr>
            </w:pPr>
            <w:r w:rsidRPr="0010404B">
              <w:rPr>
                <w:b/>
                <w:bCs/>
                <w:sz w:val="20"/>
                <w:szCs w:val="20"/>
                <w:lang w:val="fr-FR" w:eastAsia="en-CA"/>
              </w:rPr>
              <w:t xml:space="preserve">214 </w:t>
            </w:r>
            <w:r w:rsidR="00D6532D" w:rsidRPr="0010404B">
              <w:rPr>
                <w:b/>
                <w:bCs/>
                <w:sz w:val="20"/>
                <w:szCs w:val="20"/>
                <w:lang w:val="fr-FR" w:eastAsia="en-CA"/>
              </w:rPr>
              <w:t>860</w:t>
            </w:r>
          </w:p>
        </w:tc>
        <w:tc>
          <w:tcPr>
            <w:tcW w:w="1276" w:type="dxa"/>
            <w:shd w:val="clear" w:color="auto" w:fill="auto"/>
            <w:noWrap/>
            <w:hideMark/>
          </w:tcPr>
          <w:p w14:paraId="5A78BDEC" w14:textId="276247CD" w:rsidR="00D6532D" w:rsidRPr="0010404B" w:rsidRDefault="00CA4F11" w:rsidP="00D6532D">
            <w:pPr>
              <w:jc w:val="right"/>
              <w:rPr>
                <w:b/>
                <w:bCs/>
                <w:sz w:val="20"/>
                <w:szCs w:val="20"/>
                <w:lang w:val="fr-FR" w:eastAsia="en-CA"/>
              </w:rPr>
            </w:pPr>
            <w:r w:rsidRPr="0010404B">
              <w:rPr>
                <w:b/>
                <w:bCs/>
                <w:sz w:val="20"/>
                <w:szCs w:val="20"/>
                <w:lang w:val="fr-FR" w:eastAsia="en-CA"/>
              </w:rPr>
              <w:t xml:space="preserve">178 </w:t>
            </w:r>
            <w:r w:rsidR="00D6532D" w:rsidRPr="0010404B">
              <w:rPr>
                <w:b/>
                <w:bCs/>
                <w:sz w:val="20"/>
                <w:szCs w:val="20"/>
                <w:lang w:val="fr-FR" w:eastAsia="en-CA"/>
              </w:rPr>
              <w:t>190</w:t>
            </w:r>
          </w:p>
        </w:tc>
        <w:tc>
          <w:tcPr>
            <w:tcW w:w="1134" w:type="dxa"/>
            <w:shd w:val="clear" w:color="auto" w:fill="auto"/>
            <w:noWrap/>
            <w:hideMark/>
          </w:tcPr>
          <w:p w14:paraId="651AE2BF" w14:textId="4924552D" w:rsidR="00D6532D" w:rsidRPr="0010404B" w:rsidRDefault="00CA4F11" w:rsidP="00D6532D">
            <w:pPr>
              <w:jc w:val="right"/>
              <w:rPr>
                <w:b/>
                <w:bCs/>
                <w:sz w:val="20"/>
                <w:szCs w:val="20"/>
                <w:lang w:val="fr-FR" w:eastAsia="en-CA"/>
              </w:rPr>
            </w:pPr>
            <w:r w:rsidRPr="0010404B">
              <w:rPr>
                <w:b/>
                <w:bCs/>
                <w:sz w:val="20"/>
                <w:szCs w:val="20"/>
                <w:lang w:val="fr-FR" w:eastAsia="en-CA"/>
              </w:rPr>
              <w:t xml:space="preserve">181 </w:t>
            </w:r>
            <w:r w:rsidR="00D6532D" w:rsidRPr="0010404B">
              <w:rPr>
                <w:b/>
                <w:bCs/>
                <w:sz w:val="20"/>
                <w:szCs w:val="20"/>
                <w:lang w:val="fr-FR" w:eastAsia="en-CA"/>
              </w:rPr>
              <w:t>692</w:t>
            </w:r>
          </w:p>
        </w:tc>
        <w:tc>
          <w:tcPr>
            <w:tcW w:w="1417" w:type="dxa"/>
            <w:shd w:val="clear" w:color="auto" w:fill="auto"/>
            <w:noWrap/>
            <w:hideMark/>
          </w:tcPr>
          <w:p w14:paraId="53799553" w14:textId="2C415EFC" w:rsidR="00D6532D" w:rsidRPr="0010404B" w:rsidRDefault="00CA4F11" w:rsidP="00D6532D">
            <w:pPr>
              <w:jc w:val="right"/>
              <w:rPr>
                <w:b/>
                <w:bCs/>
                <w:sz w:val="20"/>
                <w:szCs w:val="20"/>
                <w:lang w:val="fr-FR" w:eastAsia="en-CA"/>
              </w:rPr>
            </w:pPr>
            <w:r w:rsidRPr="0010404B">
              <w:rPr>
                <w:b/>
                <w:bCs/>
                <w:sz w:val="20"/>
                <w:szCs w:val="20"/>
                <w:lang w:val="fr-FR" w:eastAsia="en-CA"/>
              </w:rPr>
              <w:t xml:space="preserve">574 </w:t>
            </w:r>
            <w:r w:rsidR="00D6532D" w:rsidRPr="0010404B">
              <w:rPr>
                <w:b/>
                <w:bCs/>
                <w:sz w:val="20"/>
                <w:szCs w:val="20"/>
                <w:lang w:val="fr-FR" w:eastAsia="en-CA"/>
              </w:rPr>
              <w:t>743</w:t>
            </w:r>
          </w:p>
        </w:tc>
        <w:tc>
          <w:tcPr>
            <w:tcW w:w="1276" w:type="dxa"/>
            <w:shd w:val="clear" w:color="auto" w:fill="auto"/>
            <w:noWrap/>
            <w:hideMark/>
          </w:tcPr>
          <w:p w14:paraId="7A62661E" w14:textId="55245B8E" w:rsidR="00D6532D" w:rsidRPr="0010404B" w:rsidRDefault="00CA4F11" w:rsidP="00D6532D">
            <w:pPr>
              <w:jc w:val="right"/>
              <w:rPr>
                <w:b/>
                <w:bCs/>
                <w:sz w:val="20"/>
                <w:szCs w:val="20"/>
                <w:lang w:val="fr-FR" w:eastAsia="en-CA"/>
              </w:rPr>
            </w:pPr>
            <w:r w:rsidRPr="0010404B">
              <w:rPr>
                <w:b/>
                <w:bCs/>
                <w:sz w:val="20"/>
                <w:szCs w:val="20"/>
                <w:lang w:val="fr-FR" w:eastAsia="en-CA"/>
              </w:rPr>
              <w:t xml:space="preserve">436 </w:t>
            </w:r>
            <w:r w:rsidR="00D6532D" w:rsidRPr="0010404B">
              <w:rPr>
                <w:b/>
                <w:bCs/>
                <w:sz w:val="20"/>
                <w:szCs w:val="20"/>
                <w:lang w:val="fr-FR" w:eastAsia="en-CA"/>
              </w:rPr>
              <w:t>495</w:t>
            </w:r>
          </w:p>
        </w:tc>
      </w:tr>
      <w:tr w:rsidR="00D6532D" w:rsidRPr="0010404B" w14:paraId="3002C577" w14:textId="77777777" w:rsidTr="00C76B85">
        <w:trPr>
          <w:trHeight w:val="276"/>
        </w:trPr>
        <w:tc>
          <w:tcPr>
            <w:tcW w:w="3001" w:type="dxa"/>
            <w:shd w:val="clear" w:color="auto" w:fill="auto"/>
            <w:noWrap/>
            <w:hideMark/>
          </w:tcPr>
          <w:p w14:paraId="5FB9317C" w14:textId="6EB7F64E" w:rsidR="00D6532D" w:rsidRPr="0010404B" w:rsidRDefault="00CA357E" w:rsidP="00D6532D">
            <w:pPr>
              <w:jc w:val="left"/>
              <w:rPr>
                <w:sz w:val="20"/>
                <w:szCs w:val="20"/>
                <w:lang w:val="fr-FR" w:eastAsia="en-CA"/>
              </w:rPr>
            </w:pPr>
            <w:r w:rsidRPr="0010404B">
              <w:rPr>
                <w:sz w:val="20"/>
                <w:szCs w:val="20"/>
                <w:lang w:val="fr-FR" w:eastAsia="en-CA"/>
              </w:rPr>
              <w:t>Budget i</w:t>
            </w:r>
            <w:r w:rsidR="00D6532D" w:rsidRPr="0010404B">
              <w:rPr>
                <w:sz w:val="20"/>
                <w:szCs w:val="20"/>
                <w:lang w:val="fr-FR" w:eastAsia="en-CA"/>
              </w:rPr>
              <w:t>ndicati</w:t>
            </w:r>
            <w:r w:rsidRPr="0010404B">
              <w:rPr>
                <w:sz w:val="20"/>
                <w:szCs w:val="20"/>
                <w:lang w:val="fr-FR" w:eastAsia="en-CA"/>
              </w:rPr>
              <w:t xml:space="preserve">f </w:t>
            </w:r>
          </w:p>
        </w:tc>
        <w:tc>
          <w:tcPr>
            <w:tcW w:w="1134" w:type="dxa"/>
            <w:shd w:val="clear" w:color="auto" w:fill="auto"/>
            <w:noWrap/>
            <w:hideMark/>
          </w:tcPr>
          <w:p w14:paraId="5EAC4540" w14:textId="1888B074" w:rsidR="00D6532D" w:rsidRPr="0010404B" w:rsidRDefault="00CA4F11" w:rsidP="00D6532D">
            <w:pPr>
              <w:jc w:val="right"/>
              <w:rPr>
                <w:sz w:val="20"/>
                <w:szCs w:val="20"/>
                <w:lang w:val="fr-FR" w:eastAsia="en-CA"/>
              </w:rPr>
            </w:pPr>
            <w:r w:rsidRPr="0010404B">
              <w:rPr>
                <w:sz w:val="20"/>
                <w:szCs w:val="20"/>
                <w:lang w:val="fr-FR" w:eastAsia="en-CA"/>
              </w:rPr>
              <w:t xml:space="preserve">171 </w:t>
            </w:r>
            <w:r w:rsidR="00D6532D" w:rsidRPr="0010404B">
              <w:rPr>
                <w:sz w:val="20"/>
                <w:szCs w:val="20"/>
                <w:lang w:val="fr-FR" w:eastAsia="en-CA"/>
              </w:rPr>
              <w:t>000</w:t>
            </w:r>
          </w:p>
        </w:tc>
        <w:tc>
          <w:tcPr>
            <w:tcW w:w="1276" w:type="dxa"/>
            <w:shd w:val="clear" w:color="auto" w:fill="auto"/>
            <w:noWrap/>
            <w:hideMark/>
          </w:tcPr>
          <w:p w14:paraId="11E994F9" w14:textId="6139C541" w:rsidR="00D6532D" w:rsidRPr="0010404B" w:rsidRDefault="00CA4F11" w:rsidP="00D6532D">
            <w:pPr>
              <w:jc w:val="right"/>
              <w:rPr>
                <w:sz w:val="20"/>
                <w:szCs w:val="20"/>
                <w:lang w:val="fr-FR" w:eastAsia="en-CA"/>
              </w:rPr>
            </w:pPr>
            <w:r w:rsidRPr="0010404B">
              <w:rPr>
                <w:sz w:val="20"/>
                <w:szCs w:val="20"/>
                <w:lang w:val="fr-FR" w:eastAsia="en-CA"/>
              </w:rPr>
              <w:t xml:space="preserve">180 </w:t>
            </w:r>
            <w:r w:rsidR="00D6532D" w:rsidRPr="0010404B">
              <w:rPr>
                <w:sz w:val="20"/>
                <w:szCs w:val="20"/>
                <w:lang w:val="fr-FR" w:eastAsia="en-CA"/>
              </w:rPr>
              <w:t>000**</w:t>
            </w:r>
          </w:p>
        </w:tc>
        <w:tc>
          <w:tcPr>
            <w:tcW w:w="1134" w:type="dxa"/>
            <w:shd w:val="clear" w:color="auto" w:fill="auto"/>
            <w:noWrap/>
            <w:hideMark/>
          </w:tcPr>
          <w:p w14:paraId="4904DD70" w14:textId="04019266" w:rsidR="00D6532D" w:rsidRPr="0010404B" w:rsidRDefault="00CA4F11" w:rsidP="00D6532D">
            <w:pPr>
              <w:jc w:val="right"/>
              <w:rPr>
                <w:sz w:val="20"/>
                <w:szCs w:val="20"/>
                <w:lang w:val="fr-FR" w:eastAsia="en-CA"/>
              </w:rPr>
            </w:pPr>
            <w:r w:rsidRPr="0010404B">
              <w:rPr>
                <w:sz w:val="20"/>
                <w:szCs w:val="20"/>
                <w:lang w:val="fr-FR" w:eastAsia="en-CA"/>
              </w:rPr>
              <w:t xml:space="preserve">180 </w:t>
            </w:r>
            <w:r w:rsidR="00D6532D" w:rsidRPr="0010404B">
              <w:rPr>
                <w:sz w:val="20"/>
                <w:szCs w:val="20"/>
                <w:lang w:val="fr-FR" w:eastAsia="en-CA"/>
              </w:rPr>
              <w:t>000**</w:t>
            </w:r>
          </w:p>
        </w:tc>
        <w:tc>
          <w:tcPr>
            <w:tcW w:w="1417" w:type="dxa"/>
            <w:shd w:val="clear" w:color="auto" w:fill="auto"/>
            <w:noWrap/>
            <w:hideMark/>
          </w:tcPr>
          <w:p w14:paraId="5AAFE861" w14:textId="44F97F0A" w:rsidR="00D6532D" w:rsidRPr="0010404B" w:rsidRDefault="00CA4F11" w:rsidP="00D6532D">
            <w:pPr>
              <w:jc w:val="right"/>
              <w:rPr>
                <w:sz w:val="20"/>
                <w:szCs w:val="20"/>
                <w:lang w:val="fr-FR" w:eastAsia="en-CA"/>
              </w:rPr>
            </w:pPr>
            <w:r w:rsidRPr="0010404B">
              <w:rPr>
                <w:sz w:val="20"/>
                <w:szCs w:val="20"/>
                <w:lang w:val="fr-FR" w:eastAsia="en-CA"/>
              </w:rPr>
              <w:t xml:space="preserve">531 </w:t>
            </w:r>
            <w:r w:rsidR="00D6532D" w:rsidRPr="0010404B">
              <w:rPr>
                <w:sz w:val="20"/>
                <w:szCs w:val="20"/>
                <w:lang w:val="fr-FR" w:eastAsia="en-CA"/>
              </w:rPr>
              <w:t>000</w:t>
            </w:r>
          </w:p>
        </w:tc>
        <w:tc>
          <w:tcPr>
            <w:tcW w:w="1276" w:type="dxa"/>
            <w:shd w:val="clear" w:color="auto" w:fill="auto"/>
            <w:noWrap/>
            <w:hideMark/>
          </w:tcPr>
          <w:p w14:paraId="2972B126" w14:textId="77777777" w:rsidR="00D6532D" w:rsidRPr="0010404B" w:rsidRDefault="00D6532D" w:rsidP="00D6532D">
            <w:pPr>
              <w:jc w:val="left"/>
              <w:rPr>
                <w:sz w:val="20"/>
                <w:szCs w:val="20"/>
                <w:lang w:val="fr-FR" w:eastAsia="en-CA"/>
              </w:rPr>
            </w:pPr>
            <w:r w:rsidRPr="0010404B">
              <w:rPr>
                <w:sz w:val="20"/>
                <w:szCs w:val="20"/>
                <w:lang w:val="fr-FR" w:eastAsia="en-CA"/>
              </w:rPr>
              <w:t> </w:t>
            </w:r>
          </w:p>
        </w:tc>
      </w:tr>
      <w:tr w:rsidR="00D6532D" w:rsidRPr="0010404B" w14:paraId="617AC8FE" w14:textId="77777777" w:rsidTr="00C76B85">
        <w:trPr>
          <w:trHeight w:val="276"/>
        </w:trPr>
        <w:tc>
          <w:tcPr>
            <w:tcW w:w="3001" w:type="dxa"/>
            <w:shd w:val="clear" w:color="auto" w:fill="auto"/>
            <w:noWrap/>
            <w:hideMark/>
          </w:tcPr>
          <w:p w14:paraId="755E24B8" w14:textId="64D5B59A" w:rsidR="00D6532D" w:rsidRPr="0010404B" w:rsidRDefault="00E91DB9" w:rsidP="00D6532D">
            <w:pPr>
              <w:jc w:val="left"/>
              <w:rPr>
                <w:sz w:val="20"/>
                <w:szCs w:val="20"/>
                <w:lang w:val="fr-FR" w:eastAsia="en-CA"/>
              </w:rPr>
            </w:pPr>
            <w:r w:rsidRPr="0010404B">
              <w:rPr>
                <w:sz w:val="20"/>
                <w:szCs w:val="20"/>
                <w:lang w:val="fr-FR" w:eastAsia="en-CA"/>
              </w:rPr>
              <w:t>Différence</w:t>
            </w:r>
          </w:p>
        </w:tc>
        <w:tc>
          <w:tcPr>
            <w:tcW w:w="1134" w:type="dxa"/>
            <w:shd w:val="clear" w:color="auto" w:fill="auto"/>
            <w:noWrap/>
            <w:hideMark/>
          </w:tcPr>
          <w:p w14:paraId="37B3936A" w14:textId="6B387BA2" w:rsidR="00D6532D" w:rsidRPr="0010404B" w:rsidRDefault="00CA4F11" w:rsidP="00D6532D">
            <w:pPr>
              <w:jc w:val="right"/>
              <w:rPr>
                <w:sz w:val="20"/>
                <w:szCs w:val="20"/>
                <w:lang w:val="fr-FR" w:eastAsia="en-CA"/>
              </w:rPr>
            </w:pPr>
            <w:r w:rsidRPr="0010404B">
              <w:rPr>
                <w:sz w:val="20"/>
                <w:szCs w:val="20"/>
                <w:lang w:val="fr-FR" w:eastAsia="en-CA"/>
              </w:rPr>
              <w:t xml:space="preserve">43 </w:t>
            </w:r>
            <w:r w:rsidR="00D6532D" w:rsidRPr="0010404B">
              <w:rPr>
                <w:sz w:val="20"/>
                <w:szCs w:val="20"/>
                <w:lang w:val="fr-FR" w:eastAsia="en-CA"/>
              </w:rPr>
              <w:t>860</w:t>
            </w:r>
          </w:p>
        </w:tc>
        <w:tc>
          <w:tcPr>
            <w:tcW w:w="1276" w:type="dxa"/>
            <w:shd w:val="clear" w:color="auto" w:fill="auto"/>
            <w:noWrap/>
            <w:hideMark/>
          </w:tcPr>
          <w:p w14:paraId="7F2B2AFC" w14:textId="3960E1E6" w:rsidR="00D6532D" w:rsidRPr="0010404B" w:rsidRDefault="00CA4F11"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810)</w:t>
            </w:r>
          </w:p>
        </w:tc>
        <w:tc>
          <w:tcPr>
            <w:tcW w:w="1134" w:type="dxa"/>
            <w:shd w:val="clear" w:color="auto" w:fill="auto"/>
            <w:noWrap/>
            <w:hideMark/>
          </w:tcPr>
          <w:p w14:paraId="361D11D0" w14:textId="5643B1E4" w:rsidR="00D6532D" w:rsidRPr="0010404B" w:rsidRDefault="00CA4F11" w:rsidP="00D6532D">
            <w:pPr>
              <w:jc w:val="right"/>
              <w:rPr>
                <w:sz w:val="20"/>
                <w:szCs w:val="20"/>
                <w:lang w:val="fr-FR" w:eastAsia="en-CA"/>
              </w:rPr>
            </w:pPr>
            <w:r w:rsidRPr="0010404B">
              <w:rPr>
                <w:sz w:val="20"/>
                <w:szCs w:val="20"/>
                <w:lang w:val="fr-FR" w:eastAsia="en-CA"/>
              </w:rPr>
              <w:t xml:space="preserve">1 </w:t>
            </w:r>
            <w:r w:rsidR="00D6532D" w:rsidRPr="0010404B">
              <w:rPr>
                <w:sz w:val="20"/>
                <w:szCs w:val="20"/>
                <w:lang w:val="fr-FR" w:eastAsia="en-CA"/>
              </w:rPr>
              <w:t>692</w:t>
            </w:r>
          </w:p>
        </w:tc>
        <w:tc>
          <w:tcPr>
            <w:tcW w:w="1417" w:type="dxa"/>
            <w:shd w:val="clear" w:color="auto" w:fill="auto"/>
            <w:noWrap/>
            <w:hideMark/>
          </w:tcPr>
          <w:p w14:paraId="1441339A" w14:textId="7107A6D0" w:rsidR="00D6532D" w:rsidRPr="0010404B" w:rsidRDefault="00CA4F11" w:rsidP="00D6532D">
            <w:pPr>
              <w:jc w:val="right"/>
              <w:rPr>
                <w:sz w:val="20"/>
                <w:szCs w:val="20"/>
                <w:lang w:val="fr-FR" w:eastAsia="en-CA"/>
              </w:rPr>
            </w:pPr>
            <w:r w:rsidRPr="0010404B">
              <w:rPr>
                <w:sz w:val="20"/>
                <w:szCs w:val="20"/>
                <w:lang w:val="fr-FR" w:eastAsia="en-CA"/>
              </w:rPr>
              <w:t xml:space="preserve">43 </w:t>
            </w:r>
            <w:r w:rsidR="00D6532D" w:rsidRPr="0010404B">
              <w:rPr>
                <w:sz w:val="20"/>
                <w:szCs w:val="20"/>
                <w:lang w:val="fr-FR" w:eastAsia="en-CA"/>
              </w:rPr>
              <w:t>743</w:t>
            </w:r>
          </w:p>
        </w:tc>
        <w:tc>
          <w:tcPr>
            <w:tcW w:w="1276" w:type="dxa"/>
            <w:shd w:val="clear" w:color="auto" w:fill="auto"/>
            <w:noWrap/>
            <w:hideMark/>
          </w:tcPr>
          <w:p w14:paraId="24656906" w14:textId="77777777" w:rsidR="00D6532D" w:rsidRPr="0010404B" w:rsidRDefault="00D6532D" w:rsidP="00D6532D">
            <w:pPr>
              <w:jc w:val="left"/>
              <w:rPr>
                <w:sz w:val="20"/>
                <w:szCs w:val="20"/>
                <w:lang w:val="fr-FR" w:eastAsia="en-CA"/>
              </w:rPr>
            </w:pPr>
            <w:r w:rsidRPr="0010404B">
              <w:rPr>
                <w:sz w:val="20"/>
                <w:szCs w:val="20"/>
                <w:lang w:val="fr-FR" w:eastAsia="en-CA"/>
              </w:rPr>
              <w:t> </w:t>
            </w:r>
          </w:p>
        </w:tc>
      </w:tr>
    </w:tbl>
    <w:p w14:paraId="3E7DB2DB" w14:textId="366287B1" w:rsidR="00D6532D" w:rsidRPr="0010404B" w:rsidRDefault="00D6532D" w:rsidP="00D6532D">
      <w:pPr>
        <w:jc w:val="left"/>
        <w:rPr>
          <w:sz w:val="18"/>
          <w:szCs w:val="18"/>
          <w:lang w:val="fr-FR"/>
        </w:rPr>
      </w:pPr>
      <w:r w:rsidRPr="0010404B">
        <w:rPr>
          <w:sz w:val="18"/>
          <w:szCs w:val="18"/>
          <w:lang w:val="fr-FR"/>
        </w:rPr>
        <w:t>* Inclu</w:t>
      </w:r>
      <w:r w:rsidR="00CA357E" w:rsidRPr="0010404B">
        <w:rPr>
          <w:sz w:val="18"/>
          <w:szCs w:val="18"/>
          <w:lang w:val="fr-FR"/>
        </w:rPr>
        <w:t>ant les coûts d’appui des agences, le cas échéant</w:t>
      </w:r>
      <w:r w:rsidRPr="0010404B">
        <w:rPr>
          <w:sz w:val="18"/>
          <w:szCs w:val="18"/>
          <w:lang w:val="fr-FR"/>
        </w:rPr>
        <w:t>.</w:t>
      </w:r>
    </w:p>
    <w:p w14:paraId="77435BB0" w14:textId="4CA965F9" w:rsidR="00D6532D" w:rsidRPr="0010404B" w:rsidRDefault="00D6532D" w:rsidP="00D6532D">
      <w:pPr>
        <w:jc w:val="left"/>
        <w:rPr>
          <w:sz w:val="18"/>
          <w:szCs w:val="18"/>
          <w:lang w:val="fr-FR"/>
        </w:rPr>
      </w:pPr>
      <w:r w:rsidRPr="0010404B">
        <w:rPr>
          <w:sz w:val="18"/>
          <w:szCs w:val="18"/>
          <w:lang w:val="fr-FR"/>
        </w:rPr>
        <w:t xml:space="preserve">** </w:t>
      </w:r>
      <w:r w:rsidR="00CA357E" w:rsidRPr="0010404B">
        <w:rPr>
          <w:sz w:val="18"/>
          <w:szCs w:val="18"/>
          <w:lang w:val="fr-FR"/>
        </w:rPr>
        <w:t xml:space="preserve">En supposant un niveau de réapprovisionnement du Fonds </w:t>
      </w:r>
      <w:r w:rsidR="00E91DB9" w:rsidRPr="0010404B">
        <w:rPr>
          <w:sz w:val="18"/>
          <w:szCs w:val="18"/>
          <w:lang w:val="fr-FR"/>
        </w:rPr>
        <w:t>multilatéral</w:t>
      </w:r>
      <w:r w:rsidR="00CA357E" w:rsidRPr="0010404B">
        <w:rPr>
          <w:sz w:val="18"/>
          <w:szCs w:val="18"/>
          <w:lang w:val="fr-FR"/>
        </w:rPr>
        <w:t xml:space="preserve"> identique à celui de 2018–2020</w:t>
      </w:r>
      <w:r w:rsidRPr="0010404B">
        <w:rPr>
          <w:sz w:val="18"/>
          <w:szCs w:val="18"/>
          <w:lang w:val="fr-FR"/>
        </w:rPr>
        <w:t>.</w:t>
      </w:r>
    </w:p>
    <w:p w14:paraId="6E2170DC" w14:textId="77777777" w:rsidR="00D6532D" w:rsidRPr="0010404B" w:rsidRDefault="00D6532D" w:rsidP="00D6532D">
      <w:pPr>
        <w:jc w:val="left"/>
        <w:rPr>
          <w:sz w:val="18"/>
          <w:szCs w:val="18"/>
          <w:lang w:val="fr-FR"/>
        </w:rPr>
      </w:pPr>
    </w:p>
    <w:p w14:paraId="13F3A6EE" w14:textId="090AD0B3" w:rsidR="00D6532D" w:rsidRPr="0010404B" w:rsidRDefault="00CA357E" w:rsidP="00D6532D">
      <w:pPr>
        <w:pStyle w:val="Heading1"/>
        <w:keepNext/>
        <w:numPr>
          <w:ilvl w:val="0"/>
          <w:numId w:val="0"/>
        </w:numPr>
        <w:rPr>
          <w:b/>
          <w:lang w:val="fr-FR"/>
        </w:rPr>
      </w:pPr>
      <w:r w:rsidRPr="0010404B">
        <w:rPr>
          <w:b/>
          <w:lang w:val="fr-FR"/>
        </w:rPr>
        <w:t xml:space="preserve">Observations du </w:t>
      </w:r>
      <w:r w:rsidR="00E91DB9" w:rsidRPr="0010404B">
        <w:rPr>
          <w:b/>
          <w:lang w:val="fr-FR"/>
        </w:rPr>
        <w:t>Secrétariat</w:t>
      </w:r>
      <w:r w:rsidR="00D6532D" w:rsidRPr="0010404B">
        <w:rPr>
          <w:b/>
          <w:lang w:val="fr-FR"/>
        </w:rPr>
        <w:t xml:space="preserve"> </w:t>
      </w:r>
    </w:p>
    <w:p w14:paraId="34185E99" w14:textId="1A41E76E" w:rsidR="00D6532D" w:rsidRPr="0010404B" w:rsidRDefault="00CA357E" w:rsidP="00D6532D">
      <w:pPr>
        <w:pStyle w:val="StyleHeading1Para1Heading1CharHeading1Char3CharHeadin"/>
        <w:rPr>
          <w:u w:val="single"/>
          <w:lang w:val="fr-FR"/>
        </w:rPr>
      </w:pPr>
      <w:r w:rsidRPr="0010404B">
        <w:rPr>
          <w:u w:val="single"/>
          <w:lang w:val="fr-FR"/>
        </w:rPr>
        <w:t>Production de HCFC – phase I et préparation de projet</w:t>
      </w:r>
    </w:p>
    <w:p w14:paraId="7CCB31C9" w14:textId="3451B2F5" w:rsidR="00CA357E" w:rsidRPr="0010404B" w:rsidRDefault="00CA357E" w:rsidP="00EC6737">
      <w:pPr>
        <w:pStyle w:val="Heading1"/>
        <w:rPr>
          <w:lang w:val="fr-FR"/>
        </w:rPr>
      </w:pPr>
      <w:r w:rsidRPr="0010404B">
        <w:rPr>
          <w:lang w:val="fr-FR"/>
        </w:rPr>
        <w:t xml:space="preserve">Un total de 5,35 millions </w:t>
      </w:r>
      <w:r w:rsidR="00757598">
        <w:rPr>
          <w:lang w:val="fr-FR"/>
        </w:rPr>
        <w:t>$U</w:t>
      </w:r>
      <w:r w:rsidRPr="0010404B">
        <w:rPr>
          <w:lang w:val="fr-FR"/>
        </w:rPr>
        <w:t>S (incluant 3,</w:t>
      </w:r>
      <w:r w:rsidR="00CC6DE0">
        <w:rPr>
          <w:lang w:val="fr-FR"/>
        </w:rPr>
        <w:t>21 millions $US pour la période</w:t>
      </w:r>
      <w:r w:rsidR="00757598">
        <w:rPr>
          <w:lang w:val="fr-FR"/>
        </w:rPr>
        <w:t xml:space="preserve"> </w:t>
      </w:r>
      <w:r w:rsidR="005D5B55">
        <w:rPr>
          <w:lang w:val="fr-FR"/>
        </w:rPr>
        <w:t>2020-</w:t>
      </w:r>
      <w:r w:rsidR="00C76B85">
        <w:rPr>
          <w:lang w:val="fr-FR"/>
        </w:rPr>
        <w:t>2022) et 80 000 </w:t>
      </w:r>
      <w:r w:rsidRPr="0010404B">
        <w:rPr>
          <w:lang w:val="fr-FR"/>
        </w:rPr>
        <w:t>$US pour la préparation de projet sont inclus pou</w:t>
      </w:r>
      <w:r w:rsidR="000741A2">
        <w:rPr>
          <w:lang w:val="fr-FR"/>
        </w:rPr>
        <w:t xml:space="preserve">r la phase I du PGEPH en Inde. </w:t>
      </w:r>
      <w:r w:rsidRPr="0010404B">
        <w:rPr>
          <w:lang w:val="fr-FR"/>
        </w:rPr>
        <w:t>À la 70</w:t>
      </w:r>
      <w:r w:rsidRPr="0010404B">
        <w:rPr>
          <w:vertAlign w:val="superscript"/>
          <w:lang w:val="fr-FR"/>
        </w:rPr>
        <w:t>e</w:t>
      </w:r>
      <w:r w:rsidR="000741A2">
        <w:rPr>
          <w:vertAlign w:val="superscript"/>
          <w:lang w:val="fr-FR"/>
        </w:rPr>
        <w:t xml:space="preserve"> </w:t>
      </w:r>
      <w:r w:rsidRPr="0010404B">
        <w:rPr>
          <w:lang w:val="fr-FR"/>
        </w:rPr>
        <w:t xml:space="preserve">réunion, la Banque mondiale a été priée de fournir </w:t>
      </w:r>
      <w:r w:rsidR="00EC6737" w:rsidRPr="0010404B">
        <w:rPr>
          <w:lang w:val="fr-FR"/>
        </w:rPr>
        <w:t xml:space="preserve">la certification de l’année d’établissement de la ligne de production de HCFC-22 chez Hindustan Fluorocarbons Limited en Inde.  Le Secrétariat n’a pas encore reçu l’information confirmant la production de HCFC-22 pour des utilisations règlementées avant la date-limite du 21 septembre 2007.  </w:t>
      </w:r>
    </w:p>
    <w:p w14:paraId="571427D3" w14:textId="5FE4D494" w:rsidR="00EC6737" w:rsidRPr="0010404B" w:rsidRDefault="00EC6737" w:rsidP="00D6532D">
      <w:pPr>
        <w:pStyle w:val="StyleHeading1Para1Heading1CharHeading1Char3CharHeadin"/>
        <w:rPr>
          <w:u w:val="single"/>
          <w:lang w:val="fr-FR"/>
        </w:rPr>
      </w:pPr>
      <w:r w:rsidRPr="0010404B">
        <w:rPr>
          <w:u w:val="single"/>
          <w:lang w:val="fr-FR"/>
        </w:rPr>
        <w:t>Production de HCFC – phase II</w:t>
      </w:r>
    </w:p>
    <w:p w14:paraId="4CFEA3F5" w14:textId="4C7C4523" w:rsidR="00EC6737" w:rsidRPr="0010404B" w:rsidRDefault="00EC6737" w:rsidP="00BE04D8">
      <w:pPr>
        <w:pStyle w:val="Heading1"/>
        <w:rPr>
          <w:lang w:val="fr-FR"/>
        </w:rPr>
      </w:pPr>
      <w:r w:rsidRPr="0010404B">
        <w:rPr>
          <w:lang w:val="fr-FR"/>
        </w:rPr>
        <w:t>Un total de 259,52 millions $US est in</w:t>
      </w:r>
      <w:r w:rsidR="00757598">
        <w:rPr>
          <w:lang w:val="fr-FR"/>
        </w:rPr>
        <w:t>clus</w:t>
      </w:r>
      <w:r w:rsidRPr="0010404B">
        <w:rPr>
          <w:lang w:val="fr-FR"/>
        </w:rPr>
        <w:t xml:space="preserve"> pour le PGEPH pour la Chine.  Ce montant </w:t>
      </w:r>
      <w:r w:rsidR="00757598">
        <w:rPr>
          <w:lang w:val="fr-FR"/>
        </w:rPr>
        <w:t>comprend</w:t>
      </w:r>
      <w:r w:rsidRPr="0010404B">
        <w:rPr>
          <w:lang w:val="fr-FR"/>
        </w:rPr>
        <w:t xml:space="preserve"> 77,96 millions $US pour la période 2020-2022 et 181,56 millions $US au-delà de 2022.</w:t>
      </w:r>
      <w:r w:rsidR="009F3E5A" w:rsidRPr="0010404B">
        <w:rPr>
          <w:lang w:val="fr-FR"/>
        </w:rPr>
        <w:t xml:space="preserve">  À la 81</w:t>
      </w:r>
      <w:r w:rsidR="009F3E5A" w:rsidRPr="0010404B">
        <w:rPr>
          <w:vertAlign w:val="superscript"/>
          <w:lang w:val="fr-FR"/>
        </w:rPr>
        <w:t>e</w:t>
      </w:r>
      <w:r w:rsidR="009F3E5A" w:rsidRPr="0010404B">
        <w:rPr>
          <w:lang w:val="fr-FR"/>
        </w:rPr>
        <w:t xml:space="preserve"> réunion, le Comité exécutif a approuvé, </w:t>
      </w:r>
      <w:r w:rsidR="009F3E5A" w:rsidRPr="0010404B">
        <w:rPr>
          <w:i/>
          <w:lang w:val="fr-FR"/>
        </w:rPr>
        <w:t>entre autres</w:t>
      </w:r>
      <w:r w:rsidR="009F3E5A" w:rsidRPr="0010404B">
        <w:rPr>
          <w:lang w:val="fr-FR"/>
        </w:rPr>
        <w:t>, à titre exceptionnel, 24,29 millions $US (coûts d’appui d’agence</w:t>
      </w:r>
      <w:r w:rsidR="00D83BE3">
        <w:rPr>
          <w:lang w:val="fr-FR"/>
        </w:rPr>
        <w:t xml:space="preserve"> inclus</w:t>
      </w:r>
      <w:r w:rsidR="009F3E5A" w:rsidRPr="0010404B">
        <w:rPr>
          <w:lang w:val="fr-FR"/>
        </w:rPr>
        <w:t>) pour le PGEPH pour la Chine et pris note que ce montant serait déduit du financement de la phase II</w:t>
      </w:r>
      <w:r w:rsidR="009F3E5A" w:rsidRPr="0010404B">
        <w:rPr>
          <w:rStyle w:val="FootnoteReference"/>
          <w:lang w:val="fr-FR"/>
        </w:rPr>
        <w:footnoteReference w:id="7"/>
      </w:r>
      <w:r w:rsidR="00D83BE3">
        <w:rPr>
          <w:lang w:val="fr-FR"/>
        </w:rPr>
        <w:t>. T</w:t>
      </w:r>
      <w:r w:rsidR="009F3E5A" w:rsidRPr="0010404B">
        <w:rPr>
          <w:lang w:val="fr-FR"/>
        </w:rPr>
        <w:t>enant compte de l’approbation à la 81</w:t>
      </w:r>
      <w:r w:rsidR="009F3E5A" w:rsidRPr="0010404B">
        <w:rPr>
          <w:vertAlign w:val="superscript"/>
          <w:lang w:val="fr-FR"/>
        </w:rPr>
        <w:t>e</w:t>
      </w:r>
      <w:r w:rsidR="009F3E5A" w:rsidRPr="0010404B">
        <w:rPr>
          <w:lang w:val="fr-FR"/>
        </w:rPr>
        <w:t xml:space="preserve"> réunion, le niveau annuel moyen du financement </w:t>
      </w:r>
      <w:r w:rsidR="009F3E5A" w:rsidRPr="0010404B">
        <w:rPr>
          <w:lang w:val="fr-FR"/>
        </w:rPr>
        <w:lastRenderedPageBreak/>
        <w:t xml:space="preserve">après la phase I du PGEPH </w:t>
      </w:r>
      <w:r w:rsidR="00D83BE3">
        <w:rPr>
          <w:lang w:val="fr-FR"/>
        </w:rPr>
        <w:t>qui débute</w:t>
      </w:r>
      <w:r w:rsidR="009F3E5A" w:rsidRPr="0010404B">
        <w:rPr>
          <w:lang w:val="fr-FR"/>
        </w:rPr>
        <w:t xml:space="preserve"> en 2019 devrait être de 23,50 millions $US (ou 70,49 millions $US pour la période 2020-2022) en supposant l’octroi du montant de financement maximum (406,56</w:t>
      </w:r>
      <w:r w:rsidR="00516DEE">
        <w:rPr>
          <w:lang w:val="fr-FR"/>
        </w:rPr>
        <w:t> </w:t>
      </w:r>
      <w:r w:rsidR="009F3E5A" w:rsidRPr="0010404B">
        <w:rPr>
          <w:lang w:val="fr-FR"/>
        </w:rPr>
        <w:t>millions</w:t>
      </w:r>
      <w:r w:rsidR="00516DEE">
        <w:rPr>
          <w:lang w:val="fr-FR"/>
        </w:rPr>
        <w:t> </w:t>
      </w:r>
      <w:r w:rsidR="009F3E5A" w:rsidRPr="0010404B">
        <w:rPr>
          <w:lang w:val="fr-FR"/>
        </w:rPr>
        <w:t>$US)</w:t>
      </w:r>
      <w:r w:rsidR="009F3E5A" w:rsidRPr="0010404B">
        <w:rPr>
          <w:rStyle w:val="FootnoteReference"/>
          <w:lang w:val="fr-FR"/>
        </w:rPr>
        <w:footnoteReference w:id="8"/>
      </w:r>
      <w:r w:rsidR="003314BC">
        <w:rPr>
          <w:lang w:val="fr-FR"/>
        </w:rPr>
        <w:t>,</w:t>
      </w:r>
      <w:r w:rsidR="00BE04D8" w:rsidRPr="0010404B">
        <w:rPr>
          <w:lang w:val="fr-FR"/>
        </w:rPr>
        <w:t xml:space="preserve"> coûts d’appui d’agence </w:t>
      </w:r>
      <w:r w:rsidR="00D83BE3">
        <w:rPr>
          <w:lang w:val="fr-FR"/>
        </w:rPr>
        <w:t xml:space="preserve">inclus, </w:t>
      </w:r>
      <w:r w:rsidR="003314BC">
        <w:rPr>
          <w:lang w:val="fr-FR"/>
        </w:rPr>
        <w:t xml:space="preserve">selon la décision 69/28(e). </w:t>
      </w:r>
      <w:r w:rsidR="00D83BE3">
        <w:rPr>
          <w:lang w:val="fr-FR"/>
        </w:rPr>
        <w:t>Par conséquent,</w:t>
      </w:r>
      <w:r w:rsidR="00BE04D8" w:rsidRPr="0010404B">
        <w:rPr>
          <w:lang w:val="fr-FR"/>
        </w:rPr>
        <w:t xml:space="preserve"> le niveau de financement proposé pour 2020-2022 dépasserait le montant annuel moyen</w:t>
      </w:r>
      <w:r w:rsidR="00D83BE3">
        <w:rPr>
          <w:lang w:val="fr-FR"/>
        </w:rPr>
        <w:t>,</w:t>
      </w:r>
      <w:r w:rsidR="00BE04D8" w:rsidRPr="0010404B">
        <w:rPr>
          <w:lang w:val="fr-FR"/>
        </w:rPr>
        <w:t xml:space="preserve"> d’environ 10,6 pour cent. </w:t>
      </w:r>
    </w:p>
    <w:p w14:paraId="20057005" w14:textId="27FAF7B9" w:rsidR="00BE04D8" w:rsidRPr="0010404B" w:rsidRDefault="00BE04D8" w:rsidP="00BE04D8">
      <w:pPr>
        <w:pStyle w:val="Heading1"/>
        <w:rPr>
          <w:lang w:val="fr-FR"/>
        </w:rPr>
      </w:pPr>
      <w:r w:rsidRPr="0010404B">
        <w:rPr>
          <w:lang w:val="fr-FR"/>
        </w:rPr>
        <w:t xml:space="preserve">La demande de financement pour la phase II du PGEPH pour la Chine est présentée </w:t>
      </w:r>
      <w:r w:rsidR="00D83BE3">
        <w:rPr>
          <w:lang w:val="fr-FR"/>
        </w:rPr>
        <w:t xml:space="preserve">de nouveau </w:t>
      </w:r>
      <w:r w:rsidRPr="0010404B">
        <w:rPr>
          <w:lang w:val="fr-FR"/>
        </w:rPr>
        <w:t>à la 84</w:t>
      </w:r>
      <w:r w:rsidRPr="0010404B">
        <w:rPr>
          <w:vertAlign w:val="superscript"/>
          <w:lang w:val="fr-FR"/>
        </w:rPr>
        <w:t>e</w:t>
      </w:r>
      <w:r w:rsidRPr="0010404B">
        <w:rPr>
          <w:lang w:val="fr-FR"/>
        </w:rPr>
        <w:t xml:space="preserve"> réunion,  conformément à la décision 83/72.</w:t>
      </w:r>
    </w:p>
    <w:p w14:paraId="2D01E0DD" w14:textId="707593EF" w:rsidR="00BE04D8" w:rsidRPr="0010404B" w:rsidRDefault="00BE04D8" w:rsidP="00D6532D">
      <w:pPr>
        <w:pStyle w:val="StyleHeading1Para1Heading1CharHeading1Char3CharHeadin"/>
        <w:rPr>
          <w:u w:val="single"/>
          <w:lang w:val="fr-FR"/>
        </w:rPr>
      </w:pPr>
      <w:r w:rsidRPr="0010404B">
        <w:rPr>
          <w:u w:val="single"/>
          <w:lang w:val="fr-FR"/>
        </w:rPr>
        <w:t>P</w:t>
      </w:r>
      <w:r w:rsidR="00CC6DE0">
        <w:rPr>
          <w:u w:val="single"/>
          <w:lang w:val="fr-FR"/>
        </w:rPr>
        <w:t>hase I de PGEH</w:t>
      </w:r>
      <w:r w:rsidR="003C14A4">
        <w:rPr>
          <w:u w:val="single"/>
          <w:lang w:val="fr-FR"/>
        </w:rPr>
        <w:t xml:space="preserve"> </w:t>
      </w:r>
      <w:r w:rsidRPr="0010404B">
        <w:rPr>
          <w:u w:val="single"/>
          <w:lang w:val="fr-FR"/>
        </w:rPr>
        <w:t>et projets additionnels</w:t>
      </w:r>
    </w:p>
    <w:p w14:paraId="534078A3" w14:textId="35D333E4" w:rsidR="00BE04D8" w:rsidRPr="0010404B" w:rsidRDefault="00BE04D8" w:rsidP="00CF0A85">
      <w:pPr>
        <w:pStyle w:val="Heading1"/>
        <w:rPr>
          <w:lang w:val="fr-FR"/>
        </w:rPr>
      </w:pPr>
      <w:r w:rsidRPr="0010404B">
        <w:rPr>
          <w:lang w:val="fr-FR"/>
        </w:rPr>
        <w:t>Il reste un pays (République arabe syrienne)</w:t>
      </w:r>
      <w:r w:rsidRPr="0010404B">
        <w:rPr>
          <w:rStyle w:val="FootnoteReference"/>
          <w:lang w:val="fr-FR"/>
        </w:rPr>
        <w:footnoteReference w:id="9"/>
      </w:r>
      <w:r w:rsidR="00CF0A85" w:rsidRPr="0010404B">
        <w:rPr>
          <w:lang w:val="fr-FR"/>
        </w:rPr>
        <w:t xml:space="preserve"> pour lequel la phase I du PGEH n’a pas encore été approuvée.  Le plan d’activités inclut 846 137 $US pour des activités durant la période 2020-2022.</w:t>
      </w:r>
    </w:p>
    <w:p w14:paraId="27758CD0" w14:textId="6F484414" w:rsidR="00CF0A85" w:rsidRPr="0010404B" w:rsidRDefault="00CF0A85" w:rsidP="00D6532D">
      <w:pPr>
        <w:pStyle w:val="StyleHeading1Para1Heading1CharHeading1Char3CharHeadin"/>
        <w:rPr>
          <w:u w:val="single"/>
          <w:lang w:val="fr-FR"/>
        </w:rPr>
      </w:pPr>
      <w:r w:rsidRPr="0010404B">
        <w:rPr>
          <w:u w:val="single"/>
          <w:lang w:val="fr-FR"/>
        </w:rPr>
        <w:t>P</w:t>
      </w:r>
      <w:r w:rsidR="00CC6DE0">
        <w:rPr>
          <w:u w:val="single"/>
          <w:lang w:val="fr-FR"/>
        </w:rPr>
        <w:t>hase II de</w:t>
      </w:r>
      <w:r w:rsidR="00F733C9">
        <w:rPr>
          <w:u w:val="single"/>
          <w:lang w:val="fr-FR"/>
        </w:rPr>
        <w:t>s</w:t>
      </w:r>
      <w:r w:rsidR="00CC6DE0">
        <w:rPr>
          <w:u w:val="single"/>
          <w:lang w:val="fr-FR"/>
        </w:rPr>
        <w:t xml:space="preserve"> P</w:t>
      </w:r>
      <w:r w:rsidRPr="0010404B">
        <w:rPr>
          <w:u w:val="single"/>
          <w:lang w:val="fr-FR"/>
        </w:rPr>
        <w:t>GEH</w:t>
      </w:r>
    </w:p>
    <w:p w14:paraId="72C75CB6" w14:textId="2191EB88" w:rsidR="00CF0A85" w:rsidRPr="0010404B" w:rsidRDefault="00CF0A85" w:rsidP="00A54DD0">
      <w:pPr>
        <w:pStyle w:val="Heading1"/>
        <w:rPr>
          <w:lang w:val="fr-FR"/>
        </w:rPr>
      </w:pPr>
      <w:r w:rsidRPr="0010404B">
        <w:rPr>
          <w:lang w:val="fr-FR"/>
        </w:rPr>
        <w:t xml:space="preserve">Le </w:t>
      </w:r>
      <w:r w:rsidR="00D83BE3">
        <w:rPr>
          <w:lang w:val="fr-FR"/>
        </w:rPr>
        <w:t xml:space="preserve">niveau de </w:t>
      </w:r>
      <w:r w:rsidRPr="0010404B">
        <w:rPr>
          <w:lang w:val="fr-FR"/>
        </w:rPr>
        <w:t xml:space="preserve">financement </w:t>
      </w:r>
      <w:r w:rsidR="00A54DD0" w:rsidRPr="0010404B">
        <w:rPr>
          <w:lang w:val="fr-FR"/>
        </w:rPr>
        <w:t xml:space="preserve">total </w:t>
      </w:r>
      <w:r w:rsidR="006271CF">
        <w:rPr>
          <w:lang w:val="fr-FR"/>
        </w:rPr>
        <w:t>pour la phase II des PGEH pour l</w:t>
      </w:r>
      <w:r w:rsidRPr="0010404B">
        <w:rPr>
          <w:lang w:val="fr-FR"/>
        </w:rPr>
        <w:t>es pays à faible volume de consommation</w:t>
      </w:r>
      <w:r w:rsidR="00410FA9" w:rsidRPr="0010404B">
        <w:rPr>
          <w:lang w:val="fr-FR"/>
        </w:rPr>
        <w:t xml:space="preserve"> (PFV) est de 21,51 millions $US</w:t>
      </w:r>
      <w:r w:rsidR="00D83BE3">
        <w:rPr>
          <w:lang w:val="fr-FR"/>
        </w:rPr>
        <w:t>,</w:t>
      </w:r>
      <w:r w:rsidR="00410FA9" w:rsidRPr="0010404B">
        <w:rPr>
          <w:lang w:val="fr-FR"/>
        </w:rPr>
        <w:t xml:space="preserve"> dont 11,25 millions $US pour la période 2020-2022 afin de parvenir à la réduction de 67,5 pour cent de la valeur de référence des HCFC.  </w:t>
      </w:r>
      <w:r w:rsidR="00A54DD0" w:rsidRPr="0010404B">
        <w:rPr>
          <w:lang w:val="fr-FR"/>
        </w:rPr>
        <w:t>Par ailleurs</w:t>
      </w:r>
      <w:r w:rsidR="00410FA9" w:rsidRPr="0010404B">
        <w:rPr>
          <w:lang w:val="fr-FR"/>
        </w:rPr>
        <w:t xml:space="preserve">, la valeur des projets </w:t>
      </w:r>
      <w:r w:rsidR="00D83BE3">
        <w:rPr>
          <w:lang w:val="fr-FR"/>
        </w:rPr>
        <w:t>visant à</w:t>
      </w:r>
      <w:r w:rsidR="00410FA9" w:rsidRPr="0010404B">
        <w:rPr>
          <w:lang w:val="fr-FR"/>
        </w:rPr>
        <w:t xml:space="preserve"> </w:t>
      </w:r>
      <w:r w:rsidR="00A54DD0" w:rsidRPr="0010404B">
        <w:rPr>
          <w:lang w:val="fr-FR"/>
        </w:rPr>
        <w:t>permettre aux</w:t>
      </w:r>
      <w:r w:rsidR="00410FA9" w:rsidRPr="0010404B">
        <w:rPr>
          <w:lang w:val="fr-FR"/>
        </w:rPr>
        <w:t xml:space="preserve"> PFV</w:t>
      </w:r>
      <w:r w:rsidR="00D83BE3">
        <w:rPr>
          <w:lang w:val="fr-FR"/>
        </w:rPr>
        <w:t xml:space="preserve"> de parvenir à une </w:t>
      </w:r>
      <w:r w:rsidR="00A54DD0" w:rsidRPr="0010404B">
        <w:rPr>
          <w:lang w:val="fr-FR"/>
        </w:rPr>
        <w:t>réduction de 100 pour cent est de 8,7</w:t>
      </w:r>
      <w:r w:rsidR="003314BC">
        <w:rPr>
          <w:lang w:val="fr-FR"/>
        </w:rPr>
        <w:t>9 millions </w:t>
      </w:r>
      <w:r w:rsidR="00A54DD0" w:rsidRPr="0010404B">
        <w:rPr>
          <w:lang w:val="fr-FR"/>
        </w:rPr>
        <w:t>$US, incluant 3,93 millions $US pour la période 2020-2022.</w:t>
      </w:r>
    </w:p>
    <w:p w14:paraId="4B2315EE" w14:textId="6B14B55E" w:rsidR="00FC723D" w:rsidRPr="0010404B" w:rsidRDefault="00A54DD0" w:rsidP="00FC723D">
      <w:pPr>
        <w:pStyle w:val="Heading1"/>
        <w:rPr>
          <w:lang w:val="fr-FR"/>
        </w:rPr>
      </w:pPr>
      <w:r w:rsidRPr="0010404B">
        <w:rPr>
          <w:lang w:val="fr-FR"/>
        </w:rPr>
        <w:t xml:space="preserve">Le </w:t>
      </w:r>
      <w:r w:rsidR="00D83BE3">
        <w:rPr>
          <w:lang w:val="fr-FR"/>
        </w:rPr>
        <w:t xml:space="preserve">niveau de </w:t>
      </w:r>
      <w:r w:rsidRPr="0010404B">
        <w:rPr>
          <w:lang w:val="fr-FR"/>
        </w:rPr>
        <w:t xml:space="preserve">financement total </w:t>
      </w:r>
      <w:r w:rsidR="006271CF">
        <w:rPr>
          <w:lang w:val="fr-FR"/>
        </w:rPr>
        <w:t>pour la phase II des PGEH dans l</w:t>
      </w:r>
      <w:r w:rsidRPr="0010404B">
        <w:rPr>
          <w:lang w:val="fr-FR"/>
        </w:rPr>
        <w:t xml:space="preserve">es pays </w:t>
      </w:r>
      <w:r w:rsidR="00FC723D" w:rsidRPr="0010404B">
        <w:rPr>
          <w:lang w:val="fr-FR"/>
        </w:rPr>
        <w:t xml:space="preserve">à fort volume de consommation </w:t>
      </w:r>
      <w:r w:rsidRPr="0010404B">
        <w:rPr>
          <w:lang w:val="fr-FR"/>
        </w:rPr>
        <w:t xml:space="preserve">est de 65,99 millions $US, pour l’élimination de 655,7 tonnes PAO de HCFC, incluant 15,27 millions $US pour la période 2020-2022, avec l’élimination de 239,9 tonnes PAO.  La répartition du financement par secteur est </w:t>
      </w:r>
      <w:r w:rsidR="00D83BE3">
        <w:rPr>
          <w:lang w:val="fr-FR"/>
        </w:rPr>
        <w:t>présenté</w:t>
      </w:r>
      <w:r w:rsidRPr="0010404B">
        <w:rPr>
          <w:lang w:val="fr-FR"/>
        </w:rPr>
        <w:t>e dans le Tableau 4.</w:t>
      </w:r>
    </w:p>
    <w:p w14:paraId="23DCD019" w14:textId="5DF66D73" w:rsidR="00FC723D" w:rsidRPr="0010404B" w:rsidRDefault="00FC723D" w:rsidP="00FC723D">
      <w:pPr>
        <w:keepNext/>
        <w:rPr>
          <w:b/>
          <w:lang w:val="fr-FR"/>
        </w:rPr>
      </w:pPr>
      <w:r w:rsidRPr="0010404B">
        <w:rPr>
          <w:b/>
          <w:lang w:val="fr-FR"/>
        </w:rPr>
        <w:t>Tableau 4. Répartition, par secteur, du financemen</w:t>
      </w:r>
      <w:r w:rsidR="006271CF">
        <w:rPr>
          <w:b/>
          <w:lang w:val="fr-FR"/>
        </w:rPr>
        <w:t>t de la phase II des PGEH dans l</w:t>
      </w:r>
      <w:r w:rsidRPr="0010404B">
        <w:rPr>
          <w:b/>
          <w:lang w:val="fr-FR"/>
        </w:rPr>
        <w:t>es pays à fort volume de consommation (000 $US)</w:t>
      </w: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1417"/>
        <w:gridCol w:w="1276"/>
        <w:gridCol w:w="1417"/>
        <w:gridCol w:w="1418"/>
      </w:tblGrid>
      <w:tr w:rsidR="00FC723D" w:rsidRPr="0010404B" w14:paraId="66960B23" w14:textId="77777777" w:rsidTr="00712577">
        <w:trPr>
          <w:trHeight w:val="276"/>
        </w:trPr>
        <w:tc>
          <w:tcPr>
            <w:tcW w:w="3710" w:type="dxa"/>
            <w:shd w:val="clear" w:color="auto" w:fill="auto"/>
            <w:hideMark/>
          </w:tcPr>
          <w:p w14:paraId="69281044" w14:textId="21516A30" w:rsidR="00FC723D" w:rsidRPr="0010404B" w:rsidRDefault="00E529D5" w:rsidP="00FC723D">
            <w:pPr>
              <w:jc w:val="left"/>
              <w:rPr>
                <w:b/>
                <w:bCs/>
                <w:sz w:val="20"/>
                <w:szCs w:val="20"/>
                <w:lang w:val="fr-FR" w:eastAsia="en-CA"/>
              </w:rPr>
            </w:pPr>
            <w:r w:rsidRPr="0010404B">
              <w:rPr>
                <w:b/>
                <w:bCs/>
                <w:sz w:val="20"/>
                <w:szCs w:val="20"/>
                <w:lang w:val="fr-FR" w:eastAsia="en-CA"/>
              </w:rPr>
              <w:t>Secteu</w:t>
            </w:r>
            <w:r w:rsidR="00FC723D" w:rsidRPr="0010404B">
              <w:rPr>
                <w:b/>
                <w:bCs/>
                <w:sz w:val="20"/>
                <w:szCs w:val="20"/>
                <w:lang w:val="fr-FR" w:eastAsia="en-CA"/>
              </w:rPr>
              <w:t>r</w:t>
            </w:r>
          </w:p>
        </w:tc>
        <w:tc>
          <w:tcPr>
            <w:tcW w:w="1417" w:type="dxa"/>
            <w:shd w:val="clear" w:color="auto" w:fill="auto"/>
            <w:hideMark/>
          </w:tcPr>
          <w:p w14:paraId="410501F4" w14:textId="77777777" w:rsidR="00FC723D" w:rsidRPr="0010404B" w:rsidRDefault="00FC723D" w:rsidP="00FC723D">
            <w:pPr>
              <w:jc w:val="center"/>
              <w:rPr>
                <w:b/>
                <w:bCs/>
                <w:sz w:val="20"/>
                <w:szCs w:val="20"/>
                <w:lang w:val="fr-FR" w:eastAsia="en-CA"/>
              </w:rPr>
            </w:pPr>
            <w:r w:rsidRPr="0010404B">
              <w:rPr>
                <w:b/>
                <w:bCs/>
                <w:sz w:val="20"/>
                <w:szCs w:val="20"/>
                <w:lang w:val="fr-FR" w:eastAsia="en-CA"/>
              </w:rPr>
              <w:t>2020-2022</w:t>
            </w:r>
          </w:p>
        </w:tc>
        <w:tc>
          <w:tcPr>
            <w:tcW w:w="1276" w:type="dxa"/>
            <w:shd w:val="clear" w:color="auto" w:fill="auto"/>
            <w:hideMark/>
          </w:tcPr>
          <w:p w14:paraId="7828D424" w14:textId="41C5D5C8" w:rsidR="00FC723D" w:rsidRPr="0010404B" w:rsidRDefault="00FC723D" w:rsidP="00FC723D">
            <w:pPr>
              <w:jc w:val="center"/>
              <w:rPr>
                <w:b/>
                <w:bCs/>
                <w:sz w:val="20"/>
                <w:szCs w:val="20"/>
                <w:lang w:val="fr-FR" w:eastAsia="en-CA"/>
              </w:rPr>
            </w:pPr>
            <w:r w:rsidRPr="0010404B">
              <w:rPr>
                <w:b/>
                <w:bCs/>
                <w:sz w:val="20"/>
                <w:szCs w:val="20"/>
                <w:lang w:val="fr-FR" w:eastAsia="en-CA"/>
              </w:rPr>
              <w:t>A</w:t>
            </w:r>
            <w:r w:rsidR="00E529D5" w:rsidRPr="0010404B">
              <w:rPr>
                <w:b/>
                <w:bCs/>
                <w:sz w:val="20"/>
                <w:szCs w:val="20"/>
                <w:lang w:val="fr-FR" w:eastAsia="en-CA"/>
              </w:rPr>
              <w:t>près</w:t>
            </w:r>
            <w:r w:rsidRPr="0010404B">
              <w:rPr>
                <w:b/>
                <w:bCs/>
                <w:sz w:val="20"/>
                <w:szCs w:val="20"/>
                <w:lang w:val="fr-FR" w:eastAsia="en-CA"/>
              </w:rPr>
              <w:t xml:space="preserve"> 2022</w:t>
            </w:r>
          </w:p>
        </w:tc>
        <w:tc>
          <w:tcPr>
            <w:tcW w:w="1417" w:type="dxa"/>
            <w:shd w:val="clear" w:color="auto" w:fill="auto"/>
            <w:hideMark/>
          </w:tcPr>
          <w:p w14:paraId="515F5580" w14:textId="77777777" w:rsidR="00FC723D" w:rsidRPr="0010404B" w:rsidRDefault="00FC723D" w:rsidP="00FC723D">
            <w:pPr>
              <w:jc w:val="center"/>
              <w:rPr>
                <w:b/>
                <w:bCs/>
                <w:sz w:val="20"/>
                <w:szCs w:val="20"/>
                <w:lang w:val="fr-FR" w:eastAsia="en-CA"/>
              </w:rPr>
            </w:pPr>
            <w:r w:rsidRPr="0010404B">
              <w:rPr>
                <w:b/>
                <w:bCs/>
                <w:sz w:val="20"/>
                <w:szCs w:val="20"/>
                <w:lang w:val="fr-FR" w:eastAsia="en-CA"/>
              </w:rPr>
              <w:t>Total</w:t>
            </w:r>
          </w:p>
        </w:tc>
        <w:tc>
          <w:tcPr>
            <w:tcW w:w="1418" w:type="dxa"/>
            <w:shd w:val="clear" w:color="auto" w:fill="auto"/>
            <w:hideMark/>
          </w:tcPr>
          <w:p w14:paraId="515FE30B" w14:textId="61877F30" w:rsidR="00FC723D" w:rsidRPr="0010404B" w:rsidRDefault="00E529D5" w:rsidP="00FC723D">
            <w:pPr>
              <w:jc w:val="center"/>
              <w:rPr>
                <w:b/>
                <w:bCs/>
                <w:sz w:val="20"/>
                <w:szCs w:val="20"/>
                <w:lang w:val="fr-FR" w:eastAsia="en-CA"/>
              </w:rPr>
            </w:pPr>
            <w:r w:rsidRPr="0010404B">
              <w:rPr>
                <w:b/>
                <w:bCs/>
                <w:sz w:val="20"/>
                <w:szCs w:val="20"/>
                <w:lang w:val="fr-FR" w:eastAsia="en-CA"/>
              </w:rPr>
              <w:t>Pour</w:t>
            </w:r>
            <w:r w:rsidR="00FC723D" w:rsidRPr="0010404B">
              <w:rPr>
                <w:b/>
                <w:bCs/>
                <w:sz w:val="20"/>
                <w:szCs w:val="20"/>
                <w:lang w:val="fr-FR" w:eastAsia="en-CA"/>
              </w:rPr>
              <w:t>cent</w:t>
            </w:r>
            <w:r w:rsidRPr="0010404B">
              <w:rPr>
                <w:b/>
                <w:bCs/>
                <w:sz w:val="20"/>
                <w:szCs w:val="20"/>
                <w:lang w:val="fr-FR" w:eastAsia="en-CA"/>
              </w:rPr>
              <w:t>age du</w:t>
            </w:r>
            <w:r w:rsidR="00FC723D" w:rsidRPr="0010404B">
              <w:rPr>
                <w:b/>
                <w:bCs/>
                <w:sz w:val="20"/>
                <w:szCs w:val="20"/>
                <w:lang w:val="fr-FR" w:eastAsia="en-CA"/>
              </w:rPr>
              <w:t xml:space="preserve"> total (%)</w:t>
            </w:r>
          </w:p>
        </w:tc>
      </w:tr>
      <w:tr w:rsidR="00FC723D" w:rsidRPr="0010404B" w14:paraId="19312CBF" w14:textId="77777777" w:rsidTr="00712577">
        <w:trPr>
          <w:trHeight w:val="276"/>
        </w:trPr>
        <w:tc>
          <w:tcPr>
            <w:tcW w:w="3710" w:type="dxa"/>
            <w:shd w:val="clear" w:color="auto" w:fill="auto"/>
            <w:noWrap/>
            <w:hideMark/>
          </w:tcPr>
          <w:p w14:paraId="25363E5E" w14:textId="3FE4A7E9" w:rsidR="00FC723D" w:rsidRPr="0010404B" w:rsidRDefault="00E529D5" w:rsidP="00FC723D">
            <w:pPr>
              <w:jc w:val="left"/>
              <w:rPr>
                <w:sz w:val="20"/>
                <w:szCs w:val="20"/>
                <w:lang w:val="fr-FR" w:eastAsia="en-CA"/>
              </w:rPr>
            </w:pPr>
            <w:r w:rsidRPr="0010404B">
              <w:rPr>
                <w:sz w:val="20"/>
                <w:szCs w:val="20"/>
                <w:lang w:val="fr-FR" w:eastAsia="en-CA"/>
              </w:rPr>
              <w:t>Mousse ri</w:t>
            </w:r>
            <w:r w:rsidR="00FC723D" w:rsidRPr="0010404B">
              <w:rPr>
                <w:sz w:val="20"/>
                <w:szCs w:val="20"/>
                <w:lang w:val="fr-FR" w:eastAsia="en-CA"/>
              </w:rPr>
              <w:t>gid</w:t>
            </w:r>
            <w:r w:rsidRPr="0010404B">
              <w:rPr>
                <w:sz w:val="20"/>
                <w:szCs w:val="20"/>
                <w:lang w:val="fr-FR" w:eastAsia="en-CA"/>
              </w:rPr>
              <w:t xml:space="preserve">e </w:t>
            </w:r>
            <w:r w:rsidR="00FC723D" w:rsidRPr="0010404B">
              <w:rPr>
                <w:sz w:val="20"/>
                <w:szCs w:val="20"/>
                <w:lang w:val="fr-FR" w:eastAsia="en-CA"/>
              </w:rPr>
              <w:t xml:space="preserve"> </w:t>
            </w:r>
          </w:p>
        </w:tc>
        <w:tc>
          <w:tcPr>
            <w:tcW w:w="1417" w:type="dxa"/>
            <w:shd w:val="clear" w:color="auto" w:fill="auto"/>
            <w:noWrap/>
            <w:hideMark/>
          </w:tcPr>
          <w:p w14:paraId="2D037145" w14:textId="60C3265B" w:rsidR="00FC723D" w:rsidRPr="0010404B" w:rsidRDefault="00E529D5" w:rsidP="00FC723D">
            <w:pPr>
              <w:jc w:val="right"/>
              <w:rPr>
                <w:sz w:val="20"/>
                <w:szCs w:val="20"/>
                <w:lang w:val="fr-FR" w:eastAsia="en-CA"/>
              </w:rPr>
            </w:pPr>
            <w:r w:rsidRPr="0010404B">
              <w:rPr>
                <w:sz w:val="20"/>
                <w:szCs w:val="20"/>
                <w:lang w:val="fr-FR" w:eastAsia="en-CA"/>
              </w:rPr>
              <w:t xml:space="preserve">1 </w:t>
            </w:r>
            <w:r w:rsidR="00FC723D" w:rsidRPr="0010404B">
              <w:rPr>
                <w:sz w:val="20"/>
                <w:szCs w:val="20"/>
                <w:lang w:val="fr-FR" w:eastAsia="en-CA"/>
              </w:rPr>
              <w:t>461</w:t>
            </w:r>
          </w:p>
        </w:tc>
        <w:tc>
          <w:tcPr>
            <w:tcW w:w="1276" w:type="dxa"/>
            <w:shd w:val="clear" w:color="auto" w:fill="auto"/>
            <w:noWrap/>
            <w:hideMark/>
          </w:tcPr>
          <w:p w14:paraId="781D24BA" w14:textId="77777777" w:rsidR="00FC723D" w:rsidRPr="0010404B" w:rsidRDefault="00FC723D" w:rsidP="00FC723D">
            <w:pPr>
              <w:jc w:val="right"/>
              <w:rPr>
                <w:sz w:val="20"/>
                <w:szCs w:val="20"/>
                <w:lang w:val="fr-FR" w:eastAsia="en-CA"/>
              </w:rPr>
            </w:pPr>
            <w:r w:rsidRPr="0010404B">
              <w:rPr>
                <w:sz w:val="20"/>
                <w:szCs w:val="20"/>
                <w:lang w:val="fr-FR" w:eastAsia="en-CA"/>
              </w:rPr>
              <w:t>394</w:t>
            </w:r>
          </w:p>
        </w:tc>
        <w:tc>
          <w:tcPr>
            <w:tcW w:w="1417" w:type="dxa"/>
            <w:shd w:val="clear" w:color="auto" w:fill="auto"/>
            <w:noWrap/>
            <w:hideMark/>
          </w:tcPr>
          <w:p w14:paraId="1116EA69" w14:textId="543A1CAB" w:rsidR="00FC723D" w:rsidRPr="0010404B" w:rsidRDefault="00E529D5" w:rsidP="00FC723D">
            <w:pPr>
              <w:jc w:val="right"/>
              <w:rPr>
                <w:sz w:val="20"/>
                <w:szCs w:val="20"/>
                <w:lang w:val="fr-FR" w:eastAsia="en-CA"/>
              </w:rPr>
            </w:pPr>
            <w:r w:rsidRPr="0010404B">
              <w:rPr>
                <w:sz w:val="20"/>
                <w:szCs w:val="20"/>
                <w:lang w:val="fr-FR" w:eastAsia="en-CA"/>
              </w:rPr>
              <w:t xml:space="preserve">1 </w:t>
            </w:r>
            <w:r w:rsidR="00FC723D" w:rsidRPr="0010404B">
              <w:rPr>
                <w:sz w:val="20"/>
                <w:szCs w:val="20"/>
                <w:lang w:val="fr-FR" w:eastAsia="en-CA"/>
              </w:rPr>
              <w:t>855</w:t>
            </w:r>
          </w:p>
        </w:tc>
        <w:tc>
          <w:tcPr>
            <w:tcW w:w="1418" w:type="dxa"/>
            <w:shd w:val="clear" w:color="auto" w:fill="auto"/>
            <w:noWrap/>
            <w:hideMark/>
          </w:tcPr>
          <w:p w14:paraId="372B74EB" w14:textId="2FB7ADD1" w:rsidR="00FC723D" w:rsidRPr="0010404B" w:rsidRDefault="00E529D5" w:rsidP="00FC723D">
            <w:pPr>
              <w:jc w:val="right"/>
              <w:rPr>
                <w:sz w:val="20"/>
                <w:szCs w:val="20"/>
                <w:lang w:val="fr-FR" w:eastAsia="en-CA"/>
              </w:rPr>
            </w:pPr>
            <w:r w:rsidRPr="0010404B">
              <w:rPr>
                <w:sz w:val="20"/>
                <w:szCs w:val="20"/>
                <w:lang w:val="fr-FR" w:eastAsia="en-CA"/>
              </w:rPr>
              <w:t>2,</w:t>
            </w:r>
            <w:r w:rsidR="00FC723D" w:rsidRPr="0010404B">
              <w:rPr>
                <w:sz w:val="20"/>
                <w:szCs w:val="20"/>
                <w:lang w:val="fr-FR" w:eastAsia="en-CA"/>
              </w:rPr>
              <w:t>8</w:t>
            </w:r>
          </w:p>
        </w:tc>
      </w:tr>
      <w:tr w:rsidR="00FC723D" w:rsidRPr="0010404B" w14:paraId="75C24910" w14:textId="77777777" w:rsidTr="00712577">
        <w:trPr>
          <w:trHeight w:val="276"/>
        </w:trPr>
        <w:tc>
          <w:tcPr>
            <w:tcW w:w="3710" w:type="dxa"/>
            <w:shd w:val="clear" w:color="auto" w:fill="auto"/>
            <w:noWrap/>
            <w:hideMark/>
          </w:tcPr>
          <w:p w14:paraId="0E8E58E8" w14:textId="1D27D09F" w:rsidR="00FC723D" w:rsidRPr="0010404B" w:rsidRDefault="00E91DB9" w:rsidP="00FC723D">
            <w:pPr>
              <w:jc w:val="left"/>
              <w:rPr>
                <w:sz w:val="20"/>
                <w:szCs w:val="20"/>
                <w:lang w:val="fr-FR" w:eastAsia="en-CA"/>
              </w:rPr>
            </w:pPr>
            <w:r w:rsidRPr="0010404B">
              <w:rPr>
                <w:sz w:val="20"/>
                <w:szCs w:val="20"/>
                <w:lang w:val="fr-FR" w:eastAsia="en-CA"/>
              </w:rPr>
              <w:t>Réfrigération</w:t>
            </w:r>
            <w:r w:rsidR="00FC723D" w:rsidRPr="0010404B">
              <w:rPr>
                <w:sz w:val="20"/>
                <w:szCs w:val="20"/>
                <w:lang w:val="fr-FR" w:eastAsia="en-CA"/>
              </w:rPr>
              <w:t xml:space="preserve"> </w:t>
            </w:r>
            <w:r w:rsidR="00E529D5" w:rsidRPr="0010404B">
              <w:rPr>
                <w:sz w:val="20"/>
                <w:szCs w:val="20"/>
                <w:lang w:val="fr-FR" w:eastAsia="en-CA"/>
              </w:rPr>
              <w:t>climatisation</w:t>
            </w:r>
          </w:p>
        </w:tc>
        <w:tc>
          <w:tcPr>
            <w:tcW w:w="1417" w:type="dxa"/>
            <w:shd w:val="clear" w:color="auto" w:fill="auto"/>
            <w:noWrap/>
            <w:hideMark/>
          </w:tcPr>
          <w:p w14:paraId="05F574A2" w14:textId="77777777" w:rsidR="00FC723D" w:rsidRPr="0010404B" w:rsidRDefault="00FC723D" w:rsidP="00FC723D">
            <w:pPr>
              <w:jc w:val="right"/>
              <w:rPr>
                <w:sz w:val="20"/>
                <w:szCs w:val="20"/>
                <w:lang w:val="fr-FR" w:eastAsia="en-CA"/>
              </w:rPr>
            </w:pPr>
            <w:r w:rsidRPr="0010404B">
              <w:rPr>
                <w:sz w:val="20"/>
                <w:szCs w:val="20"/>
                <w:lang w:val="fr-FR" w:eastAsia="en-CA"/>
              </w:rPr>
              <w:t>276</w:t>
            </w:r>
          </w:p>
        </w:tc>
        <w:tc>
          <w:tcPr>
            <w:tcW w:w="1276" w:type="dxa"/>
            <w:shd w:val="clear" w:color="auto" w:fill="auto"/>
            <w:noWrap/>
            <w:hideMark/>
          </w:tcPr>
          <w:p w14:paraId="34880EBE" w14:textId="77777777" w:rsidR="00FC723D" w:rsidRPr="0010404B" w:rsidRDefault="00FC723D" w:rsidP="00FC723D">
            <w:pPr>
              <w:jc w:val="right"/>
              <w:rPr>
                <w:sz w:val="20"/>
                <w:szCs w:val="20"/>
                <w:lang w:val="fr-FR" w:eastAsia="en-CA"/>
              </w:rPr>
            </w:pPr>
            <w:r w:rsidRPr="0010404B">
              <w:rPr>
                <w:sz w:val="20"/>
                <w:szCs w:val="20"/>
                <w:lang w:val="fr-FR" w:eastAsia="en-CA"/>
              </w:rPr>
              <w:t>0</w:t>
            </w:r>
          </w:p>
        </w:tc>
        <w:tc>
          <w:tcPr>
            <w:tcW w:w="1417" w:type="dxa"/>
            <w:shd w:val="clear" w:color="auto" w:fill="auto"/>
            <w:noWrap/>
            <w:hideMark/>
          </w:tcPr>
          <w:p w14:paraId="62AA6916" w14:textId="77777777" w:rsidR="00FC723D" w:rsidRPr="0010404B" w:rsidRDefault="00FC723D" w:rsidP="00FC723D">
            <w:pPr>
              <w:jc w:val="right"/>
              <w:rPr>
                <w:sz w:val="20"/>
                <w:szCs w:val="20"/>
                <w:lang w:val="fr-FR" w:eastAsia="en-CA"/>
              </w:rPr>
            </w:pPr>
            <w:r w:rsidRPr="0010404B">
              <w:rPr>
                <w:sz w:val="20"/>
                <w:szCs w:val="20"/>
                <w:lang w:val="fr-FR" w:eastAsia="en-CA"/>
              </w:rPr>
              <w:t>276</w:t>
            </w:r>
          </w:p>
        </w:tc>
        <w:tc>
          <w:tcPr>
            <w:tcW w:w="1418" w:type="dxa"/>
            <w:shd w:val="clear" w:color="auto" w:fill="auto"/>
            <w:noWrap/>
            <w:hideMark/>
          </w:tcPr>
          <w:p w14:paraId="3E8E5792" w14:textId="2D3A085E" w:rsidR="00FC723D" w:rsidRPr="0010404B" w:rsidRDefault="00E529D5" w:rsidP="00FC723D">
            <w:pPr>
              <w:jc w:val="right"/>
              <w:rPr>
                <w:sz w:val="20"/>
                <w:szCs w:val="20"/>
                <w:lang w:val="fr-FR" w:eastAsia="en-CA"/>
              </w:rPr>
            </w:pPr>
            <w:r w:rsidRPr="0010404B">
              <w:rPr>
                <w:sz w:val="20"/>
                <w:szCs w:val="20"/>
                <w:lang w:val="fr-FR" w:eastAsia="en-CA"/>
              </w:rPr>
              <w:t>0,</w:t>
            </w:r>
            <w:r w:rsidR="00FC723D" w:rsidRPr="0010404B">
              <w:rPr>
                <w:sz w:val="20"/>
                <w:szCs w:val="20"/>
                <w:lang w:val="fr-FR" w:eastAsia="en-CA"/>
              </w:rPr>
              <w:t>4</w:t>
            </w:r>
          </w:p>
        </w:tc>
      </w:tr>
      <w:tr w:rsidR="00FC723D" w:rsidRPr="0010404B" w14:paraId="4B3DB82D" w14:textId="77777777" w:rsidTr="00712577">
        <w:trPr>
          <w:trHeight w:val="276"/>
        </w:trPr>
        <w:tc>
          <w:tcPr>
            <w:tcW w:w="3710" w:type="dxa"/>
            <w:shd w:val="clear" w:color="auto" w:fill="auto"/>
            <w:noWrap/>
            <w:hideMark/>
          </w:tcPr>
          <w:p w14:paraId="3979E087" w14:textId="5EC6B358" w:rsidR="00FC723D" w:rsidRPr="0010404B" w:rsidRDefault="00E91DB9" w:rsidP="00FC723D">
            <w:pPr>
              <w:jc w:val="left"/>
              <w:rPr>
                <w:sz w:val="20"/>
                <w:szCs w:val="20"/>
                <w:lang w:val="fr-FR" w:eastAsia="en-CA"/>
              </w:rPr>
            </w:pPr>
            <w:r w:rsidRPr="0010404B">
              <w:rPr>
                <w:sz w:val="20"/>
                <w:szCs w:val="20"/>
                <w:lang w:val="fr-FR" w:eastAsia="en-CA"/>
              </w:rPr>
              <w:t>Réfrigération</w:t>
            </w:r>
            <w:r w:rsidR="00FC723D" w:rsidRPr="0010404B">
              <w:rPr>
                <w:sz w:val="20"/>
                <w:szCs w:val="20"/>
                <w:lang w:val="fr-FR" w:eastAsia="en-CA"/>
              </w:rPr>
              <w:t xml:space="preserve"> assembl</w:t>
            </w:r>
            <w:r w:rsidR="00E529D5" w:rsidRPr="0010404B">
              <w:rPr>
                <w:sz w:val="20"/>
                <w:szCs w:val="20"/>
                <w:lang w:val="fr-FR" w:eastAsia="en-CA"/>
              </w:rPr>
              <w:t>age</w:t>
            </w:r>
          </w:p>
        </w:tc>
        <w:tc>
          <w:tcPr>
            <w:tcW w:w="1417" w:type="dxa"/>
            <w:shd w:val="clear" w:color="auto" w:fill="auto"/>
            <w:noWrap/>
            <w:hideMark/>
          </w:tcPr>
          <w:p w14:paraId="13A75C4F" w14:textId="77777777" w:rsidR="00FC723D" w:rsidRPr="0010404B" w:rsidRDefault="00FC723D" w:rsidP="00FC723D">
            <w:pPr>
              <w:jc w:val="right"/>
              <w:rPr>
                <w:sz w:val="20"/>
                <w:szCs w:val="20"/>
                <w:lang w:val="fr-FR" w:eastAsia="en-CA"/>
              </w:rPr>
            </w:pPr>
            <w:r w:rsidRPr="0010404B">
              <w:rPr>
                <w:sz w:val="20"/>
                <w:szCs w:val="20"/>
                <w:lang w:val="fr-FR" w:eastAsia="en-CA"/>
              </w:rPr>
              <w:t>645</w:t>
            </w:r>
          </w:p>
        </w:tc>
        <w:tc>
          <w:tcPr>
            <w:tcW w:w="1276" w:type="dxa"/>
            <w:shd w:val="clear" w:color="auto" w:fill="auto"/>
            <w:noWrap/>
            <w:hideMark/>
          </w:tcPr>
          <w:p w14:paraId="168CFE32" w14:textId="77777777" w:rsidR="00FC723D" w:rsidRPr="0010404B" w:rsidRDefault="00FC723D" w:rsidP="00FC723D">
            <w:pPr>
              <w:jc w:val="right"/>
              <w:rPr>
                <w:sz w:val="20"/>
                <w:szCs w:val="20"/>
                <w:lang w:val="fr-FR" w:eastAsia="en-CA"/>
              </w:rPr>
            </w:pPr>
            <w:r w:rsidRPr="0010404B">
              <w:rPr>
                <w:sz w:val="20"/>
                <w:szCs w:val="20"/>
                <w:lang w:val="fr-FR" w:eastAsia="en-CA"/>
              </w:rPr>
              <w:t>0</w:t>
            </w:r>
          </w:p>
        </w:tc>
        <w:tc>
          <w:tcPr>
            <w:tcW w:w="1417" w:type="dxa"/>
            <w:shd w:val="clear" w:color="auto" w:fill="auto"/>
            <w:noWrap/>
            <w:hideMark/>
          </w:tcPr>
          <w:p w14:paraId="3A00802F" w14:textId="77777777" w:rsidR="00FC723D" w:rsidRPr="0010404B" w:rsidRDefault="00FC723D" w:rsidP="00FC723D">
            <w:pPr>
              <w:jc w:val="right"/>
              <w:rPr>
                <w:sz w:val="20"/>
                <w:szCs w:val="20"/>
                <w:lang w:val="fr-FR" w:eastAsia="en-CA"/>
              </w:rPr>
            </w:pPr>
            <w:r w:rsidRPr="0010404B">
              <w:rPr>
                <w:sz w:val="20"/>
                <w:szCs w:val="20"/>
                <w:lang w:val="fr-FR" w:eastAsia="en-CA"/>
              </w:rPr>
              <w:t>645</w:t>
            </w:r>
          </w:p>
        </w:tc>
        <w:tc>
          <w:tcPr>
            <w:tcW w:w="1418" w:type="dxa"/>
            <w:shd w:val="clear" w:color="auto" w:fill="auto"/>
            <w:noWrap/>
            <w:hideMark/>
          </w:tcPr>
          <w:p w14:paraId="40425182" w14:textId="4549FDF4" w:rsidR="00FC723D" w:rsidRPr="0010404B" w:rsidRDefault="00E529D5" w:rsidP="00FC723D">
            <w:pPr>
              <w:jc w:val="right"/>
              <w:rPr>
                <w:sz w:val="20"/>
                <w:szCs w:val="20"/>
                <w:lang w:val="fr-FR" w:eastAsia="en-CA"/>
              </w:rPr>
            </w:pPr>
            <w:r w:rsidRPr="0010404B">
              <w:rPr>
                <w:sz w:val="20"/>
                <w:szCs w:val="20"/>
                <w:lang w:val="fr-FR" w:eastAsia="en-CA"/>
              </w:rPr>
              <w:t>1,</w:t>
            </w:r>
            <w:r w:rsidR="00FC723D" w:rsidRPr="0010404B">
              <w:rPr>
                <w:sz w:val="20"/>
                <w:szCs w:val="20"/>
                <w:lang w:val="fr-FR" w:eastAsia="en-CA"/>
              </w:rPr>
              <w:t>0</w:t>
            </w:r>
          </w:p>
        </w:tc>
      </w:tr>
      <w:tr w:rsidR="00FC723D" w:rsidRPr="0010404B" w14:paraId="1AAAB785" w14:textId="77777777" w:rsidTr="00712577">
        <w:trPr>
          <w:trHeight w:val="276"/>
        </w:trPr>
        <w:tc>
          <w:tcPr>
            <w:tcW w:w="3710" w:type="dxa"/>
            <w:shd w:val="clear" w:color="auto" w:fill="auto"/>
            <w:noWrap/>
            <w:hideMark/>
          </w:tcPr>
          <w:p w14:paraId="19CF68EC" w14:textId="7CFAC605" w:rsidR="00FC723D" w:rsidRPr="0010404B" w:rsidRDefault="00E91DB9" w:rsidP="00FC723D">
            <w:pPr>
              <w:jc w:val="left"/>
              <w:rPr>
                <w:sz w:val="20"/>
                <w:szCs w:val="20"/>
                <w:lang w:val="fr-FR" w:eastAsia="en-CA"/>
              </w:rPr>
            </w:pPr>
            <w:r w:rsidRPr="0010404B">
              <w:rPr>
                <w:sz w:val="20"/>
                <w:szCs w:val="20"/>
                <w:lang w:val="fr-FR" w:eastAsia="en-CA"/>
              </w:rPr>
              <w:t>Réfrigération</w:t>
            </w:r>
            <w:r w:rsidR="00FC723D" w:rsidRPr="0010404B">
              <w:rPr>
                <w:sz w:val="20"/>
                <w:szCs w:val="20"/>
                <w:lang w:val="fr-FR" w:eastAsia="en-CA"/>
              </w:rPr>
              <w:t xml:space="preserve"> </w:t>
            </w:r>
            <w:r w:rsidR="00E529D5" w:rsidRPr="0010404B">
              <w:rPr>
                <w:sz w:val="20"/>
                <w:szCs w:val="20"/>
                <w:lang w:val="fr-FR" w:eastAsia="en-CA"/>
              </w:rPr>
              <w:t>fabrication</w:t>
            </w:r>
          </w:p>
        </w:tc>
        <w:tc>
          <w:tcPr>
            <w:tcW w:w="1417" w:type="dxa"/>
            <w:shd w:val="clear" w:color="auto" w:fill="auto"/>
            <w:noWrap/>
            <w:hideMark/>
          </w:tcPr>
          <w:p w14:paraId="44F8DFA7" w14:textId="4D1D75F2" w:rsidR="00FC723D" w:rsidRPr="0010404B" w:rsidRDefault="00E529D5" w:rsidP="00FC723D">
            <w:pPr>
              <w:jc w:val="right"/>
              <w:rPr>
                <w:sz w:val="20"/>
                <w:szCs w:val="20"/>
                <w:lang w:val="fr-FR" w:eastAsia="en-CA"/>
              </w:rPr>
            </w:pPr>
            <w:r w:rsidRPr="0010404B">
              <w:rPr>
                <w:sz w:val="20"/>
                <w:szCs w:val="20"/>
                <w:lang w:val="fr-FR" w:eastAsia="en-CA"/>
              </w:rPr>
              <w:t xml:space="preserve">2 </w:t>
            </w:r>
            <w:r w:rsidR="00FC723D" w:rsidRPr="0010404B">
              <w:rPr>
                <w:sz w:val="20"/>
                <w:szCs w:val="20"/>
                <w:lang w:val="fr-FR" w:eastAsia="en-CA"/>
              </w:rPr>
              <w:t>609</w:t>
            </w:r>
          </w:p>
        </w:tc>
        <w:tc>
          <w:tcPr>
            <w:tcW w:w="1276" w:type="dxa"/>
            <w:shd w:val="clear" w:color="auto" w:fill="auto"/>
            <w:noWrap/>
            <w:hideMark/>
          </w:tcPr>
          <w:p w14:paraId="1AA8F32B" w14:textId="0EB25869" w:rsidR="00FC723D" w:rsidRPr="0010404B" w:rsidRDefault="00E529D5" w:rsidP="00FC723D">
            <w:pPr>
              <w:jc w:val="right"/>
              <w:rPr>
                <w:sz w:val="20"/>
                <w:szCs w:val="20"/>
                <w:lang w:val="fr-FR" w:eastAsia="en-CA"/>
              </w:rPr>
            </w:pPr>
            <w:r w:rsidRPr="0010404B">
              <w:rPr>
                <w:sz w:val="20"/>
                <w:szCs w:val="20"/>
                <w:lang w:val="fr-FR" w:eastAsia="en-CA"/>
              </w:rPr>
              <w:t xml:space="preserve">27 </w:t>
            </w:r>
            <w:r w:rsidR="00FC723D" w:rsidRPr="0010404B">
              <w:rPr>
                <w:sz w:val="20"/>
                <w:szCs w:val="20"/>
                <w:lang w:val="fr-FR" w:eastAsia="en-CA"/>
              </w:rPr>
              <w:t>781</w:t>
            </w:r>
          </w:p>
        </w:tc>
        <w:tc>
          <w:tcPr>
            <w:tcW w:w="1417" w:type="dxa"/>
            <w:shd w:val="clear" w:color="auto" w:fill="auto"/>
            <w:noWrap/>
            <w:hideMark/>
          </w:tcPr>
          <w:p w14:paraId="5E8588DE" w14:textId="1A65006E" w:rsidR="00FC723D" w:rsidRPr="0010404B" w:rsidRDefault="00E529D5" w:rsidP="00FC723D">
            <w:pPr>
              <w:jc w:val="right"/>
              <w:rPr>
                <w:sz w:val="20"/>
                <w:szCs w:val="20"/>
                <w:lang w:val="fr-FR" w:eastAsia="en-CA"/>
              </w:rPr>
            </w:pPr>
            <w:r w:rsidRPr="0010404B">
              <w:rPr>
                <w:sz w:val="20"/>
                <w:szCs w:val="20"/>
                <w:lang w:val="fr-FR" w:eastAsia="en-CA"/>
              </w:rPr>
              <w:t xml:space="preserve">30 </w:t>
            </w:r>
            <w:r w:rsidR="00FC723D" w:rsidRPr="0010404B">
              <w:rPr>
                <w:sz w:val="20"/>
                <w:szCs w:val="20"/>
                <w:lang w:val="fr-FR" w:eastAsia="en-CA"/>
              </w:rPr>
              <w:t>390</w:t>
            </w:r>
          </w:p>
        </w:tc>
        <w:tc>
          <w:tcPr>
            <w:tcW w:w="1418" w:type="dxa"/>
            <w:shd w:val="clear" w:color="auto" w:fill="auto"/>
            <w:noWrap/>
            <w:hideMark/>
          </w:tcPr>
          <w:p w14:paraId="43E09B18" w14:textId="1C533FFD" w:rsidR="00FC723D" w:rsidRPr="0010404B" w:rsidRDefault="00E529D5" w:rsidP="00FC723D">
            <w:pPr>
              <w:jc w:val="right"/>
              <w:rPr>
                <w:sz w:val="20"/>
                <w:szCs w:val="20"/>
                <w:lang w:val="fr-FR" w:eastAsia="en-CA"/>
              </w:rPr>
            </w:pPr>
            <w:r w:rsidRPr="0010404B">
              <w:rPr>
                <w:sz w:val="20"/>
                <w:szCs w:val="20"/>
                <w:lang w:val="fr-FR" w:eastAsia="en-CA"/>
              </w:rPr>
              <w:t>46,</w:t>
            </w:r>
            <w:r w:rsidR="00FC723D" w:rsidRPr="0010404B">
              <w:rPr>
                <w:sz w:val="20"/>
                <w:szCs w:val="20"/>
                <w:lang w:val="fr-FR" w:eastAsia="en-CA"/>
              </w:rPr>
              <w:t>1</w:t>
            </w:r>
          </w:p>
        </w:tc>
      </w:tr>
      <w:tr w:rsidR="00FC723D" w:rsidRPr="0010404B" w14:paraId="1A328A85" w14:textId="77777777" w:rsidTr="00712577">
        <w:trPr>
          <w:trHeight w:val="276"/>
        </w:trPr>
        <w:tc>
          <w:tcPr>
            <w:tcW w:w="3710" w:type="dxa"/>
            <w:shd w:val="clear" w:color="auto" w:fill="auto"/>
            <w:noWrap/>
            <w:hideMark/>
          </w:tcPr>
          <w:p w14:paraId="224F2DF4" w14:textId="76EADB38" w:rsidR="00FC723D" w:rsidRPr="0010404B" w:rsidRDefault="00E91DB9" w:rsidP="00FC723D">
            <w:pPr>
              <w:jc w:val="left"/>
              <w:rPr>
                <w:sz w:val="20"/>
                <w:szCs w:val="20"/>
                <w:lang w:val="fr-FR" w:eastAsia="en-CA"/>
              </w:rPr>
            </w:pPr>
            <w:r w:rsidRPr="0010404B">
              <w:rPr>
                <w:sz w:val="20"/>
                <w:szCs w:val="20"/>
                <w:lang w:val="fr-FR" w:eastAsia="en-CA"/>
              </w:rPr>
              <w:t>Réfrigération</w:t>
            </w:r>
            <w:r w:rsidR="00FC723D" w:rsidRPr="0010404B">
              <w:rPr>
                <w:sz w:val="20"/>
                <w:szCs w:val="20"/>
                <w:lang w:val="fr-FR" w:eastAsia="en-CA"/>
              </w:rPr>
              <w:t xml:space="preserve"> </w:t>
            </w:r>
            <w:r w:rsidR="00E529D5" w:rsidRPr="0010404B">
              <w:rPr>
                <w:sz w:val="20"/>
                <w:szCs w:val="20"/>
                <w:lang w:val="fr-FR" w:eastAsia="en-CA"/>
              </w:rPr>
              <w:t>entretien</w:t>
            </w:r>
          </w:p>
        </w:tc>
        <w:tc>
          <w:tcPr>
            <w:tcW w:w="1417" w:type="dxa"/>
            <w:shd w:val="clear" w:color="auto" w:fill="auto"/>
            <w:noWrap/>
            <w:hideMark/>
          </w:tcPr>
          <w:p w14:paraId="52A2ABCD" w14:textId="5B4475A1" w:rsidR="00FC723D" w:rsidRPr="0010404B" w:rsidRDefault="00E529D5" w:rsidP="00FC723D">
            <w:pPr>
              <w:jc w:val="right"/>
              <w:rPr>
                <w:sz w:val="20"/>
                <w:szCs w:val="20"/>
                <w:lang w:val="fr-FR" w:eastAsia="en-CA"/>
              </w:rPr>
            </w:pPr>
            <w:r w:rsidRPr="0010404B">
              <w:rPr>
                <w:sz w:val="20"/>
                <w:szCs w:val="20"/>
                <w:lang w:val="fr-FR" w:eastAsia="en-CA"/>
              </w:rPr>
              <w:t xml:space="preserve">10 </w:t>
            </w:r>
            <w:r w:rsidR="00FC723D" w:rsidRPr="0010404B">
              <w:rPr>
                <w:sz w:val="20"/>
                <w:szCs w:val="20"/>
                <w:lang w:val="fr-FR" w:eastAsia="en-CA"/>
              </w:rPr>
              <w:t>283</w:t>
            </w:r>
          </w:p>
        </w:tc>
        <w:tc>
          <w:tcPr>
            <w:tcW w:w="1276" w:type="dxa"/>
            <w:shd w:val="clear" w:color="auto" w:fill="auto"/>
            <w:noWrap/>
            <w:hideMark/>
          </w:tcPr>
          <w:p w14:paraId="45A5C039" w14:textId="0C509526" w:rsidR="00FC723D" w:rsidRPr="0010404B" w:rsidRDefault="00E529D5" w:rsidP="00FC723D">
            <w:pPr>
              <w:jc w:val="right"/>
              <w:rPr>
                <w:sz w:val="20"/>
                <w:szCs w:val="20"/>
                <w:lang w:val="fr-FR" w:eastAsia="en-CA"/>
              </w:rPr>
            </w:pPr>
            <w:r w:rsidRPr="0010404B">
              <w:rPr>
                <w:sz w:val="20"/>
                <w:szCs w:val="20"/>
                <w:lang w:val="fr-FR" w:eastAsia="en-CA"/>
              </w:rPr>
              <w:t xml:space="preserve">22 </w:t>
            </w:r>
            <w:r w:rsidR="00FC723D" w:rsidRPr="0010404B">
              <w:rPr>
                <w:sz w:val="20"/>
                <w:szCs w:val="20"/>
                <w:lang w:val="fr-FR" w:eastAsia="en-CA"/>
              </w:rPr>
              <w:t>537</w:t>
            </w:r>
          </w:p>
        </w:tc>
        <w:tc>
          <w:tcPr>
            <w:tcW w:w="1417" w:type="dxa"/>
            <w:shd w:val="clear" w:color="auto" w:fill="auto"/>
            <w:noWrap/>
            <w:hideMark/>
          </w:tcPr>
          <w:p w14:paraId="02CC2201" w14:textId="15C7B8CD" w:rsidR="00FC723D" w:rsidRPr="0010404B" w:rsidRDefault="00E529D5" w:rsidP="00FC723D">
            <w:pPr>
              <w:jc w:val="right"/>
              <w:rPr>
                <w:sz w:val="20"/>
                <w:szCs w:val="20"/>
                <w:lang w:val="fr-FR" w:eastAsia="en-CA"/>
              </w:rPr>
            </w:pPr>
            <w:r w:rsidRPr="0010404B">
              <w:rPr>
                <w:sz w:val="20"/>
                <w:szCs w:val="20"/>
                <w:lang w:val="fr-FR" w:eastAsia="en-CA"/>
              </w:rPr>
              <w:t xml:space="preserve">32 </w:t>
            </w:r>
            <w:r w:rsidR="00FC723D" w:rsidRPr="0010404B">
              <w:rPr>
                <w:sz w:val="20"/>
                <w:szCs w:val="20"/>
                <w:lang w:val="fr-FR" w:eastAsia="en-CA"/>
              </w:rPr>
              <w:t>820</w:t>
            </w:r>
          </w:p>
        </w:tc>
        <w:tc>
          <w:tcPr>
            <w:tcW w:w="1418" w:type="dxa"/>
            <w:shd w:val="clear" w:color="auto" w:fill="auto"/>
            <w:noWrap/>
            <w:hideMark/>
          </w:tcPr>
          <w:p w14:paraId="6C4124ED" w14:textId="32E5D090" w:rsidR="00FC723D" w:rsidRPr="0010404B" w:rsidRDefault="00E529D5" w:rsidP="00FC723D">
            <w:pPr>
              <w:jc w:val="right"/>
              <w:rPr>
                <w:sz w:val="20"/>
                <w:szCs w:val="20"/>
                <w:lang w:val="fr-FR" w:eastAsia="en-CA"/>
              </w:rPr>
            </w:pPr>
            <w:r w:rsidRPr="0010404B">
              <w:rPr>
                <w:sz w:val="20"/>
                <w:szCs w:val="20"/>
                <w:lang w:val="fr-FR" w:eastAsia="en-CA"/>
              </w:rPr>
              <w:t>49,</w:t>
            </w:r>
            <w:r w:rsidR="00FC723D" w:rsidRPr="0010404B">
              <w:rPr>
                <w:sz w:val="20"/>
                <w:szCs w:val="20"/>
                <w:lang w:val="fr-FR" w:eastAsia="en-CA"/>
              </w:rPr>
              <w:t>7</w:t>
            </w:r>
          </w:p>
        </w:tc>
      </w:tr>
      <w:tr w:rsidR="00FC723D" w:rsidRPr="0010404B" w14:paraId="2E3B97B3" w14:textId="77777777" w:rsidTr="00712577">
        <w:trPr>
          <w:trHeight w:val="276"/>
        </w:trPr>
        <w:tc>
          <w:tcPr>
            <w:tcW w:w="3710" w:type="dxa"/>
            <w:shd w:val="clear" w:color="auto" w:fill="auto"/>
            <w:noWrap/>
            <w:hideMark/>
          </w:tcPr>
          <w:p w14:paraId="1FF8C272" w14:textId="37F87914" w:rsidR="00FC723D" w:rsidRPr="0010404B" w:rsidRDefault="00E529D5" w:rsidP="00FC723D">
            <w:pPr>
              <w:jc w:val="left"/>
              <w:rPr>
                <w:b/>
                <w:bCs/>
                <w:sz w:val="20"/>
                <w:szCs w:val="20"/>
                <w:lang w:val="fr-FR" w:eastAsia="en-CA"/>
              </w:rPr>
            </w:pPr>
            <w:r w:rsidRPr="0010404B">
              <w:rPr>
                <w:b/>
                <w:bCs/>
                <w:sz w:val="20"/>
                <w:szCs w:val="20"/>
                <w:lang w:val="fr-FR" w:eastAsia="en-CA"/>
              </w:rPr>
              <w:t>T</w:t>
            </w:r>
            <w:r w:rsidR="00FC723D" w:rsidRPr="0010404B">
              <w:rPr>
                <w:b/>
                <w:bCs/>
                <w:sz w:val="20"/>
                <w:szCs w:val="20"/>
                <w:lang w:val="fr-FR" w:eastAsia="en-CA"/>
              </w:rPr>
              <w:t>otal</w:t>
            </w:r>
            <w:r w:rsidR="00D83BE3">
              <w:rPr>
                <w:b/>
                <w:bCs/>
                <w:sz w:val="20"/>
                <w:szCs w:val="20"/>
                <w:lang w:val="fr-FR" w:eastAsia="en-CA"/>
              </w:rPr>
              <w:t xml:space="preserve"> général</w:t>
            </w:r>
          </w:p>
        </w:tc>
        <w:tc>
          <w:tcPr>
            <w:tcW w:w="1417" w:type="dxa"/>
            <w:shd w:val="clear" w:color="auto" w:fill="auto"/>
            <w:noWrap/>
            <w:hideMark/>
          </w:tcPr>
          <w:p w14:paraId="254856BF" w14:textId="7770E163" w:rsidR="00FC723D" w:rsidRPr="0010404B" w:rsidRDefault="00E529D5" w:rsidP="00FC723D">
            <w:pPr>
              <w:jc w:val="right"/>
              <w:rPr>
                <w:b/>
                <w:bCs/>
                <w:sz w:val="20"/>
                <w:szCs w:val="20"/>
                <w:lang w:val="fr-FR" w:eastAsia="en-CA"/>
              </w:rPr>
            </w:pPr>
            <w:r w:rsidRPr="0010404B">
              <w:rPr>
                <w:b/>
                <w:bCs/>
                <w:sz w:val="20"/>
                <w:szCs w:val="20"/>
                <w:lang w:val="fr-FR" w:eastAsia="en-CA"/>
              </w:rPr>
              <w:t xml:space="preserve">15 </w:t>
            </w:r>
            <w:r w:rsidR="00FC723D" w:rsidRPr="0010404B">
              <w:rPr>
                <w:b/>
                <w:bCs/>
                <w:sz w:val="20"/>
                <w:szCs w:val="20"/>
                <w:lang w:val="fr-FR" w:eastAsia="en-CA"/>
              </w:rPr>
              <w:t>274</w:t>
            </w:r>
          </w:p>
        </w:tc>
        <w:tc>
          <w:tcPr>
            <w:tcW w:w="1276" w:type="dxa"/>
            <w:shd w:val="clear" w:color="auto" w:fill="auto"/>
            <w:noWrap/>
            <w:hideMark/>
          </w:tcPr>
          <w:p w14:paraId="6334B43A" w14:textId="01E7745D" w:rsidR="00FC723D" w:rsidRPr="0010404B" w:rsidRDefault="00E529D5" w:rsidP="00FC723D">
            <w:pPr>
              <w:jc w:val="right"/>
              <w:rPr>
                <w:b/>
                <w:bCs/>
                <w:sz w:val="20"/>
                <w:szCs w:val="20"/>
                <w:lang w:val="fr-FR" w:eastAsia="en-CA"/>
              </w:rPr>
            </w:pPr>
            <w:r w:rsidRPr="0010404B">
              <w:rPr>
                <w:b/>
                <w:bCs/>
                <w:sz w:val="20"/>
                <w:szCs w:val="20"/>
                <w:lang w:val="fr-FR" w:eastAsia="en-CA"/>
              </w:rPr>
              <w:t xml:space="preserve">50 </w:t>
            </w:r>
            <w:r w:rsidR="00FC723D" w:rsidRPr="0010404B">
              <w:rPr>
                <w:b/>
                <w:bCs/>
                <w:sz w:val="20"/>
                <w:szCs w:val="20"/>
                <w:lang w:val="fr-FR" w:eastAsia="en-CA"/>
              </w:rPr>
              <w:t>712</w:t>
            </w:r>
          </w:p>
        </w:tc>
        <w:tc>
          <w:tcPr>
            <w:tcW w:w="1417" w:type="dxa"/>
            <w:shd w:val="clear" w:color="auto" w:fill="auto"/>
            <w:noWrap/>
            <w:hideMark/>
          </w:tcPr>
          <w:p w14:paraId="77F302E9" w14:textId="3FF97907" w:rsidR="00FC723D" w:rsidRPr="0010404B" w:rsidRDefault="00E529D5" w:rsidP="00FC723D">
            <w:pPr>
              <w:jc w:val="right"/>
              <w:rPr>
                <w:b/>
                <w:sz w:val="20"/>
                <w:szCs w:val="20"/>
                <w:lang w:val="fr-FR" w:eastAsia="en-CA"/>
              </w:rPr>
            </w:pPr>
            <w:r w:rsidRPr="0010404B">
              <w:rPr>
                <w:b/>
                <w:sz w:val="20"/>
                <w:szCs w:val="20"/>
                <w:lang w:val="fr-FR" w:eastAsia="en-CA"/>
              </w:rPr>
              <w:t xml:space="preserve">65 </w:t>
            </w:r>
            <w:r w:rsidR="00FC723D" w:rsidRPr="0010404B">
              <w:rPr>
                <w:b/>
                <w:sz w:val="20"/>
                <w:szCs w:val="20"/>
                <w:lang w:val="fr-FR" w:eastAsia="en-CA"/>
              </w:rPr>
              <w:t>986</w:t>
            </w:r>
          </w:p>
        </w:tc>
        <w:tc>
          <w:tcPr>
            <w:tcW w:w="1418" w:type="dxa"/>
            <w:shd w:val="clear" w:color="auto" w:fill="auto"/>
            <w:noWrap/>
            <w:hideMark/>
          </w:tcPr>
          <w:p w14:paraId="40C3AFC9" w14:textId="6076778B" w:rsidR="00FC723D" w:rsidRPr="0010404B" w:rsidRDefault="00FC723D" w:rsidP="00FC723D">
            <w:pPr>
              <w:jc w:val="right"/>
              <w:rPr>
                <w:b/>
                <w:sz w:val="20"/>
                <w:szCs w:val="20"/>
                <w:lang w:val="fr-FR" w:eastAsia="en-CA"/>
              </w:rPr>
            </w:pPr>
            <w:r w:rsidRPr="0010404B">
              <w:rPr>
                <w:b/>
                <w:sz w:val="20"/>
                <w:szCs w:val="20"/>
                <w:lang w:val="fr-FR" w:eastAsia="en-CA"/>
              </w:rPr>
              <w:t>1</w:t>
            </w:r>
            <w:r w:rsidR="00E529D5" w:rsidRPr="0010404B">
              <w:rPr>
                <w:b/>
                <w:sz w:val="20"/>
                <w:szCs w:val="20"/>
                <w:lang w:val="fr-FR" w:eastAsia="en-CA"/>
              </w:rPr>
              <w:t>00,</w:t>
            </w:r>
            <w:r w:rsidRPr="0010404B">
              <w:rPr>
                <w:b/>
                <w:sz w:val="20"/>
                <w:szCs w:val="20"/>
                <w:lang w:val="fr-FR" w:eastAsia="en-CA"/>
              </w:rPr>
              <w:t>0</w:t>
            </w:r>
          </w:p>
        </w:tc>
      </w:tr>
    </w:tbl>
    <w:p w14:paraId="3F377429" w14:textId="77777777" w:rsidR="00FC723D" w:rsidRPr="0010404B" w:rsidRDefault="00FC723D" w:rsidP="00FC723D">
      <w:pPr>
        <w:keepNext/>
        <w:rPr>
          <w:b/>
          <w:lang w:val="fr-FR"/>
        </w:rPr>
      </w:pPr>
    </w:p>
    <w:p w14:paraId="7AED1C68" w14:textId="73E857C9" w:rsidR="00A54DD0" w:rsidRPr="0010404B" w:rsidRDefault="00A54DD0" w:rsidP="00D6532D">
      <w:pPr>
        <w:pStyle w:val="StyleHeading1Para1Heading1CharHeading1Char3CharHeadin"/>
        <w:rPr>
          <w:u w:val="single"/>
          <w:lang w:val="fr-FR"/>
        </w:rPr>
      </w:pPr>
      <w:r w:rsidRPr="0010404B">
        <w:rPr>
          <w:lang w:val="fr-FR"/>
        </w:rPr>
        <w:t xml:space="preserve"> </w:t>
      </w:r>
      <w:r w:rsidR="00E529D5" w:rsidRPr="0010404B">
        <w:rPr>
          <w:u w:val="single"/>
          <w:lang w:val="fr-FR"/>
        </w:rPr>
        <w:t>P</w:t>
      </w:r>
      <w:r w:rsidR="006271CF">
        <w:rPr>
          <w:u w:val="single"/>
          <w:lang w:val="fr-FR"/>
        </w:rPr>
        <w:t>hase III des P</w:t>
      </w:r>
      <w:r w:rsidR="00E529D5" w:rsidRPr="0010404B">
        <w:rPr>
          <w:u w:val="single"/>
          <w:lang w:val="fr-FR"/>
        </w:rPr>
        <w:t>GEH</w:t>
      </w:r>
    </w:p>
    <w:p w14:paraId="76DA9A4E" w14:textId="42F9941A" w:rsidR="00325552" w:rsidRDefault="00E529D5" w:rsidP="00325552">
      <w:pPr>
        <w:pStyle w:val="Heading1"/>
        <w:rPr>
          <w:lang w:val="fr-FR"/>
        </w:rPr>
      </w:pPr>
      <w:r w:rsidRPr="0010404B">
        <w:rPr>
          <w:lang w:val="fr-FR"/>
        </w:rPr>
        <w:t>Un montant total de 50,22 millions $US est inclus dans le plan d’activités pour la phase III des PGEH pour 11 pays (Arménie, Chili, République dominicaine, Liban, Mexique, Nigeria, Panama, Philippines, République de Moldavie, Soudan et Uruguay) (incluant 11,69 millions $US pour 2020-2022).  L’inclusion de la phase III des PGEH dans le plan d’activités est autoris</w:t>
      </w:r>
      <w:r w:rsidR="00325552" w:rsidRPr="0010404B">
        <w:rPr>
          <w:lang w:val="fr-FR"/>
        </w:rPr>
        <w:t>ée uniquement pou</w:t>
      </w:r>
      <w:r w:rsidR="00F733C9">
        <w:rPr>
          <w:lang w:val="fr-FR"/>
        </w:rPr>
        <w:t>r les pays dont la phase II du</w:t>
      </w:r>
      <w:r w:rsidR="00325552" w:rsidRPr="0010404B">
        <w:rPr>
          <w:lang w:val="fr-FR"/>
        </w:rPr>
        <w:t xml:space="preserve"> PGEH </w:t>
      </w:r>
      <w:r w:rsidR="00D83BE3">
        <w:rPr>
          <w:lang w:val="fr-FR"/>
        </w:rPr>
        <w:t xml:space="preserve">a été approuvée </w:t>
      </w:r>
      <w:r w:rsidR="003C14A4">
        <w:rPr>
          <w:lang w:val="fr-FR"/>
        </w:rPr>
        <w:t xml:space="preserve">pour respecter un </w:t>
      </w:r>
      <w:r w:rsidR="00325552" w:rsidRPr="0010404B">
        <w:rPr>
          <w:lang w:val="fr-FR"/>
        </w:rPr>
        <w:t>objectif de réduction d’ici 2020 (décision 82/45(c)(i).  Toutefois</w:t>
      </w:r>
      <w:r w:rsidR="003C14A4">
        <w:rPr>
          <w:lang w:val="fr-FR"/>
        </w:rPr>
        <w:t>,</w:t>
      </w:r>
      <w:r w:rsidR="00325552" w:rsidRPr="0010404B">
        <w:rPr>
          <w:lang w:val="fr-FR"/>
        </w:rPr>
        <w:t xml:space="preserve"> cinq de ces pays ont une phase II approuvée avec un objectif de réduction au-delà de 2020 (Chili, Liban, Mexique, Nigeria et Philippines).</w:t>
      </w:r>
    </w:p>
    <w:p w14:paraId="1D3C3C5A" w14:textId="023B946F" w:rsidR="003C14A4" w:rsidRPr="00072AC6" w:rsidRDefault="003C14A4" w:rsidP="003C14A4">
      <w:pPr>
        <w:rPr>
          <w:lang w:val="fr-FR"/>
        </w:rPr>
      </w:pPr>
    </w:p>
    <w:p w14:paraId="4A3458E0" w14:textId="29387C4C" w:rsidR="00325552" w:rsidRPr="0010404B" w:rsidRDefault="003C14A4" w:rsidP="00D6532D">
      <w:pPr>
        <w:pStyle w:val="StyleHeading1Para1Heading1CharHeading1Char3CharHeadin"/>
        <w:rPr>
          <w:u w:val="single"/>
          <w:lang w:val="fr-FR"/>
        </w:rPr>
      </w:pPr>
      <w:r>
        <w:rPr>
          <w:u w:val="single"/>
          <w:lang w:val="fr-FR"/>
        </w:rPr>
        <w:t>Vérification des</w:t>
      </w:r>
      <w:r w:rsidR="00325552" w:rsidRPr="0010404B">
        <w:rPr>
          <w:u w:val="single"/>
          <w:lang w:val="fr-FR"/>
        </w:rPr>
        <w:t xml:space="preserve"> PGEH</w:t>
      </w:r>
    </w:p>
    <w:p w14:paraId="3BD4E810" w14:textId="498A2347" w:rsidR="00E529D5" w:rsidRPr="0010404B" w:rsidRDefault="00325552" w:rsidP="00325552">
      <w:pPr>
        <w:pStyle w:val="Heading1"/>
        <w:rPr>
          <w:lang w:val="fr-FR"/>
        </w:rPr>
      </w:pPr>
      <w:r w:rsidRPr="0010404B">
        <w:rPr>
          <w:lang w:val="fr-FR"/>
        </w:rPr>
        <w:t>Le Secrétariat a inclus un montant de 588 600 $US, par année, pour les rapports de vérification</w:t>
      </w:r>
      <w:r w:rsidRPr="0010404B">
        <w:rPr>
          <w:rStyle w:val="FootnoteReference"/>
          <w:lang w:val="fr-FR"/>
        </w:rPr>
        <w:footnoteReference w:id="10"/>
      </w:r>
      <w:r w:rsidRPr="0010404B">
        <w:rPr>
          <w:lang w:val="fr-FR"/>
        </w:rPr>
        <w:t xml:space="preserve"> en supposant que 18 rapports, au coût individuel de 32 700 $US, seront préparés (1,</w:t>
      </w:r>
      <w:r w:rsidR="003C14A4">
        <w:rPr>
          <w:lang w:val="fr-FR"/>
        </w:rPr>
        <w:t xml:space="preserve">77 millions $US pour </w:t>
      </w:r>
      <w:r w:rsidRPr="0010404B">
        <w:rPr>
          <w:lang w:val="fr-FR"/>
        </w:rPr>
        <w:t>2020-2022).</w:t>
      </w:r>
    </w:p>
    <w:p w14:paraId="707D49E5" w14:textId="583ED7FF" w:rsidR="00325552" w:rsidRPr="0010404B" w:rsidRDefault="00325552" w:rsidP="00D6532D">
      <w:pPr>
        <w:pStyle w:val="StyleHeading1Para1Heading1CharHeading1Char3CharHeadin"/>
        <w:rPr>
          <w:u w:val="single"/>
          <w:lang w:val="fr-FR"/>
        </w:rPr>
      </w:pPr>
      <w:r w:rsidRPr="0010404B">
        <w:rPr>
          <w:u w:val="single"/>
          <w:lang w:val="fr-FR"/>
        </w:rPr>
        <w:t>Projet régional d’assistance technique pour les HCFC</w:t>
      </w:r>
    </w:p>
    <w:p w14:paraId="5B72A55D" w14:textId="2C160370" w:rsidR="00325552" w:rsidRPr="0010404B" w:rsidRDefault="00325552" w:rsidP="009E3134">
      <w:pPr>
        <w:pStyle w:val="Heading1"/>
        <w:rPr>
          <w:lang w:val="fr-FR"/>
        </w:rPr>
      </w:pPr>
      <w:r w:rsidRPr="0010404B">
        <w:rPr>
          <w:lang w:val="fr-FR"/>
        </w:rPr>
        <w:t>Le plan d’activités inclut deux projets régionaux d’assistance technique pour les HCFC afin de "promouvoir des frigorigènes à faible potentiel de réchauffement de la planète pour les secteurs de la climatisation dans les pays à température ambiante élevée (PRAHA-III)"</w:t>
      </w:r>
      <w:r w:rsidR="009E3134" w:rsidRPr="0010404B">
        <w:rPr>
          <w:lang w:val="fr-FR"/>
        </w:rPr>
        <w:t>, totalisant 990 000 $US en 2020.  Aucune fenêtre de financement n’est disponible pour un tel projet de démonstration.</w:t>
      </w:r>
    </w:p>
    <w:p w14:paraId="5C24D074" w14:textId="53783AB3" w:rsidR="009E3134" w:rsidRPr="0010404B" w:rsidRDefault="009E3134" w:rsidP="00D6532D">
      <w:pPr>
        <w:pStyle w:val="StyleHeading1Para1Heading1CharHeading1Char3CharHeadin"/>
        <w:rPr>
          <w:u w:val="single"/>
          <w:lang w:val="fr-FR"/>
        </w:rPr>
      </w:pPr>
      <w:r w:rsidRPr="0010404B">
        <w:rPr>
          <w:u w:val="single"/>
          <w:lang w:val="fr-FR"/>
        </w:rPr>
        <w:t xml:space="preserve">Activités </w:t>
      </w:r>
      <w:r w:rsidR="003C14A4">
        <w:rPr>
          <w:u w:val="single"/>
          <w:lang w:val="fr-FR"/>
        </w:rPr>
        <w:t>re</w:t>
      </w:r>
      <w:r w:rsidRPr="0010404B">
        <w:rPr>
          <w:u w:val="single"/>
          <w:lang w:val="fr-FR"/>
        </w:rPr>
        <w:t>liées aux HFC</w:t>
      </w:r>
    </w:p>
    <w:p w14:paraId="057056AB" w14:textId="258E0C0A" w:rsidR="009E3134" w:rsidRPr="0010404B" w:rsidRDefault="00393C75" w:rsidP="00393C75">
      <w:pPr>
        <w:pStyle w:val="Heading1"/>
        <w:rPr>
          <w:lang w:val="fr-FR"/>
        </w:rPr>
      </w:pPr>
      <w:r w:rsidRPr="0010404B">
        <w:rPr>
          <w:lang w:val="fr-FR"/>
        </w:rPr>
        <w:t>Ces activités incluent un projet d’investissement au montant de 1,82 millions $US en 2020 pour un pays (Chine); des activités de facilitation au montant de 577 800 $US en 2020-2021 pour cinq pays; des projets de préparation de la réduction progressive des HFC pour 50 pays totalisant 8, 51 millions $US en 2020-20222; et des activités de plan de gestion de la réduction progressive des HFC pour sept pays</w:t>
      </w:r>
      <w:r w:rsidR="006271CF">
        <w:rPr>
          <w:lang w:val="fr-FR"/>
        </w:rPr>
        <w:t>,</w:t>
      </w:r>
      <w:r w:rsidRPr="0010404B">
        <w:rPr>
          <w:lang w:val="fr-FR"/>
        </w:rPr>
        <w:t xml:space="preserve"> au montant de 7,29 millions en 2020-2022.</w:t>
      </w:r>
    </w:p>
    <w:p w14:paraId="4B30B7F0" w14:textId="2DEDA530" w:rsidR="00393C75" w:rsidRPr="0010404B" w:rsidRDefault="00436A1B" w:rsidP="00436A1B">
      <w:pPr>
        <w:pStyle w:val="Heading1"/>
        <w:rPr>
          <w:lang w:val="fr-FR"/>
        </w:rPr>
      </w:pPr>
      <w:r w:rsidRPr="0010404B">
        <w:rPr>
          <w:lang w:val="fr-FR"/>
        </w:rPr>
        <w:t xml:space="preserve">Le projet d’investissement </w:t>
      </w:r>
      <w:r w:rsidR="003C14A4">
        <w:rPr>
          <w:lang w:val="fr-FR"/>
        </w:rPr>
        <w:t>sur</w:t>
      </w:r>
      <w:r w:rsidR="00393C75" w:rsidRPr="0010404B">
        <w:rPr>
          <w:lang w:val="fr-FR"/>
        </w:rPr>
        <w:t xml:space="preserve"> les HFC dans le secteur de la mousse de polystyrène extrudé en Chine </w:t>
      </w:r>
      <w:r w:rsidRPr="0010404B">
        <w:rPr>
          <w:lang w:val="fr-FR"/>
        </w:rPr>
        <w:t>devait être soumis à la 84</w:t>
      </w:r>
      <w:r w:rsidRPr="0010404B">
        <w:rPr>
          <w:vertAlign w:val="superscript"/>
          <w:lang w:val="fr-FR"/>
        </w:rPr>
        <w:t>e</w:t>
      </w:r>
      <w:r w:rsidR="003C14A4">
        <w:rPr>
          <w:lang w:val="fr-FR"/>
        </w:rPr>
        <w:t xml:space="preserve"> réunion </w:t>
      </w:r>
      <w:r w:rsidRPr="0010404B">
        <w:rPr>
          <w:lang w:val="fr-FR"/>
        </w:rPr>
        <w:t>conformément à la décision 78/3(g)</w:t>
      </w:r>
      <w:r w:rsidR="003C14A4">
        <w:rPr>
          <w:lang w:val="fr-FR"/>
        </w:rPr>
        <w:t>,</w:t>
      </w:r>
      <w:r w:rsidRPr="0010404B">
        <w:rPr>
          <w:lang w:val="fr-FR"/>
        </w:rPr>
        <w:t xml:space="preserve"> mais le gouvernement a décidé de reporter la </w:t>
      </w:r>
      <w:r w:rsidR="003C14A4">
        <w:rPr>
          <w:lang w:val="fr-FR"/>
        </w:rPr>
        <w:t xml:space="preserve">soumission du </w:t>
      </w:r>
      <w:r w:rsidRPr="0010404B">
        <w:rPr>
          <w:lang w:val="fr-FR"/>
        </w:rPr>
        <w:t xml:space="preserve">projet à une réunion future car la priorité </w:t>
      </w:r>
      <w:r w:rsidR="003C14A4">
        <w:rPr>
          <w:lang w:val="fr-FR"/>
        </w:rPr>
        <w:t>a été</w:t>
      </w:r>
      <w:r w:rsidRPr="0010404B">
        <w:rPr>
          <w:lang w:val="fr-FR"/>
        </w:rPr>
        <w:t xml:space="preserve"> accordée à la </w:t>
      </w:r>
      <w:r w:rsidR="003C14A4">
        <w:rPr>
          <w:lang w:val="fr-FR"/>
        </w:rPr>
        <w:t xml:space="preserve">soumission </w:t>
      </w:r>
      <w:r w:rsidRPr="0010404B">
        <w:rPr>
          <w:lang w:val="fr-FR"/>
        </w:rPr>
        <w:t xml:space="preserve">de la phase II de son PGEH.  </w:t>
      </w:r>
      <w:r w:rsidR="00902A26">
        <w:rPr>
          <w:lang w:val="fr-FR"/>
        </w:rPr>
        <w:t>À propos de</w:t>
      </w:r>
      <w:r w:rsidRPr="0010404B">
        <w:rPr>
          <w:lang w:val="fr-FR"/>
        </w:rPr>
        <w:t xml:space="preserve"> la décision 82/77(a) exigeant la ratification de l’Amendement de Kigali comme préalable à l’approbation d’autres projets sur les HFC pour la Chine, le Centre de coopération </w:t>
      </w:r>
      <w:r w:rsidR="003C14A4">
        <w:rPr>
          <w:lang w:val="fr-FR"/>
        </w:rPr>
        <w:t>environnementale extérieure</w:t>
      </w:r>
      <w:r w:rsidRPr="0010404B">
        <w:rPr>
          <w:lang w:val="fr-FR"/>
        </w:rPr>
        <w:t xml:space="preserve">/ministère de l’écologie et de l’environnement de la Chine prévoit accélérer le processus de ratification et envisage la </w:t>
      </w:r>
      <w:r w:rsidR="003C14A4">
        <w:rPr>
          <w:lang w:val="fr-FR"/>
        </w:rPr>
        <w:t>soumission lorsque</w:t>
      </w:r>
      <w:r w:rsidRPr="0010404B">
        <w:rPr>
          <w:lang w:val="fr-FR"/>
        </w:rPr>
        <w:t xml:space="preserve"> l’Amendement sera ratifié ou </w:t>
      </w:r>
      <w:r w:rsidR="00C7598A">
        <w:rPr>
          <w:lang w:val="fr-FR"/>
        </w:rPr>
        <w:t>lors</w:t>
      </w:r>
      <w:r w:rsidRPr="0010404B">
        <w:rPr>
          <w:lang w:val="fr-FR"/>
        </w:rPr>
        <w:t>que le processus de rati</w:t>
      </w:r>
      <w:r w:rsidR="00C7598A">
        <w:rPr>
          <w:lang w:val="fr-FR"/>
        </w:rPr>
        <w:t>fication sera presque achevé.  C</w:t>
      </w:r>
      <w:r w:rsidRPr="0010404B">
        <w:rPr>
          <w:lang w:val="fr-FR"/>
        </w:rPr>
        <w:t xml:space="preserve">e projet est maintenu dans le plan d’activités dans l’attente de la décision du Comité exécutif </w:t>
      </w:r>
      <w:r w:rsidR="00C7598A">
        <w:rPr>
          <w:lang w:val="fr-FR"/>
        </w:rPr>
        <w:t>d’autoriser</w:t>
      </w:r>
      <w:r w:rsidRPr="0010404B">
        <w:rPr>
          <w:lang w:val="fr-FR"/>
        </w:rPr>
        <w:t xml:space="preserve"> la </w:t>
      </w:r>
      <w:r w:rsidR="00C7598A">
        <w:rPr>
          <w:lang w:val="fr-FR"/>
        </w:rPr>
        <w:t>soumission</w:t>
      </w:r>
      <w:r w:rsidRPr="0010404B">
        <w:rPr>
          <w:lang w:val="fr-FR"/>
        </w:rPr>
        <w:t xml:space="preserve"> de ce projet à une réunion ultérieure.</w:t>
      </w:r>
    </w:p>
    <w:p w14:paraId="2F64EFB5" w14:textId="2C25D939" w:rsidR="00436A1B" w:rsidRPr="0010404B" w:rsidRDefault="00436A1B" w:rsidP="00BF4E89">
      <w:pPr>
        <w:pStyle w:val="Heading1"/>
        <w:rPr>
          <w:lang w:val="fr-FR"/>
        </w:rPr>
      </w:pPr>
      <w:r w:rsidRPr="0010404B">
        <w:rPr>
          <w:lang w:val="fr-FR"/>
        </w:rPr>
        <w:t xml:space="preserve">Quant aux activités de facilitation, </w:t>
      </w:r>
      <w:r w:rsidR="00C7598A">
        <w:rPr>
          <w:lang w:val="fr-FR"/>
        </w:rPr>
        <w:t xml:space="preserve">pour </w:t>
      </w:r>
      <w:r w:rsidRPr="0010404B">
        <w:rPr>
          <w:lang w:val="fr-FR"/>
        </w:rPr>
        <w:t>un des cinq pays (</w:t>
      </w:r>
      <w:r w:rsidR="00E91DB9" w:rsidRPr="0010404B">
        <w:rPr>
          <w:lang w:val="fr-FR"/>
        </w:rPr>
        <w:t>Haïti</w:t>
      </w:r>
      <w:r w:rsidR="00C7598A">
        <w:rPr>
          <w:lang w:val="fr-FR"/>
        </w:rPr>
        <w:t xml:space="preserve">), </w:t>
      </w:r>
      <w:r w:rsidRPr="0010404B">
        <w:rPr>
          <w:lang w:val="fr-FR"/>
        </w:rPr>
        <w:t xml:space="preserve">cette activité </w:t>
      </w:r>
      <w:r w:rsidR="00C7598A">
        <w:rPr>
          <w:lang w:val="fr-FR"/>
        </w:rPr>
        <w:t xml:space="preserve">sera soumise </w:t>
      </w:r>
      <w:r w:rsidRPr="0010404B">
        <w:rPr>
          <w:lang w:val="fr-FR"/>
        </w:rPr>
        <w:t>à la 84</w:t>
      </w:r>
      <w:r w:rsidRPr="0010404B">
        <w:rPr>
          <w:vertAlign w:val="superscript"/>
          <w:lang w:val="fr-FR"/>
        </w:rPr>
        <w:t>e</w:t>
      </w:r>
      <w:r w:rsidR="00C7598A">
        <w:rPr>
          <w:lang w:val="fr-FR"/>
        </w:rPr>
        <w:t xml:space="preserve"> réunion par le </w:t>
      </w:r>
      <w:r w:rsidRPr="0010404B">
        <w:rPr>
          <w:lang w:val="fr-FR"/>
        </w:rPr>
        <w:t>PNUD; elle a donc été retirée du plan d’activités du PNUE.  Les activités pour les quatre autres pays ont été soumises avec la lettre requise de leur gouvernement</w:t>
      </w:r>
      <w:r w:rsidR="00BF4E89" w:rsidRPr="0010404B">
        <w:rPr>
          <w:lang w:val="fr-FR"/>
        </w:rPr>
        <w:t xml:space="preserve">, </w:t>
      </w:r>
      <w:r w:rsidR="002E0963" w:rsidRPr="0010404B">
        <w:rPr>
          <w:lang w:val="fr-FR"/>
        </w:rPr>
        <w:t xml:space="preserve">manifestant la volonté de déployer tous les efforts possibles pour ratifier </w:t>
      </w:r>
      <w:r w:rsidR="00BF4E89" w:rsidRPr="0010404B">
        <w:rPr>
          <w:lang w:val="fr-FR"/>
        </w:rPr>
        <w:t xml:space="preserve">l’Amendement de Kigali </w:t>
      </w:r>
      <w:r w:rsidR="002E0963" w:rsidRPr="0010404B">
        <w:rPr>
          <w:lang w:val="fr-FR"/>
        </w:rPr>
        <w:t>dans les meilleurs délais</w:t>
      </w:r>
      <w:r w:rsidR="00BF4E89" w:rsidRPr="0010404B">
        <w:rPr>
          <w:lang w:val="fr-FR"/>
        </w:rPr>
        <w:t>, si ce n’est déjà fait, conformément à la décision 79/46(d)(i).</w:t>
      </w:r>
    </w:p>
    <w:p w14:paraId="0B3D3F7C" w14:textId="1C0A053B" w:rsidR="00BF4E89" w:rsidRPr="0010404B" w:rsidRDefault="00BF4E89" w:rsidP="004901BB">
      <w:pPr>
        <w:pStyle w:val="Heading1"/>
        <w:rPr>
          <w:lang w:val="fr-FR"/>
        </w:rPr>
      </w:pPr>
      <w:r w:rsidRPr="0010404B">
        <w:rPr>
          <w:lang w:val="fr-FR"/>
        </w:rPr>
        <w:t xml:space="preserve">Concernant les activités de préparation, un financement pourrait être accordé pour la préparation de plans nationaux de mise en œuvre </w:t>
      </w:r>
      <w:r w:rsidR="00C7598A">
        <w:rPr>
          <w:lang w:val="fr-FR"/>
        </w:rPr>
        <w:t>en vue</w:t>
      </w:r>
      <w:r w:rsidRPr="0010404B">
        <w:rPr>
          <w:lang w:val="fr-FR"/>
        </w:rPr>
        <w:t xml:space="preserve"> de respecter les premières obligations de réduction dans le cadre de la réduction progressive des HFC, cinq ans avant ces obligations, au plus tôt, </w:t>
      </w:r>
      <w:r w:rsidR="002E0963" w:rsidRPr="0010404B">
        <w:rPr>
          <w:lang w:val="fr-FR"/>
        </w:rPr>
        <w:t>à</w:t>
      </w:r>
      <w:r w:rsidRPr="0010404B">
        <w:rPr>
          <w:lang w:val="fr-FR"/>
        </w:rPr>
        <w:t xml:space="preserve"> la </w:t>
      </w:r>
      <w:r w:rsidR="002E0963" w:rsidRPr="0010404B">
        <w:rPr>
          <w:lang w:val="fr-FR"/>
        </w:rPr>
        <w:t xml:space="preserve">suite de la </w:t>
      </w:r>
      <w:r w:rsidRPr="0010404B">
        <w:rPr>
          <w:lang w:val="fr-FR"/>
        </w:rPr>
        <w:t xml:space="preserve">ratification de l’Amendement de Kigali par le pays et </w:t>
      </w:r>
      <w:r w:rsidR="002E0963" w:rsidRPr="0010404B">
        <w:rPr>
          <w:lang w:val="fr-FR"/>
        </w:rPr>
        <w:t>conformément aux lignes directrices qui seront  approuvées</w:t>
      </w:r>
      <w:r w:rsidRPr="0010404B">
        <w:rPr>
          <w:lang w:val="fr-FR"/>
        </w:rPr>
        <w:t xml:space="preserve"> (décision 79/46(b)(iii).</w:t>
      </w:r>
      <w:r w:rsidR="00C7598A">
        <w:rPr>
          <w:lang w:val="fr-FR"/>
        </w:rPr>
        <w:t xml:space="preserve">  Sur les 50 pays inclus dans le plan d’activités, neuf seulement n’ont pas ratifié l’Amendement de Kigali.  Sept de ces pays ont soumis la lettre requise de leur gouvernement, manifestant la volonté de déployer tous les efforts possibles pour ratifier l’Amendement de Kigali.</w:t>
      </w:r>
    </w:p>
    <w:p w14:paraId="5AF57CEE" w14:textId="560603BA" w:rsidR="00F742ED" w:rsidRPr="008916F0" w:rsidRDefault="00F5155A" w:rsidP="00D6532D">
      <w:pPr>
        <w:pStyle w:val="Heading1"/>
        <w:rPr>
          <w:lang w:val="fr-FR"/>
        </w:rPr>
      </w:pPr>
      <w:r w:rsidRPr="0010404B">
        <w:rPr>
          <w:lang w:val="fr-FR"/>
        </w:rPr>
        <w:t xml:space="preserve">Des activités du plan de gestion de la </w:t>
      </w:r>
      <w:r w:rsidR="00E91DB9" w:rsidRPr="0010404B">
        <w:rPr>
          <w:lang w:val="fr-FR"/>
        </w:rPr>
        <w:t>réduction</w:t>
      </w:r>
      <w:r w:rsidRPr="0010404B">
        <w:rPr>
          <w:lang w:val="fr-FR"/>
        </w:rPr>
        <w:t xml:space="preserve"> progressive des HFC sont incluses dans le plan d’activités pour le</w:t>
      </w:r>
      <w:r w:rsidR="00F742ED" w:rsidRPr="0010404B">
        <w:rPr>
          <w:lang w:val="fr-FR"/>
        </w:rPr>
        <w:t>s pays suivants,</w:t>
      </w:r>
      <w:r w:rsidRPr="0010404B">
        <w:rPr>
          <w:lang w:val="fr-FR"/>
        </w:rPr>
        <w:t xml:space="preserve"> Cos</w:t>
      </w:r>
      <w:r w:rsidR="00F742ED" w:rsidRPr="0010404B">
        <w:rPr>
          <w:lang w:val="fr-FR"/>
        </w:rPr>
        <w:t xml:space="preserve">ta Rica, Cuba, </w:t>
      </w:r>
      <w:r w:rsidRPr="0010404B">
        <w:rPr>
          <w:lang w:val="fr-FR"/>
        </w:rPr>
        <w:t xml:space="preserve">Ghana, </w:t>
      </w:r>
      <w:r w:rsidR="00F742ED" w:rsidRPr="0010404B">
        <w:rPr>
          <w:lang w:val="fr-FR"/>
        </w:rPr>
        <w:t>Grenade, Nigeria, Panama et Vietnam.  Ces pays ont r</w:t>
      </w:r>
      <w:r w:rsidR="00C7598A">
        <w:rPr>
          <w:lang w:val="fr-FR"/>
        </w:rPr>
        <w:t xml:space="preserve">atifié l’Amendement de Kigali. Toutefois, </w:t>
      </w:r>
      <w:r w:rsidR="00F742ED" w:rsidRPr="0010404B">
        <w:rPr>
          <w:lang w:val="fr-FR"/>
        </w:rPr>
        <w:t xml:space="preserve">aucune </w:t>
      </w:r>
      <w:r w:rsidR="00E91DB9" w:rsidRPr="0010404B">
        <w:rPr>
          <w:lang w:val="fr-FR"/>
        </w:rPr>
        <w:t>décision</w:t>
      </w:r>
      <w:r w:rsidR="00F742ED" w:rsidRPr="0010404B">
        <w:rPr>
          <w:lang w:val="fr-FR"/>
        </w:rPr>
        <w:t xml:space="preserve"> du Comité exécutif autoris</w:t>
      </w:r>
      <w:r w:rsidR="008916F0">
        <w:rPr>
          <w:lang w:val="fr-FR"/>
        </w:rPr>
        <w:t>e</w:t>
      </w:r>
      <w:r w:rsidR="00F742ED" w:rsidRPr="0010404B">
        <w:rPr>
          <w:lang w:val="fr-FR"/>
        </w:rPr>
        <w:t xml:space="preserve"> ces pays </w:t>
      </w:r>
      <w:r w:rsidR="00F742ED" w:rsidRPr="0010404B">
        <w:rPr>
          <w:lang w:val="fr-FR"/>
        </w:rPr>
        <w:lastRenderedPageBreak/>
        <w:t xml:space="preserve">à soumettre un plan de gestion de la </w:t>
      </w:r>
      <w:r w:rsidR="00E91DB9" w:rsidRPr="0010404B">
        <w:rPr>
          <w:lang w:val="fr-FR"/>
        </w:rPr>
        <w:t>réduction</w:t>
      </w:r>
      <w:r w:rsidR="00F742ED" w:rsidRPr="0010404B">
        <w:rPr>
          <w:lang w:val="fr-FR"/>
        </w:rPr>
        <w:t xml:space="preserve"> progressive des HFC puisque seul le financement préparatoire est admissible selon la </w:t>
      </w:r>
      <w:r w:rsidR="00E91DB9" w:rsidRPr="0010404B">
        <w:rPr>
          <w:lang w:val="fr-FR"/>
        </w:rPr>
        <w:t>décision</w:t>
      </w:r>
      <w:r w:rsidR="00F742ED" w:rsidRPr="0010404B">
        <w:rPr>
          <w:lang w:val="fr-FR"/>
        </w:rPr>
        <w:t xml:space="preserve"> </w:t>
      </w:r>
      <w:r w:rsidR="00F742ED" w:rsidRPr="008916F0">
        <w:rPr>
          <w:lang w:val="fr-FR"/>
        </w:rPr>
        <w:t>79/46(b)(iii).</w:t>
      </w:r>
    </w:p>
    <w:p w14:paraId="15845091" w14:textId="3D8BA7F2" w:rsidR="004901BB" w:rsidRPr="0010404B" w:rsidRDefault="008916F0" w:rsidP="00D6532D">
      <w:pPr>
        <w:pStyle w:val="StyleHeading1Para1Heading1CharHeading1Char3CharHeadin"/>
        <w:rPr>
          <w:b/>
          <w:lang w:val="fr-FR"/>
        </w:rPr>
      </w:pPr>
      <w:r>
        <w:rPr>
          <w:b/>
          <w:lang w:val="fr-FR"/>
        </w:rPr>
        <w:t>Modifications</w:t>
      </w:r>
      <w:r w:rsidR="004901BB" w:rsidRPr="0010404B">
        <w:rPr>
          <w:b/>
          <w:lang w:val="fr-FR"/>
        </w:rPr>
        <w:t xml:space="preserve"> apporté</w:t>
      </w:r>
      <w:r>
        <w:rPr>
          <w:b/>
          <w:lang w:val="fr-FR"/>
        </w:rPr>
        <w:t>e</w:t>
      </w:r>
      <w:r w:rsidR="004901BB" w:rsidRPr="0010404B">
        <w:rPr>
          <w:b/>
          <w:lang w:val="fr-FR"/>
        </w:rPr>
        <w:t>s au plan d’activités général du Fonds multilatéral pour 2020-2022</w:t>
      </w:r>
    </w:p>
    <w:p w14:paraId="4855C215" w14:textId="1DEF3D28" w:rsidR="004901BB" w:rsidRPr="0010404B" w:rsidRDefault="004901BB" w:rsidP="00F5155A">
      <w:pPr>
        <w:pStyle w:val="Heading1"/>
        <w:numPr>
          <w:ilvl w:val="0"/>
          <w:numId w:val="25"/>
        </w:numPr>
        <w:rPr>
          <w:lang w:val="fr-FR"/>
        </w:rPr>
      </w:pPr>
      <w:r w:rsidRPr="0010404B">
        <w:rPr>
          <w:lang w:val="fr-FR"/>
        </w:rPr>
        <w:t xml:space="preserve">Durant la réunion de coordination inter-agences, des </w:t>
      </w:r>
      <w:r w:rsidR="002D6645">
        <w:rPr>
          <w:lang w:val="fr-FR"/>
        </w:rPr>
        <w:t xml:space="preserve">modifications </w:t>
      </w:r>
      <w:r w:rsidRPr="0010404B">
        <w:rPr>
          <w:lang w:val="fr-FR"/>
        </w:rPr>
        <w:t xml:space="preserve">aux plans d’activités des agences bilatérales et d’exécution ont été </w:t>
      </w:r>
      <w:r w:rsidR="008916F0">
        <w:rPr>
          <w:lang w:val="fr-FR"/>
        </w:rPr>
        <w:t>accepté</w:t>
      </w:r>
      <w:r w:rsidR="002D6645">
        <w:rPr>
          <w:lang w:val="fr-FR"/>
        </w:rPr>
        <w:t>e</w:t>
      </w:r>
      <w:r w:rsidR="008916F0">
        <w:rPr>
          <w:lang w:val="fr-FR"/>
        </w:rPr>
        <w:t>s</w:t>
      </w:r>
      <w:r w:rsidR="002D6645">
        <w:rPr>
          <w:lang w:val="fr-FR"/>
        </w:rPr>
        <w:t>, sur la base de</w:t>
      </w:r>
      <w:r w:rsidRPr="0010404B">
        <w:rPr>
          <w:lang w:val="fr-FR"/>
        </w:rPr>
        <w:t xml:space="preserve"> décisions pertinentes du Comité exécutif.  Toutefois, en examinant les plans d’activités révisés soumis après la réunion de coordination, </w:t>
      </w:r>
      <w:r w:rsidR="002D6645">
        <w:rPr>
          <w:lang w:val="fr-FR"/>
        </w:rPr>
        <w:t xml:space="preserve">il a été noté </w:t>
      </w:r>
      <w:r w:rsidRPr="0010404B">
        <w:rPr>
          <w:lang w:val="fr-FR"/>
        </w:rPr>
        <w:t xml:space="preserve">que les </w:t>
      </w:r>
      <w:r w:rsidR="002D6645">
        <w:rPr>
          <w:lang w:val="fr-FR"/>
        </w:rPr>
        <w:t xml:space="preserve">modifications </w:t>
      </w:r>
      <w:r w:rsidRPr="0010404B">
        <w:rPr>
          <w:lang w:val="fr-FR"/>
        </w:rPr>
        <w:t>qui figurent au Tableau 5 ci-dessous n’</w:t>
      </w:r>
      <w:r w:rsidR="002D6645">
        <w:rPr>
          <w:lang w:val="fr-FR"/>
        </w:rPr>
        <w:t>avaient</w:t>
      </w:r>
      <w:r w:rsidRPr="0010404B">
        <w:rPr>
          <w:lang w:val="fr-FR"/>
        </w:rPr>
        <w:t xml:space="preserve"> pas été pris</w:t>
      </w:r>
      <w:r w:rsidR="002D6645">
        <w:rPr>
          <w:lang w:val="fr-FR"/>
        </w:rPr>
        <w:t>es</w:t>
      </w:r>
      <w:r w:rsidRPr="0010404B">
        <w:rPr>
          <w:lang w:val="fr-FR"/>
        </w:rPr>
        <w:t xml:space="preserve"> en compte :</w:t>
      </w:r>
    </w:p>
    <w:p w14:paraId="2163F837" w14:textId="5959E8F8" w:rsidR="00F5155A" w:rsidRPr="0010404B" w:rsidRDefault="00F5155A" w:rsidP="00F5155A">
      <w:pPr>
        <w:keepNext/>
        <w:rPr>
          <w:b/>
          <w:bCs/>
          <w:lang w:val="fr-FR"/>
        </w:rPr>
      </w:pPr>
      <w:r w:rsidRPr="0010404B">
        <w:rPr>
          <w:b/>
          <w:lang w:val="fr-FR"/>
        </w:rPr>
        <w:t>Table</w:t>
      </w:r>
      <w:r w:rsidR="00F742ED" w:rsidRPr="0010404B">
        <w:rPr>
          <w:b/>
          <w:lang w:val="fr-FR"/>
        </w:rPr>
        <w:t>au</w:t>
      </w:r>
      <w:r w:rsidRPr="0010404B">
        <w:rPr>
          <w:b/>
          <w:lang w:val="fr-FR"/>
        </w:rPr>
        <w:t xml:space="preserve"> 5. </w:t>
      </w:r>
      <w:r w:rsidR="002D6645">
        <w:rPr>
          <w:b/>
          <w:lang w:val="fr-FR"/>
        </w:rPr>
        <w:t xml:space="preserve">Modifications supplémentaires </w:t>
      </w:r>
      <w:r w:rsidR="00F742ED" w:rsidRPr="0010404B">
        <w:rPr>
          <w:b/>
          <w:lang w:val="fr-FR"/>
        </w:rPr>
        <w:t>apporté</w:t>
      </w:r>
      <w:r w:rsidR="002D6645">
        <w:rPr>
          <w:b/>
          <w:lang w:val="fr-FR"/>
        </w:rPr>
        <w:t>e</w:t>
      </w:r>
      <w:r w:rsidR="00F742ED" w:rsidRPr="0010404B">
        <w:rPr>
          <w:b/>
          <w:lang w:val="fr-FR"/>
        </w:rPr>
        <w:t xml:space="preserve">s au plan d’activités général du Fonds </w:t>
      </w:r>
      <w:r w:rsidR="00E91DB9" w:rsidRPr="0010404B">
        <w:rPr>
          <w:b/>
          <w:lang w:val="fr-FR"/>
        </w:rPr>
        <w:t>multilatéral</w:t>
      </w:r>
      <w:r w:rsidR="00F742ED" w:rsidRPr="0010404B">
        <w:rPr>
          <w:b/>
          <w:lang w:val="fr-FR"/>
        </w:rPr>
        <w:t xml:space="preserve"> pour </w:t>
      </w:r>
      <w:r w:rsidRPr="0010404B">
        <w:rPr>
          <w:b/>
          <w:bCs/>
          <w:lang w:val="fr-FR"/>
        </w:rPr>
        <w:t>2020</w:t>
      </w:r>
      <w:r w:rsidRPr="0010404B">
        <w:rPr>
          <w:b/>
          <w:bCs/>
          <w:lang w:val="fr-FR"/>
        </w:rPr>
        <w:noBreakHyphen/>
        <w:t xml:space="preserve">2022 </w:t>
      </w:r>
      <w:r w:rsidRPr="0010404B">
        <w:rPr>
          <w:b/>
          <w:lang w:val="fr-FR"/>
        </w:rPr>
        <w:t>(</w:t>
      </w:r>
      <w:r w:rsidR="00F742ED" w:rsidRPr="0010404B">
        <w:rPr>
          <w:b/>
          <w:lang w:val="fr-FR"/>
        </w:rPr>
        <w:t>000 $US</w:t>
      </w:r>
      <w:r w:rsidRPr="0010404B">
        <w:rPr>
          <w:b/>
          <w:lang w:val="fr-FR"/>
        </w:rPr>
        <w:t>)</w:t>
      </w:r>
    </w:p>
    <w:tbl>
      <w:tblPr>
        <w:tblStyle w:val="TableGrid"/>
        <w:tblW w:w="9337" w:type="dxa"/>
        <w:tblInd w:w="108" w:type="dxa"/>
        <w:tblLook w:val="04A0" w:firstRow="1" w:lastRow="0" w:firstColumn="1" w:lastColumn="0" w:noHBand="0" w:noVBand="1"/>
      </w:tblPr>
      <w:tblGrid>
        <w:gridCol w:w="6614"/>
        <w:gridCol w:w="1373"/>
        <w:gridCol w:w="1350"/>
      </w:tblGrid>
      <w:tr w:rsidR="00F5155A" w:rsidRPr="0010404B" w14:paraId="43291230" w14:textId="77777777" w:rsidTr="00386469">
        <w:trPr>
          <w:tblHeader/>
        </w:trPr>
        <w:tc>
          <w:tcPr>
            <w:tcW w:w="6614" w:type="dxa"/>
          </w:tcPr>
          <w:p w14:paraId="13362CAD" w14:textId="28997E9D" w:rsidR="00F5155A" w:rsidRPr="0010404B" w:rsidRDefault="002D6645" w:rsidP="00F5155A">
            <w:pPr>
              <w:rPr>
                <w:b/>
                <w:lang w:val="fr-FR"/>
              </w:rPr>
            </w:pPr>
            <w:r>
              <w:rPr>
                <w:b/>
                <w:lang w:val="fr-FR"/>
              </w:rPr>
              <w:t>Modification</w:t>
            </w:r>
          </w:p>
        </w:tc>
        <w:tc>
          <w:tcPr>
            <w:tcW w:w="1373" w:type="dxa"/>
          </w:tcPr>
          <w:p w14:paraId="205CA265" w14:textId="77777777" w:rsidR="00F5155A" w:rsidRPr="0010404B" w:rsidRDefault="00F5155A" w:rsidP="00F5155A">
            <w:pPr>
              <w:jc w:val="center"/>
              <w:rPr>
                <w:b/>
                <w:lang w:val="fr-FR"/>
              </w:rPr>
            </w:pPr>
            <w:r w:rsidRPr="0010404B">
              <w:rPr>
                <w:b/>
                <w:lang w:val="fr-FR"/>
              </w:rPr>
              <w:t xml:space="preserve">2020–2022 </w:t>
            </w:r>
          </w:p>
        </w:tc>
        <w:tc>
          <w:tcPr>
            <w:tcW w:w="1350" w:type="dxa"/>
          </w:tcPr>
          <w:p w14:paraId="1CCEC35A" w14:textId="0E2D4131" w:rsidR="00F5155A" w:rsidRPr="0010404B" w:rsidRDefault="00F5155A" w:rsidP="00F5155A">
            <w:pPr>
              <w:jc w:val="center"/>
              <w:rPr>
                <w:b/>
                <w:lang w:val="fr-FR"/>
              </w:rPr>
            </w:pPr>
            <w:r w:rsidRPr="0010404B">
              <w:rPr>
                <w:b/>
                <w:lang w:val="fr-FR"/>
              </w:rPr>
              <w:t>A</w:t>
            </w:r>
            <w:r w:rsidR="00F742ED" w:rsidRPr="0010404B">
              <w:rPr>
                <w:b/>
                <w:lang w:val="fr-FR"/>
              </w:rPr>
              <w:t>près</w:t>
            </w:r>
            <w:r w:rsidRPr="0010404B">
              <w:rPr>
                <w:b/>
                <w:lang w:val="fr-FR"/>
              </w:rPr>
              <w:t xml:space="preserve"> 2022</w:t>
            </w:r>
          </w:p>
        </w:tc>
      </w:tr>
      <w:tr w:rsidR="00F5155A" w:rsidRPr="0010404B" w14:paraId="609188DC" w14:textId="77777777" w:rsidTr="00386469">
        <w:tc>
          <w:tcPr>
            <w:tcW w:w="6614" w:type="dxa"/>
          </w:tcPr>
          <w:p w14:paraId="19AB81A6" w14:textId="5570A1D7" w:rsidR="00F5155A" w:rsidRPr="0010404B" w:rsidRDefault="00F742ED" w:rsidP="00F742ED">
            <w:pPr>
              <w:rPr>
                <w:lang w:val="fr-FR"/>
              </w:rPr>
            </w:pPr>
            <w:r w:rsidRPr="0010404B">
              <w:rPr>
                <w:lang w:val="fr-FR"/>
              </w:rPr>
              <w:t xml:space="preserve">Valeurs des PGEH pour refléter les montants </w:t>
            </w:r>
            <w:r w:rsidR="00E91DB9" w:rsidRPr="0010404B">
              <w:rPr>
                <w:lang w:val="fr-FR"/>
              </w:rPr>
              <w:t>réels</w:t>
            </w:r>
            <w:r w:rsidRPr="0010404B">
              <w:rPr>
                <w:lang w:val="fr-FR"/>
              </w:rPr>
              <w:t xml:space="preserve"> approuvés dans </w:t>
            </w:r>
            <w:r w:rsidR="002D6645">
              <w:rPr>
                <w:lang w:val="fr-FR"/>
              </w:rPr>
              <w:t>le cadre d</w:t>
            </w:r>
            <w:r w:rsidRPr="0010404B">
              <w:rPr>
                <w:lang w:val="fr-FR"/>
              </w:rPr>
              <w:t xml:space="preserve">es Accords, incluant les </w:t>
            </w:r>
            <w:r w:rsidR="00F5155A" w:rsidRPr="0010404B">
              <w:rPr>
                <w:lang w:val="fr-FR"/>
              </w:rPr>
              <w:t xml:space="preserve">tranches </w:t>
            </w:r>
            <w:r w:rsidRPr="0010404B">
              <w:rPr>
                <w:lang w:val="fr-FR"/>
              </w:rPr>
              <w:t>de PGEH attendues à la 8</w:t>
            </w:r>
            <w:r w:rsidR="002D6645">
              <w:rPr>
                <w:lang w:val="fr-FR"/>
              </w:rPr>
              <w:t>4</w:t>
            </w:r>
            <w:r w:rsidR="002D6645" w:rsidRPr="002D6645">
              <w:rPr>
                <w:vertAlign w:val="superscript"/>
                <w:lang w:val="fr-FR"/>
              </w:rPr>
              <w:t>e</w:t>
            </w:r>
            <w:r w:rsidR="002D6645">
              <w:rPr>
                <w:lang w:val="fr-FR"/>
              </w:rPr>
              <w:t xml:space="preserve"> </w:t>
            </w:r>
            <w:r w:rsidRPr="0010404B">
              <w:rPr>
                <w:lang w:val="fr-FR"/>
              </w:rPr>
              <w:t>réunion mais qui ne sont pas soumises</w:t>
            </w:r>
          </w:p>
        </w:tc>
        <w:tc>
          <w:tcPr>
            <w:tcW w:w="1373" w:type="dxa"/>
          </w:tcPr>
          <w:p w14:paraId="63997859" w14:textId="77777777" w:rsidR="00F5155A" w:rsidRPr="0010404B" w:rsidRDefault="00F5155A" w:rsidP="00F5155A">
            <w:pPr>
              <w:jc w:val="right"/>
              <w:rPr>
                <w:lang w:val="fr-FR"/>
              </w:rPr>
            </w:pPr>
            <w:r w:rsidRPr="0010404B">
              <w:rPr>
                <w:lang w:val="fr-FR"/>
              </w:rPr>
              <w:t>37</w:t>
            </w:r>
          </w:p>
        </w:tc>
        <w:tc>
          <w:tcPr>
            <w:tcW w:w="1350" w:type="dxa"/>
          </w:tcPr>
          <w:p w14:paraId="11AACD45" w14:textId="77777777" w:rsidR="00F5155A" w:rsidRPr="0010404B" w:rsidRDefault="00F5155A" w:rsidP="00F5155A">
            <w:pPr>
              <w:jc w:val="right"/>
              <w:rPr>
                <w:lang w:val="fr-FR"/>
              </w:rPr>
            </w:pPr>
            <w:r w:rsidRPr="0010404B">
              <w:rPr>
                <w:lang w:val="fr-FR"/>
              </w:rPr>
              <w:t>165</w:t>
            </w:r>
          </w:p>
        </w:tc>
      </w:tr>
      <w:tr w:rsidR="00F5155A" w:rsidRPr="0010404B" w14:paraId="18895B61" w14:textId="77777777" w:rsidTr="00386469">
        <w:tc>
          <w:tcPr>
            <w:tcW w:w="6614" w:type="dxa"/>
          </w:tcPr>
          <w:p w14:paraId="4A3C53FC" w14:textId="2E56449E" w:rsidR="00F5155A" w:rsidRPr="0010404B" w:rsidRDefault="00F742ED" w:rsidP="00F742ED">
            <w:pPr>
              <w:rPr>
                <w:lang w:val="fr-FR"/>
              </w:rPr>
            </w:pPr>
            <w:r w:rsidRPr="0010404B">
              <w:rPr>
                <w:lang w:val="fr-FR"/>
              </w:rPr>
              <w:t>Valeurs des PGEH pour refléter l’Accord révisé soumis à la 8</w:t>
            </w:r>
            <w:r w:rsidR="002D6645">
              <w:rPr>
                <w:lang w:val="fr-FR"/>
              </w:rPr>
              <w:t>4</w:t>
            </w:r>
            <w:r w:rsidR="002D6645" w:rsidRPr="002D6645">
              <w:rPr>
                <w:vertAlign w:val="superscript"/>
                <w:lang w:val="fr-FR"/>
              </w:rPr>
              <w:t>e</w:t>
            </w:r>
            <w:r w:rsidRPr="0010404B">
              <w:rPr>
                <w:lang w:val="fr-FR"/>
              </w:rPr>
              <w:t xml:space="preserve"> réunion </w:t>
            </w:r>
          </w:p>
        </w:tc>
        <w:tc>
          <w:tcPr>
            <w:tcW w:w="1373" w:type="dxa"/>
          </w:tcPr>
          <w:p w14:paraId="076ED240" w14:textId="5A983AA4" w:rsidR="00F5155A" w:rsidRPr="0010404B" w:rsidRDefault="009B5FC0" w:rsidP="00F5155A">
            <w:pPr>
              <w:jc w:val="right"/>
              <w:rPr>
                <w:lang w:val="fr-FR"/>
              </w:rPr>
            </w:pPr>
            <w:r w:rsidRPr="0010404B">
              <w:rPr>
                <w:lang w:val="fr-FR"/>
              </w:rPr>
              <w:t xml:space="preserve">3 </w:t>
            </w:r>
            <w:r w:rsidR="00F5155A" w:rsidRPr="0010404B">
              <w:rPr>
                <w:lang w:val="fr-FR"/>
              </w:rPr>
              <w:t>839</w:t>
            </w:r>
          </w:p>
        </w:tc>
        <w:tc>
          <w:tcPr>
            <w:tcW w:w="1350" w:type="dxa"/>
          </w:tcPr>
          <w:p w14:paraId="4184A3B6" w14:textId="66EFA527" w:rsidR="00F5155A" w:rsidRPr="0010404B" w:rsidRDefault="009B5FC0" w:rsidP="00F5155A">
            <w:pPr>
              <w:jc w:val="right"/>
              <w:rPr>
                <w:lang w:val="fr-FR"/>
              </w:rPr>
            </w:pPr>
            <w:r w:rsidRPr="0010404B">
              <w:rPr>
                <w:lang w:val="fr-FR"/>
              </w:rPr>
              <w:t xml:space="preserve">15 </w:t>
            </w:r>
            <w:r w:rsidR="00F5155A" w:rsidRPr="0010404B">
              <w:rPr>
                <w:lang w:val="fr-FR"/>
              </w:rPr>
              <w:t>147</w:t>
            </w:r>
          </w:p>
        </w:tc>
      </w:tr>
      <w:tr w:rsidR="00F5155A" w:rsidRPr="0010404B" w14:paraId="42A2827D" w14:textId="77777777" w:rsidTr="00386469">
        <w:tc>
          <w:tcPr>
            <w:tcW w:w="6614" w:type="dxa"/>
          </w:tcPr>
          <w:p w14:paraId="68835F0B" w14:textId="2EDA8F0C" w:rsidR="00F5155A" w:rsidRPr="0010404B" w:rsidRDefault="00F742ED" w:rsidP="00F742ED">
            <w:pPr>
              <w:rPr>
                <w:lang w:val="fr-FR"/>
              </w:rPr>
            </w:pPr>
            <w:r w:rsidRPr="0010404B">
              <w:rPr>
                <w:lang w:val="fr-FR"/>
              </w:rPr>
              <w:t>Phase I</w:t>
            </w:r>
            <w:r w:rsidR="00F733C9">
              <w:rPr>
                <w:lang w:val="fr-FR"/>
              </w:rPr>
              <w:t xml:space="preserve"> de</w:t>
            </w:r>
            <w:r w:rsidRPr="0010404B">
              <w:rPr>
                <w:lang w:val="fr-FR"/>
              </w:rPr>
              <w:t xml:space="preserve"> PGEPH et préparation de projet</w:t>
            </w:r>
            <w:r w:rsidR="002D6645">
              <w:rPr>
                <w:lang w:val="fr-FR"/>
              </w:rPr>
              <w:t xml:space="preserve"> (PRP)</w:t>
            </w:r>
          </w:p>
        </w:tc>
        <w:tc>
          <w:tcPr>
            <w:tcW w:w="1373" w:type="dxa"/>
            <w:vAlign w:val="bottom"/>
          </w:tcPr>
          <w:p w14:paraId="12E21BCA" w14:textId="540691D4" w:rsidR="00F5155A" w:rsidRPr="0010404B" w:rsidRDefault="009B5FC0" w:rsidP="00F5155A">
            <w:pPr>
              <w:jc w:val="right"/>
              <w:rPr>
                <w:lang w:val="fr-FR"/>
              </w:rPr>
            </w:pPr>
            <w:r w:rsidRPr="0010404B">
              <w:rPr>
                <w:lang w:val="fr-FR"/>
              </w:rPr>
              <w:t xml:space="preserve">(3 </w:t>
            </w:r>
            <w:r w:rsidR="00F5155A" w:rsidRPr="0010404B">
              <w:rPr>
                <w:lang w:val="fr-FR"/>
              </w:rPr>
              <w:t>290)</w:t>
            </w:r>
          </w:p>
        </w:tc>
        <w:tc>
          <w:tcPr>
            <w:tcW w:w="1350" w:type="dxa"/>
            <w:vAlign w:val="bottom"/>
          </w:tcPr>
          <w:p w14:paraId="0750D25A" w14:textId="1353FD59" w:rsidR="00F5155A" w:rsidRPr="0010404B" w:rsidRDefault="009B5FC0" w:rsidP="00F5155A">
            <w:pPr>
              <w:jc w:val="right"/>
              <w:rPr>
                <w:lang w:val="fr-FR"/>
              </w:rPr>
            </w:pPr>
            <w:r w:rsidRPr="0010404B">
              <w:rPr>
                <w:lang w:val="fr-FR"/>
              </w:rPr>
              <w:t xml:space="preserve">(2 </w:t>
            </w:r>
            <w:r w:rsidR="00F5155A" w:rsidRPr="0010404B">
              <w:rPr>
                <w:lang w:val="fr-FR"/>
              </w:rPr>
              <w:t>140)</w:t>
            </w:r>
          </w:p>
        </w:tc>
      </w:tr>
      <w:tr w:rsidR="00F5155A" w:rsidRPr="0010404B" w14:paraId="415F22A7" w14:textId="77777777" w:rsidTr="00386469">
        <w:tc>
          <w:tcPr>
            <w:tcW w:w="6614" w:type="dxa"/>
          </w:tcPr>
          <w:p w14:paraId="6F74CD4C" w14:textId="730CC1A0" w:rsidR="00F5155A" w:rsidRPr="0010404B" w:rsidRDefault="00F733C9" w:rsidP="00F5155A">
            <w:pPr>
              <w:rPr>
                <w:lang w:val="fr-FR"/>
              </w:rPr>
            </w:pPr>
            <w:r>
              <w:rPr>
                <w:lang w:val="fr-FR"/>
              </w:rPr>
              <w:t>Phase II de</w:t>
            </w:r>
            <w:r w:rsidR="00F742ED" w:rsidRPr="0010404B">
              <w:rPr>
                <w:lang w:val="fr-FR"/>
              </w:rPr>
              <w:t xml:space="preserve"> PGEPH selon la dé</w:t>
            </w:r>
            <w:r w:rsidR="00F5155A" w:rsidRPr="0010404B">
              <w:rPr>
                <w:lang w:val="fr-FR"/>
              </w:rPr>
              <w:t>cision 69/28(e)</w:t>
            </w:r>
          </w:p>
        </w:tc>
        <w:tc>
          <w:tcPr>
            <w:tcW w:w="1373" w:type="dxa"/>
            <w:vAlign w:val="bottom"/>
          </w:tcPr>
          <w:p w14:paraId="6EF4DF48" w14:textId="1EF4353A" w:rsidR="00F5155A" w:rsidRPr="0010404B" w:rsidRDefault="009B5FC0" w:rsidP="00F5155A">
            <w:pPr>
              <w:jc w:val="right"/>
              <w:rPr>
                <w:lang w:val="fr-FR"/>
              </w:rPr>
            </w:pPr>
            <w:r w:rsidRPr="0010404B">
              <w:rPr>
                <w:lang w:val="fr-FR"/>
              </w:rPr>
              <w:t xml:space="preserve">(7 </w:t>
            </w:r>
            <w:r w:rsidR="00F5155A" w:rsidRPr="0010404B">
              <w:rPr>
                <w:lang w:val="fr-FR"/>
              </w:rPr>
              <w:t>468)</w:t>
            </w:r>
          </w:p>
        </w:tc>
        <w:tc>
          <w:tcPr>
            <w:tcW w:w="1350" w:type="dxa"/>
            <w:vAlign w:val="bottom"/>
          </w:tcPr>
          <w:p w14:paraId="4326C4F7" w14:textId="42BD405B" w:rsidR="00F5155A" w:rsidRPr="0010404B" w:rsidRDefault="009B5FC0" w:rsidP="00F5155A">
            <w:pPr>
              <w:jc w:val="right"/>
              <w:rPr>
                <w:lang w:val="fr-FR"/>
              </w:rPr>
            </w:pPr>
            <w:r w:rsidRPr="0010404B">
              <w:rPr>
                <w:lang w:val="fr-FR"/>
              </w:rPr>
              <w:t xml:space="preserve">6 </w:t>
            </w:r>
            <w:r w:rsidR="00F5155A" w:rsidRPr="0010404B">
              <w:rPr>
                <w:lang w:val="fr-FR"/>
              </w:rPr>
              <w:t>407</w:t>
            </w:r>
          </w:p>
        </w:tc>
      </w:tr>
      <w:tr w:rsidR="00F5155A" w:rsidRPr="0010404B" w14:paraId="518614E5" w14:textId="77777777" w:rsidTr="00386469">
        <w:tc>
          <w:tcPr>
            <w:tcW w:w="6614" w:type="dxa"/>
          </w:tcPr>
          <w:p w14:paraId="79C14239" w14:textId="4EF50153" w:rsidR="00F5155A" w:rsidRPr="0010404B" w:rsidRDefault="00F5155A" w:rsidP="00F5155A">
            <w:pPr>
              <w:rPr>
                <w:lang w:val="fr-FR"/>
              </w:rPr>
            </w:pPr>
            <w:r w:rsidRPr="0010404B">
              <w:rPr>
                <w:lang w:val="fr-FR"/>
              </w:rPr>
              <w:t>P</w:t>
            </w:r>
            <w:r w:rsidR="002D6645">
              <w:rPr>
                <w:lang w:val="fr-FR"/>
              </w:rPr>
              <w:t>RP</w:t>
            </w:r>
            <w:r w:rsidR="00F742ED" w:rsidRPr="0010404B">
              <w:rPr>
                <w:lang w:val="fr-FR"/>
              </w:rPr>
              <w:t xml:space="preserve"> pour la phase II des PGEH conformément à la </w:t>
            </w:r>
            <w:r w:rsidR="00E91DB9" w:rsidRPr="0010404B">
              <w:rPr>
                <w:lang w:val="fr-FR"/>
              </w:rPr>
              <w:t>décision</w:t>
            </w:r>
            <w:r w:rsidR="00F742ED" w:rsidRPr="0010404B">
              <w:rPr>
                <w:lang w:val="fr-FR"/>
              </w:rPr>
              <w:t xml:space="preserve"> </w:t>
            </w:r>
            <w:r w:rsidRPr="0010404B">
              <w:rPr>
                <w:lang w:val="fr-FR"/>
              </w:rPr>
              <w:t>71/42</w:t>
            </w:r>
          </w:p>
        </w:tc>
        <w:tc>
          <w:tcPr>
            <w:tcW w:w="1373" w:type="dxa"/>
          </w:tcPr>
          <w:p w14:paraId="06167195" w14:textId="77777777" w:rsidR="00F5155A" w:rsidRPr="0010404B" w:rsidRDefault="00F5155A" w:rsidP="00F5155A">
            <w:pPr>
              <w:jc w:val="right"/>
              <w:rPr>
                <w:lang w:val="fr-FR"/>
              </w:rPr>
            </w:pPr>
            <w:r w:rsidRPr="0010404B">
              <w:rPr>
                <w:lang w:val="fr-FR"/>
              </w:rPr>
              <w:t>(50)</w:t>
            </w:r>
          </w:p>
        </w:tc>
        <w:tc>
          <w:tcPr>
            <w:tcW w:w="1350" w:type="dxa"/>
          </w:tcPr>
          <w:p w14:paraId="261011C2" w14:textId="77777777" w:rsidR="00F5155A" w:rsidRPr="0010404B" w:rsidRDefault="00F5155A" w:rsidP="00F5155A">
            <w:pPr>
              <w:jc w:val="right"/>
              <w:rPr>
                <w:lang w:val="fr-FR"/>
              </w:rPr>
            </w:pPr>
            <w:r w:rsidRPr="0010404B">
              <w:rPr>
                <w:lang w:val="fr-FR"/>
              </w:rPr>
              <w:t>0</w:t>
            </w:r>
          </w:p>
        </w:tc>
      </w:tr>
      <w:tr w:rsidR="00F5155A" w:rsidRPr="0010404B" w14:paraId="068CEE0F" w14:textId="77777777" w:rsidTr="00386469">
        <w:tc>
          <w:tcPr>
            <w:tcW w:w="6614" w:type="dxa"/>
          </w:tcPr>
          <w:p w14:paraId="1FDC71BB" w14:textId="2C324F45" w:rsidR="00F5155A" w:rsidRPr="0010404B" w:rsidRDefault="00F733C9" w:rsidP="00F742ED">
            <w:pPr>
              <w:rPr>
                <w:lang w:val="fr-FR"/>
              </w:rPr>
            </w:pPr>
            <w:r>
              <w:rPr>
                <w:lang w:val="fr-FR"/>
              </w:rPr>
              <w:t>Valeurs de la p</w:t>
            </w:r>
            <w:r w:rsidR="00F742ED" w:rsidRPr="0010404B">
              <w:rPr>
                <w:lang w:val="fr-FR"/>
              </w:rPr>
              <w:t xml:space="preserve">hase </w:t>
            </w:r>
            <w:r>
              <w:rPr>
                <w:lang w:val="fr-FR"/>
              </w:rPr>
              <w:t>II</w:t>
            </w:r>
            <w:r w:rsidR="00F742ED" w:rsidRPr="0010404B">
              <w:rPr>
                <w:lang w:val="fr-FR"/>
              </w:rPr>
              <w:t xml:space="preserve"> des PGEH pour refléter l’Accord soumis à la 8</w:t>
            </w:r>
            <w:r w:rsidR="005E727B">
              <w:rPr>
                <w:lang w:val="fr-FR"/>
              </w:rPr>
              <w:t>4</w:t>
            </w:r>
            <w:r w:rsidR="005E727B" w:rsidRPr="005E727B">
              <w:rPr>
                <w:vertAlign w:val="superscript"/>
                <w:lang w:val="fr-FR"/>
              </w:rPr>
              <w:t>e</w:t>
            </w:r>
            <w:r w:rsidR="00F742ED" w:rsidRPr="0010404B">
              <w:rPr>
                <w:lang w:val="fr-FR"/>
              </w:rPr>
              <w:t xml:space="preserve"> réunion </w:t>
            </w:r>
          </w:p>
        </w:tc>
        <w:tc>
          <w:tcPr>
            <w:tcW w:w="1373" w:type="dxa"/>
          </w:tcPr>
          <w:p w14:paraId="6703D2EC" w14:textId="77777777" w:rsidR="00F5155A" w:rsidRPr="0010404B" w:rsidRDefault="00F5155A" w:rsidP="00F5155A">
            <w:pPr>
              <w:jc w:val="right"/>
              <w:rPr>
                <w:lang w:val="fr-FR"/>
              </w:rPr>
            </w:pPr>
            <w:r w:rsidRPr="0010404B">
              <w:rPr>
                <w:lang w:val="fr-FR"/>
              </w:rPr>
              <w:t>(312)</w:t>
            </w:r>
          </w:p>
        </w:tc>
        <w:tc>
          <w:tcPr>
            <w:tcW w:w="1350" w:type="dxa"/>
          </w:tcPr>
          <w:p w14:paraId="18BF8639" w14:textId="77777777" w:rsidR="00F5155A" w:rsidRPr="0010404B" w:rsidRDefault="00F5155A" w:rsidP="00F5155A">
            <w:pPr>
              <w:jc w:val="right"/>
              <w:rPr>
                <w:lang w:val="fr-FR"/>
              </w:rPr>
            </w:pPr>
            <w:r w:rsidRPr="0010404B">
              <w:rPr>
                <w:lang w:val="fr-FR"/>
              </w:rPr>
              <w:t>453</w:t>
            </w:r>
          </w:p>
        </w:tc>
      </w:tr>
      <w:tr w:rsidR="00F5155A" w:rsidRPr="0010404B" w14:paraId="577D125E" w14:textId="77777777" w:rsidTr="00386469">
        <w:tc>
          <w:tcPr>
            <w:tcW w:w="6614" w:type="dxa"/>
          </w:tcPr>
          <w:p w14:paraId="67957583" w14:textId="381AB7AB" w:rsidR="00F5155A" w:rsidRPr="0010404B" w:rsidRDefault="00F742ED" w:rsidP="00F742ED">
            <w:pPr>
              <w:rPr>
                <w:lang w:val="fr-FR"/>
              </w:rPr>
            </w:pPr>
            <w:r w:rsidRPr="0010404B">
              <w:rPr>
                <w:lang w:val="fr-FR"/>
              </w:rPr>
              <w:t xml:space="preserve">Phase II des PGEH dans les PFV à la valeur maximale autorisée pour parvenir à une </w:t>
            </w:r>
            <w:r w:rsidR="00E91DB9" w:rsidRPr="0010404B">
              <w:rPr>
                <w:lang w:val="fr-FR"/>
              </w:rPr>
              <w:t>réduction</w:t>
            </w:r>
            <w:r w:rsidRPr="0010404B">
              <w:rPr>
                <w:lang w:val="fr-FR"/>
              </w:rPr>
              <w:t xml:space="preserve"> de 67,5 pour cent ou de 100 pour cent de la valeur de référence pour les HCFC</w:t>
            </w:r>
            <w:r w:rsidR="005E727B">
              <w:rPr>
                <w:lang w:val="fr-FR"/>
              </w:rPr>
              <w:t>,</w:t>
            </w:r>
            <w:r w:rsidRPr="0010404B">
              <w:rPr>
                <w:lang w:val="fr-FR"/>
              </w:rPr>
              <w:t xml:space="preserve"> selon la </w:t>
            </w:r>
            <w:r w:rsidR="00E91DB9" w:rsidRPr="0010404B">
              <w:rPr>
                <w:lang w:val="fr-FR"/>
              </w:rPr>
              <w:t>décision</w:t>
            </w:r>
            <w:r w:rsidRPr="0010404B">
              <w:rPr>
                <w:lang w:val="fr-FR"/>
              </w:rPr>
              <w:t xml:space="preserve"> </w:t>
            </w:r>
            <w:r w:rsidR="00F5155A" w:rsidRPr="0010404B">
              <w:rPr>
                <w:lang w:val="fr-FR"/>
              </w:rPr>
              <w:t>74/50(c)(xii)</w:t>
            </w:r>
          </w:p>
        </w:tc>
        <w:tc>
          <w:tcPr>
            <w:tcW w:w="1373" w:type="dxa"/>
          </w:tcPr>
          <w:p w14:paraId="6BCA080A" w14:textId="77777777" w:rsidR="00F5155A" w:rsidRPr="0010404B" w:rsidRDefault="00F5155A" w:rsidP="00F5155A">
            <w:pPr>
              <w:jc w:val="right"/>
              <w:rPr>
                <w:lang w:val="fr-FR"/>
              </w:rPr>
            </w:pPr>
            <w:r w:rsidRPr="0010404B">
              <w:rPr>
                <w:lang w:val="fr-FR"/>
              </w:rPr>
              <w:t>(5)</w:t>
            </w:r>
          </w:p>
        </w:tc>
        <w:tc>
          <w:tcPr>
            <w:tcW w:w="1350" w:type="dxa"/>
          </w:tcPr>
          <w:p w14:paraId="40A36596" w14:textId="77777777" w:rsidR="00F5155A" w:rsidRPr="0010404B" w:rsidRDefault="00F5155A" w:rsidP="00F5155A">
            <w:pPr>
              <w:jc w:val="right"/>
              <w:rPr>
                <w:lang w:val="fr-FR"/>
              </w:rPr>
            </w:pPr>
            <w:r w:rsidRPr="0010404B">
              <w:rPr>
                <w:lang w:val="fr-FR"/>
              </w:rPr>
              <w:t>(6)</w:t>
            </w:r>
          </w:p>
        </w:tc>
      </w:tr>
      <w:tr w:rsidR="00F5155A" w:rsidRPr="0010404B" w14:paraId="29001E3F" w14:textId="77777777" w:rsidTr="00386469">
        <w:tc>
          <w:tcPr>
            <w:tcW w:w="6614" w:type="dxa"/>
          </w:tcPr>
          <w:p w14:paraId="7436890C" w14:textId="734558E3" w:rsidR="00F5155A" w:rsidRPr="0010404B" w:rsidRDefault="009B5FC0" w:rsidP="009B5FC0">
            <w:pPr>
              <w:rPr>
                <w:lang w:val="fr-FR"/>
              </w:rPr>
            </w:pPr>
            <w:r w:rsidRPr="0010404B">
              <w:rPr>
                <w:lang w:val="fr-FR"/>
              </w:rPr>
              <w:t xml:space="preserve">Phase </w:t>
            </w:r>
            <w:r w:rsidR="00F5155A" w:rsidRPr="0010404B">
              <w:rPr>
                <w:lang w:val="fr-FR"/>
              </w:rPr>
              <w:t xml:space="preserve">II </w:t>
            </w:r>
            <w:r w:rsidRPr="0010404B">
              <w:rPr>
                <w:lang w:val="fr-FR"/>
              </w:rPr>
              <w:t>des PGEH dans les pay</w:t>
            </w:r>
            <w:r w:rsidR="005E727B">
              <w:rPr>
                <w:lang w:val="fr-FR"/>
              </w:rPr>
              <w:t xml:space="preserve">s à fort volume de consommation, </w:t>
            </w:r>
            <w:r w:rsidRPr="0010404B">
              <w:rPr>
                <w:lang w:val="fr-FR"/>
              </w:rPr>
              <w:t xml:space="preserve">avec un secteur d’entretien pour la </w:t>
            </w:r>
            <w:r w:rsidR="00E91DB9" w:rsidRPr="0010404B">
              <w:rPr>
                <w:lang w:val="fr-FR"/>
              </w:rPr>
              <w:t>réfrigération</w:t>
            </w:r>
            <w:r w:rsidR="00172A63">
              <w:rPr>
                <w:lang w:val="fr-FR"/>
              </w:rPr>
              <w:t>, avec</w:t>
            </w:r>
            <w:r w:rsidRPr="0010404B">
              <w:rPr>
                <w:lang w:val="fr-FR"/>
              </w:rPr>
              <w:t xml:space="preserve"> un rati</w:t>
            </w:r>
            <w:r w:rsidR="00F5155A" w:rsidRPr="0010404B">
              <w:rPr>
                <w:lang w:val="fr-FR"/>
              </w:rPr>
              <w:t>o</w:t>
            </w:r>
            <w:r w:rsidRPr="0010404B">
              <w:rPr>
                <w:lang w:val="fr-FR"/>
              </w:rPr>
              <w:t xml:space="preserve"> coût-efficacité maximum de 4,80 $US/kg</w:t>
            </w:r>
          </w:p>
        </w:tc>
        <w:tc>
          <w:tcPr>
            <w:tcW w:w="1373" w:type="dxa"/>
          </w:tcPr>
          <w:p w14:paraId="6B347696" w14:textId="4618D571" w:rsidR="00F5155A" w:rsidRPr="0010404B" w:rsidRDefault="009B5FC0" w:rsidP="00F5155A">
            <w:pPr>
              <w:jc w:val="right"/>
              <w:rPr>
                <w:lang w:val="fr-FR"/>
              </w:rPr>
            </w:pPr>
            <w:r w:rsidRPr="0010404B">
              <w:rPr>
                <w:lang w:val="fr-FR"/>
              </w:rPr>
              <w:t>(0,</w:t>
            </w:r>
            <w:r w:rsidR="00F5155A" w:rsidRPr="0010404B">
              <w:rPr>
                <w:lang w:val="fr-FR"/>
              </w:rPr>
              <w:t>4)</w:t>
            </w:r>
          </w:p>
        </w:tc>
        <w:tc>
          <w:tcPr>
            <w:tcW w:w="1350" w:type="dxa"/>
          </w:tcPr>
          <w:p w14:paraId="56B6419E" w14:textId="77777777" w:rsidR="00F5155A" w:rsidRPr="0010404B" w:rsidRDefault="00F5155A" w:rsidP="00F5155A">
            <w:pPr>
              <w:jc w:val="right"/>
              <w:rPr>
                <w:lang w:val="fr-FR"/>
              </w:rPr>
            </w:pPr>
            <w:r w:rsidRPr="0010404B">
              <w:rPr>
                <w:lang w:val="fr-FR"/>
              </w:rPr>
              <w:t>(390)</w:t>
            </w:r>
          </w:p>
        </w:tc>
      </w:tr>
      <w:tr w:rsidR="00F5155A" w:rsidRPr="0010404B" w14:paraId="73E321FA" w14:textId="77777777" w:rsidTr="00386469">
        <w:tc>
          <w:tcPr>
            <w:tcW w:w="6614" w:type="dxa"/>
          </w:tcPr>
          <w:p w14:paraId="0495142F" w14:textId="1D1FBDDA" w:rsidR="00F5155A" w:rsidRPr="0010404B" w:rsidRDefault="00F5155A" w:rsidP="00F5155A">
            <w:pPr>
              <w:rPr>
                <w:lang w:val="fr-FR"/>
              </w:rPr>
            </w:pPr>
            <w:r w:rsidRPr="0010404B">
              <w:rPr>
                <w:lang w:val="fr-FR"/>
              </w:rPr>
              <w:t>P</w:t>
            </w:r>
            <w:r w:rsidR="005E727B">
              <w:rPr>
                <w:lang w:val="fr-FR"/>
              </w:rPr>
              <w:t>RP</w:t>
            </w:r>
            <w:r w:rsidR="009B5FC0" w:rsidRPr="0010404B">
              <w:rPr>
                <w:lang w:val="fr-FR"/>
              </w:rPr>
              <w:t xml:space="preserve"> pour la phase</w:t>
            </w:r>
            <w:r w:rsidRPr="0010404B">
              <w:rPr>
                <w:lang w:val="fr-FR"/>
              </w:rPr>
              <w:t xml:space="preserve"> III </w:t>
            </w:r>
            <w:r w:rsidR="009B5FC0" w:rsidRPr="0010404B">
              <w:rPr>
                <w:lang w:val="fr-FR"/>
              </w:rPr>
              <w:t>des PGEH conf</w:t>
            </w:r>
            <w:r w:rsidRPr="0010404B">
              <w:rPr>
                <w:lang w:val="fr-FR"/>
              </w:rPr>
              <w:t>o</w:t>
            </w:r>
            <w:r w:rsidR="009B5FC0" w:rsidRPr="0010404B">
              <w:rPr>
                <w:lang w:val="fr-FR"/>
              </w:rPr>
              <w:t xml:space="preserve">rmément à la </w:t>
            </w:r>
            <w:r w:rsidRPr="0010404B">
              <w:rPr>
                <w:lang w:val="fr-FR"/>
              </w:rPr>
              <w:t xml:space="preserve"> </w:t>
            </w:r>
            <w:r w:rsidR="00E91DB9" w:rsidRPr="0010404B">
              <w:rPr>
                <w:lang w:val="fr-FR"/>
              </w:rPr>
              <w:t>décision</w:t>
            </w:r>
            <w:r w:rsidRPr="0010404B">
              <w:rPr>
                <w:lang w:val="fr-FR"/>
              </w:rPr>
              <w:t xml:space="preserve"> 71/42</w:t>
            </w:r>
          </w:p>
        </w:tc>
        <w:tc>
          <w:tcPr>
            <w:tcW w:w="1373" w:type="dxa"/>
          </w:tcPr>
          <w:p w14:paraId="6633F283" w14:textId="77777777" w:rsidR="00F5155A" w:rsidRPr="0010404B" w:rsidRDefault="00F5155A" w:rsidP="00F5155A">
            <w:pPr>
              <w:jc w:val="right"/>
              <w:rPr>
                <w:lang w:val="fr-FR"/>
              </w:rPr>
            </w:pPr>
            <w:r w:rsidRPr="0010404B">
              <w:rPr>
                <w:lang w:val="fr-FR"/>
              </w:rPr>
              <w:t>(303)</w:t>
            </w:r>
          </w:p>
        </w:tc>
        <w:tc>
          <w:tcPr>
            <w:tcW w:w="1350" w:type="dxa"/>
          </w:tcPr>
          <w:p w14:paraId="71EB8891" w14:textId="77777777" w:rsidR="00F5155A" w:rsidRPr="0010404B" w:rsidRDefault="00F5155A" w:rsidP="00F5155A">
            <w:pPr>
              <w:jc w:val="right"/>
              <w:rPr>
                <w:lang w:val="fr-FR"/>
              </w:rPr>
            </w:pPr>
            <w:r w:rsidRPr="0010404B">
              <w:rPr>
                <w:lang w:val="fr-FR"/>
              </w:rPr>
              <w:t>225</w:t>
            </w:r>
          </w:p>
        </w:tc>
      </w:tr>
      <w:tr w:rsidR="00F5155A" w:rsidRPr="0010404B" w14:paraId="2677D0ED" w14:textId="77777777" w:rsidTr="00386469">
        <w:tc>
          <w:tcPr>
            <w:tcW w:w="6614" w:type="dxa"/>
          </w:tcPr>
          <w:p w14:paraId="6B9B6509" w14:textId="0EE244A6" w:rsidR="00F5155A" w:rsidRPr="0010404B" w:rsidRDefault="009B5FC0" w:rsidP="009B5FC0">
            <w:pPr>
              <w:rPr>
                <w:lang w:val="fr-FR"/>
              </w:rPr>
            </w:pPr>
            <w:r w:rsidRPr="0010404B">
              <w:rPr>
                <w:lang w:val="fr-FR"/>
              </w:rPr>
              <w:t xml:space="preserve">Phase III des PGEH conformément à la </w:t>
            </w:r>
            <w:r w:rsidR="00E91DB9" w:rsidRPr="0010404B">
              <w:rPr>
                <w:lang w:val="fr-FR"/>
              </w:rPr>
              <w:t>décision</w:t>
            </w:r>
            <w:r w:rsidR="00F5155A" w:rsidRPr="0010404B">
              <w:rPr>
                <w:lang w:val="fr-FR"/>
              </w:rPr>
              <w:t xml:space="preserve"> 82/45(c)(i)</w:t>
            </w:r>
          </w:p>
        </w:tc>
        <w:tc>
          <w:tcPr>
            <w:tcW w:w="1373" w:type="dxa"/>
          </w:tcPr>
          <w:p w14:paraId="437FF5CB" w14:textId="28A4F632" w:rsidR="00F5155A" w:rsidRPr="0010404B" w:rsidRDefault="009B5FC0" w:rsidP="00F5155A">
            <w:pPr>
              <w:jc w:val="right"/>
              <w:rPr>
                <w:lang w:val="fr-FR"/>
              </w:rPr>
            </w:pPr>
            <w:r w:rsidRPr="0010404B">
              <w:rPr>
                <w:lang w:val="fr-FR"/>
              </w:rPr>
              <w:t xml:space="preserve">(10 </w:t>
            </w:r>
            <w:r w:rsidR="00F5155A" w:rsidRPr="0010404B">
              <w:rPr>
                <w:lang w:val="fr-FR"/>
              </w:rPr>
              <w:t>078)</w:t>
            </w:r>
          </w:p>
        </w:tc>
        <w:tc>
          <w:tcPr>
            <w:tcW w:w="1350" w:type="dxa"/>
          </w:tcPr>
          <w:p w14:paraId="1F053966" w14:textId="3E83F274" w:rsidR="00F5155A" w:rsidRPr="0010404B" w:rsidRDefault="009B5FC0" w:rsidP="00F5155A">
            <w:pPr>
              <w:jc w:val="right"/>
              <w:rPr>
                <w:lang w:val="fr-FR"/>
              </w:rPr>
            </w:pPr>
            <w:r w:rsidRPr="0010404B">
              <w:rPr>
                <w:lang w:val="fr-FR"/>
              </w:rPr>
              <w:t xml:space="preserve">(36 </w:t>
            </w:r>
            <w:r w:rsidR="00F5155A" w:rsidRPr="0010404B">
              <w:rPr>
                <w:lang w:val="fr-FR"/>
              </w:rPr>
              <w:t>403)</w:t>
            </w:r>
          </w:p>
        </w:tc>
      </w:tr>
      <w:tr w:rsidR="00F5155A" w:rsidRPr="0010404B" w14:paraId="3EBA7657" w14:textId="77777777" w:rsidTr="00386469">
        <w:tc>
          <w:tcPr>
            <w:tcW w:w="6614" w:type="dxa"/>
          </w:tcPr>
          <w:p w14:paraId="5D96E9E4" w14:textId="3F25924A" w:rsidR="00F5155A" w:rsidRPr="0010404B" w:rsidRDefault="009B5FC0" w:rsidP="0063090F">
            <w:pPr>
              <w:rPr>
                <w:lang w:val="fr-FR"/>
              </w:rPr>
            </w:pPr>
            <w:r w:rsidRPr="0010404B">
              <w:rPr>
                <w:lang w:val="fr-FR"/>
              </w:rPr>
              <w:t xml:space="preserve">Assistance technique </w:t>
            </w:r>
            <w:r w:rsidR="0063090F">
              <w:rPr>
                <w:lang w:val="fr-FR"/>
              </w:rPr>
              <w:t xml:space="preserve">pour les </w:t>
            </w:r>
            <w:r w:rsidRPr="0010404B">
              <w:rPr>
                <w:lang w:val="fr-FR"/>
              </w:rPr>
              <w:t xml:space="preserve">HCFC </w:t>
            </w:r>
            <w:r w:rsidR="00F5155A" w:rsidRPr="0010404B">
              <w:rPr>
                <w:lang w:val="fr-FR"/>
              </w:rPr>
              <w:t xml:space="preserve"> </w:t>
            </w:r>
          </w:p>
        </w:tc>
        <w:tc>
          <w:tcPr>
            <w:tcW w:w="1373" w:type="dxa"/>
          </w:tcPr>
          <w:p w14:paraId="0197A8D9" w14:textId="77777777" w:rsidR="00F5155A" w:rsidRPr="0010404B" w:rsidRDefault="00F5155A" w:rsidP="00F5155A">
            <w:pPr>
              <w:jc w:val="right"/>
              <w:rPr>
                <w:lang w:val="fr-FR"/>
              </w:rPr>
            </w:pPr>
            <w:r w:rsidRPr="0010404B">
              <w:rPr>
                <w:lang w:val="fr-FR"/>
              </w:rPr>
              <w:t>(990)</w:t>
            </w:r>
          </w:p>
        </w:tc>
        <w:tc>
          <w:tcPr>
            <w:tcW w:w="1350" w:type="dxa"/>
          </w:tcPr>
          <w:p w14:paraId="32353837" w14:textId="77777777" w:rsidR="00F5155A" w:rsidRPr="0010404B" w:rsidRDefault="00F5155A" w:rsidP="00F5155A">
            <w:pPr>
              <w:jc w:val="right"/>
              <w:rPr>
                <w:lang w:val="fr-FR"/>
              </w:rPr>
            </w:pPr>
            <w:r w:rsidRPr="0010404B">
              <w:rPr>
                <w:lang w:val="fr-FR"/>
              </w:rPr>
              <w:t>0</w:t>
            </w:r>
          </w:p>
        </w:tc>
      </w:tr>
      <w:tr w:rsidR="00F5155A" w:rsidRPr="0010404B" w14:paraId="1ED59451" w14:textId="77777777" w:rsidTr="00386469">
        <w:tc>
          <w:tcPr>
            <w:tcW w:w="6614" w:type="dxa"/>
          </w:tcPr>
          <w:p w14:paraId="125ABD37" w14:textId="635BD00D" w:rsidR="00F5155A" w:rsidRPr="0010404B" w:rsidRDefault="009B5FC0" w:rsidP="00F5155A">
            <w:pPr>
              <w:rPr>
                <w:lang w:val="fr-FR"/>
              </w:rPr>
            </w:pPr>
            <w:r w:rsidRPr="0010404B">
              <w:rPr>
                <w:lang w:val="fr-FR"/>
              </w:rPr>
              <w:t>Activités de facilitation déjà soumises à la 8</w:t>
            </w:r>
            <w:r w:rsidR="005E727B">
              <w:rPr>
                <w:lang w:val="fr-FR"/>
              </w:rPr>
              <w:t>4</w:t>
            </w:r>
            <w:r w:rsidR="005E727B" w:rsidRPr="005E727B">
              <w:rPr>
                <w:vertAlign w:val="superscript"/>
                <w:lang w:val="fr-FR"/>
              </w:rPr>
              <w:t>e</w:t>
            </w:r>
            <w:r w:rsidRPr="0010404B">
              <w:rPr>
                <w:lang w:val="fr-FR"/>
              </w:rPr>
              <w:t xml:space="preserve"> réunion</w:t>
            </w:r>
          </w:p>
        </w:tc>
        <w:tc>
          <w:tcPr>
            <w:tcW w:w="1373" w:type="dxa"/>
          </w:tcPr>
          <w:p w14:paraId="3E199B6E" w14:textId="77777777" w:rsidR="00F5155A" w:rsidRPr="0010404B" w:rsidRDefault="00F5155A" w:rsidP="00F5155A">
            <w:pPr>
              <w:jc w:val="right"/>
              <w:rPr>
                <w:lang w:val="fr-FR"/>
              </w:rPr>
            </w:pPr>
            <w:r w:rsidRPr="0010404B">
              <w:rPr>
                <w:lang w:val="fr-FR"/>
              </w:rPr>
              <w:t>(102)</w:t>
            </w:r>
          </w:p>
        </w:tc>
        <w:tc>
          <w:tcPr>
            <w:tcW w:w="1350" w:type="dxa"/>
          </w:tcPr>
          <w:p w14:paraId="776CAA7E" w14:textId="77777777" w:rsidR="00F5155A" w:rsidRPr="0010404B" w:rsidRDefault="00F5155A" w:rsidP="00F5155A">
            <w:pPr>
              <w:jc w:val="right"/>
              <w:rPr>
                <w:lang w:val="fr-FR"/>
              </w:rPr>
            </w:pPr>
            <w:r w:rsidRPr="0010404B">
              <w:rPr>
                <w:lang w:val="fr-FR"/>
              </w:rPr>
              <w:t>0</w:t>
            </w:r>
          </w:p>
        </w:tc>
      </w:tr>
      <w:tr w:rsidR="00F5155A" w:rsidRPr="0010404B" w14:paraId="4B41A716" w14:textId="77777777" w:rsidTr="00386469">
        <w:tc>
          <w:tcPr>
            <w:tcW w:w="6614" w:type="dxa"/>
          </w:tcPr>
          <w:p w14:paraId="02A7BAAD" w14:textId="017C9D0E" w:rsidR="00F5155A" w:rsidRPr="0010404B" w:rsidRDefault="00F5155A" w:rsidP="00F5155A">
            <w:pPr>
              <w:rPr>
                <w:lang w:val="fr-FR"/>
              </w:rPr>
            </w:pPr>
            <w:r w:rsidRPr="0010404B">
              <w:rPr>
                <w:lang w:val="fr-FR"/>
              </w:rPr>
              <w:t>P</w:t>
            </w:r>
            <w:r w:rsidR="005E727B">
              <w:rPr>
                <w:lang w:val="fr-FR"/>
              </w:rPr>
              <w:t>RP</w:t>
            </w:r>
            <w:r w:rsidR="009B5FC0" w:rsidRPr="0010404B">
              <w:rPr>
                <w:lang w:val="fr-FR"/>
              </w:rPr>
              <w:t xml:space="preserve"> pour la </w:t>
            </w:r>
            <w:r w:rsidR="00E91DB9" w:rsidRPr="0010404B">
              <w:rPr>
                <w:lang w:val="fr-FR"/>
              </w:rPr>
              <w:t>réduction</w:t>
            </w:r>
            <w:r w:rsidR="009B5FC0" w:rsidRPr="0010404B">
              <w:rPr>
                <w:lang w:val="fr-FR"/>
              </w:rPr>
              <w:t xml:space="preserve"> progressive des</w:t>
            </w:r>
            <w:r w:rsidRPr="0010404B">
              <w:rPr>
                <w:lang w:val="fr-FR"/>
              </w:rPr>
              <w:t xml:space="preserve"> HFC </w:t>
            </w:r>
            <w:r w:rsidR="009B5FC0" w:rsidRPr="0010404B">
              <w:rPr>
                <w:lang w:val="fr-FR"/>
              </w:rPr>
              <w:t xml:space="preserve">conformément à la </w:t>
            </w:r>
            <w:r w:rsidR="00E91DB9" w:rsidRPr="0010404B">
              <w:rPr>
                <w:lang w:val="fr-FR"/>
              </w:rPr>
              <w:t>décision</w:t>
            </w:r>
            <w:r w:rsidRPr="0010404B">
              <w:rPr>
                <w:lang w:val="fr-FR"/>
              </w:rPr>
              <w:t xml:space="preserve"> 56/16(c) o</w:t>
            </w:r>
            <w:r w:rsidR="009B5FC0" w:rsidRPr="0010404B">
              <w:rPr>
                <w:lang w:val="fr-FR"/>
              </w:rPr>
              <w:t>u pour des pays qui n’ont pas ratifié l’Amendement de Kigali</w:t>
            </w:r>
          </w:p>
        </w:tc>
        <w:tc>
          <w:tcPr>
            <w:tcW w:w="1373" w:type="dxa"/>
          </w:tcPr>
          <w:p w14:paraId="77B12AC1" w14:textId="2EE70C9D" w:rsidR="00F5155A" w:rsidRPr="0010404B" w:rsidRDefault="009B5FC0" w:rsidP="00F5155A">
            <w:pPr>
              <w:jc w:val="right"/>
              <w:rPr>
                <w:lang w:val="fr-FR"/>
              </w:rPr>
            </w:pPr>
            <w:r w:rsidRPr="0010404B">
              <w:rPr>
                <w:lang w:val="fr-FR"/>
              </w:rPr>
              <w:t xml:space="preserve">(3 </w:t>
            </w:r>
            <w:r w:rsidR="00F5155A" w:rsidRPr="0010404B">
              <w:rPr>
                <w:lang w:val="fr-FR"/>
              </w:rPr>
              <w:t>253)</w:t>
            </w:r>
          </w:p>
        </w:tc>
        <w:tc>
          <w:tcPr>
            <w:tcW w:w="1350" w:type="dxa"/>
          </w:tcPr>
          <w:p w14:paraId="62C218E3" w14:textId="77777777" w:rsidR="00F5155A" w:rsidRPr="0010404B" w:rsidRDefault="00F5155A" w:rsidP="00F5155A">
            <w:pPr>
              <w:jc w:val="right"/>
              <w:rPr>
                <w:lang w:val="fr-FR"/>
              </w:rPr>
            </w:pPr>
            <w:r w:rsidRPr="0010404B">
              <w:rPr>
                <w:lang w:val="fr-FR"/>
              </w:rPr>
              <w:t>0</w:t>
            </w:r>
          </w:p>
        </w:tc>
      </w:tr>
      <w:tr w:rsidR="00F5155A" w:rsidRPr="0010404B" w14:paraId="01D5D90A" w14:textId="77777777" w:rsidTr="00386469">
        <w:tc>
          <w:tcPr>
            <w:tcW w:w="6614" w:type="dxa"/>
          </w:tcPr>
          <w:p w14:paraId="30B3E30A" w14:textId="0F915E5D" w:rsidR="00F5155A" w:rsidRPr="0010404B" w:rsidRDefault="009B5FC0" w:rsidP="009B5FC0">
            <w:pPr>
              <w:rPr>
                <w:lang w:val="fr-FR"/>
              </w:rPr>
            </w:pPr>
            <w:r w:rsidRPr="0010404B">
              <w:rPr>
                <w:lang w:val="fr-FR"/>
              </w:rPr>
              <w:t xml:space="preserve">Plan de gestion de la </w:t>
            </w:r>
            <w:r w:rsidR="00E91DB9" w:rsidRPr="0010404B">
              <w:rPr>
                <w:lang w:val="fr-FR"/>
              </w:rPr>
              <w:t>réduction</w:t>
            </w:r>
            <w:r w:rsidRPr="0010404B">
              <w:rPr>
                <w:lang w:val="fr-FR"/>
              </w:rPr>
              <w:t xml:space="preserve"> progressive des </w:t>
            </w:r>
            <w:r w:rsidR="00F5155A" w:rsidRPr="0010404B">
              <w:rPr>
                <w:lang w:val="fr-FR"/>
              </w:rPr>
              <w:t xml:space="preserve">HFC </w:t>
            </w:r>
            <w:r w:rsidRPr="0010404B">
              <w:rPr>
                <w:lang w:val="fr-FR"/>
              </w:rPr>
              <w:t xml:space="preserve">conformément à la </w:t>
            </w:r>
            <w:r w:rsidR="00E91DB9" w:rsidRPr="0010404B">
              <w:rPr>
                <w:lang w:val="fr-FR"/>
              </w:rPr>
              <w:t>décision</w:t>
            </w:r>
            <w:r w:rsidR="00F5155A" w:rsidRPr="0010404B">
              <w:rPr>
                <w:lang w:val="fr-FR"/>
              </w:rPr>
              <w:t xml:space="preserve"> 79/46(b)(iii)</w:t>
            </w:r>
          </w:p>
        </w:tc>
        <w:tc>
          <w:tcPr>
            <w:tcW w:w="1373" w:type="dxa"/>
            <w:vAlign w:val="bottom"/>
          </w:tcPr>
          <w:p w14:paraId="0019CDA1" w14:textId="35015C0E" w:rsidR="00F5155A" w:rsidRPr="0010404B" w:rsidRDefault="009B5FC0" w:rsidP="00F5155A">
            <w:pPr>
              <w:jc w:val="right"/>
              <w:rPr>
                <w:lang w:val="fr-FR"/>
              </w:rPr>
            </w:pPr>
            <w:r w:rsidRPr="0010404B">
              <w:rPr>
                <w:lang w:val="fr-FR"/>
              </w:rPr>
              <w:t xml:space="preserve">(7 </w:t>
            </w:r>
            <w:r w:rsidR="00F5155A" w:rsidRPr="0010404B">
              <w:rPr>
                <w:lang w:val="fr-FR"/>
              </w:rPr>
              <w:t>290)</w:t>
            </w:r>
          </w:p>
        </w:tc>
        <w:tc>
          <w:tcPr>
            <w:tcW w:w="1350" w:type="dxa"/>
            <w:vAlign w:val="bottom"/>
          </w:tcPr>
          <w:p w14:paraId="78F2488A" w14:textId="77777777" w:rsidR="00F5155A" w:rsidRPr="0010404B" w:rsidRDefault="00F5155A" w:rsidP="00F5155A">
            <w:pPr>
              <w:jc w:val="right"/>
              <w:rPr>
                <w:lang w:val="fr-FR"/>
              </w:rPr>
            </w:pPr>
            <w:r w:rsidRPr="0010404B">
              <w:rPr>
                <w:lang w:val="fr-FR"/>
              </w:rPr>
              <w:t>0</w:t>
            </w:r>
          </w:p>
        </w:tc>
      </w:tr>
      <w:tr w:rsidR="00F5155A" w:rsidRPr="0010404B" w14:paraId="7C829F95" w14:textId="77777777" w:rsidTr="00386469">
        <w:tc>
          <w:tcPr>
            <w:tcW w:w="6614" w:type="dxa"/>
          </w:tcPr>
          <w:p w14:paraId="03F3FBF9" w14:textId="4A42043D" w:rsidR="00F5155A" w:rsidRPr="0010404B" w:rsidRDefault="009B5FC0" w:rsidP="00F5155A">
            <w:pPr>
              <w:rPr>
                <w:lang w:val="fr-FR"/>
              </w:rPr>
            </w:pPr>
            <w:r w:rsidRPr="0010404B">
              <w:rPr>
                <w:lang w:val="fr-FR"/>
              </w:rPr>
              <w:t>Renforcement des institutions conformément à la</w:t>
            </w:r>
            <w:r w:rsidR="00F5155A" w:rsidRPr="0010404B">
              <w:rPr>
                <w:lang w:val="fr-FR"/>
              </w:rPr>
              <w:t xml:space="preserve"> </w:t>
            </w:r>
            <w:r w:rsidR="00E91DB9" w:rsidRPr="0010404B">
              <w:rPr>
                <w:lang w:val="fr-FR"/>
              </w:rPr>
              <w:t>décision</w:t>
            </w:r>
            <w:r w:rsidR="00F5155A" w:rsidRPr="0010404B">
              <w:rPr>
                <w:lang w:val="fr-FR"/>
              </w:rPr>
              <w:t xml:space="preserve"> 74/51(c) o</w:t>
            </w:r>
            <w:r w:rsidRPr="0010404B">
              <w:rPr>
                <w:lang w:val="fr-FR"/>
              </w:rPr>
              <w:t>u</w:t>
            </w:r>
            <w:r w:rsidR="00F5155A" w:rsidRPr="0010404B">
              <w:rPr>
                <w:lang w:val="fr-FR"/>
              </w:rPr>
              <w:t xml:space="preserve"> </w:t>
            </w:r>
            <w:r w:rsidRPr="0010404B">
              <w:rPr>
                <w:lang w:val="fr-FR"/>
              </w:rPr>
              <w:t xml:space="preserve"> </w:t>
            </w:r>
            <w:r w:rsidR="005E727B">
              <w:rPr>
                <w:lang w:val="fr-FR"/>
              </w:rPr>
              <w:t>lorsque les valeurs a</w:t>
            </w:r>
            <w:r w:rsidR="00172A63">
              <w:rPr>
                <w:lang w:val="fr-FR"/>
              </w:rPr>
              <w:t>u-delà de</w:t>
            </w:r>
            <w:r w:rsidR="00F5155A" w:rsidRPr="0010404B">
              <w:rPr>
                <w:lang w:val="fr-FR"/>
              </w:rPr>
              <w:t xml:space="preserve"> 2021 </w:t>
            </w:r>
            <w:r w:rsidRPr="0010404B">
              <w:rPr>
                <w:lang w:val="fr-FR"/>
              </w:rPr>
              <w:t>ont été retirées</w:t>
            </w:r>
          </w:p>
        </w:tc>
        <w:tc>
          <w:tcPr>
            <w:tcW w:w="1373" w:type="dxa"/>
          </w:tcPr>
          <w:p w14:paraId="421640CC" w14:textId="77777777" w:rsidR="00F5155A" w:rsidRPr="0010404B" w:rsidRDefault="00F5155A" w:rsidP="00F5155A">
            <w:pPr>
              <w:jc w:val="right"/>
              <w:rPr>
                <w:lang w:val="fr-FR"/>
              </w:rPr>
            </w:pPr>
            <w:r w:rsidRPr="0010404B">
              <w:rPr>
                <w:lang w:val="fr-FR"/>
              </w:rPr>
              <w:t>0</w:t>
            </w:r>
          </w:p>
        </w:tc>
        <w:tc>
          <w:tcPr>
            <w:tcW w:w="1350" w:type="dxa"/>
          </w:tcPr>
          <w:p w14:paraId="6AC0AB90" w14:textId="77777777" w:rsidR="00F5155A" w:rsidRPr="0010404B" w:rsidRDefault="00F5155A" w:rsidP="00F5155A">
            <w:pPr>
              <w:jc w:val="right"/>
              <w:rPr>
                <w:lang w:val="fr-FR"/>
              </w:rPr>
            </w:pPr>
            <w:r w:rsidRPr="0010404B">
              <w:rPr>
                <w:lang w:val="fr-FR"/>
              </w:rPr>
              <w:t>(677)</w:t>
            </w:r>
          </w:p>
        </w:tc>
      </w:tr>
      <w:tr w:rsidR="00F5155A" w:rsidRPr="0010404B" w14:paraId="0CA33150" w14:textId="77777777" w:rsidTr="00386469">
        <w:tc>
          <w:tcPr>
            <w:tcW w:w="6614" w:type="dxa"/>
          </w:tcPr>
          <w:p w14:paraId="3A310307" w14:textId="50491483" w:rsidR="00F5155A" w:rsidRPr="0010404B" w:rsidRDefault="009B5FC0" w:rsidP="009B5FC0">
            <w:pPr>
              <w:rPr>
                <w:lang w:val="fr-FR"/>
              </w:rPr>
            </w:pPr>
            <w:r w:rsidRPr="0010404B">
              <w:rPr>
                <w:lang w:val="fr-FR"/>
              </w:rPr>
              <w:t xml:space="preserve">Projet de renforcement des institutions concernant la République populaire démocratique de Corée, conformément à </w:t>
            </w:r>
            <w:r w:rsidR="005E727B">
              <w:rPr>
                <w:lang w:val="fr-FR"/>
              </w:rPr>
              <w:t xml:space="preserve">la </w:t>
            </w:r>
            <w:r w:rsidR="00E91DB9" w:rsidRPr="0010404B">
              <w:rPr>
                <w:lang w:val="fr-FR"/>
              </w:rPr>
              <w:t>décision</w:t>
            </w:r>
            <w:r w:rsidR="00F5155A" w:rsidRPr="0010404B">
              <w:rPr>
                <w:lang w:val="fr-FR"/>
              </w:rPr>
              <w:t xml:space="preserve"> 80/34(c)(iii)b. </w:t>
            </w:r>
          </w:p>
        </w:tc>
        <w:tc>
          <w:tcPr>
            <w:tcW w:w="1373" w:type="dxa"/>
          </w:tcPr>
          <w:p w14:paraId="054DEC9A" w14:textId="77777777" w:rsidR="00F5155A" w:rsidRPr="0010404B" w:rsidRDefault="00F5155A" w:rsidP="00F5155A">
            <w:pPr>
              <w:jc w:val="right"/>
              <w:rPr>
                <w:lang w:val="fr-FR"/>
              </w:rPr>
            </w:pPr>
            <w:r w:rsidRPr="0010404B">
              <w:rPr>
                <w:lang w:val="fr-FR"/>
              </w:rPr>
              <w:t>(333)</w:t>
            </w:r>
          </w:p>
        </w:tc>
        <w:tc>
          <w:tcPr>
            <w:tcW w:w="1350" w:type="dxa"/>
          </w:tcPr>
          <w:p w14:paraId="197A873F" w14:textId="77777777" w:rsidR="00F5155A" w:rsidRPr="0010404B" w:rsidRDefault="00F5155A" w:rsidP="00F5155A">
            <w:pPr>
              <w:jc w:val="right"/>
              <w:rPr>
                <w:lang w:val="fr-FR"/>
              </w:rPr>
            </w:pPr>
            <w:r w:rsidRPr="0010404B">
              <w:rPr>
                <w:lang w:val="fr-FR"/>
              </w:rPr>
              <w:t>0</w:t>
            </w:r>
          </w:p>
        </w:tc>
      </w:tr>
    </w:tbl>
    <w:p w14:paraId="6BA79118" w14:textId="77777777" w:rsidR="00F5155A" w:rsidRPr="0010404B" w:rsidRDefault="00F5155A" w:rsidP="00F5155A">
      <w:pPr>
        <w:pStyle w:val="Heading1"/>
        <w:numPr>
          <w:ilvl w:val="0"/>
          <w:numId w:val="0"/>
        </w:numPr>
        <w:spacing w:after="0"/>
        <w:rPr>
          <w:lang w:val="fr-FR"/>
        </w:rPr>
      </w:pPr>
    </w:p>
    <w:p w14:paraId="1676270E" w14:textId="4CE66A90" w:rsidR="00F5155A" w:rsidRPr="0010404B" w:rsidRDefault="009B5FC0" w:rsidP="00F5155A">
      <w:pPr>
        <w:pStyle w:val="Heading1"/>
        <w:rPr>
          <w:lang w:val="fr-FR"/>
        </w:rPr>
      </w:pPr>
      <w:r w:rsidRPr="0010404B">
        <w:rPr>
          <w:lang w:val="fr-FR"/>
        </w:rPr>
        <w:t xml:space="preserve">Le </w:t>
      </w:r>
      <w:r w:rsidR="00F5155A" w:rsidRPr="0010404B">
        <w:rPr>
          <w:lang w:val="fr-FR"/>
        </w:rPr>
        <w:t>Table</w:t>
      </w:r>
      <w:r w:rsidRPr="0010404B">
        <w:rPr>
          <w:lang w:val="fr-FR"/>
        </w:rPr>
        <w:t xml:space="preserve">au </w:t>
      </w:r>
      <w:r w:rsidR="00F5155A" w:rsidRPr="0010404B">
        <w:rPr>
          <w:lang w:val="fr-FR"/>
        </w:rPr>
        <w:t xml:space="preserve">6 </w:t>
      </w:r>
      <w:r w:rsidR="00E91DB9" w:rsidRPr="0010404B">
        <w:rPr>
          <w:lang w:val="fr-FR"/>
        </w:rPr>
        <w:t>présente</w:t>
      </w:r>
      <w:r w:rsidRPr="0010404B">
        <w:rPr>
          <w:lang w:val="fr-FR"/>
        </w:rPr>
        <w:t xml:space="preserve"> les</w:t>
      </w:r>
      <w:r w:rsidR="00F5155A" w:rsidRPr="0010404B">
        <w:rPr>
          <w:lang w:val="fr-FR"/>
        </w:rPr>
        <w:t xml:space="preserve"> </w:t>
      </w:r>
      <w:r w:rsidR="00E91DB9" w:rsidRPr="0010404B">
        <w:rPr>
          <w:lang w:val="fr-FR"/>
        </w:rPr>
        <w:t>résultats</w:t>
      </w:r>
      <w:r w:rsidR="00F5155A" w:rsidRPr="0010404B">
        <w:rPr>
          <w:lang w:val="fr-FR"/>
        </w:rPr>
        <w:t xml:space="preserve"> </w:t>
      </w:r>
      <w:r w:rsidR="005E727B">
        <w:rPr>
          <w:lang w:val="fr-FR"/>
        </w:rPr>
        <w:t>des modifications proposées</w:t>
      </w:r>
      <w:r w:rsidR="00CC3BD4" w:rsidRPr="0010404B">
        <w:rPr>
          <w:lang w:val="fr-FR"/>
        </w:rPr>
        <w:t xml:space="preserve"> au plan d’activités général pour </w:t>
      </w:r>
      <w:r w:rsidR="00F5155A" w:rsidRPr="0010404B">
        <w:rPr>
          <w:lang w:val="fr-FR"/>
        </w:rPr>
        <w:t>2020</w:t>
      </w:r>
      <w:r w:rsidR="00F5155A" w:rsidRPr="0010404B">
        <w:rPr>
          <w:lang w:val="fr-FR"/>
        </w:rPr>
        <w:noBreakHyphen/>
        <w:t xml:space="preserve">2022. </w:t>
      </w:r>
      <w:r w:rsidR="00CC3BD4" w:rsidRPr="0010404B">
        <w:rPr>
          <w:lang w:val="fr-FR"/>
        </w:rPr>
        <w:t>Les valeurs dépassent le budget indicatif</w:t>
      </w:r>
      <w:r w:rsidR="005E727B">
        <w:rPr>
          <w:lang w:val="fr-FR"/>
        </w:rPr>
        <w:t>,</w:t>
      </w:r>
      <w:r w:rsidR="00CC3BD4" w:rsidRPr="0010404B">
        <w:rPr>
          <w:lang w:val="fr-FR"/>
        </w:rPr>
        <w:t xml:space="preserve"> de 14,</w:t>
      </w:r>
      <w:r w:rsidR="00F5155A" w:rsidRPr="0010404B">
        <w:rPr>
          <w:lang w:val="fr-FR"/>
        </w:rPr>
        <w:t>15 million</w:t>
      </w:r>
      <w:r w:rsidR="00CC3BD4" w:rsidRPr="0010404B">
        <w:rPr>
          <w:lang w:val="fr-FR"/>
        </w:rPr>
        <w:t>s $US</w:t>
      </w:r>
      <w:r w:rsidR="00F5155A" w:rsidRPr="0010404B">
        <w:rPr>
          <w:lang w:val="fr-FR"/>
        </w:rPr>
        <w:t xml:space="preserve"> (</w:t>
      </w:r>
      <w:r w:rsidR="00CC3BD4" w:rsidRPr="0010404B">
        <w:rPr>
          <w:lang w:val="fr-FR"/>
        </w:rPr>
        <w:t>soit 2,7 pour cent du budget indicatif</w:t>
      </w:r>
      <w:r w:rsidR="00F5155A" w:rsidRPr="0010404B">
        <w:rPr>
          <w:lang w:val="fr-FR"/>
        </w:rPr>
        <w:t>).</w:t>
      </w:r>
    </w:p>
    <w:p w14:paraId="4766FB99" w14:textId="2AF2B8E4" w:rsidR="00DE7C12" w:rsidRPr="0010404B" w:rsidRDefault="00F5155A" w:rsidP="00DE7C12">
      <w:pPr>
        <w:keepNext/>
        <w:rPr>
          <w:b/>
          <w:lang w:val="fr-FR"/>
        </w:rPr>
      </w:pPr>
      <w:r w:rsidRPr="0010404B">
        <w:rPr>
          <w:b/>
          <w:lang w:val="fr-FR"/>
        </w:rPr>
        <w:t>Table</w:t>
      </w:r>
      <w:r w:rsidR="00CC3BD4" w:rsidRPr="0010404B">
        <w:rPr>
          <w:b/>
          <w:lang w:val="fr-FR"/>
        </w:rPr>
        <w:t>au</w:t>
      </w:r>
      <w:r w:rsidRPr="0010404B">
        <w:rPr>
          <w:b/>
          <w:lang w:val="fr-FR"/>
        </w:rPr>
        <w:t xml:space="preserve"> 6. </w:t>
      </w:r>
      <w:r w:rsidR="00CC3BD4" w:rsidRPr="0010404B">
        <w:rPr>
          <w:b/>
          <w:lang w:val="fr-FR"/>
        </w:rPr>
        <w:t xml:space="preserve"> </w:t>
      </w:r>
      <w:r w:rsidR="005E727B">
        <w:rPr>
          <w:b/>
          <w:lang w:val="fr-FR"/>
        </w:rPr>
        <w:t>Affectation</w:t>
      </w:r>
      <w:r w:rsidR="00CC3BD4" w:rsidRPr="0010404B">
        <w:rPr>
          <w:b/>
          <w:lang w:val="fr-FR"/>
        </w:rPr>
        <w:t xml:space="preserve"> </w:t>
      </w:r>
      <w:r w:rsidR="005E727B">
        <w:rPr>
          <w:b/>
          <w:lang w:val="fr-FR"/>
        </w:rPr>
        <w:t xml:space="preserve">modifiée </w:t>
      </w:r>
      <w:r w:rsidR="00CC3BD4" w:rsidRPr="0010404B">
        <w:rPr>
          <w:b/>
          <w:lang w:val="fr-FR"/>
        </w:rPr>
        <w:t xml:space="preserve">des ressources pour le plan d’activités </w:t>
      </w:r>
      <w:r w:rsidR="005E727B">
        <w:rPr>
          <w:b/>
          <w:lang w:val="fr-FR"/>
        </w:rPr>
        <w:t>de</w:t>
      </w:r>
      <w:r w:rsidR="00CC3BD4" w:rsidRPr="0010404B">
        <w:rPr>
          <w:b/>
          <w:lang w:val="fr-FR"/>
        </w:rPr>
        <w:t xml:space="preserve"> 2020–2022 (</w:t>
      </w:r>
      <w:r w:rsidRPr="0010404B">
        <w:rPr>
          <w:b/>
          <w:lang w:val="fr-FR"/>
        </w:rPr>
        <w:t>000</w:t>
      </w:r>
      <w:r w:rsidR="00CC3BD4" w:rsidRPr="0010404B">
        <w:rPr>
          <w:b/>
          <w:lang w:val="fr-FR"/>
        </w:rPr>
        <w:t xml:space="preserve"> $US</w:t>
      </w:r>
      <w:r w:rsidRPr="0010404B">
        <w:rPr>
          <w:b/>
          <w:lang w:val="fr-FR"/>
        </w:rPr>
        <w:t>)*</w:t>
      </w:r>
      <w:r w:rsidR="00DE7C12" w:rsidRPr="0010404B">
        <w:rPr>
          <w:b/>
          <w:lang w:val="fr-FR"/>
        </w:rPr>
        <w:t xml:space="preserve"> </w:t>
      </w:r>
    </w:p>
    <w:tbl>
      <w:tblPr>
        <w:tblW w:w="9498" w:type="dxa"/>
        <w:tblInd w:w="-5" w:type="dxa"/>
        <w:tblLook w:val="04A0" w:firstRow="1" w:lastRow="0" w:firstColumn="1" w:lastColumn="0" w:noHBand="0" w:noVBand="1"/>
      </w:tblPr>
      <w:tblGrid>
        <w:gridCol w:w="3402"/>
        <w:gridCol w:w="1134"/>
        <w:gridCol w:w="1134"/>
        <w:gridCol w:w="1134"/>
        <w:gridCol w:w="1417"/>
        <w:gridCol w:w="1277"/>
      </w:tblGrid>
      <w:tr w:rsidR="00DE7C12" w:rsidRPr="0010404B" w14:paraId="356B0F7E" w14:textId="77777777" w:rsidTr="00DE7C12">
        <w:trPr>
          <w:trHeight w:val="264"/>
          <w:tblHeader/>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4CEF752" w14:textId="6E88209E" w:rsidR="00DE7C12" w:rsidRPr="0010404B" w:rsidRDefault="005E727B" w:rsidP="00DE7C12">
            <w:pPr>
              <w:jc w:val="left"/>
              <w:rPr>
                <w:b/>
                <w:bCs/>
                <w:sz w:val="20"/>
                <w:szCs w:val="20"/>
                <w:lang w:val="fr-FR" w:eastAsia="en-CA"/>
              </w:rPr>
            </w:pPr>
            <w:r>
              <w:rPr>
                <w:b/>
                <w:bCs/>
                <w:sz w:val="20"/>
                <w:szCs w:val="20"/>
                <w:lang w:val="fr-FR" w:eastAsia="en-CA"/>
              </w:rPr>
              <w:t>Poste</w:t>
            </w:r>
          </w:p>
        </w:tc>
        <w:tc>
          <w:tcPr>
            <w:tcW w:w="1134" w:type="dxa"/>
            <w:tcBorders>
              <w:top w:val="single" w:sz="4" w:space="0" w:color="auto"/>
              <w:left w:val="nil"/>
              <w:bottom w:val="single" w:sz="4" w:space="0" w:color="auto"/>
              <w:right w:val="single" w:sz="4" w:space="0" w:color="auto"/>
            </w:tcBorders>
            <w:shd w:val="clear" w:color="auto" w:fill="auto"/>
            <w:noWrap/>
            <w:hideMark/>
          </w:tcPr>
          <w:p w14:paraId="22F2DD5B" w14:textId="77777777" w:rsidR="00DE7C12" w:rsidRPr="0010404B" w:rsidRDefault="00DE7C12" w:rsidP="00DE7C12">
            <w:pPr>
              <w:jc w:val="center"/>
              <w:rPr>
                <w:b/>
                <w:bCs/>
                <w:sz w:val="20"/>
                <w:szCs w:val="20"/>
                <w:lang w:val="fr-FR" w:eastAsia="en-CA"/>
              </w:rPr>
            </w:pPr>
            <w:r w:rsidRPr="0010404B">
              <w:rPr>
                <w:b/>
                <w:bCs/>
                <w:sz w:val="20"/>
                <w:szCs w:val="20"/>
                <w:lang w:val="fr-FR" w:eastAsia="en-CA"/>
              </w:rPr>
              <w:t>2020</w:t>
            </w:r>
          </w:p>
        </w:tc>
        <w:tc>
          <w:tcPr>
            <w:tcW w:w="1134" w:type="dxa"/>
            <w:tcBorders>
              <w:top w:val="single" w:sz="4" w:space="0" w:color="auto"/>
              <w:left w:val="nil"/>
              <w:bottom w:val="single" w:sz="4" w:space="0" w:color="auto"/>
              <w:right w:val="single" w:sz="4" w:space="0" w:color="auto"/>
            </w:tcBorders>
            <w:shd w:val="clear" w:color="auto" w:fill="auto"/>
            <w:noWrap/>
            <w:hideMark/>
          </w:tcPr>
          <w:p w14:paraId="5A22BA5B" w14:textId="77777777" w:rsidR="00DE7C12" w:rsidRPr="0010404B" w:rsidRDefault="00DE7C12" w:rsidP="00DE7C12">
            <w:pPr>
              <w:jc w:val="center"/>
              <w:rPr>
                <w:b/>
                <w:bCs/>
                <w:sz w:val="20"/>
                <w:szCs w:val="20"/>
                <w:lang w:val="fr-FR" w:eastAsia="en-CA"/>
              </w:rPr>
            </w:pPr>
            <w:r w:rsidRPr="0010404B">
              <w:rPr>
                <w:b/>
                <w:bCs/>
                <w:sz w:val="20"/>
                <w:szCs w:val="20"/>
                <w:lang w:val="fr-FR" w:eastAsia="en-CA"/>
              </w:rPr>
              <w:t>2021</w:t>
            </w:r>
          </w:p>
        </w:tc>
        <w:tc>
          <w:tcPr>
            <w:tcW w:w="1134" w:type="dxa"/>
            <w:tcBorders>
              <w:top w:val="single" w:sz="4" w:space="0" w:color="auto"/>
              <w:left w:val="nil"/>
              <w:bottom w:val="single" w:sz="4" w:space="0" w:color="auto"/>
              <w:right w:val="single" w:sz="4" w:space="0" w:color="auto"/>
            </w:tcBorders>
            <w:shd w:val="clear" w:color="auto" w:fill="auto"/>
            <w:noWrap/>
            <w:hideMark/>
          </w:tcPr>
          <w:p w14:paraId="01542E26" w14:textId="77777777" w:rsidR="00DE7C12" w:rsidRPr="0010404B" w:rsidRDefault="00DE7C12" w:rsidP="00DE7C12">
            <w:pPr>
              <w:jc w:val="center"/>
              <w:rPr>
                <w:b/>
                <w:bCs/>
                <w:sz w:val="20"/>
                <w:szCs w:val="20"/>
                <w:lang w:val="fr-FR" w:eastAsia="en-CA"/>
              </w:rPr>
            </w:pPr>
            <w:r w:rsidRPr="0010404B">
              <w:rPr>
                <w:b/>
                <w:bCs/>
                <w:sz w:val="20"/>
                <w:szCs w:val="20"/>
                <w:lang w:val="fr-FR" w:eastAsia="en-CA"/>
              </w:rPr>
              <w:t>2022</w:t>
            </w:r>
          </w:p>
        </w:tc>
        <w:tc>
          <w:tcPr>
            <w:tcW w:w="1417" w:type="dxa"/>
            <w:tcBorders>
              <w:top w:val="single" w:sz="4" w:space="0" w:color="auto"/>
              <w:left w:val="nil"/>
              <w:bottom w:val="single" w:sz="4" w:space="0" w:color="auto"/>
              <w:right w:val="single" w:sz="4" w:space="0" w:color="auto"/>
            </w:tcBorders>
            <w:shd w:val="clear" w:color="auto" w:fill="auto"/>
            <w:noWrap/>
            <w:hideMark/>
          </w:tcPr>
          <w:p w14:paraId="157B094D" w14:textId="77777777" w:rsidR="00DE7C12" w:rsidRPr="0010404B" w:rsidRDefault="00DE7C12" w:rsidP="00DE7C12">
            <w:pPr>
              <w:jc w:val="center"/>
              <w:rPr>
                <w:b/>
                <w:bCs/>
                <w:sz w:val="20"/>
                <w:szCs w:val="20"/>
                <w:lang w:val="fr-FR" w:eastAsia="en-CA"/>
              </w:rPr>
            </w:pPr>
            <w:r w:rsidRPr="0010404B">
              <w:rPr>
                <w:b/>
                <w:bCs/>
                <w:sz w:val="20"/>
                <w:szCs w:val="20"/>
                <w:lang w:val="fr-FR" w:eastAsia="en-CA"/>
              </w:rPr>
              <w:t xml:space="preserve">Total </w:t>
            </w:r>
          </w:p>
          <w:p w14:paraId="2C2089DE" w14:textId="77777777" w:rsidR="00DE7C12" w:rsidRPr="0010404B" w:rsidRDefault="00DE7C12" w:rsidP="00DE7C12">
            <w:pPr>
              <w:jc w:val="center"/>
              <w:rPr>
                <w:b/>
                <w:bCs/>
                <w:sz w:val="20"/>
                <w:szCs w:val="20"/>
                <w:lang w:val="fr-FR" w:eastAsia="en-CA"/>
              </w:rPr>
            </w:pPr>
            <w:r w:rsidRPr="0010404B">
              <w:rPr>
                <w:b/>
                <w:bCs/>
                <w:sz w:val="20"/>
                <w:szCs w:val="20"/>
                <w:lang w:val="fr-FR" w:eastAsia="en-CA"/>
              </w:rPr>
              <w:t>(2020–2022)</w:t>
            </w:r>
          </w:p>
        </w:tc>
        <w:tc>
          <w:tcPr>
            <w:tcW w:w="1277" w:type="dxa"/>
            <w:tcBorders>
              <w:top w:val="single" w:sz="4" w:space="0" w:color="auto"/>
              <w:left w:val="nil"/>
              <w:bottom w:val="single" w:sz="4" w:space="0" w:color="auto"/>
              <w:right w:val="single" w:sz="4" w:space="0" w:color="auto"/>
            </w:tcBorders>
            <w:shd w:val="clear" w:color="auto" w:fill="auto"/>
            <w:noWrap/>
            <w:hideMark/>
          </w:tcPr>
          <w:p w14:paraId="7755E625" w14:textId="66182DF8" w:rsidR="00DE7C12" w:rsidRPr="0010404B" w:rsidRDefault="00DE7C12" w:rsidP="00DE7C12">
            <w:pPr>
              <w:jc w:val="center"/>
              <w:rPr>
                <w:b/>
                <w:bCs/>
                <w:sz w:val="20"/>
                <w:szCs w:val="20"/>
                <w:lang w:val="fr-FR" w:eastAsia="en-CA"/>
              </w:rPr>
            </w:pPr>
            <w:r w:rsidRPr="0010404B">
              <w:rPr>
                <w:b/>
                <w:bCs/>
                <w:sz w:val="20"/>
                <w:szCs w:val="20"/>
                <w:lang w:val="fr-FR" w:eastAsia="en-CA"/>
              </w:rPr>
              <w:t>Total après 2022</w:t>
            </w:r>
          </w:p>
        </w:tc>
      </w:tr>
      <w:tr w:rsidR="00DE7C12" w:rsidRPr="0010404B" w14:paraId="55B1E42D" w14:textId="77777777" w:rsidTr="00DE7C12">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73E222C" w14:textId="3CABD22D" w:rsidR="00DE7C12" w:rsidRPr="0010404B" w:rsidRDefault="00DE7C12" w:rsidP="00DE7C12">
            <w:pPr>
              <w:jc w:val="left"/>
              <w:rPr>
                <w:b/>
                <w:bCs/>
                <w:sz w:val="20"/>
                <w:szCs w:val="20"/>
                <w:lang w:val="fr-FR" w:eastAsia="en-CA"/>
              </w:rPr>
            </w:pPr>
            <w:r w:rsidRPr="0010404B">
              <w:rPr>
                <w:b/>
                <w:bCs/>
                <w:sz w:val="20"/>
                <w:szCs w:val="20"/>
                <w:lang w:val="fr-FR" w:eastAsia="en-CA"/>
              </w:rPr>
              <w:t xml:space="preserve">Activités </w:t>
            </w:r>
            <w:r w:rsidR="005E727B">
              <w:rPr>
                <w:b/>
                <w:bCs/>
                <w:sz w:val="20"/>
                <w:szCs w:val="20"/>
                <w:lang w:val="fr-FR" w:eastAsia="en-CA"/>
              </w:rPr>
              <w:t>re</w:t>
            </w:r>
            <w:r w:rsidRPr="0010404B">
              <w:rPr>
                <w:b/>
                <w:bCs/>
                <w:sz w:val="20"/>
                <w:szCs w:val="20"/>
                <w:lang w:val="fr-FR" w:eastAsia="en-CA"/>
              </w:rPr>
              <w:t xml:space="preserve">liées aux HCFC </w:t>
            </w:r>
          </w:p>
        </w:tc>
      </w:tr>
      <w:tr w:rsidR="00DE7C12" w:rsidRPr="0010404B" w14:paraId="3ED28AB9"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48B654C" w14:textId="22A923F1" w:rsidR="00DE7C12" w:rsidRPr="0010404B" w:rsidRDefault="00DE7C12" w:rsidP="00DE7C12">
            <w:pPr>
              <w:jc w:val="left"/>
              <w:rPr>
                <w:sz w:val="20"/>
                <w:szCs w:val="20"/>
                <w:lang w:val="fr-FR" w:eastAsia="en-CA"/>
              </w:rPr>
            </w:pPr>
            <w:r w:rsidRPr="0010404B">
              <w:rPr>
                <w:sz w:val="20"/>
                <w:szCs w:val="20"/>
                <w:lang w:val="fr-FR" w:eastAsia="en-CA"/>
              </w:rPr>
              <w:t>PGEH approuvés</w:t>
            </w:r>
          </w:p>
        </w:tc>
        <w:tc>
          <w:tcPr>
            <w:tcW w:w="1134" w:type="dxa"/>
            <w:tcBorders>
              <w:top w:val="nil"/>
              <w:left w:val="nil"/>
              <w:bottom w:val="single" w:sz="4" w:space="0" w:color="auto"/>
              <w:right w:val="single" w:sz="4" w:space="0" w:color="auto"/>
            </w:tcBorders>
            <w:shd w:val="clear" w:color="auto" w:fill="auto"/>
            <w:noWrap/>
            <w:hideMark/>
          </w:tcPr>
          <w:p w14:paraId="12B9CB03" w14:textId="6E143EF8" w:rsidR="00DE7C12" w:rsidRPr="0010404B" w:rsidRDefault="00DE7C12" w:rsidP="00DE7C12">
            <w:pPr>
              <w:jc w:val="right"/>
              <w:rPr>
                <w:sz w:val="20"/>
                <w:szCs w:val="20"/>
                <w:lang w:val="fr-FR" w:eastAsia="en-CA"/>
              </w:rPr>
            </w:pPr>
            <w:r w:rsidRPr="0010404B">
              <w:rPr>
                <w:sz w:val="20"/>
                <w:szCs w:val="20"/>
                <w:lang w:val="fr-FR" w:eastAsia="en-CA"/>
              </w:rPr>
              <w:t>143 426</w:t>
            </w:r>
          </w:p>
        </w:tc>
        <w:tc>
          <w:tcPr>
            <w:tcW w:w="1134" w:type="dxa"/>
            <w:tcBorders>
              <w:top w:val="nil"/>
              <w:left w:val="nil"/>
              <w:bottom w:val="single" w:sz="4" w:space="0" w:color="auto"/>
              <w:right w:val="single" w:sz="4" w:space="0" w:color="auto"/>
            </w:tcBorders>
            <w:shd w:val="clear" w:color="auto" w:fill="auto"/>
            <w:noWrap/>
            <w:hideMark/>
          </w:tcPr>
          <w:p w14:paraId="7CADE09E" w14:textId="100FE72C" w:rsidR="00DE7C12" w:rsidRPr="0010404B" w:rsidRDefault="00DE7C12" w:rsidP="00DE7C12">
            <w:pPr>
              <w:jc w:val="right"/>
              <w:rPr>
                <w:sz w:val="20"/>
                <w:szCs w:val="20"/>
                <w:lang w:val="fr-FR" w:eastAsia="en-CA"/>
              </w:rPr>
            </w:pPr>
            <w:r w:rsidRPr="0010404B">
              <w:rPr>
                <w:sz w:val="20"/>
                <w:szCs w:val="20"/>
                <w:lang w:val="fr-FR" w:eastAsia="en-CA"/>
              </w:rPr>
              <w:t>98 388</w:t>
            </w:r>
          </w:p>
        </w:tc>
        <w:tc>
          <w:tcPr>
            <w:tcW w:w="1134" w:type="dxa"/>
            <w:tcBorders>
              <w:top w:val="nil"/>
              <w:left w:val="nil"/>
              <w:bottom w:val="single" w:sz="4" w:space="0" w:color="auto"/>
              <w:right w:val="single" w:sz="4" w:space="0" w:color="auto"/>
            </w:tcBorders>
            <w:shd w:val="clear" w:color="auto" w:fill="auto"/>
            <w:noWrap/>
            <w:hideMark/>
          </w:tcPr>
          <w:p w14:paraId="358F05E2" w14:textId="7F6A1422" w:rsidR="00DE7C12" w:rsidRPr="0010404B" w:rsidRDefault="00DE7C12" w:rsidP="00DE7C12">
            <w:pPr>
              <w:jc w:val="right"/>
              <w:rPr>
                <w:sz w:val="20"/>
                <w:szCs w:val="20"/>
                <w:lang w:val="fr-FR" w:eastAsia="en-CA"/>
              </w:rPr>
            </w:pPr>
            <w:r w:rsidRPr="0010404B">
              <w:rPr>
                <w:sz w:val="20"/>
                <w:szCs w:val="20"/>
                <w:lang w:val="fr-FR" w:eastAsia="en-CA"/>
              </w:rPr>
              <w:t>79 459</w:t>
            </w:r>
          </w:p>
        </w:tc>
        <w:tc>
          <w:tcPr>
            <w:tcW w:w="1417" w:type="dxa"/>
            <w:tcBorders>
              <w:top w:val="nil"/>
              <w:left w:val="nil"/>
              <w:bottom w:val="single" w:sz="4" w:space="0" w:color="auto"/>
              <w:right w:val="single" w:sz="4" w:space="0" w:color="auto"/>
            </w:tcBorders>
            <w:shd w:val="clear" w:color="auto" w:fill="auto"/>
            <w:noWrap/>
            <w:hideMark/>
          </w:tcPr>
          <w:p w14:paraId="4AE18BF0" w14:textId="66E82A31" w:rsidR="00DE7C12" w:rsidRPr="0010404B" w:rsidRDefault="00DE7C12" w:rsidP="00DE7C12">
            <w:pPr>
              <w:jc w:val="right"/>
              <w:rPr>
                <w:sz w:val="20"/>
                <w:szCs w:val="20"/>
                <w:lang w:val="fr-FR" w:eastAsia="en-CA"/>
              </w:rPr>
            </w:pPr>
            <w:r w:rsidRPr="0010404B">
              <w:rPr>
                <w:sz w:val="20"/>
                <w:szCs w:val="20"/>
                <w:lang w:val="fr-FR" w:eastAsia="en-CA"/>
              </w:rPr>
              <w:t>321 273</w:t>
            </w:r>
          </w:p>
        </w:tc>
        <w:tc>
          <w:tcPr>
            <w:tcW w:w="1277" w:type="dxa"/>
            <w:tcBorders>
              <w:top w:val="nil"/>
              <w:left w:val="nil"/>
              <w:bottom w:val="single" w:sz="4" w:space="0" w:color="auto"/>
              <w:right w:val="single" w:sz="4" w:space="0" w:color="auto"/>
            </w:tcBorders>
            <w:shd w:val="clear" w:color="auto" w:fill="auto"/>
            <w:noWrap/>
            <w:hideMark/>
          </w:tcPr>
          <w:p w14:paraId="49C2520D" w14:textId="7BEC36A6" w:rsidR="00DE7C12" w:rsidRPr="0010404B" w:rsidRDefault="00DE7C12" w:rsidP="00DE7C12">
            <w:pPr>
              <w:jc w:val="right"/>
              <w:rPr>
                <w:sz w:val="20"/>
                <w:szCs w:val="20"/>
                <w:lang w:val="fr-FR" w:eastAsia="en-CA"/>
              </w:rPr>
            </w:pPr>
            <w:r w:rsidRPr="0010404B">
              <w:rPr>
                <w:sz w:val="20"/>
                <w:szCs w:val="20"/>
                <w:lang w:val="fr-FR" w:eastAsia="en-CA"/>
              </w:rPr>
              <w:t>163 026</w:t>
            </w:r>
          </w:p>
        </w:tc>
      </w:tr>
      <w:tr w:rsidR="00DE7C12" w:rsidRPr="0010404B" w14:paraId="02003D5F"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E20B86B" w14:textId="6F0DEA51" w:rsidR="00DE7C12" w:rsidRPr="0010404B" w:rsidRDefault="00DE7C12" w:rsidP="00DE7C12">
            <w:pPr>
              <w:jc w:val="left"/>
              <w:rPr>
                <w:sz w:val="20"/>
                <w:szCs w:val="20"/>
                <w:lang w:val="fr-FR" w:eastAsia="en-CA"/>
              </w:rPr>
            </w:pPr>
            <w:r w:rsidRPr="0010404B">
              <w:rPr>
                <w:sz w:val="20"/>
                <w:szCs w:val="20"/>
                <w:lang w:val="fr-FR" w:eastAsia="en-CA"/>
              </w:rPr>
              <w:t>PRP</w:t>
            </w:r>
            <w:r w:rsidR="00172A63">
              <w:rPr>
                <w:sz w:val="20"/>
                <w:szCs w:val="20"/>
                <w:lang w:val="fr-FR" w:eastAsia="en-CA"/>
              </w:rPr>
              <w:t xml:space="preserve"> de production de HCFC</w:t>
            </w:r>
            <w:r w:rsidRPr="0010404B">
              <w:rPr>
                <w:sz w:val="20"/>
                <w:szCs w:val="20"/>
                <w:lang w:val="fr-FR" w:eastAsia="en-CA"/>
              </w:rPr>
              <w:t xml:space="preserve"> – phase I</w:t>
            </w:r>
          </w:p>
        </w:tc>
        <w:tc>
          <w:tcPr>
            <w:tcW w:w="1134" w:type="dxa"/>
            <w:tcBorders>
              <w:top w:val="nil"/>
              <w:left w:val="nil"/>
              <w:bottom w:val="single" w:sz="4" w:space="0" w:color="auto"/>
              <w:right w:val="single" w:sz="4" w:space="0" w:color="auto"/>
            </w:tcBorders>
            <w:shd w:val="clear" w:color="auto" w:fill="auto"/>
            <w:noWrap/>
            <w:hideMark/>
          </w:tcPr>
          <w:p w14:paraId="384FB936"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65812C60"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27903DF6"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63A5CD19"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277" w:type="dxa"/>
            <w:tcBorders>
              <w:top w:val="nil"/>
              <w:left w:val="nil"/>
              <w:bottom w:val="single" w:sz="4" w:space="0" w:color="auto"/>
              <w:right w:val="single" w:sz="4" w:space="0" w:color="auto"/>
            </w:tcBorders>
            <w:shd w:val="clear" w:color="auto" w:fill="auto"/>
            <w:noWrap/>
            <w:hideMark/>
          </w:tcPr>
          <w:p w14:paraId="6ABA23E7"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2534DF9C"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E3F20EE" w14:textId="43536D41" w:rsidR="00DE7C12" w:rsidRPr="0010404B" w:rsidRDefault="00DE7C12" w:rsidP="00DE7C12">
            <w:pPr>
              <w:jc w:val="left"/>
              <w:rPr>
                <w:sz w:val="20"/>
                <w:szCs w:val="20"/>
                <w:lang w:val="fr-FR" w:eastAsia="en-CA"/>
              </w:rPr>
            </w:pPr>
            <w:r w:rsidRPr="0010404B">
              <w:rPr>
                <w:sz w:val="20"/>
                <w:szCs w:val="20"/>
                <w:lang w:val="fr-FR" w:eastAsia="en-CA"/>
              </w:rPr>
              <w:lastRenderedPageBreak/>
              <w:t>Production de HCFC  – phase I</w:t>
            </w:r>
          </w:p>
        </w:tc>
        <w:tc>
          <w:tcPr>
            <w:tcW w:w="1134" w:type="dxa"/>
            <w:tcBorders>
              <w:top w:val="nil"/>
              <w:left w:val="nil"/>
              <w:bottom w:val="single" w:sz="4" w:space="0" w:color="auto"/>
              <w:right w:val="single" w:sz="4" w:space="0" w:color="auto"/>
            </w:tcBorders>
            <w:shd w:val="clear" w:color="auto" w:fill="auto"/>
            <w:noWrap/>
            <w:hideMark/>
          </w:tcPr>
          <w:p w14:paraId="36DF25E0" w14:textId="77777777" w:rsidR="00DE7C12" w:rsidRPr="0010404B" w:rsidRDefault="00DE7C12" w:rsidP="00DE7C12">
            <w:pPr>
              <w:jc w:val="right"/>
              <w:rPr>
                <w:sz w:val="20"/>
                <w:szCs w:val="20"/>
                <w:lang w:val="fr-FR" w:eastAsia="en-CA"/>
              </w:rPr>
            </w:pPr>
            <w:r w:rsidRPr="0010404B">
              <w:rPr>
                <w:sz w:val="20"/>
                <w:szCs w:val="20"/>
                <w:lang w:val="fr-FR" w:eastAsia="en-CA"/>
              </w:rPr>
              <w:t>0 </w:t>
            </w:r>
          </w:p>
        </w:tc>
        <w:tc>
          <w:tcPr>
            <w:tcW w:w="1134" w:type="dxa"/>
            <w:tcBorders>
              <w:top w:val="nil"/>
              <w:left w:val="nil"/>
              <w:bottom w:val="single" w:sz="4" w:space="0" w:color="auto"/>
              <w:right w:val="single" w:sz="4" w:space="0" w:color="auto"/>
            </w:tcBorders>
            <w:shd w:val="clear" w:color="auto" w:fill="auto"/>
            <w:noWrap/>
            <w:hideMark/>
          </w:tcPr>
          <w:p w14:paraId="29BCE3EF"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4E810E55"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480FA9CC"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277" w:type="dxa"/>
            <w:tcBorders>
              <w:top w:val="nil"/>
              <w:left w:val="nil"/>
              <w:bottom w:val="single" w:sz="4" w:space="0" w:color="auto"/>
              <w:right w:val="single" w:sz="4" w:space="0" w:color="auto"/>
            </w:tcBorders>
            <w:shd w:val="clear" w:color="auto" w:fill="auto"/>
            <w:noWrap/>
            <w:hideMark/>
          </w:tcPr>
          <w:p w14:paraId="1BF1C590"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270B1442"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8732348" w14:textId="089C3538" w:rsidR="00DE7C12" w:rsidRPr="0010404B" w:rsidRDefault="00DE7C12" w:rsidP="00DE7C12">
            <w:pPr>
              <w:jc w:val="left"/>
              <w:rPr>
                <w:sz w:val="20"/>
                <w:szCs w:val="20"/>
                <w:lang w:val="fr-FR" w:eastAsia="en-CA"/>
              </w:rPr>
            </w:pPr>
            <w:r w:rsidRPr="0010404B">
              <w:rPr>
                <w:sz w:val="20"/>
                <w:szCs w:val="20"/>
                <w:lang w:val="fr-FR" w:eastAsia="en-CA"/>
              </w:rPr>
              <w:t>Production de HCFC  – phase II</w:t>
            </w:r>
          </w:p>
        </w:tc>
        <w:tc>
          <w:tcPr>
            <w:tcW w:w="1134" w:type="dxa"/>
            <w:tcBorders>
              <w:top w:val="nil"/>
              <w:left w:val="nil"/>
              <w:bottom w:val="single" w:sz="4" w:space="0" w:color="auto"/>
              <w:right w:val="single" w:sz="4" w:space="0" w:color="auto"/>
            </w:tcBorders>
            <w:shd w:val="clear" w:color="auto" w:fill="auto"/>
            <w:noWrap/>
            <w:hideMark/>
          </w:tcPr>
          <w:p w14:paraId="741D8986" w14:textId="36732607" w:rsidR="00DE7C12" w:rsidRPr="0010404B" w:rsidRDefault="00DE7C12" w:rsidP="00DE7C12">
            <w:pPr>
              <w:jc w:val="right"/>
              <w:rPr>
                <w:sz w:val="20"/>
                <w:szCs w:val="20"/>
                <w:lang w:val="fr-FR" w:eastAsia="en-CA"/>
              </w:rPr>
            </w:pPr>
            <w:r w:rsidRPr="0010404B">
              <w:rPr>
                <w:sz w:val="20"/>
                <w:szCs w:val="20"/>
                <w:lang w:val="fr-FR" w:eastAsia="en-CA"/>
              </w:rPr>
              <w:t>23 496</w:t>
            </w:r>
          </w:p>
        </w:tc>
        <w:tc>
          <w:tcPr>
            <w:tcW w:w="1134" w:type="dxa"/>
            <w:tcBorders>
              <w:top w:val="nil"/>
              <w:left w:val="nil"/>
              <w:bottom w:val="single" w:sz="4" w:space="0" w:color="auto"/>
              <w:right w:val="single" w:sz="4" w:space="0" w:color="auto"/>
            </w:tcBorders>
            <w:shd w:val="clear" w:color="auto" w:fill="auto"/>
            <w:noWrap/>
            <w:hideMark/>
          </w:tcPr>
          <w:p w14:paraId="2C31CA00" w14:textId="309F11FC" w:rsidR="00DE7C12" w:rsidRPr="0010404B" w:rsidRDefault="00DE7C12" w:rsidP="00DE7C12">
            <w:pPr>
              <w:jc w:val="right"/>
              <w:rPr>
                <w:sz w:val="20"/>
                <w:szCs w:val="20"/>
                <w:lang w:val="fr-FR" w:eastAsia="en-CA"/>
              </w:rPr>
            </w:pPr>
            <w:r w:rsidRPr="0010404B">
              <w:rPr>
                <w:sz w:val="20"/>
                <w:szCs w:val="20"/>
                <w:lang w:val="fr-FR" w:eastAsia="en-CA"/>
              </w:rPr>
              <w:t>23 496</w:t>
            </w:r>
          </w:p>
        </w:tc>
        <w:tc>
          <w:tcPr>
            <w:tcW w:w="1134" w:type="dxa"/>
            <w:tcBorders>
              <w:top w:val="nil"/>
              <w:left w:val="nil"/>
              <w:bottom w:val="single" w:sz="4" w:space="0" w:color="auto"/>
              <w:right w:val="single" w:sz="4" w:space="0" w:color="auto"/>
            </w:tcBorders>
            <w:shd w:val="clear" w:color="auto" w:fill="auto"/>
            <w:noWrap/>
            <w:hideMark/>
          </w:tcPr>
          <w:p w14:paraId="0D1F2045" w14:textId="71976FC9" w:rsidR="00DE7C12" w:rsidRPr="0010404B" w:rsidRDefault="00DE7C12" w:rsidP="00DE7C12">
            <w:pPr>
              <w:jc w:val="right"/>
              <w:rPr>
                <w:sz w:val="20"/>
                <w:szCs w:val="20"/>
                <w:lang w:val="fr-FR" w:eastAsia="en-CA"/>
              </w:rPr>
            </w:pPr>
            <w:r w:rsidRPr="0010404B">
              <w:rPr>
                <w:sz w:val="20"/>
                <w:szCs w:val="20"/>
                <w:lang w:val="fr-FR" w:eastAsia="en-CA"/>
              </w:rPr>
              <w:t>23 496</w:t>
            </w:r>
          </w:p>
        </w:tc>
        <w:tc>
          <w:tcPr>
            <w:tcW w:w="1417" w:type="dxa"/>
            <w:tcBorders>
              <w:top w:val="nil"/>
              <w:left w:val="nil"/>
              <w:bottom w:val="single" w:sz="4" w:space="0" w:color="auto"/>
              <w:right w:val="single" w:sz="4" w:space="0" w:color="auto"/>
            </w:tcBorders>
            <w:shd w:val="clear" w:color="auto" w:fill="auto"/>
            <w:noWrap/>
            <w:hideMark/>
          </w:tcPr>
          <w:p w14:paraId="7E25A85E" w14:textId="5C972FDD" w:rsidR="00DE7C12" w:rsidRPr="0010404B" w:rsidRDefault="00DE7C12" w:rsidP="00DE7C12">
            <w:pPr>
              <w:jc w:val="right"/>
              <w:rPr>
                <w:sz w:val="20"/>
                <w:szCs w:val="20"/>
                <w:lang w:val="fr-FR" w:eastAsia="en-CA"/>
              </w:rPr>
            </w:pPr>
            <w:r w:rsidRPr="0010404B">
              <w:rPr>
                <w:sz w:val="20"/>
                <w:szCs w:val="20"/>
                <w:lang w:val="fr-FR" w:eastAsia="en-CA"/>
              </w:rPr>
              <w:t>70 488</w:t>
            </w:r>
          </w:p>
        </w:tc>
        <w:tc>
          <w:tcPr>
            <w:tcW w:w="1277" w:type="dxa"/>
            <w:tcBorders>
              <w:top w:val="nil"/>
              <w:left w:val="nil"/>
              <w:bottom w:val="single" w:sz="4" w:space="0" w:color="auto"/>
              <w:right w:val="single" w:sz="4" w:space="0" w:color="auto"/>
            </w:tcBorders>
            <w:shd w:val="clear" w:color="auto" w:fill="auto"/>
            <w:noWrap/>
            <w:hideMark/>
          </w:tcPr>
          <w:p w14:paraId="05B90BEC" w14:textId="3F00664E" w:rsidR="00DE7C12" w:rsidRPr="0010404B" w:rsidRDefault="00DE7C12" w:rsidP="00DE7C12">
            <w:pPr>
              <w:jc w:val="right"/>
              <w:rPr>
                <w:sz w:val="20"/>
                <w:szCs w:val="20"/>
                <w:lang w:val="fr-FR" w:eastAsia="en-CA"/>
              </w:rPr>
            </w:pPr>
            <w:r w:rsidRPr="0010404B">
              <w:rPr>
                <w:sz w:val="20"/>
                <w:szCs w:val="20"/>
                <w:lang w:val="fr-FR" w:eastAsia="en-CA"/>
              </w:rPr>
              <w:t>187 968</w:t>
            </w:r>
          </w:p>
        </w:tc>
      </w:tr>
      <w:tr w:rsidR="00DE7C12" w:rsidRPr="0010404B" w14:paraId="14C87D0E"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6F14F24E" w14:textId="19B94042" w:rsidR="00DE7C12" w:rsidRPr="0010404B" w:rsidRDefault="00DE7C12" w:rsidP="00DE7C12">
            <w:pPr>
              <w:jc w:val="left"/>
              <w:rPr>
                <w:sz w:val="20"/>
                <w:szCs w:val="20"/>
                <w:lang w:val="fr-FR" w:eastAsia="en-CA"/>
              </w:rPr>
            </w:pPr>
            <w:r w:rsidRPr="0010404B">
              <w:rPr>
                <w:sz w:val="20"/>
                <w:szCs w:val="20"/>
                <w:lang w:val="fr-FR" w:eastAsia="en-CA"/>
              </w:rPr>
              <w:t>PGEH  phase I</w:t>
            </w:r>
          </w:p>
        </w:tc>
        <w:tc>
          <w:tcPr>
            <w:tcW w:w="1134" w:type="dxa"/>
            <w:tcBorders>
              <w:top w:val="nil"/>
              <w:left w:val="nil"/>
              <w:bottom w:val="single" w:sz="4" w:space="0" w:color="auto"/>
              <w:right w:val="single" w:sz="4" w:space="0" w:color="auto"/>
            </w:tcBorders>
            <w:shd w:val="clear" w:color="auto" w:fill="auto"/>
            <w:noWrap/>
            <w:hideMark/>
          </w:tcPr>
          <w:p w14:paraId="11A07B5F" w14:textId="77777777" w:rsidR="00DE7C12" w:rsidRPr="0010404B" w:rsidRDefault="00DE7C12" w:rsidP="00DE7C12">
            <w:pPr>
              <w:jc w:val="right"/>
              <w:rPr>
                <w:sz w:val="20"/>
                <w:szCs w:val="20"/>
                <w:lang w:val="fr-FR" w:eastAsia="en-CA"/>
              </w:rPr>
            </w:pPr>
            <w:r w:rsidRPr="0010404B">
              <w:rPr>
                <w:sz w:val="20"/>
                <w:szCs w:val="20"/>
                <w:lang w:val="fr-FR" w:eastAsia="en-CA"/>
              </w:rPr>
              <w:t>346</w:t>
            </w:r>
          </w:p>
        </w:tc>
        <w:tc>
          <w:tcPr>
            <w:tcW w:w="1134" w:type="dxa"/>
            <w:tcBorders>
              <w:top w:val="nil"/>
              <w:left w:val="nil"/>
              <w:bottom w:val="single" w:sz="4" w:space="0" w:color="auto"/>
              <w:right w:val="single" w:sz="4" w:space="0" w:color="auto"/>
            </w:tcBorders>
            <w:shd w:val="clear" w:color="auto" w:fill="auto"/>
            <w:noWrap/>
            <w:hideMark/>
          </w:tcPr>
          <w:p w14:paraId="54A9A7AE"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0B929295" w14:textId="77777777" w:rsidR="00DE7C12" w:rsidRPr="0010404B" w:rsidRDefault="00DE7C12" w:rsidP="00DE7C12">
            <w:pPr>
              <w:jc w:val="right"/>
              <w:rPr>
                <w:sz w:val="20"/>
                <w:szCs w:val="20"/>
                <w:lang w:val="fr-FR" w:eastAsia="en-CA"/>
              </w:rPr>
            </w:pPr>
            <w:r w:rsidRPr="0010404B">
              <w:rPr>
                <w:sz w:val="20"/>
                <w:szCs w:val="20"/>
                <w:lang w:val="fr-FR" w:eastAsia="en-CA"/>
              </w:rPr>
              <w:t>500</w:t>
            </w:r>
          </w:p>
        </w:tc>
        <w:tc>
          <w:tcPr>
            <w:tcW w:w="1417" w:type="dxa"/>
            <w:tcBorders>
              <w:top w:val="nil"/>
              <w:left w:val="nil"/>
              <w:bottom w:val="single" w:sz="4" w:space="0" w:color="auto"/>
              <w:right w:val="single" w:sz="4" w:space="0" w:color="auto"/>
            </w:tcBorders>
            <w:shd w:val="clear" w:color="auto" w:fill="auto"/>
            <w:noWrap/>
            <w:hideMark/>
          </w:tcPr>
          <w:p w14:paraId="110E25D7" w14:textId="77777777" w:rsidR="00DE7C12" w:rsidRPr="0010404B" w:rsidRDefault="00DE7C12" w:rsidP="00DE7C12">
            <w:pPr>
              <w:jc w:val="right"/>
              <w:rPr>
                <w:sz w:val="20"/>
                <w:szCs w:val="20"/>
                <w:lang w:val="fr-FR" w:eastAsia="en-CA"/>
              </w:rPr>
            </w:pPr>
            <w:r w:rsidRPr="0010404B">
              <w:rPr>
                <w:sz w:val="20"/>
                <w:szCs w:val="20"/>
                <w:lang w:val="fr-FR" w:eastAsia="en-CA"/>
              </w:rPr>
              <w:t>846</w:t>
            </w:r>
          </w:p>
        </w:tc>
        <w:tc>
          <w:tcPr>
            <w:tcW w:w="1277" w:type="dxa"/>
            <w:tcBorders>
              <w:top w:val="nil"/>
              <w:left w:val="nil"/>
              <w:bottom w:val="single" w:sz="4" w:space="0" w:color="auto"/>
              <w:right w:val="single" w:sz="4" w:space="0" w:color="auto"/>
            </w:tcBorders>
            <w:shd w:val="clear" w:color="auto" w:fill="auto"/>
            <w:noWrap/>
            <w:hideMark/>
          </w:tcPr>
          <w:p w14:paraId="66CE560F"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272B9DB9"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6A72425F" w14:textId="3ACE72C1" w:rsidR="00DE7C12" w:rsidRPr="0010404B" w:rsidRDefault="00DE7C12" w:rsidP="00DE7C12">
            <w:pPr>
              <w:jc w:val="left"/>
              <w:rPr>
                <w:sz w:val="20"/>
                <w:szCs w:val="20"/>
                <w:lang w:val="fr-FR" w:eastAsia="en-CA"/>
              </w:rPr>
            </w:pPr>
            <w:r w:rsidRPr="0010404B">
              <w:rPr>
                <w:sz w:val="20"/>
                <w:szCs w:val="20"/>
                <w:lang w:val="fr-FR" w:eastAsia="en-CA"/>
              </w:rPr>
              <w:t>P</w:t>
            </w:r>
            <w:r w:rsidR="00172A63">
              <w:rPr>
                <w:sz w:val="20"/>
                <w:szCs w:val="20"/>
                <w:lang w:val="fr-FR" w:eastAsia="en-CA"/>
              </w:rPr>
              <w:t>RP</w:t>
            </w:r>
            <w:r w:rsidRPr="0010404B">
              <w:rPr>
                <w:sz w:val="20"/>
                <w:szCs w:val="20"/>
                <w:lang w:val="fr-FR" w:eastAsia="en-CA"/>
              </w:rPr>
              <w:t xml:space="preserve"> de PGEH</w:t>
            </w:r>
            <w:r w:rsidR="005E727B">
              <w:rPr>
                <w:sz w:val="20"/>
                <w:szCs w:val="20"/>
                <w:lang w:val="fr-FR" w:eastAsia="en-CA"/>
              </w:rPr>
              <w:t xml:space="preserve"> (PRP) </w:t>
            </w:r>
            <w:r w:rsidRPr="0010404B">
              <w:rPr>
                <w:sz w:val="20"/>
                <w:szCs w:val="20"/>
                <w:lang w:val="fr-FR" w:eastAsia="en-CA"/>
              </w:rPr>
              <w:t>– phase II</w:t>
            </w:r>
          </w:p>
        </w:tc>
        <w:tc>
          <w:tcPr>
            <w:tcW w:w="1134" w:type="dxa"/>
            <w:tcBorders>
              <w:top w:val="nil"/>
              <w:left w:val="nil"/>
              <w:bottom w:val="single" w:sz="4" w:space="0" w:color="auto"/>
              <w:right w:val="single" w:sz="4" w:space="0" w:color="auto"/>
            </w:tcBorders>
            <w:shd w:val="clear" w:color="auto" w:fill="auto"/>
            <w:noWrap/>
            <w:hideMark/>
          </w:tcPr>
          <w:p w14:paraId="3C6930DF" w14:textId="77777777" w:rsidR="00DE7C12" w:rsidRPr="0010404B" w:rsidRDefault="00DE7C12" w:rsidP="00DE7C12">
            <w:pPr>
              <w:jc w:val="right"/>
              <w:rPr>
                <w:sz w:val="20"/>
                <w:szCs w:val="20"/>
                <w:lang w:val="fr-FR" w:eastAsia="en-CA"/>
              </w:rPr>
            </w:pPr>
            <w:r w:rsidRPr="0010404B">
              <w:rPr>
                <w:sz w:val="20"/>
                <w:szCs w:val="20"/>
                <w:lang w:val="fr-FR" w:eastAsia="en-CA"/>
              </w:rPr>
              <w:t>412</w:t>
            </w:r>
          </w:p>
        </w:tc>
        <w:tc>
          <w:tcPr>
            <w:tcW w:w="1134" w:type="dxa"/>
            <w:tcBorders>
              <w:top w:val="nil"/>
              <w:left w:val="nil"/>
              <w:bottom w:val="single" w:sz="4" w:space="0" w:color="auto"/>
              <w:right w:val="single" w:sz="4" w:space="0" w:color="auto"/>
            </w:tcBorders>
            <w:shd w:val="clear" w:color="auto" w:fill="auto"/>
            <w:noWrap/>
            <w:hideMark/>
          </w:tcPr>
          <w:p w14:paraId="2A84A63E" w14:textId="77777777" w:rsidR="00DE7C12" w:rsidRPr="0010404B" w:rsidRDefault="00DE7C12" w:rsidP="00DE7C12">
            <w:pPr>
              <w:jc w:val="right"/>
              <w:rPr>
                <w:sz w:val="20"/>
                <w:szCs w:val="20"/>
                <w:lang w:val="fr-FR" w:eastAsia="en-CA"/>
              </w:rPr>
            </w:pPr>
            <w:r w:rsidRPr="0010404B">
              <w:rPr>
                <w:sz w:val="20"/>
                <w:szCs w:val="20"/>
                <w:lang w:val="fr-FR" w:eastAsia="en-CA"/>
              </w:rPr>
              <w:t>360</w:t>
            </w:r>
          </w:p>
        </w:tc>
        <w:tc>
          <w:tcPr>
            <w:tcW w:w="1134" w:type="dxa"/>
            <w:tcBorders>
              <w:top w:val="nil"/>
              <w:left w:val="nil"/>
              <w:bottom w:val="single" w:sz="4" w:space="0" w:color="auto"/>
              <w:right w:val="single" w:sz="4" w:space="0" w:color="auto"/>
            </w:tcBorders>
            <w:shd w:val="clear" w:color="auto" w:fill="auto"/>
            <w:noWrap/>
            <w:hideMark/>
          </w:tcPr>
          <w:p w14:paraId="3DEA5A16"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628ED55B" w14:textId="77777777" w:rsidR="00DE7C12" w:rsidRPr="0010404B" w:rsidRDefault="00DE7C12" w:rsidP="00DE7C12">
            <w:pPr>
              <w:jc w:val="right"/>
              <w:rPr>
                <w:sz w:val="20"/>
                <w:szCs w:val="20"/>
                <w:lang w:val="fr-FR" w:eastAsia="en-CA"/>
              </w:rPr>
            </w:pPr>
            <w:r w:rsidRPr="0010404B">
              <w:rPr>
                <w:sz w:val="20"/>
                <w:szCs w:val="20"/>
                <w:lang w:val="fr-FR" w:eastAsia="en-CA"/>
              </w:rPr>
              <w:t>772</w:t>
            </w:r>
          </w:p>
        </w:tc>
        <w:tc>
          <w:tcPr>
            <w:tcW w:w="1277" w:type="dxa"/>
            <w:tcBorders>
              <w:top w:val="nil"/>
              <w:left w:val="nil"/>
              <w:bottom w:val="single" w:sz="4" w:space="0" w:color="auto"/>
              <w:right w:val="single" w:sz="4" w:space="0" w:color="auto"/>
            </w:tcBorders>
            <w:shd w:val="clear" w:color="auto" w:fill="auto"/>
            <w:noWrap/>
            <w:hideMark/>
          </w:tcPr>
          <w:p w14:paraId="1C9BFC52" w14:textId="77777777" w:rsidR="00DE7C12" w:rsidRPr="0010404B" w:rsidRDefault="00DE7C12" w:rsidP="00DE7C12">
            <w:pPr>
              <w:jc w:val="right"/>
              <w:rPr>
                <w:sz w:val="20"/>
                <w:szCs w:val="20"/>
                <w:lang w:val="fr-FR" w:eastAsia="en-CA"/>
              </w:rPr>
            </w:pPr>
            <w:r w:rsidRPr="0010404B">
              <w:rPr>
                <w:sz w:val="20"/>
                <w:szCs w:val="20"/>
                <w:lang w:val="fr-FR" w:eastAsia="en-CA"/>
              </w:rPr>
              <w:t>34</w:t>
            </w:r>
          </w:p>
        </w:tc>
      </w:tr>
      <w:tr w:rsidR="00DE7C12" w:rsidRPr="0010404B" w14:paraId="1195D3FF"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4F4E8412" w14:textId="67AF58CA" w:rsidR="00DE7C12" w:rsidRPr="0010404B" w:rsidRDefault="00DE7C12" w:rsidP="00DE7C12">
            <w:pPr>
              <w:jc w:val="left"/>
              <w:rPr>
                <w:sz w:val="20"/>
                <w:szCs w:val="20"/>
                <w:lang w:val="fr-FR" w:eastAsia="en-CA"/>
              </w:rPr>
            </w:pPr>
            <w:r w:rsidRPr="0010404B">
              <w:rPr>
                <w:sz w:val="20"/>
                <w:szCs w:val="20"/>
                <w:lang w:val="fr-FR" w:eastAsia="en-CA"/>
              </w:rPr>
              <w:t>PGEH phase II</w:t>
            </w:r>
          </w:p>
        </w:tc>
        <w:tc>
          <w:tcPr>
            <w:tcW w:w="1134" w:type="dxa"/>
            <w:tcBorders>
              <w:top w:val="nil"/>
              <w:left w:val="nil"/>
              <w:bottom w:val="single" w:sz="4" w:space="0" w:color="auto"/>
              <w:right w:val="single" w:sz="4" w:space="0" w:color="auto"/>
            </w:tcBorders>
            <w:shd w:val="clear" w:color="auto" w:fill="auto"/>
            <w:noWrap/>
            <w:hideMark/>
          </w:tcPr>
          <w:p w14:paraId="122D736B" w14:textId="1B8C733E" w:rsidR="00DE7C12" w:rsidRPr="0010404B" w:rsidRDefault="00DE7C12" w:rsidP="00DE7C12">
            <w:pPr>
              <w:jc w:val="right"/>
              <w:rPr>
                <w:sz w:val="20"/>
                <w:szCs w:val="20"/>
                <w:lang w:val="fr-FR" w:eastAsia="en-CA"/>
              </w:rPr>
            </w:pPr>
            <w:r w:rsidRPr="0010404B">
              <w:rPr>
                <w:sz w:val="20"/>
                <w:szCs w:val="20"/>
                <w:lang w:val="fr-FR" w:eastAsia="en-CA"/>
              </w:rPr>
              <w:t>12 158</w:t>
            </w:r>
          </w:p>
        </w:tc>
        <w:tc>
          <w:tcPr>
            <w:tcW w:w="1134" w:type="dxa"/>
            <w:tcBorders>
              <w:top w:val="nil"/>
              <w:left w:val="nil"/>
              <w:bottom w:val="single" w:sz="4" w:space="0" w:color="auto"/>
              <w:right w:val="single" w:sz="4" w:space="0" w:color="auto"/>
            </w:tcBorders>
            <w:shd w:val="clear" w:color="auto" w:fill="auto"/>
            <w:noWrap/>
            <w:hideMark/>
          </w:tcPr>
          <w:p w14:paraId="74B19148" w14:textId="486F69F8" w:rsidR="00DE7C12" w:rsidRPr="0010404B" w:rsidRDefault="00DE7C12" w:rsidP="00DE7C12">
            <w:pPr>
              <w:jc w:val="right"/>
              <w:rPr>
                <w:sz w:val="20"/>
                <w:szCs w:val="20"/>
                <w:lang w:val="fr-FR" w:eastAsia="en-CA"/>
              </w:rPr>
            </w:pPr>
            <w:r w:rsidRPr="0010404B">
              <w:rPr>
                <w:sz w:val="20"/>
                <w:szCs w:val="20"/>
                <w:lang w:val="fr-FR" w:eastAsia="en-CA"/>
              </w:rPr>
              <w:t>10 661</w:t>
            </w:r>
          </w:p>
        </w:tc>
        <w:tc>
          <w:tcPr>
            <w:tcW w:w="1134" w:type="dxa"/>
            <w:tcBorders>
              <w:top w:val="nil"/>
              <w:left w:val="nil"/>
              <w:bottom w:val="single" w:sz="4" w:space="0" w:color="auto"/>
              <w:right w:val="single" w:sz="4" w:space="0" w:color="auto"/>
            </w:tcBorders>
            <w:shd w:val="clear" w:color="auto" w:fill="auto"/>
            <w:noWrap/>
            <w:hideMark/>
          </w:tcPr>
          <w:p w14:paraId="5B1F66F3" w14:textId="2CD4163C" w:rsidR="00DE7C12" w:rsidRPr="0010404B" w:rsidRDefault="00DE7C12" w:rsidP="00DE7C12">
            <w:pPr>
              <w:jc w:val="right"/>
              <w:rPr>
                <w:sz w:val="20"/>
                <w:szCs w:val="20"/>
                <w:lang w:val="fr-FR" w:eastAsia="en-CA"/>
              </w:rPr>
            </w:pPr>
            <w:r w:rsidRPr="0010404B">
              <w:rPr>
                <w:sz w:val="20"/>
                <w:szCs w:val="20"/>
                <w:lang w:val="fr-FR" w:eastAsia="en-CA"/>
              </w:rPr>
              <w:t>7 316</w:t>
            </w:r>
          </w:p>
        </w:tc>
        <w:tc>
          <w:tcPr>
            <w:tcW w:w="1417" w:type="dxa"/>
            <w:tcBorders>
              <w:top w:val="nil"/>
              <w:left w:val="nil"/>
              <w:bottom w:val="single" w:sz="4" w:space="0" w:color="auto"/>
              <w:right w:val="single" w:sz="4" w:space="0" w:color="auto"/>
            </w:tcBorders>
            <w:shd w:val="clear" w:color="auto" w:fill="auto"/>
            <w:noWrap/>
            <w:hideMark/>
          </w:tcPr>
          <w:p w14:paraId="5EBD526A" w14:textId="33D2848F" w:rsidR="00DE7C12" w:rsidRPr="0010404B" w:rsidRDefault="00DE7C12" w:rsidP="00DE7C12">
            <w:pPr>
              <w:jc w:val="right"/>
              <w:rPr>
                <w:sz w:val="20"/>
                <w:szCs w:val="20"/>
                <w:lang w:val="fr-FR" w:eastAsia="en-CA"/>
              </w:rPr>
            </w:pPr>
            <w:r w:rsidRPr="0010404B">
              <w:rPr>
                <w:sz w:val="20"/>
                <w:szCs w:val="20"/>
                <w:lang w:val="fr-FR" w:eastAsia="en-CA"/>
              </w:rPr>
              <w:t>30 135</w:t>
            </w:r>
          </w:p>
        </w:tc>
        <w:tc>
          <w:tcPr>
            <w:tcW w:w="1277" w:type="dxa"/>
            <w:tcBorders>
              <w:top w:val="nil"/>
              <w:left w:val="nil"/>
              <w:bottom w:val="single" w:sz="4" w:space="0" w:color="auto"/>
              <w:right w:val="single" w:sz="4" w:space="0" w:color="auto"/>
            </w:tcBorders>
            <w:shd w:val="clear" w:color="auto" w:fill="auto"/>
            <w:noWrap/>
            <w:hideMark/>
          </w:tcPr>
          <w:p w14:paraId="200F9A0E" w14:textId="756818E3" w:rsidR="00DE7C12" w:rsidRPr="0010404B" w:rsidRDefault="00DE7C12" w:rsidP="00DE7C12">
            <w:pPr>
              <w:jc w:val="right"/>
              <w:rPr>
                <w:sz w:val="20"/>
                <w:szCs w:val="20"/>
                <w:lang w:val="fr-FR" w:eastAsia="en-CA"/>
              </w:rPr>
            </w:pPr>
            <w:r w:rsidRPr="0010404B">
              <w:rPr>
                <w:sz w:val="20"/>
                <w:szCs w:val="20"/>
                <w:lang w:val="fr-FR" w:eastAsia="en-CA"/>
              </w:rPr>
              <w:t>65 893</w:t>
            </w:r>
          </w:p>
        </w:tc>
      </w:tr>
      <w:tr w:rsidR="00DE7C12" w:rsidRPr="0010404B" w14:paraId="348A6F3A"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BF286FF" w14:textId="1DD6D352" w:rsidR="00DE7C12" w:rsidRPr="0010404B" w:rsidRDefault="00DE7C12" w:rsidP="00DE7C12">
            <w:pPr>
              <w:jc w:val="left"/>
              <w:rPr>
                <w:sz w:val="20"/>
                <w:szCs w:val="20"/>
                <w:lang w:val="fr-FR" w:eastAsia="en-CA"/>
              </w:rPr>
            </w:pPr>
            <w:r w:rsidRPr="0010404B">
              <w:rPr>
                <w:sz w:val="20"/>
                <w:szCs w:val="20"/>
                <w:lang w:val="fr-FR" w:eastAsia="en-CA"/>
              </w:rPr>
              <w:t>P</w:t>
            </w:r>
            <w:r w:rsidR="00864CD0">
              <w:rPr>
                <w:sz w:val="20"/>
                <w:szCs w:val="20"/>
                <w:lang w:val="fr-FR" w:eastAsia="en-CA"/>
              </w:rPr>
              <w:t xml:space="preserve">RP </w:t>
            </w:r>
            <w:r w:rsidRPr="0010404B">
              <w:rPr>
                <w:sz w:val="20"/>
                <w:szCs w:val="20"/>
                <w:lang w:val="fr-FR" w:eastAsia="en-CA"/>
              </w:rPr>
              <w:t>de PGEH  – phase III</w:t>
            </w:r>
          </w:p>
        </w:tc>
        <w:tc>
          <w:tcPr>
            <w:tcW w:w="1134" w:type="dxa"/>
            <w:tcBorders>
              <w:top w:val="nil"/>
              <w:left w:val="nil"/>
              <w:bottom w:val="single" w:sz="4" w:space="0" w:color="auto"/>
              <w:right w:val="single" w:sz="4" w:space="0" w:color="auto"/>
            </w:tcBorders>
            <w:shd w:val="clear" w:color="auto" w:fill="auto"/>
            <w:noWrap/>
            <w:hideMark/>
          </w:tcPr>
          <w:p w14:paraId="6231C8AA" w14:textId="58553B5B" w:rsidR="00DE7C12" w:rsidRPr="0010404B" w:rsidRDefault="00DE7C12" w:rsidP="00DE7C12">
            <w:pPr>
              <w:jc w:val="right"/>
              <w:rPr>
                <w:sz w:val="20"/>
                <w:szCs w:val="20"/>
                <w:lang w:val="fr-FR" w:eastAsia="en-CA"/>
              </w:rPr>
            </w:pPr>
            <w:r w:rsidRPr="0010404B">
              <w:rPr>
                <w:sz w:val="20"/>
                <w:szCs w:val="20"/>
                <w:lang w:val="fr-FR" w:eastAsia="en-CA"/>
              </w:rPr>
              <w:t>1 044</w:t>
            </w:r>
          </w:p>
        </w:tc>
        <w:tc>
          <w:tcPr>
            <w:tcW w:w="1134" w:type="dxa"/>
            <w:tcBorders>
              <w:top w:val="nil"/>
              <w:left w:val="nil"/>
              <w:bottom w:val="single" w:sz="4" w:space="0" w:color="auto"/>
              <w:right w:val="single" w:sz="4" w:space="0" w:color="auto"/>
            </w:tcBorders>
            <w:shd w:val="clear" w:color="auto" w:fill="auto"/>
            <w:noWrap/>
            <w:hideMark/>
          </w:tcPr>
          <w:p w14:paraId="2AEC0E68" w14:textId="5EE634D7" w:rsidR="00DE7C12" w:rsidRPr="0010404B" w:rsidRDefault="00DE7C12" w:rsidP="00DE7C12">
            <w:pPr>
              <w:jc w:val="right"/>
              <w:rPr>
                <w:sz w:val="20"/>
                <w:szCs w:val="20"/>
                <w:lang w:val="fr-FR" w:eastAsia="en-CA"/>
              </w:rPr>
            </w:pPr>
            <w:r w:rsidRPr="0010404B">
              <w:rPr>
                <w:sz w:val="20"/>
                <w:szCs w:val="20"/>
                <w:lang w:val="fr-FR" w:eastAsia="en-CA"/>
              </w:rPr>
              <w:t>1 110</w:t>
            </w:r>
          </w:p>
        </w:tc>
        <w:tc>
          <w:tcPr>
            <w:tcW w:w="1134" w:type="dxa"/>
            <w:tcBorders>
              <w:top w:val="nil"/>
              <w:left w:val="nil"/>
              <w:bottom w:val="single" w:sz="4" w:space="0" w:color="auto"/>
              <w:right w:val="single" w:sz="4" w:space="0" w:color="auto"/>
            </w:tcBorders>
            <w:shd w:val="clear" w:color="auto" w:fill="auto"/>
            <w:noWrap/>
            <w:hideMark/>
          </w:tcPr>
          <w:p w14:paraId="3CF16DCB" w14:textId="77777777" w:rsidR="00DE7C12" w:rsidRPr="0010404B" w:rsidRDefault="00DE7C12" w:rsidP="00DE7C12">
            <w:pPr>
              <w:jc w:val="right"/>
              <w:rPr>
                <w:sz w:val="20"/>
                <w:szCs w:val="20"/>
                <w:lang w:val="fr-FR" w:eastAsia="en-CA"/>
              </w:rPr>
            </w:pPr>
            <w:r w:rsidRPr="0010404B">
              <w:rPr>
                <w:sz w:val="20"/>
                <w:szCs w:val="20"/>
                <w:lang w:val="fr-FR" w:eastAsia="en-CA"/>
              </w:rPr>
              <w:t>182</w:t>
            </w:r>
          </w:p>
        </w:tc>
        <w:tc>
          <w:tcPr>
            <w:tcW w:w="1417" w:type="dxa"/>
            <w:tcBorders>
              <w:top w:val="nil"/>
              <w:left w:val="nil"/>
              <w:bottom w:val="single" w:sz="4" w:space="0" w:color="auto"/>
              <w:right w:val="single" w:sz="4" w:space="0" w:color="auto"/>
            </w:tcBorders>
            <w:shd w:val="clear" w:color="auto" w:fill="auto"/>
            <w:noWrap/>
            <w:hideMark/>
          </w:tcPr>
          <w:p w14:paraId="150DDF90" w14:textId="231D7A9F" w:rsidR="00DE7C12" w:rsidRPr="0010404B" w:rsidRDefault="00DE7C12" w:rsidP="00DE7C12">
            <w:pPr>
              <w:jc w:val="right"/>
              <w:rPr>
                <w:sz w:val="20"/>
                <w:szCs w:val="20"/>
                <w:lang w:val="fr-FR" w:eastAsia="en-CA"/>
              </w:rPr>
            </w:pPr>
            <w:r w:rsidRPr="0010404B">
              <w:rPr>
                <w:sz w:val="20"/>
                <w:szCs w:val="20"/>
                <w:lang w:val="fr-FR" w:eastAsia="en-CA"/>
              </w:rPr>
              <w:t>2 336</w:t>
            </w:r>
          </w:p>
        </w:tc>
        <w:tc>
          <w:tcPr>
            <w:tcW w:w="1277" w:type="dxa"/>
            <w:tcBorders>
              <w:top w:val="nil"/>
              <w:left w:val="nil"/>
              <w:bottom w:val="single" w:sz="4" w:space="0" w:color="auto"/>
              <w:right w:val="single" w:sz="4" w:space="0" w:color="auto"/>
            </w:tcBorders>
            <w:shd w:val="clear" w:color="auto" w:fill="auto"/>
            <w:noWrap/>
            <w:hideMark/>
          </w:tcPr>
          <w:p w14:paraId="5046507B" w14:textId="77777777" w:rsidR="00DE7C12" w:rsidRPr="0010404B" w:rsidRDefault="00DE7C12" w:rsidP="00DE7C12">
            <w:pPr>
              <w:jc w:val="right"/>
              <w:rPr>
                <w:sz w:val="20"/>
                <w:szCs w:val="20"/>
                <w:lang w:val="fr-FR" w:eastAsia="en-CA"/>
              </w:rPr>
            </w:pPr>
            <w:r w:rsidRPr="0010404B">
              <w:rPr>
                <w:sz w:val="20"/>
                <w:szCs w:val="20"/>
                <w:lang w:val="fr-FR" w:eastAsia="en-CA"/>
              </w:rPr>
              <w:t>225</w:t>
            </w:r>
          </w:p>
        </w:tc>
      </w:tr>
      <w:tr w:rsidR="00DE7C12" w:rsidRPr="0010404B" w14:paraId="6B2B560B"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DD9D72B" w14:textId="265BC6DA" w:rsidR="00DE7C12" w:rsidRPr="0010404B" w:rsidRDefault="00DE7C12" w:rsidP="00DE7C12">
            <w:pPr>
              <w:jc w:val="left"/>
              <w:rPr>
                <w:sz w:val="20"/>
                <w:szCs w:val="20"/>
                <w:lang w:val="fr-FR" w:eastAsia="en-CA"/>
              </w:rPr>
            </w:pPr>
            <w:r w:rsidRPr="0010404B">
              <w:rPr>
                <w:sz w:val="20"/>
                <w:szCs w:val="20"/>
                <w:lang w:val="fr-FR" w:eastAsia="en-CA"/>
              </w:rPr>
              <w:t>PGEH phase III</w:t>
            </w:r>
          </w:p>
        </w:tc>
        <w:tc>
          <w:tcPr>
            <w:tcW w:w="1134" w:type="dxa"/>
            <w:tcBorders>
              <w:top w:val="nil"/>
              <w:left w:val="nil"/>
              <w:bottom w:val="single" w:sz="4" w:space="0" w:color="auto"/>
              <w:right w:val="single" w:sz="4" w:space="0" w:color="auto"/>
            </w:tcBorders>
            <w:shd w:val="clear" w:color="auto" w:fill="auto"/>
            <w:noWrap/>
            <w:hideMark/>
          </w:tcPr>
          <w:p w14:paraId="692050F4" w14:textId="6AC7BC1B" w:rsidR="00DE7C12" w:rsidRPr="0010404B" w:rsidRDefault="00DE7C12" w:rsidP="00DE7C12">
            <w:pPr>
              <w:jc w:val="right"/>
              <w:rPr>
                <w:sz w:val="20"/>
                <w:szCs w:val="20"/>
                <w:lang w:val="fr-FR" w:eastAsia="en-CA"/>
              </w:rPr>
            </w:pPr>
            <w:r w:rsidRPr="0010404B">
              <w:rPr>
                <w:sz w:val="20"/>
                <w:szCs w:val="20"/>
                <w:lang w:val="fr-FR" w:eastAsia="en-CA"/>
              </w:rPr>
              <w:t>1 178</w:t>
            </w:r>
          </w:p>
        </w:tc>
        <w:tc>
          <w:tcPr>
            <w:tcW w:w="1134" w:type="dxa"/>
            <w:tcBorders>
              <w:top w:val="nil"/>
              <w:left w:val="nil"/>
              <w:bottom w:val="single" w:sz="4" w:space="0" w:color="auto"/>
              <w:right w:val="single" w:sz="4" w:space="0" w:color="auto"/>
            </w:tcBorders>
            <w:shd w:val="clear" w:color="auto" w:fill="auto"/>
            <w:noWrap/>
            <w:hideMark/>
          </w:tcPr>
          <w:p w14:paraId="17CE93A9" w14:textId="77777777" w:rsidR="00DE7C12" w:rsidRPr="0010404B" w:rsidRDefault="00DE7C12" w:rsidP="00DE7C12">
            <w:pPr>
              <w:jc w:val="right"/>
              <w:rPr>
                <w:sz w:val="20"/>
                <w:szCs w:val="20"/>
                <w:lang w:val="fr-FR" w:eastAsia="en-CA"/>
              </w:rPr>
            </w:pPr>
            <w:r w:rsidRPr="0010404B">
              <w:rPr>
                <w:sz w:val="20"/>
                <w:szCs w:val="20"/>
                <w:lang w:val="fr-FR" w:eastAsia="en-CA"/>
              </w:rPr>
              <w:t>232</w:t>
            </w:r>
          </w:p>
        </w:tc>
        <w:tc>
          <w:tcPr>
            <w:tcW w:w="1134" w:type="dxa"/>
            <w:tcBorders>
              <w:top w:val="nil"/>
              <w:left w:val="nil"/>
              <w:bottom w:val="single" w:sz="4" w:space="0" w:color="auto"/>
              <w:right w:val="single" w:sz="4" w:space="0" w:color="auto"/>
            </w:tcBorders>
            <w:shd w:val="clear" w:color="auto" w:fill="auto"/>
            <w:noWrap/>
            <w:hideMark/>
          </w:tcPr>
          <w:p w14:paraId="6B0366E6" w14:textId="77777777" w:rsidR="00DE7C12" w:rsidRPr="0010404B" w:rsidRDefault="00DE7C12" w:rsidP="00DE7C12">
            <w:pPr>
              <w:jc w:val="right"/>
              <w:rPr>
                <w:sz w:val="20"/>
                <w:szCs w:val="20"/>
                <w:lang w:val="fr-FR" w:eastAsia="en-CA"/>
              </w:rPr>
            </w:pPr>
            <w:r w:rsidRPr="0010404B">
              <w:rPr>
                <w:sz w:val="20"/>
                <w:szCs w:val="20"/>
                <w:lang w:val="fr-FR" w:eastAsia="en-CA"/>
              </w:rPr>
              <w:t>199</w:t>
            </w:r>
          </w:p>
        </w:tc>
        <w:tc>
          <w:tcPr>
            <w:tcW w:w="1417" w:type="dxa"/>
            <w:tcBorders>
              <w:top w:val="nil"/>
              <w:left w:val="nil"/>
              <w:bottom w:val="single" w:sz="4" w:space="0" w:color="auto"/>
              <w:right w:val="single" w:sz="4" w:space="0" w:color="auto"/>
            </w:tcBorders>
            <w:shd w:val="clear" w:color="auto" w:fill="auto"/>
            <w:noWrap/>
            <w:hideMark/>
          </w:tcPr>
          <w:p w14:paraId="7C8F81B5" w14:textId="77777777" w:rsidR="00DE7C12" w:rsidRPr="0010404B" w:rsidRDefault="00DE7C12" w:rsidP="00DE7C12">
            <w:pPr>
              <w:jc w:val="right"/>
              <w:rPr>
                <w:sz w:val="20"/>
                <w:szCs w:val="20"/>
                <w:lang w:val="fr-FR" w:eastAsia="en-CA"/>
              </w:rPr>
            </w:pPr>
            <w:r w:rsidRPr="0010404B">
              <w:rPr>
                <w:sz w:val="20"/>
                <w:szCs w:val="20"/>
                <w:lang w:val="fr-FR" w:eastAsia="en-CA"/>
              </w:rPr>
              <w:t>1,610</w:t>
            </w:r>
          </w:p>
        </w:tc>
        <w:tc>
          <w:tcPr>
            <w:tcW w:w="1277" w:type="dxa"/>
            <w:tcBorders>
              <w:top w:val="nil"/>
              <w:left w:val="nil"/>
              <w:bottom w:val="single" w:sz="4" w:space="0" w:color="auto"/>
              <w:right w:val="single" w:sz="4" w:space="0" w:color="auto"/>
            </w:tcBorders>
            <w:shd w:val="clear" w:color="auto" w:fill="auto"/>
            <w:noWrap/>
            <w:hideMark/>
          </w:tcPr>
          <w:p w14:paraId="286FFC35" w14:textId="77777777" w:rsidR="00DE7C12" w:rsidRPr="0010404B" w:rsidRDefault="00DE7C12" w:rsidP="00DE7C12">
            <w:pPr>
              <w:jc w:val="right"/>
              <w:rPr>
                <w:sz w:val="20"/>
                <w:szCs w:val="20"/>
                <w:lang w:val="fr-FR" w:eastAsia="en-CA"/>
              </w:rPr>
            </w:pPr>
            <w:r w:rsidRPr="0010404B">
              <w:rPr>
                <w:sz w:val="20"/>
                <w:szCs w:val="20"/>
                <w:lang w:val="fr-FR" w:eastAsia="en-CA"/>
              </w:rPr>
              <w:t>2,131</w:t>
            </w:r>
          </w:p>
        </w:tc>
      </w:tr>
      <w:tr w:rsidR="00DE7C12" w:rsidRPr="0010404B" w14:paraId="54241CD2"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890C733" w14:textId="55CD886F" w:rsidR="00DE7C12" w:rsidRPr="0010404B" w:rsidRDefault="00DE7C12" w:rsidP="00DE7C12">
            <w:pPr>
              <w:jc w:val="left"/>
              <w:rPr>
                <w:sz w:val="20"/>
                <w:szCs w:val="20"/>
                <w:lang w:val="fr-FR" w:eastAsia="en-CA"/>
              </w:rPr>
            </w:pPr>
            <w:r w:rsidRPr="0010404B">
              <w:rPr>
                <w:sz w:val="20"/>
                <w:szCs w:val="20"/>
                <w:lang w:val="fr-FR" w:eastAsia="en-CA"/>
              </w:rPr>
              <w:t xml:space="preserve">Vérification des PGEH </w:t>
            </w:r>
          </w:p>
        </w:tc>
        <w:tc>
          <w:tcPr>
            <w:tcW w:w="1134" w:type="dxa"/>
            <w:tcBorders>
              <w:top w:val="nil"/>
              <w:left w:val="nil"/>
              <w:bottom w:val="single" w:sz="4" w:space="0" w:color="auto"/>
              <w:right w:val="single" w:sz="4" w:space="0" w:color="auto"/>
            </w:tcBorders>
            <w:shd w:val="clear" w:color="auto" w:fill="auto"/>
            <w:noWrap/>
            <w:hideMark/>
          </w:tcPr>
          <w:p w14:paraId="6536DC3F" w14:textId="77777777" w:rsidR="00DE7C12" w:rsidRPr="0010404B" w:rsidRDefault="00DE7C12" w:rsidP="00DE7C12">
            <w:pPr>
              <w:jc w:val="right"/>
              <w:rPr>
                <w:sz w:val="20"/>
                <w:szCs w:val="20"/>
                <w:lang w:val="fr-FR" w:eastAsia="en-CA"/>
              </w:rPr>
            </w:pPr>
            <w:r w:rsidRPr="0010404B">
              <w:rPr>
                <w:sz w:val="20"/>
                <w:szCs w:val="20"/>
                <w:lang w:val="fr-FR" w:eastAsia="en-CA"/>
              </w:rPr>
              <w:t>589</w:t>
            </w:r>
          </w:p>
        </w:tc>
        <w:tc>
          <w:tcPr>
            <w:tcW w:w="1134" w:type="dxa"/>
            <w:tcBorders>
              <w:top w:val="nil"/>
              <w:left w:val="nil"/>
              <w:bottom w:val="single" w:sz="4" w:space="0" w:color="auto"/>
              <w:right w:val="single" w:sz="4" w:space="0" w:color="auto"/>
            </w:tcBorders>
            <w:shd w:val="clear" w:color="auto" w:fill="auto"/>
            <w:noWrap/>
            <w:hideMark/>
          </w:tcPr>
          <w:p w14:paraId="04AC4C4F" w14:textId="77777777" w:rsidR="00DE7C12" w:rsidRPr="0010404B" w:rsidRDefault="00DE7C12" w:rsidP="00DE7C12">
            <w:pPr>
              <w:jc w:val="right"/>
              <w:rPr>
                <w:sz w:val="20"/>
                <w:szCs w:val="20"/>
                <w:lang w:val="fr-FR" w:eastAsia="en-CA"/>
              </w:rPr>
            </w:pPr>
            <w:r w:rsidRPr="0010404B">
              <w:rPr>
                <w:sz w:val="20"/>
                <w:szCs w:val="20"/>
                <w:lang w:val="fr-FR" w:eastAsia="en-CA"/>
              </w:rPr>
              <w:t>589</w:t>
            </w:r>
          </w:p>
        </w:tc>
        <w:tc>
          <w:tcPr>
            <w:tcW w:w="1134" w:type="dxa"/>
            <w:tcBorders>
              <w:top w:val="nil"/>
              <w:left w:val="nil"/>
              <w:bottom w:val="single" w:sz="4" w:space="0" w:color="auto"/>
              <w:right w:val="single" w:sz="4" w:space="0" w:color="auto"/>
            </w:tcBorders>
            <w:shd w:val="clear" w:color="auto" w:fill="auto"/>
            <w:noWrap/>
            <w:hideMark/>
          </w:tcPr>
          <w:p w14:paraId="60F829FF" w14:textId="77777777" w:rsidR="00DE7C12" w:rsidRPr="0010404B" w:rsidRDefault="00DE7C12" w:rsidP="00DE7C12">
            <w:pPr>
              <w:jc w:val="right"/>
              <w:rPr>
                <w:sz w:val="20"/>
                <w:szCs w:val="20"/>
                <w:lang w:val="fr-FR" w:eastAsia="en-CA"/>
              </w:rPr>
            </w:pPr>
            <w:r w:rsidRPr="0010404B">
              <w:rPr>
                <w:sz w:val="20"/>
                <w:szCs w:val="20"/>
                <w:lang w:val="fr-FR" w:eastAsia="en-CA"/>
              </w:rPr>
              <w:t>589</w:t>
            </w:r>
          </w:p>
        </w:tc>
        <w:tc>
          <w:tcPr>
            <w:tcW w:w="1417" w:type="dxa"/>
            <w:tcBorders>
              <w:top w:val="nil"/>
              <w:left w:val="nil"/>
              <w:bottom w:val="single" w:sz="4" w:space="0" w:color="auto"/>
              <w:right w:val="single" w:sz="4" w:space="0" w:color="auto"/>
            </w:tcBorders>
            <w:shd w:val="clear" w:color="auto" w:fill="auto"/>
            <w:noWrap/>
            <w:hideMark/>
          </w:tcPr>
          <w:p w14:paraId="2B6FF76D" w14:textId="77777777" w:rsidR="00DE7C12" w:rsidRPr="0010404B" w:rsidRDefault="00DE7C12" w:rsidP="00DE7C12">
            <w:pPr>
              <w:jc w:val="right"/>
              <w:rPr>
                <w:sz w:val="20"/>
                <w:szCs w:val="20"/>
                <w:lang w:val="fr-FR" w:eastAsia="en-CA"/>
              </w:rPr>
            </w:pPr>
            <w:r w:rsidRPr="0010404B">
              <w:rPr>
                <w:sz w:val="20"/>
                <w:szCs w:val="20"/>
                <w:lang w:val="fr-FR" w:eastAsia="en-CA"/>
              </w:rPr>
              <w:t>1,766</w:t>
            </w:r>
          </w:p>
        </w:tc>
        <w:tc>
          <w:tcPr>
            <w:tcW w:w="1277" w:type="dxa"/>
            <w:tcBorders>
              <w:top w:val="nil"/>
              <w:left w:val="nil"/>
              <w:bottom w:val="single" w:sz="4" w:space="0" w:color="auto"/>
              <w:right w:val="single" w:sz="4" w:space="0" w:color="auto"/>
            </w:tcBorders>
            <w:shd w:val="clear" w:color="auto" w:fill="auto"/>
            <w:noWrap/>
            <w:hideMark/>
          </w:tcPr>
          <w:p w14:paraId="0173D7A2"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18B8624C"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08727C42" w14:textId="5575A1B7" w:rsidR="00DE7C12" w:rsidRPr="0010404B" w:rsidRDefault="00DE7C12" w:rsidP="00864CD0">
            <w:pPr>
              <w:jc w:val="left"/>
              <w:rPr>
                <w:sz w:val="20"/>
                <w:szCs w:val="20"/>
                <w:lang w:val="fr-FR" w:eastAsia="en-CA"/>
              </w:rPr>
            </w:pPr>
            <w:r w:rsidRPr="0010404B">
              <w:rPr>
                <w:sz w:val="20"/>
                <w:szCs w:val="20"/>
                <w:lang w:val="fr-FR" w:eastAsia="en-CA"/>
              </w:rPr>
              <w:t xml:space="preserve">Assistance technique HCFC </w:t>
            </w:r>
          </w:p>
        </w:tc>
        <w:tc>
          <w:tcPr>
            <w:tcW w:w="1134" w:type="dxa"/>
            <w:tcBorders>
              <w:top w:val="nil"/>
              <w:left w:val="nil"/>
              <w:bottom w:val="single" w:sz="4" w:space="0" w:color="auto"/>
              <w:right w:val="single" w:sz="4" w:space="0" w:color="auto"/>
            </w:tcBorders>
            <w:shd w:val="clear" w:color="auto" w:fill="auto"/>
            <w:noWrap/>
            <w:hideMark/>
          </w:tcPr>
          <w:p w14:paraId="2B15B85C"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7B4E66BA"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09C7EE73"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56137570"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277" w:type="dxa"/>
            <w:tcBorders>
              <w:top w:val="nil"/>
              <w:left w:val="nil"/>
              <w:bottom w:val="single" w:sz="4" w:space="0" w:color="auto"/>
              <w:right w:val="single" w:sz="4" w:space="0" w:color="auto"/>
            </w:tcBorders>
            <w:shd w:val="clear" w:color="auto" w:fill="auto"/>
            <w:noWrap/>
            <w:hideMark/>
          </w:tcPr>
          <w:p w14:paraId="438D245A"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4555BB79"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49FA9AA" w14:textId="1F69FB40" w:rsidR="00DE7C12" w:rsidRPr="0010404B" w:rsidRDefault="00DE7C12" w:rsidP="00DE7C12">
            <w:pPr>
              <w:jc w:val="left"/>
              <w:rPr>
                <w:b/>
                <w:bCs/>
                <w:sz w:val="20"/>
                <w:szCs w:val="20"/>
                <w:lang w:val="fr-FR" w:eastAsia="en-CA"/>
              </w:rPr>
            </w:pPr>
            <w:r w:rsidRPr="0010404B">
              <w:rPr>
                <w:b/>
                <w:bCs/>
                <w:sz w:val="20"/>
                <w:szCs w:val="20"/>
                <w:lang w:val="fr-FR" w:eastAsia="en-CA"/>
              </w:rPr>
              <w:t xml:space="preserve">Sous-total des activités </w:t>
            </w:r>
            <w:r w:rsidR="0063090F">
              <w:rPr>
                <w:b/>
                <w:bCs/>
                <w:sz w:val="20"/>
                <w:szCs w:val="20"/>
                <w:lang w:val="fr-FR" w:eastAsia="en-CA"/>
              </w:rPr>
              <w:t>re</w:t>
            </w:r>
            <w:r w:rsidRPr="0010404B">
              <w:rPr>
                <w:b/>
                <w:bCs/>
                <w:sz w:val="20"/>
                <w:szCs w:val="20"/>
                <w:lang w:val="fr-FR" w:eastAsia="en-CA"/>
              </w:rPr>
              <w:t xml:space="preserve">liées aux HCFC </w:t>
            </w:r>
          </w:p>
        </w:tc>
        <w:tc>
          <w:tcPr>
            <w:tcW w:w="1134" w:type="dxa"/>
            <w:tcBorders>
              <w:top w:val="nil"/>
              <w:left w:val="nil"/>
              <w:bottom w:val="single" w:sz="4" w:space="0" w:color="auto"/>
              <w:right w:val="single" w:sz="4" w:space="0" w:color="auto"/>
            </w:tcBorders>
            <w:shd w:val="clear" w:color="auto" w:fill="auto"/>
            <w:noWrap/>
            <w:hideMark/>
          </w:tcPr>
          <w:p w14:paraId="2C3CD778" w14:textId="06E1F138" w:rsidR="00DE7C12" w:rsidRPr="0010404B" w:rsidRDefault="00DE7C12" w:rsidP="00DE7C12">
            <w:pPr>
              <w:jc w:val="right"/>
              <w:rPr>
                <w:b/>
                <w:bCs/>
                <w:sz w:val="20"/>
                <w:szCs w:val="20"/>
                <w:lang w:val="fr-FR" w:eastAsia="en-CA"/>
              </w:rPr>
            </w:pPr>
            <w:r w:rsidRPr="0010404B">
              <w:rPr>
                <w:b/>
                <w:bCs/>
                <w:sz w:val="20"/>
                <w:szCs w:val="20"/>
                <w:lang w:val="fr-FR" w:eastAsia="en-CA"/>
              </w:rPr>
              <w:t>182 648</w:t>
            </w:r>
          </w:p>
        </w:tc>
        <w:tc>
          <w:tcPr>
            <w:tcW w:w="1134" w:type="dxa"/>
            <w:tcBorders>
              <w:top w:val="nil"/>
              <w:left w:val="nil"/>
              <w:bottom w:val="single" w:sz="4" w:space="0" w:color="auto"/>
              <w:right w:val="single" w:sz="4" w:space="0" w:color="auto"/>
            </w:tcBorders>
            <w:shd w:val="clear" w:color="auto" w:fill="auto"/>
            <w:noWrap/>
            <w:hideMark/>
          </w:tcPr>
          <w:p w14:paraId="3522E20C" w14:textId="66CC4A35" w:rsidR="00DE7C12" w:rsidRPr="0010404B" w:rsidRDefault="00DE7C12" w:rsidP="00DE7C12">
            <w:pPr>
              <w:jc w:val="right"/>
              <w:rPr>
                <w:b/>
                <w:bCs/>
                <w:sz w:val="20"/>
                <w:szCs w:val="20"/>
                <w:lang w:val="fr-FR" w:eastAsia="en-CA"/>
              </w:rPr>
            </w:pPr>
            <w:r w:rsidRPr="0010404B">
              <w:rPr>
                <w:b/>
                <w:bCs/>
                <w:sz w:val="20"/>
                <w:szCs w:val="20"/>
                <w:lang w:val="fr-FR" w:eastAsia="en-CA"/>
              </w:rPr>
              <w:t>134 836</w:t>
            </w:r>
          </w:p>
        </w:tc>
        <w:tc>
          <w:tcPr>
            <w:tcW w:w="1134" w:type="dxa"/>
            <w:tcBorders>
              <w:top w:val="nil"/>
              <w:left w:val="nil"/>
              <w:bottom w:val="single" w:sz="4" w:space="0" w:color="auto"/>
              <w:right w:val="single" w:sz="4" w:space="0" w:color="auto"/>
            </w:tcBorders>
            <w:shd w:val="clear" w:color="auto" w:fill="auto"/>
            <w:noWrap/>
            <w:hideMark/>
          </w:tcPr>
          <w:p w14:paraId="1646BCD4" w14:textId="4954C609" w:rsidR="00DE7C12" w:rsidRPr="0010404B" w:rsidRDefault="00DE7C12" w:rsidP="00DE7C12">
            <w:pPr>
              <w:jc w:val="right"/>
              <w:rPr>
                <w:b/>
                <w:bCs/>
                <w:sz w:val="20"/>
                <w:szCs w:val="20"/>
                <w:lang w:val="fr-FR" w:eastAsia="en-CA"/>
              </w:rPr>
            </w:pPr>
            <w:r w:rsidRPr="0010404B">
              <w:rPr>
                <w:b/>
                <w:bCs/>
                <w:sz w:val="20"/>
                <w:szCs w:val="20"/>
                <w:lang w:val="fr-FR" w:eastAsia="en-CA"/>
              </w:rPr>
              <w:t>111 741</w:t>
            </w:r>
          </w:p>
        </w:tc>
        <w:tc>
          <w:tcPr>
            <w:tcW w:w="1417" w:type="dxa"/>
            <w:tcBorders>
              <w:top w:val="nil"/>
              <w:left w:val="nil"/>
              <w:bottom w:val="single" w:sz="4" w:space="0" w:color="auto"/>
              <w:right w:val="single" w:sz="4" w:space="0" w:color="auto"/>
            </w:tcBorders>
            <w:shd w:val="clear" w:color="auto" w:fill="auto"/>
            <w:noWrap/>
            <w:hideMark/>
          </w:tcPr>
          <w:p w14:paraId="32C6DC05" w14:textId="6C417B18" w:rsidR="00DE7C12" w:rsidRPr="0010404B" w:rsidRDefault="00DE7C12" w:rsidP="00DE7C12">
            <w:pPr>
              <w:jc w:val="right"/>
              <w:rPr>
                <w:b/>
                <w:bCs/>
                <w:sz w:val="20"/>
                <w:szCs w:val="20"/>
                <w:lang w:val="fr-FR" w:eastAsia="en-CA"/>
              </w:rPr>
            </w:pPr>
            <w:r w:rsidRPr="0010404B">
              <w:rPr>
                <w:b/>
                <w:bCs/>
                <w:sz w:val="20"/>
                <w:szCs w:val="20"/>
                <w:lang w:val="fr-FR" w:eastAsia="en-CA"/>
              </w:rPr>
              <w:t>429 225</w:t>
            </w:r>
          </w:p>
        </w:tc>
        <w:tc>
          <w:tcPr>
            <w:tcW w:w="1277" w:type="dxa"/>
            <w:tcBorders>
              <w:top w:val="nil"/>
              <w:left w:val="nil"/>
              <w:bottom w:val="single" w:sz="4" w:space="0" w:color="auto"/>
              <w:right w:val="single" w:sz="4" w:space="0" w:color="auto"/>
            </w:tcBorders>
            <w:shd w:val="clear" w:color="auto" w:fill="auto"/>
            <w:noWrap/>
            <w:hideMark/>
          </w:tcPr>
          <w:p w14:paraId="11F37ED7" w14:textId="01D22824" w:rsidR="00DE7C12" w:rsidRPr="0010404B" w:rsidRDefault="00DE7C12" w:rsidP="00DE7C12">
            <w:pPr>
              <w:jc w:val="right"/>
              <w:rPr>
                <w:b/>
                <w:bCs/>
                <w:sz w:val="20"/>
                <w:szCs w:val="20"/>
                <w:lang w:val="fr-FR" w:eastAsia="en-CA"/>
              </w:rPr>
            </w:pPr>
            <w:r w:rsidRPr="0010404B">
              <w:rPr>
                <w:b/>
                <w:bCs/>
                <w:sz w:val="20"/>
                <w:szCs w:val="20"/>
                <w:lang w:val="fr-FR" w:eastAsia="en-CA"/>
              </w:rPr>
              <w:t>419 275</w:t>
            </w:r>
          </w:p>
        </w:tc>
      </w:tr>
      <w:tr w:rsidR="00DE7C12" w:rsidRPr="0010404B" w14:paraId="4DB1956E" w14:textId="77777777" w:rsidTr="00DE7C12">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505E1BC" w14:textId="3FD87BF9" w:rsidR="00DE7C12" w:rsidRPr="0010404B" w:rsidRDefault="00DE7C12" w:rsidP="00DE7C12">
            <w:pPr>
              <w:jc w:val="left"/>
              <w:rPr>
                <w:b/>
                <w:bCs/>
                <w:sz w:val="20"/>
                <w:szCs w:val="20"/>
                <w:lang w:val="fr-FR" w:eastAsia="en-CA"/>
              </w:rPr>
            </w:pPr>
            <w:r w:rsidRPr="0010404B">
              <w:rPr>
                <w:b/>
                <w:bCs/>
                <w:sz w:val="20"/>
                <w:szCs w:val="20"/>
                <w:lang w:val="fr-FR" w:eastAsia="en-CA"/>
              </w:rPr>
              <w:t xml:space="preserve">Activités </w:t>
            </w:r>
            <w:r w:rsidR="0063090F">
              <w:rPr>
                <w:b/>
                <w:bCs/>
                <w:sz w:val="20"/>
                <w:szCs w:val="20"/>
                <w:lang w:val="fr-FR" w:eastAsia="en-CA"/>
              </w:rPr>
              <w:t>re</w:t>
            </w:r>
            <w:r w:rsidRPr="0010404B">
              <w:rPr>
                <w:b/>
                <w:bCs/>
                <w:sz w:val="20"/>
                <w:szCs w:val="20"/>
                <w:lang w:val="fr-FR" w:eastAsia="en-CA"/>
              </w:rPr>
              <w:t xml:space="preserve">liées aux HFC </w:t>
            </w:r>
          </w:p>
        </w:tc>
      </w:tr>
      <w:tr w:rsidR="00DE7C12" w:rsidRPr="0010404B" w14:paraId="65E2F12F"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0BE7647" w14:textId="6D74E05E" w:rsidR="00DE7C12" w:rsidRPr="0010404B" w:rsidRDefault="00DE7C12" w:rsidP="00DE7C12">
            <w:pPr>
              <w:jc w:val="left"/>
              <w:rPr>
                <w:sz w:val="20"/>
                <w:szCs w:val="20"/>
                <w:lang w:val="fr-FR" w:eastAsia="en-CA"/>
              </w:rPr>
            </w:pPr>
            <w:r w:rsidRPr="0010404B">
              <w:rPr>
                <w:sz w:val="20"/>
                <w:szCs w:val="20"/>
                <w:lang w:val="fr-FR" w:eastAsia="en-CA"/>
              </w:rPr>
              <w:t>HFC – activités de facilitation</w:t>
            </w:r>
          </w:p>
        </w:tc>
        <w:tc>
          <w:tcPr>
            <w:tcW w:w="1134" w:type="dxa"/>
            <w:tcBorders>
              <w:top w:val="nil"/>
              <w:left w:val="nil"/>
              <w:bottom w:val="single" w:sz="4" w:space="0" w:color="auto"/>
              <w:right w:val="single" w:sz="4" w:space="0" w:color="auto"/>
            </w:tcBorders>
            <w:shd w:val="clear" w:color="auto" w:fill="auto"/>
            <w:noWrap/>
            <w:vAlign w:val="center"/>
            <w:hideMark/>
          </w:tcPr>
          <w:p w14:paraId="15CC490D" w14:textId="77777777" w:rsidR="00DE7C12" w:rsidRPr="0010404B" w:rsidRDefault="00DE7C12" w:rsidP="00DE7C12">
            <w:pPr>
              <w:jc w:val="right"/>
              <w:rPr>
                <w:sz w:val="20"/>
                <w:szCs w:val="20"/>
                <w:lang w:val="fr-FR" w:eastAsia="en-CA"/>
              </w:rPr>
            </w:pPr>
            <w:r w:rsidRPr="0010404B">
              <w:rPr>
                <w:sz w:val="20"/>
                <w:szCs w:val="20"/>
                <w:lang w:val="fr-FR" w:eastAsia="en-CA"/>
              </w:rPr>
              <w:t>316</w:t>
            </w:r>
          </w:p>
        </w:tc>
        <w:tc>
          <w:tcPr>
            <w:tcW w:w="1134" w:type="dxa"/>
            <w:tcBorders>
              <w:top w:val="nil"/>
              <w:left w:val="nil"/>
              <w:bottom w:val="single" w:sz="4" w:space="0" w:color="auto"/>
              <w:right w:val="single" w:sz="4" w:space="0" w:color="auto"/>
            </w:tcBorders>
            <w:shd w:val="clear" w:color="auto" w:fill="auto"/>
            <w:noWrap/>
            <w:vAlign w:val="center"/>
            <w:hideMark/>
          </w:tcPr>
          <w:p w14:paraId="591B4798" w14:textId="77777777" w:rsidR="00DE7C12" w:rsidRPr="0010404B" w:rsidRDefault="00DE7C12" w:rsidP="00DE7C12">
            <w:pPr>
              <w:jc w:val="right"/>
              <w:rPr>
                <w:sz w:val="20"/>
                <w:szCs w:val="20"/>
                <w:lang w:val="fr-FR" w:eastAsia="en-CA"/>
              </w:rPr>
            </w:pPr>
            <w:r w:rsidRPr="0010404B">
              <w:rPr>
                <w:sz w:val="20"/>
                <w:szCs w:val="20"/>
                <w:lang w:val="fr-FR" w:eastAsia="en-CA"/>
              </w:rPr>
              <w:t>161</w:t>
            </w:r>
          </w:p>
        </w:tc>
        <w:tc>
          <w:tcPr>
            <w:tcW w:w="1134" w:type="dxa"/>
            <w:tcBorders>
              <w:top w:val="nil"/>
              <w:left w:val="nil"/>
              <w:bottom w:val="single" w:sz="4" w:space="0" w:color="auto"/>
              <w:right w:val="single" w:sz="4" w:space="0" w:color="auto"/>
            </w:tcBorders>
            <w:shd w:val="clear" w:color="auto" w:fill="auto"/>
            <w:noWrap/>
            <w:hideMark/>
          </w:tcPr>
          <w:p w14:paraId="06968430"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5759E37A" w14:textId="77777777" w:rsidR="00DE7C12" w:rsidRPr="0010404B" w:rsidRDefault="00DE7C12" w:rsidP="00DE7C12">
            <w:pPr>
              <w:jc w:val="right"/>
              <w:rPr>
                <w:sz w:val="20"/>
                <w:szCs w:val="20"/>
                <w:lang w:val="fr-FR" w:eastAsia="en-CA"/>
              </w:rPr>
            </w:pPr>
            <w:r w:rsidRPr="0010404B">
              <w:rPr>
                <w:sz w:val="20"/>
                <w:szCs w:val="20"/>
                <w:lang w:val="fr-FR" w:eastAsia="en-CA"/>
              </w:rPr>
              <w:t>476</w:t>
            </w:r>
          </w:p>
        </w:tc>
        <w:tc>
          <w:tcPr>
            <w:tcW w:w="1277" w:type="dxa"/>
            <w:tcBorders>
              <w:top w:val="nil"/>
              <w:left w:val="nil"/>
              <w:bottom w:val="single" w:sz="4" w:space="0" w:color="auto"/>
              <w:right w:val="single" w:sz="4" w:space="0" w:color="auto"/>
            </w:tcBorders>
            <w:shd w:val="clear" w:color="auto" w:fill="auto"/>
            <w:noWrap/>
            <w:hideMark/>
          </w:tcPr>
          <w:p w14:paraId="2E78A872"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65F2A1BF"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4E4B74C3" w14:textId="5EB00B0A" w:rsidR="00DE7C12" w:rsidRPr="0010404B" w:rsidRDefault="00DE7C12" w:rsidP="00DE7C12">
            <w:pPr>
              <w:jc w:val="left"/>
              <w:rPr>
                <w:sz w:val="20"/>
                <w:szCs w:val="20"/>
                <w:lang w:val="fr-FR" w:eastAsia="en-CA"/>
              </w:rPr>
            </w:pPr>
            <w:r w:rsidRPr="0010404B">
              <w:rPr>
                <w:sz w:val="20"/>
                <w:szCs w:val="20"/>
                <w:lang w:val="fr-FR" w:eastAsia="en-CA"/>
              </w:rPr>
              <w:t>HFC – invest</w:t>
            </w:r>
            <w:r w:rsidR="00CF4F7E" w:rsidRPr="0010404B">
              <w:rPr>
                <w:sz w:val="20"/>
                <w:szCs w:val="20"/>
                <w:lang w:val="fr-FR" w:eastAsia="en-CA"/>
              </w:rPr>
              <w:t>isse</w:t>
            </w:r>
            <w:r w:rsidRPr="0010404B">
              <w:rPr>
                <w:sz w:val="20"/>
                <w:szCs w:val="20"/>
                <w:lang w:val="fr-FR" w:eastAsia="en-CA"/>
              </w:rPr>
              <w:t>ment</w:t>
            </w:r>
          </w:p>
        </w:tc>
        <w:tc>
          <w:tcPr>
            <w:tcW w:w="1134" w:type="dxa"/>
            <w:tcBorders>
              <w:top w:val="nil"/>
              <w:left w:val="nil"/>
              <w:bottom w:val="single" w:sz="4" w:space="0" w:color="auto"/>
              <w:right w:val="single" w:sz="4" w:space="0" w:color="auto"/>
            </w:tcBorders>
            <w:shd w:val="clear" w:color="auto" w:fill="auto"/>
            <w:noWrap/>
            <w:hideMark/>
          </w:tcPr>
          <w:p w14:paraId="3FCB2AC4" w14:textId="19D1EF9C" w:rsidR="00DE7C12" w:rsidRPr="0010404B" w:rsidRDefault="00DE7C12" w:rsidP="00DE7C12">
            <w:pPr>
              <w:jc w:val="right"/>
              <w:rPr>
                <w:sz w:val="20"/>
                <w:szCs w:val="20"/>
                <w:lang w:val="fr-FR" w:eastAsia="en-CA"/>
              </w:rPr>
            </w:pPr>
            <w:r w:rsidRPr="0010404B">
              <w:rPr>
                <w:sz w:val="20"/>
                <w:szCs w:val="20"/>
                <w:lang w:val="fr-FR" w:eastAsia="en-CA"/>
              </w:rPr>
              <w:t>1 819</w:t>
            </w:r>
          </w:p>
        </w:tc>
        <w:tc>
          <w:tcPr>
            <w:tcW w:w="1134" w:type="dxa"/>
            <w:tcBorders>
              <w:top w:val="nil"/>
              <w:left w:val="nil"/>
              <w:bottom w:val="single" w:sz="4" w:space="0" w:color="auto"/>
              <w:right w:val="single" w:sz="4" w:space="0" w:color="auto"/>
            </w:tcBorders>
            <w:shd w:val="clear" w:color="auto" w:fill="auto"/>
            <w:noWrap/>
            <w:hideMark/>
          </w:tcPr>
          <w:p w14:paraId="70347771"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27D72CE1"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04E16CEA" w14:textId="0BAEF1B5" w:rsidR="00DE7C12" w:rsidRPr="0010404B" w:rsidRDefault="00DE7C12" w:rsidP="00DE7C12">
            <w:pPr>
              <w:jc w:val="right"/>
              <w:rPr>
                <w:sz w:val="20"/>
                <w:szCs w:val="20"/>
                <w:lang w:val="fr-FR" w:eastAsia="en-CA"/>
              </w:rPr>
            </w:pPr>
            <w:r w:rsidRPr="0010404B">
              <w:rPr>
                <w:sz w:val="20"/>
                <w:szCs w:val="20"/>
                <w:lang w:val="fr-FR" w:eastAsia="en-CA"/>
              </w:rPr>
              <w:t>1 819</w:t>
            </w:r>
          </w:p>
        </w:tc>
        <w:tc>
          <w:tcPr>
            <w:tcW w:w="1277" w:type="dxa"/>
            <w:tcBorders>
              <w:top w:val="nil"/>
              <w:left w:val="nil"/>
              <w:bottom w:val="single" w:sz="4" w:space="0" w:color="auto"/>
              <w:right w:val="single" w:sz="4" w:space="0" w:color="auto"/>
            </w:tcBorders>
            <w:shd w:val="clear" w:color="auto" w:fill="auto"/>
            <w:noWrap/>
            <w:hideMark/>
          </w:tcPr>
          <w:p w14:paraId="571BF0D3"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28ECB712"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8340716" w14:textId="3853BA4B" w:rsidR="00DE7C12" w:rsidRPr="0010404B" w:rsidRDefault="00CF4F7E" w:rsidP="00DE7C12">
            <w:pPr>
              <w:jc w:val="left"/>
              <w:rPr>
                <w:sz w:val="20"/>
                <w:szCs w:val="20"/>
                <w:lang w:val="fr-FR" w:eastAsia="en-CA"/>
              </w:rPr>
            </w:pPr>
            <w:r w:rsidRPr="0010404B">
              <w:rPr>
                <w:sz w:val="20"/>
                <w:szCs w:val="20"/>
                <w:lang w:val="fr-FR" w:eastAsia="en-CA"/>
              </w:rPr>
              <w:t xml:space="preserve">Plan de </w:t>
            </w:r>
            <w:r w:rsidR="00E91DB9" w:rsidRPr="0010404B">
              <w:rPr>
                <w:sz w:val="20"/>
                <w:szCs w:val="20"/>
                <w:lang w:val="fr-FR" w:eastAsia="en-CA"/>
              </w:rPr>
              <w:t>réduction</w:t>
            </w:r>
            <w:r w:rsidRPr="0010404B">
              <w:rPr>
                <w:sz w:val="20"/>
                <w:szCs w:val="20"/>
                <w:lang w:val="fr-FR" w:eastAsia="en-CA"/>
              </w:rPr>
              <w:t xml:space="preserve"> progressive des HFC </w:t>
            </w:r>
            <w:r w:rsidR="00DE7C12" w:rsidRPr="0010404B">
              <w:rPr>
                <w:sz w:val="20"/>
                <w:szCs w:val="20"/>
                <w:lang w:val="fr-FR" w:eastAsia="en-CA"/>
              </w:rPr>
              <w:t xml:space="preserve"> – PRP</w:t>
            </w:r>
          </w:p>
        </w:tc>
        <w:tc>
          <w:tcPr>
            <w:tcW w:w="1134" w:type="dxa"/>
            <w:tcBorders>
              <w:top w:val="nil"/>
              <w:left w:val="nil"/>
              <w:bottom w:val="single" w:sz="4" w:space="0" w:color="auto"/>
              <w:right w:val="single" w:sz="4" w:space="0" w:color="auto"/>
            </w:tcBorders>
            <w:shd w:val="clear" w:color="auto" w:fill="auto"/>
            <w:noWrap/>
            <w:hideMark/>
          </w:tcPr>
          <w:p w14:paraId="6F00A3A4" w14:textId="2CB3A966" w:rsidR="00DE7C12" w:rsidRPr="0010404B" w:rsidRDefault="00DE7C12" w:rsidP="00DE7C12">
            <w:pPr>
              <w:jc w:val="right"/>
              <w:rPr>
                <w:sz w:val="20"/>
                <w:szCs w:val="20"/>
                <w:lang w:val="fr-FR" w:eastAsia="en-CA"/>
              </w:rPr>
            </w:pPr>
            <w:r w:rsidRPr="0010404B">
              <w:rPr>
                <w:sz w:val="20"/>
                <w:szCs w:val="20"/>
                <w:lang w:val="fr-FR" w:eastAsia="en-CA"/>
              </w:rPr>
              <w:t>4 425</w:t>
            </w:r>
          </w:p>
        </w:tc>
        <w:tc>
          <w:tcPr>
            <w:tcW w:w="1134" w:type="dxa"/>
            <w:tcBorders>
              <w:top w:val="nil"/>
              <w:left w:val="nil"/>
              <w:bottom w:val="single" w:sz="4" w:space="0" w:color="auto"/>
              <w:right w:val="single" w:sz="4" w:space="0" w:color="auto"/>
            </w:tcBorders>
            <w:shd w:val="clear" w:color="auto" w:fill="auto"/>
            <w:noWrap/>
            <w:hideMark/>
          </w:tcPr>
          <w:p w14:paraId="0692C3D1" w14:textId="77777777" w:rsidR="00DE7C12" w:rsidRPr="0010404B" w:rsidRDefault="00DE7C12" w:rsidP="00DE7C12">
            <w:pPr>
              <w:jc w:val="right"/>
              <w:rPr>
                <w:sz w:val="20"/>
                <w:szCs w:val="20"/>
                <w:lang w:val="fr-FR" w:eastAsia="en-CA"/>
              </w:rPr>
            </w:pPr>
            <w:r w:rsidRPr="0010404B">
              <w:rPr>
                <w:sz w:val="20"/>
                <w:szCs w:val="20"/>
                <w:lang w:val="fr-FR" w:eastAsia="en-CA"/>
              </w:rPr>
              <w:t>830</w:t>
            </w:r>
          </w:p>
        </w:tc>
        <w:tc>
          <w:tcPr>
            <w:tcW w:w="1134" w:type="dxa"/>
            <w:tcBorders>
              <w:top w:val="nil"/>
              <w:left w:val="nil"/>
              <w:bottom w:val="single" w:sz="4" w:space="0" w:color="auto"/>
              <w:right w:val="single" w:sz="4" w:space="0" w:color="auto"/>
            </w:tcBorders>
            <w:shd w:val="clear" w:color="auto" w:fill="auto"/>
            <w:noWrap/>
            <w:hideMark/>
          </w:tcPr>
          <w:p w14:paraId="476ED881"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0274B3D2" w14:textId="0486905A" w:rsidR="00DE7C12" w:rsidRPr="0010404B" w:rsidRDefault="00DE7C12" w:rsidP="00DE7C12">
            <w:pPr>
              <w:jc w:val="right"/>
              <w:rPr>
                <w:sz w:val="20"/>
                <w:szCs w:val="20"/>
                <w:lang w:val="fr-FR" w:eastAsia="en-CA"/>
              </w:rPr>
            </w:pPr>
            <w:r w:rsidRPr="0010404B">
              <w:rPr>
                <w:sz w:val="20"/>
                <w:szCs w:val="20"/>
                <w:lang w:val="fr-FR" w:eastAsia="en-CA"/>
              </w:rPr>
              <w:t>5 256</w:t>
            </w:r>
          </w:p>
        </w:tc>
        <w:tc>
          <w:tcPr>
            <w:tcW w:w="1277" w:type="dxa"/>
            <w:tcBorders>
              <w:top w:val="nil"/>
              <w:left w:val="nil"/>
              <w:bottom w:val="single" w:sz="4" w:space="0" w:color="auto"/>
              <w:right w:val="single" w:sz="4" w:space="0" w:color="auto"/>
            </w:tcBorders>
            <w:shd w:val="clear" w:color="auto" w:fill="auto"/>
            <w:noWrap/>
            <w:hideMark/>
          </w:tcPr>
          <w:p w14:paraId="5223226E"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05EDD143"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C38079B" w14:textId="551310A1" w:rsidR="00DE7C12" w:rsidRPr="0010404B" w:rsidRDefault="00CF4F7E" w:rsidP="00DE7C12">
            <w:pPr>
              <w:jc w:val="left"/>
              <w:rPr>
                <w:sz w:val="20"/>
                <w:szCs w:val="20"/>
                <w:lang w:val="fr-FR" w:eastAsia="en-CA"/>
              </w:rPr>
            </w:pPr>
            <w:r w:rsidRPr="0010404B">
              <w:rPr>
                <w:sz w:val="20"/>
                <w:szCs w:val="20"/>
                <w:lang w:val="fr-FR" w:eastAsia="en-CA"/>
              </w:rPr>
              <w:t xml:space="preserve">Plan de </w:t>
            </w:r>
            <w:r w:rsidR="00E91DB9" w:rsidRPr="0010404B">
              <w:rPr>
                <w:sz w:val="20"/>
                <w:szCs w:val="20"/>
                <w:lang w:val="fr-FR" w:eastAsia="en-CA"/>
              </w:rPr>
              <w:t>réduction</w:t>
            </w:r>
            <w:r w:rsidRPr="0010404B">
              <w:rPr>
                <w:sz w:val="20"/>
                <w:szCs w:val="20"/>
                <w:lang w:val="fr-FR" w:eastAsia="en-CA"/>
              </w:rPr>
              <w:t xml:space="preserve"> progressive des HFC </w:t>
            </w:r>
          </w:p>
        </w:tc>
        <w:tc>
          <w:tcPr>
            <w:tcW w:w="1134" w:type="dxa"/>
            <w:tcBorders>
              <w:top w:val="nil"/>
              <w:left w:val="nil"/>
              <w:bottom w:val="single" w:sz="4" w:space="0" w:color="auto"/>
              <w:right w:val="single" w:sz="4" w:space="0" w:color="auto"/>
            </w:tcBorders>
            <w:shd w:val="clear" w:color="auto" w:fill="auto"/>
            <w:noWrap/>
            <w:hideMark/>
          </w:tcPr>
          <w:p w14:paraId="2C888586"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0C7732B6"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53E1191A"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7D8CE1FE"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277" w:type="dxa"/>
            <w:tcBorders>
              <w:top w:val="nil"/>
              <w:left w:val="nil"/>
              <w:bottom w:val="single" w:sz="4" w:space="0" w:color="auto"/>
              <w:right w:val="single" w:sz="4" w:space="0" w:color="auto"/>
            </w:tcBorders>
            <w:shd w:val="clear" w:color="auto" w:fill="auto"/>
            <w:noWrap/>
            <w:hideMark/>
          </w:tcPr>
          <w:p w14:paraId="20C6CE87"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2497CCA7"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0F819E02" w14:textId="6F18E25C" w:rsidR="00DE7C12" w:rsidRPr="0010404B" w:rsidRDefault="00CF4F7E" w:rsidP="00DE7C12">
            <w:pPr>
              <w:jc w:val="left"/>
              <w:rPr>
                <w:b/>
                <w:bCs/>
                <w:sz w:val="20"/>
                <w:szCs w:val="20"/>
                <w:lang w:val="fr-FR" w:eastAsia="en-CA"/>
              </w:rPr>
            </w:pPr>
            <w:r w:rsidRPr="0010404B">
              <w:rPr>
                <w:b/>
                <w:bCs/>
                <w:sz w:val="20"/>
                <w:szCs w:val="20"/>
                <w:lang w:val="fr-FR" w:eastAsia="en-CA"/>
              </w:rPr>
              <w:t xml:space="preserve">Sous-total des activités </w:t>
            </w:r>
            <w:r w:rsidR="0063090F">
              <w:rPr>
                <w:b/>
                <w:bCs/>
                <w:sz w:val="20"/>
                <w:szCs w:val="20"/>
                <w:lang w:val="fr-FR" w:eastAsia="en-CA"/>
              </w:rPr>
              <w:t>re</w:t>
            </w:r>
            <w:r w:rsidRPr="0010404B">
              <w:rPr>
                <w:b/>
                <w:bCs/>
                <w:sz w:val="20"/>
                <w:szCs w:val="20"/>
                <w:lang w:val="fr-FR" w:eastAsia="en-CA"/>
              </w:rPr>
              <w:t xml:space="preserve">liées aux HFC </w:t>
            </w:r>
          </w:p>
        </w:tc>
        <w:tc>
          <w:tcPr>
            <w:tcW w:w="1134" w:type="dxa"/>
            <w:tcBorders>
              <w:top w:val="nil"/>
              <w:left w:val="nil"/>
              <w:bottom w:val="single" w:sz="4" w:space="0" w:color="auto"/>
              <w:right w:val="single" w:sz="4" w:space="0" w:color="auto"/>
            </w:tcBorders>
            <w:shd w:val="clear" w:color="auto" w:fill="auto"/>
            <w:noWrap/>
            <w:hideMark/>
          </w:tcPr>
          <w:p w14:paraId="7A975BB6" w14:textId="0DD29983" w:rsidR="00DE7C12" w:rsidRPr="0010404B" w:rsidRDefault="00CF4F7E" w:rsidP="00DE7C12">
            <w:pPr>
              <w:jc w:val="right"/>
              <w:rPr>
                <w:b/>
                <w:bCs/>
                <w:sz w:val="20"/>
                <w:szCs w:val="20"/>
                <w:lang w:val="fr-FR" w:eastAsia="en-CA"/>
              </w:rPr>
            </w:pPr>
            <w:r w:rsidRPr="0010404B">
              <w:rPr>
                <w:b/>
                <w:bCs/>
                <w:sz w:val="20"/>
                <w:szCs w:val="20"/>
                <w:lang w:val="fr-FR" w:eastAsia="en-CA"/>
              </w:rPr>
              <w:t xml:space="preserve">6 </w:t>
            </w:r>
            <w:r w:rsidR="00DE7C12" w:rsidRPr="0010404B">
              <w:rPr>
                <w:b/>
                <w:bCs/>
                <w:sz w:val="20"/>
                <w:szCs w:val="20"/>
                <w:lang w:val="fr-FR" w:eastAsia="en-CA"/>
              </w:rPr>
              <w:t>560</w:t>
            </w:r>
          </w:p>
        </w:tc>
        <w:tc>
          <w:tcPr>
            <w:tcW w:w="1134" w:type="dxa"/>
            <w:tcBorders>
              <w:top w:val="nil"/>
              <w:left w:val="nil"/>
              <w:bottom w:val="single" w:sz="4" w:space="0" w:color="auto"/>
              <w:right w:val="single" w:sz="4" w:space="0" w:color="auto"/>
            </w:tcBorders>
            <w:shd w:val="clear" w:color="auto" w:fill="auto"/>
            <w:noWrap/>
            <w:hideMark/>
          </w:tcPr>
          <w:p w14:paraId="1BA63CAC" w14:textId="77777777" w:rsidR="00DE7C12" w:rsidRPr="0010404B" w:rsidRDefault="00DE7C12" w:rsidP="00DE7C12">
            <w:pPr>
              <w:jc w:val="right"/>
              <w:rPr>
                <w:b/>
                <w:bCs/>
                <w:sz w:val="20"/>
                <w:szCs w:val="20"/>
                <w:lang w:val="fr-FR" w:eastAsia="en-CA"/>
              </w:rPr>
            </w:pPr>
            <w:r w:rsidRPr="0010404B">
              <w:rPr>
                <w:b/>
                <w:bCs/>
                <w:sz w:val="20"/>
                <w:szCs w:val="20"/>
                <w:lang w:val="fr-FR" w:eastAsia="en-CA"/>
              </w:rPr>
              <w:t>991</w:t>
            </w:r>
          </w:p>
        </w:tc>
        <w:tc>
          <w:tcPr>
            <w:tcW w:w="1134" w:type="dxa"/>
            <w:tcBorders>
              <w:top w:val="nil"/>
              <w:left w:val="nil"/>
              <w:bottom w:val="single" w:sz="4" w:space="0" w:color="auto"/>
              <w:right w:val="single" w:sz="4" w:space="0" w:color="auto"/>
            </w:tcBorders>
            <w:shd w:val="clear" w:color="auto" w:fill="auto"/>
            <w:noWrap/>
            <w:hideMark/>
          </w:tcPr>
          <w:p w14:paraId="53724728" w14:textId="77777777" w:rsidR="00DE7C12" w:rsidRPr="0010404B" w:rsidRDefault="00DE7C12" w:rsidP="00DE7C12">
            <w:pPr>
              <w:jc w:val="right"/>
              <w:rPr>
                <w:b/>
                <w:bCs/>
                <w:sz w:val="20"/>
                <w:szCs w:val="20"/>
                <w:lang w:val="fr-FR" w:eastAsia="en-CA"/>
              </w:rPr>
            </w:pPr>
            <w:r w:rsidRPr="0010404B">
              <w:rPr>
                <w:b/>
                <w:bCs/>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6220BDF8" w14:textId="3E178738" w:rsidR="00DE7C12" w:rsidRPr="0010404B" w:rsidRDefault="00CF4F7E" w:rsidP="00DE7C12">
            <w:pPr>
              <w:jc w:val="right"/>
              <w:rPr>
                <w:b/>
                <w:bCs/>
                <w:sz w:val="20"/>
                <w:szCs w:val="20"/>
                <w:lang w:val="fr-FR" w:eastAsia="en-CA"/>
              </w:rPr>
            </w:pPr>
            <w:r w:rsidRPr="0010404B">
              <w:rPr>
                <w:b/>
                <w:bCs/>
                <w:sz w:val="20"/>
                <w:szCs w:val="20"/>
                <w:lang w:val="fr-FR" w:eastAsia="en-CA"/>
              </w:rPr>
              <w:t xml:space="preserve">7 </w:t>
            </w:r>
            <w:r w:rsidR="00DE7C12" w:rsidRPr="0010404B">
              <w:rPr>
                <w:b/>
                <w:bCs/>
                <w:sz w:val="20"/>
                <w:szCs w:val="20"/>
                <w:lang w:val="fr-FR" w:eastAsia="en-CA"/>
              </w:rPr>
              <w:t>551</w:t>
            </w:r>
          </w:p>
        </w:tc>
        <w:tc>
          <w:tcPr>
            <w:tcW w:w="1277" w:type="dxa"/>
            <w:tcBorders>
              <w:top w:val="nil"/>
              <w:left w:val="nil"/>
              <w:bottom w:val="single" w:sz="4" w:space="0" w:color="auto"/>
              <w:right w:val="single" w:sz="4" w:space="0" w:color="auto"/>
            </w:tcBorders>
            <w:shd w:val="clear" w:color="auto" w:fill="auto"/>
            <w:noWrap/>
            <w:hideMark/>
          </w:tcPr>
          <w:p w14:paraId="1D24B746" w14:textId="77777777" w:rsidR="00DE7C12" w:rsidRPr="0010404B" w:rsidRDefault="00DE7C12" w:rsidP="00DE7C12">
            <w:pPr>
              <w:jc w:val="right"/>
              <w:rPr>
                <w:b/>
                <w:bCs/>
                <w:sz w:val="20"/>
                <w:szCs w:val="20"/>
                <w:lang w:val="fr-FR" w:eastAsia="en-CA"/>
              </w:rPr>
            </w:pPr>
            <w:r w:rsidRPr="0010404B">
              <w:rPr>
                <w:b/>
                <w:bCs/>
                <w:sz w:val="20"/>
                <w:szCs w:val="20"/>
                <w:lang w:val="fr-FR" w:eastAsia="en-CA"/>
              </w:rPr>
              <w:t>0</w:t>
            </w:r>
          </w:p>
        </w:tc>
      </w:tr>
      <w:tr w:rsidR="00DE7C12" w:rsidRPr="0010404B" w14:paraId="131F9041" w14:textId="77777777" w:rsidTr="00DE7C12">
        <w:trPr>
          <w:trHeight w:val="264"/>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E92DC6F" w14:textId="2425A27E" w:rsidR="00DE7C12" w:rsidRPr="0010404B" w:rsidRDefault="00CF4F7E" w:rsidP="00DE7C12">
            <w:pPr>
              <w:jc w:val="left"/>
              <w:rPr>
                <w:b/>
                <w:bCs/>
                <w:sz w:val="20"/>
                <w:szCs w:val="20"/>
                <w:lang w:val="fr-FR" w:eastAsia="en-CA"/>
              </w:rPr>
            </w:pPr>
            <w:r w:rsidRPr="0010404B">
              <w:rPr>
                <w:b/>
                <w:bCs/>
                <w:sz w:val="20"/>
                <w:szCs w:val="20"/>
                <w:lang w:val="fr-FR" w:eastAsia="en-CA"/>
              </w:rPr>
              <w:t xml:space="preserve">Activités </w:t>
            </w:r>
            <w:r w:rsidR="0063090F">
              <w:rPr>
                <w:b/>
                <w:bCs/>
                <w:sz w:val="20"/>
                <w:szCs w:val="20"/>
                <w:lang w:val="fr-FR" w:eastAsia="en-CA"/>
              </w:rPr>
              <w:t>standard</w:t>
            </w:r>
          </w:p>
        </w:tc>
      </w:tr>
      <w:tr w:rsidR="00DE7C12" w:rsidRPr="0010404B" w14:paraId="3F94912C"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CEDBFE4" w14:textId="400BB234" w:rsidR="00DE7C12" w:rsidRPr="0010404B" w:rsidRDefault="00CF4F7E" w:rsidP="00DE7C12">
            <w:pPr>
              <w:jc w:val="left"/>
              <w:rPr>
                <w:sz w:val="20"/>
                <w:szCs w:val="20"/>
                <w:lang w:val="fr-FR" w:eastAsia="en-CA"/>
              </w:rPr>
            </w:pPr>
            <w:r w:rsidRPr="0010404B">
              <w:rPr>
                <w:sz w:val="20"/>
                <w:szCs w:val="20"/>
                <w:lang w:val="fr-FR" w:eastAsia="en-CA"/>
              </w:rPr>
              <w:t>P</w:t>
            </w:r>
            <w:r w:rsidR="0063090F">
              <w:rPr>
                <w:sz w:val="20"/>
                <w:szCs w:val="20"/>
                <w:lang w:val="fr-FR" w:eastAsia="en-CA"/>
              </w:rPr>
              <w:t>AC</w:t>
            </w:r>
          </w:p>
        </w:tc>
        <w:tc>
          <w:tcPr>
            <w:tcW w:w="1134" w:type="dxa"/>
            <w:tcBorders>
              <w:top w:val="nil"/>
              <w:left w:val="nil"/>
              <w:bottom w:val="single" w:sz="4" w:space="0" w:color="auto"/>
              <w:right w:val="single" w:sz="4" w:space="0" w:color="auto"/>
            </w:tcBorders>
            <w:shd w:val="clear" w:color="auto" w:fill="auto"/>
            <w:noWrap/>
            <w:hideMark/>
          </w:tcPr>
          <w:p w14:paraId="07E7631A" w14:textId="0F1E6069" w:rsidR="00DE7C12" w:rsidRPr="0010404B" w:rsidRDefault="00CF4F7E" w:rsidP="00DE7C12">
            <w:pPr>
              <w:jc w:val="right"/>
              <w:rPr>
                <w:sz w:val="20"/>
                <w:szCs w:val="20"/>
                <w:lang w:val="fr-FR" w:eastAsia="en-CA"/>
              </w:rPr>
            </w:pPr>
            <w:r w:rsidRPr="0010404B">
              <w:rPr>
                <w:sz w:val="20"/>
                <w:szCs w:val="20"/>
                <w:lang w:val="fr-FR" w:eastAsia="en-CA"/>
              </w:rPr>
              <w:t xml:space="preserve">11 </w:t>
            </w:r>
            <w:r w:rsidR="00DE7C12" w:rsidRPr="0010404B">
              <w:rPr>
                <w:sz w:val="20"/>
                <w:szCs w:val="20"/>
                <w:lang w:val="fr-FR" w:eastAsia="en-CA"/>
              </w:rPr>
              <w:t>428</w:t>
            </w:r>
          </w:p>
        </w:tc>
        <w:tc>
          <w:tcPr>
            <w:tcW w:w="1134" w:type="dxa"/>
            <w:tcBorders>
              <w:top w:val="nil"/>
              <w:left w:val="nil"/>
              <w:bottom w:val="single" w:sz="4" w:space="0" w:color="auto"/>
              <w:right w:val="single" w:sz="4" w:space="0" w:color="auto"/>
            </w:tcBorders>
            <w:shd w:val="clear" w:color="auto" w:fill="auto"/>
            <w:noWrap/>
            <w:hideMark/>
          </w:tcPr>
          <w:p w14:paraId="52D184AE" w14:textId="0C42C800" w:rsidR="00DE7C12" w:rsidRPr="0010404B" w:rsidRDefault="00CF4F7E" w:rsidP="00DE7C12">
            <w:pPr>
              <w:jc w:val="right"/>
              <w:rPr>
                <w:sz w:val="20"/>
                <w:szCs w:val="20"/>
                <w:lang w:val="fr-FR" w:eastAsia="en-CA"/>
              </w:rPr>
            </w:pPr>
            <w:r w:rsidRPr="0010404B">
              <w:rPr>
                <w:sz w:val="20"/>
                <w:szCs w:val="20"/>
                <w:lang w:val="fr-FR" w:eastAsia="en-CA"/>
              </w:rPr>
              <w:t xml:space="preserve">11 </w:t>
            </w:r>
            <w:r w:rsidR="00DE7C12" w:rsidRPr="0010404B">
              <w:rPr>
                <w:sz w:val="20"/>
                <w:szCs w:val="20"/>
                <w:lang w:val="fr-FR" w:eastAsia="en-CA"/>
              </w:rPr>
              <w:t>771</w:t>
            </w:r>
          </w:p>
        </w:tc>
        <w:tc>
          <w:tcPr>
            <w:tcW w:w="1134" w:type="dxa"/>
            <w:tcBorders>
              <w:top w:val="nil"/>
              <w:left w:val="nil"/>
              <w:bottom w:val="single" w:sz="4" w:space="0" w:color="auto"/>
              <w:right w:val="single" w:sz="4" w:space="0" w:color="auto"/>
            </w:tcBorders>
            <w:shd w:val="clear" w:color="auto" w:fill="auto"/>
            <w:noWrap/>
            <w:hideMark/>
          </w:tcPr>
          <w:p w14:paraId="4ADBF5CE" w14:textId="44394CD8" w:rsidR="00DE7C12" w:rsidRPr="0010404B" w:rsidRDefault="00CF4F7E" w:rsidP="00DE7C12">
            <w:pPr>
              <w:jc w:val="right"/>
              <w:rPr>
                <w:sz w:val="20"/>
                <w:szCs w:val="20"/>
                <w:lang w:val="fr-FR" w:eastAsia="en-CA"/>
              </w:rPr>
            </w:pPr>
            <w:r w:rsidRPr="0010404B">
              <w:rPr>
                <w:sz w:val="20"/>
                <w:szCs w:val="20"/>
                <w:lang w:val="fr-FR" w:eastAsia="en-CA"/>
              </w:rPr>
              <w:t xml:space="preserve">12 </w:t>
            </w:r>
            <w:r w:rsidR="00DE7C12" w:rsidRPr="0010404B">
              <w:rPr>
                <w:sz w:val="20"/>
                <w:szCs w:val="20"/>
                <w:lang w:val="fr-FR" w:eastAsia="en-CA"/>
              </w:rPr>
              <w:t>124</w:t>
            </w:r>
          </w:p>
        </w:tc>
        <w:tc>
          <w:tcPr>
            <w:tcW w:w="1417" w:type="dxa"/>
            <w:tcBorders>
              <w:top w:val="nil"/>
              <w:left w:val="nil"/>
              <w:bottom w:val="single" w:sz="4" w:space="0" w:color="auto"/>
              <w:right w:val="single" w:sz="4" w:space="0" w:color="auto"/>
            </w:tcBorders>
            <w:shd w:val="clear" w:color="auto" w:fill="auto"/>
            <w:noWrap/>
            <w:hideMark/>
          </w:tcPr>
          <w:p w14:paraId="7371BD92" w14:textId="4065F25C" w:rsidR="00DE7C12" w:rsidRPr="0010404B" w:rsidRDefault="00CF4F7E" w:rsidP="00DE7C12">
            <w:pPr>
              <w:jc w:val="right"/>
              <w:rPr>
                <w:sz w:val="20"/>
                <w:szCs w:val="20"/>
                <w:lang w:val="fr-FR" w:eastAsia="en-CA"/>
              </w:rPr>
            </w:pPr>
            <w:r w:rsidRPr="0010404B">
              <w:rPr>
                <w:sz w:val="20"/>
                <w:szCs w:val="20"/>
                <w:lang w:val="fr-FR" w:eastAsia="en-CA"/>
              </w:rPr>
              <w:t xml:space="preserve">35 </w:t>
            </w:r>
            <w:r w:rsidR="00DE7C12" w:rsidRPr="0010404B">
              <w:rPr>
                <w:sz w:val="20"/>
                <w:szCs w:val="20"/>
                <w:lang w:val="fr-FR" w:eastAsia="en-CA"/>
              </w:rPr>
              <w:t>324</w:t>
            </w:r>
          </w:p>
        </w:tc>
        <w:tc>
          <w:tcPr>
            <w:tcW w:w="1277" w:type="dxa"/>
            <w:tcBorders>
              <w:top w:val="nil"/>
              <w:left w:val="nil"/>
              <w:bottom w:val="single" w:sz="4" w:space="0" w:color="auto"/>
              <w:right w:val="single" w:sz="4" w:space="0" w:color="auto"/>
            </w:tcBorders>
            <w:shd w:val="clear" w:color="auto" w:fill="auto"/>
            <w:noWrap/>
            <w:hideMark/>
          </w:tcPr>
          <w:p w14:paraId="6D826CCB"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2DED58DF"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41920E57" w14:textId="026CEAEB" w:rsidR="00DE7C12" w:rsidRPr="0010404B" w:rsidRDefault="0063090F" w:rsidP="00DE7C12">
            <w:pPr>
              <w:jc w:val="left"/>
              <w:rPr>
                <w:sz w:val="20"/>
                <w:szCs w:val="20"/>
                <w:lang w:val="fr-FR" w:eastAsia="en-CA"/>
              </w:rPr>
            </w:pPr>
            <w:r>
              <w:rPr>
                <w:sz w:val="20"/>
                <w:szCs w:val="20"/>
                <w:lang w:val="fr-FR" w:eastAsia="en-CA"/>
              </w:rPr>
              <w:t>Coûts de base</w:t>
            </w:r>
          </w:p>
        </w:tc>
        <w:tc>
          <w:tcPr>
            <w:tcW w:w="1134" w:type="dxa"/>
            <w:tcBorders>
              <w:top w:val="nil"/>
              <w:left w:val="nil"/>
              <w:bottom w:val="single" w:sz="4" w:space="0" w:color="auto"/>
              <w:right w:val="single" w:sz="4" w:space="0" w:color="auto"/>
            </w:tcBorders>
            <w:shd w:val="clear" w:color="auto" w:fill="auto"/>
            <w:noWrap/>
            <w:hideMark/>
          </w:tcPr>
          <w:p w14:paraId="1B3CF2C7" w14:textId="1BF6928B" w:rsidR="00DE7C12" w:rsidRPr="0010404B" w:rsidRDefault="00CF4F7E" w:rsidP="00DE7C12">
            <w:pPr>
              <w:jc w:val="right"/>
              <w:rPr>
                <w:sz w:val="20"/>
                <w:szCs w:val="20"/>
                <w:lang w:val="fr-FR" w:eastAsia="en-CA"/>
              </w:rPr>
            </w:pPr>
            <w:r w:rsidRPr="0010404B">
              <w:rPr>
                <w:sz w:val="20"/>
                <w:szCs w:val="20"/>
                <w:lang w:val="fr-FR" w:eastAsia="en-CA"/>
              </w:rPr>
              <w:t xml:space="preserve">5 </w:t>
            </w:r>
            <w:r w:rsidR="00DE7C12" w:rsidRPr="0010404B">
              <w:rPr>
                <w:sz w:val="20"/>
                <w:szCs w:val="20"/>
                <w:lang w:val="fr-FR" w:eastAsia="en-CA"/>
              </w:rPr>
              <w:t>961</w:t>
            </w:r>
          </w:p>
        </w:tc>
        <w:tc>
          <w:tcPr>
            <w:tcW w:w="1134" w:type="dxa"/>
            <w:tcBorders>
              <w:top w:val="nil"/>
              <w:left w:val="nil"/>
              <w:bottom w:val="single" w:sz="4" w:space="0" w:color="auto"/>
              <w:right w:val="single" w:sz="4" w:space="0" w:color="auto"/>
            </w:tcBorders>
            <w:shd w:val="clear" w:color="auto" w:fill="auto"/>
            <w:noWrap/>
            <w:hideMark/>
          </w:tcPr>
          <w:p w14:paraId="0C3A8799" w14:textId="773A0AEE" w:rsidR="00DE7C12" w:rsidRPr="0010404B" w:rsidRDefault="00CF4F7E" w:rsidP="00DE7C12">
            <w:pPr>
              <w:jc w:val="right"/>
              <w:rPr>
                <w:sz w:val="20"/>
                <w:szCs w:val="20"/>
                <w:lang w:val="fr-FR" w:eastAsia="en-CA"/>
              </w:rPr>
            </w:pPr>
            <w:r w:rsidRPr="0010404B">
              <w:rPr>
                <w:sz w:val="20"/>
                <w:szCs w:val="20"/>
                <w:lang w:val="fr-FR" w:eastAsia="en-CA"/>
              </w:rPr>
              <w:t xml:space="preserve">6 </w:t>
            </w:r>
            <w:r w:rsidR="00DE7C12" w:rsidRPr="0010404B">
              <w:rPr>
                <w:sz w:val="20"/>
                <w:szCs w:val="20"/>
                <w:lang w:val="fr-FR" w:eastAsia="en-CA"/>
              </w:rPr>
              <w:t>003</w:t>
            </w:r>
          </w:p>
        </w:tc>
        <w:tc>
          <w:tcPr>
            <w:tcW w:w="1134" w:type="dxa"/>
            <w:tcBorders>
              <w:top w:val="nil"/>
              <w:left w:val="nil"/>
              <w:bottom w:val="single" w:sz="4" w:space="0" w:color="auto"/>
              <w:right w:val="single" w:sz="4" w:space="0" w:color="auto"/>
            </w:tcBorders>
            <w:shd w:val="clear" w:color="auto" w:fill="auto"/>
            <w:noWrap/>
            <w:hideMark/>
          </w:tcPr>
          <w:p w14:paraId="3C70C11D" w14:textId="411FE131" w:rsidR="00DE7C12" w:rsidRPr="0010404B" w:rsidRDefault="00CF4F7E" w:rsidP="00DE7C12">
            <w:pPr>
              <w:jc w:val="right"/>
              <w:rPr>
                <w:sz w:val="20"/>
                <w:szCs w:val="20"/>
                <w:lang w:val="fr-FR" w:eastAsia="en-CA"/>
              </w:rPr>
            </w:pPr>
            <w:r w:rsidRPr="0010404B">
              <w:rPr>
                <w:sz w:val="20"/>
                <w:szCs w:val="20"/>
                <w:lang w:val="fr-FR" w:eastAsia="en-CA"/>
              </w:rPr>
              <w:t xml:space="preserve">6 </w:t>
            </w:r>
            <w:r w:rsidR="00DE7C12" w:rsidRPr="0010404B">
              <w:rPr>
                <w:sz w:val="20"/>
                <w:szCs w:val="20"/>
                <w:lang w:val="fr-FR" w:eastAsia="en-CA"/>
              </w:rPr>
              <w:t>045</w:t>
            </w:r>
          </w:p>
        </w:tc>
        <w:tc>
          <w:tcPr>
            <w:tcW w:w="1417" w:type="dxa"/>
            <w:tcBorders>
              <w:top w:val="nil"/>
              <w:left w:val="nil"/>
              <w:bottom w:val="single" w:sz="4" w:space="0" w:color="auto"/>
              <w:right w:val="single" w:sz="4" w:space="0" w:color="auto"/>
            </w:tcBorders>
            <w:shd w:val="clear" w:color="auto" w:fill="auto"/>
            <w:noWrap/>
            <w:hideMark/>
          </w:tcPr>
          <w:p w14:paraId="4CAD48C8" w14:textId="424BDDAB" w:rsidR="00DE7C12" w:rsidRPr="0010404B" w:rsidRDefault="00CF4F7E" w:rsidP="00DE7C12">
            <w:pPr>
              <w:jc w:val="right"/>
              <w:rPr>
                <w:sz w:val="20"/>
                <w:szCs w:val="20"/>
                <w:lang w:val="fr-FR" w:eastAsia="en-CA"/>
              </w:rPr>
            </w:pPr>
            <w:r w:rsidRPr="0010404B">
              <w:rPr>
                <w:sz w:val="20"/>
                <w:szCs w:val="20"/>
                <w:lang w:val="fr-FR" w:eastAsia="en-CA"/>
              </w:rPr>
              <w:t xml:space="preserve">18 </w:t>
            </w:r>
            <w:r w:rsidR="00DE7C12" w:rsidRPr="0010404B">
              <w:rPr>
                <w:sz w:val="20"/>
                <w:szCs w:val="20"/>
                <w:lang w:val="fr-FR" w:eastAsia="en-CA"/>
              </w:rPr>
              <w:t>009</w:t>
            </w:r>
          </w:p>
        </w:tc>
        <w:tc>
          <w:tcPr>
            <w:tcW w:w="1277" w:type="dxa"/>
            <w:tcBorders>
              <w:top w:val="nil"/>
              <w:left w:val="nil"/>
              <w:bottom w:val="single" w:sz="4" w:space="0" w:color="auto"/>
              <w:right w:val="single" w:sz="4" w:space="0" w:color="auto"/>
            </w:tcBorders>
            <w:shd w:val="clear" w:color="auto" w:fill="auto"/>
            <w:noWrap/>
            <w:hideMark/>
          </w:tcPr>
          <w:p w14:paraId="2ECDF2EE"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0370CCB8"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057736A3" w14:textId="68745396" w:rsidR="00DE7C12" w:rsidRPr="0010404B" w:rsidRDefault="00CF4F7E" w:rsidP="00DE7C12">
            <w:pPr>
              <w:jc w:val="left"/>
              <w:rPr>
                <w:sz w:val="20"/>
                <w:szCs w:val="20"/>
                <w:lang w:val="fr-FR" w:eastAsia="en-CA"/>
              </w:rPr>
            </w:pPr>
            <w:r w:rsidRPr="0010404B">
              <w:rPr>
                <w:sz w:val="20"/>
                <w:szCs w:val="20"/>
                <w:lang w:val="fr-FR" w:eastAsia="en-CA"/>
              </w:rPr>
              <w:t>Renforcement des institutions</w:t>
            </w:r>
          </w:p>
        </w:tc>
        <w:tc>
          <w:tcPr>
            <w:tcW w:w="1134" w:type="dxa"/>
            <w:tcBorders>
              <w:top w:val="nil"/>
              <w:left w:val="nil"/>
              <w:bottom w:val="single" w:sz="4" w:space="0" w:color="auto"/>
              <w:right w:val="single" w:sz="4" w:space="0" w:color="auto"/>
            </w:tcBorders>
            <w:shd w:val="clear" w:color="auto" w:fill="auto"/>
            <w:noWrap/>
            <w:hideMark/>
          </w:tcPr>
          <w:p w14:paraId="4977B39A" w14:textId="5FC0CD1D" w:rsidR="00DE7C12" w:rsidRPr="0010404B" w:rsidRDefault="00CF4F7E" w:rsidP="00DE7C12">
            <w:pPr>
              <w:jc w:val="right"/>
              <w:rPr>
                <w:sz w:val="20"/>
                <w:szCs w:val="20"/>
                <w:lang w:val="fr-FR" w:eastAsia="en-CA"/>
              </w:rPr>
            </w:pPr>
            <w:r w:rsidRPr="0010404B">
              <w:rPr>
                <w:sz w:val="20"/>
                <w:szCs w:val="20"/>
                <w:lang w:val="fr-FR" w:eastAsia="en-CA"/>
              </w:rPr>
              <w:t xml:space="preserve">11 </w:t>
            </w:r>
            <w:r w:rsidR="00DE7C12" w:rsidRPr="0010404B">
              <w:rPr>
                <w:sz w:val="20"/>
                <w:szCs w:val="20"/>
                <w:lang w:val="fr-FR" w:eastAsia="en-CA"/>
              </w:rPr>
              <w:t>574</w:t>
            </w:r>
          </w:p>
        </w:tc>
        <w:tc>
          <w:tcPr>
            <w:tcW w:w="1134" w:type="dxa"/>
            <w:tcBorders>
              <w:top w:val="nil"/>
              <w:left w:val="nil"/>
              <w:bottom w:val="single" w:sz="4" w:space="0" w:color="auto"/>
              <w:right w:val="single" w:sz="4" w:space="0" w:color="auto"/>
            </w:tcBorders>
            <w:shd w:val="clear" w:color="auto" w:fill="auto"/>
            <w:noWrap/>
            <w:hideMark/>
          </w:tcPr>
          <w:p w14:paraId="1031F11E" w14:textId="1EB981E4" w:rsidR="00DE7C12" w:rsidRPr="0010404B" w:rsidRDefault="00CF4F7E" w:rsidP="00DE7C12">
            <w:pPr>
              <w:jc w:val="right"/>
              <w:rPr>
                <w:sz w:val="20"/>
                <w:szCs w:val="20"/>
                <w:lang w:val="fr-FR" w:eastAsia="en-CA"/>
              </w:rPr>
            </w:pPr>
            <w:r w:rsidRPr="0010404B">
              <w:rPr>
                <w:sz w:val="20"/>
                <w:szCs w:val="20"/>
                <w:lang w:val="fr-FR" w:eastAsia="en-CA"/>
              </w:rPr>
              <w:t xml:space="preserve">9 </w:t>
            </w:r>
            <w:r w:rsidR="00DE7C12" w:rsidRPr="0010404B">
              <w:rPr>
                <w:sz w:val="20"/>
                <w:szCs w:val="20"/>
                <w:lang w:val="fr-FR" w:eastAsia="en-CA"/>
              </w:rPr>
              <w:t>858</w:t>
            </w:r>
          </w:p>
        </w:tc>
        <w:tc>
          <w:tcPr>
            <w:tcW w:w="1134" w:type="dxa"/>
            <w:tcBorders>
              <w:top w:val="nil"/>
              <w:left w:val="nil"/>
              <w:bottom w:val="single" w:sz="4" w:space="0" w:color="auto"/>
              <w:right w:val="single" w:sz="4" w:space="0" w:color="auto"/>
            </w:tcBorders>
            <w:shd w:val="clear" w:color="auto" w:fill="auto"/>
            <w:noWrap/>
            <w:hideMark/>
          </w:tcPr>
          <w:p w14:paraId="66FBBB07" w14:textId="7C86A87F" w:rsidR="00DE7C12" w:rsidRPr="0010404B" w:rsidRDefault="00CF4F7E" w:rsidP="00DE7C12">
            <w:pPr>
              <w:jc w:val="right"/>
              <w:rPr>
                <w:sz w:val="20"/>
                <w:szCs w:val="20"/>
                <w:lang w:val="fr-FR" w:eastAsia="en-CA"/>
              </w:rPr>
            </w:pPr>
            <w:r w:rsidRPr="0010404B">
              <w:rPr>
                <w:sz w:val="20"/>
                <w:szCs w:val="20"/>
                <w:lang w:val="fr-FR" w:eastAsia="en-CA"/>
              </w:rPr>
              <w:t xml:space="preserve">11 </w:t>
            </w:r>
            <w:r w:rsidR="00DE7C12" w:rsidRPr="0010404B">
              <w:rPr>
                <w:sz w:val="20"/>
                <w:szCs w:val="20"/>
                <w:lang w:val="fr-FR" w:eastAsia="en-CA"/>
              </w:rPr>
              <w:t>574</w:t>
            </w:r>
          </w:p>
        </w:tc>
        <w:tc>
          <w:tcPr>
            <w:tcW w:w="1417" w:type="dxa"/>
            <w:tcBorders>
              <w:top w:val="nil"/>
              <w:left w:val="nil"/>
              <w:bottom w:val="single" w:sz="4" w:space="0" w:color="auto"/>
              <w:right w:val="single" w:sz="4" w:space="0" w:color="auto"/>
            </w:tcBorders>
            <w:shd w:val="clear" w:color="auto" w:fill="auto"/>
            <w:noWrap/>
            <w:hideMark/>
          </w:tcPr>
          <w:p w14:paraId="6242DF0C" w14:textId="1DEFCAAB" w:rsidR="00DE7C12" w:rsidRPr="0010404B" w:rsidRDefault="00CF4F7E" w:rsidP="00DE7C12">
            <w:pPr>
              <w:jc w:val="right"/>
              <w:rPr>
                <w:sz w:val="20"/>
                <w:szCs w:val="20"/>
                <w:lang w:val="fr-FR" w:eastAsia="en-CA"/>
              </w:rPr>
            </w:pPr>
            <w:r w:rsidRPr="0010404B">
              <w:rPr>
                <w:sz w:val="20"/>
                <w:szCs w:val="20"/>
                <w:lang w:val="fr-FR" w:eastAsia="en-CA"/>
              </w:rPr>
              <w:t xml:space="preserve">33 </w:t>
            </w:r>
            <w:r w:rsidR="00DE7C12" w:rsidRPr="0010404B">
              <w:rPr>
                <w:sz w:val="20"/>
                <w:szCs w:val="20"/>
                <w:lang w:val="fr-FR" w:eastAsia="en-CA"/>
              </w:rPr>
              <w:t>007</w:t>
            </w:r>
          </w:p>
        </w:tc>
        <w:tc>
          <w:tcPr>
            <w:tcW w:w="1277" w:type="dxa"/>
            <w:tcBorders>
              <w:top w:val="nil"/>
              <w:left w:val="nil"/>
              <w:bottom w:val="single" w:sz="4" w:space="0" w:color="auto"/>
              <w:right w:val="single" w:sz="4" w:space="0" w:color="auto"/>
            </w:tcBorders>
            <w:shd w:val="clear" w:color="auto" w:fill="auto"/>
            <w:noWrap/>
            <w:hideMark/>
          </w:tcPr>
          <w:p w14:paraId="3A73B197"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6FEABEDA"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96A60AC" w14:textId="06DAA9FC" w:rsidR="00DE7C12" w:rsidRPr="0010404B" w:rsidRDefault="00E91DB9" w:rsidP="00CF4F7E">
            <w:pPr>
              <w:jc w:val="left"/>
              <w:rPr>
                <w:sz w:val="20"/>
                <w:szCs w:val="20"/>
                <w:lang w:val="fr-FR" w:eastAsia="en-CA"/>
              </w:rPr>
            </w:pPr>
            <w:r w:rsidRPr="0010404B">
              <w:rPr>
                <w:sz w:val="20"/>
                <w:szCs w:val="20"/>
                <w:lang w:val="fr-FR" w:eastAsia="en-CA"/>
              </w:rPr>
              <w:t>Secrétariat</w:t>
            </w:r>
            <w:r w:rsidR="00DE7C12" w:rsidRPr="0010404B">
              <w:rPr>
                <w:sz w:val="20"/>
                <w:szCs w:val="20"/>
                <w:lang w:val="fr-FR" w:eastAsia="en-CA"/>
              </w:rPr>
              <w:t xml:space="preserve">, </w:t>
            </w:r>
            <w:r w:rsidR="00CF4F7E" w:rsidRPr="0010404B">
              <w:rPr>
                <w:sz w:val="20"/>
                <w:szCs w:val="20"/>
                <w:lang w:val="fr-FR" w:eastAsia="en-CA"/>
              </w:rPr>
              <w:t xml:space="preserve">Comité exécutif et coûts du suivi et de l’évaluation moins la contrepartie </w:t>
            </w:r>
            <w:r w:rsidR="00864CD0">
              <w:rPr>
                <w:sz w:val="20"/>
                <w:szCs w:val="20"/>
                <w:lang w:val="fr-FR" w:eastAsia="en-CA"/>
              </w:rPr>
              <w:t>canadienne</w:t>
            </w:r>
            <w:r w:rsidR="00CF4F7E" w:rsidRPr="0010404B">
              <w:rPr>
                <w:sz w:val="20"/>
                <w:szCs w:val="20"/>
                <w:lang w:val="fr-FR" w:eastAsia="en-CA"/>
              </w:rPr>
              <w:t xml:space="preserve"> </w:t>
            </w:r>
          </w:p>
        </w:tc>
        <w:tc>
          <w:tcPr>
            <w:tcW w:w="1134" w:type="dxa"/>
            <w:tcBorders>
              <w:top w:val="nil"/>
              <w:left w:val="nil"/>
              <w:bottom w:val="single" w:sz="4" w:space="0" w:color="auto"/>
              <w:right w:val="single" w:sz="4" w:space="0" w:color="auto"/>
            </w:tcBorders>
            <w:shd w:val="clear" w:color="auto" w:fill="auto"/>
            <w:noWrap/>
            <w:hideMark/>
          </w:tcPr>
          <w:p w14:paraId="210B784F" w14:textId="7ABC02CA" w:rsidR="00DE7C12" w:rsidRPr="0010404B" w:rsidRDefault="00CF4F7E" w:rsidP="00DE7C12">
            <w:pPr>
              <w:jc w:val="right"/>
              <w:rPr>
                <w:sz w:val="20"/>
                <w:szCs w:val="20"/>
                <w:lang w:val="fr-FR" w:eastAsia="en-CA"/>
              </w:rPr>
            </w:pPr>
            <w:r w:rsidRPr="0010404B">
              <w:rPr>
                <w:sz w:val="20"/>
                <w:szCs w:val="20"/>
                <w:lang w:val="fr-FR" w:eastAsia="en-CA"/>
              </w:rPr>
              <w:t xml:space="preserve">6 </w:t>
            </w:r>
            <w:r w:rsidR="00DE7C12" w:rsidRPr="0010404B">
              <w:rPr>
                <w:sz w:val="20"/>
                <w:szCs w:val="20"/>
                <w:lang w:val="fr-FR" w:eastAsia="en-CA"/>
              </w:rPr>
              <w:t>362</w:t>
            </w:r>
          </w:p>
        </w:tc>
        <w:tc>
          <w:tcPr>
            <w:tcW w:w="1134" w:type="dxa"/>
            <w:tcBorders>
              <w:top w:val="nil"/>
              <w:left w:val="nil"/>
              <w:bottom w:val="single" w:sz="4" w:space="0" w:color="auto"/>
              <w:right w:val="single" w:sz="4" w:space="0" w:color="auto"/>
            </w:tcBorders>
            <w:shd w:val="clear" w:color="auto" w:fill="auto"/>
            <w:noWrap/>
            <w:hideMark/>
          </w:tcPr>
          <w:p w14:paraId="50132FA9" w14:textId="43720B72" w:rsidR="00DE7C12" w:rsidRPr="0010404B" w:rsidRDefault="00CF4F7E" w:rsidP="00DE7C12">
            <w:pPr>
              <w:jc w:val="right"/>
              <w:rPr>
                <w:sz w:val="20"/>
                <w:szCs w:val="20"/>
                <w:lang w:val="fr-FR" w:eastAsia="en-CA"/>
              </w:rPr>
            </w:pPr>
            <w:r w:rsidRPr="0010404B">
              <w:rPr>
                <w:sz w:val="20"/>
                <w:szCs w:val="20"/>
                <w:lang w:val="fr-FR" w:eastAsia="en-CA"/>
              </w:rPr>
              <w:t xml:space="preserve">7 </w:t>
            </w:r>
            <w:r w:rsidR="00DE7C12" w:rsidRPr="0010404B">
              <w:rPr>
                <w:sz w:val="20"/>
                <w:szCs w:val="20"/>
                <w:lang w:val="fr-FR" w:eastAsia="en-CA"/>
              </w:rPr>
              <w:t>009</w:t>
            </w:r>
          </w:p>
        </w:tc>
        <w:tc>
          <w:tcPr>
            <w:tcW w:w="1134" w:type="dxa"/>
            <w:tcBorders>
              <w:top w:val="nil"/>
              <w:left w:val="nil"/>
              <w:bottom w:val="single" w:sz="4" w:space="0" w:color="auto"/>
              <w:right w:val="single" w:sz="4" w:space="0" w:color="auto"/>
            </w:tcBorders>
            <w:shd w:val="clear" w:color="auto" w:fill="auto"/>
            <w:noWrap/>
            <w:hideMark/>
          </w:tcPr>
          <w:p w14:paraId="0B1852BF" w14:textId="3B505227" w:rsidR="00DE7C12" w:rsidRPr="0010404B" w:rsidRDefault="00CF4F7E" w:rsidP="00DE7C12">
            <w:pPr>
              <w:jc w:val="right"/>
              <w:rPr>
                <w:sz w:val="20"/>
                <w:szCs w:val="20"/>
                <w:lang w:val="fr-FR" w:eastAsia="en-CA"/>
              </w:rPr>
            </w:pPr>
            <w:r w:rsidRPr="0010404B">
              <w:rPr>
                <w:sz w:val="20"/>
                <w:szCs w:val="20"/>
                <w:lang w:val="fr-FR" w:eastAsia="en-CA"/>
              </w:rPr>
              <w:t xml:space="preserve">7 </w:t>
            </w:r>
            <w:r w:rsidR="00DE7C12" w:rsidRPr="0010404B">
              <w:rPr>
                <w:sz w:val="20"/>
                <w:szCs w:val="20"/>
                <w:lang w:val="fr-FR" w:eastAsia="en-CA"/>
              </w:rPr>
              <w:t>159</w:t>
            </w:r>
          </w:p>
        </w:tc>
        <w:tc>
          <w:tcPr>
            <w:tcW w:w="1417" w:type="dxa"/>
            <w:tcBorders>
              <w:top w:val="nil"/>
              <w:left w:val="nil"/>
              <w:bottom w:val="single" w:sz="4" w:space="0" w:color="auto"/>
              <w:right w:val="single" w:sz="4" w:space="0" w:color="auto"/>
            </w:tcBorders>
            <w:shd w:val="clear" w:color="auto" w:fill="auto"/>
            <w:noWrap/>
            <w:hideMark/>
          </w:tcPr>
          <w:p w14:paraId="3F2B0F87" w14:textId="6756856D" w:rsidR="00DE7C12" w:rsidRPr="0010404B" w:rsidRDefault="00CF4F7E" w:rsidP="00DE7C12">
            <w:pPr>
              <w:jc w:val="right"/>
              <w:rPr>
                <w:sz w:val="20"/>
                <w:szCs w:val="20"/>
                <w:lang w:val="fr-FR" w:eastAsia="en-CA"/>
              </w:rPr>
            </w:pPr>
            <w:r w:rsidRPr="0010404B">
              <w:rPr>
                <w:sz w:val="20"/>
                <w:szCs w:val="20"/>
                <w:lang w:val="fr-FR" w:eastAsia="en-CA"/>
              </w:rPr>
              <w:t xml:space="preserve">20 </w:t>
            </w:r>
            <w:r w:rsidR="00DE7C12" w:rsidRPr="0010404B">
              <w:rPr>
                <w:sz w:val="20"/>
                <w:szCs w:val="20"/>
                <w:lang w:val="fr-FR" w:eastAsia="en-CA"/>
              </w:rPr>
              <w:t>530</w:t>
            </w:r>
          </w:p>
        </w:tc>
        <w:tc>
          <w:tcPr>
            <w:tcW w:w="1277" w:type="dxa"/>
            <w:tcBorders>
              <w:top w:val="nil"/>
              <w:left w:val="nil"/>
              <w:bottom w:val="single" w:sz="4" w:space="0" w:color="auto"/>
              <w:right w:val="single" w:sz="4" w:space="0" w:color="auto"/>
            </w:tcBorders>
            <w:shd w:val="clear" w:color="auto" w:fill="auto"/>
            <w:noWrap/>
          </w:tcPr>
          <w:p w14:paraId="71FF72F9" w14:textId="77777777" w:rsidR="00DE7C12" w:rsidRPr="0010404B" w:rsidRDefault="00DE7C12" w:rsidP="00DE7C12">
            <w:pPr>
              <w:jc w:val="right"/>
              <w:rPr>
                <w:sz w:val="20"/>
                <w:szCs w:val="20"/>
                <w:lang w:val="fr-FR" w:eastAsia="en-CA"/>
              </w:rPr>
            </w:pPr>
          </w:p>
        </w:tc>
      </w:tr>
      <w:tr w:rsidR="00DE7C12" w:rsidRPr="0010404B" w14:paraId="0C347B08"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BA8AFE7" w14:textId="0F530CE3" w:rsidR="00DE7C12" w:rsidRPr="0010404B" w:rsidRDefault="00E91DB9" w:rsidP="00DE7C12">
            <w:pPr>
              <w:jc w:val="left"/>
              <w:rPr>
                <w:sz w:val="20"/>
                <w:szCs w:val="20"/>
                <w:lang w:val="fr-FR" w:eastAsia="en-CA"/>
              </w:rPr>
            </w:pPr>
            <w:r w:rsidRPr="0010404B">
              <w:rPr>
                <w:sz w:val="20"/>
                <w:szCs w:val="20"/>
                <w:lang w:val="fr-FR" w:eastAsia="en-CA"/>
              </w:rPr>
              <w:t>Trésorier</w:t>
            </w:r>
          </w:p>
        </w:tc>
        <w:tc>
          <w:tcPr>
            <w:tcW w:w="1134" w:type="dxa"/>
            <w:tcBorders>
              <w:top w:val="nil"/>
              <w:left w:val="nil"/>
              <w:bottom w:val="single" w:sz="4" w:space="0" w:color="auto"/>
              <w:right w:val="single" w:sz="4" w:space="0" w:color="auto"/>
            </w:tcBorders>
            <w:shd w:val="clear" w:color="auto" w:fill="auto"/>
            <w:noWrap/>
            <w:hideMark/>
          </w:tcPr>
          <w:p w14:paraId="3170EA64" w14:textId="77777777" w:rsidR="00DE7C12" w:rsidRPr="0010404B" w:rsidRDefault="00DE7C12" w:rsidP="00DE7C12">
            <w:pPr>
              <w:jc w:val="right"/>
              <w:rPr>
                <w:sz w:val="20"/>
                <w:szCs w:val="20"/>
                <w:lang w:val="fr-FR" w:eastAsia="en-CA"/>
              </w:rPr>
            </w:pPr>
            <w:r w:rsidRPr="0010404B">
              <w:rPr>
                <w:sz w:val="20"/>
                <w:szCs w:val="20"/>
                <w:lang w:val="fr-FR" w:eastAsia="en-CA"/>
              </w:rPr>
              <w:t>500</w:t>
            </w:r>
          </w:p>
        </w:tc>
        <w:tc>
          <w:tcPr>
            <w:tcW w:w="1134" w:type="dxa"/>
            <w:tcBorders>
              <w:top w:val="nil"/>
              <w:left w:val="nil"/>
              <w:bottom w:val="single" w:sz="4" w:space="0" w:color="auto"/>
              <w:right w:val="single" w:sz="4" w:space="0" w:color="auto"/>
            </w:tcBorders>
            <w:shd w:val="clear" w:color="auto" w:fill="auto"/>
            <w:noWrap/>
            <w:hideMark/>
          </w:tcPr>
          <w:p w14:paraId="53DCBE04" w14:textId="77777777" w:rsidR="00DE7C12" w:rsidRPr="0010404B" w:rsidRDefault="00DE7C12" w:rsidP="00DE7C12">
            <w:pPr>
              <w:jc w:val="right"/>
              <w:rPr>
                <w:sz w:val="20"/>
                <w:szCs w:val="20"/>
                <w:lang w:val="fr-FR" w:eastAsia="en-CA"/>
              </w:rPr>
            </w:pPr>
            <w:r w:rsidRPr="0010404B">
              <w:rPr>
                <w:sz w:val="20"/>
                <w:szCs w:val="20"/>
                <w:lang w:val="fr-FR" w:eastAsia="en-CA"/>
              </w:rPr>
              <w:t>500</w:t>
            </w:r>
          </w:p>
        </w:tc>
        <w:tc>
          <w:tcPr>
            <w:tcW w:w="1134" w:type="dxa"/>
            <w:tcBorders>
              <w:top w:val="nil"/>
              <w:left w:val="nil"/>
              <w:bottom w:val="single" w:sz="4" w:space="0" w:color="auto"/>
              <w:right w:val="single" w:sz="4" w:space="0" w:color="auto"/>
            </w:tcBorders>
            <w:shd w:val="clear" w:color="auto" w:fill="auto"/>
            <w:noWrap/>
            <w:hideMark/>
          </w:tcPr>
          <w:p w14:paraId="5672886D" w14:textId="77777777" w:rsidR="00DE7C12" w:rsidRPr="0010404B" w:rsidRDefault="00DE7C12" w:rsidP="00DE7C12">
            <w:pPr>
              <w:jc w:val="right"/>
              <w:rPr>
                <w:sz w:val="20"/>
                <w:szCs w:val="20"/>
                <w:lang w:val="fr-FR" w:eastAsia="en-CA"/>
              </w:rPr>
            </w:pPr>
            <w:r w:rsidRPr="0010404B">
              <w:rPr>
                <w:sz w:val="20"/>
                <w:szCs w:val="20"/>
                <w:lang w:val="fr-FR" w:eastAsia="en-CA"/>
              </w:rPr>
              <w:t>500</w:t>
            </w:r>
          </w:p>
        </w:tc>
        <w:tc>
          <w:tcPr>
            <w:tcW w:w="1417" w:type="dxa"/>
            <w:tcBorders>
              <w:top w:val="nil"/>
              <w:left w:val="nil"/>
              <w:bottom w:val="single" w:sz="4" w:space="0" w:color="auto"/>
              <w:right w:val="single" w:sz="4" w:space="0" w:color="auto"/>
            </w:tcBorders>
            <w:shd w:val="clear" w:color="auto" w:fill="auto"/>
            <w:noWrap/>
            <w:hideMark/>
          </w:tcPr>
          <w:p w14:paraId="02E8A9CC" w14:textId="004740AF" w:rsidR="00DE7C12" w:rsidRPr="0010404B" w:rsidRDefault="00CF4F7E" w:rsidP="00DE7C12">
            <w:pPr>
              <w:jc w:val="right"/>
              <w:rPr>
                <w:sz w:val="20"/>
                <w:szCs w:val="20"/>
                <w:lang w:val="fr-FR" w:eastAsia="en-CA"/>
              </w:rPr>
            </w:pPr>
            <w:r w:rsidRPr="0010404B">
              <w:rPr>
                <w:sz w:val="20"/>
                <w:szCs w:val="20"/>
                <w:lang w:val="fr-FR" w:eastAsia="en-CA"/>
              </w:rPr>
              <w:t xml:space="preserve">1 </w:t>
            </w:r>
            <w:r w:rsidR="00DE7C12" w:rsidRPr="0010404B">
              <w:rPr>
                <w:sz w:val="20"/>
                <w:szCs w:val="20"/>
                <w:lang w:val="fr-FR" w:eastAsia="en-CA"/>
              </w:rPr>
              <w:t>500</w:t>
            </w:r>
          </w:p>
        </w:tc>
        <w:tc>
          <w:tcPr>
            <w:tcW w:w="1277" w:type="dxa"/>
            <w:tcBorders>
              <w:top w:val="nil"/>
              <w:left w:val="nil"/>
              <w:bottom w:val="single" w:sz="4" w:space="0" w:color="auto"/>
              <w:right w:val="single" w:sz="4" w:space="0" w:color="auto"/>
            </w:tcBorders>
            <w:shd w:val="clear" w:color="auto" w:fill="auto"/>
            <w:noWrap/>
          </w:tcPr>
          <w:p w14:paraId="32C6B5AD" w14:textId="77777777" w:rsidR="00DE7C12" w:rsidRPr="0010404B" w:rsidRDefault="00DE7C12" w:rsidP="00DE7C12">
            <w:pPr>
              <w:jc w:val="right"/>
              <w:rPr>
                <w:sz w:val="20"/>
                <w:szCs w:val="20"/>
                <w:lang w:val="fr-FR" w:eastAsia="en-CA"/>
              </w:rPr>
            </w:pPr>
          </w:p>
        </w:tc>
      </w:tr>
      <w:tr w:rsidR="00DE7C12" w:rsidRPr="0010404B" w14:paraId="24A7E642"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4608978" w14:textId="4B50AB8A" w:rsidR="00DE7C12" w:rsidRPr="0010404B" w:rsidRDefault="00DE7C12" w:rsidP="00DE7C12">
            <w:pPr>
              <w:jc w:val="left"/>
              <w:rPr>
                <w:b/>
                <w:bCs/>
                <w:sz w:val="20"/>
                <w:szCs w:val="20"/>
                <w:lang w:val="fr-FR" w:eastAsia="en-CA"/>
              </w:rPr>
            </w:pPr>
            <w:r w:rsidRPr="0010404B">
              <w:rPr>
                <w:b/>
                <w:bCs/>
                <w:sz w:val="20"/>
                <w:szCs w:val="20"/>
                <w:lang w:val="fr-FR" w:eastAsia="en-CA"/>
              </w:rPr>
              <w:t>S</w:t>
            </w:r>
            <w:r w:rsidR="00CF4F7E" w:rsidRPr="0010404B">
              <w:rPr>
                <w:b/>
                <w:bCs/>
                <w:sz w:val="20"/>
                <w:szCs w:val="20"/>
                <w:lang w:val="fr-FR" w:eastAsia="en-CA"/>
              </w:rPr>
              <w:t xml:space="preserve">ous-total des activités </w:t>
            </w:r>
            <w:r w:rsidR="0063090F">
              <w:rPr>
                <w:b/>
                <w:bCs/>
                <w:sz w:val="20"/>
                <w:szCs w:val="20"/>
                <w:lang w:val="fr-FR" w:eastAsia="en-CA"/>
              </w:rPr>
              <w:t>standard</w:t>
            </w:r>
          </w:p>
        </w:tc>
        <w:tc>
          <w:tcPr>
            <w:tcW w:w="1134" w:type="dxa"/>
            <w:tcBorders>
              <w:top w:val="nil"/>
              <w:left w:val="nil"/>
              <w:bottom w:val="single" w:sz="4" w:space="0" w:color="auto"/>
              <w:right w:val="single" w:sz="4" w:space="0" w:color="auto"/>
            </w:tcBorders>
            <w:shd w:val="clear" w:color="auto" w:fill="auto"/>
            <w:noWrap/>
            <w:hideMark/>
          </w:tcPr>
          <w:p w14:paraId="168696D7" w14:textId="5D7F0F6A" w:rsidR="00DE7C12" w:rsidRPr="0010404B" w:rsidRDefault="00CF4F7E" w:rsidP="00DE7C12">
            <w:pPr>
              <w:jc w:val="right"/>
              <w:rPr>
                <w:b/>
                <w:bCs/>
                <w:sz w:val="20"/>
                <w:szCs w:val="20"/>
                <w:lang w:val="fr-FR" w:eastAsia="en-CA"/>
              </w:rPr>
            </w:pPr>
            <w:r w:rsidRPr="0010404B">
              <w:rPr>
                <w:b/>
                <w:bCs/>
                <w:sz w:val="20"/>
                <w:szCs w:val="20"/>
                <w:lang w:val="fr-FR" w:eastAsia="en-CA"/>
              </w:rPr>
              <w:t xml:space="preserve">35 </w:t>
            </w:r>
            <w:r w:rsidR="00DE7C12" w:rsidRPr="0010404B">
              <w:rPr>
                <w:b/>
                <w:bCs/>
                <w:sz w:val="20"/>
                <w:szCs w:val="20"/>
                <w:lang w:val="fr-FR" w:eastAsia="en-CA"/>
              </w:rPr>
              <w:t>826</w:t>
            </w:r>
          </w:p>
        </w:tc>
        <w:tc>
          <w:tcPr>
            <w:tcW w:w="1134" w:type="dxa"/>
            <w:tcBorders>
              <w:top w:val="nil"/>
              <w:left w:val="nil"/>
              <w:bottom w:val="single" w:sz="4" w:space="0" w:color="auto"/>
              <w:right w:val="single" w:sz="4" w:space="0" w:color="auto"/>
            </w:tcBorders>
            <w:shd w:val="clear" w:color="auto" w:fill="auto"/>
            <w:noWrap/>
            <w:hideMark/>
          </w:tcPr>
          <w:p w14:paraId="44556C34" w14:textId="2247E3FC" w:rsidR="00DE7C12" w:rsidRPr="0010404B" w:rsidRDefault="00CF4F7E" w:rsidP="00DE7C12">
            <w:pPr>
              <w:jc w:val="right"/>
              <w:rPr>
                <w:b/>
                <w:bCs/>
                <w:sz w:val="20"/>
                <w:szCs w:val="20"/>
                <w:lang w:val="fr-FR" w:eastAsia="en-CA"/>
              </w:rPr>
            </w:pPr>
            <w:r w:rsidRPr="0010404B">
              <w:rPr>
                <w:b/>
                <w:bCs/>
                <w:sz w:val="20"/>
                <w:szCs w:val="20"/>
                <w:lang w:val="fr-FR" w:eastAsia="en-CA"/>
              </w:rPr>
              <w:t xml:space="preserve">35 </w:t>
            </w:r>
            <w:r w:rsidR="00DE7C12" w:rsidRPr="0010404B">
              <w:rPr>
                <w:b/>
                <w:bCs/>
                <w:sz w:val="20"/>
                <w:szCs w:val="20"/>
                <w:lang w:val="fr-FR" w:eastAsia="en-CA"/>
              </w:rPr>
              <w:t>141</w:t>
            </w:r>
          </w:p>
        </w:tc>
        <w:tc>
          <w:tcPr>
            <w:tcW w:w="1134" w:type="dxa"/>
            <w:tcBorders>
              <w:top w:val="nil"/>
              <w:left w:val="nil"/>
              <w:bottom w:val="single" w:sz="4" w:space="0" w:color="auto"/>
              <w:right w:val="single" w:sz="4" w:space="0" w:color="auto"/>
            </w:tcBorders>
            <w:shd w:val="clear" w:color="auto" w:fill="auto"/>
            <w:noWrap/>
            <w:hideMark/>
          </w:tcPr>
          <w:p w14:paraId="1C24E647" w14:textId="495C3D8F" w:rsidR="00DE7C12" w:rsidRPr="0010404B" w:rsidRDefault="00CF4F7E" w:rsidP="00DE7C12">
            <w:pPr>
              <w:jc w:val="right"/>
              <w:rPr>
                <w:b/>
                <w:bCs/>
                <w:sz w:val="20"/>
                <w:szCs w:val="20"/>
                <w:lang w:val="fr-FR" w:eastAsia="en-CA"/>
              </w:rPr>
            </w:pPr>
            <w:r w:rsidRPr="0010404B">
              <w:rPr>
                <w:b/>
                <w:bCs/>
                <w:sz w:val="20"/>
                <w:szCs w:val="20"/>
                <w:lang w:val="fr-FR" w:eastAsia="en-CA"/>
              </w:rPr>
              <w:t xml:space="preserve">37 </w:t>
            </w:r>
            <w:r w:rsidR="00DE7C12" w:rsidRPr="0010404B">
              <w:rPr>
                <w:b/>
                <w:bCs/>
                <w:sz w:val="20"/>
                <w:szCs w:val="20"/>
                <w:lang w:val="fr-FR" w:eastAsia="en-CA"/>
              </w:rPr>
              <w:t>403</w:t>
            </w:r>
          </w:p>
        </w:tc>
        <w:tc>
          <w:tcPr>
            <w:tcW w:w="1417" w:type="dxa"/>
            <w:tcBorders>
              <w:top w:val="nil"/>
              <w:left w:val="nil"/>
              <w:bottom w:val="single" w:sz="4" w:space="0" w:color="auto"/>
              <w:right w:val="single" w:sz="4" w:space="0" w:color="auto"/>
            </w:tcBorders>
            <w:shd w:val="clear" w:color="auto" w:fill="auto"/>
            <w:noWrap/>
            <w:hideMark/>
          </w:tcPr>
          <w:p w14:paraId="4EA2EE09" w14:textId="4FE5D0AA" w:rsidR="00DE7C12" w:rsidRPr="0010404B" w:rsidRDefault="00CF4F7E" w:rsidP="00DE7C12">
            <w:pPr>
              <w:jc w:val="right"/>
              <w:rPr>
                <w:b/>
                <w:bCs/>
                <w:sz w:val="20"/>
                <w:szCs w:val="20"/>
                <w:lang w:val="fr-FR" w:eastAsia="en-CA"/>
              </w:rPr>
            </w:pPr>
            <w:r w:rsidRPr="0010404B">
              <w:rPr>
                <w:b/>
                <w:bCs/>
                <w:sz w:val="20"/>
                <w:szCs w:val="20"/>
                <w:lang w:val="fr-FR" w:eastAsia="en-CA"/>
              </w:rPr>
              <w:t xml:space="preserve">108 </w:t>
            </w:r>
            <w:r w:rsidR="00DE7C12" w:rsidRPr="0010404B">
              <w:rPr>
                <w:b/>
                <w:bCs/>
                <w:sz w:val="20"/>
                <w:szCs w:val="20"/>
                <w:lang w:val="fr-FR" w:eastAsia="en-CA"/>
              </w:rPr>
              <w:t>370</w:t>
            </w:r>
          </w:p>
        </w:tc>
        <w:tc>
          <w:tcPr>
            <w:tcW w:w="1277" w:type="dxa"/>
            <w:tcBorders>
              <w:top w:val="nil"/>
              <w:left w:val="nil"/>
              <w:bottom w:val="single" w:sz="4" w:space="0" w:color="auto"/>
              <w:right w:val="single" w:sz="4" w:space="0" w:color="auto"/>
            </w:tcBorders>
            <w:shd w:val="clear" w:color="auto" w:fill="auto"/>
            <w:noWrap/>
            <w:hideMark/>
          </w:tcPr>
          <w:p w14:paraId="5B92AA9B" w14:textId="77777777" w:rsidR="00DE7C12" w:rsidRPr="0010404B" w:rsidRDefault="00DE7C12" w:rsidP="00DE7C12">
            <w:pPr>
              <w:jc w:val="right"/>
              <w:rPr>
                <w:b/>
                <w:bCs/>
                <w:sz w:val="20"/>
                <w:szCs w:val="20"/>
                <w:lang w:val="fr-FR" w:eastAsia="en-CA"/>
              </w:rPr>
            </w:pPr>
            <w:r w:rsidRPr="0010404B">
              <w:rPr>
                <w:b/>
                <w:bCs/>
                <w:sz w:val="20"/>
                <w:szCs w:val="20"/>
                <w:lang w:val="fr-FR" w:eastAsia="en-CA"/>
              </w:rPr>
              <w:t>0</w:t>
            </w:r>
          </w:p>
        </w:tc>
      </w:tr>
      <w:tr w:rsidR="00DE7C12" w:rsidRPr="0010404B" w14:paraId="59F4B2FD"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83945AC" w14:textId="70D1B7FA" w:rsidR="00DE7C12" w:rsidRPr="0010404B" w:rsidRDefault="00CF4F7E" w:rsidP="00DE7C12">
            <w:pPr>
              <w:jc w:val="left"/>
              <w:rPr>
                <w:b/>
                <w:bCs/>
                <w:sz w:val="20"/>
                <w:szCs w:val="20"/>
                <w:lang w:val="fr-FR" w:eastAsia="en-CA"/>
              </w:rPr>
            </w:pPr>
            <w:r w:rsidRPr="0010404B">
              <w:rPr>
                <w:b/>
                <w:bCs/>
                <w:sz w:val="20"/>
                <w:szCs w:val="20"/>
                <w:lang w:val="fr-FR" w:eastAsia="en-CA"/>
              </w:rPr>
              <w:t>T</w:t>
            </w:r>
            <w:r w:rsidR="00DE7C12" w:rsidRPr="0010404B">
              <w:rPr>
                <w:b/>
                <w:bCs/>
                <w:sz w:val="20"/>
                <w:szCs w:val="20"/>
                <w:lang w:val="fr-FR" w:eastAsia="en-CA"/>
              </w:rPr>
              <w:t>otal</w:t>
            </w:r>
            <w:r w:rsidR="0063090F">
              <w:rPr>
                <w:b/>
                <w:bCs/>
                <w:sz w:val="20"/>
                <w:szCs w:val="20"/>
                <w:lang w:val="fr-FR" w:eastAsia="en-CA"/>
              </w:rPr>
              <w:t xml:space="preserve"> général</w:t>
            </w:r>
          </w:p>
        </w:tc>
        <w:tc>
          <w:tcPr>
            <w:tcW w:w="1134" w:type="dxa"/>
            <w:tcBorders>
              <w:top w:val="nil"/>
              <w:left w:val="nil"/>
              <w:bottom w:val="single" w:sz="4" w:space="0" w:color="auto"/>
              <w:right w:val="single" w:sz="4" w:space="0" w:color="auto"/>
            </w:tcBorders>
            <w:shd w:val="clear" w:color="auto" w:fill="auto"/>
            <w:noWrap/>
            <w:hideMark/>
          </w:tcPr>
          <w:p w14:paraId="2832AD34" w14:textId="1171EE07" w:rsidR="00DE7C12" w:rsidRPr="0010404B" w:rsidRDefault="00CF4F7E" w:rsidP="00DE7C12">
            <w:pPr>
              <w:jc w:val="right"/>
              <w:rPr>
                <w:b/>
                <w:bCs/>
                <w:sz w:val="20"/>
                <w:szCs w:val="20"/>
                <w:lang w:val="fr-FR" w:eastAsia="en-CA"/>
              </w:rPr>
            </w:pPr>
            <w:r w:rsidRPr="0010404B">
              <w:rPr>
                <w:b/>
                <w:bCs/>
                <w:sz w:val="20"/>
                <w:szCs w:val="20"/>
                <w:lang w:val="fr-FR" w:eastAsia="en-CA"/>
              </w:rPr>
              <w:t xml:space="preserve">225 </w:t>
            </w:r>
            <w:r w:rsidR="00DE7C12" w:rsidRPr="0010404B">
              <w:rPr>
                <w:b/>
                <w:bCs/>
                <w:sz w:val="20"/>
                <w:szCs w:val="20"/>
                <w:lang w:val="fr-FR" w:eastAsia="en-CA"/>
              </w:rPr>
              <w:t>035</w:t>
            </w:r>
          </w:p>
        </w:tc>
        <w:tc>
          <w:tcPr>
            <w:tcW w:w="1134" w:type="dxa"/>
            <w:tcBorders>
              <w:top w:val="nil"/>
              <w:left w:val="nil"/>
              <w:bottom w:val="single" w:sz="4" w:space="0" w:color="auto"/>
              <w:right w:val="single" w:sz="4" w:space="0" w:color="auto"/>
            </w:tcBorders>
            <w:shd w:val="clear" w:color="auto" w:fill="auto"/>
            <w:noWrap/>
            <w:hideMark/>
          </w:tcPr>
          <w:p w14:paraId="3B2B75F0" w14:textId="5911746E" w:rsidR="00DE7C12" w:rsidRPr="0010404B" w:rsidRDefault="00CF4F7E" w:rsidP="00DE7C12">
            <w:pPr>
              <w:jc w:val="right"/>
              <w:rPr>
                <w:b/>
                <w:bCs/>
                <w:sz w:val="20"/>
                <w:szCs w:val="20"/>
                <w:lang w:val="fr-FR" w:eastAsia="en-CA"/>
              </w:rPr>
            </w:pPr>
            <w:r w:rsidRPr="0010404B">
              <w:rPr>
                <w:b/>
                <w:bCs/>
                <w:sz w:val="20"/>
                <w:szCs w:val="20"/>
                <w:lang w:val="fr-FR" w:eastAsia="en-CA"/>
              </w:rPr>
              <w:t xml:space="preserve">170 </w:t>
            </w:r>
            <w:r w:rsidR="00DE7C12" w:rsidRPr="0010404B">
              <w:rPr>
                <w:b/>
                <w:bCs/>
                <w:sz w:val="20"/>
                <w:szCs w:val="20"/>
                <w:lang w:val="fr-FR" w:eastAsia="en-CA"/>
              </w:rPr>
              <w:t>968</w:t>
            </w:r>
          </w:p>
        </w:tc>
        <w:tc>
          <w:tcPr>
            <w:tcW w:w="1134" w:type="dxa"/>
            <w:tcBorders>
              <w:top w:val="nil"/>
              <w:left w:val="nil"/>
              <w:bottom w:val="single" w:sz="4" w:space="0" w:color="auto"/>
              <w:right w:val="single" w:sz="4" w:space="0" w:color="auto"/>
            </w:tcBorders>
            <w:shd w:val="clear" w:color="auto" w:fill="auto"/>
            <w:noWrap/>
            <w:hideMark/>
          </w:tcPr>
          <w:p w14:paraId="0D584E0F" w14:textId="40AF5D4D" w:rsidR="00DE7C12" w:rsidRPr="0010404B" w:rsidRDefault="00CF4F7E" w:rsidP="00DE7C12">
            <w:pPr>
              <w:jc w:val="right"/>
              <w:rPr>
                <w:b/>
                <w:bCs/>
                <w:sz w:val="20"/>
                <w:szCs w:val="20"/>
                <w:lang w:val="fr-FR" w:eastAsia="en-CA"/>
              </w:rPr>
            </w:pPr>
            <w:r w:rsidRPr="0010404B">
              <w:rPr>
                <w:b/>
                <w:bCs/>
                <w:sz w:val="20"/>
                <w:szCs w:val="20"/>
                <w:lang w:val="fr-FR" w:eastAsia="en-CA"/>
              </w:rPr>
              <w:t xml:space="preserve">149 </w:t>
            </w:r>
            <w:r w:rsidR="00DE7C12" w:rsidRPr="0010404B">
              <w:rPr>
                <w:b/>
                <w:bCs/>
                <w:sz w:val="20"/>
                <w:szCs w:val="20"/>
                <w:lang w:val="fr-FR" w:eastAsia="en-CA"/>
              </w:rPr>
              <w:t>143</w:t>
            </w:r>
          </w:p>
        </w:tc>
        <w:tc>
          <w:tcPr>
            <w:tcW w:w="1417" w:type="dxa"/>
            <w:tcBorders>
              <w:top w:val="nil"/>
              <w:left w:val="nil"/>
              <w:bottom w:val="single" w:sz="4" w:space="0" w:color="auto"/>
              <w:right w:val="single" w:sz="4" w:space="0" w:color="auto"/>
            </w:tcBorders>
            <w:shd w:val="clear" w:color="auto" w:fill="auto"/>
            <w:noWrap/>
            <w:hideMark/>
          </w:tcPr>
          <w:p w14:paraId="0FB74F13" w14:textId="40817DD0" w:rsidR="00DE7C12" w:rsidRPr="0010404B" w:rsidRDefault="00CF4F7E" w:rsidP="00DE7C12">
            <w:pPr>
              <w:jc w:val="right"/>
              <w:rPr>
                <w:b/>
                <w:bCs/>
                <w:sz w:val="20"/>
                <w:szCs w:val="20"/>
                <w:lang w:val="fr-FR" w:eastAsia="en-CA"/>
              </w:rPr>
            </w:pPr>
            <w:r w:rsidRPr="0010404B">
              <w:rPr>
                <w:b/>
                <w:bCs/>
                <w:sz w:val="20"/>
                <w:szCs w:val="20"/>
                <w:lang w:val="fr-FR" w:eastAsia="en-CA"/>
              </w:rPr>
              <w:t xml:space="preserve">545 </w:t>
            </w:r>
            <w:r w:rsidR="00DE7C12" w:rsidRPr="0010404B">
              <w:rPr>
                <w:b/>
                <w:bCs/>
                <w:sz w:val="20"/>
                <w:szCs w:val="20"/>
                <w:lang w:val="fr-FR" w:eastAsia="en-CA"/>
              </w:rPr>
              <w:t>145</w:t>
            </w:r>
          </w:p>
        </w:tc>
        <w:tc>
          <w:tcPr>
            <w:tcW w:w="1277" w:type="dxa"/>
            <w:tcBorders>
              <w:top w:val="nil"/>
              <w:left w:val="nil"/>
              <w:bottom w:val="single" w:sz="4" w:space="0" w:color="auto"/>
              <w:right w:val="single" w:sz="4" w:space="0" w:color="auto"/>
            </w:tcBorders>
            <w:shd w:val="clear" w:color="auto" w:fill="auto"/>
            <w:noWrap/>
            <w:hideMark/>
          </w:tcPr>
          <w:p w14:paraId="0661332B" w14:textId="05395193" w:rsidR="00DE7C12" w:rsidRPr="0010404B" w:rsidRDefault="00CF4F7E" w:rsidP="00DE7C12">
            <w:pPr>
              <w:jc w:val="right"/>
              <w:rPr>
                <w:b/>
                <w:bCs/>
                <w:sz w:val="20"/>
                <w:szCs w:val="20"/>
                <w:lang w:val="fr-FR" w:eastAsia="en-CA"/>
              </w:rPr>
            </w:pPr>
            <w:r w:rsidRPr="0010404B">
              <w:rPr>
                <w:b/>
                <w:bCs/>
                <w:sz w:val="20"/>
                <w:szCs w:val="20"/>
                <w:lang w:val="fr-FR" w:eastAsia="en-CA"/>
              </w:rPr>
              <w:t xml:space="preserve">419 </w:t>
            </w:r>
            <w:r w:rsidR="00DE7C12" w:rsidRPr="0010404B">
              <w:rPr>
                <w:b/>
                <w:bCs/>
                <w:sz w:val="20"/>
                <w:szCs w:val="20"/>
                <w:lang w:val="fr-FR" w:eastAsia="en-CA"/>
              </w:rPr>
              <w:t>275</w:t>
            </w:r>
          </w:p>
        </w:tc>
      </w:tr>
      <w:tr w:rsidR="00DE7C12" w:rsidRPr="0010404B" w14:paraId="31869146"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B8380DC" w14:textId="58089EA0" w:rsidR="00DE7C12" w:rsidRPr="0010404B" w:rsidRDefault="00CF4F7E" w:rsidP="00DE7C12">
            <w:pPr>
              <w:jc w:val="left"/>
              <w:rPr>
                <w:sz w:val="20"/>
                <w:szCs w:val="20"/>
                <w:lang w:val="fr-FR" w:eastAsia="en-CA"/>
              </w:rPr>
            </w:pPr>
            <w:r w:rsidRPr="0010404B">
              <w:rPr>
                <w:sz w:val="20"/>
                <w:szCs w:val="20"/>
                <w:lang w:val="fr-FR" w:eastAsia="en-CA"/>
              </w:rPr>
              <w:t>Budget indicatif</w:t>
            </w:r>
          </w:p>
        </w:tc>
        <w:tc>
          <w:tcPr>
            <w:tcW w:w="1134" w:type="dxa"/>
            <w:tcBorders>
              <w:top w:val="nil"/>
              <w:left w:val="nil"/>
              <w:bottom w:val="single" w:sz="4" w:space="0" w:color="auto"/>
              <w:right w:val="single" w:sz="4" w:space="0" w:color="auto"/>
            </w:tcBorders>
            <w:shd w:val="clear" w:color="auto" w:fill="auto"/>
            <w:noWrap/>
            <w:hideMark/>
          </w:tcPr>
          <w:p w14:paraId="1EF32F72" w14:textId="772216A0" w:rsidR="00DE7C12" w:rsidRPr="0010404B" w:rsidRDefault="00CF4F7E" w:rsidP="00DE7C12">
            <w:pPr>
              <w:jc w:val="right"/>
              <w:rPr>
                <w:sz w:val="20"/>
                <w:szCs w:val="20"/>
                <w:lang w:val="fr-FR" w:eastAsia="en-CA"/>
              </w:rPr>
            </w:pPr>
            <w:r w:rsidRPr="0010404B">
              <w:rPr>
                <w:sz w:val="20"/>
                <w:szCs w:val="20"/>
                <w:lang w:val="fr-FR" w:eastAsia="en-CA"/>
              </w:rPr>
              <w:t xml:space="preserve">171 </w:t>
            </w:r>
            <w:r w:rsidR="00DE7C12" w:rsidRPr="0010404B">
              <w:rPr>
                <w:sz w:val="20"/>
                <w:szCs w:val="20"/>
                <w:lang w:val="fr-FR" w:eastAsia="en-CA"/>
              </w:rPr>
              <w:t>000</w:t>
            </w:r>
          </w:p>
        </w:tc>
        <w:tc>
          <w:tcPr>
            <w:tcW w:w="1134" w:type="dxa"/>
            <w:tcBorders>
              <w:top w:val="nil"/>
              <w:left w:val="nil"/>
              <w:bottom w:val="single" w:sz="4" w:space="0" w:color="auto"/>
              <w:right w:val="single" w:sz="4" w:space="0" w:color="auto"/>
            </w:tcBorders>
            <w:shd w:val="clear" w:color="auto" w:fill="auto"/>
            <w:noWrap/>
            <w:hideMark/>
          </w:tcPr>
          <w:p w14:paraId="726FF2BD" w14:textId="2E78ABBF" w:rsidR="00DE7C12" w:rsidRPr="0010404B" w:rsidRDefault="00CF4F7E" w:rsidP="00DE7C12">
            <w:pPr>
              <w:jc w:val="right"/>
              <w:rPr>
                <w:sz w:val="20"/>
                <w:szCs w:val="20"/>
                <w:lang w:val="fr-FR" w:eastAsia="en-CA"/>
              </w:rPr>
            </w:pPr>
            <w:r w:rsidRPr="0010404B">
              <w:rPr>
                <w:sz w:val="20"/>
                <w:szCs w:val="20"/>
                <w:lang w:val="fr-FR" w:eastAsia="en-CA"/>
              </w:rPr>
              <w:t xml:space="preserve">180 </w:t>
            </w:r>
            <w:r w:rsidR="00DE7C12" w:rsidRPr="0010404B">
              <w:rPr>
                <w:sz w:val="20"/>
                <w:szCs w:val="20"/>
                <w:lang w:val="fr-FR" w:eastAsia="en-CA"/>
              </w:rPr>
              <w:t>000**</w:t>
            </w:r>
          </w:p>
        </w:tc>
        <w:tc>
          <w:tcPr>
            <w:tcW w:w="1134" w:type="dxa"/>
            <w:tcBorders>
              <w:top w:val="nil"/>
              <w:left w:val="nil"/>
              <w:bottom w:val="single" w:sz="4" w:space="0" w:color="auto"/>
              <w:right w:val="single" w:sz="4" w:space="0" w:color="auto"/>
            </w:tcBorders>
            <w:shd w:val="clear" w:color="auto" w:fill="auto"/>
            <w:noWrap/>
            <w:hideMark/>
          </w:tcPr>
          <w:p w14:paraId="4BC0440E" w14:textId="33051C69" w:rsidR="00DE7C12" w:rsidRPr="0010404B" w:rsidRDefault="00CF4F7E" w:rsidP="00DE7C12">
            <w:pPr>
              <w:jc w:val="right"/>
              <w:rPr>
                <w:sz w:val="20"/>
                <w:szCs w:val="20"/>
                <w:lang w:val="fr-FR" w:eastAsia="en-CA"/>
              </w:rPr>
            </w:pPr>
            <w:r w:rsidRPr="0010404B">
              <w:rPr>
                <w:sz w:val="20"/>
                <w:szCs w:val="20"/>
                <w:lang w:val="fr-FR" w:eastAsia="en-CA"/>
              </w:rPr>
              <w:t xml:space="preserve">180 </w:t>
            </w:r>
            <w:r w:rsidR="00DE7C12" w:rsidRPr="0010404B">
              <w:rPr>
                <w:sz w:val="20"/>
                <w:szCs w:val="20"/>
                <w:lang w:val="fr-FR" w:eastAsia="en-CA"/>
              </w:rPr>
              <w:t>000**</w:t>
            </w:r>
          </w:p>
        </w:tc>
        <w:tc>
          <w:tcPr>
            <w:tcW w:w="1417" w:type="dxa"/>
            <w:tcBorders>
              <w:top w:val="nil"/>
              <w:left w:val="nil"/>
              <w:bottom w:val="single" w:sz="4" w:space="0" w:color="auto"/>
              <w:right w:val="single" w:sz="4" w:space="0" w:color="auto"/>
            </w:tcBorders>
            <w:shd w:val="clear" w:color="auto" w:fill="auto"/>
            <w:noWrap/>
            <w:hideMark/>
          </w:tcPr>
          <w:p w14:paraId="29FFAF9E" w14:textId="02FD6BEA" w:rsidR="00DE7C12" w:rsidRPr="0010404B" w:rsidRDefault="00CF4F7E" w:rsidP="00DE7C12">
            <w:pPr>
              <w:jc w:val="right"/>
              <w:rPr>
                <w:sz w:val="20"/>
                <w:szCs w:val="20"/>
                <w:lang w:val="fr-FR" w:eastAsia="en-CA"/>
              </w:rPr>
            </w:pPr>
            <w:r w:rsidRPr="0010404B">
              <w:rPr>
                <w:sz w:val="20"/>
                <w:szCs w:val="20"/>
                <w:lang w:val="fr-FR" w:eastAsia="en-CA"/>
              </w:rPr>
              <w:t xml:space="preserve">531 </w:t>
            </w:r>
            <w:r w:rsidR="00DE7C12" w:rsidRPr="0010404B">
              <w:rPr>
                <w:sz w:val="20"/>
                <w:szCs w:val="20"/>
                <w:lang w:val="fr-FR" w:eastAsia="en-CA"/>
              </w:rPr>
              <w:t>000</w:t>
            </w:r>
          </w:p>
        </w:tc>
        <w:tc>
          <w:tcPr>
            <w:tcW w:w="1277" w:type="dxa"/>
            <w:tcBorders>
              <w:top w:val="nil"/>
              <w:left w:val="nil"/>
              <w:bottom w:val="single" w:sz="4" w:space="0" w:color="auto"/>
              <w:right w:val="single" w:sz="4" w:space="0" w:color="auto"/>
            </w:tcBorders>
            <w:shd w:val="clear" w:color="auto" w:fill="auto"/>
            <w:noWrap/>
            <w:hideMark/>
          </w:tcPr>
          <w:p w14:paraId="510114C4" w14:textId="77777777" w:rsidR="00DE7C12" w:rsidRPr="0010404B" w:rsidRDefault="00DE7C12" w:rsidP="00DE7C12">
            <w:pPr>
              <w:jc w:val="left"/>
              <w:rPr>
                <w:sz w:val="20"/>
                <w:szCs w:val="20"/>
                <w:lang w:val="fr-FR" w:eastAsia="en-CA"/>
              </w:rPr>
            </w:pPr>
            <w:r w:rsidRPr="0010404B">
              <w:rPr>
                <w:sz w:val="20"/>
                <w:szCs w:val="20"/>
                <w:lang w:val="fr-FR" w:eastAsia="en-CA"/>
              </w:rPr>
              <w:t> </w:t>
            </w:r>
          </w:p>
        </w:tc>
      </w:tr>
      <w:tr w:rsidR="00DE7C12" w:rsidRPr="0010404B" w14:paraId="4BDD9F70"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27FFDC1" w14:textId="36E281ED" w:rsidR="00DE7C12" w:rsidRPr="0010404B" w:rsidRDefault="00E91DB9" w:rsidP="00DE7C12">
            <w:pPr>
              <w:jc w:val="left"/>
              <w:rPr>
                <w:sz w:val="20"/>
                <w:szCs w:val="20"/>
                <w:lang w:val="fr-FR" w:eastAsia="en-CA"/>
              </w:rPr>
            </w:pPr>
            <w:r w:rsidRPr="0010404B">
              <w:rPr>
                <w:sz w:val="20"/>
                <w:szCs w:val="20"/>
                <w:lang w:val="fr-FR" w:eastAsia="en-CA"/>
              </w:rPr>
              <w:t>Différence</w:t>
            </w:r>
          </w:p>
        </w:tc>
        <w:tc>
          <w:tcPr>
            <w:tcW w:w="1134" w:type="dxa"/>
            <w:tcBorders>
              <w:top w:val="nil"/>
              <w:left w:val="nil"/>
              <w:bottom w:val="single" w:sz="4" w:space="0" w:color="auto"/>
              <w:right w:val="single" w:sz="4" w:space="0" w:color="auto"/>
            </w:tcBorders>
            <w:shd w:val="clear" w:color="auto" w:fill="auto"/>
            <w:noWrap/>
            <w:hideMark/>
          </w:tcPr>
          <w:p w14:paraId="533687FD" w14:textId="4FE88E64" w:rsidR="00DE7C12" w:rsidRPr="0010404B" w:rsidRDefault="00CF4F7E" w:rsidP="00DE7C12">
            <w:pPr>
              <w:jc w:val="right"/>
              <w:rPr>
                <w:sz w:val="20"/>
                <w:szCs w:val="20"/>
                <w:lang w:val="fr-FR" w:eastAsia="en-CA"/>
              </w:rPr>
            </w:pPr>
            <w:r w:rsidRPr="0010404B">
              <w:rPr>
                <w:sz w:val="20"/>
                <w:szCs w:val="20"/>
                <w:lang w:val="fr-FR" w:eastAsia="en-CA"/>
              </w:rPr>
              <w:t xml:space="preserve">54 </w:t>
            </w:r>
            <w:r w:rsidR="00DE7C12" w:rsidRPr="0010404B">
              <w:rPr>
                <w:sz w:val="20"/>
                <w:szCs w:val="20"/>
                <w:lang w:val="fr-FR" w:eastAsia="en-CA"/>
              </w:rPr>
              <w:t>035</w:t>
            </w:r>
          </w:p>
        </w:tc>
        <w:tc>
          <w:tcPr>
            <w:tcW w:w="1134" w:type="dxa"/>
            <w:tcBorders>
              <w:top w:val="nil"/>
              <w:left w:val="nil"/>
              <w:bottom w:val="single" w:sz="4" w:space="0" w:color="auto"/>
              <w:right w:val="single" w:sz="4" w:space="0" w:color="auto"/>
            </w:tcBorders>
            <w:shd w:val="clear" w:color="auto" w:fill="auto"/>
            <w:noWrap/>
            <w:hideMark/>
          </w:tcPr>
          <w:p w14:paraId="6E0BDB8F" w14:textId="4861C305" w:rsidR="00DE7C12" w:rsidRPr="0010404B" w:rsidRDefault="00CF4F7E" w:rsidP="00DE7C12">
            <w:pPr>
              <w:jc w:val="right"/>
              <w:rPr>
                <w:sz w:val="20"/>
                <w:szCs w:val="20"/>
                <w:lang w:val="fr-FR" w:eastAsia="en-CA"/>
              </w:rPr>
            </w:pPr>
            <w:r w:rsidRPr="0010404B">
              <w:rPr>
                <w:sz w:val="20"/>
                <w:szCs w:val="20"/>
                <w:lang w:val="fr-FR" w:eastAsia="en-CA"/>
              </w:rPr>
              <w:t xml:space="preserve">-9 </w:t>
            </w:r>
            <w:r w:rsidR="00DE7C12" w:rsidRPr="0010404B">
              <w:rPr>
                <w:sz w:val="20"/>
                <w:szCs w:val="20"/>
                <w:lang w:val="fr-FR" w:eastAsia="en-CA"/>
              </w:rPr>
              <w:t>032</w:t>
            </w:r>
          </w:p>
        </w:tc>
        <w:tc>
          <w:tcPr>
            <w:tcW w:w="1134" w:type="dxa"/>
            <w:tcBorders>
              <w:top w:val="nil"/>
              <w:left w:val="nil"/>
              <w:bottom w:val="single" w:sz="4" w:space="0" w:color="auto"/>
              <w:right w:val="single" w:sz="4" w:space="0" w:color="auto"/>
            </w:tcBorders>
            <w:shd w:val="clear" w:color="auto" w:fill="auto"/>
            <w:noWrap/>
            <w:hideMark/>
          </w:tcPr>
          <w:p w14:paraId="57F2F74E" w14:textId="6C926482" w:rsidR="00DE7C12" w:rsidRPr="0010404B" w:rsidRDefault="00CF4F7E" w:rsidP="00DE7C12">
            <w:pPr>
              <w:jc w:val="right"/>
              <w:rPr>
                <w:sz w:val="20"/>
                <w:szCs w:val="20"/>
                <w:lang w:val="fr-FR" w:eastAsia="en-CA"/>
              </w:rPr>
            </w:pPr>
            <w:r w:rsidRPr="0010404B">
              <w:rPr>
                <w:sz w:val="20"/>
                <w:szCs w:val="20"/>
                <w:lang w:val="fr-FR" w:eastAsia="en-CA"/>
              </w:rPr>
              <w:t xml:space="preserve">-30 </w:t>
            </w:r>
            <w:r w:rsidR="00DE7C12" w:rsidRPr="0010404B">
              <w:rPr>
                <w:sz w:val="20"/>
                <w:szCs w:val="20"/>
                <w:lang w:val="fr-FR" w:eastAsia="en-CA"/>
              </w:rPr>
              <w:t>857</w:t>
            </w:r>
          </w:p>
        </w:tc>
        <w:tc>
          <w:tcPr>
            <w:tcW w:w="1417" w:type="dxa"/>
            <w:tcBorders>
              <w:top w:val="nil"/>
              <w:left w:val="nil"/>
              <w:bottom w:val="single" w:sz="4" w:space="0" w:color="auto"/>
              <w:right w:val="single" w:sz="4" w:space="0" w:color="auto"/>
            </w:tcBorders>
            <w:shd w:val="clear" w:color="auto" w:fill="auto"/>
            <w:noWrap/>
            <w:hideMark/>
          </w:tcPr>
          <w:p w14:paraId="1F065D01" w14:textId="5A2A6AF8" w:rsidR="00DE7C12" w:rsidRPr="0010404B" w:rsidRDefault="00CF4F7E" w:rsidP="00DE7C12">
            <w:pPr>
              <w:jc w:val="right"/>
              <w:rPr>
                <w:sz w:val="20"/>
                <w:szCs w:val="20"/>
                <w:lang w:val="fr-FR" w:eastAsia="en-CA"/>
              </w:rPr>
            </w:pPr>
            <w:r w:rsidRPr="0010404B">
              <w:rPr>
                <w:sz w:val="20"/>
                <w:szCs w:val="20"/>
                <w:lang w:val="fr-FR" w:eastAsia="en-CA"/>
              </w:rPr>
              <w:t xml:space="preserve">14 </w:t>
            </w:r>
            <w:r w:rsidR="00DE7C12" w:rsidRPr="0010404B">
              <w:rPr>
                <w:sz w:val="20"/>
                <w:szCs w:val="20"/>
                <w:lang w:val="fr-FR" w:eastAsia="en-CA"/>
              </w:rPr>
              <w:t>145</w:t>
            </w:r>
          </w:p>
        </w:tc>
        <w:tc>
          <w:tcPr>
            <w:tcW w:w="1277" w:type="dxa"/>
            <w:tcBorders>
              <w:top w:val="nil"/>
              <w:left w:val="nil"/>
              <w:bottom w:val="single" w:sz="4" w:space="0" w:color="auto"/>
              <w:right w:val="single" w:sz="4" w:space="0" w:color="auto"/>
            </w:tcBorders>
            <w:shd w:val="clear" w:color="auto" w:fill="auto"/>
            <w:noWrap/>
            <w:hideMark/>
          </w:tcPr>
          <w:p w14:paraId="522AB7E5" w14:textId="77777777" w:rsidR="00DE7C12" w:rsidRPr="0010404B" w:rsidRDefault="00DE7C12" w:rsidP="00DE7C12">
            <w:pPr>
              <w:jc w:val="left"/>
              <w:rPr>
                <w:sz w:val="20"/>
                <w:szCs w:val="20"/>
                <w:lang w:val="fr-FR" w:eastAsia="en-CA"/>
              </w:rPr>
            </w:pPr>
            <w:r w:rsidRPr="0010404B">
              <w:rPr>
                <w:sz w:val="20"/>
                <w:szCs w:val="20"/>
                <w:lang w:val="fr-FR" w:eastAsia="en-CA"/>
              </w:rPr>
              <w:t> </w:t>
            </w:r>
          </w:p>
        </w:tc>
      </w:tr>
      <w:tr w:rsidR="00DE7C12" w:rsidRPr="0010404B" w14:paraId="77FD9291" w14:textId="77777777" w:rsidTr="00DE7C12">
        <w:trPr>
          <w:trHeight w:val="264"/>
        </w:trPr>
        <w:tc>
          <w:tcPr>
            <w:tcW w:w="3402" w:type="dxa"/>
            <w:tcBorders>
              <w:top w:val="single" w:sz="4" w:space="0" w:color="auto"/>
              <w:left w:val="single" w:sz="4" w:space="0" w:color="auto"/>
              <w:bottom w:val="single" w:sz="4" w:space="0" w:color="auto"/>
              <w:right w:val="nil"/>
            </w:tcBorders>
            <w:shd w:val="clear" w:color="auto" w:fill="auto"/>
            <w:noWrap/>
            <w:hideMark/>
          </w:tcPr>
          <w:p w14:paraId="103A5DF6" w14:textId="4F9E8440" w:rsidR="00DE7C12" w:rsidRPr="0010404B" w:rsidRDefault="00CF4F7E" w:rsidP="00DE7C12">
            <w:pPr>
              <w:jc w:val="left"/>
              <w:rPr>
                <w:b/>
                <w:bCs/>
                <w:sz w:val="20"/>
                <w:szCs w:val="20"/>
                <w:lang w:val="fr-FR" w:eastAsia="en-CA"/>
              </w:rPr>
            </w:pPr>
            <w:r w:rsidRPr="0010404B">
              <w:rPr>
                <w:b/>
                <w:bCs/>
                <w:sz w:val="20"/>
                <w:szCs w:val="20"/>
                <w:lang w:val="fr-FR" w:eastAsia="en-CA"/>
              </w:rPr>
              <w:t>Par agence</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A336AC7" w14:textId="77777777" w:rsidR="00DE7C12" w:rsidRPr="0010404B" w:rsidRDefault="00DE7C12" w:rsidP="00DE7C12">
            <w:pPr>
              <w:jc w:val="right"/>
              <w:rPr>
                <w:sz w:val="20"/>
                <w:szCs w:val="20"/>
                <w:lang w:val="fr-FR" w:eastAsia="en-CA"/>
              </w:rPr>
            </w:pPr>
            <w:r w:rsidRPr="0010404B">
              <w:rPr>
                <w:sz w:val="20"/>
                <w:szCs w:val="20"/>
                <w:lang w:val="fr-FR" w:eastAsia="en-CA"/>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119427EB" w14:textId="77777777" w:rsidR="00DE7C12" w:rsidRPr="0010404B" w:rsidRDefault="00DE7C12" w:rsidP="00DE7C12">
            <w:pPr>
              <w:jc w:val="right"/>
              <w:rPr>
                <w:sz w:val="20"/>
                <w:szCs w:val="20"/>
                <w:lang w:val="fr-FR" w:eastAsia="en-CA"/>
              </w:rPr>
            </w:pPr>
            <w:r w:rsidRPr="0010404B">
              <w:rPr>
                <w:sz w:val="20"/>
                <w:szCs w:val="20"/>
                <w:lang w:val="fr-FR" w:eastAsia="en-CA"/>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7BCC0AC1" w14:textId="77777777" w:rsidR="00DE7C12" w:rsidRPr="0010404B" w:rsidRDefault="00DE7C12" w:rsidP="00DE7C12">
            <w:pPr>
              <w:jc w:val="right"/>
              <w:rPr>
                <w:sz w:val="20"/>
                <w:szCs w:val="20"/>
                <w:lang w:val="fr-FR" w:eastAsia="en-CA"/>
              </w:rPr>
            </w:pPr>
            <w:r w:rsidRPr="0010404B">
              <w:rPr>
                <w:sz w:val="20"/>
                <w:szCs w:val="20"/>
                <w:lang w:val="fr-FR" w:eastAsia="en-CA"/>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5DC58AA5" w14:textId="77777777" w:rsidR="00DE7C12" w:rsidRPr="0010404B" w:rsidRDefault="00DE7C12" w:rsidP="00DE7C12">
            <w:pPr>
              <w:jc w:val="right"/>
              <w:rPr>
                <w:sz w:val="20"/>
                <w:szCs w:val="20"/>
                <w:lang w:val="fr-FR" w:eastAsia="en-CA"/>
              </w:rPr>
            </w:pPr>
            <w:r w:rsidRPr="0010404B">
              <w:rPr>
                <w:sz w:val="20"/>
                <w:szCs w:val="20"/>
                <w:lang w:val="fr-FR" w:eastAsia="en-CA"/>
              </w:rPr>
              <w:t> </w:t>
            </w:r>
          </w:p>
        </w:tc>
        <w:tc>
          <w:tcPr>
            <w:tcW w:w="1277" w:type="dxa"/>
            <w:tcBorders>
              <w:top w:val="single" w:sz="4" w:space="0" w:color="auto"/>
              <w:left w:val="nil"/>
              <w:bottom w:val="single" w:sz="4" w:space="0" w:color="auto"/>
              <w:right w:val="single" w:sz="4" w:space="0" w:color="auto"/>
            </w:tcBorders>
            <w:shd w:val="clear" w:color="auto" w:fill="auto"/>
            <w:noWrap/>
            <w:hideMark/>
          </w:tcPr>
          <w:p w14:paraId="7E64B195" w14:textId="77777777" w:rsidR="00DE7C12" w:rsidRPr="0010404B" w:rsidRDefault="00DE7C12" w:rsidP="00DE7C12">
            <w:pPr>
              <w:jc w:val="left"/>
              <w:rPr>
                <w:sz w:val="20"/>
                <w:szCs w:val="20"/>
                <w:lang w:val="fr-FR" w:eastAsia="en-CA"/>
              </w:rPr>
            </w:pPr>
            <w:r w:rsidRPr="0010404B">
              <w:rPr>
                <w:sz w:val="20"/>
                <w:szCs w:val="20"/>
                <w:lang w:val="fr-FR" w:eastAsia="en-CA"/>
              </w:rPr>
              <w:t> </w:t>
            </w:r>
          </w:p>
        </w:tc>
      </w:tr>
      <w:tr w:rsidR="00DE7C12" w:rsidRPr="0010404B" w14:paraId="401FF626" w14:textId="77777777" w:rsidTr="00DE7C12">
        <w:trPr>
          <w:trHeight w:val="264"/>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55ECC52D" w14:textId="4F9EC13D" w:rsidR="00DE7C12" w:rsidRPr="0010404B" w:rsidRDefault="00CF4F7E" w:rsidP="00DE7C12">
            <w:pPr>
              <w:jc w:val="left"/>
              <w:rPr>
                <w:sz w:val="20"/>
                <w:szCs w:val="20"/>
                <w:lang w:val="fr-FR" w:eastAsia="en-CA"/>
              </w:rPr>
            </w:pPr>
            <w:r w:rsidRPr="0010404B">
              <w:rPr>
                <w:sz w:val="20"/>
                <w:szCs w:val="20"/>
                <w:lang w:val="fr-FR" w:eastAsia="en-CA"/>
              </w:rPr>
              <w:t>Australie</w:t>
            </w:r>
          </w:p>
        </w:tc>
        <w:tc>
          <w:tcPr>
            <w:tcW w:w="1134" w:type="dxa"/>
            <w:tcBorders>
              <w:top w:val="single" w:sz="4" w:space="0" w:color="auto"/>
              <w:left w:val="nil"/>
              <w:bottom w:val="single" w:sz="4" w:space="0" w:color="auto"/>
              <w:right w:val="single" w:sz="4" w:space="0" w:color="auto"/>
            </w:tcBorders>
            <w:shd w:val="clear" w:color="auto" w:fill="auto"/>
            <w:noWrap/>
            <w:hideMark/>
          </w:tcPr>
          <w:p w14:paraId="77553CF7" w14:textId="77777777" w:rsidR="00DE7C12" w:rsidRPr="0010404B" w:rsidRDefault="00DE7C12" w:rsidP="00DE7C12">
            <w:pPr>
              <w:jc w:val="right"/>
              <w:rPr>
                <w:sz w:val="20"/>
                <w:szCs w:val="20"/>
                <w:lang w:val="fr-FR" w:eastAsia="en-CA"/>
              </w:rPr>
            </w:pPr>
            <w:r w:rsidRPr="0010404B">
              <w:rPr>
                <w:sz w:val="20"/>
                <w:szCs w:val="20"/>
                <w:lang w:val="fr-FR" w:eastAsia="en-CA"/>
              </w:rPr>
              <w:t>283</w:t>
            </w:r>
          </w:p>
        </w:tc>
        <w:tc>
          <w:tcPr>
            <w:tcW w:w="1134" w:type="dxa"/>
            <w:tcBorders>
              <w:top w:val="single" w:sz="4" w:space="0" w:color="auto"/>
              <w:left w:val="nil"/>
              <w:bottom w:val="single" w:sz="4" w:space="0" w:color="auto"/>
              <w:right w:val="single" w:sz="4" w:space="0" w:color="auto"/>
            </w:tcBorders>
            <w:shd w:val="clear" w:color="auto" w:fill="auto"/>
            <w:noWrap/>
            <w:hideMark/>
          </w:tcPr>
          <w:p w14:paraId="1C10C5F8"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single" w:sz="4" w:space="0" w:color="auto"/>
              <w:left w:val="nil"/>
              <w:bottom w:val="single" w:sz="4" w:space="0" w:color="auto"/>
              <w:right w:val="single" w:sz="4" w:space="0" w:color="auto"/>
            </w:tcBorders>
            <w:shd w:val="clear" w:color="auto" w:fill="auto"/>
            <w:noWrap/>
            <w:hideMark/>
          </w:tcPr>
          <w:p w14:paraId="4A8786D9"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single" w:sz="4" w:space="0" w:color="auto"/>
              <w:left w:val="nil"/>
              <w:bottom w:val="single" w:sz="4" w:space="0" w:color="auto"/>
              <w:right w:val="single" w:sz="4" w:space="0" w:color="auto"/>
            </w:tcBorders>
            <w:shd w:val="clear" w:color="auto" w:fill="auto"/>
            <w:noWrap/>
            <w:hideMark/>
          </w:tcPr>
          <w:p w14:paraId="4C4CFECF" w14:textId="77777777" w:rsidR="00DE7C12" w:rsidRPr="0010404B" w:rsidRDefault="00DE7C12" w:rsidP="00DE7C12">
            <w:pPr>
              <w:jc w:val="right"/>
              <w:rPr>
                <w:sz w:val="20"/>
                <w:szCs w:val="20"/>
                <w:lang w:val="fr-FR" w:eastAsia="en-CA"/>
              </w:rPr>
            </w:pPr>
            <w:r w:rsidRPr="0010404B">
              <w:rPr>
                <w:sz w:val="20"/>
                <w:szCs w:val="20"/>
                <w:lang w:val="fr-FR" w:eastAsia="en-CA"/>
              </w:rPr>
              <w:t>283</w:t>
            </w:r>
          </w:p>
        </w:tc>
        <w:tc>
          <w:tcPr>
            <w:tcW w:w="1277" w:type="dxa"/>
            <w:tcBorders>
              <w:top w:val="single" w:sz="4" w:space="0" w:color="auto"/>
              <w:left w:val="nil"/>
              <w:bottom w:val="single" w:sz="4" w:space="0" w:color="auto"/>
              <w:right w:val="single" w:sz="4" w:space="0" w:color="auto"/>
            </w:tcBorders>
            <w:shd w:val="clear" w:color="auto" w:fill="auto"/>
            <w:noWrap/>
            <w:hideMark/>
          </w:tcPr>
          <w:p w14:paraId="40D82C15" w14:textId="77777777" w:rsidR="00DE7C12" w:rsidRPr="0010404B" w:rsidRDefault="00DE7C12" w:rsidP="00DE7C12">
            <w:pPr>
              <w:jc w:val="right"/>
              <w:rPr>
                <w:sz w:val="20"/>
                <w:szCs w:val="20"/>
                <w:lang w:val="fr-FR" w:eastAsia="en-CA"/>
              </w:rPr>
            </w:pPr>
            <w:r w:rsidRPr="0010404B">
              <w:rPr>
                <w:sz w:val="20"/>
                <w:szCs w:val="20"/>
                <w:lang w:val="fr-FR" w:eastAsia="en-CA"/>
              </w:rPr>
              <w:t>283</w:t>
            </w:r>
          </w:p>
        </w:tc>
      </w:tr>
      <w:tr w:rsidR="00DE7C12" w:rsidRPr="0010404B" w14:paraId="1DD3C095"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2532E573" w14:textId="639A2BAA" w:rsidR="00DE7C12" w:rsidRPr="0010404B" w:rsidRDefault="00864CD0" w:rsidP="00DE7C12">
            <w:pPr>
              <w:jc w:val="left"/>
              <w:rPr>
                <w:sz w:val="20"/>
                <w:szCs w:val="20"/>
                <w:lang w:val="fr-FR" w:eastAsia="en-CA"/>
              </w:rPr>
            </w:pPr>
            <w:r>
              <w:rPr>
                <w:sz w:val="20"/>
                <w:szCs w:val="20"/>
                <w:lang w:val="fr-FR" w:eastAsia="en-CA"/>
              </w:rPr>
              <w:t>France</w:t>
            </w:r>
          </w:p>
        </w:tc>
        <w:tc>
          <w:tcPr>
            <w:tcW w:w="1134" w:type="dxa"/>
            <w:tcBorders>
              <w:top w:val="nil"/>
              <w:left w:val="nil"/>
              <w:bottom w:val="single" w:sz="4" w:space="0" w:color="auto"/>
              <w:right w:val="single" w:sz="4" w:space="0" w:color="auto"/>
            </w:tcBorders>
            <w:shd w:val="clear" w:color="auto" w:fill="auto"/>
            <w:noWrap/>
            <w:hideMark/>
          </w:tcPr>
          <w:p w14:paraId="2C9937DB" w14:textId="77777777" w:rsidR="00DE7C12" w:rsidRPr="0010404B" w:rsidRDefault="00DE7C12" w:rsidP="00DE7C12">
            <w:pPr>
              <w:jc w:val="right"/>
              <w:rPr>
                <w:sz w:val="20"/>
                <w:szCs w:val="20"/>
                <w:lang w:val="fr-FR" w:eastAsia="en-CA"/>
              </w:rPr>
            </w:pPr>
            <w:r w:rsidRPr="0010404B">
              <w:rPr>
                <w:sz w:val="20"/>
                <w:szCs w:val="20"/>
                <w:lang w:val="fr-FR" w:eastAsia="en-CA"/>
              </w:rPr>
              <w:t>693</w:t>
            </w:r>
          </w:p>
        </w:tc>
        <w:tc>
          <w:tcPr>
            <w:tcW w:w="1134" w:type="dxa"/>
            <w:tcBorders>
              <w:top w:val="nil"/>
              <w:left w:val="nil"/>
              <w:bottom w:val="single" w:sz="4" w:space="0" w:color="auto"/>
              <w:right w:val="single" w:sz="4" w:space="0" w:color="auto"/>
            </w:tcBorders>
            <w:shd w:val="clear" w:color="auto" w:fill="auto"/>
            <w:noWrap/>
            <w:hideMark/>
          </w:tcPr>
          <w:p w14:paraId="0D00A68D"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6D022877"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06D754BF" w14:textId="77777777" w:rsidR="00DE7C12" w:rsidRPr="0010404B" w:rsidRDefault="00DE7C12" w:rsidP="00DE7C12">
            <w:pPr>
              <w:jc w:val="right"/>
              <w:rPr>
                <w:sz w:val="20"/>
                <w:szCs w:val="20"/>
                <w:lang w:val="fr-FR" w:eastAsia="en-CA"/>
              </w:rPr>
            </w:pPr>
            <w:r w:rsidRPr="0010404B">
              <w:rPr>
                <w:sz w:val="20"/>
                <w:szCs w:val="20"/>
                <w:lang w:val="fr-FR" w:eastAsia="en-CA"/>
              </w:rPr>
              <w:t>693</w:t>
            </w:r>
          </w:p>
        </w:tc>
        <w:tc>
          <w:tcPr>
            <w:tcW w:w="1277" w:type="dxa"/>
            <w:tcBorders>
              <w:top w:val="nil"/>
              <w:left w:val="nil"/>
              <w:bottom w:val="single" w:sz="4" w:space="0" w:color="auto"/>
              <w:right w:val="single" w:sz="4" w:space="0" w:color="auto"/>
            </w:tcBorders>
            <w:shd w:val="clear" w:color="auto" w:fill="auto"/>
            <w:noWrap/>
            <w:hideMark/>
          </w:tcPr>
          <w:p w14:paraId="0DDACC14" w14:textId="77777777" w:rsidR="00DE7C12" w:rsidRPr="0010404B" w:rsidRDefault="00DE7C12" w:rsidP="00DE7C12">
            <w:pPr>
              <w:jc w:val="right"/>
              <w:rPr>
                <w:sz w:val="20"/>
                <w:szCs w:val="20"/>
                <w:lang w:val="fr-FR" w:eastAsia="en-CA"/>
              </w:rPr>
            </w:pPr>
            <w:r w:rsidRPr="0010404B">
              <w:rPr>
                <w:sz w:val="20"/>
                <w:szCs w:val="20"/>
                <w:lang w:val="fr-FR" w:eastAsia="en-CA"/>
              </w:rPr>
              <w:t>771</w:t>
            </w:r>
          </w:p>
        </w:tc>
      </w:tr>
      <w:tr w:rsidR="00DE7C12" w:rsidRPr="0010404B" w14:paraId="0B8A1A87"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F8FD923" w14:textId="4859CDA2" w:rsidR="00DE7C12" w:rsidRPr="0010404B" w:rsidRDefault="00864CD0" w:rsidP="00DE7C12">
            <w:pPr>
              <w:jc w:val="left"/>
              <w:rPr>
                <w:sz w:val="20"/>
                <w:szCs w:val="20"/>
                <w:lang w:val="fr-FR" w:eastAsia="en-CA"/>
              </w:rPr>
            </w:pPr>
            <w:r>
              <w:rPr>
                <w:sz w:val="20"/>
                <w:szCs w:val="20"/>
                <w:lang w:val="fr-FR" w:eastAsia="en-CA"/>
              </w:rPr>
              <w:t>Allemagne</w:t>
            </w:r>
          </w:p>
        </w:tc>
        <w:tc>
          <w:tcPr>
            <w:tcW w:w="1134" w:type="dxa"/>
            <w:tcBorders>
              <w:top w:val="nil"/>
              <w:left w:val="nil"/>
              <w:bottom w:val="single" w:sz="4" w:space="0" w:color="auto"/>
              <w:right w:val="single" w:sz="4" w:space="0" w:color="auto"/>
            </w:tcBorders>
            <w:shd w:val="clear" w:color="auto" w:fill="auto"/>
            <w:noWrap/>
            <w:hideMark/>
          </w:tcPr>
          <w:p w14:paraId="2C89F8B8" w14:textId="0E9713ED" w:rsidR="00DE7C12" w:rsidRPr="0010404B" w:rsidRDefault="00CF4F7E" w:rsidP="00DE7C12">
            <w:pPr>
              <w:jc w:val="right"/>
              <w:rPr>
                <w:sz w:val="20"/>
                <w:szCs w:val="20"/>
                <w:lang w:val="fr-FR" w:eastAsia="en-CA"/>
              </w:rPr>
            </w:pPr>
            <w:r w:rsidRPr="0010404B">
              <w:rPr>
                <w:sz w:val="20"/>
                <w:szCs w:val="20"/>
                <w:lang w:val="fr-FR" w:eastAsia="en-CA"/>
              </w:rPr>
              <w:t xml:space="preserve">3 </w:t>
            </w:r>
            <w:r w:rsidR="00DE7C12" w:rsidRPr="0010404B">
              <w:rPr>
                <w:sz w:val="20"/>
                <w:szCs w:val="20"/>
                <w:lang w:val="fr-FR" w:eastAsia="en-CA"/>
              </w:rPr>
              <w:t>562</w:t>
            </w:r>
          </w:p>
        </w:tc>
        <w:tc>
          <w:tcPr>
            <w:tcW w:w="1134" w:type="dxa"/>
            <w:tcBorders>
              <w:top w:val="nil"/>
              <w:left w:val="nil"/>
              <w:bottom w:val="single" w:sz="4" w:space="0" w:color="auto"/>
              <w:right w:val="single" w:sz="4" w:space="0" w:color="auto"/>
            </w:tcBorders>
            <w:shd w:val="clear" w:color="auto" w:fill="auto"/>
            <w:noWrap/>
            <w:hideMark/>
          </w:tcPr>
          <w:p w14:paraId="44177EFD" w14:textId="71BC77C1" w:rsidR="00DE7C12" w:rsidRPr="0010404B" w:rsidRDefault="00CF4F7E" w:rsidP="00DE7C12">
            <w:pPr>
              <w:jc w:val="right"/>
              <w:rPr>
                <w:sz w:val="20"/>
                <w:szCs w:val="20"/>
                <w:lang w:val="fr-FR" w:eastAsia="en-CA"/>
              </w:rPr>
            </w:pPr>
            <w:r w:rsidRPr="0010404B">
              <w:rPr>
                <w:sz w:val="20"/>
                <w:szCs w:val="20"/>
                <w:lang w:val="fr-FR" w:eastAsia="en-CA"/>
              </w:rPr>
              <w:t xml:space="preserve">2 </w:t>
            </w:r>
            <w:r w:rsidR="00DE7C12" w:rsidRPr="0010404B">
              <w:rPr>
                <w:sz w:val="20"/>
                <w:szCs w:val="20"/>
                <w:lang w:val="fr-FR" w:eastAsia="en-CA"/>
              </w:rPr>
              <w:t>955</w:t>
            </w:r>
          </w:p>
        </w:tc>
        <w:tc>
          <w:tcPr>
            <w:tcW w:w="1134" w:type="dxa"/>
            <w:tcBorders>
              <w:top w:val="nil"/>
              <w:left w:val="nil"/>
              <w:bottom w:val="single" w:sz="4" w:space="0" w:color="auto"/>
              <w:right w:val="single" w:sz="4" w:space="0" w:color="auto"/>
            </w:tcBorders>
            <w:shd w:val="clear" w:color="auto" w:fill="auto"/>
            <w:noWrap/>
            <w:hideMark/>
          </w:tcPr>
          <w:p w14:paraId="546F8913" w14:textId="34A61B17" w:rsidR="00DE7C12" w:rsidRPr="0010404B" w:rsidRDefault="00CF4F7E" w:rsidP="00DE7C12">
            <w:pPr>
              <w:jc w:val="right"/>
              <w:rPr>
                <w:sz w:val="20"/>
                <w:szCs w:val="20"/>
                <w:lang w:val="fr-FR" w:eastAsia="en-CA"/>
              </w:rPr>
            </w:pPr>
            <w:r w:rsidRPr="0010404B">
              <w:rPr>
                <w:sz w:val="20"/>
                <w:szCs w:val="20"/>
                <w:lang w:val="fr-FR" w:eastAsia="en-CA"/>
              </w:rPr>
              <w:t xml:space="preserve">1 </w:t>
            </w:r>
            <w:r w:rsidR="00DE7C12" w:rsidRPr="0010404B">
              <w:rPr>
                <w:sz w:val="20"/>
                <w:szCs w:val="20"/>
                <w:lang w:val="fr-FR" w:eastAsia="en-CA"/>
              </w:rPr>
              <w:t>503</w:t>
            </w:r>
          </w:p>
        </w:tc>
        <w:tc>
          <w:tcPr>
            <w:tcW w:w="1417" w:type="dxa"/>
            <w:tcBorders>
              <w:top w:val="nil"/>
              <w:left w:val="nil"/>
              <w:bottom w:val="single" w:sz="4" w:space="0" w:color="auto"/>
              <w:right w:val="single" w:sz="4" w:space="0" w:color="auto"/>
            </w:tcBorders>
            <w:shd w:val="clear" w:color="auto" w:fill="auto"/>
            <w:noWrap/>
            <w:hideMark/>
          </w:tcPr>
          <w:p w14:paraId="55EA7D96" w14:textId="1A6E32B9" w:rsidR="00DE7C12" w:rsidRPr="0010404B" w:rsidRDefault="00CF4F7E" w:rsidP="00DE7C12">
            <w:pPr>
              <w:jc w:val="right"/>
              <w:rPr>
                <w:sz w:val="20"/>
                <w:szCs w:val="20"/>
                <w:lang w:val="fr-FR" w:eastAsia="en-CA"/>
              </w:rPr>
            </w:pPr>
            <w:r w:rsidRPr="0010404B">
              <w:rPr>
                <w:sz w:val="20"/>
                <w:szCs w:val="20"/>
                <w:lang w:val="fr-FR" w:eastAsia="en-CA"/>
              </w:rPr>
              <w:t xml:space="preserve">8 </w:t>
            </w:r>
            <w:r w:rsidR="00DE7C12" w:rsidRPr="0010404B">
              <w:rPr>
                <w:sz w:val="20"/>
                <w:szCs w:val="20"/>
                <w:lang w:val="fr-FR" w:eastAsia="en-CA"/>
              </w:rPr>
              <w:t>020</w:t>
            </w:r>
          </w:p>
        </w:tc>
        <w:tc>
          <w:tcPr>
            <w:tcW w:w="1277" w:type="dxa"/>
            <w:tcBorders>
              <w:top w:val="nil"/>
              <w:left w:val="nil"/>
              <w:bottom w:val="single" w:sz="4" w:space="0" w:color="auto"/>
              <w:right w:val="single" w:sz="4" w:space="0" w:color="auto"/>
            </w:tcBorders>
            <w:shd w:val="clear" w:color="auto" w:fill="auto"/>
            <w:noWrap/>
            <w:hideMark/>
          </w:tcPr>
          <w:p w14:paraId="1FE0BB9C" w14:textId="75FF6DE2" w:rsidR="00DE7C12" w:rsidRPr="0010404B" w:rsidRDefault="00DE7C12" w:rsidP="00DE7C12">
            <w:pPr>
              <w:jc w:val="right"/>
              <w:rPr>
                <w:sz w:val="20"/>
                <w:szCs w:val="20"/>
                <w:lang w:val="fr-FR" w:eastAsia="en-CA"/>
              </w:rPr>
            </w:pPr>
            <w:r w:rsidRPr="0010404B">
              <w:rPr>
                <w:sz w:val="20"/>
                <w:szCs w:val="20"/>
                <w:lang w:val="fr-FR" w:eastAsia="en-CA"/>
              </w:rPr>
              <w:t>1</w:t>
            </w:r>
            <w:r w:rsidR="00CF4F7E" w:rsidRPr="0010404B">
              <w:rPr>
                <w:sz w:val="20"/>
                <w:szCs w:val="20"/>
                <w:lang w:val="fr-FR" w:eastAsia="en-CA"/>
              </w:rPr>
              <w:t xml:space="preserve"> </w:t>
            </w:r>
            <w:r w:rsidRPr="0010404B">
              <w:rPr>
                <w:sz w:val="20"/>
                <w:szCs w:val="20"/>
                <w:lang w:val="fr-FR" w:eastAsia="en-CA"/>
              </w:rPr>
              <w:t>906</w:t>
            </w:r>
          </w:p>
        </w:tc>
      </w:tr>
      <w:tr w:rsidR="00DE7C12" w:rsidRPr="0010404B" w14:paraId="0755E99C"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4C287220" w14:textId="0AEDEE11" w:rsidR="00DE7C12" w:rsidRPr="0010404B" w:rsidRDefault="00864CD0" w:rsidP="00DE7C12">
            <w:pPr>
              <w:jc w:val="left"/>
              <w:rPr>
                <w:sz w:val="20"/>
                <w:szCs w:val="20"/>
                <w:lang w:val="fr-FR" w:eastAsia="en-CA"/>
              </w:rPr>
            </w:pPr>
            <w:r>
              <w:rPr>
                <w:sz w:val="20"/>
                <w:szCs w:val="20"/>
                <w:lang w:val="fr-FR" w:eastAsia="en-CA"/>
              </w:rPr>
              <w:t>Italie</w:t>
            </w:r>
          </w:p>
        </w:tc>
        <w:tc>
          <w:tcPr>
            <w:tcW w:w="1134" w:type="dxa"/>
            <w:tcBorders>
              <w:top w:val="nil"/>
              <w:left w:val="nil"/>
              <w:bottom w:val="single" w:sz="4" w:space="0" w:color="auto"/>
              <w:right w:val="single" w:sz="4" w:space="0" w:color="auto"/>
            </w:tcBorders>
            <w:shd w:val="clear" w:color="auto" w:fill="auto"/>
            <w:noWrap/>
            <w:hideMark/>
          </w:tcPr>
          <w:p w14:paraId="46AF2199" w14:textId="77777777" w:rsidR="00DE7C12" w:rsidRPr="0010404B" w:rsidRDefault="00DE7C12" w:rsidP="00DE7C12">
            <w:pPr>
              <w:jc w:val="right"/>
              <w:rPr>
                <w:sz w:val="20"/>
                <w:szCs w:val="20"/>
                <w:lang w:val="fr-FR" w:eastAsia="en-CA"/>
              </w:rPr>
            </w:pPr>
            <w:r w:rsidRPr="0010404B">
              <w:rPr>
                <w:sz w:val="20"/>
                <w:szCs w:val="20"/>
                <w:lang w:val="fr-FR" w:eastAsia="en-CA"/>
              </w:rPr>
              <w:t>265</w:t>
            </w:r>
          </w:p>
        </w:tc>
        <w:tc>
          <w:tcPr>
            <w:tcW w:w="1134" w:type="dxa"/>
            <w:tcBorders>
              <w:top w:val="nil"/>
              <w:left w:val="nil"/>
              <w:bottom w:val="single" w:sz="4" w:space="0" w:color="auto"/>
              <w:right w:val="single" w:sz="4" w:space="0" w:color="auto"/>
            </w:tcBorders>
            <w:shd w:val="clear" w:color="auto" w:fill="auto"/>
            <w:noWrap/>
            <w:hideMark/>
          </w:tcPr>
          <w:p w14:paraId="47A8BA9B"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2F0BA5D9"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6CE651FE" w14:textId="77777777" w:rsidR="00DE7C12" w:rsidRPr="0010404B" w:rsidRDefault="00DE7C12" w:rsidP="00DE7C12">
            <w:pPr>
              <w:jc w:val="right"/>
              <w:rPr>
                <w:sz w:val="20"/>
                <w:szCs w:val="20"/>
                <w:lang w:val="fr-FR" w:eastAsia="en-CA"/>
              </w:rPr>
            </w:pPr>
            <w:r w:rsidRPr="0010404B">
              <w:rPr>
                <w:sz w:val="20"/>
                <w:szCs w:val="20"/>
                <w:lang w:val="fr-FR" w:eastAsia="en-CA"/>
              </w:rPr>
              <w:t>265</w:t>
            </w:r>
          </w:p>
        </w:tc>
        <w:tc>
          <w:tcPr>
            <w:tcW w:w="1277" w:type="dxa"/>
            <w:tcBorders>
              <w:top w:val="nil"/>
              <w:left w:val="nil"/>
              <w:bottom w:val="single" w:sz="4" w:space="0" w:color="auto"/>
              <w:right w:val="single" w:sz="4" w:space="0" w:color="auto"/>
            </w:tcBorders>
            <w:shd w:val="clear" w:color="auto" w:fill="auto"/>
            <w:noWrap/>
            <w:hideMark/>
          </w:tcPr>
          <w:p w14:paraId="5AE46725"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24393537"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05EFC01F" w14:textId="75238DA4" w:rsidR="00DE7C12" w:rsidRPr="0010404B" w:rsidRDefault="00CF4F7E" w:rsidP="00DE7C12">
            <w:pPr>
              <w:jc w:val="left"/>
              <w:rPr>
                <w:sz w:val="20"/>
                <w:szCs w:val="20"/>
                <w:lang w:val="fr-FR" w:eastAsia="en-CA"/>
              </w:rPr>
            </w:pPr>
            <w:r w:rsidRPr="0010404B">
              <w:rPr>
                <w:sz w:val="20"/>
                <w:szCs w:val="20"/>
                <w:lang w:val="fr-FR" w:eastAsia="en-CA"/>
              </w:rPr>
              <w:t>Japo</w:t>
            </w:r>
            <w:r w:rsidR="00DE7C12" w:rsidRPr="0010404B">
              <w:rPr>
                <w:sz w:val="20"/>
                <w:szCs w:val="20"/>
                <w:lang w:val="fr-FR" w:eastAsia="en-CA"/>
              </w:rPr>
              <w:t>n</w:t>
            </w:r>
          </w:p>
        </w:tc>
        <w:tc>
          <w:tcPr>
            <w:tcW w:w="1134" w:type="dxa"/>
            <w:tcBorders>
              <w:top w:val="nil"/>
              <w:left w:val="nil"/>
              <w:bottom w:val="single" w:sz="4" w:space="0" w:color="auto"/>
              <w:right w:val="single" w:sz="4" w:space="0" w:color="auto"/>
            </w:tcBorders>
            <w:shd w:val="clear" w:color="auto" w:fill="auto"/>
            <w:noWrap/>
            <w:hideMark/>
          </w:tcPr>
          <w:p w14:paraId="59AA0C73" w14:textId="77777777" w:rsidR="00DE7C12" w:rsidRPr="0010404B" w:rsidRDefault="00DE7C12" w:rsidP="00DE7C12">
            <w:pPr>
              <w:jc w:val="right"/>
              <w:rPr>
                <w:sz w:val="20"/>
                <w:szCs w:val="20"/>
                <w:lang w:val="fr-FR" w:eastAsia="en-CA"/>
              </w:rPr>
            </w:pPr>
            <w:r w:rsidRPr="0010404B">
              <w:rPr>
                <w:sz w:val="20"/>
                <w:szCs w:val="20"/>
                <w:lang w:val="fr-FR" w:eastAsia="en-CA"/>
              </w:rPr>
              <w:t>211</w:t>
            </w:r>
          </w:p>
        </w:tc>
        <w:tc>
          <w:tcPr>
            <w:tcW w:w="1134" w:type="dxa"/>
            <w:tcBorders>
              <w:top w:val="nil"/>
              <w:left w:val="nil"/>
              <w:bottom w:val="single" w:sz="4" w:space="0" w:color="auto"/>
              <w:right w:val="single" w:sz="4" w:space="0" w:color="auto"/>
            </w:tcBorders>
            <w:shd w:val="clear" w:color="auto" w:fill="auto"/>
            <w:noWrap/>
            <w:hideMark/>
          </w:tcPr>
          <w:p w14:paraId="6BAC718A"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134" w:type="dxa"/>
            <w:tcBorders>
              <w:top w:val="nil"/>
              <w:left w:val="nil"/>
              <w:bottom w:val="single" w:sz="4" w:space="0" w:color="auto"/>
              <w:right w:val="single" w:sz="4" w:space="0" w:color="auto"/>
            </w:tcBorders>
            <w:shd w:val="clear" w:color="auto" w:fill="auto"/>
            <w:noWrap/>
            <w:hideMark/>
          </w:tcPr>
          <w:p w14:paraId="518CAC33" w14:textId="77777777" w:rsidR="00DE7C12" w:rsidRPr="0010404B" w:rsidRDefault="00DE7C12" w:rsidP="00DE7C12">
            <w:pPr>
              <w:jc w:val="right"/>
              <w:rPr>
                <w:sz w:val="20"/>
                <w:szCs w:val="20"/>
                <w:lang w:val="fr-FR" w:eastAsia="en-CA"/>
              </w:rPr>
            </w:pPr>
            <w:r w:rsidRPr="0010404B">
              <w:rPr>
                <w:sz w:val="20"/>
                <w:szCs w:val="20"/>
                <w:lang w:val="fr-FR" w:eastAsia="en-CA"/>
              </w:rPr>
              <w:t>0</w:t>
            </w:r>
          </w:p>
        </w:tc>
        <w:tc>
          <w:tcPr>
            <w:tcW w:w="1417" w:type="dxa"/>
            <w:tcBorders>
              <w:top w:val="nil"/>
              <w:left w:val="nil"/>
              <w:bottom w:val="single" w:sz="4" w:space="0" w:color="auto"/>
              <w:right w:val="single" w:sz="4" w:space="0" w:color="auto"/>
            </w:tcBorders>
            <w:shd w:val="clear" w:color="auto" w:fill="auto"/>
            <w:noWrap/>
            <w:hideMark/>
          </w:tcPr>
          <w:p w14:paraId="1CB6FE1E" w14:textId="77777777" w:rsidR="00DE7C12" w:rsidRPr="0010404B" w:rsidRDefault="00DE7C12" w:rsidP="00DE7C12">
            <w:pPr>
              <w:jc w:val="right"/>
              <w:rPr>
                <w:sz w:val="20"/>
                <w:szCs w:val="20"/>
                <w:lang w:val="fr-FR" w:eastAsia="en-CA"/>
              </w:rPr>
            </w:pPr>
            <w:r w:rsidRPr="0010404B">
              <w:rPr>
                <w:sz w:val="20"/>
                <w:szCs w:val="20"/>
                <w:lang w:val="fr-FR" w:eastAsia="en-CA"/>
              </w:rPr>
              <w:t>211</w:t>
            </w:r>
          </w:p>
        </w:tc>
        <w:tc>
          <w:tcPr>
            <w:tcW w:w="1277" w:type="dxa"/>
            <w:tcBorders>
              <w:top w:val="nil"/>
              <w:left w:val="nil"/>
              <w:bottom w:val="single" w:sz="4" w:space="0" w:color="auto"/>
              <w:right w:val="single" w:sz="4" w:space="0" w:color="auto"/>
            </w:tcBorders>
            <w:shd w:val="clear" w:color="auto" w:fill="auto"/>
            <w:noWrap/>
            <w:hideMark/>
          </w:tcPr>
          <w:p w14:paraId="333F735B" w14:textId="77777777" w:rsidR="00DE7C12" w:rsidRPr="0010404B" w:rsidRDefault="00DE7C12" w:rsidP="00DE7C12">
            <w:pPr>
              <w:jc w:val="right"/>
              <w:rPr>
                <w:sz w:val="20"/>
                <w:szCs w:val="20"/>
                <w:lang w:val="fr-FR" w:eastAsia="en-CA"/>
              </w:rPr>
            </w:pPr>
            <w:r w:rsidRPr="0010404B">
              <w:rPr>
                <w:sz w:val="20"/>
                <w:szCs w:val="20"/>
                <w:lang w:val="fr-FR" w:eastAsia="en-CA"/>
              </w:rPr>
              <w:t>0</w:t>
            </w:r>
          </w:p>
        </w:tc>
      </w:tr>
      <w:tr w:rsidR="00DE7C12" w:rsidRPr="0010404B" w14:paraId="514F907E"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41BB3993" w14:textId="497B8EA3" w:rsidR="00DE7C12" w:rsidRPr="0010404B" w:rsidRDefault="00CF4F7E" w:rsidP="00DE7C12">
            <w:pPr>
              <w:jc w:val="left"/>
              <w:rPr>
                <w:sz w:val="20"/>
                <w:szCs w:val="20"/>
                <w:lang w:val="fr-FR" w:eastAsia="en-CA"/>
              </w:rPr>
            </w:pPr>
            <w:r w:rsidRPr="0010404B">
              <w:rPr>
                <w:sz w:val="20"/>
                <w:szCs w:val="20"/>
                <w:lang w:val="fr-FR" w:eastAsia="en-CA"/>
              </w:rPr>
              <w:t>PNUD</w:t>
            </w:r>
          </w:p>
        </w:tc>
        <w:tc>
          <w:tcPr>
            <w:tcW w:w="1134" w:type="dxa"/>
            <w:tcBorders>
              <w:top w:val="nil"/>
              <w:left w:val="nil"/>
              <w:bottom w:val="single" w:sz="4" w:space="0" w:color="auto"/>
              <w:right w:val="single" w:sz="4" w:space="0" w:color="auto"/>
            </w:tcBorders>
            <w:shd w:val="clear" w:color="auto" w:fill="auto"/>
            <w:noWrap/>
            <w:hideMark/>
          </w:tcPr>
          <w:p w14:paraId="469C97E4" w14:textId="02B72F0D" w:rsidR="00DE7C12" w:rsidRPr="0010404B" w:rsidRDefault="00CF4F7E" w:rsidP="00DE7C12">
            <w:pPr>
              <w:jc w:val="right"/>
              <w:rPr>
                <w:sz w:val="20"/>
                <w:szCs w:val="20"/>
                <w:lang w:val="fr-FR" w:eastAsia="en-CA"/>
              </w:rPr>
            </w:pPr>
            <w:r w:rsidRPr="0010404B">
              <w:rPr>
                <w:sz w:val="20"/>
                <w:szCs w:val="20"/>
                <w:lang w:val="fr-FR" w:eastAsia="en-CA"/>
              </w:rPr>
              <w:t xml:space="preserve">67 </w:t>
            </w:r>
            <w:r w:rsidR="00DE7C12" w:rsidRPr="0010404B">
              <w:rPr>
                <w:sz w:val="20"/>
                <w:szCs w:val="20"/>
                <w:lang w:val="fr-FR" w:eastAsia="en-CA"/>
              </w:rPr>
              <w:t>245</w:t>
            </w:r>
          </w:p>
        </w:tc>
        <w:tc>
          <w:tcPr>
            <w:tcW w:w="1134" w:type="dxa"/>
            <w:tcBorders>
              <w:top w:val="nil"/>
              <w:left w:val="nil"/>
              <w:bottom w:val="single" w:sz="4" w:space="0" w:color="auto"/>
              <w:right w:val="single" w:sz="4" w:space="0" w:color="auto"/>
            </w:tcBorders>
            <w:shd w:val="clear" w:color="auto" w:fill="auto"/>
            <w:noWrap/>
            <w:hideMark/>
          </w:tcPr>
          <w:p w14:paraId="007BD75B" w14:textId="695BC0C3" w:rsidR="00DE7C12" w:rsidRPr="0010404B" w:rsidRDefault="00CF4F7E" w:rsidP="00DE7C12">
            <w:pPr>
              <w:jc w:val="right"/>
              <w:rPr>
                <w:sz w:val="20"/>
                <w:szCs w:val="20"/>
                <w:lang w:val="fr-FR" w:eastAsia="en-CA"/>
              </w:rPr>
            </w:pPr>
            <w:r w:rsidRPr="0010404B">
              <w:rPr>
                <w:sz w:val="20"/>
                <w:szCs w:val="20"/>
                <w:lang w:val="fr-FR" w:eastAsia="en-CA"/>
              </w:rPr>
              <w:t xml:space="preserve">37 </w:t>
            </w:r>
            <w:r w:rsidR="00DE7C12" w:rsidRPr="0010404B">
              <w:rPr>
                <w:sz w:val="20"/>
                <w:szCs w:val="20"/>
                <w:lang w:val="fr-FR" w:eastAsia="en-CA"/>
              </w:rPr>
              <w:t>809</w:t>
            </w:r>
          </w:p>
        </w:tc>
        <w:tc>
          <w:tcPr>
            <w:tcW w:w="1134" w:type="dxa"/>
            <w:tcBorders>
              <w:top w:val="nil"/>
              <w:left w:val="nil"/>
              <w:bottom w:val="single" w:sz="4" w:space="0" w:color="auto"/>
              <w:right w:val="single" w:sz="4" w:space="0" w:color="auto"/>
            </w:tcBorders>
            <w:shd w:val="clear" w:color="auto" w:fill="auto"/>
            <w:noWrap/>
            <w:hideMark/>
          </w:tcPr>
          <w:p w14:paraId="2A016326" w14:textId="791DB946" w:rsidR="00DE7C12" w:rsidRPr="0010404B" w:rsidRDefault="00CF4F7E" w:rsidP="00DE7C12">
            <w:pPr>
              <w:jc w:val="right"/>
              <w:rPr>
                <w:sz w:val="20"/>
                <w:szCs w:val="20"/>
                <w:lang w:val="fr-FR" w:eastAsia="en-CA"/>
              </w:rPr>
            </w:pPr>
            <w:r w:rsidRPr="0010404B">
              <w:rPr>
                <w:sz w:val="20"/>
                <w:szCs w:val="20"/>
                <w:lang w:val="fr-FR" w:eastAsia="en-CA"/>
              </w:rPr>
              <w:t xml:space="preserve">25 </w:t>
            </w:r>
            <w:r w:rsidR="00DE7C12" w:rsidRPr="0010404B">
              <w:rPr>
                <w:sz w:val="20"/>
                <w:szCs w:val="20"/>
                <w:lang w:val="fr-FR" w:eastAsia="en-CA"/>
              </w:rPr>
              <w:t>198</w:t>
            </w:r>
          </w:p>
        </w:tc>
        <w:tc>
          <w:tcPr>
            <w:tcW w:w="1417" w:type="dxa"/>
            <w:tcBorders>
              <w:top w:val="nil"/>
              <w:left w:val="nil"/>
              <w:bottom w:val="single" w:sz="4" w:space="0" w:color="auto"/>
              <w:right w:val="single" w:sz="4" w:space="0" w:color="auto"/>
            </w:tcBorders>
            <w:shd w:val="clear" w:color="auto" w:fill="auto"/>
            <w:noWrap/>
            <w:hideMark/>
          </w:tcPr>
          <w:p w14:paraId="12457F47" w14:textId="6447727C" w:rsidR="00DE7C12" w:rsidRPr="0010404B" w:rsidRDefault="00CF4F7E" w:rsidP="00DE7C12">
            <w:pPr>
              <w:jc w:val="right"/>
              <w:rPr>
                <w:sz w:val="20"/>
                <w:szCs w:val="20"/>
                <w:lang w:val="fr-FR" w:eastAsia="en-CA"/>
              </w:rPr>
            </w:pPr>
            <w:r w:rsidRPr="0010404B">
              <w:rPr>
                <w:sz w:val="20"/>
                <w:szCs w:val="20"/>
                <w:lang w:val="fr-FR" w:eastAsia="en-CA"/>
              </w:rPr>
              <w:t xml:space="preserve">130 </w:t>
            </w:r>
            <w:r w:rsidR="00DE7C12" w:rsidRPr="0010404B">
              <w:rPr>
                <w:sz w:val="20"/>
                <w:szCs w:val="20"/>
                <w:lang w:val="fr-FR" w:eastAsia="en-CA"/>
              </w:rPr>
              <w:t>252</w:t>
            </w:r>
          </w:p>
        </w:tc>
        <w:tc>
          <w:tcPr>
            <w:tcW w:w="1277" w:type="dxa"/>
            <w:tcBorders>
              <w:top w:val="nil"/>
              <w:left w:val="nil"/>
              <w:bottom w:val="single" w:sz="4" w:space="0" w:color="auto"/>
              <w:right w:val="single" w:sz="4" w:space="0" w:color="auto"/>
            </w:tcBorders>
            <w:shd w:val="clear" w:color="auto" w:fill="auto"/>
            <w:noWrap/>
            <w:hideMark/>
          </w:tcPr>
          <w:p w14:paraId="0F3076F0" w14:textId="7CF62A20" w:rsidR="00DE7C12" w:rsidRPr="0010404B" w:rsidRDefault="00CF4F7E" w:rsidP="00DE7C12">
            <w:pPr>
              <w:jc w:val="right"/>
              <w:rPr>
                <w:sz w:val="20"/>
                <w:szCs w:val="20"/>
                <w:lang w:val="fr-FR" w:eastAsia="en-CA"/>
              </w:rPr>
            </w:pPr>
            <w:r w:rsidRPr="0010404B">
              <w:rPr>
                <w:sz w:val="20"/>
                <w:szCs w:val="20"/>
                <w:lang w:val="fr-FR" w:eastAsia="en-CA"/>
              </w:rPr>
              <w:t xml:space="preserve">21 </w:t>
            </w:r>
            <w:r w:rsidR="00DE7C12" w:rsidRPr="0010404B">
              <w:rPr>
                <w:sz w:val="20"/>
                <w:szCs w:val="20"/>
                <w:lang w:val="fr-FR" w:eastAsia="en-CA"/>
              </w:rPr>
              <w:t>660</w:t>
            </w:r>
          </w:p>
        </w:tc>
      </w:tr>
      <w:tr w:rsidR="00DE7C12" w:rsidRPr="0010404B" w14:paraId="34FDC002"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46715EA" w14:textId="5CAE6BBD" w:rsidR="00DE7C12" w:rsidRPr="0010404B" w:rsidRDefault="00DE7C12" w:rsidP="00DE7C12">
            <w:pPr>
              <w:jc w:val="left"/>
              <w:rPr>
                <w:sz w:val="20"/>
                <w:szCs w:val="20"/>
                <w:lang w:val="fr-FR" w:eastAsia="en-CA"/>
              </w:rPr>
            </w:pPr>
            <w:r w:rsidRPr="0010404B">
              <w:rPr>
                <w:sz w:val="20"/>
                <w:szCs w:val="20"/>
                <w:lang w:val="fr-FR" w:eastAsia="en-CA"/>
              </w:rPr>
              <w:t>P</w:t>
            </w:r>
            <w:r w:rsidR="00CF4F7E" w:rsidRPr="0010404B">
              <w:rPr>
                <w:sz w:val="20"/>
                <w:szCs w:val="20"/>
                <w:lang w:val="fr-FR" w:eastAsia="en-CA"/>
              </w:rPr>
              <w:t>NUE</w:t>
            </w:r>
          </w:p>
        </w:tc>
        <w:tc>
          <w:tcPr>
            <w:tcW w:w="1134" w:type="dxa"/>
            <w:tcBorders>
              <w:top w:val="nil"/>
              <w:left w:val="nil"/>
              <w:bottom w:val="single" w:sz="4" w:space="0" w:color="auto"/>
              <w:right w:val="single" w:sz="4" w:space="0" w:color="auto"/>
            </w:tcBorders>
            <w:shd w:val="clear" w:color="auto" w:fill="auto"/>
            <w:noWrap/>
            <w:hideMark/>
          </w:tcPr>
          <w:p w14:paraId="31C095F7" w14:textId="3B5D5485" w:rsidR="00DE7C12" w:rsidRPr="0010404B" w:rsidRDefault="00CF4F7E" w:rsidP="00DE7C12">
            <w:pPr>
              <w:jc w:val="right"/>
              <w:rPr>
                <w:sz w:val="20"/>
                <w:szCs w:val="20"/>
                <w:lang w:val="fr-FR" w:eastAsia="en-CA"/>
              </w:rPr>
            </w:pPr>
            <w:r w:rsidRPr="0010404B">
              <w:rPr>
                <w:sz w:val="20"/>
                <w:szCs w:val="20"/>
                <w:lang w:val="fr-FR" w:eastAsia="en-CA"/>
              </w:rPr>
              <w:t xml:space="preserve">34 </w:t>
            </w:r>
            <w:r w:rsidR="00DE7C12" w:rsidRPr="0010404B">
              <w:rPr>
                <w:sz w:val="20"/>
                <w:szCs w:val="20"/>
                <w:lang w:val="fr-FR" w:eastAsia="en-CA"/>
              </w:rPr>
              <w:t>736</w:t>
            </w:r>
          </w:p>
        </w:tc>
        <w:tc>
          <w:tcPr>
            <w:tcW w:w="1134" w:type="dxa"/>
            <w:tcBorders>
              <w:top w:val="nil"/>
              <w:left w:val="nil"/>
              <w:bottom w:val="single" w:sz="4" w:space="0" w:color="auto"/>
              <w:right w:val="single" w:sz="4" w:space="0" w:color="auto"/>
            </w:tcBorders>
            <w:shd w:val="clear" w:color="auto" w:fill="auto"/>
            <w:noWrap/>
            <w:hideMark/>
          </w:tcPr>
          <w:p w14:paraId="4445E432" w14:textId="6F46BEF9" w:rsidR="00DE7C12" w:rsidRPr="0010404B" w:rsidRDefault="00CF4F7E" w:rsidP="00DE7C12">
            <w:pPr>
              <w:jc w:val="right"/>
              <w:rPr>
                <w:sz w:val="20"/>
                <w:szCs w:val="20"/>
                <w:lang w:val="fr-FR" w:eastAsia="en-CA"/>
              </w:rPr>
            </w:pPr>
            <w:r w:rsidRPr="0010404B">
              <w:rPr>
                <w:sz w:val="20"/>
                <w:szCs w:val="20"/>
                <w:lang w:val="fr-FR" w:eastAsia="en-CA"/>
              </w:rPr>
              <w:t xml:space="preserve">24 </w:t>
            </w:r>
            <w:r w:rsidR="00DE7C12" w:rsidRPr="0010404B">
              <w:rPr>
                <w:sz w:val="20"/>
                <w:szCs w:val="20"/>
                <w:lang w:val="fr-FR" w:eastAsia="en-CA"/>
              </w:rPr>
              <w:t>708</w:t>
            </w:r>
          </w:p>
        </w:tc>
        <w:tc>
          <w:tcPr>
            <w:tcW w:w="1134" w:type="dxa"/>
            <w:tcBorders>
              <w:top w:val="nil"/>
              <w:left w:val="nil"/>
              <w:bottom w:val="single" w:sz="4" w:space="0" w:color="auto"/>
              <w:right w:val="single" w:sz="4" w:space="0" w:color="auto"/>
            </w:tcBorders>
            <w:shd w:val="clear" w:color="auto" w:fill="auto"/>
            <w:noWrap/>
            <w:hideMark/>
          </w:tcPr>
          <w:p w14:paraId="4850263C" w14:textId="7C864C4B" w:rsidR="00DE7C12" w:rsidRPr="0010404B" w:rsidRDefault="00CF4F7E" w:rsidP="00DE7C12">
            <w:pPr>
              <w:jc w:val="right"/>
              <w:rPr>
                <w:sz w:val="20"/>
                <w:szCs w:val="20"/>
                <w:lang w:val="fr-FR" w:eastAsia="en-CA"/>
              </w:rPr>
            </w:pPr>
            <w:r w:rsidRPr="0010404B">
              <w:rPr>
                <w:sz w:val="20"/>
                <w:szCs w:val="20"/>
                <w:lang w:val="fr-FR" w:eastAsia="en-CA"/>
              </w:rPr>
              <w:t xml:space="preserve">23 </w:t>
            </w:r>
            <w:r w:rsidR="00DE7C12" w:rsidRPr="0010404B">
              <w:rPr>
                <w:sz w:val="20"/>
                <w:szCs w:val="20"/>
                <w:lang w:val="fr-FR" w:eastAsia="en-CA"/>
              </w:rPr>
              <w:t>578</w:t>
            </w:r>
          </w:p>
        </w:tc>
        <w:tc>
          <w:tcPr>
            <w:tcW w:w="1417" w:type="dxa"/>
            <w:tcBorders>
              <w:top w:val="nil"/>
              <w:left w:val="nil"/>
              <w:bottom w:val="single" w:sz="4" w:space="0" w:color="auto"/>
              <w:right w:val="single" w:sz="4" w:space="0" w:color="auto"/>
            </w:tcBorders>
            <w:shd w:val="clear" w:color="auto" w:fill="auto"/>
            <w:noWrap/>
            <w:hideMark/>
          </w:tcPr>
          <w:p w14:paraId="45D79DFE" w14:textId="29A908B5" w:rsidR="00DE7C12" w:rsidRPr="0010404B" w:rsidRDefault="00CF4F7E" w:rsidP="00DE7C12">
            <w:pPr>
              <w:jc w:val="right"/>
              <w:rPr>
                <w:sz w:val="20"/>
                <w:szCs w:val="20"/>
                <w:lang w:val="fr-FR" w:eastAsia="en-CA"/>
              </w:rPr>
            </w:pPr>
            <w:r w:rsidRPr="0010404B">
              <w:rPr>
                <w:sz w:val="20"/>
                <w:szCs w:val="20"/>
                <w:lang w:val="fr-FR" w:eastAsia="en-CA"/>
              </w:rPr>
              <w:t xml:space="preserve">83 </w:t>
            </w:r>
            <w:r w:rsidR="00DE7C12" w:rsidRPr="0010404B">
              <w:rPr>
                <w:sz w:val="20"/>
                <w:szCs w:val="20"/>
                <w:lang w:val="fr-FR" w:eastAsia="en-CA"/>
              </w:rPr>
              <w:t>022</w:t>
            </w:r>
          </w:p>
        </w:tc>
        <w:tc>
          <w:tcPr>
            <w:tcW w:w="1277" w:type="dxa"/>
            <w:tcBorders>
              <w:top w:val="nil"/>
              <w:left w:val="nil"/>
              <w:bottom w:val="single" w:sz="4" w:space="0" w:color="auto"/>
              <w:right w:val="single" w:sz="4" w:space="0" w:color="auto"/>
            </w:tcBorders>
            <w:shd w:val="clear" w:color="auto" w:fill="auto"/>
            <w:noWrap/>
            <w:hideMark/>
          </w:tcPr>
          <w:p w14:paraId="7BD4FD13" w14:textId="431D0636" w:rsidR="00DE7C12" w:rsidRPr="0010404B" w:rsidRDefault="00CF4F7E" w:rsidP="00DE7C12">
            <w:pPr>
              <w:jc w:val="right"/>
              <w:rPr>
                <w:sz w:val="20"/>
                <w:szCs w:val="20"/>
                <w:lang w:val="fr-FR" w:eastAsia="en-CA"/>
              </w:rPr>
            </w:pPr>
            <w:r w:rsidRPr="0010404B">
              <w:rPr>
                <w:sz w:val="20"/>
                <w:szCs w:val="20"/>
                <w:lang w:val="fr-FR" w:eastAsia="en-CA"/>
              </w:rPr>
              <w:t xml:space="preserve">17 </w:t>
            </w:r>
            <w:r w:rsidR="00DE7C12" w:rsidRPr="0010404B">
              <w:rPr>
                <w:sz w:val="20"/>
                <w:szCs w:val="20"/>
                <w:lang w:val="fr-FR" w:eastAsia="en-CA"/>
              </w:rPr>
              <w:t>411</w:t>
            </w:r>
          </w:p>
        </w:tc>
      </w:tr>
      <w:tr w:rsidR="00DE7C12" w:rsidRPr="0010404B" w14:paraId="278544EE"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05BBDB2E" w14:textId="7670E971" w:rsidR="00DE7C12" w:rsidRPr="0010404B" w:rsidRDefault="00DE7C12" w:rsidP="00DE7C12">
            <w:pPr>
              <w:jc w:val="left"/>
              <w:rPr>
                <w:sz w:val="20"/>
                <w:szCs w:val="20"/>
                <w:lang w:val="fr-FR" w:eastAsia="en-CA"/>
              </w:rPr>
            </w:pPr>
            <w:r w:rsidRPr="0010404B">
              <w:rPr>
                <w:sz w:val="20"/>
                <w:szCs w:val="20"/>
                <w:lang w:val="fr-FR" w:eastAsia="en-CA"/>
              </w:rPr>
              <w:t>O</w:t>
            </w:r>
            <w:r w:rsidR="00CF4F7E" w:rsidRPr="0010404B">
              <w:rPr>
                <w:sz w:val="20"/>
                <w:szCs w:val="20"/>
                <w:lang w:val="fr-FR" w:eastAsia="en-CA"/>
              </w:rPr>
              <w:t>NUDI</w:t>
            </w:r>
          </w:p>
        </w:tc>
        <w:tc>
          <w:tcPr>
            <w:tcW w:w="1134" w:type="dxa"/>
            <w:tcBorders>
              <w:top w:val="nil"/>
              <w:left w:val="nil"/>
              <w:bottom w:val="single" w:sz="4" w:space="0" w:color="auto"/>
              <w:right w:val="single" w:sz="4" w:space="0" w:color="auto"/>
            </w:tcBorders>
            <w:shd w:val="clear" w:color="auto" w:fill="auto"/>
            <w:noWrap/>
            <w:hideMark/>
          </w:tcPr>
          <w:p w14:paraId="12D42E02" w14:textId="32C969F4" w:rsidR="00DE7C12" w:rsidRPr="0010404B" w:rsidRDefault="00CF4F7E" w:rsidP="00DE7C12">
            <w:pPr>
              <w:jc w:val="right"/>
              <w:rPr>
                <w:sz w:val="20"/>
                <w:szCs w:val="20"/>
                <w:lang w:val="fr-FR" w:eastAsia="en-CA"/>
              </w:rPr>
            </w:pPr>
            <w:r w:rsidRPr="0010404B">
              <w:rPr>
                <w:sz w:val="20"/>
                <w:szCs w:val="20"/>
                <w:lang w:val="fr-FR" w:eastAsia="en-CA"/>
              </w:rPr>
              <w:t xml:space="preserve">57 </w:t>
            </w:r>
            <w:r w:rsidR="00DE7C12" w:rsidRPr="0010404B">
              <w:rPr>
                <w:sz w:val="20"/>
                <w:szCs w:val="20"/>
                <w:lang w:val="fr-FR" w:eastAsia="en-CA"/>
              </w:rPr>
              <w:t>508</w:t>
            </w:r>
          </w:p>
        </w:tc>
        <w:tc>
          <w:tcPr>
            <w:tcW w:w="1134" w:type="dxa"/>
            <w:tcBorders>
              <w:top w:val="nil"/>
              <w:left w:val="nil"/>
              <w:bottom w:val="single" w:sz="4" w:space="0" w:color="auto"/>
              <w:right w:val="single" w:sz="4" w:space="0" w:color="auto"/>
            </w:tcBorders>
            <w:shd w:val="clear" w:color="auto" w:fill="auto"/>
            <w:noWrap/>
            <w:hideMark/>
          </w:tcPr>
          <w:p w14:paraId="70F5C257" w14:textId="4DD6B1E2" w:rsidR="00DE7C12" w:rsidRPr="0010404B" w:rsidRDefault="00CF4F7E" w:rsidP="00DE7C12">
            <w:pPr>
              <w:jc w:val="right"/>
              <w:rPr>
                <w:sz w:val="20"/>
                <w:szCs w:val="20"/>
                <w:lang w:val="fr-FR" w:eastAsia="en-CA"/>
              </w:rPr>
            </w:pPr>
            <w:r w:rsidRPr="0010404B">
              <w:rPr>
                <w:sz w:val="20"/>
                <w:szCs w:val="20"/>
                <w:lang w:val="fr-FR" w:eastAsia="en-CA"/>
              </w:rPr>
              <w:t xml:space="preserve">50 </w:t>
            </w:r>
            <w:r w:rsidR="00DE7C12" w:rsidRPr="0010404B">
              <w:rPr>
                <w:sz w:val="20"/>
                <w:szCs w:val="20"/>
                <w:lang w:val="fr-FR" w:eastAsia="en-CA"/>
              </w:rPr>
              <w:t>899</w:t>
            </w:r>
          </w:p>
        </w:tc>
        <w:tc>
          <w:tcPr>
            <w:tcW w:w="1134" w:type="dxa"/>
            <w:tcBorders>
              <w:top w:val="nil"/>
              <w:left w:val="nil"/>
              <w:bottom w:val="single" w:sz="4" w:space="0" w:color="auto"/>
              <w:right w:val="single" w:sz="4" w:space="0" w:color="auto"/>
            </w:tcBorders>
            <w:shd w:val="clear" w:color="auto" w:fill="auto"/>
            <w:noWrap/>
            <w:hideMark/>
          </w:tcPr>
          <w:p w14:paraId="1F2D659D" w14:textId="29B9176C" w:rsidR="00DE7C12" w:rsidRPr="0010404B" w:rsidRDefault="00CF4F7E" w:rsidP="00DE7C12">
            <w:pPr>
              <w:jc w:val="right"/>
              <w:rPr>
                <w:sz w:val="20"/>
                <w:szCs w:val="20"/>
                <w:lang w:val="fr-FR" w:eastAsia="en-CA"/>
              </w:rPr>
            </w:pPr>
            <w:r w:rsidRPr="0010404B">
              <w:rPr>
                <w:sz w:val="20"/>
                <w:szCs w:val="20"/>
                <w:lang w:val="fr-FR" w:eastAsia="en-CA"/>
              </w:rPr>
              <w:t xml:space="preserve">45 </w:t>
            </w:r>
            <w:r w:rsidR="00DE7C12" w:rsidRPr="0010404B">
              <w:rPr>
                <w:sz w:val="20"/>
                <w:szCs w:val="20"/>
                <w:lang w:val="fr-FR" w:eastAsia="en-CA"/>
              </w:rPr>
              <w:t>524</w:t>
            </w:r>
          </w:p>
        </w:tc>
        <w:tc>
          <w:tcPr>
            <w:tcW w:w="1417" w:type="dxa"/>
            <w:tcBorders>
              <w:top w:val="nil"/>
              <w:left w:val="nil"/>
              <w:bottom w:val="single" w:sz="4" w:space="0" w:color="auto"/>
              <w:right w:val="single" w:sz="4" w:space="0" w:color="auto"/>
            </w:tcBorders>
            <w:shd w:val="clear" w:color="auto" w:fill="auto"/>
            <w:noWrap/>
            <w:hideMark/>
          </w:tcPr>
          <w:p w14:paraId="2BA001FE" w14:textId="5D3BF88C" w:rsidR="00DE7C12" w:rsidRPr="0010404B" w:rsidRDefault="00CF4F7E" w:rsidP="00DE7C12">
            <w:pPr>
              <w:jc w:val="right"/>
              <w:rPr>
                <w:sz w:val="20"/>
                <w:szCs w:val="20"/>
                <w:lang w:val="fr-FR" w:eastAsia="en-CA"/>
              </w:rPr>
            </w:pPr>
            <w:r w:rsidRPr="0010404B">
              <w:rPr>
                <w:sz w:val="20"/>
                <w:szCs w:val="20"/>
                <w:lang w:val="fr-FR" w:eastAsia="en-CA"/>
              </w:rPr>
              <w:t xml:space="preserve">153 </w:t>
            </w:r>
            <w:r w:rsidR="00DE7C12" w:rsidRPr="0010404B">
              <w:rPr>
                <w:sz w:val="20"/>
                <w:szCs w:val="20"/>
                <w:lang w:val="fr-FR" w:eastAsia="en-CA"/>
              </w:rPr>
              <w:t>930</w:t>
            </w:r>
          </w:p>
        </w:tc>
        <w:tc>
          <w:tcPr>
            <w:tcW w:w="1277" w:type="dxa"/>
            <w:tcBorders>
              <w:top w:val="nil"/>
              <w:left w:val="nil"/>
              <w:bottom w:val="single" w:sz="4" w:space="0" w:color="auto"/>
              <w:right w:val="single" w:sz="4" w:space="0" w:color="auto"/>
            </w:tcBorders>
            <w:shd w:val="clear" w:color="auto" w:fill="auto"/>
            <w:noWrap/>
            <w:hideMark/>
          </w:tcPr>
          <w:p w14:paraId="34792B77" w14:textId="2658C172" w:rsidR="00DE7C12" w:rsidRPr="0010404B" w:rsidRDefault="00CF4F7E" w:rsidP="00DE7C12">
            <w:pPr>
              <w:jc w:val="right"/>
              <w:rPr>
                <w:sz w:val="20"/>
                <w:szCs w:val="20"/>
                <w:lang w:val="fr-FR" w:eastAsia="en-CA"/>
              </w:rPr>
            </w:pPr>
            <w:r w:rsidRPr="0010404B">
              <w:rPr>
                <w:sz w:val="20"/>
                <w:szCs w:val="20"/>
                <w:lang w:val="fr-FR" w:eastAsia="en-CA"/>
              </w:rPr>
              <w:t xml:space="preserve">107 </w:t>
            </w:r>
            <w:r w:rsidR="00DE7C12" w:rsidRPr="0010404B">
              <w:rPr>
                <w:sz w:val="20"/>
                <w:szCs w:val="20"/>
                <w:lang w:val="fr-FR" w:eastAsia="en-CA"/>
              </w:rPr>
              <w:t>074</w:t>
            </w:r>
          </w:p>
        </w:tc>
      </w:tr>
      <w:tr w:rsidR="00DE7C12" w:rsidRPr="0010404B" w14:paraId="607EBA56"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3EB229FD" w14:textId="17C6173E" w:rsidR="00DE7C12" w:rsidRPr="0010404B" w:rsidRDefault="00CF4F7E" w:rsidP="00DE7C12">
            <w:pPr>
              <w:jc w:val="left"/>
              <w:rPr>
                <w:sz w:val="20"/>
                <w:szCs w:val="20"/>
                <w:lang w:val="fr-FR" w:eastAsia="en-CA"/>
              </w:rPr>
            </w:pPr>
            <w:r w:rsidRPr="0010404B">
              <w:rPr>
                <w:sz w:val="20"/>
                <w:szCs w:val="20"/>
                <w:lang w:val="fr-FR" w:eastAsia="en-CA"/>
              </w:rPr>
              <w:t>Banque mondiale</w:t>
            </w:r>
          </w:p>
        </w:tc>
        <w:tc>
          <w:tcPr>
            <w:tcW w:w="1134" w:type="dxa"/>
            <w:tcBorders>
              <w:top w:val="nil"/>
              <w:left w:val="nil"/>
              <w:bottom w:val="single" w:sz="4" w:space="0" w:color="auto"/>
              <w:right w:val="single" w:sz="4" w:space="0" w:color="auto"/>
            </w:tcBorders>
            <w:shd w:val="clear" w:color="auto" w:fill="auto"/>
            <w:noWrap/>
            <w:hideMark/>
          </w:tcPr>
          <w:p w14:paraId="5401AC58" w14:textId="14599BE3" w:rsidR="00DE7C12" w:rsidRPr="0010404B" w:rsidRDefault="00CF4F7E" w:rsidP="00DE7C12">
            <w:pPr>
              <w:jc w:val="right"/>
              <w:rPr>
                <w:sz w:val="20"/>
                <w:szCs w:val="20"/>
                <w:lang w:val="fr-FR" w:eastAsia="en-CA"/>
              </w:rPr>
            </w:pPr>
            <w:r w:rsidRPr="0010404B">
              <w:rPr>
                <w:sz w:val="20"/>
                <w:szCs w:val="20"/>
                <w:lang w:val="fr-FR" w:eastAsia="en-CA"/>
              </w:rPr>
              <w:t xml:space="preserve">53 </w:t>
            </w:r>
            <w:r w:rsidR="00DE7C12" w:rsidRPr="0010404B">
              <w:rPr>
                <w:sz w:val="20"/>
                <w:szCs w:val="20"/>
                <w:lang w:val="fr-FR" w:eastAsia="en-CA"/>
              </w:rPr>
              <w:t>082</w:t>
            </w:r>
          </w:p>
        </w:tc>
        <w:tc>
          <w:tcPr>
            <w:tcW w:w="1134" w:type="dxa"/>
            <w:tcBorders>
              <w:top w:val="nil"/>
              <w:left w:val="nil"/>
              <w:bottom w:val="single" w:sz="4" w:space="0" w:color="auto"/>
              <w:right w:val="single" w:sz="4" w:space="0" w:color="auto"/>
            </w:tcBorders>
            <w:shd w:val="clear" w:color="auto" w:fill="auto"/>
            <w:noWrap/>
            <w:hideMark/>
          </w:tcPr>
          <w:p w14:paraId="5F3D9936" w14:textId="19F5A7AE" w:rsidR="00DE7C12" w:rsidRPr="0010404B" w:rsidRDefault="00CF4F7E" w:rsidP="00DE7C12">
            <w:pPr>
              <w:jc w:val="right"/>
              <w:rPr>
                <w:sz w:val="20"/>
                <w:szCs w:val="20"/>
                <w:lang w:val="fr-FR" w:eastAsia="en-CA"/>
              </w:rPr>
            </w:pPr>
            <w:r w:rsidRPr="0010404B">
              <w:rPr>
                <w:sz w:val="20"/>
                <w:szCs w:val="20"/>
                <w:lang w:val="fr-FR" w:eastAsia="en-CA"/>
              </w:rPr>
              <w:t xml:space="preserve">46 </w:t>
            </w:r>
            <w:r w:rsidR="00DE7C12" w:rsidRPr="0010404B">
              <w:rPr>
                <w:sz w:val="20"/>
                <w:szCs w:val="20"/>
                <w:lang w:val="fr-FR" w:eastAsia="en-CA"/>
              </w:rPr>
              <w:t>500</w:t>
            </w:r>
          </w:p>
        </w:tc>
        <w:tc>
          <w:tcPr>
            <w:tcW w:w="1134" w:type="dxa"/>
            <w:tcBorders>
              <w:top w:val="nil"/>
              <w:left w:val="nil"/>
              <w:bottom w:val="single" w:sz="4" w:space="0" w:color="auto"/>
              <w:right w:val="single" w:sz="4" w:space="0" w:color="auto"/>
            </w:tcBorders>
            <w:shd w:val="clear" w:color="auto" w:fill="auto"/>
            <w:noWrap/>
            <w:hideMark/>
          </w:tcPr>
          <w:p w14:paraId="592BA660" w14:textId="5337B5FB" w:rsidR="00DE7C12" w:rsidRPr="0010404B" w:rsidRDefault="00CF4F7E" w:rsidP="00DE7C12">
            <w:pPr>
              <w:jc w:val="right"/>
              <w:rPr>
                <w:sz w:val="20"/>
                <w:szCs w:val="20"/>
                <w:lang w:val="fr-FR" w:eastAsia="en-CA"/>
              </w:rPr>
            </w:pPr>
            <w:r w:rsidRPr="0010404B">
              <w:rPr>
                <w:sz w:val="20"/>
                <w:szCs w:val="20"/>
                <w:lang w:val="fr-FR" w:eastAsia="en-CA"/>
              </w:rPr>
              <w:t xml:space="preserve">45 </w:t>
            </w:r>
            <w:r w:rsidR="00DE7C12" w:rsidRPr="0010404B">
              <w:rPr>
                <w:sz w:val="20"/>
                <w:szCs w:val="20"/>
                <w:lang w:val="fr-FR" w:eastAsia="en-CA"/>
              </w:rPr>
              <w:t>092</w:t>
            </w:r>
          </w:p>
        </w:tc>
        <w:tc>
          <w:tcPr>
            <w:tcW w:w="1417" w:type="dxa"/>
            <w:tcBorders>
              <w:top w:val="nil"/>
              <w:left w:val="nil"/>
              <w:bottom w:val="single" w:sz="4" w:space="0" w:color="auto"/>
              <w:right w:val="single" w:sz="4" w:space="0" w:color="auto"/>
            </w:tcBorders>
            <w:shd w:val="clear" w:color="auto" w:fill="auto"/>
            <w:noWrap/>
            <w:hideMark/>
          </w:tcPr>
          <w:p w14:paraId="7A9A9114" w14:textId="028F6D3B" w:rsidR="00DE7C12" w:rsidRPr="0010404B" w:rsidRDefault="00CF4F7E" w:rsidP="00DE7C12">
            <w:pPr>
              <w:jc w:val="right"/>
              <w:rPr>
                <w:sz w:val="20"/>
                <w:szCs w:val="20"/>
                <w:lang w:val="fr-FR" w:eastAsia="en-CA"/>
              </w:rPr>
            </w:pPr>
            <w:r w:rsidRPr="0010404B">
              <w:rPr>
                <w:sz w:val="20"/>
                <w:szCs w:val="20"/>
                <w:lang w:val="fr-FR" w:eastAsia="en-CA"/>
              </w:rPr>
              <w:t xml:space="preserve">144 </w:t>
            </w:r>
            <w:r w:rsidR="00DE7C12" w:rsidRPr="0010404B">
              <w:rPr>
                <w:sz w:val="20"/>
                <w:szCs w:val="20"/>
                <w:lang w:val="fr-FR" w:eastAsia="en-CA"/>
              </w:rPr>
              <w:t>674</w:t>
            </w:r>
          </w:p>
        </w:tc>
        <w:tc>
          <w:tcPr>
            <w:tcW w:w="1277" w:type="dxa"/>
            <w:tcBorders>
              <w:top w:val="nil"/>
              <w:left w:val="nil"/>
              <w:bottom w:val="single" w:sz="4" w:space="0" w:color="auto"/>
              <w:right w:val="single" w:sz="4" w:space="0" w:color="auto"/>
            </w:tcBorders>
            <w:shd w:val="clear" w:color="auto" w:fill="auto"/>
            <w:noWrap/>
            <w:hideMark/>
          </w:tcPr>
          <w:p w14:paraId="16BCB52A" w14:textId="04EDEA33" w:rsidR="00DE7C12" w:rsidRPr="0010404B" w:rsidRDefault="00CF4F7E" w:rsidP="00DE7C12">
            <w:pPr>
              <w:jc w:val="right"/>
              <w:rPr>
                <w:sz w:val="20"/>
                <w:szCs w:val="20"/>
                <w:lang w:val="fr-FR" w:eastAsia="en-CA"/>
              </w:rPr>
            </w:pPr>
            <w:r w:rsidRPr="0010404B">
              <w:rPr>
                <w:sz w:val="20"/>
                <w:szCs w:val="20"/>
                <w:lang w:val="fr-FR" w:eastAsia="en-CA"/>
              </w:rPr>
              <w:t xml:space="preserve">270 </w:t>
            </w:r>
            <w:r w:rsidR="00DE7C12" w:rsidRPr="0010404B">
              <w:rPr>
                <w:sz w:val="20"/>
                <w:szCs w:val="20"/>
                <w:lang w:val="fr-FR" w:eastAsia="en-CA"/>
              </w:rPr>
              <w:t>172</w:t>
            </w:r>
          </w:p>
        </w:tc>
      </w:tr>
      <w:tr w:rsidR="00DE7C12" w:rsidRPr="0010404B" w14:paraId="45BC009B"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78BF6A47" w14:textId="5CFC984A" w:rsidR="00DE7C12" w:rsidRPr="0010404B" w:rsidRDefault="00CF4F7E" w:rsidP="00DE7C12">
            <w:pPr>
              <w:jc w:val="left"/>
              <w:rPr>
                <w:sz w:val="20"/>
                <w:szCs w:val="20"/>
                <w:lang w:val="fr-FR" w:eastAsia="en-CA"/>
              </w:rPr>
            </w:pPr>
            <w:r w:rsidRPr="0010404B">
              <w:rPr>
                <w:sz w:val="20"/>
                <w:szCs w:val="20"/>
                <w:lang w:val="fr-FR" w:eastAsia="en-CA"/>
              </w:rPr>
              <w:t>Vérification des PGEH</w:t>
            </w:r>
          </w:p>
        </w:tc>
        <w:tc>
          <w:tcPr>
            <w:tcW w:w="1134" w:type="dxa"/>
            <w:tcBorders>
              <w:top w:val="nil"/>
              <w:left w:val="nil"/>
              <w:bottom w:val="single" w:sz="4" w:space="0" w:color="auto"/>
              <w:right w:val="single" w:sz="4" w:space="0" w:color="auto"/>
            </w:tcBorders>
            <w:shd w:val="clear" w:color="auto" w:fill="auto"/>
            <w:noWrap/>
            <w:hideMark/>
          </w:tcPr>
          <w:p w14:paraId="625D1B5B" w14:textId="77777777" w:rsidR="00DE7C12" w:rsidRPr="0010404B" w:rsidRDefault="00DE7C12" w:rsidP="00DE7C12">
            <w:pPr>
              <w:jc w:val="right"/>
              <w:rPr>
                <w:sz w:val="20"/>
                <w:szCs w:val="20"/>
                <w:lang w:val="fr-FR" w:eastAsia="en-CA"/>
              </w:rPr>
            </w:pPr>
            <w:r w:rsidRPr="0010404B">
              <w:rPr>
                <w:sz w:val="20"/>
                <w:szCs w:val="20"/>
                <w:lang w:val="fr-FR" w:eastAsia="en-CA"/>
              </w:rPr>
              <w:t>589</w:t>
            </w:r>
          </w:p>
        </w:tc>
        <w:tc>
          <w:tcPr>
            <w:tcW w:w="1134" w:type="dxa"/>
            <w:tcBorders>
              <w:top w:val="nil"/>
              <w:left w:val="nil"/>
              <w:bottom w:val="single" w:sz="4" w:space="0" w:color="auto"/>
              <w:right w:val="single" w:sz="4" w:space="0" w:color="auto"/>
            </w:tcBorders>
            <w:shd w:val="clear" w:color="auto" w:fill="auto"/>
            <w:noWrap/>
            <w:hideMark/>
          </w:tcPr>
          <w:p w14:paraId="28EF4BC0" w14:textId="77777777" w:rsidR="00DE7C12" w:rsidRPr="0010404B" w:rsidRDefault="00DE7C12" w:rsidP="00DE7C12">
            <w:pPr>
              <w:jc w:val="right"/>
              <w:rPr>
                <w:sz w:val="20"/>
                <w:szCs w:val="20"/>
                <w:lang w:val="fr-FR" w:eastAsia="en-CA"/>
              </w:rPr>
            </w:pPr>
            <w:r w:rsidRPr="0010404B">
              <w:rPr>
                <w:sz w:val="20"/>
                <w:szCs w:val="20"/>
                <w:lang w:val="fr-FR" w:eastAsia="en-CA"/>
              </w:rPr>
              <w:t>589</w:t>
            </w:r>
          </w:p>
        </w:tc>
        <w:tc>
          <w:tcPr>
            <w:tcW w:w="1134" w:type="dxa"/>
            <w:tcBorders>
              <w:top w:val="nil"/>
              <w:left w:val="nil"/>
              <w:bottom w:val="single" w:sz="4" w:space="0" w:color="auto"/>
              <w:right w:val="single" w:sz="4" w:space="0" w:color="auto"/>
            </w:tcBorders>
            <w:shd w:val="clear" w:color="auto" w:fill="auto"/>
            <w:noWrap/>
            <w:hideMark/>
          </w:tcPr>
          <w:p w14:paraId="7F39C87B" w14:textId="77777777" w:rsidR="00DE7C12" w:rsidRPr="0010404B" w:rsidRDefault="00DE7C12" w:rsidP="00DE7C12">
            <w:pPr>
              <w:jc w:val="right"/>
              <w:rPr>
                <w:sz w:val="20"/>
                <w:szCs w:val="20"/>
                <w:lang w:val="fr-FR" w:eastAsia="en-CA"/>
              </w:rPr>
            </w:pPr>
            <w:r w:rsidRPr="0010404B">
              <w:rPr>
                <w:sz w:val="20"/>
                <w:szCs w:val="20"/>
                <w:lang w:val="fr-FR" w:eastAsia="en-CA"/>
              </w:rPr>
              <w:t>589</w:t>
            </w:r>
          </w:p>
        </w:tc>
        <w:tc>
          <w:tcPr>
            <w:tcW w:w="1417" w:type="dxa"/>
            <w:tcBorders>
              <w:top w:val="nil"/>
              <w:left w:val="nil"/>
              <w:bottom w:val="single" w:sz="4" w:space="0" w:color="auto"/>
              <w:right w:val="single" w:sz="4" w:space="0" w:color="auto"/>
            </w:tcBorders>
            <w:shd w:val="clear" w:color="auto" w:fill="auto"/>
            <w:noWrap/>
            <w:hideMark/>
          </w:tcPr>
          <w:p w14:paraId="66CD1EAD" w14:textId="5EED63CC" w:rsidR="00DE7C12" w:rsidRPr="0010404B" w:rsidRDefault="00CF4F7E" w:rsidP="00DE7C12">
            <w:pPr>
              <w:jc w:val="right"/>
              <w:rPr>
                <w:sz w:val="20"/>
                <w:szCs w:val="20"/>
                <w:lang w:val="fr-FR" w:eastAsia="en-CA"/>
              </w:rPr>
            </w:pPr>
            <w:r w:rsidRPr="0010404B">
              <w:rPr>
                <w:sz w:val="20"/>
                <w:szCs w:val="20"/>
                <w:lang w:val="fr-FR" w:eastAsia="en-CA"/>
              </w:rPr>
              <w:t xml:space="preserve">1 </w:t>
            </w:r>
            <w:r w:rsidR="00DE7C12" w:rsidRPr="0010404B">
              <w:rPr>
                <w:sz w:val="20"/>
                <w:szCs w:val="20"/>
                <w:lang w:val="fr-FR" w:eastAsia="en-CA"/>
              </w:rPr>
              <w:t>766</w:t>
            </w:r>
          </w:p>
        </w:tc>
        <w:tc>
          <w:tcPr>
            <w:tcW w:w="1277" w:type="dxa"/>
            <w:tcBorders>
              <w:top w:val="nil"/>
              <w:left w:val="nil"/>
              <w:bottom w:val="single" w:sz="4" w:space="0" w:color="auto"/>
              <w:right w:val="single" w:sz="4" w:space="0" w:color="auto"/>
            </w:tcBorders>
            <w:shd w:val="clear" w:color="auto" w:fill="auto"/>
            <w:noWrap/>
          </w:tcPr>
          <w:p w14:paraId="661EC6C2" w14:textId="77777777" w:rsidR="00DE7C12" w:rsidRPr="0010404B" w:rsidRDefault="00DE7C12" w:rsidP="00DE7C12">
            <w:pPr>
              <w:jc w:val="right"/>
              <w:rPr>
                <w:sz w:val="20"/>
                <w:szCs w:val="20"/>
                <w:lang w:val="fr-FR" w:eastAsia="en-CA"/>
              </w:rPr>
            </w:pPr>
          </w:p>
        </w:tc>
      </w:tr>
      <w:tr w:rsidR="00DE7C12" w:rsidRPr="0010404B" w14:paraId="008240C3"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58700503" w14:textId="58A6D88C" w:rsidR="00DE7C12" w:rsidRPr="0010404B" w:rsidRDefault="00E91DB9" w:rsidP="00DE7C12">
            <w:pPr>
              <w:jc w:val="left"/>
              <w:rPr>
                <w:sz w:val="20"/>
                <w:szCs w:val="20"/>
                <w:lang w:val="fr-FR" w:eastAsia="en-CA"/>
              </w:rPr>
            </w:pPr>
            <w:r w:rsidRPr="0010404B">
              <w:rPr>
                <w:sz w:val="20"/>
                <w:szCs w:val="20"/>
                <w:lang w:val="fr-FR" w:eastAsia="en-CA"/>
              </w:rPr>
              <w:t>Secrétariat</w:t>
            </w:r>
            <w:r w:rsidR="00DE7C12" w:rsidRPr="0010404B">
              <w:rPr>
                <w:sz w:val="20"/>
                <w:szCs w:val="20"/>
                <w:lang w:val="fr-FR" w:eastAsia="en-CA"/>
              </w:rPr>
              <w:t xml:space="preserve">, </w:t>
            </w:r>
            <w:r w:rsidR="00CF4F7E" w:rsidRPr="0010404B">
              <w:rPr>
                <w:sz w:val="20"/>
                <w:szCs w:val="20"/>
                <w:lang w:val="fr-FR" w:eastAsia="en-CA"/>
              </w:rPr>
              <w:t xml:space="preserve">Comité exécutif et coûts du suivi et de l’évaluation moins la contrepartie </w:t>
            </w:r>
            <w:r w:rsidR="00864CD0">
              <w:rPr>
                <w:sz w:val="20"/>
                <w:szCs w:val="20"/>
                <w:lang w:val="fr-FR" w:eastAsia="en-CA"/>
              </w:rPr>
              <w:t>canadienne</w:t>
            </w:r>
          </w:p>
        </w:tc>
        <w:tc>
          <w:tcPr>
            <w:tcW w:w="1134" w:type="dxa"/>
            <w:tcBorders>
              <w:top w:val="nil"/>
              <w:left w:val="nil"/>
              <w:bottom w:val="single" w:sz="4" w:space="0" w:color="auto"/>
              <w:right w:val="single" w:sz="4" w:space="0" w:color="auto"/>
            </w:tcBorders>
            <w:shd w:val="clear" w:color="auto" w:fill="auto"/>
            <w:noWrap/>
            <w:hideMark/>
          </w:tcPr>
          <w:p w14:paraId="5C7D2199" w14:textId="01C34790" w:rsidR="00DE7C12" w:rsidRPr="0010404B" w:rsidRDefault="00CF4F7E" w:rsidP="00DE7C12">
            <w:pPr>
              <w:jc w:val="right"/>
              <w:rPr>
                <w:sz w:val="20"/>
                <w:szCs w:val="20"/>
                <w:lang w:val="fr-FR" w:eastAsia="en-CA"/>
              </w:rPr>
            </w:pPr>
            <w:r w:rsidRPr="0010404B">
              <w:rPr>
                <w:sz w:val="20"/>
                <w:szCs w:val="20"/>
                <w:lang w:val="fr-FR" w:eastAsia="en-CA"/>
              </w:rPr>
              <w:t xml:space="preserve">6 </w:t>
            </w:r>
            <w:r w:rsidR="00DE7C12" w:rsidRPr="0010404B">
              <w:rPr>
                <w:sz w:val="20"/>
                <w:szCs w:val="20"/>
                <w:lang w:val="fr-FR" w:eastAsia="en-CA"/>
              </w:rPr>
              <w:t>362</w:t>
            </w:r>
          </w:p>
        </w:tc>
        <w:tc>
          <w:tcPr>
            <w:tcW w:w="1134" w:type="dxa"/>
            <w:tcBorders>
              <w:top w:val="nil"/>
              <w:left w:val="nil"/>
              <w:bottom w:val="single" w:sz="4" w:space="0" w:color="auto"/>
              <w:right w:val="single" w:sz="4" w:space="0" w:color="auto"/>
            </w:tcBorders>
            <w:shd w:val="clear" w:color="auto" w:fill="auto"/>
            <w:noWrap/>
            <w:hideMark/>
          </w:tcPr>
          <w:p w14:paraId="477EDECC" w14:textId="116A5780" w:rsidR="00DE7C12" w:rsidRPr="0010404B" w:rsidRDefault="00CF4F7E" w:rsidP="00DE7C12">
            <w:pPr>
              <w:jc w:val="right"/>
              <w:rPr>
                <w:sz w:val="20"/>
                <w:szCs w:val="20"/>
                <w:lang w:val="fr-FR" w:eastAsia="en-CA"/>
              </w:rPr>
            </w:pPr>
            <w:r w:rsidRPr="0010404B">
              <w:rPr>
                <w:sz w:val="20"/>
                <w:szCs w:val="20"/>
                <w:lang w:val="fr-FR" w:eastAsia="en-CA"/>
              </w:rPr>
              <w:t xml:space="preserve">7 </w:t>
            </w:r>
            <w:r w:rsidR="00DE7C12" w:rsidRPr="0010404B">
              <w:rPr>
                <w:sz w:val="20"/>
                <w:szCs w:val="20"/>
                <w:lang w:val="fr-FR" w:eastAsia="en-CA"/>
              </w:rPr>
              <w:t>009</w:t>
            </w:r>
          </w:p>
        </w:tc>
        <w:tc>
          <w:tcPr>
            <w:tcW w:w="1134" w:type="dxa"/>
            <w:tcBorders>
              <w:top w:val="nil"/>
              <w:left w:val="nil"/>
              <w:bottom w:val="single" w:sz="4" w:space="0" w:color="auto"/>
              <w:right w:val="single" w:sz="4" w:space="0" w:color="auto"/>
            </w:tcBorders>
            <w:shd w:val="clear" w:color="auto" w:fill="auto"/>
            <w:noWrap/>
            <w:hideMark/>
          </w:tcPr>
          <w:p w14:paraId="69360762" w14:textId="7EE65344" w:rsidR="00DE7C12" w:rsidRPr="0010404B" w:rsidRDefault="00CF4F7E" w:rsidP="00DE7C12">
            <w:pPr>
              <w:jc w:val="right"/>
              <w:rPr>
                <w:sz w:val="20"/>
                <w:szCs w:val="20"/>
                <w:lang w:val="fr-FR" w:eastAsia="en-CA"/>
              </w:rPr>
            </w:pPr>
            <w:r w:rsidRPr="0010404B">
              <w:rPr>
                <w:sz w:val="20"/>
                <w:szCs w:val="20"/>
                <w:lang w:val="fr-FR" w:eastAsia="en-CA"/>
              </w:rPr>
              <w:t xml:space="preserve">7 </w:t>
            </w:r>
            <w:r w:rsidR="00DE7C12" w:rsidRPr="0010404B">
              <w:rPr>
                <w:sz w:val="20"/>
                <w:szCs w:val="20"/>
                <w:lang w:val="fr-FR" w:eastAsia="en-CA"/>
              </w:rPr>
              <w:t>159</w:t>
            </w:r>
          </w:p>
        </w:tc>
        <w:tc>
          <w:tcPr>
            <w:tcW w:w="1417" w:type="dxa"/>
            <w:tcBorders>
              <w:top w:val="nil"/>
              <w:left w:val="nil"/>
              <w:bottom w:val="single" w:sz="4" w:space="0" w:color="auto"/>
              <w:right w:val="single" w:sz="4" w:space="0" w:color="auto"/>
            </w:tcBorders>
            <w:shd w:val="clear" w:color="auto" w:fill="auto"/>
            <w:noWrap/>
            <w:hideMark/>
          </w:tcPr>
          <w:p w14:paraId="58C61B2F" w14:textId="175507C8" w:rsidR="00DE7C12" w:rsidRPr="0010404B" w:rsidRDefault="00CF4F7E" w:rsidP="00DE7C12">
            <w:pPr>
              <w:jc w:val="right"/>
              <w:rPr>
                <w:sz w:val="20"/>
                <w:szCs w:val="20"/>
                <w:lang w:val="fr-FR" w:eastAsia="en-CA"/>
              </w:rPr>
            </w:pPr>
            <w:r w:rsidRPr="0010404B">
              <w:rPr>
                <w:sz w:val="20"/>
                <w:szCs w:val="20"/>
                <w:lang w:val="fr-FR" w:eastAsia="en-CA"/>
              </w:rPr>
              <w:t xml:space="preserve">20 </w:t>
            </w:r>
            <w:r w:rsidR="00DE7C12" w:rsidRPr="0010404B">
              <w:rPr>
                <w:sz w:val="20"/>
                <w:szCs w:val="20"/>
                <w:lang w:val="fr-FR" w:eastAsia="en-CA"/>
              </w:rPr>
              <w:t>530</w:t>
            </w:r>
          </w:p>
        </w:tc>
        <w:tc>
          <w:tcPr>
            <w:tcW w:w="1277" w:type="dxa"/>
            <w:tcBorders>
              <w:top w:val="nil"/>
              <w:left w:val="nil"/>
              <w:bottom w:val="single" w:sz="4" w:space="0" w:color="auto"/>
              <w:right w:val="single" w:sz="4" w:space="0" w:color="auto"/>
            </w:tcBorders>
            <w:shd w:val="clear" w:color="auto" w:fill="auto"/>
            <w:noWrap/>
          </w:tcPr>
          <w:p w14:paraId="430DB915" w14:textId="77777777" w:rsidR="00DE7C12" w:rsidRPr="0010404B" w:rsidRDefault="00DE7C12" w:rsidP="00DE7C12">
            <w:pPr>
              <w:jc w:val="right"/>
              <w:rPr>
                <w:sz w:val="20"/>
                <w:szCs w:val="20"/>
                <w:lang w:val="fr-FR" w:eastAsia="en-CA"/>
              </w:rPr>
            </w:pPr>
          </w:p>
        </w:tc>
      </w:tr>
      <w:tr w:rsidR="00DE7C12" w:rsidRPr="0010404B" w14:paraId="57F195E1" w14:textId="77777777" w:rsidTr="00DE7C12">
        <w:trPr>
          <w:trHeight w:val="264"/>
        </w:trPr>
        <w:tc>
          <w:tcPr>
            <w:tcW w:w="3402" w:type="dxa"/>
            <w:tcBorders>
              <w:top w:val="nil"/>
              <w:left w:val="single" w:sz="4" w:space="0" w:color="auto"/>
              <w:bottom w:val="single" w:sz="4" w:space="0" w:color="auto"/>
              <w:right w:val="single" w:sz="4" w:space="0" w:color="auto"/>
            </w:tcBorders>
            <w:shd w:val="clear" w:color="auto" w:fill="auto"/>
            <w:noWrap/>
            <w:hideMark/>
          </w:tcPr>
          <w:p w14:paraId="1FFB1C0F" w14:textId="62FEACF6" w:rsidR="00DE7C12" w:rsidRPr="0010404B" w:rsidRDefault="00E91DB9" w:rsidP="00DE7C12">
            <w:pPr>
              <w:jc w:val="left"/>
              <w:rPr>
                <w:sz w:val="20"/>
                <w:szCs w:val="20"/>
                <w:lang w:val="fr-FR" w:eastAsia="en-CA"/>
              </w:rPr>
            </w:pPr>
            <w:r w:rsidRPr="0010404B">
              <w:rPr>
                <w:sz w:val="20"/>
                <w:szCs w:val="20"/>
                <w:lang w:val="fr-FR" w:eastAsia="en-CA"/>
              </w:rPr>
              <w:t>Trésorier</w:t>
            </w:r>
          </w:p>
        </w:tc>
        <w:tc>
          <w:tcPr>
            <w:tcW w:w="1134" w:type="dxa"/>
            <w:tcBorders>
              <w:top w:val="nil"/>
              <w:left w:val="nil"/>
              <w:bottom w:val="single" w:sz="4" w:space="0" w:color="auto"/>
              <w:right w:val="single" w:sz="4" w:space="0" w:color="auto"/>
            </w:tcBorders>
            <w:shd w:val="clear" w:color="auto" w:fill="auto"/>
            <w:noWrap/>
            <w:hideMark/>
          </w:tcPr>
          <w:p w14:paraId="7F702D29" w14:textId="77777777" w:rsidR="00DE7C12" w:rsidRPr="0010404B" w:rsidRDefault="00DE7C12" w:rsidP="00DE7C12">
            <w:pPr>
              <w:jc w:val="right"/>
              <w:rPr>
                <w:sz w:val="20"/>
                <w:szCs w:val="20"/>
                <w:lang w:val="fr-FR" w:eastAsia="en-CA"/>
              </w:rPr>
            </w:pPr>
            <w:r w:rsidRPr="0010404B">
              <w:rPr>
                <w:sz w:val="20"/>
                <w:szCs w:val="20"/>
                <w:lang w:val="fr-FR" w:eastAsia="en-CA"/>
              </w:rPr>
              <w:t>500</w:t>
            </w:r>
          </w:p>
        </w:tc>
        <w:tc>
          <w:tcPr>
            <w:tcW w:w="1134" w:type="dxa"/>
            <w:tcBorders>
              <w:top w:val="nil"/>
              <w:left w:val="nil"/>
              <w:bottom w:val="single" w:sz="4" w:space="0" w:color="auto"/>
              <w:right w:val="single" w:sz="4" w:space="0" w:color="auto"/>
            </w:tcBorders>
            <w:shd w:val="clear" w:color="auto" w:fill="auto"/>
            <w:noWrap/>
            <w:hideMark/>
          </w:tcPr>
          <w:p w14:paraId="0D816EB4" w14:textId="77777777" w:rsidR="00DE7C12" w:rsidRPr="0010404B" w:rsidRDefault="00DE7C12" w:rsidP="00DE7C12">
            <w:pPr>
              <w:jc w:val="right"/>
              <w:rPr>
                <w:sz w:val="20"/>
                <w:szCs w:val="20"/>
                <w:lang w:val="fr-FR" w:eastAsia="en-CA"/>
              </w:rPr>
            </w:pPr>
            <w:r w:rsidRPr="0010404B">
              <w:rPr>
                <w:sz w:val="20"/>
                <w:szCs w:val="20"/>
                <w:lang w:val="fr-FR" w:eastAsia="en-CA"/>
              </w:rPr>
              <w:t>500</w:t>
            </w:r>
          </w:p>
        </w:tc>
        <w:tc>
          <w:tcPr>
            <w:tcW w:w="1134" w:type="dxa"/>
            <w:tcBorders>
              <w:top w:val="nil"/>
              <w:left w:val="nil"/>
              <w:bottom w:val="single" w:sz="4" w:space="0" w:color="auto"/>
              <w:right w:val="single" w:sz="4" w:space="0" w:color="auto"/>
            </w:tcBorders>
            <w:shd w:val="clear" w:color="auto" w:fill="auto"/>
            <w:noWrap/>
            <w:hideMark/>
          </w:tcPr>
          <w:p w14:paraId="3980A15E" w14:textId="77777777" w:rsidR="00DE7C12" w:rsidRPr="0010404B" w:rsidRDefault="00DE7C12" w:rsidP="00DE7C12">
            <w:pPr>
              <w:jc w:val="right"/>
              <w:rPr>
                <w:sz w:val="20"/>
                <w:szCs w:val="20"/>
                <w:lang w:val="fr-FR" w:eastAsia="en-CA"/>
              </w:rPr>
            </w:pPr>
            <w:r w:rsidRPr="0010404B">
              <w:rPr>
                <w:sz w:val="20"/>
                <w:szCs w:val="20"/>
                <w:lang w:val="fr-FR" w:eastAsia="en-CA"/>
              </w:rPr>
              <w:t>500</w:t>
            </w:r>
          </w:p>
        </w:tc>
        <w:tc>
          <w:tcPr>
            <w:tcW w:w="1417" w:type="dxa"/>
            <w:tcBorders>
              <w:top w:val="nil"/>
              <w:left w:val="nil"/>
              <w:bottom w:val="single" w:sz="4" w:space="0" w:color="auto"/>
              <w:right w:val="single" w:sz="4" w:space="0" w:color="auto"/>
            </w:tcBorders>
            <w:shd w:val="clear" w:color="auto" w:fill="auto"/>
            <w:noWrap/>
            <w:hideMark/>
          </w:tcPr>
          <w:p w14:paraId="16BB72E9" w14:textId="23B3DABC" w:rsidR="00DE7C12" w:rsidRPr="0010404B" w:rsidRDefault="00CF4F7E" w:rsidP="00DE7C12">
            <w:pPr>
              <w:jc w:val="right"/>
              <w:rPr>
                <w:sz w:val="20"/>
                <w:szCs w:val="20"/>
                <w:lang w:val="fr-FR" w:eastAsia="en-CA"/>
              </w:rPr>
            </w:pPr>
            <w:r w:rsidRPr="0010404B">
              <w:rPr>
                <w:sz w:val="20"/>
                <w:szCs w:val="20"/>
                <w:lang w:val="fr-FR" w:eastAsia="en-CA"/>
              </w:rPr>
              <w:t xml:space="preserve">1 </w:t>
            </w:r>
            <w:r w:rsidR="00DE7C12" w:rsidRPr="0010404B">
              <w:rPr>
                <w:sz w:val="20"/>
                <w:szCs w:val="20"/>
                <w:lang w:val="fr-FR" w:eastAsia="en-CA"/>
              </w:rPr>
              <w:t>500</w:t>
            </w:r>
          </w:p>
        </w:tc>
        <w:tc>
          <w:tcPr>
            <w:tcW w:w="1277" w:type="dxa"/>
            <w:tcBorders>
              <w:top w:val="nil"/>
              <w:left w:val="nil"/>
              <w:bottom w:val="single" w:sz="4" w:space="0" w:color="auto"/>
              <w:right w:val="single" w:sz="4" w:space="0" w:color="auto"/>
            </w:tcBorders>
            <w:shd w:val="clear" w:color="auto" w:fill="auto"/>
            <w:noWrap/>
          </w:tcPr>
          <w:p w14:paraId="30340D5E" w14:textId="77777777" w:rsidR="00DE7C12" w:rsidRPr="0010404B" w:rsidRDefault="00DE7C12" w:rsidP="00DE7C12">
            <w:pPr>
              <w:jc w:val="right"/>
              <w:rPr>
                <w:sz w:val="20"/>
                <w:szCs w:val="20"/>
                <w:lang w:val="fr-FR" w:eastAsia="en-CA"/>
              </w:rPr>
            </w:pPr>
          </w:p>
        </w:tc>
      </w:tr>
    </w:tbl>
    <w:p w14:paraId="6A0FC48F" w14:textId="1AAE4133" w:rsidR="00DE7C12" w:rsidRPr="0010404B" w:rsidRDefault="00DE7C12" w:rsidP="00DE7C12">
      <w:pPr>
        <w:jc w:val="left"/>
        <w:rPr>
          <w:sz w:val="19"/>
          <w:szCs w:val="19"/>
          <w:lang w:val="fr-FR"/>
        </w:rPr>
      </w:pPr>
      <w:r w:rsidRPr="0010404B">
        <w:rPr>
          <w:sz w:val="19"/>
          <w:szCs w:val="19"/>
          <w:lang w:val="fr-FR"/>
        </w:rPr>
        <w:t>* Inclu</w:t>
      </w:r>
      <w:r w:rsidR="001432C9" w:rsidRPr="0010404B">
        <w:rPr>
          <w:sz w:val="19"/>
          <w:szCs w:val="19"/>
          <w:lang w:val="fr-FR"/>
        </w:rPr>
        <w:t>ant les coûts d’appui d’agence, le cas échéant</w:t>
      </w:r>
      <w:r w:rsidRPr="0010404B">
        <w:rPr>
          <w:sz w:val="19"/>
          <w:szCs w:val="19"/>
          <w:lang w:val="fr-FR"/>
        </w:rPr>
        <w:t>.</w:t>
      </w:r>
    </w:p>
    <w:p w14:paraId="0754CBD3" w14:textId="0FCC6349" w:rsidR="001432C9" w:rsidRPr="0063090F" w:rsidRDefault="00DE7C12" w:rsidP="00DE7C12">
      <w:pPr>
        <w:jc w:val="left"/>
        <w:rPr>
          <w:sz w:val="19"/>
          <w:szCs w:val="19"/>
          <w:lang w:val="fr-FR"/>
        </w:rPr>
      </w:pPr>
      <w:r w:rsidRPr="0010404B">
        <w:rPr>
          <w:sz w:val="19"/>
          <w:szCs w:val="19"/>
          <w:lang w:val="fr-FR"/>
        </w:rPr>
        <w:t xml:space="preserve">** </w:t>
      </w:r>
      <w:r w:rsidR="001432C9" w:rsidRPr="0010404B">
        <w:rPr>
          <w:sz w:val="19"/>
          <w:szCs w:val="19"/>
          <w:lang w:val="fr-FR"/>
        </w:rPr>
        <w:t xml:space="preserve">En supposant un niveau de réapprovisionnement du Fonds </w:t>
      </w:r>
      <w:r w:rsidR="00E91DB9" w:rsidRPr="0010404B">
        <w:rPr>
          <w:sz w:val="19"/>
          <w:szCs w:val="19"/>
          <w:lang w:val="fr-FR"/>
        </w:rPr>
        <w:t>multilatéral</w:t>
      </w:r>
      <w:r w:rsidR="001432C9" w:rsidRPr="0010404B">
        <w:rPr>
          <w:sz w:val="19"/>
          <w:szCs w:val="19"/>
          <w:lang w:val="fr-FR"/>
        </w:rPr>
        <w:t xml:space="preserve"> identique à celui de </w:t>
      </w:r>
      <w:r w:rsidRPr="0010404B">
        <w:rPr>
          <w:sz w:val="19"/>
          <w:szCs w:val="19"/>
          <w:lang w:val="fr-FR"/>
        </w:rPr>
        <w:t>2018</w:t>
      </w:r>
      <w:r w:rsidRPr="0010404B">
        <w:rPr>
          <w:sz w:val="18"/>
          <w:szCs w:val="18"/>
          <w:lang w:val="fr-FR"/>
        </w:rPr>
        <w:t>–</w:t>
      </w:r>
      <w:r w:rsidR="001432C9" w:rsidRPr="0010404B">
        <w:rPr>
          <w:sz w:val="19"/>
          <w:szCs w:val="19"/>
          <w:lang w:val="fr-FR"/>
        </w:rPr>
        <w:t>2020</w:t>
      </w:r>
      <w:r w:rsidRPr="0010404B">
        <w:rPr>
          <w:sz w:val="19"/>
          <w:szCs w:val="19"/>
          <w:lang w:val="fr-FR"/>
        </w:rPr>
        <w:t>.</w:t>
      </w:r>
    </w:p>
    <w:p w14:paraId="13CE4E6D" w14:textId="77777777" w:rsidR="00864CD0" w:rsidRDefault="00864CD0" w:rsidP="00DE7C12">
      <w:pPr>
        <w:jc w:val="left"/>
        <w:rPr>
          <w:b/>
          <w:lang w:val="fr-FR"/>
        </w:rPr>
      </w:pPr>
    </w:p>
    <w:p w14:paraId="139DFA8C" w14:textId="42F33569" w:rsidR="001432C9" w:rsidRPr="0010404B" w:rsidRDefault="001432C9" w:rsidP="00DE7C12">
      <w:pPr>
        <w:jc w:val="left"/>
        <w:rPr>
          <w:b/>
          <w:lang w:val="fr-FR"/>
        </w:rPr>
      </w:pPr>
      <w:r w:rsidRPr="0010404B">
        <w:rPr>
          <w:b/>
          <w:lang w:val="fr-FR"/>
        </w:rPr>
        <w:lastRenderedPageBreak/>
        <w:t>Autres questions d’orientation</w:t>
      </w:r>
    </w:p>
    <w:p w14:paraId="75461BC3" w14:textId="77777777" w:rsidR="00F5155A" w:rsidRPr="0010404B" w:rsidRDefault="00F5155A" w:rsidP="00F5155A">
      <w:pPr>
        <w:rPr>
          <w:b/>
          <w:lang w:val="fr-FR"/>
        </w:rPr>
      </w:pPr>
    </w:p>
    <w:p w14:paraId="17CB465B" w14:textId="0202E2D6" w:rsidR="00F5155A" w:rsidRPr="0010404B" w:rsidRDefault="0063090F" w:rsidP="00D6532D">
      <w:pPr>
        <w:pStyle w:val="StyleHeading1Para1Heading1CharHeading1Char3CharHeadin"/>
        <w:rPr>
          <w:u w:val="single"/>
          <w:lang w:val="fr-FR"/>
        </w:rPr>
      </w:pPr>
      <w:r>
        <w:rPr>
          <w:u w:val="single"/>
          <w:lang w:val="fr-FR"/>
        </w:rPr>
        <w:t>Activités in</w:t>
      </w:r>
      <w:r w:rsidR="001432C9" w:rsidRPr="0010404B">
        <w:rPr>
          <w:u w:val="single"/>
          <w:lang w:val="fr-FR"/>
        </w:rPr>
        <w:t>c</w:t>
      </w:r>
      <w:r>
        <w:rPr>
          <w:u w:val="single"/>
          <w:lang w:val="fr-FR"/>
        </w:rPr>
        <w:t>lus</w:t>
      </w:r>
      <w:r w:rsidR="001432C9" w:rsidRPr="0010404B">
        <w:rPr>
          <w:u w:val="single"/>
          <w:lang w:val="fr-FR"/>
        </w:rPr>
        <w:t>es dans le plan d’activités de 2019 qui ne sont pas approuvées à la 84</w:t>
      </w:r>
      <w:r w:rsidR="001432C9" w:rsidRPr="0010404B">
        <w:rPr>
          <w:u w:val="single"/>
          <w:vertAlign w:val="superscript"/>
          <w:lang w:val="fr-FR"/>
        </w:rPr>
        <w:t>e</w:t>
      </w:r>
      <w:r w:rsidR="001432C9" w:rsidRPr="0010404B">
        <w:rPr>
          <w:u w:val="single"/>
          <w:lang w:val="fr-FR"/>
        </w:rPr>
        <w:t xml:space="preserve"> réunion</w:t>
      </w:r>
    </w:p>
    <w:p w14:paraId="2FA0EFD8" w14:textId="7CFEC3A7" w:rsidR="001432C9" w:rsidRPr="0010404B" w:rsidRDefault="001432C9" w:rsidP="001432C9">
      <w:pPr>
        <w:pStyle w:val="Heading1"/>
        <w:rPr>
          <w:lang w:val="fr-FR"/>
        </w:rPr>
      </w:pPr>
      <w:r w:rsidRPr="0010404B">
        <w:rPr>
          <w:lang w:val="fr-FR"/>
        </w:rPr>
        <w:t>Des activités in</w:t>
      </w:r>
      <w:r w:rsidR="0063090F">
        <w:rPr>
          <w:lang w:val="fr-FR"/>
        </w:rPr>
        <w:t>clus</w:t>
      </w:r>
      <w:r w:rsidRPr="0010404B">
        <w:rPr>
          <w:lang w:val="fr-FR"/>
        </w:rPr>
        <w:t>es dans les plans d’activités de 2019 des agences bilatérales et d’exécution mais qui ne sont pas soumises à la 84</w:t>
      </w:r>
      <w:r w:rsidRPr="0010404B">
        <w:rPr>
          <w:vertAlign w:val="superscript"/>
          <w:lang w:val="fr-FR"/>
        </w:rPr>
        <w:t>e</w:t>
      </w:r>
      <w:r w:rsidRPr="0010404B">
        <w:rPr>
          <w:lang w:val="fr-FR"/>
        </w:rPr>
        <w:t xml:space="preserve"> réunion</w:t>
      </w:r>
      <w:r w:rsidR="0063090F">
        <w:rPr>
          <w:lang w:val="fr-FR"/>
        </w:rPr>
        <w:t>,</w:t>
      </w:r>
      <w:r w:rsidRPr="0010404B">
        <w:rPr>
          <w:lang w:val="fr-FR"/>
        </w:rPr>
        <w:t xml:space="preserve"> ont déjà été incluses dan</w:t>
      </w:r>
      <w:r w:rsidR="00386469">
        <w:rPr>
          <w:lang w:val="fr-FR"/>
        </w:rPr>
        <w:t>s le plan d’activités pour 2020</w:t>
      </w:r>
      <w:r w:rsidR="00386469">
        <w:rPr>
          <w:lang w:val="fr-FR"/>
        </w:rPr>
        <w:noBreakHyphen/>
      </w:r>
      <w:r w:rsidRPr="0010404B">
        <w:rPr>
          <w:lang w:val="fr-FR"/>
        </w:rPr>
        <w:t>2022.  Tout projet soumis à la 84</w:t>
      </w:r>
      <w:r w:rsidRPr="0010404B">
        <w:rPr>
          <w:vertAlign w:val="superscript"/>
          <w:lang w:val="fr-FR"/>
        </w:rPr>
        <w:t>e</w:t>
      </w:r>
      <w:r w:rsidRPr="0010404B">
        <w:rPr>
          <w:lang w:val="fr-FR"/>
        </w:rPr>
        <w:t xml:space="preserve"> réunion mais </w:t>
      </w:r>
      <w:r w:rsidR="0063090F">
        <w:rPr>
          <w:lang w:val="fr-FR"/>
        </w:rPr>
        <w:t>ensuite reporté,</w:t>
      </w:r>
      <w:r w:rsidR="00864CD0">
        <w:rPr>
          <w:lang w:val="fr-FR"/>
        </w:rPr>
        <w:t xml:space="preserve"> sera</w:t>
      </w:r>
      <w:r w:rsidRPr="0010404B">
        <w:rPr>
          <w:lang w:val="fr-FR"/>
        </w:rPr>
        <w:t xml:space="preserve"> inclus dans le plan d’activités pour 2020-2022.</w:t>
      </w:r>
    </w:p>
    <w:p w14:paraId="30A4F048" w14:textId="69F2AB67" w:rsidR="001432C9" w:rsidRPr="0010404B" w:rsidRDefault="00C20677" w:rsidP="00D6532D">
      <w:pPr>
        <w:pStyle w:val="StyleHeading1Para1Heading1CharHeading1Char3CharHeadin"/>
        <w:rPr>
          <w:u w:val="single"/>
          <w:lang w:val="fr-FR"/>
        </w:rPr>
      </w:pPr>
      <w:r w:rsidRPr="0010404B">
        <w:rPr>
          <w:u w:val="single"/>
          <w:lang w:val="fr-FR"/>
        </w:rPr>
        <w:t>Production de HCFC – phase I et préparation de projet</w:t>
      </w:r>
    </w:p>
    <w:p w14:paraId="70E1E782" w14:textId="72ACD814" w:rsidR="00C20677" w:rsidRPr="0010404B" w:rsidRDefault="00C20677" w:rsidP="00C20677">
      <w:pPr>
        <w:pStyle w:val="Heading1"/>
        <w:rPr>
          <w:lang w:val="fr-FR"/>
        </w:rPr>
      </w:pPr>
      <w:r w:rsidRPr="0010404B">
        <w:rPr>
          <w:lang w:val="fr-FR"/>
        </w:rPr>
        <w:t xml:space="preserve">Puisqu’aucune information n’a été reçue pour confirmer la production de HCFC-22 en Inde pour des utilisations règlementées avant la date-limite du 21 septembre 2007, le Secrétariat a retiré du plan d’activités de 2020-2022 les activités reliées à la phase I du PGEPH pour l’Inde.  Le Secrétariat aimerait </w:t>
      </w:r>
      <w:r w:rsidR="00832E12">
        <w:rPr>
          <w:lang w:val="fr-FR"/>
        </w:rPr>
        <w:t>demander conseil au</w:t>
      </w:r>
      <w:r w:rsidRPr="0010404B">
        <w:rPr>
          <w:lang w:val="fr-FR"/>
        </w:rPr>
        <w:t xml:space="preserve"> Comité exécutif sur la possibilité de réintégrer la phase I du PGEPH et la préparation de projet pour l’Inde dans le plan d’activités de 2020-2022.</w:t>
      </w:r>
    </w:p>
    <w:p w14:paraId="7A3B7A9B" w14:textId="77777777" w:rsidR="00C20677" w:rsidRPr="0010404B" w:rsidRDefault="00C20677" w:rsidP="00D6532D">
      <w:pPr>
        <w:pStyle w:val="StyleHeading1Para1Heading1CharHeading1Char3CharHeadin"/>
        <w:rPr>
          <w:u w:val="single"/>
          <w:lang w:val="fr-FR"/>
        </w:rPr>
      </w:pPr>
      <w:r w:rsidRPr="0010404B">
        <w:rPr>
          <w:u w:val="single"/>
          <w:lang w:val="fr-FR"/>
        </w:rPr>
        <w:t>Phase III des PGEH</w:t>
      </w:r>
    </w:p>
    <w:p w14:paraId="229FDD1F" w14:textId="7A5D42EB" w:rsidR="00C20677" w:rsidRPr="0010404B" w:rsidRDefault="00C20677" w:rsidP="00C20677">
      <w:pPr>
        <w:pStyle w:val="Heading1"/>
        <w:rPr>
          <w:lang w:val="fr-FR"/>
        </w:rPr>
      </w:pPr>
      <w:r w:rsidRPr="0010404B">
        <w:rPr>
          <w:lang w:val="fr-FR"/>
        </w:rPr>
        <w:t>Conformément à la décision 82/45</w:t>
      </w:r>
      <w:r w:rsidR="008D2F90" w:rsidRPr="0010404B">
        <w:rPr>
          <w:lang w:val="fr-FR"/>
        </w:rPr>
        <w:t>(c)</w:t>
      </w:r>
      <w:r w:rsidRPr="0010404B">
        <w:rPr>
          <w:lang w:val="fr-FR"/>
        </w:rPr>
        <w:t>(i)</w:t>
      </w:r>
      <w:r w:rsidR="00832E12">
        <w:rPr>
          <w:lang w:val="fr-FR"/>
        </w:rPr>
        <w:t>, le Secrétariat a retiré</w:t>
      </w:r>
      <w:r w:rsidR="008D2F90" w:rsidRPr="0010404B">
        <w:rPr>
          <w:lang w:val="fr-FR"/>
        </w:rPr>
        <w:t xml:space="preserve"> du </w:t>
      </w:r>
      <w:r w:rsidR="002C7C98">
        <w:rPr>
          <w:lang w:val="fr-FR"/>
        </w:rPr>
        <w:t xml:space="preserve">plan d’activités de 2020-2022, </w:t>
      </w:r>
      <w:r w:rsidR="008D2F90" w:rsidRPr="0010404B">
        <w:rPr>
          <w:lang w:val="fr-FR"/>
        </w:rPr>
        <w:t>toutes les activités reliées à la phase III des PGEH pour les pays ayant un</w:t>
      </w:r>
      <w:r w:rsidR="00D27932">
        <w:rPr>
          <w:lang w:val="fr-FR"/>
        </w:rPr>
        <w:t xml:space="preserve">e phase II approuvée, avec un </w:t>
      </w:r>
      <w:r w:rsidR="008D2F90" w:rsidRPr="0010404B">
        <w:rPr>
          <w:lang w:val="fr-FR"/>
        </w:rPr>
        <w:t>objectif de</w:t>
      </w:r>
      <w:r w:rsidR="00D27932">
        <w:rPr>
          <w:lang w:val="fr-FR"/>
        </w:rPr>
        <w:t xml:space="preserve"> réduction </w:t>
      </w:r>
      <w:r w:rsidR="002C7C98">
        <w:rPr>
          <w:lang w:val="fr-FR"/>
        </w:rPr>
        <w:t xml:space="preserve">au-delà de 2020. </w:t>
      </w:r>
      <w:r w:rsidR="008D2F90" w:rsidRPr="0010404B">
        <w:rPr>
          <w:lang w:val="fr-FR"/>
        </w:rPr>
        <w:t xml:space="preserve">Toutefois, </w:t>
      </w:r>
      <w:r w:rsidR="00D27932">
        <w:rPr>
          <w:lang w:val="fr-FR"/>
        </w:rPr>
        <w:t xml:space="preserve">compte tenu </w:t>
      </w:r>
      <w:r w:rsidR="008D2F90" w:rsidRPr="0010404B">
        <w:rPr>
          <w:lang w:val="fr-FR"/>
        </w:rPr>
        <w:t xml:space="preserve">du fait que le plan </w:t>
      </w:r>
      <w:r w:rsidR="00D27932">
        <w:rPr>
          <w:lang w:val="fr-FR"/>
        </w:rPr>
        <w:t>d’activités couvre la période après</w:t>
      </w:r>
      <w:r w:rsidR="008D2F90" w:rsidRPr="0010404B">
        <w:rPr>
          <w:lang w:val="fr-FR"/>
        </w:rPr>
        <w:t xml:space="preserve"> 2020 et qu’un certain nombre de pays ont des phases II de PGEH approuvées, avec un objectif de réduction entre 2021 et 2025, le Secrétariat aimerait </w:t>
      </w:r>
      <w:r w:rsidR="00D27932">
        <w:rPr>
          <w:lang w:val="fr-FR"/>
        </w:rPr>
        <w:t xml:space="preserve">demander conseil au </w:t>
      </w:r>
      <w:r w:rsidR="008D2F90" w:rsidRPr="0010404B">
        <w:rPr>
          <w:lang w:val="fr-FR"/>
        </w:rPr>
        <w:t>Comité exécutif sur le moment où ces activités reliées à la phase III des PGEH pour des pays a</w:t>
      </w:r>
      <w:r w:rsidR="00D27932">
        <w:rPr>
          <w:lang w:val="fr-FR"/>
        </w:rPr>
        <w:t xml:space="preserve">vec </w:t>
      </w:r>
      <w:r w:rsidR="008D2F90" w:rsidRPr="0010404B">
        <w:rPr>
          <w:lang w:val="fr-FR"/>
        </w:rPr>
        <w:t>un objectif de réduction au-delà de 2020</w:t>
      </w:r>
      <w:r w:rsidR="00172A63">
        <w:rPr>
          <w:lang w:val="fr-FR"/>
        </w:rPr>
        <w:t>,</w:t>
      </w:r>
      <w:r w:rsidR="008D2F90" w:rsidRPr="0010404B">
        <w:rPr>
          <w:lang w:val="fr-FR"/>
        </w:rPr>
        <w:t xml:space="preserve"> pourraient être incluses dans le futur plan d’activités. </w:t>
      </w:r>
    </w:p>
    <w:p w14:paraId="7D4D4857" w14:textId="677620D7" w:rsidR="00C20677" w:rsidRPr="0010404B" w:rsidRDefault="00C20677" w:rsidP="00D6532D">
      <w:pPr>
        <w:pStyle w:val="StyleHeading1Para1Heading1CharHeading1Char3CharHeadin"/>
        <w:rPr>
          <w:u w:val="single"/>
          <w:lang w:val="fr-FR"/>
        </w:rPr>
      </w:pPr>
      <w:r w:rsidRPr="0010404B">
        <w:rPr>
          <w:u w:val="single"/>
          <w:lang w:val="fr-FR"/>
        </w:rPr>
        <w:t>Plan de gestion de la réduction progressive des HFC et préparation de projet</w:t>
      </w:r>
    </w:p>
    <w:p w14:paraId="018BB39C" w14:textId="45263947" w:rsidR="00C20677" w:rsidRPr="0010404B" w:rsidRDefault="008D2F90" w:rsidP="008D2F90">
      <w:pPr>
        <w:pStyle w:val="Heading1"/>
        <w:rPr>
          <w:lang w:val="fr-FR"/>
        </w:rPr>
      </w:pPr>
      <w:r w:rsidRPr="0010404B">
        <w:rPr>
          <w:lang w:val="fr-FR"/>
        </w:rPr>
        <w:t>Conformément à la décision 79/46(b</w:t>
      </w:r>
      <w:r w:rsidR="00C20677" w:rsidRPr="0010404B">
        <w:rPr>
          <w:lang w:val="fr-FR"/>
        </w:rPr>
        <w:t>)(i</w:t>
      </w:r>
      <w:r w:rsidRPr="0010404B">
        <w:rPr>
          <w:lang w:val="fr-FR"/>
        </w:rPr>
        <w:t>ii</w:t>
      </w:r>
      <w:r w:rsidR="00C20677" w:rsidRPr="0010404B">
        <w:rPr>
          <w:lang w:val="fr-FR"/>
        </w:rPr>
        <w:t xml:space="preserve">), le Secrétariat a retiré toutes les activités de préparation de la réduction progressive des HFC pour les pays qui n’ont pas ratifié l’Amendement de Kigali.  Toutefois, des lettres d’intention ont été fournies par tous ces pays, à l’exception de deux.  Le Secrétariat aimerait </w:t>
      </w:r>
      <w:r w:rsidR="00D27932">
        <w:rPr>
          <w:lang w:val="fr-FR"/>
        </w:rPr>
        <w:t>demander conseil au</w:t>
      </w:r>
      <w:r w:rsidR="00C20677" w:rsidRPr="0010404B">
        <w:rPr>
          <w:lang w:val="fr-FR"/>
        </w:rPr>
        <w:t xml:space="preserve"> Comité exécutif sur la possibilité de réintégrer les activités de préparation pour la réduction progressive des HFC dans le plan d’activités </w:t>
      </w:r>
      <w:r w:rsidR="00D27932">
        <w:rPr>
          <w:lang w:val="fr-FR"/>
        </w:rPr>
        <w:t xml:space="preserve">pour </w:t>
      </w:r>
      <w:r w:rsidR="00C20677" w:rsidRPr="0010404B">
        <w:rPr>
          <w:lang w:val="fr-FR"/>
        </w:rPr>
        <w:t>2020-2022</w:t>
      </w:r>
      <w:r w:rsidR="00D27932">
        <w:rPr>
          <w:lang w:val="fr-FR"/>
        </w:rPr>
        <w:t>, compte tenu</w:t>
      </w:r>
      <w:r w:rsidR="00C20677" w:rsidRPr="0010404B">
        <w:rPr>
          <w:lang w:val="fr-FR"/>
        </w:rPr>
        <w:t xml:space="preserve"> des lettres d’intention </w:t>
      </w:r>
      <w:r w:rsidR="00D27932">
        <w:rPr>
          <w:lang w:val="fr-FR"/>
        </w:rPr>
        <w:t>soumises</w:t>
      </w:r>
      <w:r w:rsidR="00C20677" w:rsidRPr="0010404B">
        <w:rPr>
          <w:lang w:val="fr-FR"/>
        </w:rPr>
        <w:t xml:space="preserve"> les gouvernements concernés </w:t>
      </w:r>
      <w:r w:rsidR="00D27932">
        <w:rPr>
          <w:lang w:val="fr-FR"/>
        </w:rPr>
        <w:t xml:space="preserve">manifestant leur intention de </w:t>
      </w:r>
      <w:r w:rsidR="00864CD0">
        <w:rPr>
          <w:lang w:val="fr-FR"/>
        </w:rPr>
        <w:t xml:space="preserve">déployer tous les efforts </w:t>
      </w:r>
      <w:r w:rsidR="00C20677" w:rsidRPr="0010404B">
        <w:rPr>
          <w:lang w:val="fr-FR"/>
        </w:rPr>
        <w:t xml:space="preserve"> possible</w:t>
      </w:r>
      <w:r w:rsidR="00864CD0">
        <w:rPr>
          <w:lang w:val="fr-FR"/>
        </w:rPr>
        <w:t>s</w:t>
      </w:r>
      <w:r w:rsidR="00C20677" w:rsidRPr="0010404B">
        <w:rPr>
          <w:lang w:val="fr-FR"/>
        </w:rPr>
        <w:t xml:space="preserve"> pour ratifier l’Amendement.</w:t>
      </w:r>
    </w:p>
    <w:p w14:paraId="0C9AAC6C" w14:textId="5136914D" w:rsidR="008D2F90" w:rsidRPr="0010404B" w:rsidRDefault="008D2F90" w:rsidP="008D2F90">
      <w:pPr>
        <w:pStyle w:val="Heading1"/>
        <w:rPr>
          <w:lang w:val="fr-FR"/>
        </w:rPr>
      </w:pPr>
      <w:r w:rsidRPr="0010404B">
        <w:rPr>
          <w:lang w:val="fr-FR"/>
        </w:rPr>
        <w:t xml:space="preserve">Le Secrétariat a aussi retiré les plans de gestion de la réduction progressive des HFC du plan d’activités pour 2020-2022 </w:t>
      </w:r>
      <w:r w:rsidR="00374258">
        <w:rPr>
          <w:lang w:val="fr-FR"/>
        </w:rPr>
        <w:t xml:space="preserve">étant donné </w:t>
      </w:r>
      <w:r w:rsidRPr="0010404B">
        <w:rPr>
          <w:lang w:val="fr-FR"/>
        </w:rPr>
        <w:t>qu’aucune décisi</w:t>
      </w:r>
      <w:r w:rsidR="00374258">
        <w:rPr>
          <w:lang w:val="fr-FR"/>
        </w:rPr>
        <w:t>on du Comité exécutif autorise</w:t>
      </w:r>
      <w:r w:rsidRPr="0010404B">
        <w:rPr>
          <w:lang w:val="fr-FR"/>
        </w:rPr>
        <w:t xml:space="preserve"> les pays à soumettre de telles activités dans le plan d’activités puisque seul le financement préparatoire est admissible</w:t>
      </w:r>
      <w:r w:rsidR="00172A63">
        <w:rPr>
          <w:lang w:val="fr-FR"/>
        </w:rPr>
        <w:t>,</w:t>
      </w:r>
      <w:r w:rsidRPr="0010404B">
        <w:rPr>
          <w:lang w:val="fr-FR"/>
        </w:rPr>
        <w:t xml:space="preserve"> selon la décision 79/46(b)(iii).  Le Secrétariat aimerait </w:t>
      </w:r>
      <w:r w:rsidR="00374258">
        <w:rPr>
          <w:lang w:val="fr-FR"/>
        </w:rPr>
        <w:t xml:space="preserve">demander conseil au </w:t>
      </w:r>
      <w:r w:rsidRPr="0010404B">
        <w:rPr>
          <w:lang w:val="fr-FR"/>
        </w:rPr>
        <w:t xml:space="preserve">Comité exécutif </w:t>
      </w:r>
      <w:r w:rsidR="00864CD0">
        <w:rPr>
          <w:lang w:val="fr-FR"/>
        </w:rPr>
        <w:t>quant au</w:t>
      </w:r>
      <w:r w:rsidR="00374258">
        <w:rPr>
          <w:lang w:val="fr-FR"/>
        </w:rPr>
        <w:t xml:space="preserve"> moment auquel</w:t>
      </w:r>
      <w:r w:rsidRPr="0010404B">
        <w:rPr>
          <w:lang w:val="fr-FR"/>
        </w:rPr>
        <w:t xml:space="preserve"> ces activités reliées aux plans de gestion de la réduction progressive des HFC pourraient être incluses dans le futur plan d’activités.</w:t>
      </w:r>
    </w:p>
    <w:p w14:paraId="608AA916" w14:textId="004BA0B3" w:rsidR="008D2F90" w:rsidRPr="0010404B" w:rsidRDefault="00374258" w:rsidP="00D6532D">
      <w:pPr>
        <w:pStyle w:val="StyleHeading1Para1Heading1CharHeading1Char3CharHeadin"/>
        <w:rPr>
          <w:u w:val="single"/>
          <w:lang w:val="fr-FR"/>
        </w:rPr>
      </w:pPr>
      <w:r>
        <w:rPr>
          <w:u w:val="single"/>
          <w:lang w:val="fr-FR"/>
        </w:rPr>
        <w:t>Dépassement du budget</w:t>
      </w:r>
    </w:p>
    <w:p w14:paraId="64EAE8F9" w14:textId="0AE5B558" w:rsidR="00D65FF4" w:rsidRPr="0010404B" w:rsidRDefault="00D65FF4" w:rsidP="00D65FF4">
      <w:pPr>
        <w:pStyle w:val="Heading1"/>
        <w:rPr>
          <w:lang w:val="fr-FR"/>
        </w:rPr>
      </w:pPr>
      <w:r w:rsidRPr="0010404B">
        <w:rPr>
          <w:lang w:val="fr-FR"/>
        </w:rPr>
        <w:t xml:space="preserve">Suite aux </w:t>
      </w:r>
      <w:r w:rsidR="00374258">
        <w:rPr>
          <w:lang w:val="fr-FR"/>
        </w:rPr>
        <w:t>modifications apportées</w:t>
      </w:r>
      <w:r w:rsidRPr="0010404B">
        <w:rPr>
          <w:lang w:val="fr-FR"/>
        </w:rPr>
        <w:t>, les valeurs des activité</w:t>
      </w:r>
      <w:r w:rsidR="00374258">
        <w:rPr>
          <w:lang w:val="fr-FR"/>
        </w:rPr>
        <w:t>s in</w:t>
      </w:r>
      <w:r w:rsidRPr="0010404B">
        <w:rPr>
          <w:lang w:val="fr-FR"/>
        </w:rPr>
        <w:t>c</w:t>
      </w:r>
      <w:r w:rsidR="00374258">
        <w:rPr>
          <w:lang w:val="fr-FR"/>
        </w:rPr>
        <w:t>lus</w:t>
      </w:r>
      <w:r w:rsidRPr="0010404B">
        <w:rPr>
          <w:lang w:val="fr-FR"/>
        </w:rPr>
        <w:t>es dans le plan d’activités dépassent le budget indicatif global</w:t>
      </w:r>
      <w:r w:rsidR="00374258">
        <w:rPr>
          <w:lang w:val="fr-FR"/>
        </w:rPr>
        <w:t>, de 14,15 millions $U</w:t>
      </w:r>
      <w:r w:rsidRPr="0010404B">
        <w:rPr>
          <w:lang w:val="fr-FR"/>
        </w:rPr>
        <w:t xml:space="preserve">S pour la période triennale 2020-2022, dans l’hypothèse d’un budget annuel de 180 millions pour 2021 et 2022, </w:t>
      </w:r>
      <w:r w:rsidR="00374258">
        <w:rPr>
          <w:lang w:val="fr-FR"/>
        </w:rPr>
        <w:t>c.-à-d. avec le</w:t>
      </w:r>
      <w:r w:rsidRPr="0010404B">
        <w:rPr>
          <w:lang w:val="fr-FR"/>
        </w:rPr>
        <w:t xml:space="preserve"> même niveau de réapprovisionnement que pour la période 2018-2020.  Le montant qui dépasse le budget indicatif est de 54,04 millions $US en 2020</w:t>
      </w:r>
      <w:r w:rsidR="00374258">
        <w:rPr>
          <w:lang w:val="fr-FR"/>
        </w:rPr>
        <w:t>,</w:t>
      </w:r>
      <w:r w:rsidRPr="0010404B">
        <w:rPr>
          <w:lang w:val="fr-FR"/>
        </w:rPr>
        <w:t xml:space="preserve"> dont 6,56 millions $US sont reliés aux activités pour les HFC.  Pour 2020 et 2021, les valeurs du plan d’activités sont inférieures au budget indicatif</w:t>
      </w:r>
      <w:r w:rsidR="00374258">
        <w:rPr>
          <w:lang w:val="fr-FR"/>
        </w:rPr>
        <w:t>,</w:t>
      </w:r>
      <w:r w:rsidRPr="0010404B">
        <w:rPr>
          <w:lang w:val="fr-FR"/>
        </w:rPr>
        <w:t xml:space="preserve"> de 9,03 millions $US et 30,86 millions $US respectivement.  La valeur </w:t>
      </w:r>
      <w:r w:rsidR="00374258" w:rsidRPr="0010404B">
        <w:rPr>
          <w:lang w:val="fr-FR"/>
        </w:rPr>
        <w:t xml:space="preserve">de 225,04 millions $US </w:t>
      </w:r>
      <w:r w:rsidR="00374258">
        <w:rPr>
          <w:lang w:val="fr-FR"/>
        </w:rPr>
        <w:t>pour le plan d’activités de</w:t>
      </w:r>
      <w:r w:rsidRPr="0010404B">
        <w:rPr>
          <w:lang w:val="fr-FR"/>
        </w:rPr>
        <w:t xml:space="preserve"> 2020 inclut </w:t>
      </w:r>
      <w:r w:rsidR="00172A63">
        <w:rPr>
          <w:lang w:val="fr-FR"/>
        </w:rPr>
        <w:lastRenderedPageBreak/>
        <w:t>un montant de 25 944 375 $US associé</w:t>
      </w:r>
      <w:r w:rsidRPr="0010404B">
        <w:rPr>
          <w:lang w:val="fr-FR"/>
        </w:rPr>
        <w:t xml:space="preserve"> à des tranches de financement qui n’ont pas été soumises en 2019 et </w:t>
      </w:r>
      <w:r w:rsidR="00F34592">
        <w:rPr>
          <w:lang w:val="fr-FR"/>
        </w:rPr>
        <w:t>qui, par conséquent, sont</w:t>
      </w:r>
      <w:r w:rsidR="00374258">
        <w:rPr>
          <w:lang w:val="fr-FR"/>
        </w:rPr>
        <w:t xml:space="preserve"> incluses en</w:t>
      </w:r>
      <w:r w:rsidRPr="0010404B">
        <w:rPr>
          <w:lang w:val="fr-FR"/>
        </w:rPr>
        <w:t xml:space="preserve"> 2020.</w:t>
      </w:r>
    </w:p>
    <w:p w14:paraId="361AA515" w14:textId="65906259" w:rsidR="00D65FF4" w:rsidRPr="0010404B" w:rsidRDefault="00374258" w:rsidP="00D6532D">
      <w:pPr>
        <w:pStyle w:val="StyleHeading1Para1Heading1CharHeading1Char3CharHeadin"/>
        <w:rPr>
          <w:u w:val="single"/>
          <w:lang w:val="fr-FR"/>
        </w:rPr>
      </w:pPr>
      <w:r>
        <w:rPr>
          <w:u w:val="single"/>
          <w:lang w:val="fr-FR"/>
        </w:rPr>
        <w:t xml:space="preserve">Modification supplémentaire </w:t>
      </w:r>
      <w:r w:rsidR="00D65FF4" w:rsidRPr="0010404B">
        <w:rPr>
          <w:u w:val="single"/>
          <w:lang w:val="fr-FR"/>
        </w:rPr>
        <w:t>après la 84</w:t>
      </w:r>
      <w:r w:rsidR="00D65FF4" w:rsidRPr="0010404B">
        <w:rPr>
          <w:u w:val="single"/>
          <w:vertAlign w:val="superscript"/>
          <w:lang w:val="fr-FR"/>
        </w:rPr>
        <w:t>e</w:t>
      </w:r>
      <w:r w:rsidR="00D65FF4" w:rsidRPr="0010404B">
        <w:rPr>
          <w:u w:val="single"/>
          <w:lang w:val="fr-FR"/>
        </w:rPr>
        <w:t xml:space="preserve"> réunion</w:t>
      </w:r>
    </w:p>
    <w:p w14:paraId="6325BE59" w14:textId="1284E437" w:rsidR="00D65FF4" w:rsidRPr="0010404B" w:rsidRDefault="00374258" w:rsidP="00D65FF4">
      <w:pPr>
        <w:pStyle w:val="Heading1"/>
        <w:rPr>
          <w:lang w:val="fr-FR"/>
        </w:rPr>
      </w:pPr>
      <w:r>
        <w:rPr>
          <w:lang w:val="fr-FR"/>
        </w:rPr>
        <w:t xml:space="preserve">Le plan d’activités de </w:t>
      </w:r>
      <w:r w:rsidR="00D65FF4" w:rsidRPr="0010404B">
        <w:rPr>
          <w:lang w:val="fr-FR"/>
        </w:rPr>
        <w:t xml:space="preserve">2020-2022 pourrait être encore </w:t>
      </w:r>
      <w:r>
        <w:rPr>
          <w:lang w:val="fr-FR"/>
        </w:rPr>
        <w:t>modifié</w:t>
      </w:r>
      <w:r w:rsidR="00D65FF4" w:rsidRPr="0010404B">
        <w:rPr>
          <w:lang w:val="fr-FR"/>
        </w:rPr>
        <w:t xml:space="preserve"> sur la base des niveaux de financement des nouvelles phases de PGEH qui seront approuvées en principe à la 84</w:t>
      </w:r>
      <w:r w:rsidR="00D65FF4" w:rsidRPr="0010404B">
        <w:rPr>
          <w:vertAlign w:val="superscript"/>
          <w:lang w:val="fr-FR"/>
        </w:rPr>
        <w:t>e</w:t>
      </w:r>
      <w:r w:rsidR="00D65FF4" w:rsidRPr="0010404B">
        <w:rPr>
          <w:lang w:val="fr-FR"/>
        </w:rPr>
        <w:t xml:space="preserve"> réunion.  Le Comité exécutif pourrait souhaiter </w:t>
      </w:r>
      <w:r>
        <w:rPr>
          <w:lang w:val="fr-FR"/>
        </w:rPr>
        <w:t>modifier</w:t>
      </w:r>
      <w:r w:rsidR="00D65FF4" w:rsidRPr="0010404B">
        <w:rPr>
          <w:lang w:val="fr-FR"/>
        </w:rPr>
        <w:t xml:space="preserve"> le plan d’activités pour 2020-2022 </w:t>
      </w:r>
      <w:r>
        <w:rPr>
          <w:lang w:val="fr-FR"/>
        </w:rPr>
        <w:t>s</w:t>
      </w:r>
      <w:r w:rsidR="00E607B3">
        <w:rPr>
          <w:lang w:val="fr-FR"/>
        </w:rPr>
        <w:t>elon</w:t>
      </w:r>
      <w:r w:rsidR="00D65FF4" w:rsidRPr="0010404B">
        <w:rPr>
          <w:lang w:val="fr-FR"/>
        </w:rPr>
        <w:t xml:space="preserve"> le niveau des fonds </w:t>
      </w:r>
      <w:r>
        <w:rPr>
          <w:lang w:val="fr-FR"/>
        </w:rPr>
        <w:t>alloués aux</w:t>
      </w:r>
      <w:r w:rsidR="00D65FF4" w:rsidRPr="0010404B">
        <w:rPr>
          <w:lang w:val="fr-FR"/>
        </w:rPr>
        <w:t xml:space="preserve"> PGEH approuvés en principe à la 84</w:t>
      </w:r>
      <w:r w:rsidR="00D65FF4" w:rsidRPr="0010404B">
        <w:rPr>
          <w:vertAlign w:val="superscript"/>
          <w:lang w:val="fr-FR"/>
        </w:rPr>
        <w:t>e</w:t>
      </w:r>
      <w:r w:rsidR="00D65FF4" w:rsidRPr="0010404B">
        <w:rPr>
          <w:lang w:val="fr-FR"/>
        </w:rPr>
        <w:t xml:space="preserve"> réunion.</w:t>
      </w:r>
    </w:p>
    <w:p w14:paraId="7951FA6A" w14:textId="759E5283" w:rsidR="00D65FF4" w:rsidRPr="0010404B" w:rsidRDefault="00D65FF4" w:rsidP="00D6532D">
      <w:pPr>
        <w:pStyle w:val="StyleHeading1Para1Heading1CharHeading1Char3CharHeadin"/>
        <w:rPr>
          <w:u w:val="single"/>
          <w:lang w:val="fr-FR"/>
        </w:rPr>
      </w:pPr>
      <w:r w:rsidRPr="0010404B">
        <w:rPr>
          <w:u w:val="single"/>
          <w:lang w:val="fr-FR"/>
        </w:rPr>
        <w:t>Questions d’orientation  dans les plans d’activités des agences</w:t>
      </w:r>
    </w:p>
    <w:p w14:paraId="55C64882" w14:textId="43E7A0AF" w:rsidR="008E39E0" w:rsidRPr="0010404B" w:rsidRDefault="00D65FF4" w:rsidP="008E39E0">
      <w:pPr>
        <w:pStyle w:val="Heading1"/>
        <w:rPr>
          <w:lang w:val="fr-FR"/>
        </w:rPr>
      </w:pPr>
      <w:r w:rsidRPr="0010404B">
        <w:rPr>
          <w:lang w:val="fr-FR"/>
        </w:rPr>
        <w:t xml:space="preserve">Le PNUD a soulevé les questions d’orientation suivantes : </w:t>
      </w:r>
      <w:r w:rsidR="00374258">
        <w:rPr>
          <w:lang w:val="fr-FR"/>
        </w:rPr>
        <w:t xml:space="preserve">le </w:t>
      </w:r>
      <w:r w:rsidRPr="0010404B">
        <w:rPr>
          <w:lang w:val="fr-FR"/>
        </w:rPr>
        <w:t xml:space="preserve">financement de la transformation du marché en utilisant les </w:t>
      </w:r>
      <w:r w:rsidR="008E39E0" w:rsidRPr="0010404B">
        <w:rPr>
          <w:lang w:val="fr-FR"/>
        </w:rPr>
        <w:t>sur</w:t>
      </w:r>
      <w:r w:rsidRPr="0010404B">
        <w:rPr>
          <w:lang w:val="fr-FR"/>
        </w:rPr>
        <w:t>coûts d</w:t>
      </w:r>
      <w:r w:rsidR="008E39E0" w:rsidRPr="0010404B">
        <w:rPr>
          <w:lang w:val="fr-FR"/>
        </w:rPr>
        <w:t>’explo</w:t>
      </w:r>
      <w:r w:rsidRPr="0010404B">
        <w:rPr>
          <w:lang w:val="fr-FR"/>
        </w:rPr>
        <w:t>i</w:t>
      </w:r>
      <w:r w:rsidR="008E39E0" w:rsidRPr="0010404B">
        <w:rPr>
          <w:lang w:val="fr-FR"/>
        </w:rPr>
        <w:t>tation d</w:t>
      </w:r>
      <w:r w:rsidR="00172A63">
        <w:rPr>
          <w:lang w:val="fr-FR"/>
        </w:rPr>
        <w:t>’un</w:t>
      </w:r>
      <w:r w:rsidR="008E39E0" w:rsidRPr="0010404B">
        <w:rPr>
          <w:lang w:val="fr-FR"/>
        </w:rPr>
        <w:t>e manière plus souple et inclusive; les défis des PFV en termes de démonstration des te</w:t>
      </w:r>
      <w:r w:rsidR="00F34592">
        <w:rPr>
          <w:lang w:val="fr-FR"/>
        </w:rPr>
        <w:t>chnologies de remplacement et de</w:t>
      </w:r>
      <w:r w:rsidR="008E39E0" w:rsidRPr="0010404B">
        <w:rPr>
          <w:lang w:val="fr-FR"/>
        </w:rPr>
        <w:t xml:space="preserve"> capacité d</w:t>
      </w:r>
      <w:r w:rsidR="00756F4B">
        <w:rPr>
          <w:lang w:val="fr-FR"/>
        </w:rPr>
        <w:t>’intensification</w:t>
      </w:r>
      <w:r w:rsidR="008E39E0" w:rsidRPr="0010404B">
        <w:rPr>
          <w:lang w:val="fr-FR"/>
        </w:rPr>
        <w:t xml:space="preserve"> avec le financement disponible limité; le sous-secteur de l’assemblage dans le secteur de l’entretien </w:t>
      </w:r>
      <w:r w:rsidR="00756F4B">
        <w:rPr>
          <w:lang w:val="fr-FR"/>
        </w:rPr>
        <w:t xml:space="preserve">mériterait </w:t>
      </w:r>
      <w:r w:rsidR="008E39E0" w:rsidRPr="0010404B">
        <w:rPr>
          <w:lang w:val="fr-FR"/>
        </w:rPr>
        <w:t xml:space="preserve"> une attention particulière et distincte des autres activités  dans le secteur de l’entretien avec un traitement différent; il faudrait tenir compte d</w:t>
      </w:r>
      <w:r w:rsidR="00756F4B">
        <w:rPr>
          <w:lang w:val="fr-FR"/>
        </w:rPr>
        <w:t>u rapport coût-efficacité en fonction de l’équivalent CO</w:t>
      </w:r>
      <w:r w:rsidR="00756F4B">
        <w:rPr>
          <w:vertAlign w:val="subscript"/>
          <w:lang w:val="fr-FR"/>
        </w:rPr>
        <w:t>2</w:t>
      </w:r>
      <w:r w:rsidR="00756F4B">
        <w:rPr>
          <w:lang w:val="fr-FR"/>
        </w:rPr>
        <w:t xml:space="preserve">; communication et </w:t>
      </w:r>
      <w:r w:rsidR="008E39E0" w:rsidRPr="0010404B">
        <w:rPr>
          <w:lang w:val="fr-FR"/>
        </w:rPr>
        <w:t>synergie avec les activités climatiques plus vastes aux niveaux national et international sont nécessaires.</w:t>
      </w:r>
    </w:p>
    <w:p w14:paraId="6E6C4FF6" w14:textId="0A4F8FF7" w:rsidR="008E39E0" w:rsidRPr="0010404B" w:rsidRDefault="008E39E0" w:rsidP="008E39E0">
      <w:pPr>
        <w:pStyle w:val="Heading1"/>
        <w:rPr>
          <w:lang w:val="fr-FR"/>
        </w:rPr>
      </w:pPr>
      <w:r w:rsidRPr="0010404B">
        <w:rPr>
          <w:lang w:val="fr-FR"/>
        </w:rPr>
        <w:t xml:space="preserve">Le PNUE demande </w:t>
      </w:r>
      <w:r w:rsidR="00756F4B">
        <w:rPr>
          <w:lang w:val="fr-FR"/>
        </w:rPr>
        <w:t>conseil au</w:t>
      </w:r>
      <w:r w:rsidRPr="0010404B">
        <w:rPr>
          <w:lang w:val="fr-FR"/>
        </w:rPr>
        <w:t xml:space="preserve"> Comité exécutif sur l’admissibilité et les lignes directrices pour la préparation des plans nationaux de mise en œuvre de la réduction progressive des HFC.</w:t>
      </w:r>
    </w:p>
    <w:p w14:paraId="4964DD29" w14:textId="3C884FB2" w:rsidR="008E39E0" w:rsidRPr="0010404B" w:rsidRDefault="008E39E0" w:rsidP="008E39E0">
      <w:pPr>
        <w:pStyle w:val="Heading1"/>
        <w:rPr>
          <w:lang w:val="fr-FR"/>
        </w:rPr>
      </w:pPr>
      <w:r w:rsidRPr="0010404B">
        <w:rPr>
          <w:lang w:val="fr-FR"/>
        </w:rPr>
        <w:t>Les questions d’orientation soulevées par les agences d’exécution sont traitées dans les plans d’activités individuels des agences.</w:t>
      </w:r>
    </w:p>
    <w:p w14:paraId="30195DDE" w14:textId="77777777" w:rsidR="008E39E0" w:rsidRPr="0010404B" w:rsidRDefault="008E39E0" w:rsidP="00D6532D">
      <w:pPr>
        <w:pStyle w:val="StyleHeading1Para1Heading1CharHeading1Char3CharHeadin"/>
        <w:rPr>
          <w:b/>
          <w:lang w:val="fr-FR"/>
        </w:rPr>
      </w:pPr>
      <w:r w:rsidRPr="0010404B">
        <w:rPr>
          <w:b/>
          <w:lang w:val="fr-FR"/>
        </w:rPr>
        <w:t>RECOMMANDATION</w:t>
      </w:r>
    </w:p>
    <w:p w14:paraId="1F0DF5E0" w14:textId="67A24FEA" w:rsidR="00D65FF4" w:rsidRPr="0010404B" w:rsidRDefault="008E39E0" w:rsidP="00D6532D">
      <w:pPr>
        <w:pStyle w:val="StyleHeading1Para1Heading1CharHeading1Char3CharHeadin"/>
        <w:rPr>
          <w:lang w:val="fr-FR"/>
        </w:rPr>
      </w:pPr>
      <w:r w:rsidRPr="0010404B">
        <w:rPr>
          <w:lang w:val="fr-FR"/>
        </w:rPr>
        <w:t>33.</w:t>
      </w:r>
      <w:r w:rsidRPr="0010404B">
        <w:rPr>
          <w:lang w:val="fr-FR"/>
        </w:rPr>
        <w:tab/>
        <w:t xml:space="preserve">Le Comité exécutif pourrait souhaiter : </w:t>
      </w:r>
    </w:p>
    <w:p w14:paraId="3F85FEFC" w14:textId="77777777" w:rsidR="008E39E0" w:rsidRPr="0010404B" w:rsidRDefault="008E39E0">
      <w:pPr>
        <w:pStyle w:val="Heading2"/>
        <w:numPr>
          <w:ilvl w:val="1"/>
          <w:numId w:val="1"/>
        </w:numPr>
        <w:tabs>
          <w:tab w:val="clear" w:pos="0"/>
          <w:tab w:val="left" w:pos="720"/>
          <w:tab w:val="num" w:pos="1440"/>
        </w:tabs>
        <w:rPr>
          <w:lang w:val="fr-FR"/>
        </w:rPr>
      </w:pPr>
      <w:r w:rsidRPr="0010404B">
        <w:rPr>
          <w:lang w:val="fr-FR"/>
        </w:rPr>
        <w:t>Prendre note du plan d’activités général du Fonds multilatéral pour 2020-2022, contenu dans le document UNEP/OzL.Pro/ExCom/84/26;</w:t>
      </w:r>
    </w:p>
    <w:p w14:paraId="11A5FD05" w14:textId="4FD8D0DA" w:rsidR="00441083" w:rsidRPr="0010404B" w:rsidRDefault="008E39E0" w:rsidP="008E39E0">
      <w:pPr>
        <w:pStyle w:val="Heading2"/>
        <w:numPr>
          <w:ilvl w:val="1"/>
          <w:numId w:val="1"/>
        </w:numPr>
        <w:tabs>
          <w:tab w:val="clear" w:pos="0"/>
          <w:tab w:val="left" w:pos="720"/>
          <w:tab w:val="num" w:pos="1440"/>
        </w:tabs>
        <w:rPr>
          <w:lang w:val="fr-FR"/>
        </w:rPr>
      </w:pPr>
      <w:r w:rsidRPr="0010404B">
        <w:rPr>
          <w:lang w:val="fr-FR"/>
        </w:rPr>
        <w:t>Décider :</w:t>
      </w:r>
    </w:p>
    <w:p w14:paraId="43437E46" w14:textId="6BF42426" w:rsidR="00E91DB9" w:rsidRPr="0010404B" w:rsidRDefault="00E91DB9" w:rsidP="00E91DB9">
      <w:pPr>
        <w:pStyle w:val="Heading2"/>
        <w:numPr>
          <w:ilvl w:val="0"/>
          <w:numId w:val="0"/>
        </w:numPr>
        <w:tabs>
          <w:tab w:val="left" w:pos="720"/>
        </w:tabs>
        <w:ind w:left="2160" w:hanging="720"/>
        <w:rPr>
          <w:lang w:val="fr-FR"/>
        </w:rPr>
      </w:pPr>
      <w:r w:rsidRPr="0010404B">
        <w:rPr>
          <w:lang w:val="fr-FR"/>
        </w:rPr>
        <w:t>(i)</w:t>
      </w:r>
      <w:r w:rsidRPr="0010404B">
        <w:rPr>
          <w:lang w:val="fr-FR"/>
        </w:rPr>
        <w:tab/>
        <w:t>D</w:t>
      </w:r>
      <w:r w:rsidR="00756F4B">
        <w:rPr>
          <w:lang w:val="fr-FR"/>
        </w:rPr>
        <w:t>e modifier</w:t>
      </w:r>
      <w:r w:rsidRPr="0010404B">
        <w:rPr>
          <w:lang w:val="fr-FR"/>
        </w:rPr>
        <w:t xml:space="preserve"> le plan d’activités</w:t>
      </w:r>
      <w:r w:rsidR="00756F4B">
        <w:rPr>
          <w:lang w:val="fr-FR"/>
        </w:rPr>
        <w:t>,</w:t>
      </w:r>
      <w:r w:rsidRPr="0010404B">
        <w:rPr>
          <w:lang w:val="fr-FR"/>
        </w:rPr>
        <w:t xml:space="preserve"> tel que proposé par le Secrétariat dans le document UNEP/OzL.Pro/ExCom/84/26;</w:t>
      </w:r>
    </w:p>
    <w:p w14:paraId="27E85D7E" w14:textId="1107D9DD" w:rsidR="00441083" w:rsidRPr="0010404B" w:rsidRDefault="00E91DB9" w:rsidP="00E91DB9">
      <w:pPr>
        <w:pStyle w:val="Heading3"/>
        <w:numPr>
          <w:ilvl w:val="0"/>
          <w:numId w:val="0"/>
        </w:numPr>
        <w:ind w:left="2160" w:hanging="720"/>
        <w:rPr>
          <w:lang w:val="fr-FR"/>
        </w:rPr>
      </w:pPr>
      <w:r w:rsidRPr="0010404B">
        <w:rPr>
          <w:lang w:val="fr-FR"/>
        </w:rPr>
        <w:t>(ii)</w:t>
      </w:r>
      <w:r w:rsidRPr="0010404B">
        <w:rPr>
          <w:lang w:val="fr-FR"/>
        </w:rPr>
        <w:tab/>
        <w:t>D</w:t>
      </w:r>
      <w:r w:rsidR="00756F4B">
        <w:rPr>
          <w:lang w:val="fr-FR"/>
        </w:rPr>
        <w:t xml:space="preserve">e modifier plus avant </w:t>
      </w:r>
      <w:r w:rsidRPr="0010404B">
        <w:rPr>
          <w:lang w:val="fr-FR"/>
        </w:rPr>
        <w:t>le plan d’activités, tel que proposé à la 84</w:t>
      </w:r>
      <w:r w:rsidRPr="0010404B">
        <w:rPr>
          <w:vertAlign w:val="superscript"/>
          <w:lang w:val="fr-FR"/>
        </w:rPr>
        <w:t>e</w:t>
      </w:r>
      <w:r w:rsidRPr="0010404B">
        <w:rPr>
          <w:lang w:val="fr-FR"/>
        </w:rPr>
        <w:t xml:space="preserve"> réunion, </w:t>
      </w:r>
      <w:r w:rsidR="00756F4B">
        <w:rPr>
          <w:lang w:val="fr-FR"/>
        </w:rPr>
        <w:t>lors d</w:t>
      </w:r>
      <w:r w:rsidRPr="0010404B">
        <w:rPr>
          <w:lang w:val="fr-FR"/>
        </w:rPr>
        <w:t>es discussions et/o</w:t>
      </w:r>
      <w:r w:rsidR="00756F4B">
        <w:rPr>
          <w:lang w:val="fr-FR"/>
        </w:rPr>
        <w:t>u durant la présentation de</w:t>
      </w:r>
      <w:r w:rsidRPr="0010404B">
        <w:rPr>
          <w:lang w:val="fr-FR"/>
        </w:rPr>
        <w:t>s plans d’activités par les agences bilatérales et d’exécution;</w:t>
      </w:r>
    </w:p>
    <w:p w14:paraId="595D782B" w14:textId="5BD4F270" w:rsidR="00E91DB9" w:rsidRPr="0010404B" w:rsidRDefault="00E91DB9" w:rsidP="00E91DB9">
      <w:pPr>
        <w:pStyle w:val="ListParagraph"/>
        <w:numPr>
          <w:ilvl w:val="0"/>
          <w:numId w:val="26"/>
        </w:numPr>
        <w:rPr>
          <w:lang w:val="fr-FR"/>
        </w:rPr>
      </w:pPr>
      <w:r w:rsidRPr="0010404B">
        <w:rPr>
          <w:lang w:val="fr-FR"/>
        </w:rPr>
        <w:t>En ajoutant au plan d’activités de 2020, les plans de gestion de l’</w:t>
      </w:r>
      <w:r w:rsidR="00756F4B">
        <w:rPr>
          <w:lang w:val="fr-FR"/>
        </w:rPr>
        <w:t>élimination des HCFC (PGEH) et l</w:t>
      </w:r>
      <w:r w:rsidRPr="0010404B">
        <w:rPr>
          <w:lang w:val="fr-FR"/>
        </w:rPr>
        <w:t>es activités de r</w:t>
      </w:r>
      <w:r w:rsidR="000B7938">
        <w:rPr>
          <w:lang w:val="fr-FR"/>
        </w:rPr>
        <w:t>enforcement des institutions in</w:t>
      </w:r>
      <w:r w:rsidRPr="0010404B">
        <w:rPr>
          <w:lang w:val="fr-FR"/>
        </w:rPr>
        <w:t>c</w:t>
      </w:r>
      <w:r w:rsidR="000B7938">
        <w:rPr>
          <w:lang w:val="fr-FR"/>
        </w:rPr>
        <w:t>lus</w:t>
      </w:r>
      <w:r w:rsidRPr="0010404B">
        <w:rPr>
          <w:lang w:val="fr-FR"/>
        </w:rPr>
        <w:t>es dans le plan d’activités de 2019 qui ont été reportées à la 8</w:t>
      </w:r>
      <w:r w:rsidR="00756F4B">
        <w:rPr>
          <w:lang w:val="fr-FR"/>
        </w:rPr>
        <w:t>4</w:t>
      </w:r>
      <w:r w:rsidR="00756F4B" w:rsidRPr="00756F4B">
        <w:rPr>
          <w:vertAlign w:val="superscript"/>
          <w:lang w:val="fr-FR"/>
        </w:rPr>
        <w:t>e</w:t>
      </w:r>
      <w:r w:rsidRPr="0010404B">
        <w:rPr>
          <w:lang w:val="fr-FR"/>
        </w:rPr>
        <w:t xml:space="preserve"> réunion;</w:t>
      </w:r>
    </w:p>
    <w:p w14:paraId="69E2FF01" w14:textId="77777777" w:rsidR="00E91DB9" w:rsidRPr="0010404B" w:rsidRDefault="00E91DB9" w:rsidP="00E91DB9">
      <w:pPr>
        <w:rPr>
          <w:lang w:val="fr-FR"/>
        </w:rPr>
      </w:pPr>
    </w:p>
    <w:p w14:paraId="7E2BE90F" w14:textId="2A7EEDA7" w:rsidR="00E91DB9" w:rsidRPr="0010404B" w:rsidRDefault="00E91DB9" w:rsidP="00E91DB9">
      <w:pPr>
        <w:pStyle w:val="ListParagraph"/>
        <w:numPr>
          <w:ilvl w:val="0"/>
          <w:numId w:val="26"/>
        </w:numPr>
        <w:rPr>
          <w:lang w:val="fr-FR"/>
        </w:rPr>
      </w:pPr>
      <w:r w:rsidRPr="0010404B">
        <w:rPr>
          <w:lang w:val="fr-FR"/>
        </w:rPr>
        <w:t xml:space="preserve">En tenant compte des valeurs approuvées en principe pour de nouveaux PGEH </w:t>
      </w:r>
      <w:r w:rsidR="00756F4B">
        <w:rPr>
          <w:lang w:val="fr-FR"/>
        </w:rPr>
        <w:t xml:space="preserve">durant </w:t>
      </w:r>
      <w:r w:rsidRPr="0010404B">
        <w:rPr>
          <w:lang w:val="fr-FR"/>
        </w:rPr>
        <w:t>la 8</w:t>
      </w:r>
      <w:r w:rsidR="00756F4B">
        <w:rPr>
          <w:lang w:val="fr-FR"/>
        </w:rPr>
        <w:t>4</w:t>
      </w:r>
      <w:r w:rsidR="00756F4B" w:rsidRPr="00756F4B">
        <w:rPr>
          <w:vertAlign w:val="superscript"/>
          <w:lang w:val="fr-FR"/>
        </w:rPr>
        <w:t>e</w:t>
      </w:r>
      <w:r w:rsidRPr="0010404B">
        <w:rPr>
          <w:lang w:val="fr-FR"/>
        </w:rPr>
        <w:t xml:space="preserve"> réunion;</w:t>
      </w:r>
    </w:p>
    <w:p w14:paraId="5D6A63CE" w14:textId="77777777" w:rsidR="00E91DB9" w:rsidRPr="0010404B" w:rsidRDefault="00E91DB9" w:rsidP="00E91DB9">
      <w:pPr>
        <w:rPr>
          <w:lang w:val="fr-FR"/>
        </w:rPr>
      </w:pPr>
    </w:p>
    <w:p w14:paraId="014F61DF" w14:textId="6C8737B0" w:rsidR="00E91DB9" w:rsidRPr="0010404B" w:rsidRDefault="00E91DB9" w:rsidP="00E91DB9">
      <w:pPr>
        <w:pStyle w:val="Heading2"/>
        <w:rPr>
          <w:lang w:val="fr-FR"/>
        </w:rPr>
      </w:pPr>
      <w:r w:rsidRPr="0010404B">
        <w:rPr>
          <w:lang w:val="fr-FR"/>
        </w:rPr>
        <w:t>Envisager :</w:t>
      </w:r>
    </w:p>
    <w:p w14:paraId="08D04114" w14:textId="0B54D94A" w:rsidR="00E91DB9" w:rsidRPr="0010404B" w:rsidRDefault="001F1C54" w:rsidP="001F1C54">
      <w:pPr>
        <w:pStyle w:val="Heading3"/>
        <w:rPr>
          <w:lang w:val="fr-FR"/>
        </w:rPr>
      </w:pPr>
      <w:r w:rsidRPr="0010404B">
        <w:rPr>
          <w:lang w:val="fr-FR"/>
        </w:rPr>
        <w:t>De réintégrer la phase I du plan de gestion de la production de HCFC et la préparation de projet pour l’Inde;</w:t>
      </w:r>
    </w:p>
    <w:p w14:paraId="4CEA576F" w14:textId="6C336EC2" w:rsidR="001F1C54" w:rsidRPr="0010404B" w:rsidRDefault="001F1C54" w:rsidP="001F1C54">
      <w:pPr>
        <w:pStyle w:val="Heading3"/>
        <w:rPr>
          <w:lang w:val="fr-FR"/>
        </w:rPr>
      </w:pPr>
      <w:r w:rsidRPr="0010404B">
        <w:rPr>
          <w:lang w:val="fr-FR"/>
        </w:rPr>
        <w:lastRenderedPageBreak/>
        <w:t>L</w:t>
      </w:r>
      <w:r w:rsidR="00756F4B">
        <w:rPr>
          <w:lang w:val="fr-FR"/>
        </w:rPr>
        <w:t xml:space="preserve">e moment auquel </w:t>
      </w:r>
      <w:r w:rsidRPr="0010404B">
        <w:rPr>
          <w:lang w:val="fr-FR"/>
        </w:rPr>
        <w:t>des activités reliées à la phase III de</w:t>
      </w:r>
      <w:r w:rsidR="00756F4B">
        <w:rPr>
          <w:lang w:val="fr-FR"/>
        </w:rPr>
        <w:t>s</w:t>
      </w:r>
      <w:r w:rsidRPr="0010404B">
        <w:rPr>
          <w:lang w:val="fr-FR"/>
        </w:rPr>
        <w:t xml:space="preserve"> PGEH pour des pays ayant une phase II de PGEH approuvée avec un objectif de </w:t>
      </w:r>
      <w:r w:rsidR="0010404B" w:rsidRPr="0010404B">
        <w:rPr>
          <w:lang w:val="fr-FR"/>
        </w:rPr>
        <w:t>réduction</w:t>
      </w:r>
      <w:r w:rsidRPr="0010404B">
        <w:rPr>
          <w:lang w:val="fr-FR"/>
        </w:rPr>
        <w:t xml:space="preserve"> au-delà de 2020</w:t>
      </w:r>
      <w:r w:rsidR="00756F4B">
        <w:rPr>
          <w:lang w:val="fr-FR"/>
        </w:rPr>
        <w:t>, pourraient être soumises</w:t>
      </w:r>
      <w:r w:rsidRPr="0010404B">
        <w:rPr>
          <w:lang w:val="fr-FR"/>
        </w:rPr>
        <w:t>;</w:t>
      </w:r>
    </w:p>
    <w:p w14:paraId="2F838825" w14:textId="4E4E3803" w:rsidR="001F1C54" w:rsidRPr="0010404B" w:rsidRDefault="00756F4B" w:rsidP="001F1C54">
      <w:pPr>
        <w:pStyle w:val="Heading3"/>
        <w:rPr>
          <w:lang w:val="fr-FR"/>
        </w:rPr>
      </w:pPr>
      <w:r>
        <w:rPr>
          <w:lang w:val="fr-FR"/>
        </w:rPr>
        <w:t>La possibilité d</w:t>
      </w:r>
      <w:r w:rsidR="001F1C54" w:rsidRPr="0010404B">
        <w:rPr>
          <w:lang w:val="fr-FR"/>
        </w:rPr>
        <w:t xml:space="preserve">e réintégrer les activités de préparation de la </w:t>
      </w:r>
      <w:r w:rsidR="0010404B" w:rsidRPr="0010404B">
        <w:rPr>
          <w:lang w:val="fr-FR"/>
        </w:rPr>
        <w:t>réduction</w:t>
      </w:r>
      <w:r w:rsidR="001F1C54" w:rsidRPr="0010404B">
        <w:rPr>
          <w:lang w:val="fr-FR"/>
        </w:rPr>
        <w:t xml:space="preserve"> progressive des HFC pour des pays qui n’ont pas ratifié l’Amendement de Kigali mais qui ont remis une lettre d’intention </w:t>
      </w:r>
      <w:r>
        <w:rPr>
          <w:lang w:val="fr-FR"/>
        </w:rPr>
        <w:t xml:space="preserve">manifestant </w:t>
      </w:r>
      <w:r w:rsidR="001F1C54" w:rsidRPr="0010404B">
        <w:rPr>
          <w:lang w:val="fr-FR"/>
        </w:rPr>
        <w:t>l’intention de le</w:t>
      </w:r>
      <w:r>
        <w:rPr>
          <w:lang w:val="fr-FR"/>
        </w:rPr>
        <w:t>ur</w:t>
      </w:r>
      <w:r w:rsidR="00E607B3">
        <w:rPr>
          <w:lang w:val="fr-FR"/>
        </w:rPr>
        <w:t xml:space="preserve"> gouvernement de déployer tous</w:t>
      </w:r>
      <w:r w:rsidR="001F1C54" w:rsidRPr="0010404B">
        <w:rPr>
          <w:lang w:val="fr-FR"/>
        </w:rPr>
        <w:t xml:space="preserve"> le</w:t>
      </w:r>
      <w:r w:rsidR="00E607B3">
        <w:rPr>
          <w:lang w:val="fr-FR"/>
        </w:rPr>
        <w:t>s efforts</w:t>
      </w:r>
      <w:r w:rsidR="001F1C54" w:rsidRPr="0010404B">
        <w:rPr>
          <w:lang w:val="fr-FR"/>
        </w:rPr>
        <w:t xml:space="preserve"> possible</w:t>
      </w:r>
      <w:r w:rsidR="00E607B3">
        <w:rPr>
          <w:lang w:val="fr-FR"/>
        </w:rPr>
        <w:t>s</w:t>
      </w:r>
      <w:r w:rsidR="001F1C54" w:rsidRPr="0010404B">
        <w:rPr>
          <w:lang w:val="fr-FR"/>
        </w:rPr>
        <w:t xml:space="preserve"> pour ratifier l’Amendement de Kigali;</w:t>
      </w:r>
    </w:p>
    <w:p w14:paraId="4E8031A1" w14:textId="38237B80" w:rsidR="001F1C54" w:rsidRPr="0010404B" w:rsidRDefault="002F1BC9" w:rsidP="0010404B">
      <w:pPr>
        <w:pStyle w:val="Heading3"/>
        <w:rPr>
          <w:lang w:val="fr-FR"/>
        </w:rPr>
      </w:pPr>
      <w:r>
        <w:rPr>
          <w:lang w:val="fr-FR"/>
        </w:rPr>
        <w:t>Le moment auquel d</w:t>
      </w:r>
      <w:r w:rsidR="001F1C54" w:rsidRPr="0010404B">
        <w:rPr>
          <w:lang w:val="fr-FR"/>
        </w:rPr>
        <w:t xml:space="preserve">es activités reliées aux plans de gestion de la </w:t>
      </w:r>
      <w:r w:rsidR="0010404B" w:rsidRPr="0010404B">
        <w:rPr>
          <w:lang w:val="fr-FR"/>
        </w:rPr>
        <w:t>réduction</w:t>
      </w:r>
      <w:r w:rsidR="001F1C54" w:rsidRPr="0010404B">
        <w:rPr>
          <w:lang w:val="fr-FR"/>
        </w:rPr>
        <w:t xml:space="preserve"> progressive des HFC pourraient être soumises</w:t>
      </w:r>
      <w:r w:rsidR="0010404B" w:rsidRPr="0010404B">
        <w:rPr>
          <w:lang w:val="fr-FR"/>
        </w:rPr>
        <w:t>; et</w:t>
      </w:r>
    </w:p>
    <w:p w14:paraId="73892AE0" w14:textId="014CC0F0" w:rsidR="0010404B" w:rsidRPr="0010404B" w:rsidRDefault="002F1BC9" w:rsidP="0010404B">
      <w:pPr>
        <w:pStyle w:val="Heading2"/>
        <w:rPr>
          <w:lang w:val="fr-FR"/>
        </w:rPr>
      </w:pPr>
      <w:r>
        <w:rPr>
          <w:lang w:val="fr-FR"/>
        </w:rPr>
        <w:t>E</w:t>
      </w:r>
      <w:r w:rsidR="0010404B" w:rsidRPr="0010404B">
        <w:rPr>
          <w:lang w:val="fr-FR"/>
        </w:rPr>
        <w:t>ndosser le plan d’activités général du Fonds multilatéral pour 2020-2022, tel qu</w:t>
      </w:r>
      <w:r>
        <w:rPr>
          <w:lang w:val="fr-FR"/>
        </w:rPr>
        <w:t>e modifié</w:t>
      </w:r>
      <w:r w:rsidR="0010404B" w:rsidRPr="0010404B">
        <w:rPr>
          <w:lang w:val="fr-FR"/>
        </w:rPr>
        <w:t xml:space="preserve"> par le Secrétariat [et le Comité exécutif]</w:t>
      </w:r>
      <w:r>
        <w:rPr>
          <w:lang w:val="fr-FR"/>
        </w:rPr>
        <w:t>,</w:t>
      </w:r>
      <w:r w:rsidR="0010404B" w:rsidRPr="0010404B">
        <w:rPr>
          <w:lang w:val="fr-FR"/>
        </w:rPr>
        <w:t xml:space="preserve"> en tenant compte des décisions pertinentes prises à la 8</w:t>
      </w:r>
      <w:r>
        <w:rPr>
          <w:lang w:val="fr-FR"/>
        </w:rPr>
        <w:t>4</w:t>
      </w:r>
      <w:r w:rsidRPr="002F1BC9">
        <w:rPr>
          <w:vertAlign w:val="superscript"/>
          <w:lang w:val="fr-FR"/>
        </w:rPr>
        <w:t>e</w:t>
      </w:r>
      <w:r>
        <w:rPr>
          <w:lang w:val="fr-FR"/>
        </w:rPr>
        <w:t xml:space="preserve"> </w:t>
      </w:r>
      <w:r w:rsidR="0010404B" w:rsidRPr="0010404B">
        <w:rPr>
          <w:lang w:val="fr-FR"/>
        </w:rPr>
        <w:t>réunion, tout en prenant note que cet endossement ne signifie pas l’a</w:t>
      </w:r>
      <w:r>
        <w:rPr>
          <w:lang w:val="fr-FR"/>
        </w:rPr>
        <w:t>pprobation des projets identifié</w:t>
      </w:r>
      <w:r w:rsidR="0010404B" w:rsidRPr="0010404B">
        <w:rPr>
          <w:lang w:val="fr-FR"/>
        </w:rPr>
        <w:t>s dans le plan, ni leurs niveaux de financement, ni les tonnages.</w:t>
      </w:r>
    </w:p>
    <w:p w14:paraId="185778DA" w14:textId="22F78A4B" w:rsidR="00441083" w:rsidRPr="0010404B" w:rsidRDefault="0010404B" w:rsidP="0010404B">
      <w:pPr>
        <w:ind w:left="1440" w:hanging="720"/>
        <w:jc w:val="center"/>
        <w:rPr>
          <w:lang w:val="fr-FR"/>
        </w:rPr>
      </w:pPr>
      <w:r w:rsidRPr="0010404B">
        <w:rPr>
          <w:lang w:val="fr-FR"/>
        </w:rPr>
        <w:t>__________________</w:t>
      </w:r>
    </w:p>
    <w:p w14:paraId="6EC40102" w14:textId="77777777" w:rsidR="00441083" w:rsidRDefault="00441083" w:rsidP="004E3A36">
      <w:pPr>
        <w:pStyle w:val="Heading1"/>
        <w:numPr>
          <w:ilvl w:val="0"/>
          <w:numId w:val="0"/>
        </w:numPr>
        <w:rPr>
          <w:lang w:val="fr-FR"/>
        </w:rPr>
      </w:pPr>
    </w:p>
    <w:p w14:paraId="7067A44E" w14:textId="77777777" w:rsidR="00441083" w:rsidRDefault="00441083">
      <w:pPr>
        <w:pStyle w:val="StyleHeader4Para4Left0Firstline0"/>
        <w:numPr>
          <w:ilvl w:val="0"/>
          <w:numId w:val="0"/>
        </w:numPr>
        <w:rPr>
          <w:lang w:val="fr-FR"/>
        </w:rPr>
      </w:pPr>
    </w:p>
    <w:p w14:paraId="48368C46" w14:textId="6982C498" w:rsidR="002C7C98" w:rsidRDefault="002C7C98">
      <w:pPr>
        <w:rPr>
          <w:lang w:val="fr-FR"/>
        </w:rPr>
      </w:pPr>
    </w:p>
    <w:p w14:paraId="7543080B" w14:textId="77777777" w:rsidR="002C7C98" w:rsidRPr="002C7C98" w:rsidRDefault="002C7C98" w:rsidP="002C7C98">
      <w:pPr>
        <w:rPr>
          <w:lang w:val="fr-FR"/>
        </w:rPr>
      </w:pPr>
    </w:p>
    <w:p w14:paraId="2088E3D0" w14:textId="77777777" w:rsidR="002C7C98" w:rsidRPr="002C7C98" w:rsidRDefault="002C7C98" w:rsidP="002C7C98">
      <w:pPr>
        <w:rPr>
          <w:lang w:val="fr-FR"/>
        </w:rPr>
      </w:pPr>
    </w:p>
    <w:p w14:paraId="794E3F95" w14:textId="77777777" w:rsidR="002C7C98" w:rsidRPr="002C7C98" w:rsidRDefault="002C7C98" w:rsidP="002C7C98">
      <w:pPr>
        <w:rPr>
          <w:lang w:val="fr-FR"/>
        </w:rPr>
      </w:pPr>
    </w:p>
    <w:p w14:paraId="359C54C4" w14:textId="77777777" w:rsidR="002C7C98" w:rsidRPr="002C7C98" w:rsidRDefault="002C7C98" w:rsidP="002C7C98">
      <w:pPr>
        <w:rPr>
          <w:lang w:val="fr-FR"/>
        </w:rPr>
      </w:pPr>
    </w:p>
    <w:p w14:paraId="6C523885" w14:textId="77777777" w:rsidR="002C7C98" w:rsidRPr="002C7C98" w:rsidRDefault="002C7C98" w:rsidP="002C7C98">
      <w:pPr>
        <w:rPr>
          <w:lang w:val="fr-FR"/>
        </w:rPr>
      </w:pPr>
    </w:p>
    <w:p w14:paraId="5CD64196" w14:textId="77777777" w:rsidR="002C7C98" w:rsidRPr="002C7C98" w:rsidRDefault="002C7C98" w:rsidP="002C7C98">
      <w:pPr>
        <w:rPr>
          <w:lang w:val="fr-FR"/>
        </w:rPr>
      </w:pPr>
    </w:p>
    <w:p w14:paraId="4B7F834B" w14:textId="77777777" w:rsidR="002C7C98" w:rsidRPr="002C7C98" w:rsidRDefault="002C7C98" w:rsidP="002C7C98">
      <w:pPr>
        <w:rPr>
          <w:lang w:val="fr-FR"/>
        </w:rPr>
      </w:pPr>
    </w:p>
    <w:p w14:paraId="2F8DA277" w14:textId="77777777" w:rsidR="002C7C98" w:rsidRPr="002C7C98" w:rsidRDefault="002C7C98" w:rsidP="002C7C98">
      <w:pPr>
        <w:rPr>
          <w:lang w:val="fr-FR"/>
        </w:rPr>
      </w:pPr>
    </w:p>
    <w:p w14:paraId="46485CDE" w14:textId="77777777" w:rsidR="002C7C98" w:rsidRPr="002C7C98" w:rsidRDefault="002C7C98" w:rsidP="002C7C98">
      <w:pPr>
        <w:rPr>
          <w:lang w:val="fr-FR"/>
        </w:rPr>
      </w:pPr>
    </w:p>
    <w:p w14:paraId="13E25A22" w14:textId="77777777" w:rsidR="002C7C98" w:rsidRPr="002C7C98" w:rsidRDefault="002C7C98" w:rsidP="002C7C98">
      <w:pPr>
        <w:rPr>
          <w:lang w:val="fr-FR"/>
        </w:rPr>
      </w:pPr>
    </w:p>
    <w:p w14:paraId="774E58E3" w14:textId="77777777" w:rsidR="002C7C98" w:rsidRPr="002C7C98" w:rsidRDefault="002C7C98" w:rsidP="002C7C98">
      <w:pPr>
        <w:rPr>
          <w:lang w:val="fr-FR"/>
        </w:rPr>
      </w:pPr>
    </w:p>
    <w:p w14:paraId="1FF50D64" w14:textId="77777777" w:rsidR="002C7C98" w:rsidRPr="002C7C98" w:rsidRDefault="002C7C98" w:rsidP="002C7C98">
      <w:pPr>
        <w:rPr>
          <w:lang w:val="fr-FR"/>
        </w:rPr>
      </w:pPr>
    </w:p>
    <w:p w14:paraId="458D9480" w14:textId="77777777" w:rsidR="002C7C98" w:rsidRPr="002C7C98" w:rsidRDefault="002C7C98" w:rsidP="002C7C98">
      <w:pPr>
        <w:rPr>
          <w:lang w:val="fr-FR"/>
        </w:rPr>
      </w:pPr>
    </w:p>
    <w:p w14:paraId="58BCDC53" w14:textId="7404E926" w:rsidR="002C7C98" w:rsidRDefault="002C7C98" w:rsidP="002C7C98">
      <w:pPr>
        <w:rPr>
          <w:lang w:val="fr-FR"/>
        </w:rPr>
      </w:pPr>
    </w:p>
    <w:p w14:paraId="67D973F1" w14:textId="77777777" w:rsidR="002C7C98" w:rsidRPr="002C7C98" w:rsidRDefault="002C7C98" w:rsidP="002C7C98">
      <w:pPr>
        <w:rPr>
          <w:lang w:val="fr-FR"/>
        </w:rPr>
      </w:pPr>
    </w:p>
    <w:p w14:paraId="7B7148EB" w14:textId="5944EC76" w:rsidR="002C7C98" w:rsidRDefault="002C7C98" w:rsidP="002C7C98">
      <w:pPr>
        <w:tabs>
          <w:tab w:val="left" w:pos="6536"/>
        </w:tabs>
        <w:rPr>
          <w:lang w:val="fr-FR"/>
        </w:rPr>
      </w:pPr>
      <w:r>
        <w:rPr>
          <w:lang w:val="fr-FR"/>
        </w:rPr>
        <w:tab/>
      </w:r>
    </w:p>
    <w:p w14:paraId="1159D7C5" w14:textId="4267AF50" w:rsidR="002C7C98" w:rsidRDefault="002C7C98" w:rsidP="002C7C98">
      <w:pPr>
        <w:rPr>
          <w:lang w:val="fr-FR"/>
        </w:rPr>
      </w:pPr>
    </w:p>
    <w:p w14:paraId="1EBD6D6D" w14:textId="77777777" w:rsidR="00441083" w:rsidRPr="002C7C98" w:rsidRDefault="00441083" w:rsidP="002C7C98">
      <w:pPr>
        <w:rPr>
          <w:lang w:val="fr-FR"/>
        </w:rPr>
        <w:sectPr w:rsidR="00441083" w:rsidRPr="002C7C98">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020DED56" w14:textId="201EDFA2" w:rsidR="00441083" w:rsidRDefault="00441083">
      <w:pPr>
        <w:rPr>
          <w:lang w:val="fr-FR"/>
        </w:rPr>
      </w:pPr>
    </w:p>
    <w:sectPr w:rsidR="00441083">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1C280" w14:textId="77777777" w:rsidR="00902A26" w:rsidRDefault="00902A26">
      <w:r>
        <w:separator/>
      </w:r>
    </w:p>
  </w:endnote>
  <w:endnote w:type="continuationSeparator" w:id="0">
    <w:p w14:paraId="3FB20F12" w14:textId="77777777" w:rsidR="00902A26" w:rsidRDefault="0090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roman"/>
    <w:notTrueType/>
    <w:pitch w:val="default"/>
  </w:font>
  <w:font w:name="MS Serif">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450F" w14:textId="2253C1E5" w:rsidR="00902A26" w:rsidRDefault="00902A26">
    <w:pPr>
      <w:jc w:val="center"/>
    </w:pPr>
    <w:r>
      <w:fldChar w:fldCharType="begin"/>
    </w:r>
    <w:r>
      <w:instrText xml:space="preserve"> PAGE </w:instrText>
    </w:r>
    <w:r>
      <w:fldChar w:fldCharType="separate"/>
    </w:r>
    <w:r w:rsidR="00044ECA">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0DCB" w14:textId="18510009" w:rsidR="00902A26" w:rsidRDefault="00902A26">
    <w:pPr>
      <w:jc w:val="center"/>
    </w:pPr>
    <w:r>
      <w:fldChar w:fldCharType="begin"/>
    </w:r>
    <w:r>
      <w:instrText xml:space="preserve"> PAGE </w:instrText>
    </w:r>
    <w:r>
      <w:fldChar w:fldCharType="separate"/>
    </w:r>
    <w:r w:rsidR="00044ECA">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8B63" w14:textId="77777777" w:rsidR="00902A26" w:rsidRDefault="00902A26">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168C2F68" w14:textId="77777777" w:rsidR="00902A26" w:rsidRDefault="00902A26">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p w14:paraId="1B03657A" w14:textId="77777777" w:rsidR="00902A26" w:rsidRDefault="00902A26">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335EFDB1" w14:textId="657C0C2A" w:rsidR="00902A26" w:rsidRDefault="00902A26">
        <w:pPr>
          <w:pStyle w:val="Footer"/>
          <w:jc w:val="center"/>
        </w:pPr>
        <w:r>
          <w:fldChar w:fldCharType="begin"/>
        </w:r>
        <w:r>
          <w:instrText xml:space="preserve"> PAGE   \* MERGEFORMAT </w:instrText>
        </w:r>
        <w:r>
          <w:fldChar w:fldCharType="separate"/>
        </w:r>
        <w:r w:rsidR="00044ECA">
          <w:rPr>
            <w:noProof/>
          </w:rPr>
          <w:t>1</w:t>
        </w:r>
        <w:r>
          <w:rPr>
            <w:noProof/>
          </w:rPr>
          <w:fldChar w:fldCharType="end"/>
        </w:r>
      </w:p>
    </w:sdtContent>
  </w:sdt>
  <w:p w14:paraId="5E37325C" w14:textId="77777777" w:rsidR="00902A26" w:rsidRDefault="00902A26">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409B0" w14:textId="77777777" w:rsidR="00902A26" w:rsidRDefault="00902A26">
      <w:r>
        <w:separator/>
      </w:r>
    </w:p>
  </w:footnote>
  <w:footnote w:type="continuationSeparator" w:id="0">
    <w:p w14:paraId="409F0562" w14:textId="77777777" w:rsidR="00902A26" w:rsidRDefault="00902A26">
      <w:r>
        <w:continuationSeparator/>
      </w:r>
    </w:p>
  </w:footnote>
  <w:footnote w:id="1">
    <w:p w14:paraId="2753800B" w14:textId="38309320" w:rsidR="00902A26" w:rsidRDefault="00902A26">
      <w:pPr>
        <w:pStyle w:val="FootnoteText"/>
        <w:rPr>
          <w:sz w:val="20"/>
          <w:szCs w:val="20"/>
          <w:lang w:val="fr-FR"/>
        </w:rPr>
      </w:pPr>
      <w:r w:rsidRPr="00666687">
        <w:rPr>
          <w:rStyle w:val="FootnoteReference"/>
          <w:sz w:val="20"/>
          <w:szCs w:val="20"/>
        </w:rPr>
        <w:footnoteRef/>
      </w:r>
      <w:r w:rsidRPr="00072AC6">
        <w:rPr>
          <w:sz w:val="20"/>
          <w:szCs w:val="20"/>
          <w:lang w:val="fr-FR"/>
        </w:rPr>
        <w:t xml:space="preserve"> </w:t>
      </w:r>
      <w:r w:rsidRPr="00666687">
        <w:rPr>
          <w:sz w:val="20"/>
          <w:szCs w:val="20"/>
          <w:lang w:val="fr-FR"/>
        </w:rPr>
        <w:t>Montréal, 9 au 11 octobre 2019.</w:t>
      </w:r>
    </w:p>
    <w:p w14:paraId="3A890D97" w14:textId="77777777" w:rsidR="007E7D30" w:rsidRPr="00666687" w:rsidRDefault="007E7D30">
      <w:pPr>
        <w:pStyle w:val="FootnoteText"/>
        <w:rPr>
          <w:sz w:val="20"/>
          <w:szCs w:val="20"/>
          <w:lang w:val="fr-FR"/>
        </w:rPr>
      </w:pPr>
    </w:p>
  </w:footnote>
  <w:footnote w:id="2">
    <w:p w14:paraId="2F413B14" w14:textId="535DE93E" w:rsidR="00902A26" w:rsidRPr="003C0E89" w:rsidRDefault="00902A26">
      <w:pPr>
        <w:pStyle w:val="FootnoteText"/>
        <w:rPr>
          <w:sz w:val="20"/>
          <w:szCs w:val="20"/>
          <w:lang w:val="fr-FR"/>
        </w:rPr>
      </w:pPr>
      <w:r w:rsidRPr="003C0E89">
        <w:rPr>
          <w:rStyle w:val="FootnoteReference"/>
          <w:sz w:val="20"/>
          <w:szCs w:val="20"/>
        </w:rPr>
        <w:footnoteRef/>
      </w:r>
      <w:r w:rsidRPr="00072AC6">
        <w:rPr>
          <w:sz w:val="20"/>
          <w:szCs w:val="20"/>
          <w:lang w:val="fr-FR"/>
        </w:rPr>
        <w:t xml:space="preserve"> UNEP/OzL.Pro/ExCom/84/27</w:t>
      </w:r>
    </w:p>
  </w:footnote>
  <w:footnote w:id="3">
    <w:p w14:paraId="78F22088" w14:textId="2D5DB4D3" w:rsidR="00902A26" w:rsidRPr="003C0E89" w:rsidRDefault="00902A26">
      <w:pPr>
        <w:pStyle w:val="FootnoteText"/>
        <w:rPr>
          <w:sz w:val="20"/>
          <w:szCs w:val="20"/>
          <w:lang w:val="fr-FR"/>
        </w:rPr>
      </w:pPr>
      <w:r w:rsidRPr="003C0E89">
        <w:rPr>
          <w:rStyle w:val="FootnoteReference"/>
          <w:sz w:val="20"/>
          <w:szCs w:val="20"/>
        </w:rPr>
        <w:footnoteRef/>
      </w:r>
      <w:r w:rsidRPr="00072AC6">
        <w:rPr>
          <w:sz w:val="20"/>
          <w:szCs w:val="20"/>
          <w:lang w:val="fr-FR"/>
        </w:rPr>
        <w:t xml:space="preserve"> </w:t>
      </w:r>
      <w:r w:rsidRPr="003C0E89">
        <w:rPr>
          <w:sz w:val="20"/>
          <w:szCs w:val="20"/>
          <w:lang w:val="fr-FR"/>
        </w:rPr>
        <w:t>UNEP/OzL.Pro/ExCom 84/28</w:t>
      </w:r>
    </w:p>
  </w:footnote>
  <w:footnote w:id="4">
    <w:p w14:paraId="6129EADF" w14:textId="77777777" w:rsidR="00902A26" w:rsidRPr="00072AC6" w:rsidRDefault="00902A26" w:rsidP="00D6532D">
      <w:pPr>
        <w:pStyle w:val="FootnoteText"/>
        <w:rPr>
          <w:sz w:val="20"/>
          <w:szCs w:val="20"/>
          <w:lang w:val="fr-FR"/>
        </w:rPr>
      </w:pPr>
      <w:r w:rsidRPr="003C0E89">
        <w:rPr>
          <w:rStyle w:val="FootnoteReference"/>
          <w:sz w:val="20"/>
          <w:szCs w:val="20"/>
        </w:rPr>
        <w:footnoteRef/>
      </w:r>
      <w:r w:rsidRPr="00072AC6">
        <w:rPr>
          <w:sz w:val="20"/>
          <w:szCs w:val="20"/>
          <w:lang w:val="fr-FR"/>
        </w:rPr>
        <w:t xml:space="preserve"> UNEP/OzL.Pro/ExCom/84/29</w:t>
      </w:r>
    </w:p>
  </w:footnote>
  <w:footnote w:id="5">
    <w:p w14:paraId="20244B20" w14:textId="77777777" w:rsidR="00902A26" w:rsidRPr="00072AC6" w:rsidRDefault="00902A26" w:rsidP="00D6532D">
      <w:pPr>
        <w:pStyle w:val="FootnoteText"/>
        <w:rPr>
          <w:sz w:val="20"/>
          <w:szCs w:val="20"/>
          <w:lang w:val="fr-FR"/>
        </w:rPr>
      </w:pPr>
      <w:r w:rsidRPr="003C0E89">
        <w:rPr>
          <w:rStyle w:val="FootnoteReference"/>
          <w:sz w:val="20"/>
          <w:szCs w:val="20"/>
        </w:rPr>
        <w:footnoteRef/>
      </w:r>
      <w:r w:rsidRPr="00072AC6">
        <w:rPr>
          <w:sz w:val="20"/>
          <w:szCs w:val="20"/>
          <w:lang w:val="fr-FR"/>
        </w:rPr>
        <w:t xml:space="preserve"> UNEP/OzL.Pro/ExCom/84/30</w:t>
      </w:r>
    </w:p>
  </w:footnote>
  <w:footnote w:id="6">
    <w:p w14:paraId="2B62C37F" w14:textId="77777777" w:rsidR="00902A26" w:rsidRPr="00072AC6" w:rsidRDefault="00902A26" w:rsidP="00D6532D">
      <w:pPr>
        <w:pStyle w:val="FootnoteText"/>
        <w:rPr>
          <w:lang w:val="fr-FR"/>
        </w:rPr>
      </w:pPr>
      <w:r w:rsidRPr="003C0E89">
        <w:rPr>
          <w:rStyle w:val="FootnoteReference"/>
          <w:sz w:val="20"/>
          <w:szCs w:val="20"/>
        </w:rPr>
        <w:footnoteRef/>
      </w:r>
      <w:r w:rsidRPr="00072AC6">
        <w:rPr>
          <w:sz w:val="20"/>
          <w:szCs w:val="20"/>
          <w:lang w:val="fr-FR"/>
        </w:rPr>
        <w:t xml:space="preserve"> UNEP/OzL.Pro/ExCom/84/31</w:t>
      </w:r>
    </w:p>
  </w:footnote>
  <w:footnote w:id="7">
    <w:p w14:paraId="12C367F7" w14:textId="14DBF5AD" w:rsidR="00902A26" w:rsidRPr="009F3E5A" w:rsidRDefault="00902A26">
      <w:pPr>
        <w:pStyle w:val="FootnoteText"/>
        <w:rPr>
          <w:sz w:val="20"/>
          <w:szCs w:val="20"/>
          <w:lang w:val="fr-FR"/>
        </w:rPr>
      </w:pPr>
      <w:r w:rsidRPr="009F3E5A">
        <w:rPr>
          <w:rStyle w:val="FootnoteReference"/>
          <w:sz w:val="20"/>
          <w:szCs w:val="20"/>
        </w:rPr>
        <w:footnoteRef/>
      </w:r>
      <w:r w:rsidRPr="00072AC6">
        <w:rPr>
          <w:sz w:val="20"/>
          <w:szCs w:val="20"/>
          <w:lang w:val="fr-FR"/>
        </w:rPr>
        <w:t xml:space="preserve"> </w:t>
      </w:r>
      <w:r w:rsidRPr="009F3E5A">
        <w:rPr>
          <w:sz w:val="20"/>
          <w:szCs w:val="20"/>
          <w:lang w:val="fr-FR"/>
        </w:rPr>
        <w:t>Décision 81/71(b) et (c).</w:t>
      </w:r>
    </w:p>
  </w:footnote>
  <w:footnote w:id="8">
    <w:p w14:paraId="4284ADE7" w14:textId="73875B2F" w:rsidR="00902A26" w:rsidRPr="00BE04D8" w:rsidRDefault="00902A26">
      <w:pPr>
        <w:pStyle w:val="FootnoteText"/>
        <w:rPr>
          <w:sz w:val="20"/>
          <w:szCs w:val="20"/>
          <w:lang w:val="fr-FR"/>
        </w:rPr>
      </w:pPr>
      <w:r w:rsidRPr="00BE04D8">
        <w:rPr>
          <w:rStyle w:val="FootnoteReference"/>
          <w:sz w:val="20"/>
          <w:szCs w:val="20"/>
        </w:rPr>
        <w:footnoteRef/>
      </w:r>
      <w:r w:rsidRPr="00072AC6">
        <w:rPr>
          <w:sz w:val="20"/>
          <w:szCs w:val="20"/>
          <w:lang w:val="fr-FR"/>
        </w:rPr>
        <w:t xml:space="preserve"> </w:t>
      </w:r>
      <w:r w:rsidRPr="00BE04D8">
        <w:rPr>
          <w:sz w:val="20"/>
          <w:szCs w:val="20"/>
          <w:lang w:val="fr-FR"/>
        </w:rPr>
        <w:t>385 millions $US</w:t>
      </w:r>
      <w:r>
        <w:rPr>
          <w:sz w:val="20"/>
          <w:szCs w:val="20"/>
          <w:lang w:val="fr-FR"/>
        </w:rPr>
        <w:t>, plus des</w:t>
      </w:r>
      <w:r w:rsidRPr="00BE04D8">
        <w:rPr>
          <w:sz w:val="20"/>
          <w:szCs w:val="20"/>
          <w:lang w:val="fr-FR"/>
        </w:rPr>
        <w:t xml:space="preserve"> coûts d’appui d’agence de 21,56 millions $US (</w:t>
      </w:r>
      <w:r>
        <w:rPr>
          <w:sz w:val="20"/>
          <w:szCs w:val="20"/>
          <w:lang w:val="fr-FR"/>
        </w:rPr>
        <w:t>calculés au taux de</w:t>
      </w:r>
      <w:r w:rsidRPr="00BE04D8">
        <w:rPr>
          <w:sz w:val="20"/>
          <w:szCs w:val="20"/>
          <w:lang w:val="fr-FR"/>
        </w:rPr>
        <w:t xml:space="preserve"> 5,6 pour cent du coût du projet).</w:t>
      </w:r>
    </w:p>
  </w:footnote>
  <w:footnote w:id="9">
    <w:p w14:paraId="3CA31CF6" w14:textId="39BD12FB" w:rsidR="00902A26" w:rsidRPr="00BE04D8" w:rsidRDefault="00902A26">
      <w:pPr>
        <w:pStyle w:val="FootnoteText"/>
        <w:rPr>
          <w:sz w:val="20"/>
          <w:szCs w:val="20"/>
          <w:lang w:val="fr-FR"/>
        </w:rPr>
      </w:pPr>
      <w:r w:rsidRPr="00BE04D8">
        <w:rPr>
          <w:rStyle w:val="FootnoteReference"/>
          <w:sz w:val="20"/>
          <w:szCs w:val="20"/>
        </w:rPr>
        <w:footnoteRef/>
      </w:r>
      <w:r w:rsidRPr="00072AC6">
        <w:rPr>
          <w:sz w:val="20"/>
          <w:szCs w:val="20"/>
          <w:lang w:val="fr-FR"/>
        </w:rPr>
        <w:t xml:space="preserve"> </w:t>
      </w:r>
      <w:r w:rsidRPr="00BE04D8">
        <w:rPr>
          <w:sz w:val="20"/>
          <w:szCs w:val="20"/>
          <w:lang w:val="fr-FR"/>
        </w:rPr>
        <w:t>À la 62</w:t>
      </w:r>
      <w:r w:rsidRPr="00BE04D8">
        <w:rPr>
          <w:sz w:val="20"/>
          <w:szCs w:val="20"/>
          <w:vertAlign w:val="superscript"/>
          <w:lang w:val="fr-FR"/>
        </w:rPr>
        <w:t>e</w:t>
      </w:r>
      <w:r w:rsidRPr="00BE04D8">
        <w:rPr>
          <w:sz w:val="20"/>
          <w:szCs w:val="20"/>
          <w:lang w:val="fr-FR"/>
        </w:rPr>
        <w:t xml:space="preserve"> réunion, un financement a été approuvé pour l’élimination de </w:t>
      </w:r>
      <w:r>
        <w:rPr>
          <w:sz w:val="20"/>
          <w:szCs w:val="20"/>
          <w:lang w:val="fr-FR"/>
        </w:rPr>
        <w:t>12,9 tonnes PAO de HCFC dans le secteur</w:t>
      </w:r>
      <w:r w:rsidRPr="00BE04D8">
        <w:rPr>
          <w:sz w:val="20"/>
          <w:szCs w:val="20"/>
          <w:lang w:val="fr-FR"/>
        </w:rPr>
        <w:t xml:space="preserve"> de la réfrigération et de la climatisation </w:t>
      </w:r>
      <w:r>
        <w:rPr>
          <w:sz w:val="20"/>
          <w:szCs w:val="20"/>
          <w:lang w:val="fr-FR"/>
        </w:rPr>
        <w:t xml:space="preserve">à titre de </w:t>
      </w:r>
      <w:r w:rsidRPr="00BE04D8">
        <w:rPr>
          <w:sz w:val="20"/>
          <w:szCs w:val="20"/>
          <w:lang w:val="fr-FR"/>
        </w:rPr>
        <w:t>projet indépendant, en dehors de son PGEH, représentant 9,6 pour cent de la valeur de référence de 135,0 tonnes PAO.</w:t>
      </w:r>
    </w:p>
  </w:footnote>
  <w:footnote w:id="10">
    <w:p w14:paraId="49F20620" w14:textId="4BB636A2" w:rsidR="00902A26" w:rsidRPr="00325552" w:rsidRDefault="00902A26">
      <w:pPr>
        <w:pStyle w:val="FootnoteText"/>
        <w:rPr>
          <w:sz w:val="20"/>
          <w:szCs w:val="20"/>
          <w:lang w:val="fr-FR"/>
        </w:rPr>
      </w:pPr>
      <w:r w:rsidRPr="00325552">
        <w:rPr>
          <w:rStyle w:val="FootnoteReference"/>
          <w:sz w:val="20"/>
          <w:szCs w:val="20"/>
        </w:rPr>
        <w:footnoteRef/>
      </w:r>
      <w:r w:rsidRPr="00072AC6">
        <w:rPr>
          <w:sz w:val="20"/>
          <w:szCs w:val="20"/>
          <w:lang w:val="fr-FR"/>
        </w:rPr>
        <w:t xml:space="preserve"> La décision 61/46(c) exige des rapports de vérification pour un échantillon de 20 pour cent des PFV ayant des PGEH approuvés.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C908" w14:textId="2A9F65CF" w:rsidR="00902A26" w:rsidRDefault="00044ECA">
    <w:r>
      <w:fldChar w:fldCharType="begin"/>
    </w:r>
    <w:r>
      <w:instrText xml:space="preserve"> DOCPROPERTY "Document number"  \* MERGEFORMAT </w:instrText>
    </w:r>
    <w:r>
      <w:fldChar w:fldCharType="separate"/>
    </w:r>
    <w:r w:rsidR="00072AC6">
      <w:t>UNEP/OzL.Pro/ExCom/84/26</w:t>
    </w:r>
    <w:r>
      <w:fldChar w:fldCharType="end"/>
    </w:r>
  </w:p>
  <w:p w14:paraId="5C971A6F" w14:textId="77777777" w:rsidR="00902A26" w:rsidRDefault="00902A26"/>
  <w:p w14:paraId="2BDE0F0F" w14:textId="77777777" w:rsidR="00902A26" w:rsidRDefault="00902A2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23DA" w14:textId="53A09486" w:rsidR="00902A26" w:rsidRDefault="00044ECA">
    <w:pPr>
      <w:jc w:val="right"/>
    </w:pPr>
    <w:r>
      <w:fldChar w:fldCharType="begin"/>
    </w:r>
    <w:r>
      <w:instrText xml:space="preserve"> DOCPROPERTY "Document number"  \* MERGEFORMAT </w:instrText>
    </w:r>
    <w:r>
      <w:fldChar w:fldCharType="separate"/>
    </w:r>
    <w:r w:rsidR="00072AC6">
      <w:t>UNEP/OzL.Pro/ExCom/84/26</w:t>
    </w:r>
    <w:r>
      <w:fldChar w:fldCharType="end"/>
    </w:r>
  </w:p>
  <w:p w14:paraId="000F3B71" w14:textId="77777777" w:rsidR="00902A26" w:rsidRDefault="00902A26"/>
  <w:p w14:paraId="63680370" w14:textId="77777777" w:rsidR="00902A26" w:rsidRDefault="00902A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21D5" w14:textId="77777777" w:rsidR="00902A26" w:rsidRDefault="00902A26">
    <w:pPr>
      <w:jc w:val="right"/>
    </w:pPr>
  </w:p>
  <w:p w14:paraId="10B8A8F8" w14:textId="77777777" w:rsidR="00902A26" w:rsidRDefault="00902A2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671EBE"/>
    <w:multiLevelType w:val="hybridMultilevel"/>
    <w:tmpl w:val="31560D5A"/>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A4E4C86"/>
    <w:multiLevelType w:val="hybridMultilevel"/>
    <w:tmpl w:val="E9BEA3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7"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7F547DBD"/>
    <w:multiLevelType w:val="hybridMultilevel"/>
    <w:tmpl w:val="44F036A0"/>
    <w:lvl w:ilvl="0" w:tplc="D8C0FD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8"/>
  </w:num>
  <w:num w:numId="19">
    <w:abstractNumId w:val="19"/>
  </w:num>
  <w:num w:numId="20">
    <w:abstractNumId w:val="16"/>
  </w:num>
  <w:num w:numId="21">
    <w:abstractNumId w:val="11"/>
  </w:num>
  <w:num w:numId="22">
    <w:abstractNumId w:val="13"/>
  </w:num>
  <w:num w:numId="23">
    <w:abstractNumId w:val="14"/>
  </w:num>
  <w:num w:numId="24">
    <w:abstractNumId w:val="12"/>
  </w:num>
  <w:num w:numId="25">
    <w:abstractNumId w:val="10"/>
    <w:lvlOverride w:ilvl="0">
      <w:startOverride w:val="21"/>
    </w:lvlOverride>
  </w:num>
  <w:num w:numId="2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11"/>
    <w:rsid w:val="00044ECA"/>
    <w:rsid w:val="00072AC6"/>
    <w:rsid w:val="000741A2"/>
    <w:rsid w:val="000B7938"/>
    <w:rsid w:val="000F6C8E"/>
    <w:rsid w:val="0010404B"/>
    <w:rsid w:val="001432C9"/>
    <w:rsid w:val="00172A63"/>
    <w:rsid w:val="001762FB"/>
    <w:rsid w:val="001A2B59"/>
    <w:rsid w:val="001C3D0C"/>
    <w:rsid w:val="001D4CE7"/>
    <w:rsid w:val="001F1C54"/>
    <w:rsid w:val="0025725A"/>
    <w:rsid w:val="00265AF0"/>
    <w:rsid w:val="002C7C98"/>
    <w:rsid w:val="002D6645"/>
    <w:rsid w:val="002E0963"/>
    <w:rsid w:val="002F0B57"/>
    <w:rsid w:val="002F1BC9"/>
    <w:rsid w:val="00325552"/>
    <w:rsid w:val="003314BC"/>
    <w:rsid w:val="00374258"/>
    <w:rsid w:val="00386469"/>
    <w:rsid w:val="00393C75"/>
    <w:rsid w:val="003A0CA4"/>
    <w:rsid w:val="003C0E89"/>
    <w:rsid w:val="003C14A4"/>
    <w:rsid w:val="003E3289"/>
    <w:rsid w:val="00410FA9"/>
    <w:rsid w:val="00436A1B"/>
    <w:rsid w:val="00441083"/>
    <w:rsid w:val="004713DE"/>
    <w:rsid w:val="004901BB"/>
    <w:rsid w:val="004A2759"/>
    <w:rsid w:val="004C2C87"/>
    <w:rsid w:val="004E3A36"/>
    <w:rsid w:val="00516DEE"/>
    <w:rsid w:val="00573A11"/>
    <w:rsid w:val="005B3CAD"/>
    <w:rsid w:val="005C278F"/>
    <w:rsid w:val="005D5B55"/>
    <w:rsid w:val="005E727B"/>
    <w:rsid w:val="00605093"/>
    <w:rsid w:val="006271CF"/>
    <w:rsid w:val="0063090F"/>
    <w:rsid w:val="00666687"/>
    <w:rsid w:val="006819ED"/>
    <w:rsid w:val="007034FA"/>
    <w:rsid w:val="00712577"/>
    <w:rsid w:val="00756F4B"/>
    <w:rsid w:val="0075750B"/>
    <w:rsid w:val="00757598"/>
    <w:rsid w:val="00777B8E"/>
    <w:rsid w:val="007E7D30"/>
    <w:rsid w:val="00832E12"/>
    <w:rsid w:val="008369B7"/>
    <w:rsid w:val="00864CD0"/>
    <w:rsid w:val="008916F0"/>
    <w:rsid w:val="008D2F90"/>
    <w:rsid w:val="008D53E9"/>
    <w:rsid w:val="008E39E0"/>
    <w:rsid w:val="00902A26"/>
    <w:rsid w:val="0091161A"/>
    <w:rsid w:val="00972E99"/>
    <w:rsid w:val="009A5180"/>
    <w:rsid w:val="009B5FC0"/>
    <w:rsid w:val="009E3134"/>
    <w:rsid w:val="009F3E5A"/>
    <w:rsid w:val="00A026C9"/>
    <w:rsid w:val="00A54DD0"/>
    <w:rsid w:val="00AC013C"/>
    <w:rsid w:val="00AC05CC"/>
    <w:rsid w:val="00AE63D8"/>
    <w:rsid w:val="00AE75A8"/>
    <w:rsid w:val="00B811F2"/>
    <w:rsid w:val="00BC3C7D"/>
    <w:rsid w:val="00BE04D8"/>
    <w:rsid w:val="00BF4E89"/>
    <w:rsid w:val="00C20677"/>
    <w:rsid w:val="00C43825"/>
    <w:rsid w:val="00C6443E"/>
    <w:rsid w:val="00C7598A"/>
    <w:rsid w:val="00C76B85"/>
    <w:rsid w:val="00CA357E"/>
    <w:rsid w:val="00CA4F11"/>
    <w:rsid w:val="00CC3BD4"/>
    <w:rsid w:val="00CC6DE0"/>
    <w:rsid w:val="00CF0A85"/>
    <w:rsid w:val="00CF4F7E"/>
    <w:rsid w:val="00D27932"/>
    <w:rsid w:val="00D37692"/>
    <w:rsid w:val="00D6532D"/>
    <w:rsid w:val="00D65FF4"/>
    <w:rsid w:val="00D7654A"/>
    <w:rsid w:val="00D81678"/>
    <w:rsid w:val="00D83BE3"/>
    <w:rsid w:val="00DB4E64"/>
    <w:rsid w:val="00DD3433"/>
    <w:rsid w:val="00DE7C12"/>
    <w:rsid w:val="00E348C6"/>
    <w:rsid w:val="00E529D5"/>
    <w:rsid w:val="00E54871"/>
    <w:rsid w:val="00E607B3"/>
    <w:rsid w:val="00E60D9C"/>
    <w:rsid w:val="00E916F2"/>
    <w:rsid w:val="00E91DB9"/>
    <w:rsid w:val="00EB2067"/>
    <w:rsid w:val="00EC2947"/>
    <w:rsid w:val="00EC6737"/>
    <w:rsid w:val="00F34592"/>
    <w:rsid w:val="00F37A42"/>
    <w:rsid w:val="00F44EDC"/>
    <w:rsid w:val="00F5155A"/>
    <w:rsid w:val="00F557F5"/>
    <w:rsid w:val="00F733C9"/>
    <w:rsid w:val="00F742ED"/>
    <w:rsid w:val="00F86CA7"/>
    <w:rsid w:val="00FC0D87"/>
    <w:rsid w:val="00FC5578"/>
    <w:rsid w:val="00FC723D"/>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4C0EB"/>
  <w15:docId w15:val="{AAF1DA66-B0C2-4DE5-933E-05DAA35D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2,Heading 3 Char Char1 Char,Heading 3 Char1 Char,Heading 3 Char Char Char,Char Char Char Char,Char Char1 Char,Char Char2,Char Char Char1"/>
    <w:basedOn w:val="Normal"/>
    <w:next w:val="Normal"/>
    <w:qFormat/>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ListParagraph">
    <w:name w:val="List Paragraph"/>
    <w:basedOn w:val="Normal"/>
    <w:uiPriority w:val="34"/>
    <w:qFormat/>
    <w:rsid w:val="00EC2947"/>
    <w:pPr>
      <w:ind w:left="720"/>
      <w:contextualSpacing/>
    </w:pPr>
  </w:style>
  <w:style w:type="paragraph" w:styleId="FootnoteText">
    <w:name w:val="footnote text"/>
    <w:aliases w:val=" Char1, Char1 Char Char,Fußnotentextf"/>
    <w:basedOn w:val="Normal"/>
    <w:link w:val="FootnoteTextChar"/>
    <w:unhideWhenUsed/>
    <w:qFormat/>
    <w:rsid w:val="00666687"/>
    <w:rPr>
      <w:sz w:val="24"/>
      <w:szCs w:val="24"/>
    </w:rPr>
  </w:style>
  <w:style w:type="character" w:customStyle="1" w:styleId="FootnoteTextChar">
    <w:name w:val="Footnote Text Char"/>
    <w:aliases w:val=" Char1 Char, Char1 Char Char Char,Fußnotentextf Char"/>
    <w:basedOn w:val="DefaultParagraphFont"/>
    <w:link w:val="FootnoteText"/>
    <w:rsid w:val="00666687"/>
    <w:rPr>
      <w:sz w:val="24"/>
      <w:szCs w:val="24"/>
      <w:lang w:val="en-GB"/>
    </w:rPr>
  </w:style>
  <w:style w:type="character" w:styleId="FootnoteReference">
    <w:name w:val="footnote reference"/>
    <w:aliases w:val="16 Point,Superscript 6 Point,Footnote text,Footnote Text1,Footnote Text2"/>
    <w:basedOn w:val="DefaultParagraphFont"/>
    <w:unhideWhenUsed/>
    <w:rsid w:val="006666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UNEP/OzL.Pro/ExCom/84/26</Document_x0020_Number>
  </documentManagement>
</p:properties>
</file>

<file path=customXml/itemProps1.xml><?xml version="1.0" encoding="utf-8"?>
<ds:datastoreItem xmlns:ds="http://schemas.openxmlformats.org/officeDocument/2006/customXml" ds:itemID="{CB584BFB-FD1D-4990-9489-C4DFA9F3AE88}"/>
</file>

<file path=customXml/itemProps2.xml><?xml version="1.0" encoding="utf-8"?>
<ds:datastoreItem xmlns:ds="http://schemas.openxmlformats.org/officeDocument/2006/customXml" ds:itemID="{71A1558E-6DDA-4BEB-B271-221CE68513DA}"/>
</file>

<file path=customXml/itemProps3.xml><?xml version="1.0" encoding="utf-8"?>
<ds:datastoreItem xmlns:ds="http://schemas.openxmlformats.org/officeDocument/2006/customXml" ds:itemID="{21D7A066-AA97-400D-B62C-26BF64D66582}"/>
</file>

<file path=customXml/itemProps4.xml><?xml version="1.0" encoding="utf-8"?>
<ds:datastoreItem xmlns:ds="http://schemas.openxmlformats.org/officeDocument/2006/customXml" ds:itemID="{F9318FA3-3A9E-4779-838A-CDFB48DCD8EB}"/>
</file>

<file path=docProps/app.xml><?xml version="1.0" encoding="utf-8"?>
<Properties xmlns="http://schemas.openxmlformats.org/officeDocument/2006/extended-properties" xmlns:vt="http://schemas.openxmlformats.org/officeDocument/2006/docPropsVTypes">
  <Template>normal</Template>
  <TotalTime>16</TotalTime>
  <Pages>11</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Plan d’activités général du Fonds multilateral pour la période 2020-2022</vt:lpstr>
    </vt:vector>
  </TitlesOfParts>
  <Company>UNMFS</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d’activités général du Fonds multilateral pour la période 2020-2022</dc:title>
  <dc:creator>Microsoft Office User</dc:creator>
  <cp:lastModifiedBy>HBE</cp:lastModifiedBy>
  <cp:revision>16</cp:revision>
  <cp:lastPrinted>2019-11-22T15:18:00Z</cp:lastPrinted>
  <dcterms:created xsi:type="dcterms:W3CDTF">2019-11-25T14:08:00Z</dcterms:created>
  <dcterms:modified xsi:type="dcterms:W3CDTF">2019-11-30T00:26:00Z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UNEP/OzL.Pro/ExCom/84/26</vt:lpwstr>
  </property>
  <property fmtid="{D5CDD505-2E9C-101B-9397-08002B2CF9AE}" pid="3" name="Revision date">
    <vt:lpwstr>11/20/2019</vt:lpwstr>
  </property>
  <property fmtid="{D5CDD505-2E9C-101B-9397-08002B2CF9AE}" pid="4" name="ContentTypeId">
    <vt:lpwstr>0x010100109683CADC4F284EA5F0B82357B5BF3A</vt:lpwstr>
  </property>
</Properties>
</file>