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 w:rsidRPr="00CB5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C6443E">
            <w:pPr>
              <w:spacing w:before="12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75D1E401" wp14:editId="1024F88C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244C4231" wp14:editId="1C9406B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:rsidR="00441083" w:rsidRDefault="00E60D9C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rPr>
                <w:lang w:val="fr-FR"/>
              </w:rPr>
            </w:pPr>
          </w:p>
          <w:p w:rsidR="00441083" w:rsidRPr="00DD3433" w:rsidRDefault="00E60D9C">
            <w:pPr>
              <w:rPr>
                <w:lang w:val="fr-FR"/>
              </w:rPr>
            </w:pPr>
            <w:r w:rsidRPr="00DD3433">
              <w:rPr>
                <w:lang w:val="fr-FR"/>
              </w:rPr>
              <w:t>Distr.</w:t>
            </w:r>
          </w:p>
          <w:p w:rsidR="00441083" w:rsidRPr="00DD3433" w:rsidRDefault="00E60D9C" w:rsidP="00DD3433">
            <w:pPr>
              <w:rPr>
                <w:lang w:val="fr-FR"/>
              </w:rPr>
            </w:pPr>
            <w:r w:rsidRPr="00DD3433">
              <w:rPr>
                <w:lang w:val="fr-FR"/>
              </w:rPr>
              <w:t>G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N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RAL</w:t>
            </w:r>
            <w:r w:rsidR="00FF3CF1" w:rsidRPr="00DD3433">
              <w:rPr>
                <w:lang w:val="fr-FR"/>
              </w:rPr>
              <w:t>E</w:t>
            </w:r>
          </w:p>
          <w:p w:rsidR="00441083" w:rsidRPr="00DD3433" w:rsidRDefault="00441083">
            <w:pPr>
              <w:rPr>
                <w:lang w:val="fr-FR"/>
              </w:rPr>
            </w:pPr>
          </w:p>
          <w:p w:rsidR="00441083" w:rsidRPr="00A16163" w:rsidRDefault="00E60D9C">
            <w:pPr>
              <w:rPr>
                <w:lang w:val="pt-BR"/>
              </w:rPr>
            </w:pPr>
            <w:r>
              <w:fldChar w:fldCharType="begin"/>
            </w:r>
            <w:r w:rsidRPr="00A16163">
              <w:rPr>
                <w:lang w:val="pt-BR"/>
              </w:rPr>
              <w:instrText xml:space="preserve"> DOCPROPERTY "Document number"  \* MERGEFORMAT </w:instrText>
            </w:r>
            <w:r>
              <w:fldChar w:fldCharType="separate"/>
            </w:r>
            <w:r w:rsidR="00350287">
              <w:rPr>
                <w:lang w:val="pt-BR"/>
              </w:rPr>
              <w:t>UNEP/OzL.Pro/ExCom/84/18</w:t>
            </w:r>
            <w:r>
              <w:fldChar w:fldCharType="end"/>
            </w:r>
          </w:p>
          <w:p w:rsidR="002F0B57" w:rsidRPr="00A16163" w:rsidRDefault="002F0B57" w:rsidP="000F6C8E">
            <w:pPr>
              <w:rPr>
                <w:lang w:val="pt-BR"/>
              </w:rPr>
            </w:pPr>
            <w:r>
              <w:fldChar w:fldCharType="begin"/>
            </w:r>
            <w:r w:rsidRPr="00A16163">
              <w:rPr>
                <w:lang w:val="pt-B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5737C1">
              <w:rPr>
                <w:lang w:val="pt-BR"/>
              </w:rPr>
              <w:t>19 novembre 2019</w:t>
            </w:r>
            <w:r>
              <w:fldChar w:fldCharType="end"/>
            </w:r>
          </w:p>
          <w:p w:rsidR="00441083" w:rsidRDefault="00FC5578">
            <w:pPr>
              <w:rPr>
                <w:caps/>
                <w:lang w:val="fr-FR"/>
              </w:rPr>
            </w:pPr>
            <w:r w:rsidRPr="00A16163">
              <w:rPr>
                <w:caps/>
                <w:lang w:val="pt-B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:rsidR="00441083" w:rsidRPr="00CB5C08" w:rsidRDefault="00E60D9C">
            <w:pPr>
              <w:rPr>
                <w:lang w:val="fr-CA"/>
              </w:rPr>
            </w:pPr>
            <w:r w:rsidRPr="00CB5C08">
              <w:rPr>
                <w:lang w:val="fr-CA"/>
              </w:rPr>
              <w:t>ORIGINAL</w:t>
            </w:r>
            <w:r w:rsidR="001152EB">
              <w:rPr>
                <w:lang w:val="fr-CA"/>
              </w:rPr>
              <w:t>:</w:t>
            </w:r>
            <w:r w:rsidRPr="00CB5C08">
              <w:rPr>
                <w:lang w:val="fr-CA"/>
              </w:rPr>
              <w:t xml:space="preserve"> </w:t>
            </w:r>
            <w:r w:rsidR="0091161A" w:rsidRPr="00CB5C08">
              <w:rPr>
                <w:lang w:val="fr-CA"/>
              </w:rPr>
              <w:t>ANGLAIS</w:t>
            </w:r>
          </w:p>
        </w:tc>
      </w:tr>
    </w:tbl>
    <w:p w:rsidR="00441083" w:rsidRDefault="00441083">
      <w:pPr>
        <w:jc w:val="left"/>
        <w:rPr>
          <w:lang w:val="fr-CA"/>
        </w:rPr>
      </w:pPr>
    </w:p>
    <w:p w:rsidR="00441083" w:rsidRDefault="00E60D9C" w:rsidP="00DD3433">
      <w:pPr>
        <w:jc w:val="left"/>
        <w:rPr>
          <w:lang w:val="fr-CA"/>
        </w:rPr>
      </w:pPr>
      <w:r>
        <w:rPr>
          <w:lang w:val="fr-CA"/>
        </w:rPr>
        <w:t>COMIT</w:t>
      </w:r>
      <w:r w:rsidR="00DD3433">
        <w:rPr>
          <w:lang w:val="fr-CA"/>
        </w:rPr>
        <w:t>É</w:t>
      </w:r>
      <w:r>
        <w:rPr>
          <w:lang w:val="fr-CA"/>
        </w:rPr>
        <w:t xml:space="preserve"> EX</w:t>
      </w:r>
      <w:r w:rsidR="00DD3433">
        <w:rPr>
          <w:lang w:val="fr-CA"/>
        </w:rPr>
        <w:t xml:space="preserve">ÉCUTIF </w:t>
      </w:r>
      <w:r w:rsidR="00DD3433">
        <w:rPr>
          <w:lang w:val="fr-CA"/>
        </w:rPr>
        <w:br/>
        <w:t xml:space="preserve">  DU FONDS MULTILATÉ</w:t>
      </w:r>
      <w:r>
        <w:rPr>
          <w:lang w:val="fr-CA"/>
        </w:rPr>
        <w:t xml:space="preserve">RAL AUX FINS </w:t>
      </w:r>
      <w:r>
        <w:rPr>
          <w:lang w:val="fr-CA"/>
        </w:rPr>
        <w:br/>
        <w:t xml:space="preserve">  D’APPLICATION DU PROTOCOLE DE MONTR</w:t>
      </w:r>
      <w:r w:rsidR="00DD3433">
        <w:rPr>
          <w:lang w:val="fr-CA"/>
        </w:rPr>
        <w:t>É</w:t>
      </w:r>
      <w:r>
        <w:rPr>
          <w:lang w:val="fr-CA"/>
        </w:rPr>
        <w:t>AL</w:t>
      </w:r>
      <w:r>
        <w:rPr>
          <w:lang w:val="fr-CA"/>
        </w:rPr>
        <w:br/>
      </w:r>
      <w:r w:rsidR="00E54871">
        <w:rPr>
          <w:lang w:val="fr-CA"/>
        </w:rPr>
        <w:t>Quatre</w:t>
      </w:r>
      <w:r>
        <w:rPr>
          <w:lang w:val="fr-CA"/>
        </w:rPr>
        <w:t>-</w:t>
      </w:r>
      <w:r w:rsidR="00E54871">
        <w:rPr>
          <w:lang w:val="fr-CA"/>
        </w:rPr>
        <w:t>vingt</w:t>
      </w:r>
      <w:r w:rsidR="00AE63D8">
        <w:rPr>
          <w:lang w:val="fr-CA"/>
        </w:rPr>
        <w:t>-</w:t>
      </w:r>
      <w:r w:rsidR="00AC013C">
        <w:rPr>
          <w:lang w:val="fr-CA"/>
        </w:rPr>
        <w:t>quat</w:t>
      </w:r>
      <w:r w:rsidR="004C2C87">
        <w:rPr>
          <w:lang w:val="fr-CA"/>
        </w:rPr>
        <w:t>ri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:rsidR="00441083" w:rsidRPr="00FB3F7F" w:rsidRDefault="00E54871" w:rsidP="00AC013C">
      <w:pPr>
        <w:jc w:val="left"/>
        <w:rPr>
          <w:lang w:val="fr-CA"/>
        </w:rPr>
      </w:pPr>
      <w:r w:rsidRPr="00FB3F7F">
        <w:rPr>
          <w:lang w:val="fr-CA"/>
        </w:rPr>
        <w:t>Montréal,</w:t>
      </w:r>
      <w:r w:rsidR="00FC5578" w:rsidRPr="00FB3F7F">
        <w:rPr>
          <w:lang w:val="fr-CA"/>
        </w:rPr>
        <w:t xml:space="preserve"> </w:t>
      </w:r>
      <w:r w:rsidR="00AC013C" w:rsidRPr="00FB3F7F">
        <w:rPr>
          <w:lang w:val="fr-CA"/>
        </w:rPr>
        <w:t xml:space="preserve">16 </w:t>
      </w:r>
      <w:r w:rsidR="00E60D9C" w:rsidRPr="00FB3F7F">
        <w:rPr>
          <w:lang w:val="fr-CA"/>
        </w:rPr>
        <w:t xml:space="preserve">– </w:t>
      </w:r>
      <w:r w:rsidR="00AC013C" w:rsidRPr="00FB3F7F">
        <w:rPr>
          <w:lang w:val="fr-CA"/>
        </w:rPr>
        <w:t>20</w:t>
      </w:r>
      <w:r w:rsidR="00CB5C08" w:rsidRPr="00FB3F7F">
        <w:rPr>
          <w:lang w:val="fr-CA"/>
        </w:rPr>
        <w:t> </w:t>
      </w:r>
      <w:r w:rsidR="00AC013C" w:rsidRPr="00FB3F7F">
        <w:rPr>
          <w:lang w:val="fr-CA"/>
        </w:rPr>
        <w:t>décembre</w:t>
      </w:r>
      <w:r w:rsidR="00CB5C08" w:rsidRPr="00FB3F7F">
        <w:rPr>
          <w:lang w:val="fr-CA"/>
        </w:rPr>
        <w:t> </w:t>
      </w:r>
      <w:r w:rsidR="004C2C87" w:rsidRPr="00FB3F7F">
        <w:rPr>
          <w:lang w:val="fr-CA"/>
        </w:rPr>
        <w:t>2019</w:t>
      </w:r>
    </w:p>
    <w:p w:rsidR="00441083" w:rsidRPr="00FB3F7F" w:rsidRDefault="00441083">
      <w:pPr>
        <w:jc w:val="left"/>
        <w:rPr>
          <w:lang w:val="fr-CA"/>
        </w:rPr>
      </w:pPr>
    </w:p>
    <w:p w:rsidR="00441083" w:rsidRPr="00FB3F7F" w:rsidRDefault="00441083">
      <w:pPr>
        <w:pStyle w:val="Title1"/>
        <w:rPr>
          <w:lang w:val="fr-CA"/>
        </w:rPr>
      </w:pPr>
    </w:p>
    <w:p w:rsidR="00441083" w:rsidRPr="00FB3F7F" w:rsidRDefault="00441083">
      <w:pPr>
        <w:pStyle w:val="Title1"/>
        <w:rPr>
          <w:lang w:val="fr-CA"/>
        </w:rPr>
      </w:pPr>
    </w:p>
    <w:p w:rsidR="00A54F2A" w:rsidRDefault="00F73BE6" w:rsidP="00BA5619">
      <w:pPr>
        <w:jc w:val="center"/>
        <w:rPr>
          <w:b/>
          <w:bCs/>
          <w:noProof/>
          <w:lang w:val="fr-CA"/>
        </w:rPr>
      </w:pPr>
      <w:r w:rsidRPr="00F73BE6">
        <w:rPr>
          <w:b/>
          <w:bCs/>
          <w:noProof/>
          <w:lang w:val="fr-CA"/>
        </w:rPr>
        <w:t xml:space="preserve">RAPPORT PÉRIODIQUE DU PNUD </w:t>
      </w:r>
    </w:p>
    <w:p w:rsidR="00BA5619" w:rsidRPr="00F73BE6" w:rsidRDefault="00F73BE6" w:rsidP="00BA5619">
      <w:pPr>
        <w:jc w:val="center"/>
        <w:rPr>
          <w:b/>
          <w:bCs/>
          <w:noProof/>
          <w:lang w:val="fr-CA"/>
        </w:rPr>
      </w:pPr>
      <w:bookmarkStart w:id="0" w:name="_GoBack"/>
      <w:bookmarkEnd w:id="0"/>
      <w:r w:rsidRPr="00F73BE6">
        <w:rPr>
          <w:b/>
          <w:bCs/>
          <w:noProof/>
          <w:lang w:val="fr-CA"/>
        </w:rPr>
        <w:t>AU 31</w:t>
      </w:r>
      <w:r w:rsidR="00F80949">
        <w:rPr>
          <w:b/>
          <w:bCs/>
          <w:noProof/>
          <w:lang w:val="fr-CA"/>
        </w:rPr>
        <w:t> </w:t>
      </w:r>
      <w:r w:rsidRPr="00F73BE6">
        <w:rPr>
          <w:b/>
          <w:bCs/>
          <w:noProof/>
          <w:lang w:val="fr-CA"/>
        </w:rPr>
        <w:t>DÉCEMBRE</w:t>
      </w:r>
      <w:r w:rsidR="00F80949">
        <w:rPr>
          <w:b/>
          <w:bCs/>
          <w:noProof/>
          <w:lang w:val="fr-CA"/>
        </w:rPr>
        <w:t> </w:t>
      </w:r>
      <w:r w:rsidRPr="00F73BE6">
        <w:rPr>
          <w:b/>
          <w:bCs/>
          <w:noProof/>
          <w:lang w:val="fr-CA"/>
        </w:rPr>
        <w:t>2018</w:t>
      </w:r>
    </w:p>
    <w:p w:rsidR="00DC4726" w:rsidRPr="00F73BE6" w:rsidRDefault="00DC4726" w:rsidP="00BA5619">
      <w:pPr>
        <w:jc w:val="center"/>
        <w:rPr>
          <w:b/>
          <w:bCs/>
          <w:noProof/>
          <w:lang w:val="fr-CA"/>
        </w:rPr>
      </w:pPr>
    </w:p>
    <w:p w:rsidR="00BA5619" w:rsidRPr="00F73BE6" w:rsidRDefault="00BA5619" w:rsidP="00BA5619">
      <w:pPr>
        <w:rPr>
          <w:lang w:val="fr-CA"/>
        </w:rPr>
      </w:pPr>
    </w:p>
    <w:p w:rsidR="00BA5619" w:rsidRPr="00F73BE6" w:rsidRDefault="00F73BE6" w:rsidP="00BA5619">
      <w:pPr>
        <w:pStyle w:val="Heading1"/>
        <w:rPr>
          <w:caps/>
          <w:lang w:val="fr-CA"/>
        </w:rPr>
      </w:pPr>
      <w:r w:rsidRPr="00F73BE6">
        <w:rPr>
          <w:lang w:val="fr-CA"/>
        </w:rPr>
        <w:t>Le présent document renferme le rapport périodique du PNUD au 31</w:t>
      </w:r>
      <w:r w:rsidR="00F80949">
        <w:rPr>
          <w:lang w:val="fr-CA"/>
        </w:rPr>
        <w:t> </w:t>
      </w:r>
      <w:r w:rsidRPr="00F73BE6">
        <w:rPr>
          <w:lang w:val="fr-CA"/>
        </w:rPr>
        <w:t>décembre</w:t>
      </w:r>
      <w:r w:rsidR="00F80949">
        <w:rPr>
          <w:lang w:val="fr-CA"/>
        </w:rPr>
        <w:t> </w:t>
      </w:r>
      <w:r w:rsidRPr="00F73BE6">
        <w:rPr>
          <w:lang w:val="fr-CA"/>
        </w:rPr>
        <w:t>2018</w:t>
      </w:r>
      <w:r w:rsidR="00BA5619" w:rsidRPr="00F73BE6">
        <w:rPr>
          <w:lang w:val="fr-CA"/>
        </w:rPr>
        <w:t>.</w:t>
      </w:r>
      <w:r w:rsidR="00BA5619" w:rsidRPr="00C04B9F">
        <w:rPr>
          <w:rStyle w:val="FootnoteReference"/>
          <w:lang w:val="en-CA"/>
        </w:rPr>
        <w:footnoteReference w:id="1"/>
      </w:r>
      <w:r w:rsidR="00BA5619" w:rsidRPr="00F73BE6">
        <w:rPr>
          <w:lang w:val="fr-CA"/>
        </w:rPr>
        <w:t xml:space="preserve"> </w:t>
      </w:r>
    </w:p>
    <w:p w:rsidR="00BA5619" w:rsidRPr="00F73BE6" w:rsidRDefault="00F73BE6" w:rsidP="00BA5619">
      <w:pPr>
        <w:keepNext/>
        <w:rPr>
          <w:u w:val="single"/>
          <w:lang w:val="fr-CA"/>
        </w:rPr>
      </w:pPr>
      <w:r w:rsidRPr="00F73BE6">
        <w:rPr>
          <w:u w:val="single"/>
          <w:lang w:val="fr-CA"/>
        </w:rPr>
        <w:t>Portée du document</w:t>
      </w:r>
    </w:p>
    <w:p w:rsidR="00BA5619" w:rsidRPr="00F73BE6" w:rsidRDefault="00BA5619" w:rsidP="00BA5619">
      <w:pPr>
        <w:keepNext/>
        <w:rPr>
          <w:lang w:val="fr-CA"/>
        </w:rPr>
      </w:pPr>
    </w:p>
    <w:p w:rsidR="00BA5619" w:rsidRPr="00FB3F7F" w:rsidRDefault="00F73BE6" w:rsidP="00BA5619">
      <w:pPr>
        <w:pStyle w:val="Heading1"/>
        <w:rPr>
          <w:lang w:val="fr-CA"/>
        </w:rPr>
      </w:pPr>
      <w:r w:rsidRPr="00FB3F7F">
        <w:rPr>
          <w:lang w:val="fr-CA"/>
        </w:rPr>
        <w:t>Il comporte les parties suivantes</w:t>
      </w:r>
      <w:r w:rsidR="00F80949" w:rsidRPr="00FB3F7F">
        <w:rPr>
          <w:lang w:val="fr-CA"/>
        </w:rPr>
        <w:t> </w:t>
      </w:r>
      <w:r w:rsidRPr="00FB3F7F">
        <w:rPr>
          <w:lang w:val="fr-CA"/>
        </w:rPr>
        <w:t>:</w:t>
      </w:r>
    </w:p>
    <w:p w:rsidR="00BA5619" w:rsidRPr="00147D7E" w:rsidRDefault="00BA5619" w:rsidP="00BA5619">
      <w:pPr>
        <w:pStyle w:val="Heading2"/>
        <w:keepNext/>
        <w:widowControl/>
        <w:numPr>
          <w:ilvl w:val="0"/>
          <w:numId w:val="0"/>
        </w:numPr>
        <w:adjustRightInd w:val="0"/>
        <w:ind w:left="2160" w:hanging="1440"/>
        <w:textAlignment w:val="baseline"/>
        <w:rPr>
          <w:szCs w:val="28"/>
          <w:lang w:val="fr-CA"/>
        </w:rPr>
      </w:pPr>
      <w:r w:rsidRPr="00F73BE6">
        <w:rPr>
          <w:szCs w:val="28"/>
          <w:lang w:val="fr-CA"/>
        </w:rPr>
        <w:t>Part</w:t>
      </w:r>
      <w:r w:rsidR="00DC4726" w:rsidRPr="00F73BE6">
        <w:rPr>
          <w:szCs w:val="28"/>
          <w:lang w:val="fr-CA"/>
        </w:rPr>
        <w:t>ie </w:t>
      </w:r>
      <w:r w:rsidRPr="00F73BE6">
        <w:rPr>
          <w:szCs w:val="28"/>
          <w:lang w:val="fr-CA"/>
        </w:rPr>
        <w:t>I</w:t>
      </w:r>
      <w:r w:rsidR="001152EB" w:rsidRPr="00F73BE6">
        <w:rPr>
          <w:szCs w:val="28"/>
          <w:lang w:val="fr-CA"/>
        </w:rPr>
        <w:t> :</w:t>
      </w:r>
      <w:r w:rsidRPr="00F73BE6">
        <w:rPr>
          <w:szCs w:val="28"/>
          <w:lang w:val="fr-CA"/>
        </w:rPr>
        <w:tab/>
      </w:r>
      <w:r w:rsidR="00F73BE6" w:rsidRPr="00F73BE6">
        <w:rPr>
          <w:szCs w:val="28"/>
          <w:lang w:val="fr-CA"/>
        </w:rPr>
        <w:t>Projets approuvés au titre des contributions ordinaires au Fonds multilatéral. Il</w:t>
      </w:r>
      <w:r w:rsidR="00F702C0">
        <w:rPr>
          <w:szCs w:val="28"/>
          <w:lang w:val="fr-CA"/>
        </w:rPr>
        <w:t> </w:t>
      </w:r>
      <w:r w:rsidR="00F73BE6" w:rsidRPr="00F73BE6">
        <w:rPr>
          <w:szCs w:val="28"/>
          <w:lang w:val="fr-CA"/>
        </w:rPr>
        <w:t>récapitule l’état d’avancement des projets pour</w:t>
      </w:r>
      <w:r w:rsidR="00F702C0">
        <w:rPr>
          <w:szCs w:val="28"/>
          <w:lang w:val="fr-CA"/>
        </w:rPr>
        <w:t> </w:t>
      </w:r>
      <w:r w:rsidR="00F73BE6" w:rsidRPr="00F73BE6">
        <w:rPr>
          <w:szCs w:val="28"/>
          <w:lang w:val="fr-CA"/>
        </w:rPr>
        <w:t>2018 et les progrès cumulatifs depuis</w:t>
      </w:r>
      <w:r w:rsidR="00F702C0">
        <w:rPr>
          <w:szCs w:val="28"/>
          <w:lang w:val="fr-CA"/>
        </w:rPr>
        <w:t> </w:t>
      </w:r>
      <w:r w:rsidR="00F73BE6" w:rsidRPr="00F73BE6">
        <w:rPr>
          <w:szCs w:val="28"/>
          <w:lang w:val="fr-CA"/>
        </w:rPr>
        <w:t xml:space="preserve">1991 </w:t>
      </w:r>
      <w:r w:rsidR="00F73BE6">
        <w:rPr>
          <w:szCs w:val="28"/>
          <w:lang w:val="fr-CA"/>
        </w:rPr>
        <w:t>en ce qui a trait à toutes les substances réglementées en vertu du Protocole de Montréal, y compris les substances figurant à l’</w:t>
      </w:r>
      <w:r w:rsidR="00147D7E">
        <w:rPr>
          <w:szCs w:val="28"/>
          <w:lang w:val="fr-CA"/>
        </w:rPr>
        <w:t>annexe</w:t>
      </w:r>
      <w:r w:rsidR="00F702C0">
        <w:rPr>
          <w:szCs w:val="28"/>
          <w:lang w:val="fr-CA"/>
        </w:rPr>
        <w:t> </w:t>
      </w:r>
      <w:r w:rsidR="00F73BE6">
        <w:rPr>
          <w:szCs w:val="28"/>
          <w:lang w:val="fr-CA"/>
        </w:rPr>
        <w:t>F (HFC); cette partie examine l’état d’avancement de chaque projet en cours</w:t>
      </w:r>
      <w:r w:rsidRPr="00C04B9F">
        <w:rPr>
          <w:rStyle w:val="FootnoteReference"/>
          <w:lang w:val="en-CA"/>
        </w:rPr>
        <w:footnoteReference w:id="2"/>
      </w:r>
      <w:r w:rsidRPr="00F73BE6">
        <w:rPr>
          <w:lang w:val="fr-CA"/>
        </w:rPr>
        <w:t xml:space="preserve"> </w:t>
      </w:r>
      <w:r w:rsidR="00F73BE6" w:rsidRPr="00F73BE6">
        <w:rPr>
          <w:lang w:val="fr-CA"/>
        </w:rPr>
        <w:t xml:space="preserve">au niveau des pays; elle établit les projets présentant des retards dans la mise en œuvre et l’incidence potentielle sur l’élimination des substances réglementées, </w:t>
      </w:r>
      <w:r w:rsidR="00F73BE6">
        <w:rPr>
          <w:lang w:val="fr-CA"/>
        </w:rPr>
        <w:t xml:space="preserve">ainsi que les projets comportant des questions en suspens qui seront examinées par le Comité exécutif. </w:t>
      </w:r>
    </w:p>
    <w:p w:rsidR="00D61520" w:rsidRDefault="00D61520">
      <w:pPr>
        <w:jc w:val="left"/>
        <w:rPr>
          <w:szCs w:val="28"/>
          <w:lang w:val="fr-CA"/>
        </w:rPr>
      </w:pPr>
      <w:r>
        <w:rPr>
          <w:szCs w:val="28"/>
          <w:lang w:val="fr-CA"/>
        </w:rPr>
        <w:br w:type="page"/>
      </w:r>
    </w:p>
    <w:p w:rsidR="00BA5619" w:rsidRPr="00FB3F7F" w:rsidRDefault="00BA5619" w:rsidP="00BA5619">
      <w:pPr>
        <w:pStyle w:val="Heading2"/>
        <w:widowControl/>
        <w:numPr>
          <w:ilvl w:val="0"/>
          <w:numId w:val="0"/>
        </w:numPr>
        <w:adjustRightInd w:val="0"/>
        <w:ind w:left="2160" w:hanging="1440"/>
        <w:textAlignment w:val="baseline"/>
        <w:rPr>
          <w:szCs w:val="28"/>
          <w:lang w:val="fr-CA"/>
        </w:rPr>
      </w:pPr>
      <w:r w:rsidRPr="00F73BE6">
        <w:rPr>
          <w:szCs w:val="28"/>
          <w:lang w:val="fr-CA"/>
        </w:rPr>
        <w:lastRenderedPageBreak/>
        <w:t>Part</w:t>
      </w:r>
      <w:r w:rsidR="00DC4726" w:rsidRPr="00F73BE6">
        <w:rPr>
          <w:szCs w:val="28"/>
          <w:lang w:val="fr-CA"/>
        </w:rPr>
        <w:t>ie</w:t>
      </w:r>
      <w:r w:rsidR="00CB5C08" w:rsidRPr="00F73BE6">
        <w:rPr>
          <w:szCs w:val="28"/>
          <w:lang w:val="fr-CA"/>
        </w:rPr>
        <w:t> </w:t>
      </w:r>
      <w:r w:rsidRPr="00F73BE6">
        <w:rPr>
          <w:szCs w:val="28"/>
          <w:lang w:val="fr-CA"/>
        </w:rPr>
        <w:t>II</w:t>
      </w:r>
      <w:r w:rsidR="001152EB" w:rsidRPr="00F73BE6">
        <w:rPr>
          <w:szCs w:val="28"/>
          <w:lang w:val="fr-CA"/>
        </w:rPr>
        <w:t> :</w:t>
      </w:r>
      <w:r w:rsidRPr="00F73BE6">
        <w:rPr>
          <w:szCs w:val="28"/>
          <w:lang w:val="fr-CA"/>
        </w:rPr>
        <w:tab/>
      </w:r>
      <w:r w:rsidR="00F73BE6" w:rsidRPr="00F73BE6">
        <w:rPr>
          <w:szCs w:val="28"/>
          <w:lang w:val="fr-CA"/>
        </w:rPr>
        <w:t xml:space="preserve">Projets approuvés au titre des contributions volontaires pour </w:t>
      </w:r>
      <w:r w:rsidR="00FB3F7F">
        <w:rPr>
          <w:szCs w:val="28"/>
          <w:lang w:val="fr-CA"/>
        </w:rPr>
        <w:t xml:space="preserve">l’appui au </w:t>
      </w:r>
      <w:r w:rsidR="00F73BE6" w:rsidRPr="00F73BE6">
        <w:rPr>
          <w:szCs w:val="28"/>
          <w:lang w:val="fr-CA"/>
        </w:rPr>
        <w:t xml:space="preserve"> démarrage rapide </w:t>
      </w:r>
      <w:r w:rsidR="00FB3F7F">
        <w:rPr>
          <w:szCs w:val="28"/>
          <w:lang w:val="fr-CA"/>
        </w:rPr>
        <w:t>du processus</w:t>
      </w:r>
      <w:r w:rsidR="00F73BE6" w:rsidRPr="00F73BE6">
        <w:rPr>
          <w:szCs w:val="28"/>
          <w:lang w:val="fr-CA"/>
        </w:rPr>
        <w:t xml:space="preserve"> </w:t>
      </w:r>
      <w:r w:rsidR="00F73BE6">
        <w:rPr>
          <w:szCs w:val="28"/>
          <w:lang w:val="fr-CA"/>
        </w:rPr>
        <w:t xml:space="preserve">d’élimination progressive des HFC. </w:t>
      </w:r>
      <w:r w:rsidR="00F73BE6" w:rsidRPr="00F73BE6">
        <w:rPr>
          <w:szCs w:val="28"/>
          <w:lang w:val="fr-CA"/>
        </w:rPr>
        <w:t xml:space="preserve">Cette partie présente l’état d’avancement des projets d’élimination </w:t>
      </w:r>
      <w:r w:rsidR="00F73BE6">
        <w:rPr>
          <w:szCs w:val="28"/>
          <w:lang w:val="fr-CA"/>
        </w:rPr>
        <w:t xml:space="preserve">progressive des HFC au titre des contributions volontaires. </w:t>
      </w:r>
    </w:p>
    <w:p w:rsidR="00BA5619" w:rsidRPr="00C04B9F" w:rsidRDefault="00BA5619" w:rsidP="00BA5619">
      <w:pPr>
        <w:ind w:firstLine="720"/>
        <w:rPr>
          <w:lang w:val="en-CA"/>
        </w:rPr>
      </w:pPr>
      <w:r w:rsidRPr="00C04B9F">
        <w:rPr>
          <w:lang w:val="en-CA"/>
        </w:rPr>
        <w:t>Recomm</w:t>
      </w:r>
      <w:r w:rsidR="00DC4726">
        <w:rPr>
          <w:lang w:val="en-CA"/>
        </w:rPr>
        <w:t>a</w:t>
      </w:r>
      <w:r w:rsidRPr="00C04B9F">
        <w:rPr>
          <w:lang w:val="en-CA"/>
        </w:rPr>
        <w:t>ndation.</w:t>
      </w:r>
    </w:p>
    <w:p w:rsidR="00BA5619" w:rsidRPr="00C04B9F" w:rsidRDefault="00BA5619" w:rsidP="00BA5619">
      <w:pPr>
        <w:rPr>
          <w:lang w:val="en-CA"/>
        </w:rPr>
      </w:pPr>
    </w:p>
    <w:p w:rsidR="00BA5619" w:rsidRPr="00F73BE6" w:rsidRDefault="00F73BE6" w:rsidP="00BA5619">
      <w:pPr>
        <w:pStyle w:val="Heading1"/>
        <w:rPr>
          <w:lang w:val="fr-CA"/>
        </w:rPr>
      </w:pPr>
      <w:r w:rsidRPr="00F73BE6">
        <w:rPr>
          <w:lang w:val="fr-CA"/>
        </w:rPr>
        <w:t xml:space="preserve">Le présent document renferme également </w:t>
      </w:r>
      <w:r>
        <w:rPr>
          <w:lang w:val="fr-CA"/>
        </w:rPr>
        <w:t>les annexes suivantes</w:t>
      </w:r>
      <w:r w:rsidR="00F80949">
        <w:rPr>
          <w:lang w:val="fr-CA"/>
        </w:rPr>
        <w:t> </w:t>
      </w:r>
      <w:r>
        <w:rPr>
          <w:lang w:val="fr-CA"/>
        </w:rPr>
        <w:t xml:space="preserve">: </w:t>
      </w:r>
    </w:p>
    <w:p w:rsidR="00BA5619" w:rsidRPr="00FB3F7F" w:rsidRDefault="00BA5619" w:rsidP="00BA5619">
      <w:pPr>
        <w:ind w:left="2127" w:hanging="1407"/>
        <w:rPr>
          <w:lang w:val="fr-CA"/>
        </w:rPr>
      </w:pPr>
      <w:r w:rsidRPr="00F73BE6">
        <w:rPr>
          <w:lang w:val="fr-CA"/>
        </w:rPr>
        <w:t>Annex</w:t>
      </w:r>
      <w:r w:rsidR="00DC4726" w:rsidRPr="00F73BE6">
        <w:rPr>
          <w:lang w:val="fr-CA"/>
        </w:rPr>
        <w:t>e </w:t>
      </w:r>
      <w:r w:rsidRPr="00F73BE6">
        <w:rPr>
          <w:lang w:val="fr-CA"/>
        </w:rPr>
        <w:t>I</w:t>
      </w:r>
      <w:r w:rsidR="001152EB" w:rsidRPr="00F73BE6">
        <w:rPr>
          <w:lang w:val="fr-CA"/>
        </w:rPr>
        <w:t> :</w:t>
      </w:r>
      <w:r w:rsidRPr="00F73BE6">
        <w:rPr>
          <w:lang w:val="fr-CA"/>
        </w:rPr>
        <w:t xml:space="preserve"> </w:t>
      </w:r>
      <w:r w:rsidRPr="00F73BE6">
        <w:rPr>
          <w:lang w:val="fr-CA"/>
        </w:rPr>
        <w:tab/>
      </w:r>
      <w:r w:rsidR="00F73BE6" w:rsidRPr="00F73BE6">
        <w:rPr>
          <w:lang w:val="fr-CA"/>
        </w:rPr>
        <w:t xml:space="preserve">État sommaire et recommandation pour chaque projet en cours comportant des questions en suspens </w:t>
      </w:r>
      <w:r w:rsidR="00F73BE6">
        <w:rPr>
          <w:lang w:val="fr-CA"/>
        </w:rPr>
        <w:t>qui ser</w:t>
      </w:r>
      <w:r w:rsidR="00F702C0">
        <w:rPr>
          <w:lang w:val="fr-CA"/>
        </w:rPr>
        <w:t>ont</w:t>
      </w:r>
      <w:r w:rsidR="00F73BE6">
        <w:rPr>
          <w:lang w:val="fr-CA"/>
        </w:rPr>
        <w:t xml:space="preserve"> examiné</w:t>
      </w:r>
      <w:r w:rsidR="00F702C0">
        <w:rPr>
          <w:lang w:val="fr-CA"/>
        </w:rPr>
        <w:t>es</w:t>
      </w:r>
      <w:r w:rsidR="00F73BE6">
        <w:rPr>
          <w:lang w:val="fr-CA"/>
        </w:rPr>
        <w:t xml:space="preserve"> par le Comité exécutif.</w:t>
      </w:r>
    </w:p>
    <w:p w:rsidR="00BA5619" w:rsidRPr="00FB3F7F" w:rsidRDefault="00BA5619" w:rsidP="00BA5619">
      <w:pPr>
        <w:ind w:left="2127" w:hanging="1407"/>
        <w:rPr>
          <w:lang w:val="fr-CA"/>
        </w:rPr>
      </w:pPr>
    </w:p>
    <w:p w:rsidR="00BA5619" w:rsidRPr="00FB3F7F" w:rsidRDefault="00BA5619" w:rsidP="00BA5619">
      <w:pPr>
        <w:ind w:left="2127" w:hanging="1407"/>
        <w:rPr>
          <w:lang w:val="fr-CA"/>
        </w:rPr>
      </w:pPr>
      <w:r w:rsidRPr="00F73BE6">
        <w:rPr>
          <w:lang w:val="fr-CA"/>
        </w:rPr>
        <w:t>Annex</w:t>
      </w:r>
      <w:r w:rsidR="00DC4726" w:rsidRPr="00F73BE6">
        <w:rPr>
          <w:lang w:val="fr-CA"/>
        </w:rPr>
        <w:t>e </w:t>
      </w:r>
      <w:r w:rsidRPr="00F73BE6">
        <w:rPr>
          <w:lang w:val="fr-CA"/>
        </w:rPr>
        <w:t>II</w:t>
      </w:r>
      <w:r w:rsidR="001152EB" w:rsidRPr="00F73BE6">
        <w:rPr>
          <w:lang w:val="fr-CA"/>
        </w:rPr>
        <w:t> :</w:t>
      </w:r>
      <w:r w:rsidRPr="00F73BE6">
        <w:rPr>
          <w:lang w:val="fr-CA"/>
        </w:rPr>
        <w:t xml:space="preserve"> </w:t>
      </w:r>
      <w:r w:rsidRPr="00F73BE6">
        <w:rPr>
          <w:lang w:val="fr-CA"/>
        </w:rPr>
        <w:tab/>
      </w:r>
      <w:r w:rsidR="00F73BE6" w:rsidRPr="00F73BE6">
        <w:rPr>
          <w:lang w:val="fr-CA"/>
        </w:rPr>
        <w:t>Analyse d</w:t>
      </w:r>
      <w:r w:rsidR="00F702C0">
        <w:rPr>
          <w:lang w:val="fr-CA"/>
        </w:rPr>
        <w:t>u</w:t>
      </w:r>
      <w:r w:rsidR="00F73BE6" w:rsidRPr="00F73BE6">
        <w:rPr>
          <w:lang w:val="fr-CA"/>
        </w:rPr>
        <w:t xml:space="preserve"> rapport périodique.</w:t>
      </w:r>
    </w:p>
    <w:p w:rsidR="00BA5619" w:rsidRPr="00FB3F7F" w:rsidRDefault="00BA5619" w:rsidP="00BA5619">
      <w:pPr>
        <w:ind w:left="2127" w:hanging="1407"/>
        <w:rPr>
          <w:lang w:val="fr-CA"/>
        </w:rPr>
      </w:pPr>
    </w:p>
    <w:p w:rsidR="00BA5619" w:rsidRPr="00F73BE6" w:rsidRDefault="00F73BE6" w:rsidP="00BA5619">
      <w:pPr>
        <w:rPr>
          <w:u w:val="single"/>
          <w:lang w:val="fr-CA"/>
        </w:rPr>
      </w:pPr>
      <w:r w:rsidRPr="00F73BE6">
        <w:rPr>
          <w:u w:val="single"/>
          <w:lang w:val="fr-CA"/>
        </w:rPr>
        <w:t>Mesures employées dans les rapports périodiques</w:t>
      </w:r>
    </w:p>
    <w:p w:rsidR="00BA5619" w:rsidRPr="00F73BE6" w:rsidRDefault="00BA5619" w:rsidP="00BA5619">
      <w:pPr>
        <w:rPr>
          <w:lang w:val="fr-CA"/>
        </w:rPr>
      </w:pPr>
    </w:p>
    <w:p w:rsidR="00BA5619" w:rsidRPr="00FB3F7F" w:rsidRDefault="00F73BE6" w:rsidP="00BA5619">
      <w:pPr>
        <w:pStyle w:val="Heading1"/>
        <w:rPr>
          <w:lang w:val="fr-CA"/>
        </w:rPr>
      </w:pPr>
      <w:r w:rsidRPr="00FB3F7F">
        <w:rPr>
          <w:lang w:val="fr-CA"/>
        </w:rPr>
        <w:t>Avant l’accord sur l’Amendement de Kigali, toutes les substances réglementées au titre du Protocole de Montréal étaient des substances appauvrissant la couche d’ozone, mesuré</w:t>
      </w:r>
      <w:r w:rsidR="00F702C0" w:rsidRPr="00FB3F7F">
        <w:rPr>
          <w:lang w:val="fr-CA"/>
        </w:rPr>
        <w:t>es</w:t>
      </w:r>
      <w:r w:rsidRPr="00FB3F7F">
        <w:rPr>
          <w:lang w:val="fr-CA"/>
        </w:rPr>
        <w:t xml:space="preserve"> en</w:t>
      </w:r>
      <w:r w:rsidR="000C2EE3" w:rsidRPr="00FB3F7F">
        <w:rPr>
          <w:lang w:val="fr-CA"/>
        </w:rPr>
        <w:t> tonnes PAO</w:t>
      </w:r>
      <w:r w:rsidRPr="00FB3F7F">
        <w:rPr>
          <w:lang w:val="fr-CA"/>
        </w:rPr>
        <w:t xml:space="preserve">. </w:t>
      </w:r>
      <w:r w:rsidR="00452874" w:rsidRPr="00FB3F7F">
        <w:rPr>
          <w:lang w:val="fr-CA"/>
        </w:rPr>
        <w:t>Les substances réglementées au titre de l’Amendement de Kigali ne sont pas des substances appauvrissant la couche d’ozone, et leurs objectifs de réglementation sont mesurés en</w:t>
      </w:r>
      <w:r w:rsidR="00712CE0" w:rsidRPr="00FB3F7F">
        <w:rPr>
          <w:lang w:val="fr-CA"/>
        </w:rPr>
        <w:t> </w:t>
      </w:r>
      <w:r w:rsidR="00F80949" w:rsidRPr="00FB3F7F">
        <w:rPr>
          <w:lang w:val="fr-CA"/>
        </w:rPr>
        <w:t>tm</w:t>
      </w:r>
      <w:r w:rsidR="00452874" w:rsidRPr="00FB3F7F">
        <w:rPr>
          <w:lang w:val="fr-CA"/>
        </w:rPr>
        <w:t xml:space="preserve"> équivalent</w:t>
      </w:r>
      <w:r w:rsidR="00147D7E" w:rsidRPr="00FB3F7F">
        <w:rPr>
          <w:lang w:val="fr-CA"/>
        </w:rPr>
        <w:t> </w:t>
      </w:r>
      <w:r w:rsidR="00BA5619" w:rsidRPr="00FB3F7F">
        <w:rPr>
          <w:lang w:val="fr-CA"/>
        </w:rPr>
        <w:t>CO</w:t>
      </w:r>
      <w:r w:rsidR="00BA5619" w:rsidRPr="00FB3F7F">
        <w:rPr>
          <w:vertAlign w:val="subscript"/>
          <w:lang w:val="fr-CA"/>
        </w:rPr>
        <w:t>2</w:t>
      </w:r>
      <w:r w:rsidR="00BA5619" w:rsidRPr="00FB3F7F">
        <w:rPr>
          <w:lang w:val="fr-CA"/>
        </w:rPr>
        <w:t xml:space="preserve"> (</w:t>
      </w:r>
      <w:r w:rsidR="00712CE0" w:rsidRPr="00FB3F7F">
        <w:rPr>
          <w:lang w:val="fr-CA"/>
        </w:rPr>
        <w:t>c</w:t>
      </w:r>
      <w:r w:rsidR="00452874" w:rsidRPr="00FB3F7F">
        <w:rPr>
          <w:lang w:val="fr-CA"/>
        </w:rPr>
        <w:t xml:space="preserve">.-à-d., </w:t>
      </w:r>
      <w:r w:rsidR="00712CE0" w:rsidRPr="00FB3F7F">
        <w:rPr>
          <w:lang w:val="fr-CA"/>
        </w:rPr>
        <w:t>consommation</w:t>
      </w:r>
      <w:r w:rsidR="00452874" w:rsidRPr="00FB3F7F">
        <w:rPr>
          <w:lang w:val="fr-CA"/>
        </w:rPr>
        <w:t xml:space="preserve"> en tonnes métriques </w:t>
      </w:r>
      <w:r w:rsidR="00712CE0" w:rsidRPr="00FB3F7F">
        <w:rPr>
          <w:lang w:val="fr-CA"/>
        </w:rPr>
        <w:t>(tm)</w:t>
      </w:r>
      <w:r w:rsidR="00452874" w:rsidRPr="00FB3F7F">
        <w:rPr>
          <w:lang w:val="fr-CA"/>
        </w:rPr>
        <w:t xml:space="preserve"> multipli</w:t>
      </w:r>
      <w:r w:rsidR="00712CE0" w:rsidRPr="00FB3F7F">
        <w:rPr>
          <w:lang w:val="fr-CA"/>
        </w:rPr>
        <w:t>ée par</w:t>
      </w:r>
      <w:r w:rsidR="00452874" w:rsidRPr="00FB3F7F">
        <w:rPr>
          <w:lang w:val="fr-CA"/>
        </w:rPr>
        <w:t xml:space="preserve"> le potentiel de réchauffement de la planète (PRP) de l</w:t>
      </w:r>
      <w:r w:rsidR="00712CE0" w:rsidRPr="00FB3F7F">
        <w:rPr>
          <w:lang w:val="fr-CA"/>
        </w:rPr>
        <w:t>a subs</w:t>
      </w:r>
      <w:r w:rsidR="00452874" w:rsidRPr="00FB3F7F">
        <w:rPr>
          <w:lang w:val="fr-CA"/>
        </w:rPr>
        <w:t>tance.) Mais quel</w:t>
      </w:r>
      <w:r w:rsidR="00712CE0" w:rsidRPr="00FB3F7F">
        <w:rPr>
          <w:lang w:val="fr-CA"/>
        </w:rPr>
        <w:t>les</w:t>
      </w:r>
      <w:r w:rsidR="00452874" w:rsidRPr="00FB3F7F">
        <w:rPr>
          <w:lang w:val="fr-CA"/>
        </w:rPr>
        <w:t xml:space="preserve"> que soi</w:t>
      </w:r>
      <w:r w:rsidR="00712CE0" w:rsidRPr="00FB3F7F">
        <w:rPr>
          <w:lang w:val="fr-CA"/>
        </w:rPr>
        <w:t>en</w:t>
      </w:r>
      <w:r w:rsidR="00452874" w:rsidRPr="00FB3F7F">
        <w:rPr>
          <w:lang w:val="fr-CA"/>
        </w:rPr>
        <w:t>t les différentes mesures utilisées pour rendre compte des substances réglementées, le rapport périodique du PNUD s</w:t>
      </w:r>
      <w:r w:rsidR="00712CE0" w:rsidRPr="00FB3F7F">
        <w:rPr>
          <w:lang w:val="fr-CA"/>
        </w:rPr>
        <w:t>oumis à la</w:t>
      </w:r>
      <w:r w:rsidR="00452874" w:rsidRPr="00FB3F7F">
        <w:rPr>
          <w:lang w:val="fr-CA"/>
        </w:rPr>
        <w:t xml:space="preserve"> 8</w:t>
      </w:r>
      <w:r w:rsidR="00712CE0" w:rsidRPr="00FB3F7F">
        <w:rPr>
          <w:lang w:val="fr-CA"/>
        </w:rPr>
        <w:t>4</w:t>
      </w:r>
      <w:r w:rsidR="00452874" w:rsidRPr="00FB3F7F">
        <w:rPr>
          <w:vertAlign w:val="superscript"/>
          <w:lang w:val="fr-CA"/>
        </w:rPr>
        <w:t>e</w:t>
      </w:r>
      <w:r w:rsidR="00F80949" w:rsidRPr="00FB3F7F">
        <w:rPr>
          <w:lang w:val="fr-CA"/>
        </w:rPr>
        <w:t> </w:t>
      </w:r>
      <w:r w:rsidR="00452874" w:rsidRPr="00FB3F7F">
        <w:rPr>
          <w:lang w:val="fr-CA"/>
        </w:rPr>
        <w:t xml:space="preserve">réunion </w:t>
      </w:r>
      <w:r w:rsidR="00712CE0" w:rsidRPr="00FB3F7F">
        <w:rPr>
          <w:lang w:val="fr-CA"/>
        </w:rPr>
        <w:t>indique l</w:t>
      </w:r>
      <w:r w:rsidR="00452874" w:rsidRPr="00FB3F7F">
        <w:rPr>
          <w:lang w:val="fr-CA"/>
        </w:rPr>
        <w:t>es quantités en</w:t>
      </w:r>
      <w:r w:rsidR="000C2EE3" w:rsidRPr="00FB3F7F">
        <w:rPr>
          <w:lang w:val="fr-CA"/>
        </w:rPr>
        <w:t> tonnes PAO</w:t>
      </w:r>
      <w:r w:rsidR="00452874" w:rsidRPr="00FB3F7F">
        <w:rPr>
          <w:lang w:val="fr-CA"/>
        </w:rPr>
        <w:t xml:space="preserve"> pour </w:t>
      </w:r>
      <w:r w:rsidR="00FB3F7F" w:rsidRPr="00FB3F7F">
        <w:rPr>
          <w:lang w:val="fr-CA"/>
        </w:rPr>
        <w:t xml:space="preserve">l’ensemble des </w:t>
      </w:r>
      <w:r w:rsidR="00452874" w:rsidRPr="00FB3F7F">
        <w:rPr>
          <w:lang w:val="fr-CA"/>
        </w:rPr>
        <w:t>substances réglementées</w:t>
      </w:r>
      <w:r w:rsidR="00BA5619" w:rsidRPr="00FB3F7F">
        <w:rPr>
          <w:lang w:val="fr-CA"/>
        </w:rPr>
        <w:t>.</w:t>
      </w:r>
      <w:r w:rsidR="00BA5619" w:rsidRPr="00C04B9F">
        <w:rPr>
          <w:rStyle w:val="FootnoteReference"/>
          <w:lang w:val="en-CA"/>
        </w:rPr>
        <w:footnoteReference w:id="3"/>
      </w:r>
      <w:r w:rsidR="00BA5619" w:rsidRPr="00FB3F7F">
        <w:rPr>
          <w:lang w:val="fr-CA"/>
        </w:rPr>
        <w:t xml:space="preserve"> </w:t>
      </w:r>
    </w:p>
    <w:p w:rsidR="00BA5619" w:rsidRPr="00FB3F7F" w:rsidRDefault="00452874" w:rsidP="00BA5619">
      <w:pPr>
        <w:rPr>
          <w:b/>
          <w:lang w:val="fr-CA"/>
        </w:rPr>
      </w:pPr>
      <w:r w:rsidRPr="00FB3F7F">
        <w:rPr>
          <w:b/>
          <w:lang w:val="fr-CA"/>
        </w:rPr>
        <w:t>Aperçu des activités d’élimination progressive des HFC</w:t>
      </w:r>
    </w:p>
    <w:p w:rsidR="00BA5619" w:rsidRPr="00FB3F7F" w:rsidRDefault="00BA5619" w:rsidP="00BA5619">
      <w:pPr>
        <w:ind w:left="2127" w:hanging="1407"/>
        <w:rPr>
          <w:lang w:val="fr-CA"/>
        </w:rPr>
      </w:pPr>
    </w:p>
    <w:p w:rsidR="00BA5619" w:rsidRPr="00FB3F7F" w:rsidRDefault="00452874" w:rsidP="00BA5619">
      <w:pPr>
        <w:pStyle w:val="Heading1"/>
        <w:rPr>
          <w:lang w:val="fr-CA"/>
        </w:rPr>
      </w:pPr>
      <w:r w:rsidRPr="00452874">
        <w:rPr>
          <w:lang w:val="fr-CA"/>
        </w:rPr>
        <w:t>Au 31</w:t>
      </w:r>
      <w:r w:rsidR="00712CE0">
        <w:rPr>
          <w:lang w:val="fr-CA"/>
        </w:rPr>
        <w:t> </w:t>
      </w:r>
      <w:r w:rsidRPr="00452874">
        <w:rPr>
          <w:lang w:val="fr-CA"/>
        </w:rPr>
        <w:t>décembre</w:t>
      </w:r>
      <w:r w:rsidR="00712CE0">
        <w:rPr>
          <w:lang w:val="fr-CA"/>
        </w:rPr>
        <w:t> </w:t>
      </w:r>
      <w:r w:rsidRPr="00452874">
        <w:rPr>
          <w:lang w:val="fr-CA"/>
        </w:rPr>
        <w:t>2018, le Comité exécutif avait approuvé 26</w:t>
      </w:r>
      <w:r w:rsidR="00712CE0">
        <w:rPr>
          <w:lang w:val="fr-CA"/>
        </w:rPr>
        <w:t> </w:t>
      </w:r>
      <w:r w:rsidRPr="00452874">
        <w:rPr>
          <w:lang w:val="fr-CA"/>
        </w:rPr>
        <w:t>projets (dont cinq projets d’investissement, cinq activités de préparation de projet et 16</w:t>
      </w:r>
      <w:r w:rsidR="00F80949">
        <w:rPr>
          <w:lang w:val="fr-CA"/>
        </w:rPr>
        <w:t> </w:t>
      </w:r>
      <w:r w:rsidRPr="00452874">
        <w:rPr>
          <w:lang w:val="fr-CA"/>
        </w:rPr>
        <w:t>activités de facilitation) dans 20</w:t>
      </w:r>
      <w:r w:rsidR="00F80949">
        <w:rPr>
          <w:lang w:val="fr-CA"/>
        </w:rPr>
        <w:t> </w:t>
      </w:r>
      <w:r w:rsidRPr="00452874">
        <w:rPr>
          <w:lang w:val="fr-CA"/>
        </w:rPr>
        <w:t>pays, pour un montant total de 9,0</w:t>
      </w:r>
      <w:r w:rsidR="00F80949">
        <w:rPr>
          <w:lang w:val="fr-CA"/>
        </w:rPr>
        <w:t>2 millions </w:t>
      </w:r>
      <w:r w:rsidRPr="00452874">
        <w:rPr>
          <w:lang w:val="fr-CA"/>
        </w:rPr>
        <w:t xml:space="preserve">$US. </w:t>
      </w:r>
      <w:r w:rsidRPr="00712CE0">
        <w:rPr>
          <w:lang w:val="fr-CA"/>
        </w:rPr>
        <w:t>Les projets d’investissement approuvé</w:t>
      </w:r>
      <w:r w:rsidR="00712CE0" w:rsidRPr="00712CE0">
        <w:rPr>
          <w:lang w:val="fr-CA"/>
        </w:rPr>
        <w:t>s</w:t>
      </w:r>
      <w:r w:rsidRPr="00712CE0">
        <w:rPr>
          <w:lang w:val="fr-CA"/>
        </w:rPr>
        <w:t xml:space="preserve"> permettront d’éliminer progressivement 623,4</w:t>
      </w:r>
      <w:r w:rsidR="00F80949" w:rsidRPr="00712CE0">
        <w:rPr>
          <w:lang w:val="fr-CA"/>
        </w:rPr>
        <w:t> tm</w:t>
      </w:r>
      <w:r w:rsidRPr="00712CE0">
        <w:rPr>
          <w:lang w:val="fr-CA"/>
        </w:rPr>
        <w:t xml:space="preserve"> (791</w:t>
      </w:r>
      <w:r w:rsidR="00712CE0" w:rsidRPr="00712CE0">
        <w:rPr>
          <w:lang w:val="fr-CA"/>
        </w:rPr>
        <w:t> </w:t>
      </w:r>
      <w:r w:rsidRPr="00712CE0">
        <w:rPr>
          <w:lang w:val="fr-CA"/>
        </w:rPr>
        <w:t>633</w:t>
      </w:r>
      <w:r w:rsidR="00712CE0" w:rsidRPr="00712CE0">
        <w:rPr>
          <w:lang w:val="fr-CA"/>
        </w:rPr>
        <w:t> </w:t>
      </w:r>
      <w:r w:rsidR="00F80949" w:rsidRPr="00712CE0">
        <w:rPr>
          <w:lang w:val="fr-CA"/>
        </w:rPr>
        <w:t>tm</w:t>
      </w:r>
      <w:r w:rsidRPr="00712CE0">
        <w:rPr>
          <w:lang w:val="fr-CA"/>
        </w:rPr>
        <w:t xml:space="preserve"> </w:t>
      </w:r>
      <w:r w:rsidR="00712CE0">
        <w:rPr>
          <w:lang w:val="fr-CA"/>
        </w:rPr>
        <w:t>équivalent</w:t>
      </w:r>
      <w:r w:rsidR="00FE0F74">
        <w:rPr>
          <w:lang w:val="fr-CA"/>
        </w:rPr>
        <w:t> </w:t>
      </w:r>
      <w:r w:rsidR="00BA5619" w:rsidRPr="00712CE0">
        <w:rPr>
          <w:lang w:val="fr-CA"/>
        </w:rPr>
        <w:t>CO</w:t>
      </w:r>
      <w:r w:rsidR="00BA5619" w:rsidRPr="00712CE0">
        <w:rPr>
          <w:vertAlign w:val="subscript"/>
          <w:lang w:val="fr-CA"/>
        </w:rPr>
        <w:t>2</w:t>
      </w:r>
      <w:r w:rsidR="00BA5619" w:rsidRPr="00712CE0">
        <w:rPr>
          <w:lang w:val="fr-CA"/>
        </w:rPr>
        <w:t xml:space="preserve">) </w:t>
      </w:r>
      <w:r w:rsidR="00712CE0">
        <w:rPr>
          <w:lang w:val="fr-CA"/>
        </w:rPr>
        <w:t>d</w:t>
      </w:r>
      <w:r w:rsidRPr="00452874">
        <w:rPr>
          <w:lang w:val="fr-CA"/>
        </w:rPr>
        <w:t xml:space="preserve">e HFC. Pour ce qui est des activités de facilitation, </w:t>
      </w:r>
      <w:r>
        <w:rPr>
          <w:lang w:val="fr-CA"/>
        </w:rPr>
        <w:t>le report des dates d’achèvement de</w:t>
      </w:r>
      <w:r w:rsidR="00712CE0">
        <w:rPr>
          <w:lang w:val="fr-CA"/>
        </w:rPr>
        <w:t> </w:t>
      </w:r>
      <w:r>
        <w:rPr>
          <w:lang w:val="fr-CA"/>
        </w:rPr>
        <w:t>10 de ces projets a été approuvé lors de la 83</w:t>
      </w:r>
      <w:r w:rsidRPr="00452874">
        <w:rPr>
          <w:vertAlign w:val="superscript"/>
          <w:lang w:val="fr-CA"/>
        </w:rPr>
        <w:t>e</w:t>
      </w:r>
      <w:r w:rsidR="00F80949">
        <w:rPr>
          <w:lang w:val="fr-CA"/>
        </w:rPr>
        <w:t> </w:t>
      </w:r>
      <w:r>
        <w:rPr>
          <w:lang w:val="fr-CA"/>
        </w:rPr>
        <w:t>réunion, et des demandes de r</w:t>
      </w:r>
      <w:r w:rsidR="00712CE0">
        <w:rPr>
          <w:lang w:val="fr-CA"/>
        </w:rPr>
        <w:t>e</w:t>
      </w:r>
      <w:r>
        <w:rPr>
          <w:lang w:val="fr-CA"/>
        </w:rPr>
        <w:t>port pour cinq autres projets ont été présentées à la 84</w:t>
      </w:r>
      <w:r w:rsidRPr="00452874">
        <w:rPr>
          <w:vertAlign w:val="superscript"/>
          <w:lang w:val="fr-CA"/>
        </w:rPr>
        <w:t>e</w:t>
      </w:r>
      <w:r w:rsidR="00F80949">
        <w:rPr>
          <w:lang w:val="fr-CA"/>
        </w:rPr>
        <w:t> </w:t>
      </w:r>
      <w:r>
        <w:rPr>
          <w:lang w:val="fr-CA"/>
        </w:rPr>
        <w:t>réunion.</w:t>
      </w:r>
    </w:p>
    <w:p w:rsidR="00BA5619" w:rsidRPr="00FB3F7F" w:rsidRDefault="00452874" w:rsidP="00BA5619">
      <w:pPr>
        <w:rPr>
          <w:b/>
          <w:lang w:val="fr-CA"/>
        </w:rPr>
      </w:pPr>
      <w:r w:rsidRPr="00FB3F7F">
        <w:rPr>
          <w:b/>
          <w:lang w:val="fr-CA"/>
        </w:rPr>
        <w:t xml:space="preserve">Examen de l’état d’avancement par le Secrétariat </w:t>
      </w:r>
    </w:p>
    <w:p w:rsidR="00BA5619" w:rsidRPr="00FB3F7F" w:rsidRDefault="00BA5619" w:rsidP="00BA5619">
      <w:pPr>
        <w:rPr>
          <w:lang w:val="fr-CA"/>
        </w:rPr>
      </w:pPr>
    </w:p>
    <w:p w:rsidR="00BA5619" w:rsidRPr="00FB3F7F" w:rsidRDefault="00452874" w:rsidP="00BA5619">
      <w:pPr>
        <w:pStyle w:val="Heading1"/>
        <w:rPr>
          <w:lang w:val="fr-CA"/>
        </w:rPr>
      </w:pPr>
      <w:r w:rsidRPr="00D62E5D">
        <w:rPr>
          <w:lang w:val="fr-CA"/>
        </w:rPr>
        <w:t>Le Secrétariat a examiné l’état d’avancement de chaque projet en cours par pays, en tenant compte des retards dans la mise en œuvre par rapport aux dates d’achèvement prévu</w:t>
      </w:r>
      <w:r w:rsidR="00994FD0">
        <w:rPr>
          <w:lang w:val="fr-CA"/>
        </w:rPr>
        <w:t>es</w:t>
      </w:r>
      <w:r w:rsidRPr="00D62E5D">
        <w:rPr>
          <w:lang w:val="fr-CA"/>
        </w:rPr>
        <w:t>,</w:t>
      </w:r>
      <w:r w:rsidR="00994FD0">
        <w:rPr>
          <w:lang w:val="fr-CA"/>
        </w:rPr>
        <w:t xml:space="preserve"> qui ont été</w:t>
      </w:r>
      <w:r w:rsidRPr="00D62E5D">
        <w:rPr>
          <w:lang w:val="fr-CA"/>
        </w:rPr>
        <w:t xml:space="preserve"> déclarés en</w:t>
      </w:r>
      <w:r w:rsidR="00994FD0">
        <w:rPr>
          <w:lang w:val="fr-CA"/>
        </w:rPr>
        <w:t> </w:t>
      </w:r>
      <w:r w:rsidRPr="00D62E5D">
        <w:rPr>
          <w:lang w:val="fr-CA"/>
        </w:rPr>
        <w:t xml:space="preserve">2018, </w:t>
      </w:r>
      <w:r w:rsidR="00FB3F7F">
        <w:rPr>
          <w:lang w:val="fr-CA"/>
        </w:rPr>
        <w:t xml:space="preserve">et </w:t>
      </w:r>
      <w:r w:rsidR="00D62E5D" w:rsidRPr="00D62E5D">
        <w:rPr>
          <w:lang w:val="fr-CA"/>
        </w:rPr>
        <w:t xml:space="preserve">l’incidence potentielle de ces retards sur l’élimination des substances réglementées et le taux de décaissement prévu. Le Secrétariat a eu plusieurs discussions avec le PNUD, au cours desquelles un certain nombre de questions au sujet des projets en cours ont été </w:t>
      </w:r>
      <w:r w:rsidR="00F80949">
        <w:rPr>
          <w:lang w:val="fr-CA"/>
        </w:rPr>
        <w:t xml:space="preserve">soulevées </w:t>
      </w:r>
      <w:r w:rsidR="00994FD0">
        <w:rPr>
          <w:lang w:val="fr-CA"/>
        </w:rPr>
        <w:t>puis</w:t>
      </w:r>
      <w:r w:rsidR="00D62E5D" w:rsidRPr="00D62E5D">
        <w:rPr>
          <w:lang w:val="fr-CA"/>
        </w:rPr>
        <w:t xml:space="preserve"> </w:t>
      </w:r>
      <w:r w:rsidR="00F80949">
        <w:rPr>
          <w:lang w:val="fr-CA"/>
        </w:rPr>
        <w:t>résolues</w:t>
      </w:r>
      <w:r w:rsidR="00D62E5D" w:rsidRPr="00D62E5D">
        <w:rPr>
          <w:lang w:val="fr-CA"/>
        </w:rPr>
        <w:t xml:space="preserve"> ultérieurement de manière s</w:t>
      </w:r>
      <w:r w:rsidR="00D62E5D" w:rsidRPr="00687780">
        <w:rPr>
          <w:lang w:val="fr-CA"/>
        </w:rPr>
        <w:t>atisfaisante.</w:t>
      </w:r>
    </w:p>
    <w:p w:rsidR="00D61520" w:rsidRDefault="00D61520">
      <w:pPr>
        <w:jc w:val="left"/>
        <w:rPr>
          <w:rFonts w:ascii="Times New Roman Bold" w:hAnsi="Times New Roman Bold"/>
          <w:b/>
          <w:bCs/>
          <w:caps/>
          <w:szCs w:val="28"/>
          <w:lang w:val="fr-CA"/>
        </w:rPr>
      </w:pPr>
      <w:r>
        <w:rPr>
          <w:rFonts w:ascii="Times New Roman Bold" w:hAnsi="Times New Roman Bold"/>
          <w:b/>
          <w:bCs/>
          <w:caps/>
          <w:szCs w:val="28"/>
          <w:lang w:val="fr-CA"/>
        </w:rPr>
        <w:br w:type="page"/>
      </w:r>
    </w:p>
    <w:p w:rsidR="00BA5619" w:rsidRPr="00787DA7" w:rsidRDefault="00BA5619" w:rsidP="00BA5619">
      <w:pPr>
        <w:pStyle w:val="Heading1"/>
        <w:keepNext/>
        <w:keepLines/>
        <w:numPr>
          <w:ilvl w:val="0"/>
          <w:numId w:val="0"/>
        </w:numPr>
        <w:ind w:left="1440" w:hanging="1440"/>
        <w:rPr>
          <w:rFonts w:ascii="Times New Roman Bold" w:hAnsi="Times New Roman Bold"/>
          <w:b/>
          <w:bCs/>
          <w:caps/>
          <w:szCs w:val="28"/>
          <w:lang w:val="fr-CA"/>
        </w:rPr>
      </w:pPr>
      <w:r w:rsidRPr="00787DA7">
        <w:rPr>
          <w:rFonts w:ascii="Times New Roman Bold" w:hAnsi="Times New Roman Bold"/>
          <w:b/>
          <w:bCs/>
          <w:caps/>
          <w:szCs w:val="28"/>
          <w:lang w:val="fr-CA"/>
        </w:rPr>
        <w:lastRenderedPageBreak/>
        <w:t>Part</w:t>
      </w:r>
      <w:r w:rsidR="00DC4726" w:rsidRPr="00787DA7">
        <w:rPr>
          <w:rFonts w:ascii="Times New Roman Bold" w:hAnsi="Times New Roman Bold"/>
          <w:b/>
          <w:bCs/>
          <w:caps/>
          <w:szCs w:val="28"/>
          <w:lang w:val="fr-CA"/>
        </w:rPr>
        <w:t>IE</w:t>
      </w:r>
      <w:r w:rsidR="00DC4726" w:rsidRPr="00787DA7">
        <w:rPr>
          <w:rFonts w:ascii="Times New Roman Bold" w:hAnsi="Times New Roman Bold" w:hint="eastAsia"/>
          <w:b/>
          <w:bCs/>
          <w:caps/>
          <w:szCs w:val="28"/>
          <w:lang w:val="fr-CA"/>
        </w:rPr>
        <w:t> </w:t>
      </w:r>
      <w:r w:rsidRPr="00787DA7">
        <w:rPr>
          <w:rFonts w:ascii="Times New Roman Bold" w:hAnsi="Times New Roman Bold"/>
          <w:b/>
          <w:bCs/>
          <w:caps/>
          <w:szCs w:val="28"/>
          <w:lang w:val="fr-CA"/>
        </w:rPr>
        <w:t>I</w:t>
      </w:r>
      <w:r w:rsidR="001152EB" w:rsidRPr="00787DA7">
        <w:rPr>
          <w:rFonts w:ascii="Times New Roman Bold" w:hAnsi="Times New Roman Bold"/>
          <w:b/>
          <w:bCs/>
          <w:caps/>
          <w:szCs w:val="28"/>
          <w:lang w:val="fr-CA"/>
        </w:rPr>
        <w:t> :</w:t>
      </w:r>
      <w:r w:rsidRPr="00787DA7">
        <w:rPr>
          <w:rFonts w:ascii="Times New Roman Bold" w:hAnsi="Times New Roman Bold"/>
          <w:b/>
          <w:bCs/>
          <w:caps/>
          <w:szCs w:val="28"/>
          <w:lang w:val="fr-CA"/>
        </w:rPr>
        <w:t xml:space="preserve"> </w:t>
      </w:r>
      <w:r w:rsidRPr="00787DA7">
        <w:rPr>
          <w:rFonts w:ascii="Times New Roman Bold" w:hAnsi="Times New Roman Bold"/>
          <w:b/>
          <w:bCs/>
          <w:caps/>
          <w:szCs w:val="28"/>
          <w:lang w:val="fr-CA"/>
        </w:rPr>
        <w:tab/>
      </w:r>
      <w:r w:rsidR="00994FD0" w:rsidRPr="00787DA7">
        <w:rPr>
          <w:b/>
          <w:bCs/>
          <w:szCs w:val="28"/>
          <w:lang w:val="fr-CA"/>
        </w:rPr>
        <w:t>PROJETS APPROUVÉS AU TITRE DES CONTRIBUTIONS ORDINAIRES AU FONDS MULTILATÉRAL</w:t>
      </w:r>
    </w:p>
    <w:p w:rsidR="00BA5619" w:rsidRPr="00087FF6" w:rsidRDefault="00087FF6" w:rsidP="00BA5619">
      <w:pPr>
        <w:rPr>
          <w:b/>
          <w:lang w:val="fr-CA"/>
        </w:rPr>
      </w:pPr>
      <w:r w:rsidRPr="00087FF6">
        <w:rPr>
          <w:b/>
          <w:lang w:val="fr-CA"/>
        </w:rPr>
        <w:t>Sommaire de l’état d’avancement des projets pour</w:t>
      </w:r>
      <w:r w:rsidR="00FE0F74">
        <w:rPr>
          <w:b/>
          <w:lang w:val="fr-CA"/>
        </w:rPr>
        <w:t> </w:t>
      </w:r>
      <w:r w:rsidRPr="00087FF6">
        <w:rPr>
          <w:b/>
          <w:lang w:val="fr-CA"/>
        </w:rPr>
        <w:t>2018 et des progrès cumulatifs</w:t>
      </w:r>
    </w:p>
    <w:p w:rsidR="00BA5619" w:rsidRPr="00087FF6" w:rsidRDefault="00BA5619" w:rsidP="00BA5619">
      <w:pPr>
        <w:rPr>
          <w:lang w:val="fr-CA"/>
        </w:rPr>
      </w:pPr>
    </w:p>
    <w:p w:rsidR="00BA5619" w:rsidRPr="00087FF6" w:rsidRDefault="00087FF6" w:rsidP="00BA5619">
      <w:pPr>
        <w:pStyle w:val="Heading1"/>
        <w:rPr>
          <w:lang w:val="fr-CA"/>
        </w:rPr>
      </w:pPr>
      <w:r w:rsidRPr="00087FF6">
        <w:rPr>
          <w:lang w:val="fr-CA"/>
        </w:rPr>
        <w:t>La mise en œuvre des projets et des activités par le PNUD pour</w:t>
      </w:r>
      <w:r w:rsidR="00FE0F74">
        <w:rPr>
          <w:lang w:val="fr-CA"/>
        </w:rPr>
        <w:t> </w:t>
      </w:r>
      <w:r w:rsidRPr="00087FF6">
        <w:rPr>
          <w:lang w:val="fr-CA"/>
        </w:rPr>
        <w:t xml:space="preserve">2018 et </w:t>
      </w:r>
      <w:r w:rsidR="00FE0F74">
        <w:rPr>
          <w:lang w:val="fr-CA"/>
        </w:rPr>
        <w:t>l</w:t>
      </w:r>
      <w:r w:rsidRPr="00087FF6">
        <w:rPr>
          <w:lang w:val="fr-CA"/>
        </w:rPr>
        <w:t>es progrès cumulatifs depuis 1991 jusqu’au 31</w:t>
      </w:r>
      <w:r w:rsidR="008F0113">
        <w:rPr>
          <w:lang w:val="fr-CA"/>
        </w:rPr>
        <w:t> </w:t>
      </w:r>
      <w:r w:rsidRPr="00087FF6">
        <w:rPr>
          <w:lang w:val="fr-CA"/>
        </w:rPr>
        <w:t>décembre</w:t>
      </w:r>
      <w:r w:rsidR="008F0113">
        <w:rPr>
          <w:lang w:val="fr-CA"/>
        </w:rPr>
        <w:t> </w:t>
      </w:r>
      <w:r w:rsidRPr="00087FF6">
        <w:rPr>
          <w:lang w:val="fr-CA"/>
        </w:rPr>
        <w:t xml:space="preserve">2018 </w:t>
      </w:r>
      <w:r>
        <w:rPr>
          <w:lang w:val="fr-CA"/>
        </w:rPr>
        <w:t>sont récapitulés comme suit</w:t>
      </w:r>
      <w:r w:rsidR="008F0113">
        <w:rPr>
          <w:lang w:val="fr-CA"/>
        </w:rPr>
        <w:t> </w:t>
      </w:r>
      <w:r>
        <w:rPr>
          <w:lang w:val="fr-CA"/>
        </w:rPr>
        <w:t xml:space="preserve">: </w:t>
      </w:r>
    </w:p>
    <w:p w:rsidR="00BA5619" w:rsidRPr="000C2EE3" w:rsidRDefault="00087FF6" w:rsidP="00DC4726">
      <w:pPr>
        <w:pStyle w:val="Heading2"/>
        <w:rPr>
          <w:lang w:val="fr-CA"/>
        </w:rPr>
      </w:pPr>
      <w:r w:rsidRPr="00087FF6">
        <w:rPr>
          <w:b/>
          <w:bCs/>
          <w:lang w:val="fr-CA"/>
        </w:rPr>
        <w:t>Élimination</w:t>
      </w:r>
      <w:r w:rsidR="001152EB" w:rsidRPr="00087FF6">
        <w:rPr>
          <w:b/>
          <w:bCs/>
          <w:lang w:val="fr-CA"/>
        </w:rPr>
        <w:t> :</w:t>
      </w:r>
      <w:r w:rsidR="00BA5619" w:rsidRPr="00C04B9F">
        <w:rPr>
          <w:rStyle w:val="FootnoteReference"/>
          <w:bCs/>
          <w:lang w:val="en-CA"/>
        </w:rPr>
        <w:footnoteReference w:id="4"/>
      </w:r>
      <w:r w:rsidR="00BA5619" w:rsidRPr="00087FF6">
        <w:rPr>
          <w:lang w:val="fr-CA"/>
        </w:rPr>
        <w:t xml:space="preserve"> </w:t>
      </w:r>
      <w:r w:rsidR="00FE0F74">
        <w:rPr>
          <w:lang w:val="fr-CA"/>
        </w:rPr>
        <w:t>e</w:t>
      </w:r>
      <w:r w:rsidRPr="00087FF6">
        <w:rPr>
          <w:lang w:val="fr-CA"/>
        </w:rPr>
        <w:t>n 2018, 24</w:t>
      </w:r>
      <w:r w:rsidR="00E76718">
        <w:rPr>
          <w:lang w:val="fr-CA"/>
        </w:rPr>
        <w:t>3</w:t>
      </w:r>
      <w:r w:rsidRPr="00087FF6">
        <w:rPr>
          <w:lang w:val="fr-CA"/>
        </w:rPr>
        <w:t>,6</w:t>
      </w:r>
      <w:r w:rsidR="000C2EE3">
        <w:rPr>
          <w:lang w:val="fr-CA"/>
        </w:rPr>
        <w:t> tonnes PAO</w:t>
      </w:r>
      <w:r w:rsidRPr="00087FF6">
        <w:rPr>
          <w:lang w:val="fr-CA"/>
        </w:rPr>
        <w:t xml:space="preserve"> de consommation de substances réglementées ont été éliminées, et </w:t>
      </w:r>
      <w:r w:rsidR="00E76718">
        <w:rPr>
          <w:lang w:val="fr-CA"/>
        </w:rPr>
        <w:t>74</w:t>
      </w:r>
      <w:r w:rsidRPr="00087FF6">
        <w:rPr>
          <w:lang w:val="fr-CA"/>
        </w:rPr>
        <w:t>6,6</w:t>
      </w:r>
      <w:r w:rsidR="000C2EE3">
        <w:rPr>
          <w:lang w:val="fr-CA"/>
        </w:rPr>
        <w:t> tonnes PAO</w:t>
      </w:r>
      <w:r w:rsidRPr="00087FF6">
        <w:rPr>
          <w:lang w:val="fr-CA"/>
        </w:rPr>
        <w:t xml:space="preserve"> supplémentaires </w:t>
      </w:r>
      <w:r>
        <w:rPr>
          <w:lang w:val="fr-CA"/>
        </w:rPr>
        <w:t xml:space="preserve">ont été </w:t>
      </w:r>
      <w:r w:rsidR="008F0113">
        <w:rPr>
          <w:lang w:val="fr-CA"/>
        </w:rPr>
        <w:t>approuvées</w:t>
      </w:r>
      <w:r>
        <w:rPr>
          <w:lang w:val="fr-CA"/>
        </w:rPr>
        <w:t xml:space="preserve"> aux fins d’élimination. </w:t>
      </w:r>
      <w:r w:rsidRPr="00087FF6">
        <w:rPr>
          <w:lang w:val="fr-CA"/>
        </w:rPr>
        <w:t>Depuis 1991, 67 009</w:t>
      </w:r>
      <w:r w:rsidR="000C2EE3">
        <w:rPr>
          <w:lang w:val="fr-CA"/>
        </w:rPr>
        <w:t> tonnes PAO</w:t>
      </w:r>
      <w:r w:rsidRPr="00087FF6">
        <w:rPr>
          <w:lang w:val="fr-CA"/>
        </w:rPr>
        <w:t xml:space="preserve"> de consommation de substances réglementées ont été éliminées, sur un total prévu de 68 281</w:t>
      </w:r>
      <w:r w:rsidR="000C2EE3">
        <w:rPr>
          <w:lang w:val="fr-CA"/>
        </w:rPr>
        <w:t> tonnes PAO</w:t>
      </w:r>
      <w:r w:rsidRPr="00087FF6">
        <w:rPr>
          <w:lang w:val="fr-CA"/>
        </w:rPr>
        <w:t xml:space="preserve"> </w:t>
      </w:r>
      <w:r>
        <w:rPr>
          <w:lang w:val="fr-CA"/>
        </w:rPr>
        <w:t xml:space="preserve">liées aux projets approuvés (excluant les projets annulés et transférés); </w:t>
      </w:r>
    </w:p>
    <w:p w:rsidR="00BA5619" w:rsidRPr="00FB3F7F" w:rsidRDefault="00087FF6" w:rsidP="00BA5619">
      <w:pPr>
        <w:pStyle w:val="Heading2"/>
        <w:rPr>
          <w:lang w:val="fr-CA"/>
        </w:rPr>
      </w:pPr>
      <w:r w:rsidRPr="00087FF6">
        <w:rPr>
          <w:b/>
          <w:bCs/>
          <w:lang w:val="fr-CA"/>
        </w:rPr>
        <w:t>Décaissements/approbation</w:t>
      </w:r>
      <w:r w:rsidR="00E76718">
        <w:rPr>
          <w:b/>
          <w:bCs/>
          <w:lang w:val="fr-CA"/>
        </w:rPr>
        <w:t>s</w:t>
      </w:r>
      <w:r w:rsidR="001152EB" w:rsidRPr="00087FF6">
        <w:rPr>
          <w:b/>
          <w:bCs/>
          <w:lang w:val="fr-CA"/>
        </w:rPr>
        <w:t> :</w:t>
      </w:r>
      <w:r w:rsidR="00BA5619" w:rsidRPr="00087FF6">
        <w:rPr>
          <w:lang w:val="fr-CA"/>
        </w:rPr>
        <w:t xml:space="preserve"> </w:t>
      </w:r>
      <w:r w:rsidR="00E76718">
        <w:rPr>
          <w:lang w:val="fr-CA"/>
        </w:rPr>
        <w:t xml:space="preserve">en </w:t>
      </w:r>
      <w:r w:rsidRPr="00087FF6">
        <w:rPr>
          <w:lang w:val="fr-CA"/>
        </w:rPr>
        <w:t>2018,</w:t>
      </w:r>
      <w:r w:rsidR="00E76718">
        <w:rPr>
          <w:lang w:val="fr-CA"/>
        </w:rPr>
        <w:t xml:space="preserve"> </w:t>
      </w:r>
      <w:r w:rsidRPr="00087FF6">
        <w:rPr>
          <w:lang w:val="fr-CA"/>
        </w:rPr>
        <w:t>41</w:t>
      </w:r>
      <w:r w:rsidR="00E76718">
        <w:rPr>
          <w:lang w:val="fr-CA"/>
        </w:rPr>
        <w:t>,</w:t>
      </w:r>
      <w:r w:rsidRPr="00087FF6">
        <w:rPr>
          <w:lang w:val="fr-CA"/>
        </w:rPr>
        <w:t>43</w:t>
      </w:r>
      <w:r w:rsidR="00E76718">
        <w:rPr>
          <w:lang w:val="fr-CA"/>
        </w:rPr>
        <w:t> </w:t>
      </w:r>
      <w:r w:rsidRPr="00087FF6">
        <w:rPr>
          <w:lang w:val="fr-CA"/>
        </w:rPr>
        <w:t>millions</w:t>
      </w:r>
      <w:r w:rsidR="008F0113">
        <w:rPr>
          <w:lang w:val="fr-CA"/>
        </w:rPr>
        <w:t> </w:t>
      </w:r>
      <w:r w:rsidR="00E76718">
        <w:rPr>
          <w:lang w:val="fr-CA"/>
        </w:rPr>
        <w:t>$US</w:t>
      </w:r>
      <w:r w:rsidRPr="00087FF6">
        <w:rPr>
          <w:lang w:val="fr-CA"/>
        </w:rPr>
        <w:t xml:space="preserve"> ont été décaissé</w:t>
      </w:r>
      <w:r w:rsidR="00E76718">
        <w:rPr>
          <w:lang w:val="fr-CA"/>
        </w:rPr>
        <w:t>s</w:t>
      </w:r>
      <w:r w:rsidRPr="00087FF6">
        <w:rPr>
          <w:lang w:val="fr-CA"/>
        </w:rPr>
        <w:t>, et 24,</w:t>
      </w:r>
      <w:r w:rsidR="008F0113">
        <w:rPr>
          <w:lang w:val="fr-CA"/>
        </w:rPr>
        <w:t>92 millions </w:t>
      </w:r>
      <w:r w:rsidR="00E76718">
        <w:rPr>
          <w:lang w:val="fr-CA"/>
        </w:rPr>
        <w:t>$US</w:t>
      </w:r>
      <w:r w:rsidRPr="00087FF6">
        <w:rPr>
          <w:lang w:val="fr-CA"/>
        </w:rPr>
        <w:t xml:space="preserve"> ont été prévus pour décaissement </w:t>
      </w:r>
      <w:r w:rsidR="00E76718">
        <w:rPr>
          <w:lang w:val="fr-CA"/>
        </w:rPr>
        <w:t>s</w:t>
      </w:r>
      <w:r w:rsidRPr="00087FF6">
        <w:rPr>
          <w:lang w:val="fr-CA"/>
        </w:rPr>
        <w:t>elon le rapport périodique de</w:t>
      </w:r>
      <w:r w:rsidR="00E76718">
        <w:rPr>
          <w:lang w:val="fr-CA"/>
        </w:rPr>
        <w:t> </w:t>
      </w:r>
      <w:r w:rsidRPr="00087FF6">
        <w:rPr>
          <w:lang w:val="fr-CA"/>
        </w:rPr>
        <w:t>2017, correspondant à un taux de décaissement de 166</w:t>
      </w:r>
      <w:r w:rsidR="00E76718">
        <w:rPr>
          <w:lang w:val="fr-CA"/>
        </w:rPr>
        <w:t> %</w:t>
      </w:r>
      <w:r w:rsidRPr="00087FF6">
        <w:rPr>
          <w:lang w:val="fr-CA"/>
        </w:rPr>
        <w:t xml:space="preserve"> par rapport aux prévisions. Cumulativement, 745,</w:t>
      </w:r>
      <w:r w:rsidR="008F0113">
        <w:rPr>
          <w:lang w:val="fr-CA"/>
        </w:rPr>
        <w:t>56 millions </w:t>
      </w:r>
      <w:r w:rsidR="00E76718">
        <w:rPr>
          <w:lang w:val="fr-CA"/>
        </w:rPr>
        <w:t>$US</w:t>
      </w:r>
      <w:r w:rsidRPr="00087FF6">
        <w:rPr>
          <w:lang w:val="fr-CA"/>
        </w:rPr>
        <w:t xml:space="preserve"> ont été décaissés sur un total de</w:t>
      </w:r>
      <w:r w:rsidR="00E76718">
        <w:rPr>
          <w:lang w:val="fr-CA"/>
        </w:rPr>
        <w:t> </w:t>
      </w:r>
      <w:r w:rsidRPr="00087FF6">
        <w:rPr>
          <w:lang w:val="fr-CA"/>
        </w:rPr>
        <w:t>822,</w:t>
      </w:r>
      <w:r w:rsidR="008F0113">
        <w:rPr>
          <w:lang w:val="fr-CA"/>
        </w:rPr>
        <w:t>21 millions </w:t>
      </w:r>
      <w:r w:rsidR="00E76718">
        <w:rPr>
          <w:lang w:val="fr-CA"/>
        </w:rPr>
        <w:t>$US</w:t>
      </w:r>
      <w:r w:rsidRPr="00087FF6">
        <w:rPr>
          <w:lang w:val="fr-CA"/>
        </w:rPr>
        <w:t xml:space="preserve"> approuvés pour décaissement (excluant </w:t>
      </w:r>
      <w:r>
        <w:rPr>
          <w:lang w:val="fr-CA"/>
        </w:rPr>
        <w:t xml:space="preserve">les coûts d’appui d’agence). </w:t>
      </w:r>
      <w:r w:rsidRPr="00E76718">
        <w:rPr>
          <w:lang w:val="fr-CA"/>
        </w:rPr>
        <w:t>Cela représente un taux de décaissement de 91</w:t>
      </w:r>
      <w:r w:rsidR="00E76718" w:rsidRPr="00E76718">
        <w:rPr>
          <w:lang w:val="fr-CA"/>
        </w:rPr>
        <w:t> %</w:t>
      </w:r>
      <w:r w:rsidRPr="00E76718">
        <w:rPr>
          <w:lang w:val="fr-CA"/>
        </w:rPr>
        <w:t xml:space="preserve">. </w:t>
      </w:r>
      <w:r w:rsidR="00160951" w:rsidRPr="00FB3F7F">
        <w:rPr>
          <w:lang w:val="fr-CA"/>
        </w:rPr>
        <w:t>En 2018,</w:t>
      </w:r>
      <w:r w:rsidR="008F0113" w:rsidRPr="00FB3F7F">
        <w:rPr>
          <w:lang w:val="fr-CA"/>
        </w:rPr>
        <w:t xml:space="preserve"> un</w:t>
      </w:r>
      <w:r w:rsidR="00160951" w:rsidRPr="00FB3F7F">
        <w:rPr>
          <w:lang w:val="fr-CA"/>
        </w:rPr>
        <w:t xml:space="preserve"> montant de 40,</w:t>
      </w:r>
      <w:r w:rsidR="008F0113" w:rsidRPr="00FB3F7F">
        <w:rPr>
          <w:lang w:val="fr-CA"/>
        </w:rPr>
        <w:t>27 millions </w:t>
      </w:r>
      <w:r w:rsidR="00160951" w:rsidRPr="00FB3F7F">
        <w:rPr>
          <w:lang w:val="fr-CA"/>
        </w:rPr>
        <w:t>$US a été approuvé pour la mise en œuvre de projets;</w:t>
      </w:r>
    </w:p>
    <w:p w:rsidR="00BA5619" w:rsidRPr="00D2488D" w:rsidRDefault="00160951" w:rsidP="00BA5619">
      <w:pPr>
        <w:pStyle w:val="Heading2"/>
        <w:rPr>
          <w:lang w:val="fr-CA"/>
        </w:rPr>
      </w:pPr>
      <w:r w:rsidRPr="00160951">
        <w:rPr>
          <w:b/>
          <w:lang w:val="fr-CA"/>
        </w:rPr>
        <w:t>Coût-efficacité (en</w:t>
      </w:r>
      <w:r w:rsidR="000C2EE3">
        <w:rPr>
          <w:b/>
          <w:lang w:val="fr-CA"/>
        </w:rPr>
        <w:t> tonnes PAO</w:t>
      </w:r>
      <w:r w:rsidRPr="00160951">
        <w:rPr>
          <w:b/>
          <w:lang w:val="fr-CA"/>
        </w:rPr>
        <w:t>)</w:t>
      </w:r>
      <w:r w:rsidR="001152EB" w:rsidRPr="00160951">
        <w:rPr>
          <w:b/>
          <w:lang w:val="fr-CA"/>
        </w:rPr>
        <w:t> :</w:t>
      </w:r>
      <w:r w:rsidR="00BA5619" w:rsidRPr="00C04B9F">
        <w:rPr>
          <w:rStyle w:val="FootnoteReference"/>
          <w:bCs/>
          <w:lang w:val="en-CA"/>
        </w:rPr>
        <w:footnoteReference w:id="5"/>
      </w:r>
      <w:r w:rsidR="00BA5619" w:rsidRPr="00160951">
        <w:rPr>
          <w:b/>
          <w:lang w:val="fr-CA"/>
        </w:rPr>
        <w:t xml:space="preserve"> </w:t>
      </w:r>
      <w:r w:rsidR="00E76718">
        <w:rPr>
          <w:bCs/>
          <w:lang w:val="fr-CA"/>
        </w:rPr>
        <w:t>d</w:t>
      </w:r>
      <w:r w:rsidRPr="00160951">
        <w:rPr>
          <w:bCs/>
          <w:lang w:val="fr-CA"/>
        </w:rPr>
        <w:t>epuis 1991, le rapport coût-efficacité moyen des projets d’investissement approuvé</w:t>
      </w:r>
      <w:r w:rsidR="00E76718">
        <w:rPr>
          <w:bCs/>
          <w:lang w:val="fr-CA"/>
        </w:rPr>
        <w:t>s</w:t>
      </w:r>
      <w:r w:rsidRPr="00160951">
        <w:rPr>
          <w:bCs/>
          <w:lang w:val="fr-CA"/>
        </w:rPr>
        <w:t xml:space="preserve"> entraînant une réduction permanente de la consommation est de 10,58/</w:t>
      </w:r>
      <w:r w:rsidR="00E76718">
        <w:rPr>
          <w:bCs/>
          <w:lang w:val="fr-CA"/>
        </w:rPr>
        <w:t>kg</w:t>
      </w:r>
      <w:r w:rsidR="00D2488D">
        <w:rPr>
          <w:bCs/>
          <w:lang w:val="fr-CA"/>
        </w:rPr>
        <w:t> </w:t>
      </w:r>
      <w:r w:rsidR="00E76718">
        <w:rPr>
          <w:bCs/>
          <w:lang w:val="fr-CA"/>
        </w:rPr>
        <w:t>$US</w:t>
      </w:r>
      <w:r w:rsidRPr="00160951">
        <w:rPr>
          <w:bCs/>
          <w:lang w:val="fr-CA"/>
        </w:rPr>
        <w:t>. Le rapport coût</w:t>
      </w:r>
      <w:r w:rsidR="00D2488D">
        <w:rPr>
          <w:bCs/>
          <w:lang w:val="fr-CA"/>
        </w:rPr>
        <w:t>-</w:t>
      </w:r>
      <w:r w:rsidRPr="00160951">
        <w:rPr>
          <w:bCs/>
          <w:lang w:val="fr-CA"/>
        </w:rPr>
        <w:t>efficacité moyen des projets d’investissement par tonne</w:t>
      </w:r>
      <w:r w:rsidR="00D2488D">
        <w:rPr>
          <w:bCs/>
          <w:lang w:val="fr-CA"/>
        </w:rPr>
        <w:t> </w:t>
      </w:r>
      <w:r w:rsidRPr="00160951">
        <w:rPr>
          <w:bCs/>
          <w:lang w:val="fr-CA"/>
        </w:rPr>
        <w:t>PAO e</w:t>
      </w:r>
      <w:r w:rsidR="00FB3F7F">
        <w:rPr>
          <w:bCs/>
          <w:lang w:val="fr-CA"/>
        </w:rPr>
        <w:t>s</w:t>
      </w:r>
      <w:r w:rsidRPr="00160951">
        <w:rPr>
          <w:bCs/>
          <w:lang w:val="fr-CA"/>
        </w:rPr>
        <w:t>t de 8,65/kg</w:t>
      </w:r>
      <w:r w:rsidR="00D2488D">
        <w:rPr>
          <w:bCs/>
          <w:lang w:val="fr-CA"/>
        </w:rPr>
        <w:t> </w:t>
      </w:r>
      <w:r w:rsidR="00E76718">
        <w:rPr>
          <w:bCs/>
          <w:lang w:val="fr-CA"/>
        </w:rPr>
        <w:t>$US</w:t>
      </w:r>
      <w:r w:rsidRPr="00160951">
        <w:rPr>
          <w:bCs/>
          <w:lang w:val="fr-CA"/>
        </w:rPr>
        <w:t xml:space="preserve"> pour les projets achevés et de</w:t>
      </w:r>
      <w:r w:rsidR="00D2488D">
        <w:rPr>
          <w:bCs/>
          <w:lang w:val="fr-CA"/>
        </w:rPr>
        <w:t> </w:t>
      </w:r>
      <w:r w:rsidRPr="00160951">
        <w:rPr>
          <w:bCs/>
          <w:lang w:val="fr-CA"/>
        </w:rPr>
        <w:t>78,65/kg</w:t>
      </w:r>
      <w:r w:rsidR="00D2488D">
        <w:rPr>
          <w:bCs/>
          <w:lang w:val="fr-CA"/>
        </w:rPr>
        <w:t> </w:t>
      </w:r>
      <w:r w:rsidR="00E76718">
        <w:rPr>
          <w:bCs/>
          <w:lang w:val="fr-CA"/>
        </w:rPr>
        <w:t>$US</w:t>
      </w:r>
      <w:r w:rsidRPr="00160951">
        <w:rPr>
          <w:bCs/>
          <w:lang w:val="fr-CA"/>
        </w:rPr>
        <w:t xml:space="preserve"> pour les projets en cours;</w:t>
      </w:r>
      <w:r w:rsidR="00BA5619" w:rsidRPr="00C04B9F">
        <w:rPr>
          <w:rStyle w:val="FootnoteReference"/>
          <w:lang w:val="en-CA"/>
        </w:rPr>
        <w:footnoteReference w:id="6"/>
      </w:r>
      <w:r w:rsidR="00BA5619" w:rsidRPr="00D2488D">
        <w:rPr>
          <w:lang w:val="fr-CA"/>
        </w:rPr>
        <w:t xml:space="preserve"> </w:t>
      </w:r>
    </w:p>
    <w:p w:rsidR="00BA5619" w:rsidRPr="00FB3F7F" w:rsidRDefault="00160951" w:rsidP="00BA5619">
      <w:pPr>
        <w:pStyle w:val="Heading2"/>
        <w:rPr>
          <w:lang w:val="fr-CA"/>
        </w:rPr>
      </w:pPr>
      <w:r w:rsidRPr="00160951">
        <w:rPr>
          <w:b/>
          <w:bCs/>
          <w:lang w:val="fr-CA"/>
        </w:rPr>
        <w:t>Nombre de projets achevés</w:t>
      </w:r>
      <w:r w:rsidR="001152EB" w:rsidRPr="00160951">
        <w:rPr>
          <w:b/>
          <w:bCs/>
          <w:lang w:val="fr-CA"/>
        </w:rPr>
        <w:t> :</w:t>
      </w:r>
      <w:r w:rsidR="00BA5619" w:rsidRPr="00160951">
        <w:rPr>
          <w:lang w:val="fr-CA"/>
        </w:rPr>
        <w:t xml:space="preserve"> </w:t>
      </w:r>
      <w:r w:rsidR="00FF42F9">
        <w:rPr>
          <w:lang w:val="fr-CA"/>
        </w:rPr>
        <w:t>en</w:t>
      </w:r>
      <w:r w:rsidR="00BA5619" w:rsidRPr="00160951">
        <w:rPr>
          <w:lang w:val="fr-CA"/>
        </w:rPr>
        <w:t xml:space="preserve"> 2018, 58</w:t>
      </w:r>
      <w:r w:rsidR="008F0113">
        <w:rPr>
          <w:lang w:val="fr-CA"/>
        </w:rPr>
        <w:t> </w:t>
      </w:r>
      <w:r w:rsidRPr="00160951">
        <w:rPr>
          <w:lang w:val="fr-CA"/>
        </w:rPr>
        <w:t xml:space="preserve">projets ont été achevés. </w:t>
      </w:r>
      <w:r>
        <w:rPr>
          <w:lang w:val="fr-CA"/>
        </w:rPr>
        <w:t>Depuis 1991, sur les 2</w:t>
      </w:r>
      <w:r w:rsidR="00FF42F9">
        <w:rPr>
          <w:lang w:val="fr-CA"/>
        </w:rPr>
        <w:t> </w:t>
      </w:r>
      <w:r>
        <w:rPr>
          <w:lang w:val="fr-CA"/>
        </w:rPr>
        <w:t>4</w:t>
      </w:r>
      <w:r w:rsidR="00FF42F9">
        <w:rPr>
          <w:lang w:val="fr-CA"/>
        </w:rPr>
        <w:t>3</w:t>
      </w:r>
      <w:r>
        <w:rPr>
          <w:lang w:val="fr-CA"/>
        </w:rPr>
        <w:t>5</w:t>
      </w:r>
      <w:r w:rsidR="008F0113">
        <w:rPr>
          <w:lang w:val="fr-CA"/>
        </w:rPr>
        <w:t> </w:t>
      </w:r>
      <w:r>
        <w:rPr>
          <w:lang w:val="fr-CA"/>
        </w:rPr>
        <w:t>projets approuvés (excluant les projets clos ou transférés), 2</w:t>
      </w:r>
      <w:r w:rsidR="00FF42F9">
        <w:rPr>
          <w:lang w:val="fr-CA"/>
        </w:rPr>
        <w:t> </w:t>
      </w:r>
      <w:r>
        <w:rPr>
          <w:lang w:val="fr-CA"/>
        </w:rPr>
        <w:t>289 ont été achevés, pour un taux d’achèvement de 94</w:t>
      </w:r>
      <w:r w:rsidR="00E76718">
        <w:rPr>
          <w:lang w:val="fr-CA"/>
        </w:rPr>
        <w:t> %</w:t>
      </w:r>
      <w:r>
        <w:rPr>
          <w:lang w:val="fr-CA"/>
        </w:rPr>
        <w:t xml:space="preserve">; </w:t>
      </w:r>
    </w:p>
    <w:p w:rsidR="00BA5619" w:rsidRPr="00FF42F9" w:rsidRDefault="00873C5D" w:rsidP="00BA5619">
      <w:pPr>
        <w:pStyle w:val="Heading2"/>
        <w:rPr>
          <w:lang w:val="fr-CA"/>
        </w:rPr>
      </w:pPr>
      <w:r w:rsidRPr="00873C5D">
        <w:rPr>
          <w:b/>
          <w:lang w:val="fr-CA"/>
        </w:rPr>
        <w:t>Vitesse d’exécution –</w:t>
      </w:r>
      <w:r w:rsidR="008F0113">
        <w:rPr>
          <w:b/>
          <w:lang w:val="fr-CA"/>
        </w:rPr>
        <w:t> </w:t>
      </w:r>
      <w:r w:rsidRPr="00873C5D">
        <w:rPr>
          <w:b/>
          <w:lang w:val="fr-CA"/>
        </w:rPr>
        <w:t>projets d’investissement</w:t>
      </w:r>
      <w:r w:rsidR="001152EB" w:rsidRPr="00873C5D">
        <w:rPr>
          <w:b/>
          <w:lang w:val="fr-CA"/>
        </w:rPr>
        <w:t> :</w:t>
      </w:r>
      <w:r w:rsidR="00BA5619" w:rsidRPr="00873C5D">
        <w:rPr>
          <w:b/>
          <w:lang w:val="fr-CA"/>
        </w:rPr>
        <w:t xml:space="preserve"> </w:t>
      </w:r>
      <w:r w:rsidRPr="00873C5D">
        <w:rPr>
          <w:lang w:val="fr-CA"/>
        </w:rPr>
        <w:t>les projets achevés en 2018 ont été terminés en moyenne 4</w:t>
      </w:r>
      <w:r w:rsidR="00FF42F9">
        <w:rPr>
          <w:lang w:val="fr-CA"/>
        </w:rPr>
        <w:t>0</w:t>
      </w:r>
      <w:r w:rsidR="008F0113">
        <w:rPr>
          <w:lang w:val="fr-CA"/>
        </w:rPr>
        <w:t> </w:t>
      </w:r>
      <w:r w:rsidRPr="00873C5D">
        <w:rPr>
          <w:lang w:val="fr-CA"/>
        </w:rPr>
        <w:t xml:space="preserve">mois après leur approbation. Depuis 1991, la durée moyenne d’exécution des projets d’investissement </w:t>
      </w:r>
      <w:r>
        <w:rPr>
          <w:lang w:val="fr-CA"/>
        </w:rPr>
        <w:t>a été de 34</w:t>
      </w:r>
      <w:r w:rsidR="008F0113">
        <w:rPr>
          <w:lang w:val="fr-CA"/>
        </w:rPr>
        <w:t> </w:t>
      </w:r>
      <w:r>
        <w:rPr>
          <w:lang w:val="fr-CA"/>
        </w:rPr>
        <w:t xml:space="preserve">mois après leur approbation. </w:t>
      </w:r>
      <w:r w:rsidRPr="00873C5D">
        <w:rPr>
          <w:lang w:val="fr-CA"/>
        </w:rPr>
        <w:t>Les premiers décaissements ont commencé en moyenne 13</w:t>
      </w:r>
      <w:r w:rsidR="008F0113">
        <w:rPr>
          <w:lang w:val="fr-CA"/>
        </w:rPr>
        <w:t> </w:t>
      </w:r>
      <w:r w:rsidRPr="00873C5D">
        <w:rPr>
          <w:lang w:val="fr-CA"/>
        </w:rPr>
        <w:t xml:space="preserve">mois </w:t>
      </w:r>
      <w:r>
        <w:rPr>
          <w:lang w:val="fr-CA"/>
        </w:rPr>
        <w:t xml:space="preserve">après </w:t>
      </w:r>
      <w:r w:rsidR="00FB3F7F">
        <w:rPr>
          <w:lang w:val="fr-CA"/>
        </w:rPr>
        <w:t>que les projets aient</w:t>
      </w:r>
      <w:r w:rsidR="00FF42F9">
        <w:rPr>
          <w:lang w:val="fr-CA"/>
        </w:rPr>
        <w:t xml:space="preserve"> été approuvés;</w:t>
      </w:r>
    </w:p>
    <w:p w:rsidR="00BA5619" w:rsidRPr="00FB3F7F" w:rsidRDefault="00873C5D" w:rsidP="00BA5619">
      <w:pPr>
        <w:pStyle w:val="Heading2"/>
        <w:rPr>
          <w:lang w:val="fr-CA"/>
        </w:rPr>
      </w:pPr>
      <w:r w:rsidRPr="00873C5D">
        <w:rPr>
          <w:b/>
          <w:lang w:val="fr-CA"/>
        </w:rPr>
        <w:t>Vitesse d’exécution –</w:t>
      </w:r>
      <w:r w:rsidR="008F0113">
        <w:rPr>
          <w:b/>
          <w:lang w:val="fr-CA"/>
        </w:rPr>
        <w:t> </w:t>
      </w:r>
      <w:r w:rsidRPr="00873C5D">
        <w:rPr>
          <w:b/>
          <w:lang w:val="fr-CA"/>
        </w:rPr>
        <w:t>projets ne portant pas sur des investissements</w:t>
      </w:r>
      <w:r w:rsidR="001152EB" w:rsidRPr="00873C5D">
        <w:rPr>
          <w:b/>
          <w:lang w:val="fr-CA"/>
        </w:rPr>
        <w:t> :</w:t>
      </w:r>
      <w:r w:rsidR="00BA5619" w:rsidRPr="00873C5D">
        <w:rPr>
          <w:lang w:val="fr-CA"/>
        </w:rPr>
        <w:t xml:space="preserve"> </w:t>
      </w:r>
      <w:r w:rsidR="00FF42F9">
        <w:rPr>
          <w:lang w:val="fr-CA"/>
        </w:rPr>
        <w:t>les</w:t>
      </w:r>
      <w:r w:rsidR="00BA5619" w:rsidRPr="00873C5D">
        <w:rPr>
          <w:lang w:val="fr-CA"/>
        </w:rPr>
        <w:t xml:space="preserve"> </w:t>
      </w:r>
      <w:r w:rsidRPr="00873C5D">
        <w:rPr>
          <w:lang w:val="fr-CA"/>
        </w:rPr>
        <w:t>projet</w:t>
      </w:r>
      <w:r w:rsidR="00FF42F9">
        <w:rPr>
          <w:lang w:val="fr-CA"/>
        </w:rPr>
        <w:t>s achevés en 20</w:t>
      </w:r>
      <w:r w:rsidRPr="00873C5D">
        <w:rPr>
          <w:lang w:val="fr-CA"/>
        </w:rPr>
        <w:t>18 ont été terminés en moyenne 33</w:t>
      </w:r>
      <w:r w:rsidR="008F0113">
        <w:rPr>
          <w:lang w:val="fr-CA"/>
        </w:rPr>
        <w:t> </w:t>
      </w:r>
      <w:r w:rsidRPr="00873C5D">
        <w:rPr>
          <w:lang w:val="fr-CA"/>
        </w:rPr>
        <w:t>mois après leur approbation. Depuis</w:t>
      </w:r>
      <w:r w:rsidR="00FF42F9">
        <w:rPr>
          <w:lang w:val="fr-CA"/>
        </w:rPr>
        <w:t> </w:t>
      </w:r>
      <w:r w:rsidRPr="00873C5D">
        <w:rPr>
          <w:lang w:val="fr-CA"/>
        </w:rPr>
        <w:t xml:space="preserve">1991, la durée moyenne d’exécution des projets ne portant pas sur des investissements </w:t>
      </w:r>
      <w:r>
        <w:rPr>
          <w:lang w:val="fr-CA"/>
        </w:rPr>
        <w:t>a été de 39</w:t>
      </w:r>
      <w:r w:rsidR="008F0113">
        <w:rPr>
          <w:lang w:val="fr-CA"/>
        </w:rPr>
        <w:t> </w:t>
      </w:r>
      <w:r>
        <w:rPr>
          <w:lang w:val="fr-CA"/>
        </w:rPr>
        <w:t>mois</w:t>
      </w:r>
      <w:r w:rsidR="00FF42F9">
        <w:rPr>
          <w:lang w:val="fr-CA"/>
        </w:rPr>
        <w:t xml:space="preserve"> après leur approbation</w:t>
      </w:r>
      <w:r w:rsidR="00FB3F7F">
        <w:rPr>
          <w:lang w:val="fr-CA"/>
        </w:rPr>
        <w:t xml:space="preserve">. </w:t>
      </w:r>
      <w:r w:rsidR="00FB3F7F" w:rsidRPr="00FB3F7F">
        <w:rPr>
          <w:lang w:val="fr-CA"/>
        </w:rPr>
        <w:t>Les premiers décaissements ont commencé en moyenne 13 mois après que les projets aient été approuvés</w:t>
      </w:r>
      <w:r w:rsidR="00FF42F9">
        <w:rPr>
          <w:lang w:val="fr-CA"/>
        </w:rPr>
        <w:t>;</w:t>
      </w:r>
    </w:p>
    <w:p w:rsidR="00BA5619" w:rsidRPr="00C04B9F" w:rsidRDefault="00873C5D" w:rsidP="00BA5619">
      <w:pPr>
        <w:pStyle w:val="Heading2"/>
        <w:rPr>
          <w:lang w:val="en-CA"/>
        </w:rPr>
      </w:pPr>
      <w:r w:rsidRPr="00873C5D">
        <w:rPr>
          <w:b/>
          <w:bCs/>
          <w:lang w:val="fr-CA"/>
        </w:rPr>
        <w:t>Préparation de projet</w:t>
      </w:r>
      <w:r w:rsidR="001152EB" w:rsidRPr="00873C5D">
        <w:rPr>
          <w:b/>
          <w:bCs/>
          <w:lang w:val="fr-CA"/>
        </w:rPr>
        <w:t> :</w:t>
      </w:r>
      <w:r w:rsidR="00BA5619" w:rsidRPr="00873C5D">
        <w:rPr>
          <w:b/>
          <w:bCs/>
          <w:lang w:val="fr-CA"/>
        </w:rPr>
        <w:t xml:space="preserve"> </w:t>
      </w:r>
      <w:r w:rsidRPr="00873C5D">
        <w:rPr>
          <w:lang w:val="fr-CA"/>
        </w:rPr>
        <w:t>sur les 529</w:t>
      </w:r>
      <w:r w:rsidR="008F0113">
        <w:rPr>
          <w:lang w:val="fr-CA"/>
        </w:rPr>
        <w:t> </w:t>
      </w:r>
      <w:r w:rsidRPr="00873C5D">
        <w:rPr>
          <w:lang w:val="fr-CA"/>
        </w:rPr>
        <w:t>activités de préparation de projet approuvé</w:t>
      </w:r>
      <w:r w:rsidR="00FF42F9">
        <w:rPr>
          <w:lang w:val="fr-CA"/>
        </w:rPr>
        <w:t>es</w:t>
      </w:r>
      <w:r w:rsidRPr="00873C5D">
        <w:rPr>
          <w:lang w:val="fr-CA"/>
        </w:rPr>
        <w:t xml:space="preserve"> </w:t>
      </w:r>
      <w:r>
        <w:rPr>
          <w:lang w:val="fr-CA"/>
        </w:rPr>
        <w:t xml:space="preserve">à la fin </w:t>
      </w:r>
      <w:r>
        <w:rPr>
          <w:lang w:val="fr-CA"/>
        </w:rPr>
        <w:lastRenderedPageBreak/>
        <w:t>de</w:t>
      </w:r>
      <w:r w:rsidR="00FF42F9">
        <w:rPr>
          <w:lang w:val="fr-CA"/>
        </w:rPr>
        <w:t> </w:t>
      </w:r>
      <w:r>
        <w:rPr>
          <w:lang w:val="fr-CA"/>
        </w:rPr>
        <w:t>2018, 517 ont été achevé</w:t>
      </w:r>
      <w:r w:rsidR="00FF42F9">
        <w:rPr>
          <w:lang w:val="fr-CA"/>
        </w:rPr>
        <w:t>e</w:t>
      </w:r>
      <w:r>
        <w:rPr>
          <w:lang w:val="fr-CA"/>
        </w:rPr>
        <w:t>s, laissant ainsi 12</w:t>
      </w:r>
      <w:r w:rsidR="008F0113">
        <w:rPr>
          <w:lang w:val="fr-CA"/>
        </w:rPr>
        <w:t> </w:t>
      </w:r>
      <w:r>
        <w:rPr>
          <w:lang w:val="fr-CA"/>
        </w:rPr>
        <w:t xml:space="preserve">projets en cours. </w:t>
      </w:r>
      <w:r w:rsidR="00FF42F9" w:rsidRPr="00FF42F9">
        <w:rPr>
          <w:lang w:val="en-CA"/>
        </w:rPr>
        <w:t>En</w:t>
      </w:r>
      <w:r w:rsidR="00FF42F9">
        <w:rPr>
          <w:lang w:val="en-CA"/>
        </w:rPr>
        <w:t> 20</w:t>
      </w:r>
      <w:r w:rsidRPr="00873C5D">
        <w:rPr>
          <w:lang w:val="en-CA"/>
        </w:rPr>
        <w:t>18, 12</w:t>
      </w:r>
      <w:r w:rsidR="008F0113">
        <w:rPr>
          <w:lang w:val="en-CA"/>
        </w:rPr>
        <w:t> </w:t>
      </w:r>
      <w:r w:rsidRPr="00873C5D">
        <w:rPr>
          <w:lang w:val="en-CA"/>
        </w:rPr>
        <w:t xml:space="preserve">projets ont été terminés; </w:t>
      </w:r>
    </w:p>
    <w:p w:rsidR="00BA5619" w:rsidRPr="0096254A" w:rsidRDefault="00873C5D" w:rsidP="00BA5619">
      <w:pPr>
        <w:pStyle w:val="Heading2"/>
        <w:rPr>
          <w:lang w:val="fr-CA"/>
        </w:rPr>
      </w:pPr>
      <w:r w:rsidRPr="00873C5D">
        <w:rPr>
          <w:b/>
          <w:bCs/>
          <w:lang w:val="fr-CA"/>
        </w:rPr>
        <w:t>Retard</w:t>
      </w:r>
      <w:r w:rsidR="00FF42F9">
        <w:rPr>
          <w:b/>
          <w:bCs/>
          <w:lang w:val="fr-CA"/>
        </w:rPr>
        <w:t>s</w:t>
      </w:r>
      <w:r w:rsidRPr="00873C5D">
        <w:rPr>
          <w:b/>
          <w:bCs/>
          <w:lang w:val="fr-CA"/>
        </w:rPr>
        <w:t xml:space="preserve"> dans la mise en œuvre</w:t>
      </w:r>
      <w:r w:rsidR="001152EB" w:rsidRPr="00873C5D">
        <w:rPr>
          <w:b/>
          <w:bCs/>
          <w:lang w:val="fr-CA"/>
        </w:rPr>
        <w:t> :</w:t>
      </w:r>
      <w:r w:rsidR="00BA5619" w:rsidRPr="00873C5D">
        <w:rPr>
          <w:lang w:val="fr-CA"/>
        </w:rPr>
        <w:t xml:space="preserve"> </w:t>
      </w:r>
      <w:r w:rsidRPr="00873C5D">
        <w:rPr>
          <w:lang w:val="fr-CA"/>
        </w:rPr>
        <w:t>en tout, 73</w:t>
      </w:r>
      <w:r w:rsidR="008F0113">
        <w:rPr>
          <w:lang w:val="fr-CA"/>
        </w:rPr>
        <w:t> </w:t>
      </w:r>
      <w:r w:rsidRPr="00873C5D">
        <w:rPr>
          <w:lang w:val="fr-CA"/>
        </w:rPr>
        <w:t>projets d’investissement étaient en cours à la fin de</w:t>
      </w:r>
      <w:r w:rsidR="0096254A">
        <w:rPr>
          <w:lang w:val="fr-CA"/>
        </w:rPr>
        <w:t> </w:t>
      </w:r>
      <w:r w:rsidRPr="00873C5D">
        <w:rPr>
          <w:lang w:val="fr-CA"/>
        </w:rPr>
        <w:t xml:space="preserve">2018. Ces projets ont connu en moyenne </w:t>
      </w:r>
      <w:r w:rsidR="0096254A">
        <w:rPr>
          <w:lang w:val="fr-CA"/>
        </w:rPr>
        <w:t xml:space="preserve">un </w:t>
      </w:r>
      <w:r w:rsidRPr="00873C5D">
        <w:rPr>
          <w:lang w:val="fr-CA"/>
        </w:rPr>
        <w:t xml:space="preserve">retard </w:t>
      </w:r>
      <w:r>
        <w:rPr>
          <w:lang w:val="fr-CA"/>
        </w:rPr>
        <w:t>de 13</w:t>
      </w:r>
      <w:r w:rsidR="008F0113">
        <w:rPr>
          <w:lang w:val="fr-CA"/>
        </w:rPr>
        <w:t> </w:t>
      </w:r>
      <w:r>
        <w:rPr>
          <w:lang w:val="fr-CA"/>
        </w:rPr>
        <w:t xml:space="preserve">mois. </w:t>
      </w:r>
      <w:r w:rsidRPr="00873C5D">
        <w:rPr>
          <w:lang w:val="fr-CA"/>
        </w:rPr>
        <w:t xml:space="preserve">Il n’y avait toutefois </w:t>
      </w:r>
      <w:r w:rsidR="008F0113">
        <w:rPr>
          <w:lang w:val="fr-CA"/>
        </w:rPr>
        <w:t>aucun</w:t>
      </w:r>
      <w:r w:rsidRPr="00873C5D">
        <w:rPr>
          <w:lang w:val="fr-CA"/>
        </w:rPr>
        <w:t xml:space="preserve"> </w:t>
      </w:r>
      <w:r w:rsidR="008F0113">
        <w:rPr>
          <w:lang w:val="fr-CA"/>
        </w:rPr>
        <w:t>projet</w:t>
      </w:r>
      <w:r w:rsidRPr="00873C5D">
        <w:rPr>
          <w:lang w:val="fr-CA"/>
        </w:rPr>
        <w:t xml:space="preserve"> </w:t>
      </w:r>
      <w:r w:rsidR="008F0113">
        <w:rPr>
          <w:lang w:val="fr-CA"/>
        </w:rPr>
        <w:t>classé</w:t>
      </w:r>
      <w:r w:rsidRPr="00873C5D">
        <w:rPr>
          <w:lang w:val="fr-CA"/>
        </w:rPr>
        <w:t xml:space="preserve"> comme «</w:t>
      </w:r>
      <w:r w:rsidR="008F0113">
        <w:rPr>
          <w:lang w:val="fr-CA"/>
        </w:rPr>
        <w:t> </w:t>
      </w:r>
      <w:r w:rsidRPr="00873C5D">
        <w:rPr>
          <w:lang w:val="fr-CA"/>
        </w:rPr>
        <w:t>projet</w:t>
      </w:r>
      <w:r w:rsidR="0096254A">
        <w:rPr>
          <w:lang w:val="fr-CA"/>
        </w:rPr>
        <w:t xml:space="preserve"> ayant un</w:t>
      </w:r>
      <w:r w:rsidRPr="00873C5D">
        <w:rPr>
          <w:lang w:val="fr-CA"/>
        </w:rPr>
        <w:t xml:space="preserve"> retard dans la mise en œuvre</w:t>
      </w:r>
      <w:r w:rsidR="008F0113">
        <w:rPr>
          <w:lang w:val="fr-CA"/>
        </w:rPr>
        <w:t> </w:t>
      </w:r>
      <w:r w:rsidRPr="00873C5D">
        <w:rPr>
          <w:lang w:val="fr-CA"/>
        </w:rPr>
        <w:t xml:space="preserve">» </w:t>
      </w:r>
      <w:r w:rsidR="008F0113">
        <w:rPr>
          <w:lang w:val="fr-CA"/>
        </w:rPr>
        <w:t>assujetti</w:t>
      </w:r>
      <w:r>
        <w:rPr>
          <w:lang w:val="fr-CA"/>
        </w:rPr>
        <w:t xml:space="preserve"> aux procédures d’annulation (puisque les activités de pr</w:t>
      </w:r>
      <w:r w:rsidR="0096254A">
        <w:rPr>
          <w:lang w:val="fr-CA"/>
        </w:rPr>
        <w:t>éparation</w:t>
      </w:r>
      <w:r>
        <w:rPr>
          <w:lang w:val="fr-CA"/>
        </w:rPr>
        <w:t xml:space="preserve"> de projet, les accords pluriannuels</w:t>
      </w:r>
      <w:r w:rsidR="0096254A">
        <w:rPr>
          <w:lang w:val="fr-CA"/>
        </w:rPr>
        <w:t xml:space="preserve"> et</w:t>
      </w:r>
      <w:r>
        <w:rPr>
          <w:lang w:val="fr-CA"/>
        </w:rPr>
        <w:t xml:space="preserve"> les activités de renforcement des institutions ne sont pas soumis à de telles procédures); </w:t>
      </w:r>
    </w:p>
    <w:p w:rsidR="00BA5619" w:rsidRPr="0096254A" w:rsidRDefault="00873C5D" w:rsidP="00BA5619">
      <w:pPr>
        <w:pStyle w:val="Heading2"/>
        <w:rPr>
          <w:lang w:val="fr-CA"/>
        </w:rPr>
      </w:pPr>
      <w:r w:rsidRPr="00873C5D">
        <w:rPr>
          <w:b/>
          <w:lang w:val="fr-CA"/>
        </w:rPr>
        <w:t>Accord</w:t>
      </w:r>
      <w:r w:rsidR="0096254A">
        <w:rPr>
          <w:b/>
          <w:lang w:val="fr-CA"/>
        </w:rPr>
        <w:t>s</w:t>
      </w:r>
      <w:r w:rsidRPr="00873C5D">
        <w:rPr>
          <w:b/>
          <w:lang w:val="fr-CA"/>
        </w:rPr>
        <w:t xml:space="preserve"> </w:t>
      </w:r>
      <w:r w:rsidR="00147D7E">
        <w:rPr>
          <w:b/>
          <w:lang w:val="fr-CA"/>
        </w:rPr>
        <w:t>pluriannuels</w:t>
      </w:r>
      <w:r w:rsidR="001152EB" w:rsidRPr="00873C5D">
        <w:rPr>
          <w:lang w:val="fr-CA"/>
        </w:rPr>
        <w:t> :</w:t>
      </w:r>
      <w:r w:rsidR="00BA5619" w:rsidRPr="00873C5D">
        <w:rPr>
          <w:lang w:val="fr-CA"/>
        </w:rPr>
        <w:t xml:space="preserve"> </w:t>
      </w:r>
      <w:r w:rsidR="0096254A">
        <w:rPr>
          <w:lang w:val="fr-CA"/>
        </w:rPr>
        <w:t>e</w:t>
      </w:r>
      <w:r w:rsidR="00BA5619" w:rsidRPr="00873C5D">
        <w:rPr>
          <w:lang w:val="fr-CA"/>
        </w:rPr>
        <w:t xml:space="preserve">n 2018, </w:t>
      </w:r>
      <w:r w:rsidRPr="00873C5D">
        <w:rPr>
          <w:lang w:val="fr-CA"/>
        </w:rPr>
        <w:t>le PNUD assur</w:t>
      </w:r>
      <w:r w:rsidR="0096254A">
        <w:rPr>
          <w:lang w:val="fr-CA"/>
        </w:rPr>
        <w:t>ait</w:t>
      </w:r>
      <w:r w:rsidRPr="00873C5D">
        <w:rPr>
          <w:lang w:val="fr-CA"/>
        </w:rPr>
        <w:t xml:space="preserve"> la mise en œuvre </w:t>
      </w:r>
      <w:r w:rsidR="0096254A">
        <w:rPr>
          <w:lang w:val="fr-CA"/>
        </w:rPr>
        <w:t>de 4</w:t>
      </w:r>
      <w:r w:rsidRPr="00873C5D">
        <w:rPr>
          <w:lang w:val="fr-CA"/>
        </w:rPr>
        <w:t>9</w:t>
      </w:r>
      <w:r w:rsidR="008F0113">
        <w:rPr>
          <w:lang w:val="fr-CA"/>
        </w:rPr>
        <w:t> </w:t>
      </w:r>
      <w:r w:rsidR="0096254A">
        <w:rPr>
          <w:lang w:val="fr-CA"/>
        </w:rPr>
        <w:t>a</w:t>
      </w:r>
      <w:r w:rsidRPr="00873C5D">
        <w:rPr>
          <w:lang w:val="fr-CA"/>
        </w:rPr>
        <w:t xml:space="preserve">ccords pluriannuels pour les plans de gestion de l’élimination </w:t>
      </w:r>
      <w:r>
        <w:rPr>
          <w:lang w:val="fr-CA"/>
        </w:rPr>
        <w:t xml:space="preserve">des HCFC </w:t>
      </w:r>
      <w:r w:rsidRPr="0096254A">
        <w:rPr>
          <w:lang w:val="fr-CA"/>
        </w:rPr>
        <w:t xml:space="preserve">(PGEH). </w:t>
      </w:r>
      <w:r w:rsidRPr="00873C5D">
        <w:rPr>
          <w:lang w:val="fr-CA"/>
        </w:rPr>
        <w:t>Depuis</w:t>
      </w:r>
      <w:r w:rsidR="0096254A">
        <w:rPr>
          <w:lang w:val="fr-CA"/>
        </w:rPr>
        <w:t> </w:t>
      </w:r>
      <w:r w:rsidRPr="00873C5D">
        <w:rPr>
          <w:lang w:val="fr-CA"/>
        </w:rPr>
        <w:t>1</w:t>
      </w:r>
      <w:r w:rsidR="0096254A">
        <w:rPr>
          <w:lang w:val="fr-CA"/>
        </w:rPr>
        <w:t>9</w:t>
      </w:r>
      <w:r w:rsidRPr="00873C5D">
        <w:rPr>
          <w:lang w:val="fr-CA"/>
        </w:rPr>
        <w:t>91, 1</w:t>
      </w:r>
      <w:r w:rsidR="0096254A">
        <w:rPr>
          <w:lang w:val="fr-CA"/>
        </w:rPr>
        <w:t>3</w:t>
      </w:r>
      <w:r w:rsidRPr="00873C5D">
        <w:rPr>
          <w:lang w:val="fr-CA"/>
        </w:rPr>
        <w:t>3</w:t>
      </w:r>
      <w:r w:rsidR="008F0113">
        <w:rPr>
          <w:lang w:val="fr-CA"/>
        </w:rPr>
        <w:t> </w:t>
      </w:r>
      <w:r w:rsidRPr="00873C5D">
        <w:rPr>
          <w:lang w:val="fr-CA"/>
        </w:rPr>
        <w:t xml:space="preserve">accords pluriannuels ont été approuvés, </w:t>
      </w:r>
      <w:r>
        <w:rPr>
          <w:lang w:val="fr-CA"/>
        </w:rPr>
        <w:t>dont 84 sont maintenant achevés.</w:t>
      </w:r>
      <w:r w:rsidR="00BA5619" w:rsidRPr="0096254A">
        <w:rPr>
          <w:lang w:val="fr-CA"/>
        </w:rPr>
        <w:t xml:space="preserve"> </w:t>
      </w:r>
    </w:p>
    <w:p w:rsidR="00BA5619" w:rsidRPr="00873C5D" w:rsidRDefault="00873C5D" w:rsidP="00BA5619">
      <w:pPr>
        <w:pStyle w:val="a--"/>
        <w:suppressAutoHyphens w:val="0"/>
        <w:rPr>
          <w:sz w:val="22"/>
          <w:szCs w:val="22"/>
          <w:lang w:val="fr-CA"/>
        </w:rPr>
      </w:pPr>
      <w:r w:rsidRPr="00873C5D">
        <w:rPr>
          <w:sz w:val="22"/>
          <w:szCs w:val="22"/>
          <w:lang w:val="fr-CA"/>
        </w:rPr>
        <w:t>État</w:t>
      </w:r>
      <w:r w:rsidR="0096254A">
        <w:rPr>
          <w:sz w:val="22"/>
          <w:szCs w:val="22"/>
          <w:lang w:val="fr-CA"/>
        </w:rPr>
        <w:t xml:space="preserve"> d’avancement </w:t>
      </w:r>
      <w:r w:rsidRPr="00873C5D">
        <w:rPr>
          <w:sz w:val="22"/>
          <w:szCs w:val="22"/>
          <w:lang w:val="fr-CA"/>
        </w:rPr>
        <w:t>des projets en 2018</w:t>
      </w:r>
    </w:p>
    <w:p w:rsidR="00BA5619" w:rsidRPr="00873C5D" w:rsidRDefault="00BA5619" w:rsidP="00BA5619">
      <w:pPr>
        <w:pStyle w:val="a--"/>
        <w:suppressAutoHyphens w:val="0"/>
        <w:rPr>
          <w:sz w:val="22"/>
          <w:szCs w:val="22"/>
          <w:lang w:val="fr-CA"/>
        </w:rPr>
      </w:pPr>
    </w:p>
    <w:p w:rsidR="00BA5619" w:rsidRPr="00FB3F7F" w:rsidRDefault="0096254A" w:rsidP="00BA5619">
      <w:pPr>
        <w:pStyle w:val="Heading1"/>
        <w:rPr>
          <w:lang w:val="fr-CA"/>
        </w:rPr>
      </w:pPr>
      <w:r>
        <w:rPr>
          <w:lang w:val="fr-CA"/>
        </w:rPr>
        <w:t>Après le p</w:t>
      </w:r>
      <w:r w:rsidR="00873C5D" w:rsidRPr="0095571B">
        <w:rPr>
          <w:lang w:val="fr-CA"/>
        </w:rPr>
        <w:t xml:space="preserve">rocessus d’examen, </w:t>
      </w:r>
      <w:r>
        <w:rPr>
          <w:lang w:val="fr-CA"/>
        </w:rPr>
        <w:t xml:space="preserve">un </w:t>
      </w:r>
      <w:r w:rsidR="00873C5D" w:rsidRPr="0095571B">
        <w:rPr>
          <w:lang w:val="fr-CA"/>
        </w:rPr>
        <w:t>certain nombre de questions ont été résolu</w:t>
      </w:r>
      <w:r>
        <w:rPr>
          <w:lang w:val="fr-CA"/>
        </w:rPr>
        <w:t>e</w:t>
      </w:r>
      <w:r w:rsidR="00873C5D" w:rsidRPr="0095571B">
        <w:rPr>
          <w:lang w:val="fr-CA"/>
        </w:rPr>
        <w:t xml:space="preserve">s, sauf </w:t>
      </w:r>
      <w:r>
        <w:rPr>
          <w:lang w:val="fr-CA"/>
        </w:rPr>
        <w:t xml:space="preserve">pour deux </w:t>
      </w:r>
      <w:r w:rsidR="00873C5D" w:rsidRPr="0095571B">
        <w:rPr>
          <w:lang w:val="fr-CA"/>
        </w:rPr>
        <w:t>projet</w:t>
      </w:r>
      <w:r>
        <w:rPr>
          <w:lang w:val="fr-CA"/>
        </w:rPr>
        <w:t>s</w:t>
      </w:r>
      <w:r w:rsidR="008F0113">
        <w:rPr>
          <w:lang w:val="fr-CA"/>
        </w:rPr>
        <w:t> </w:t>
      </w:r>
      <w:r w:rsidR="00873C5D" w:rsidRPr="0095571B">
        <w:rPr>
          <w:lang w:val="fr-CA"/>
        </w:rPr>
        <w:t xml:space="preserve">: le premier </w:t>
      </w:r>
      <w:r w:rsidR="0095571B" w:rsidRPr="0095571B">
        <w:rPr>
          <w:lang w:val="fr-CA"/>
        </w:rPr>
        <w:t xml:space="preserve">associé à une tranche d’accord pluriannuel pour l’élimination des HFC, le deuxième à une activité de préparation de projet, </w:t>
      </w:r>
      <w:r w:rsidR="0095571B">
        <w:rPr>
          <w:lang w:val="fr-CA"/>
        </w:rPr>
        <w:t>comme on peut le constater à l’annexe</w:t>
      </w:r>
      <w:r>
        <w:rPr>
          <w:lang w:val="fr-CA"/>
        </w:rPr>
        <w:t> I</w:t>
      </w:r>
      <w:r w:rsidR="0095571B">
        <w:rPr>
          <w:lang w:val="fr-CA"/>
        </w:rPr>
        <w:t xml:space="preserve"> du présent document. Pour </w:t>
      </w:r>
      <w:r>
        <w:rPr>
          <w:lang w:val="fr-CA"/>
        </w:rPr>
        <w:t>chaque</w:t>
      </w:r>
      <w:r w:rsidR="0095571B">
        <w:rPr>
          <w:lang w:val="fr-CA"/>
        </w:rPr>
        <w:t xml:space="preserve"> p</w:t>
      </w:r>
      <w:r w:rsidR="0095571B" w:rsidRPr="0095571B">
        <w:rPr>
          <w:lang w:val="fr-CA"/>
        </w:rPr>
        <w:t xml:space="preserve">rojet en cours, une brève description de l’état d’avancement </w:t>
      </w:r>
      <w:r>
        <w:rPr>
          <w:lang w:val="fr-CA"/>
        </w:rPr>
        <w:t xml:space="preserve">et </w:t>
      </w:r>
      <w:r w:rsidR="0095571B" w:rsidRPr="0095571B">
        <w:rPr>
          <w:lang w:val="fr-CA"/>
        </w:rPr>
        <w:t xml:space="preserve">des questions en suspens </w:t>
      </w:r>
      <w:r>
        <w:rPr>
          <w:lang w:val="fr-CA"/>
        </w:rPr>
        <w:t xml:space="preserve">est </w:t>
      </w:r>
      <w:r w:rsidR="0095571B" w:rsidRPr="0095571B">
        <w:rPr>
          <w:lang w:val="fr-CA"/>
        </w:rPr>
        <w:t>présenté</w:t>
      </w:r>
      <w:r>
        <w:rPr>
          <w:lang w:val="fr-CA"/>
        </w:rPr>
        <w:t>e</w:t>
      </w:r>
      <w:r w:rsidR="0095571B" w:rsidRPr="0095571B">
        <w:rPr>
          <w:lang w:val="fr-CA"/>
        </w:rPr>
        <w:t xml:space="preserve">, et une recommandation est soumise à l’attention du Comité exécutif. </w:t>
      </w:r>
    </w:p>
    <w:p w:rsidR="00BA5619" w:rsidRPr="00147D7E" w:rsidRDefault="0095571B" w:rsidP="00BA5619">
      <w:pPr>
        <w:pStyle w:val="Heading1"/>
        <w:keepNext/>
        <w:keepLines/>
        <w:widowControl w:val="0"/>
        <w:rPr>
          <w:lang w:val="fr-CA"/>
        </w:rPr>
      </w:pPr>
      <w:r w:rsidRPr="0095571B">
        <w:rPr>
          <w:lang w:val="fr-CA"/>
        </w:rPr>
        <w:t>Sur les 107</w:t>
      </w:r>
      <w:r w:rsidR="008F0113">
        <w:rPr>
          <w:lang w:val="fr-CA"/>
        </w:rPr>
        <w:t> </w:t>
      </w:r>
      <w:r w:rsidRPr="0095571B">
        <w:rPr>
          <w:lang w:val="fr-CA"/>
        </w:rPr>
        <w:t xml:space="preserve">projets en cours, à l’exception des activités de renforcement des institutions et de préparation de projet, </w:t>
      </w:r>
      <w:r w:rsidR="00584B9B">
        <w:rPr>
          <w:lang w:val="fr-CA"/>
        </w:rPr>
        <w:t>84</w:t>
      </w:r>
      <w:r w:rsidR="00147D7E">
        <w:rPr>
          <w:lang w:val="fr-CA"/>
        </w:rPr>
        <w:t> </w:t>
      </w:r>
      <w:r w:rsidR="00584B9B">
        <w:rPr>
          <w:lang w:val="fr-CA"/>
        </w:rPr>
        <w:t>projets</w:t>
      </w:r>
      <w:r w:rsidRPr="0095571B">
        <w:rPr>
          <w:lang w:val="fr-CA"/>
        </w:rPr>
        <w:t xml:space="preserve"> ont reporté </w:t>
      </w:r>
      <w:r>
        <w:rPr>
          <w:lang w:val="fr-CA"/>
        </w:rPr>
        <w:t xml:space="preserve">leur </w:t>
      </w:r>
      <w:r w:rsidR="00584B9B">
        <w:rPr>
          <w:lang w:val="fr-CA"/>
        </w:rPr>
        <w:t>d</w:t>
      </w:r>
      <w:r>
        <w:rPr>
          <w:lang w:val="fr-CA"/>
        </w:rPr>
        <w:t>ate prévue d’achèvement depuis le rapport périodique de</w:t>
      </w:r>
      <w:r w:rsidR="00584B9B">
        <w:rPr>
          <w:lang w:val="fr-CA"/>
        </w:rPr>
        <w:t> </w:t>
      </w:r>
      <w:r>
        <w:rPr>
          <w:lang w:val="fr-CA"/>
        </w:rPr>
        <w:t xml:space="preserve">2017. </w:t>
      </w:r>
    </w:p>
    <w:p w:rsidR="00BA5619" w:rsidRPr="002B1CCA" w:rsidRDefault="0095571B" w:rsidP="00BA5619">
      <w:pPr>
        <w:pStyle w:val="Heading1"/>
        <w:rPr>
          <w:lang w:val="fr-CA"/>
        </w:rPr>
      </w:pPr>
      <w:r w:rsidRPr="0095571B">
        <w:rPr>
          <w:lang w:val="fr-CA"/>
        </w:rPr>
        <w:t>Des renseignements détaillés sur l’état d’avancement des projets associés au</w:t>
      </w:r>
      <w:r w:rsidR="002B1CCA">
        <w:rPr>
          <w:lang w:val="fr-CA"/>
        </w:rPr>
        <w:t>x</w:t>
      </w:r>
      <w:r w:rsidRPr="0095571B">
        <w:rPr>
          <w:lang w:val="fr-CA"/>
        </w:rPr>
        <w:t xml:space="preserve"> PGEH en Chine (</w:t>
      </w:r>
      <w:r w:rsidR="002B1CCA">
        <w:rPr>
          <w:lang w:val="fr-CA"/>
        </w:rPr>
        <w:t>p</w:t>
      </w:r>
      <w:r w:rsidRPr="0095571B">
        <w:rPr>
          <w:lang w:val="fr-CA"/>
        </w:rPr>
        <w:t>hase</w:t>
      </w:r>
      <w:r w:rsidR="008F0113">
        <w:rPr>
          <w:lang w:val="fr-CA"/>
        </w:rPr>
        <w:t> </w:t>
      </w:r>
      <w:r w:rsidRPr="0095571B">
        <w:rPr>
          <w:lang w:val="fr-CA"/>
        </w:rPr>
        <w:t>II des</w:t>
      </w:r>
      <w:r w:rsidR="002B1CCA">
        <w:rPr>
          <w:lang w:val="fr-CA"/>
        </w:rPr>
        <w:t xml:space="preserve"> plans des</w:t>
      </w:r>
      <w:r w:rsidRPr="0095571B">
        <w:rPr>
          <w:lang w:val="fr-CA"/>
        </w:rPr>
        <w:t xml:space="preserve"> secteurs de la réfrigération et de la climatisation industrielle</w:t>
      </w:r>
      <w:r w:rsidR="0039745E">
        <w:rPr>
          <w:lang w:val="fr-CA"/>
        </w:rPr>
        <w:t>s</w:t>
      </w:r>
      <w:r w:rsidRPr="0095571B">
        <w:rPr>
          <w:lang w:val="fr-CA"/>
        </w:rPr>
        <w:t xml:space="preserve"> et commerciale</w:t>
      </w:r>
      <w:r w:rsidR="0039745E">
        <w:rPr>
          <w:lang w:val="fr-CA"/>
        </w:rPr>
        <w:t>s</w:t>
      </w:r>
      <w:r w:rsidRPr="0095571B">
        <w:rPr>
          <w:lang w:val="fr-CA"/>
        </w:rPr>
        <w:t xml:space="preserve"> et des solvants)</w:t>
      </w:r>
      <w:r w:rsidR="00BA5619" w:rsidRPr="0095571B">
        <w:rPr>
          <w:lang w:val="fr-CA"/>
        </w:rPr>
        <w:t>,</w:t>
      </w:r>
      <w:r w:rsidR="00BA5619" w:rsidRPr="00C04B9F">
        <w:rPr>
          <w:rStyle w:val="FootnoteReference"/>
          <w:lang w:val="en-CA"/>
        </w:rPr>
        <w:footnoteReference w:id="7"/>
      </w:r>
      <w:r w:rsidR="00BA5619" w:rsidRPr="0095571B">
        <w:rPr>
          <w:lang w:val="fr-CA"/>
        </w:rPr>
        <w:t xml:space="preserve"> </w:t>
      </w:r>
      <w:r w:rsidRPr="0095571B">
        <w:rPr>
          <w:lang w:val="fr-CA"/>
        </w:rPr>
        <w:t>en Colombie</w:t>
      </w:r>
      <w:r w:rsidR="00BA5619" w:rsidRPr="0095571B">
        <w:rPr>
          <w:lang w:val="fr-CA"/>
        </w:rPr>
        <w:t>,</w:t>
      </w:r>
      <w:r w:rsidR="00BA5619" w:rsidRPr="00C04B9F">
        <w:rPr>
          <w:rStyle w:val="FootnoteReference"/>
          <w:lang w:val="en-CA"/>
        </w:rPr>
        <w:footnoteReference w:id="8"/>
      </w:r>
      <w:r w:rsidR="00BA5619" w:rsidRPr="0095571B">
        <w:rPr>
          <w:lang w:val="fr-CA"/>
        </w:rPr>
        <w:t xml:space="preserve"> </w:t>
      </w:r>
      <w:r w:rsidR="002B1CCA">
        <w:rPr>
          <w:lang w:val="fr-CA"/>
        </w:rPr>
        <w:t xml:space="preserve">à </w:t>
      </w:r>
      <w:r w:rsidR="00BA5619" w:rsidRPr="0095571B">
        <w:rPr>
          <w:lang w:val="fr-CA"/>
        </w:rPr>
        <w:t>Costa Rica,</w:t>
      </w:r>
      <w:r w:rsidR="00BA5619" w:rsidRPr="00C04B9F">
        <w:rPr>
          <w:rStyle w:val="FootnoteReference"/>
          <w:lang w:val="en-CA"/>
        </w:rPr>
        <w:footnoteReference w:id="9"/>
      </w:r>
      <w:r w:rsidR="00BA5619" w:rsidRPr="0095571B">
        <w:rPr>
          <w:lang w:val="fr-CA"/>
        </w:rPr>
        <w:t xml:space="preserve"> </w:t>
      </w:r>
      <w:r w:rsidR="002B1CCA">
        <w:rPr>
          <w:lang w:val="fr-CA"/>
        </w:rPr>
        <w:t>en É</w:t>
      </w:r>
      <w:r w:rsidR="00BA5619" w:rsidRPr="0095571B">
        <w:rPr>
          <w:lang w:val="fr-CA"/>
        </w:rPr>
        <w:t>gypt</w:t>
      </w:r>
      <w:r w:rsidR="002B1CCA">
        <w:rPr>
          <w:lang w:val="fr-CA"/>
        </w:rPr>
        <w:t>e</w:t>
      </w:r>
      <w:r w:rsidR="00BA5619" w:rsidRPr="0095571B">
        <w:rPr>
          <w:lang w:val="fr-CA"/>
        </w:rPr>
        <w:t>,</w:t>
      </w:r>
      <w:r w:rsidR="00BA5619" w:rsidRPr="00C04B9F">
        <w:rPr>
          <w:rStyle w:val="FootnoteReference"/>
          <w:lang w:val="en-CA"/>
        </w:rPr>
        <w:footnoteReference w:id="10"/>
      </w:r>
      <w:r w:rsidR="00BA5619" w:rsidRPr="0095571B">
        <w:rPr>
          <w:lang w:val="fr-CA"/>
        </w:rPr>
        <w:t xml:space="preserve"> </w:t>
      </w:r>
      <w:r w:rsidR="002B1CCA">
        <w:rPr>
          <w:lang w:val="fr-CA"/>
        </w:rPr>
        <w:t xml:space="preserve">au </w:t>
      </w:r>
      <w:r w:rsidR="00BA5619" w:rsidRPr="0095571B">
        <w:rPr>
          <w:lang w:val="fr-CA"/>
        </w:rPr>
        <w:t>Ghana,</w:t>
      </w:r>
      <w:r w:rsidR="00BA5619" w:rsidRPr="00C04B9F">
        <w:rPr>
          <w:rStyle w:val="FootnoteReference"/>
          <w:lang w:val="en-CA"/>
        </w:rPr>
        <w:footnoteReference w:id="11"/>
      </w:r>
      <w:r w:rsidR="00BA5619" w:rsidRPr="0095571B">
        <w:rPr>
          <w:lang w:val="fr-CA"/>
        </w:rPr>
        <w:t xml:space="preserve"> </w:t>
      </w:r>
      <w:r w:rsidR="002B1CCA">
        <w:rPr>
          <w:lang w:val="fr-CA"/>
        </w:rPr>
        <w:t xml:space="preserve">en </w:t>
      </w:r>
      <w:r w:rsidR="00BA5619" w:rsidRPr="0095571B">
        <w:rPr>
          <w:lang w:val="fr-CA"/>
        </w:rPr>
        <w:t>Iran (</w:t>
      </w:r>
      <w:r w:rsidR="002B1CCA">
        <w:rPr>
          <w:lang w:val="fr-CA"/>
        </w:rPr>
        <w:t>République islamique d’)</w:t>
      </w:r>
      <w:r w:rsidR="00BA5619" w:rsidRPr="00C04B9F">
        <w:rPr>
          <w:rStyle w:val="FootnoteReference"/>
          <w:lang w:val="en-CA"/>
        </w:rPr>
        <w:footnoteReference w:id="12"/>
      </w:r>
      <w:r w:rsidR="00BA5619" w:rsidRPr="0095571B">
        <w:rPr>
          <w:lang w:val="fr-CA"/>
        </w:rPr>
        <w:t xml:space="preserve"> </w:t>
      </w:r>
      <w:r w:rsidR="002B1CCA">
        <w:rPr>
          <w:lang w:val="fr-CA"/>
        </w:rPr>
        <w:t>et en</w:t>
      </w:r>
      <w:r w:rsidR="00BA5619" w:rsidRPr="0095571B">
        <w:rPr>
          <w:lang w:val="fr-CA"/>
        </w:rPr>
        <w:t xml:space="preserve"> Mala</w:t>
      </w:r>
      <w:r w:rsidR="002B1CCA">
        <w:rPr>
          <w:lang w:val="fr-CA"/>
        </w:rPr>
        <w:t>isie</w:t>
      </w:r>
      <w:r w:rsidR="00BA5619" w:rsidRPr="00C04B9F">
        <w:rPr>
          <w:rStyle w:val="FootnoteReference"/>
          <w:lang w:val="en-CA"/>
        </w:rPr>
        <w:footnoteReference w:id="13"/>
      </w:r>
      <w:r w:rsidR="0039745E">
        <w:rPr>
          <w:lang w:val="fr-CA"/>
        </w:rPr>
        <w:t xml:space="preserve">, </w:t>
      </w:r>
      <w:r w:rsidRPr="0095571B">
        <w:rPr>
          <w:lang w:val="fr-CA"/>
        </w:rPr>
        <w:t>et les rapports sur les projets comportant des exigences particulières de remise des rapports</w:t>
      </w:r>
      <w:r w:rsidR="00BA5619" w:rsidRPr="00C04B9F">
        <w:rPr>
          <w:rStyle w:val="FootnoteReference"/>
          <w:lang w:val="en-CA"/>
        </w:rPr>
        <w:footnoteReference w:id="14"/>
      </w:r>
      <w:r w:rsidR="00BA5619" w:rsidRPr="0095571B">
        <w:rPr>
          <w:lang w:val="fr-CA"/>
        </w:rPr>
        <w:t xml:space="preserve"> </w:t>
      </w:r>
      <w:r w:rsidRPr="0095571B">
        <w:rPr>
          <w:lang w:val="fr-CA"/>
        </w:rPr>
        <w:t>liés au Brésil (PGEH et projet de démonstration sur les SAO), à</w:t>
      </w:r>
      <w:r w:rsidR="002B1CCA">
        <w:rPr>
          <w:lang w:val="fr-CA"/>
        </w:rPr>
        <w:t xml:space="preserve"> la Chine</w:t>
      </w:r>
      <w:r w:rsidRPr="0095571B">
        <w:rPr>
          <w:lang w:val="fr-CA"/>
        </w:rPr>
        <w:t xml:space="preserve"> (solvant à base de CFC), à Cuba (PGEH), à l’Égypte (projet de démonstration d’une solution de remplacement à faible</w:t>
      </w:r>
      <w:r w:rsidR="002B1CCA">
        <w:rPr>
          <w:lang w:val="fr-CA"/>
        </w:rPr>
        <w:t> </w:t>
      </w:r>
      <w:r w:rsidRPr="0095571B">
        <w:rPr>
          <w:lang w:val="fr-CA"/>
        </w:rPr>
        <w:t xml:space="preserve">PRP), à </w:t>
      </w:r>
      <w:r w:rsidR="002B1CCA">
        <w:rPr>
          <w:lang w:val="fr-CA"/>
        </w:rPr>
        <w:t>l’</w:t>
      </w:r>
      <w:r w:rsidRPr="0095571B">
        <w:rPr>
          <w:lang w:val="fr-CA"/>
        </w:rPr>
        <w:t xml:space="preserve">Inde (PGEH), à l’Indonésie (PGEH), au Liban (PGEH), </w:t>
      </w:r>
      <w:r w:rsidR="002B1CCA">
        <w:rPr>
          <w:lang w:val="fr-CA"/>
        </w:rPr>
        <w:t xml:space="preserve">à </w:t>
      </w:r>
      <w:r w:rsidRPr="0095571B">
        <w:rPr>
          <w:lang w:val="fr-CA"/>
        </w:rPr>
        <w:t>Trini</w:t>
      </w:r>
      <w:r w:rsidR="002B1CCA">
        <w:rPr>
          <w:lang w:val="fr-CA"/>
        </w:rPr>
        <w:t>té</w:t>
      </w:r>
      <w:r w:rsidRPr="0095571B">
        <w:rPr>
          <w:lang w:val="fr-CA"/>
        </w:rPr>
        <w:t>-et-</w:t>
      </w:r>
      <w:r>
        <w:rPr>
          <w:lang w:val="fr-CA"/>
        </w:rPr>
        <w:t>Tobago (PGEH) et à l’Uruguay (PGEH), ont été présenté</w:t>
      </w:r>
      <w:r w:rsidR="002B1CCA">
        <w:rPr>
          <w:lang w:val="fr-CA"/>
        </w:rPr>
        <w:t>s</w:t>
      </w:r>
      <w:r>
        <w:rPr>
          <w:lang w:val="fr-CA"/>
        </w:rPr>
        <w:t xml:space="preserve"> à la 84</w:t>
      </w:r>
      <w:r w:rsidRPr="0095571B">
        <w:rPr>
          <w:vertAlign w:val="superscript"/>
          <w:lang w:val="fr-CA"/>
        </w:rPr>
        <w:t>e</w:t>
      </w:r>
      <w:r w:rsidR="008F0113">
        <w:rPr>
          <w:lang w:val="fr-CA"/>
        </w:rPr>
        <w:t> </w:t>
      </w:r>
      <w:r>
        <w:rPr>
          <w:lang w:val="fr-CA"/>
        </w:rPr>
        <w:t xml:space="preserve">réunion. </w:t>
      </w:r>
      <w:r w:rsidRPr="0095571B">
        <w:rPr>
          <w:lang w:val="fr-CA"/>
        </w:rPr>
        <w:t>Les recommandations relatives aux questions en suspens se rapportant à ces projets, y compris l’approbation des demandes de r</w:t>
      </w:r>
      <w:r w:rsidR="002B1CCA">
        <w:rPr>
          <w:lang w:val="fr-CA"/>
        </w:rPr>
        <w:t>e</w:t>
      </w:r>
      <w:r w:rsidRPr="0095571B">
        <w:rPr>
          <w:lang w:val="fr-CA"/>
        </w:rPr>
        <w:t xml:space="preserve">port, </w:t>
      </w:r>
      <w:r>
        <w:rPr>
          <w:lang w:val="fr-CA"/>
        </w:rPr>
        <w:t xml:space="preserve">le cas échéant, sont </w:t>
      </w:r>
      <w:r w:rsidR="008F0113">
        <w:rPr>
          <w:lang w:val="fr-CA"/>
        </w:rPr>
        <w:t>traitées</w:t>
      </w:r>
      <w:r>
        <w:rPr>
          <w:lang w:val="fr-CA"/>
        </w:rPr>
        <w:t xml:space="preserve"> dans les sections </w:t>
      </w:r>
      <w:r w:rsidR="008F0113">
        <w:rPr>
          <w:lang w:val="fr-CA"/>
        </w:rPr>
        <w:t>pertinentes de ces documents.</w:t>
      </w:r>
      <w:r w:rsidR="00BA5619" w:rsidRPr="002B1CCA">
        <w:rPr>
          <w:lang w:val="fr-CA"/>
        </w:rPr>
        <w:t xml:space="preserve"> </w:t>
      </w:r>
    </w:p>
    <w:p w:rsidR="00BA5619" w:rsidRPr="002B1CCA" w:rsidRDefault="008F0113" w:rsidP="00BA5619">
      <w:pPr>
        <w:pStyle w:val="Heading1"/>
        <w:rPr>
          <w:lang w:val="fr-CA"/>
        </w:rPr>
      </w:pPr>
      <w:r w:rsidRPr="008F0113">
        <w:rPr>
          <w:lang w:val="fr-CA"/>
        </w:rPr>
        <w:t>Conformément à la décision</w:t>
      </w:r>
      <w:r w:rsidR="002B1CCA">
        <w:rPr>
          <w:lang w:val="fr-CA"/>
        </w:rPr>
        <w:t> </w:t>
      </w:r>
      <w:r w:rsidR="00BA5619" w:rsidRPr="008F0113">
        <w:rPr>
          <w:lang w:val="fr-CA"/>
        </w:rPr>
        <w:t>82/11</w:t>
      </w:r>
      <w:r w:rsidR="002B1CCA">
        <w:rPr>
          <w:lang w:val="fr-CA"/>
        </w:rPr>
        <w:t> </w:t>
      </w:r>
      <w:r w:rsidR="00BA5619" w:rsidRPr="008F0113">
        <w:rPr>
          <w:lang w:val="fr-CA"/>
        </w:rPr>
        <w:t xml:space="preserve">c)ii), </w:t>
      </w:r>
      <w:r w:rsidRPr="008F0113">
        <w:rPr>
          <w:lang w:val="fr-CA"/>
        </w:rPr>
        <w:t xml:space="preserve">le Secrétariat a constaté que le renouvellement du projet de renforcement des capacités au </w:t>
      </w:r>
      <w:r w:rsidR="002B1CCA">
        <w:rPr>
          <w:lang w:val="fr-CA"/>
        </w:rPr>
        <w:t xml:space="preserve">Brésil n’avait </w:t>
      </w:r>
      <w:r w:rsidRPr="008F0113">
        <w:rPr>
          <w:lang w:val="fr-CA"/>
        </w:rPr>
        <w:t>pas été présenté au cours des deux dernières années. Le</w:t>
      </w:r>
      <w:r w:rsidR="002B1CCA">
        <w:rPr>
          <w:lang w:val="fr-CA"/>
        </w:rPr>
        <w:t> </w:t>
      </w:r>
      <w:r w:rsidRPr="008F0113">
        <w:rPr>
          <w:lang w:val="fr-CA"/>
        </w:rPr>
        <w:t>PNUD a indiqué qu’il prévoyait soumettre la demande de renouvellement en</w:t>
      </w:r>
      <w:r w:rsidR="002B1CCA">
        <w:rPr>
          <w:lang w:val="fr-CA"/>
        </w:rPr>
        <w:t> </w:t>
      </w:r>
      <w:r w:rsidRPr="008F0113">
        <w:rPr>
          <w:lang w:val="fr-CA"/>
        </w:rPr>
        <w:t>2021.</w:t>
      </w:r>
    </w:p>
    <w:p w:rsidR="00BA5619" w:rsidRPr="00994FD0" w:rsidRDefault="00BA5619" w:rsidP="00BA5619">
      <w:pPr>
        <w:pStyle w:val="sub-title"/>
        <w:keepNext/>
        <w:keepLines/>
        <w:ind w:left="1418" w:hanging="1418"/>
        <w:rPr>
          <w:rFonts w:ascii="Times New Roman Bold" w:hAnsi="Times New Roman Bold"/>
          <w:caps/>
          <w:szCs w:val="28"/>
          <w:lang w:val="fr-CA"/>
        </w:rPr>
      </w:pPr>
      <w:r w:rsidRPr="00994FD0">
        <w:rPr>
          <w:rFonts w:ascii="Times New Roman Bold" w:hAnsi="Times New Roman Bold"/>
          <w:caps/>
          <w:noProof w:val="0"/>
          <w:szCs w:val="28"/>
          <w:lang w:val="fr-CA"/>
        </w:rPr>
        <w:lastRenderedPageBreak/>
        <w:t>Part</w:t>
      </w:r>
      <w:r w:rsidR="00DC4726" w:rsidRPr="00994FD0">
        <w:rPr>
          <w:rFonts w:ascii="Times New Roman Bold" w:hAnsi="Times New Roman Bold"/>
          <w:caps/>
          <w:noProof w:val="0"/>
          <w:szCs w:val="28"/>
          <w:lang w:val="fr-CA"/>
        </w:rPr>
        <w:t>IE</w:t>
      </w:r>
      <w:r w:rsidR="00DC4726" w:rsidRPr="00994FD0">
        <w:rPr>
          <w:rFonts w:ascii="Times New Roman Bold" w:hAnsi="Times New Roman Bold" w:hint="eastAsia"/>
          <w:caps/>
          <w:noProof w:val="0"/>
          <w:szCs w:val="28"/>
          <w:lang w:val="fr-CA"/>
        </w:rPr>
        <w:t> </w:t>
      </w:r>
      <w:r w:rsidRPr="00994FD0">
        <w:rPr>
          <w:rFonts w:ascii="Times New Roman Bold" w:hAnsi="Times New Roman Bold"/>
          <w:caps/>
          <w:noProof w:val="0"/>
          <w:szCs w:val="28"/>
          <w:lang w:val="fr-CA"/>
        </w:rPr>
        <w:t>II</w:t>
      </w:r>
      <w:r w:rsidR="001152EB" w:rsidRPr="00994FD0">
        <w:rPr>
          <w:rFonts w:ascii="Times New Roman Bold" w:hAnsi="Times New Roman Bold"/>
          <w:caps/>
          <w:noProof w:val="0"/>
          <w:szCs w:val="28"/>
          <w:lang w:val="fr-CA"/>
        </w:rPr>
        <w:t> :</w:t>
      </w:r>
      <w:r w:rsidR="00994FD0">
        <w:rPr>
          <w:rFonts w:ascii="Times New Roman Bold" w:hAnsi="Times New Roman Bold"/>
          <w:caps/>
          <w:noProof w:val="0"/>
          <w:szCs w:val="28"/>
          <w:lang w:val="fr-CA"/>
        </w:rPr>
        <w:tab/>
      </w:r>
      <w:r w:rsidR="00994FD0" w:rsidRPr="00F73BE6">
        <w:rPr>
          <w:szCs w:val="28"/>
          <w:lang w:val="fr-CA"/>
        </w:rPr>
        <w:t xml:space="preserve">PROJETS APPROUVÉS AU TITRE DES CONTRIBUTIONS VOLONTAIRES </w:t>
      </w:r>
      <w:r w:rsidR="002B1CCA">
        <w:rPr>
          <w:szCs w:val="28"/>
          <w:lang w:val="fr-CA"/>
        </w:rPr>
        <w:t xml:space="preserve">SUPPLÉMENTAIRES </w:t>
      </w:r>
      <w:r w:rsidR="00994FD0" w:rsidRPr="00F73BE6">
        <w:rPr>
          <w:szCs w:val="28"/>
          <w:lang w:val="fr-CA"/>
        </w:rPr>
        <w:t>POUR L</w:t>
      </w:r>
      <w:r w:rsidR="0039745E">
        <w:rPr>
          <w:szCs w:val="28"/>
          <w:lang w:val="fr-CA"/>
        </w:rPr>
        <w:t xml:space="preserve">’APPUI AU </w:t>
      </w:r>
      <w:r w:rsidR="00994FD0" w:rsidRPr="00F73BE6">
        <w:rPr>
          <w:szCs w:val="28"/>
          <w:lang w:val="fr-CA"/>
        </w:rPr>
        <w:t xml:space="preserve">DÉMARRAGE RAPIDE </w:t>
      </w:r>
      <w:r w:rsidR="0039745E">
        <w:rPr>
          <w:szCs w:val="28"/>
          <w:lang w:val="fr-CA"/>
        </w:rPr>
        <w:t>DU PROCESSUS</w:t>
      </w:r>
      <w:r w:rsidR="002B1CCA">
        <w:rPr>
          <w:szCs w:val="28"/>
          <w:lang w:val="fr-CA"/>
        </w:rPr>
        <w:t xml:space="preserve"> </w:t>
      </w:r>
      <w:r w:rsidR="0039745E">
        <w:rPr>
          <w:szCs w:val="28"/>
          <w:lang w:val="fr-CA"/>
        </w:rPr>
        <w:t>D</w:t>
      </w:r>
      <w:r w:rsidR="002B1CCA">
        <w:rPr>
          <w:szCs w:val="28"/>
          <w:lang w:val="fr-CA"/>
        </w:rPr>
        <w:t>’</w:t>
      </w:r>
      <w:r w:rsidR="00994FD0">
        <w:rPr>
          <w:szCs w:val="28"/>
          <w:lang w:val="fr-CA"/>
        </w:rPr>
        <w:t>ÉLIMINATION PROGRESSIVE DES HFC</w:t>
      </w:r>
    </w:p>
    <w:p w:rsidR="00BA5619" w:rsidRPr="00994FD0" w:rsidRDefault="00BA5619" w:rsidP="00BA5619">
      <w:pPr>
        <w:pStyle w:val="sub-title"/>
        <w:keepNext/>
        <w:keepLines/>
        <w:rPr>
          <w:rFonts w:ascii="Times New Roman Bold" w:hAnsi="Times New Roman Bold"/>
          <w:caps/>
          <w:szCs w:val="28"/>
          <w:lang w:val="fr-CA"/>
        </w:rPr>
      </w:pPr>
    </w:p>
    <w:p w:rsidR="00BA5619" w:rsidRDefault="008F0113" w:rsidP="00BA5619">
      <w:pPr>
        <w:pStyle w:val="Heading1"/>
        <w:rPr>
          <w:lang w:val="en-CA"/>
        </w:rPr>
      </w:pPr>
      <w:r w:rsidRPr="008F0113">
        <w:rPr>
          <w:lang w:val="fr-CA"/>
        </w:rPr>
        <w:t>Au 31</w:t>
      </w:r>
      <w:r>
        <w:rPr>
          <w:lang w:val="fr-CA"/>
        </w:rPr>
        <w:t> </w:t>
      </w:r>
      <w:r w:rsidRPr="008F0113">
        <w:rPr>
          <w:lang w:val="fr-CA"/>
        </w:rPr>
        <w:t>décembre</w:t>
      </w:r>
      <w:r>
        <w:rPr>
          <w:lang w:val="fr-CA"/>
        </w:rPr>
        <w:t> </w:t>
      </w:r>
      <w:r w:rsidRPr="008F0113">
        <w:rPr>
          <w:lang w:val="fr-CA"/>
        </w:rPr>
        <w:t>2018, le Comité exécutif avait approuvé 1</w:t>
      </w:r>
      <w:r w:rsidR="002B1CCA">
        <w:rPr>
          <w:lang w:val="fr-CA"/>
        </w:rPr>
        <w:t>8</w:t>
      </w:r>
      <w:r>
        <w:rPr>
          <w:lang w:val="fr-CA"/>
        </w:rPr>
        <w:t> </w:t>
      </w:r>
      <w:r w:rsidRPr="008F0113">
        <w:rPr>
          <w:lang w:val="fr-CA"/>
        </w:rPr>
        <w:t xml:space="preserve">projets relatifs aux HFC au titre des contributions volontaires supplémentaires, </w:t>
      </w:r>
      <w:r>
        <w:rPr>
          <w:lang w:val="fr-CA"/>
        </w:rPr>
        <w:t>pour un montant s’élevant à 6 079 610 </w:t>
      </w:r>
      <w:r w:rsidR="00E76718">
        <w:rPr>
          <w:lang w:val="fr-CA"/>
        </w:rPr>
        <w:t>$US</w:t>
      </w:r>
      <w:r>
        <w:rPr>
          <w:lang w:val="fr-CA"/>
        </w:rPr>
        <w:t xml:space="preserve"> (excluant les coûts d’appui d’agence). </w:t>
      </w:r>
      <w:r w:rsidRPr="00E76718">
        <w:rPr>
          <w:lang w:val="fr-CA"/>
        </w:rPr>
        <w:t>Le tableau 1 récapitule l’état d’avancemen</w:t>
      </w:r>
      <w:r w:rsidRPr="005B214C">
        <w:rPr>
          <w:lang w:val="fr-CA"/>
        </w:rPr>
        <w:t>t de ces projets.</w:t>
      </w:r>
      <w:r w:rsidR="00BA5619" w:rsidRPr="00C04B9F">
        <w:rPr>
          <w:lang w:val="en-CA"/>
        </w:rPr>
        <w:t xml:space="preserve"> </w:t>
      </w:r>
    </w:p>
    <w:p w:rsidR="006D0E8F" w:rsidRPr="006D0E8F" w:rsidRDefault="006D0E8F" w:rsidP="006D0E8F">
      <w:pPr>
        <w:rPr>
          <w:lang w:val="en-CA"/>
        </w:rPr>
      </w:pPr>
    </w:p>
    <w:p w:rsidR="00BA5619" w:rsidRPr="00694F07" w:rsidRDefault="00BA5619" w:rsidP="00BA5619">
      <w:pPr>
        <w:pStyle w:val="Heading1"/>
        <w:keepNext/>
        <w:numPr>
          <w:ilvl w:val="0"/>
          <w:numId w:val="0"/>
        </w:numPr>
        <w:spacing w:after="0"/>
        <w:rPr>
          <w:b/>
          <w:lang w:val="fr-CA"/>
        </w:rPr>
      </w:pPr>
      <w:r w:rsidRPr="00694F07">
        <w:rPr>
          <w:b/>
          <w:lang w:val="fr-CA"/>
        </w:rPr>
        <w:t>Table</w:t>
      </w:r>
      <w:r w:rsidR="00DC4726" w:rsidRPr="00694F07">
        <w:rPr>
          <w:b/>
          <w:lang w:val="fr-CA"/>
        </w:rPr>
        <w:t>au </w:t>
      </w:r>
      <w:r w:rsidRPr="00694F07">
        <w:rPr>
          <w:b/>
          <w:lang w:val="fr-CA"/>
        </w:rPr>
        <w:t xml:space="preserve">1. </w:t>
      </w:r>
      <w:r w:rsidR="00694F07" w:rsidRPr="00694F07">
        <w:rPr>
          <w:b/>
          <w:lang w:val="fr-CA"/>
        </w:rPr>
        <w:t xml:space="preserve">Projets </w:t>
      </w:r>
      <w:r w:rsidR="000C2EE3">
        <w:rPr>
          <w:b/>
          <w:lang w:val="fr-CA"/>
        </w:rPr>
        <w:t>relatifs</w:t>
      </w:r>
      <w:r w:rsidR="00694F07" w:rsidRPr="00694F07">
        <w:rPr>
          <w:b/>
          <w:lang w:val="fr-CA"/>
        </w:rPr>
        <w:t xml:space="preserve"> aux HFC approuvés en 2018</w:t>
      </w:r>
    </w:p>
    <w:tbl>
      <w:tblPr>
        <w:tblW w:w="9713" w:type="dxa"/>
        <w:tblInd w:w="-5" w:type="dxa"/>
        <w:tblLook w:val="04A0" w:firstRow="1" w:lastRow="0" w:firstColumn="1" w:lastColumn="0" w:noHBand="0" w:noVBand="1"/>
      </w:tblPr>
      <w:tblGrid>
        <w:gridCol w:w="1985"/>
        <w:gridCol w:w="1150"/>
        <w:gridCol w:w="1196"/>
        <w:gridCol w:w="1405"/>
        <w:gridCol w:w="1174"/>
        <w:gridCol w:w="1083"/>
        <w:gridCol w:w="1059"/>
        <w:gridCol w:w="1338"/>
      </w:tblGrid>
      <w:tr w:rsidR="00BA5619" w:rsidRPr="00C04B9F" w:rsidTr="00687780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BA5619" w:rsidP="00BA5619">
            <w:pPr>
              <w:keepNext/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Type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619" w:rsidRPr="00C04B9F" w:rsidRDefault="00BA5619" w:rsidP="00BA5619">
            <w:pPr>
              <w:keepNext/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N</w:t>
            </w:r>
            <w:r w:rsidR="00687780">
              <w:rPr>
                <w:b/>
                <w:bCs/>
                <w:sz w:val="20"/>
                <w:szCs w:val="20"/>
                <w:lang w:val="en-CA" w:eastAsia="en-CA"/>
              </w:rPr>
              <w:t>ombre de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 xml:space="preserve"> projets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619" w:rsidRPr="00C04B9F" w:rsidRDefault="00BA5619" w:rsidP="00BA5619">
            <w:pPr>
              <w:keepNext/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F</w:t>
            </w:r>
            <w:r w:rsidR="00687780">
              <w:rPr>
                <w:b/>
                <w:bCs/>
                <w:sz w:val="20"/>
                <w:szCs w:val="20"/>
                <w:lang w:val="en-CA" w:eastAsia="en-CA"/>
              </w:rPr>
              <w:t>inancement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 xml:space="preserve"> (</w:t>
            </w:r>
            <w:r w:rsidR="00D61DC5">
              <w:rPr>
                <w:b/>
                <w:bCs/>
                <w:sz w:val="20"/>
                <w:szCs w:val="20"/>
                <w:lang w:val="en-CA" w:eastAsia="en-CA"/>
              </w:rPr>
              <w:t>$US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)*</w:t>
            </w:r>
          </w:p>
        </w:tc>
      </w:tr>
      <w:tr w:rsidR="00687780" w:rsidRPr="00C04B9F" w:rsidTr="00687780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80" w:rsidRPr="00C04B9F" w:rsidRDefault="00687780" w:rsidP="00687780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0" w:rsidRPr="00C04B9F" w:rsidRDefault="00687780" w:rsidP="00687780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US" w:eastAsia="en-CA"/>
              </w:rPr>
              <w:t>Appro</w:t>
            </w:r>
            <w:r>
              <w:rPr>
                <w:b/>
                <w:bCs/>
                <w:sz w:val="20"/>
                <w:szCs w:val="20"/>
                <w:lang w:val="en-US" w:eastAsia="en-CA"/>
              </w:rPr>
              <w:t>uvés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0" w:rsidRPr="00C04B9F" w:rsidRDefault="00687780" w:rsidP="00687780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Achevés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0" w:rsidRPr="00C04B9F" w:rsidRDefault="0039745E" w:rsidP="00687780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Taux</w:t>
            </w:r>
            <w:r w:rsidR="00694F07">
              <w:rPr>
                <w:b/>
                <w:bCs/>
                <w:sz w:val="20"/>
                <w:szCs w:val="20"/>
                <w:lang w:val="en-US" w:eastAsia="en-C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en-CA"/>
              </w:rPr>
              <w:t>d’</w:t>
            </w:r>
            <w:r w:rsidR="00694F07">
              <w:rPr>
                <w:b/>
                <w:bCs/>
                <w:sz w:val="20"/>
                <w:szCs w:val="20"/>
                <w:lang w:val="en-US" w:eastAsia="en-CA"/>
              </w:rPr>
              <w:t>achèvement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0" w:rsidRPr="00C04B9F" w:rsidRDefault="00687780" w:rsidP="00687780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US" w:eastAsia="en-CA"/>
              </w:rPr>
              <w:t>Appro</w:t>
            </w:r>
            <w:r>
              <w:rPr>
                <w:b/>
                <w:bCs/>
                <w:sz w:val="20"/>
                <w:szCs w:val="20"/>
                <w:lang w:val="en-US" w:eastAsia="en-CA"/>
              </w:rPr>
              <w:t>uvé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0" w:rsidRPr="00C04B9F" w:rsidRDefault="00687780" w:rsidP="00687780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Décaissé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0" w:rsidRPr="00C04B9F" w:rsidRDefault="00687780" w:rsidP="00687780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Solde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80" w:rsidRPr="00C04B9F" w:rsidRDefault="00721C97" w:rsidP="00687780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 xml:space="preserve">Taux de </w:t>
            </w:r>
            <w:r w:rsidR="006D0E8F">
              <w:rPr>
                <w:b/>
                <w:bCs/>
                <w:sz w:val="20"/>
                <w:szCs w:val="20"/>
                <w:lang w:val="en-US" w:eastAsia="en-CA"/>
              </w:rPr>
              <w:t>d</w:t>
            </w:r>
            <w:r w:rsidR="00694F07">
              <w:rPr>
                <w:b/>
                <w:bCs/>
                <w:sz w:val="20"/>
                <w:szCs w:val="20"/>
                <w:lang w:val="en-US" w:eastAsia="en-CA"/>
              </w:rPr>
              <w:t xml:space="preserve">écaissement </w:t>
            </w:r>
          </w:p>
        </w:tc>
      </w:tr>
      <w:tr w:rsidR="00BA5619" w:rsidRPr="00C04B9F" w:rsidTr="00687780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619" w:rsidRPr="00C04B9F" w:rsidRDefault="00694F07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Investissement</w:t>
            </w:r>
            <w:r w:rsidR="00BA5619" w:rsidRPr="00C04B9F">
              <w:rPr>
                <w:sz w:val="20"/>
                <w:szCs w:val="20"/>
                <w:lang w:val="en-CA" w:eastAsia="en-CA"/>
              </w:rPr>
              <w:t>**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406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208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198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27</w:t>
            </w:r>
          </w:p>
        </w:tc>
      </w:tr>
      <w:tr w:rsidR="00BA5619" w:rsidRPr="00C04B9F" w:rsidTr="00687780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619" w:rsidRPr="00694F07" w:rsidRDefault="00694F07" w:rsidP="00BA5619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694F07">
              <w:rPr>
                <w:sz w:val="20"/>
                <w:szCs w:val="20"/>
                <w:lang w:val="fr-CA" w:eastAsia="en-CA"/>
              </w:rPr>
              <w:t xml:space="preserve">Préparation de projet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150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47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102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31</w:t>
            </w:r>
          </w:p>
        </w:tc>
      </w:tr>
      <w:tr w:rsidR="00BA5619" w:rsidRPr="00C04B9F" w:rsidTr="00687780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619" w:rsidRPr="00694F07" w:rsidRDefault="00694F07" w:rsidP="00BA5619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694F07">
              <w:rPr>
                <w:sz w:val="20"/>
                <w:szCs w:val="20"/>
                <w:lang w:val="fr-CA" w:eastAsia="en-CA"/>
              </w:rPr>
              <w:t>Assistance technique</w:t>
            </w:r>
            <w:r w:rsidR="006D0E8F">
              <w:rPr>
                <w:sz w:val="20"/>
                <w:szCs w:val="20"/>
                <w:lang w:val="fr-CA" w:eastAsia="en-CA"/>
              </w:rPr>
              <w:t> </w:t>
            </w:r>
            <w:r w:rsidRPr="00694F07">
              <w:rPr>
                <w:sz w:val="20"/>
                <w:szCs w:val="20"/>
                <w:lang w:val="fr-CA" w:eastAsia="en-CA"/>
              </w:rPr>
              <w:t>–</w:t>
            </w:r>
            <w:r w:rsidR="000C2EE3">
              <w:rPr>
                <w:sz w:val="20"/>
                <w:szCs w:val="20"/>
                <w:lang w:val="fr-CA" w:eastAsia="en-CA"/>
              </w:rPr>
              <w:t> </w:t>
            </w:r>
            <w:r w:rsidRPr="00694F07">
              <w:rPr>
                <w:sz w:val="20"/>
                <w:szCs w:val="20"/>
                <w:lang w:val="fr-CA" w:eastAsia="en-CA"/>
              </w:rPr>
              <w:t>activités de facilitation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523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220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302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</w:t>
            </w:r>
          </w:p>
        </w:tc>
      </w:tr>
      <w:tr w:rsidR="00BA5619" w:rsidRPr="00C04B9F" w:rsidTr="00687780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619" w:rsidRPr="00C04B9F" w:rsidRDefault="00BA5619" w:rsidP="00BA5619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6 079 610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1 476 389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4 603 221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</w:tr>
    </w:tbl>
    <w:p w:rsidR="00BA5619" w:rsidRPr="00FB3F7F" w:rsidRDefault="00BA5619" w:rsidP="00BA5619">
      <w:pPr>
        <w:rPr>
          <w:sz w:val="19"/>
          <w:szCs w:val="19"/>
          <w:lang w:val="fr-CA"/>
        </w:rPr>
      </w:pPr>
      <w:r w:rsidRPr="00694F07">
        <w:rPr>
          <w:sz w:val="19"/>
          <w:szCs w:val="19"/>
          <w:lang w:val="fr-CA"/>
        </w:rPr>
        <w:t xml:space="preserve">* </w:t>
      </w:r>
      <w:r w:rsidR="00694F07">
        <w:rPr>
          <w:sz w:val="19"/>
          <w:szCs w:val="19"/>
          <w:lang w:val="fr-CA"/>
        </w:rPr>
        <w:t>Exclut les coûts d’appui d’agence.</w:t>
      </w:r>
    </w:p>
    <w:p w:rsidR="00BA5619" w:rsidRPr="006D0E8F" w:rsidRDefault="00BA5619" w:rsidP="00BA5619">
      <w:pPr>
        <w:rPr>
          <w:sz w:val="20"/>
          <w:szCs w:val="20"/>
          <w:lang w:val="fr-CA"/>
        </w:rPr>
      </w:pPr>
      <w:r w:rsidRPr="006D0E8F">
        <w:rPr>
          <w:sz w:val="20"/>
          <w:szCs w:val="20"/>
          <w:lang w:val="fr-CA"/>
        </w:rPr>
        <w:t xml:space="preserve">** </w:t>
      </w:r>
      <w:r w:rsidR="00694F07" w:rsidRPr="006D0E8F">
        <w:rPr>
          <w:sz w:val="20"/>
          <w:szCs w:val="20"/>
          <w:lang w:val="fr-CA"/>
        </w:rPr>
        <w:t>Élimination de 480,6</w:t>
      </w:r>
      <w:r w:rsidR="006D0E8F" w:rsidRPr="006D0E8F">
        <w:rPr>
          <w:sz w:val="20"/>
          <w:szCs w:val="20"/>
          <w:lang w:val="fr-CA"/>
        </w:rPr>
        <w:t> tm</w:t>
      </w:r>
      <w:r w:rsidR="00694F07" w:rsidRPr="006D0E8F">
        <w:rPr>
          <w:sz w:val="20"/>
          <w:szCs w:val="20"/>
          <w:lang w:val="fr-CA"/>
        </w:rPr>
        <w:t xml:space="preserve"> (586</w:t>
      </w:r>
      <w:r w:rsidR="006D0E8F" w:rsidRPr="006D0E8F">
        <w:rPr>
          <w:sz w:val="20"/>
          <w:szCs w:val="20"/>
          <w:lang w:val="fr-CA"/>
        </w:rPr>
        <w:t> 551 tm</w:t>
      </w:r>
      <w:r w:rsidR="00694F07" w:rsidRPr="006D0E8F">
        <w:rPr>
          <w:sz w:val="20"/>
          <w:szCs w:val="20"/>
          <w:lang w:val="fr-CA"/>
        </w:rPr>
        <w:t xml:space="preserve"> équivalent</w:t>
      </w:r>
      <w:r w:rsidR="006D0E8F" w:rsidRPr="006D0E8F">
        <w:rPr>
          <w:sz w:val="20"/>
          <w:szCs w:val="20"/>
          <w:lang w:val="fr-CA"/>
        </w:rPr>
        <w:t> </w:t>
      </w:r>
      <w:r w:rsidRPr="006D0E8F">
        <w:rPr>
          <w:sz w:val="20"/>
          <w:szCs w:val="20"/>
          <w:lang w:val="fr-CA"/>
        </w:rPr>
        <w:t>CO</w:t>
      </w:r>
      <w:r w:rsidRPr="006D0E8F">
        <w:rPr>
          <w:sz w:val="20"/>
          <w:szCs w:val="20"/>
          <w:vertAlign w:val="subscript"/>
          <w:lang w:val="fr-CA"/>
        </w:rPr>
        <w:t>2</w:t>
      </w:r>
      <w:r w:rsidRPr="006D0E8F">
        <w:rPr>
          <w:sz w:val="20"/>
          <w:szCs w:val="20"/>
          <w:lang w:val="fr-CA"/>
        </w:rPr>
        <w:t xml:space="preserve">) </w:t>
      </w:r>
      <w:r w:rsidR="006D0E8F" w:rsidRPr="006D0E8F">
        <w:rPr>
          <w:sz w:val="20"/>
          <w:szCs w:val="20"/>
          <w:lang w:val="fr-CA"/>
        </w:rPr>
        <w:t>de</w:t>
      </w:r>
      <w:r w:rsidRPr="006D0E8F">
        <w:rPr>
          <w:sz w:val="20"/>
          <w:szCs w:val="20"/>
          <w:lang w:val="fr-CA"/>
        </w:rPr>
        <w:t xml:space="preserve"> HFC.</w:t>
      </w:r>
    </w:p>
    <w:p w:rsidR="00BA5619" w:rsidRPr="006D0E8F" w:rsidRDefault="00BA5619" w:rsidP="00BA5619">
      <w:pPr>
        <w:rPr>
          <w:sz w:val="19"/>
          <w:szCs w:val="19"/>
          <w:lang w:val="fr-CA"/>
        </w:rPr>
      </w:pPr>
    </w:p>
    <w:p w:rsidR="00BA5619" w:rsidRPr="00B06136" w:rsidRDefault="00694F07" w:rsidP="00BA5619">
      <w:pPr>
        <w:pStyle w:val="Heading1"/>
        <w:rPr>
          <w:lang w:val="fr-CA"/>
        </w:rPr>
      </w:pPr>
      <w:r w:rsidRPr="00694F07">
        <w:rPr>
          <w:lang w:val="fr-CA"/>
        </w:rPr>
        <w:t xml:space="preserve">Sur les </w:t>
      </w:r>
      <w:r w:rsidR="006D0E8F">
        <w:rPr>
          <w:lang w:val="fr-CA"/>
        </w:rPr>
        <w:t>18 </w:t>
      </w:r>
      <w:r w:rsidRPr="00694F07">
        <w:rPr>
          <w:lang w:val="fr-CA"/>
        </w:rPr>
        <w:t>projets approuvés à la fin de 2018,</w:t>
      </w:r>
      <w:r w:rsidR="006D0E8F">
        <w:rPr>
          <w:lang w:val="fr-CA"/>
        </w:rPr>
        <w:t xml:space="preserve"> trois</w:t>
      </w:r>
      <w:r w:rsidR="000C2EE3">
        <w:rPr>
          <w:lang w:val="fr-CA"/>
        </w:rPr>
        <w:t> </w:t>
      </w:r>
      <w:r w:rsidRPr="00694F07">
        <w:rPr>
          <w:lang w:val="fr-CA"/>
        </w:rPr>
        <w:t>activités de préparation ont été achevées, laissant ainsi 15</w:t>
      </w:r>
      <w:r w:rsidR="000C2EE3">
        <w:rPr>
          <w:lang w:val="fr-CA"/>
        </w:rPr>
        <w:t> </w:t>
      </w:r>
      <w:r w:rsidRPr="00694F07">
        <w:rPr>
          <w:lang w:val="fr-CA"/>
        </w:rPr>
        <w:t>projets en cours. Deux projets d’investissement en cours ont été approuvés lors de</w:t>
      </w:r>
      <w:r w:rsidR="00B06136">
        <w:rPr>
          <w:lang w:val="fr-CA"/>
        </w:rPr>
        <w:t>s</w:t>
      </w:r>
      <w:r w:rsidRPr="00694F07">
        <w:rPr>
          <w:lang w:val="fr-CA"/>
        </w:rPr>
        <w:t xml:space="preserve"> 80</w:t>
      </w:r>
      <w:r w:rsidRPr="00B06136">
        <w:rPr>
          <w:vertAlign w:val="superscript"/>
          <w:lang w:val="fr-CA"/>
        </w:rPr>
        <w:t>e</w:t>
      </w:r>
      <w:r w:rsidR="00B06136">
        <w:rPr>
          <w:lang w:val="fr-CA"/>
        </w:rPr>
        <w:t> </w:t>
      </w:r>
      <w:r>
        <w:rPr>
          <w:lang w:val="fr-CA"/>
        </w:rPr>
        <w:t>et 82</w:t>
      </w:r>
      <w:r w:rsidRPr="00694F07">
        <w:rPr>
          <w:vertAlign w:val="superscript"/>
          <w:lang w:val="fr-CA"/>
        </w:rPr>
        <w:t>e</w:t>
      </w:r>
      <w:r w:rsidR="00B06136">
        <w:rPr>
          <w:lang w:val="fr-CA"/>
        </w:rPr>
        <w:t> </w:t>
      </w:r>
      <w:r>
        <w:rPr>
          <w:lang w:val="fr-CA"/>
        </w:rPr>
        <w:t>réunion</w:t>
      </w:r>
      <w:r w:rsidR="00B06136">
        <w:rPr>
          <w:lang w:val="fr-CA"/>
        </w:rPr>
        <w:t>s</w:t>
      </w:r>
      <w:r>
        <w:rPr>
          <w:lang w:val="fr-CA"/>
        </w:rPr>
        <w:t>, les fonds ayant été décaissé</w:t>
      </w:r>
      <w:r w:rsidR="00B06136">
        <w:rPr>
          <w:lang w:val="fr-CA"/>
        </w:rPr>
        <w:t>s</w:t>
      </w:r>
      <w:r>
        <w:rPr>
          <w:lang w:val="fr-CA"/>
        </w:rPr>
        <w:t xml:space="preserve"> pour l</w:t>
      </w:r>
      <w:r w:rsidR="00B06136">
        <w:rPr>
          <w:lang w:val="fr-CA"/>
        </w:rPr>
        <w:t>’un</w:t>
      </w:r>
      <w:r>
        <w:rPr>
          <w:lang w:val="fr-CA"/>
        </w:rPr>
        <w:t xml:space="preserve"> d’entre eux. </w:t>
      </w:r>
      <w:r w:rsidRPr="00694F07">
        <w:rPr>
          <w:lang w:val="fr-CA"/>
        </w:rPr>
        <w:t xml:space="preserve">Les activités de facilitation en sont à différents stades de mise en </w:t>
      </w:r>
      <w:r w:rsidR="000C2EE3">
        <w:rPr>
          <w:lang w:val="fr-CA"/>
        </w:rPr>
        <w:t>œuvre</w:t>
      </w:r>
      <w:r w:rsidRPr="00694F07">
        <w:rPr>
          <w:lang w:val="fr-CA"/>
        </w:rPr>
        <w:t>. En tout, sur le montant total de 6 079 610</w:t>
      </w:r>
      <w:r w:rsidR="000C2EE3">
        <w:rPr>
          <w:lang w:val="fr-CA"/>
        </w:rPr>
        <w:t> $US</w:t>
      </w:r>
      <w:r w:rsidRPr="00694F07">
        <w:rPr>
          <w:lang w:val="fr-CA"/>
        </w:rPr>
        <w:t xml:space="preserve"> approuvé aux fins de décaissement (excluant les coûts d’appui), </w:t>
      </w:r>
      <w:r>
        <w:rPr>
          <w:lang w:val="fr-CA"/>
        </w:rPr>
        <w:t>1 476 389</w:t>
      </w:r>
      <w:r w:rsidR="000C2EE3">
        <w:rPr>
          <w:lang w:val="fr-CA"/>
        </w:rPr>
        <w:t> $US</w:t>
      </w:r>
      <w:r>
        <w:rPr>
          <w:lang w:val="fr-CA"/>
        </w:rPr>
        <w:t xml:space="preserve"> ont été décaissés, pour un taux de décaissement de 24</w:t>
      </w:r>
      <w:r w:rsidR="000C2EE3">
        <w:rPr>
          <w:lang w:val="fr-CA"/>
        </w:rPr>
        <w:t> </w:t>
      </w:r>
      <w:r>
        <w:rPr>
          <w:lang w:val="fr-CA"/>
        </w:rPr>
        <w:t>%.</w:t>
      </w:r>
      <w:r w:rsidR="00BA5619" w:rsidRPr="00B06136">
        <w:rPr>
          <w:lang w:val="fr-CA"/>
        </w:rPr>
        <w:t xml:space="preserve"> </w:t>
      </w:r>
    </w:p>
    <w:p w:rsidR="00BA5619" w:rsidRPr="00C04B9F" w:rsidRDefault="00BA5619" w:rsidP="00BA5619">
      <w:pPr>
        <w:pStyle w:val="a--"/>
        <w:keepNext/>
        <w:keepLines/>
        <w:suppressAutoHyphens w:val="0"/>
        <w:jc w:val="left"/>
        <w:rPr>
          <w:sz w:val="22"/>
          <w:szCs w:val="22"/>
          <w:lang w:val="en-CA"/>
        </w:rPr>
      </w:pPr>
      <w:r w:rsidRPr="00C04B9F">
        <w:rPr>
          <w:sz w:val="22"/>
          <w:szCs w:val="22"/>
          <w:lang w:val="en-CA"/>
        </w:rPr>
        <w:t>Recomm</w:t>
      </w:r>
      <w:r w:rsidR="00DC4726">
        <w:rPr>
          <w:sz w:val="22"/>
          <w:szCs w:val="22"/>
          <w:lang w:val="en-CA"/>
        </w:rPr>
        <w:t>a</w:t>
      </w:r>
      <w:r w:rsidRPr="00C04B9F">
        <w:rPr>
          <w:sz w:val="22"/>
          <w:szCs w:val="22"/>
          <w:lang w:val="en-CA"/>
        </w:rPr>
        <w:t>ndation</w:t>
      </w:r>
    </w:p>
    <w:p w:rsidR="00BA5619" w:rsidRPr="00C04B9F" w:rsidRDefault="00BA5619" w:rsidP="00BA5619">
      <w:pPr>
        <w:keepNext/>
        <w:keepLines/>
        <w:rPr>
          <w:b/>
          <w:bCs/>
          <w:lang w:val="en-CA"/>
        </w:rPr>
      </w:pPr>
    </w:p>
    <w:p w:rsidR="00BA5619" w:rsidRPr="00FB3F7F" w:rsidRDefault="00694F07" w:rsidP="00BA5619">
      <w:pPr>
        <w:pStyle w:val="Heading1"/>
        <w:rPr>
          <w:lang w:val="fr-CA"/>
        </w:rPr>
      </w:pPr>
      <w:r w:rsidRPr="00FB3F7F">
        <w:rPr>
          <w:lang w:val="fr-CA"/>
        </w:rPr>
        <w:t>Le Comité exécutif pourrait souhaiter</w:t>
      </w:r>
      <w:r w:rsidR="000C2EE3" w:rsidRPr="00FB3F7F">
        <w:rPr>
          <w:lang w:val="fr-CA"/>
        </w:rPr>
        <w:t> </w:t>
      </w:r>
      <w:r w:rsidRPr="00FB3F7F">
        <w:rPr>
          <w:lang w:val="fr-CA"/>
        </w:rPr>
        <w:t xml:space="preserve">: </w:t>
      </w:r>
    </w:p>
    <w:p w:rsidR="00BA5619" w:rsidRPr="00694F07" w:rsidRDefault="00694F07" w:rsidP="00BA5619">
      <w:pPr>
        <w:pStyle w:val="Heading2"/>
        <w:rPr>
          <w:lang w:val="fr-CA"/>
        </w:rPr>
      </w:pPr>
      <w:r w:rsidRPr="00694F07">
        <w:rPr>
          <w:lang w:val="fr-CA"/>
        </w:rPr>
        <w:t>Prendre note du rapport périodique du PNUD au 31</w:t>
      </w:r>
      <w:r w:rsidR="000C2EE3">
        <w:rPr>
          <w:lang w:val="fr-CA"/>
        </w:rPr>
        <w:t> </w:t>
      </w:r>
      <w:r w:rsidRPr="00694F07">
        <w:rPr>
          <w:lang w:val="fr-CA"/>
        </w:rPr>
        <w:t>décembre</w:t>
      </w:r>
      <w:r w:rsidR="000C2EE3">
        <w:rPr>
          <w:lang w:val="fr-CA"/>
        </w:rPr>
        <w:t> </w:t>
      </w:r>
      <w:r w:rsidRPr="00694F07">
        <w:rPr>
          <w:lang w:val="fr-CA"/>
        </w:rPr>
        <w:t xml:space="preserve">2018 figurant dans le document </w:t>
      </w:r>
      <w:r w:rsidR="00BA5619" w:rsidRPr="00694F07">
        <w:rPr>
          <w:lang w:val="fr-CA"/>
        </w:rPr>
        <w:t>UNEP/OzL.Pro/ExCom/84/18;</w:t>
      </w:r>
    </w:p>
    <w:p w:rsidR="00BA5619" w:rsidRPr="00FB3F7F" w:rsidRDefault="00694F07" w:rsidP="00BA5619">
      <w:pPr>
        <w:pStyle w:val="Heading2"/>
        <w:rPr>
          <w:lang w:val="fr-CA"/>
        </w:rPr>
      </w:pPr>
      <w:r w:rsidRPr="00694F07">
        <w:rPr>
          <w:lang w:val="fr-CA"/>
        </w:rPr>
        <w:t xml:space="preserve">Approuver les recommandations relatives aux projets en cours comportant des questions </w:t>
      </w:r>
      <w:r>
        <w:rPr>
          <w:lang w:val="fr-CA"/>
        </w:rPr>
        <w:t>en suspens qui figurent à l’annexe</w:t>
      </w:r>
      <w:r w:rsidR="00B06136">
        <w:rPr>
          <w:lang w:val="fr-CA"/>
        </w:rPr>
        <w:t> </w:t>
      </w:r>
      <w:r>
        <w:rPr>
          <w:lang w:val="fr-CA"/>
        </w:rPr>
        <w:t xml:space="preserve">I du présent document. </w:t>
      </w:r>
    </w:p>
    <w:p w:rsidR="00BA5619" w:rsidRPr="00FB3F7F" w:rsidRDefault="00BA5619" w:rsidP="00BA5619">
      <w:pPr>
        <w:rPr>
          <w:lang w:val="fr-CA"/>
        </w:rPr>
      </w:pPr>
    </w:p>
    <w:p w:rsidR="00BA5619" w:rsidRPr="00FB3F7F" w:rsidRDefault="00BA5619" w:rsidP="00BA5619">
      <w:pPr>
        <w:rPr>
          <w:lang w:val="fr-CA"/>
        </w:rPr>
        <w:sectPr w:rsidR="00BA5619" w:rsidRPr="00FB3F7F" w:rsidSect="00BA5619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:rsidR="00BA5619" w:rsidRPr="00FB3F7F" w:rsidRDefault="00BA5619" w:rsidP="00BA5619">
      <w:pPr>
        <w:tabs>
          <w:tab w:val="left" w:pos="5560"/>
        </w:tabs>
        <w:jc w:val="center"/>
        <w:rPr>
          <w:b/>
          <w:bCs/>
          <w:lang w:val="fr-CA"/>
        </w:rPr>
      </w:pPr>
      <w:r w:rsidRPr="00FB3F7F">
        <w:rPr>
          <w:b/>
          <w:bCs/>
          <w:lang w:val="fr-CA"/>
        </w:rPr>
        <w:lastRenderedPageBreak/>
        <w:t>Annex</w:t>
      </w:r>
      <w:r w:rsidR="00DC4726" w:rsidRPr="00FB3F7F">
        <w:rPr>
          <w:b/>
          <w:bCs/>
          <w:lang w:val="fr-CA"/>
        </w:rPr>
        <w:t>e</w:t>
      </w:r>
      <w:r w:rsidRPr="00FB3F7F">
        <w:rPr>
          <w:b/>
          <w:bCs/>
          <w:lang w:val="fr-CA"/>
        </w:rPr>
        <w:t xml:space="preserve"> I</w:t>
      </w:r>
    </w:p>
    <w:p w:rsidR="00BA5619" w:rsidRPr="00FB3F7F" w:rsidRDefault="00BA5619" w:rsidP="00BA5619">
      <w:pPr>
        <w:tabs>
          <w:tab w:val="left" w:pos="5560"/>
        </w:tabs>
        <w:jc w:val="center"/>
        <w:rPr>
          <w:b/>
          <w:bCs/>
          <w:lang w:val="fr-CA"/>
        </w:rPr>
      </w:pPr>
    </w:p>
    <w:p w:rsidR="00BA5619" w:rsidRPr="00FB3F7F" w:rsidRDefault="00694F07" w:rsidP="00BA5619">
      <w:pPr>
        <w:pStyle w:val="Heading2"/>
        <w:numPr>
          <w:ilvl w:val="0"/>
          <w:numId w:val="0"/>
        </w:numPr>
        <w:jc w:val="center"/>
        <w:rPr>
          <w:b/>
          <w:lang w:val="fr-CA"/>
        </w:rPr>
      </w:pPr>
      <w:r w:rsidRPr="00FB3F7F">
        <w:rPr>
          <w:b/>
          <w:lang w:val="fr-CA"/>
        </w:rPr>
        <w:t>PROJETS EN COURS COMPORTANT DES QUESTIONS EN SUSPENS DANS LE RAPPORT PÉRIODIQUE DU PNUD</w:t>
      </w: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918"/>
        <w:gridCol w:w="1405"/>
        <w:gridCol w:w="3760"/>
        <w:gridCol w:w="3860"/>
      </w:tblGrid>
      <w:tr w:rsidR="00BA5619" w:rsidRPr="00C04B9F" w:rsidTr="00BA5619">
        <w:trPr>
          <w:trHeight w:val="509"/>
          <w:tblHeader/>
        </w:trPr>
        <w:tc>
          <w:tcPr>
            <w:tcW w:w="2303" w:type="dxa"/>
            <w:shd w:val="clear" w:color="auto" w:fill="auto"/>
          </w:tcPr>
          <w:p w:rsidR="00BA5619" w:rsidRPr="00C04B9F" w:rsidRDefault="001152EB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Pays</w:t>
            </w:r>
            <w:r w:rsidR="00BA5619" w:rsidRPr="00C04B9F">
              <w:rPr>
                <w:b/>
                <w:bCs/>
                <w:sz w:val="20"/>
                <w:szCs w:val="20"/>
                <w:lang w:val="en-CA" w:eastAsia="en-CA"/>
              </w:rPr>
              <w:t>/</w:t>
            </w:r>
            <w:r w:rsidR="00B06136">
              <w:rPr>
                <w:b/>
                <w:bCs/>
                <w:sz w:val="20"/>
                <w:szCs w:val="20"/>
                <w:lang w:val="en-CA" w:eastAsia="en-CA"/>
              </w:rPr>
              <w:t>C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ode</w:t>
            </w:r>
            <w:r w:rsidR="00B06136">
              <w:rPr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d</w:t>
            </w:r>
            <w:r w:rsidR="00B06136">
              <w:rPr>
                <w:b/>
                <w:bCs/>
                <w:sz w:val="20"/>
                <w:szCs w:val="20"/>
                <w:lang w:val="en-CA" w:eastAsia="en-CA"/>
              </w:rPr>
              <w:t>e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 xml:space="preserve"> projet</w:t>
            </w:r>
          </w:p>
        </w:tc>
        <w:tc>
          <w:tcPr>
            <w:tcW w:w="2918" w:type="dxa"/>
            <w:shd w:val="clear" w:color="auto" w:fill="auto"/>
          </w:tcPr>
          <w:p w:rsidR="00BA5619" w:rsidRPr="00C04B9F" w:rsidRDefault="001152EB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Titre du projet</w:t>
            </w:r>
          </w:p>
        </w:tc>
        <w:tc>
          <w:tcPr>
            <w:tcW w:w="1405" w:type="dxa"/>
            <w:shd w:val="clear" w:color="auto" w:fill="auto"/>
          </w:tcPr>
          <w:p w:rsidR="00BA5619" w:rsidRPr="00C04B9F" w:rsidRDefault="00694F07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 xml:space="preserve">Taux de décaissement </w:t>
            </w:r>
            <w:r w:rsidR="00BA5619" w:rsidRPr="00C04B9F">
              <w:rPr>
                <w:b/>
                <w:bCs/>
                <w:sz w:val="20"/>
                <w:szCs w:val="20"/>
                <w:lang w:val="en-CA" w:eastAsia="en-CA"/>
              </w:rPr>
              <w:t>(%)</w:t>
            </w:r>
          </w:p>
        </w:tc>
        <w:tc>
          <w:tcPr>
            <w:tcW w:w="3760" w:type="dxa"/>
            <w:shd w:val="clear" w:color="auto" w:fill="auto"/>
          </w:tcPr>
          <w:p w:rsidR="00BA5619" w:rsidRPr="00C04B9F" w:rsidRDefault="00694F07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État/</w:t>
            </w:r>
            <w:r w:rsidR="00B06136">
              <w:rPr>
                <w:b/>
                <w:bCs/>
                <w:sz w:val="20"/>
                <w:szCs w:val="20"/>
                <w:lang w:val="en-CA" w:eastAsia="en-CA"/>
              </w:rPr>
              <w:t>Q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uestion</w:t>
            </w:r>
            <w:r w:rsidR="00B06136">
              <w:rPr>
                <w:b/>
                <w:bCs/>
                <w:sz w:val="20"/>
                <w:szCs w:val="20"/>
                <w:lang w:val="en-CA" w:eastAsia="en-CA"/>
              </w:rPr>
              <w:t>s</w:t>
            </w:r>
          </w:p>
        </w:tc>
        <w:tc>
          <w:tcPr>
            <w:tcW w:w="3860" w:type="dxa"/>
            <w:shd w:val="clear" w:color="auto" w:fill="auto"/>
          </w:tcPr>
          <w:p w:rsidR="00BA5619" w:rsidRPr="00C04B9F" w:rsidRDefault="00BA5619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Recomm</w:t>
            </w:r>
            <w:r w:rsidR="0080110A">
              <w:rPr>
                <w:b/>
                <w:bCs/>
                <w:sz w:val="20"/>
                <w:szCs w:val="20"/>
                <w:lang w:val="en-CA" w:eastAsia="en-CA"/>
              </w:rPr>
              <w:t>a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ndation</w:t>
            </w:r>
          </w:p>
        </w:tc>
      </w:tr>
      <w:tr w:rsidR="00BA5619" w:rsidRPr="003756CA" w:rsidTr="00BA5619">
        <w:trPr>
          <w:trHeight w:val="322"/>
        </w:trPr>
        <w:tc>
          <w:tcPr>
            <w:tcW w:w="2303" w:type="dxa"/>
            <w:shd w:val="clear" w:color="auto" w:fill="auto"/>
          </w:tcPr>
          <w:p w:rsidR="00BA5619" w:rsidRPr="00C04B9F" w:rsidRDefault="00694F07" w:rsidP="00B06136">
            <w:pPr>
              <w:jc w:val="left"/>
              <w:rPr>
                <w:bCs/>
                <w:sz w:val="20"/>
                <w:szCs w:val="20"/>
                <w:lang w:val="en-CA" w:eastAsia="en-CA"/>
              </w:rPr>
            </w:pPr>
            <w:r>
              <w:rPr>
                <w:bCs/>
                <w:sz w:val="20"/>
                <w:szCs w:val="20"/>
                <w:lang w:val="en-CA" w:eastAsia="en-CA"/>
              </w:rPr>
              <w:t xml:space="preserve">Haïti </w:t>
            </w:r>
            <w:r w:rsidR="00BA5619" w:rsidRPr="00C04B9F">
              <w:rPr>
                <w:sz w:val="20"/>
                <w:szCs w:val="20"/>
              </w:rPr>
              <w:t>HAI/PHA/76/INV/22</w:t>
            </w:r>
          </w:p>
        </w:tc>
        <w:tc>
          <w:tcPr>
            <w:tcW w:w="2918" w:type="dxa"/>
            <w:shd w:val="clear" w:color="auto" w:fill="auto"/>
          </w:tcPr>
          <w:p w:rsidR="00BA5619" w:rsidRPr="005439B2" w:rsidRDefault="00694F07" w:rsidP="00BA5619">
            <w:pPr>
              <w:jc w:val="left"/>
              <w:rPr>
                <w:bCs/>
                <w:sz w:val="20"/>
                <w:szCs w:val="20"/>
                <w:lang w:val="fr-CA" w:eastAsia="en-CA"/>
              </w:rPr>
            </w:pPr>
            <w:r w:rsidRPr="005439B2">
              <w:rPr>
                <w:bCs/>
                <w:sz w:val="20"/>
                <w:szCs w:val="20"/>
                <w:lang w:val="fr-CA" w:eastAsia="en-CA"/>
              </w:rPr>
              <w:t xml:space="preserve">Plan de gestion de l’élimination des HCFC </w:t>
            </w:r>
            <w:r w:rsidR="005439B2" w:rsidRPr="005439B2">
              <w:rPr>
                <w:bCs/>
                <w:sz w:val="20"/>
                <w:szCs w:val="20"/>
                <w:lang w:val="fr-CA" w:eastAsia="en-CA"/>
              </w:rPr>
              <w:t>(phase</w:t>
            </w:r>
            <w:r w:rsidR="00B06136">
              <w:rPr>
                <w:bCs/>
                <w:sz w:val="20"/>
                <w:szCs w:val="20"/>
                <w:lang w:val="fr-CA" w:eastAsia="en-CA"/>
              </w:rPr>
              <w:t> </w:t>
            </w:r>
            <w:r w:rsidR="005439B2" w:rsidRPr="005439B2">
              <w:rPr>
                <w:bCs/>
                <w:sz w:val="20"/>
                <w:szCs w:val="20"/>
                <w:lang w:val="fr-CA" w:eastAsia="en-CA"/>
              </w:rPr>
              <w:t xml:space="preserve">I, deuxième tranche) </w:t>
            </w:r>
          </w:p>
        </w:tc>
        <w:tc>
          <w:tcPr>
            <w:tcW w:w="1405" w:type="dxa"/>
            <w:shd w:val="clear" w:color="auto" w:fill="auto"/>
          </w:tcPr>
          <w:p w:rsidR="00BA5619" w:rsidRPr="00C04B9F" w:rsidRDefault="00BA5619" w:rsidP="00BA5619">
            <w:pPr>
              <w:jc w:val="center"/>
              <w:rPr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Cs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3760" w:type="dxa"/>
          </w:tcPr>
          <w:p w:rsidR="00BA5619" w:rsidRPr="005439B2" w:rsidRDefault="005439B2" w:rsidP="00BA5619">
            <w:pPr>
              <w:rPr>
                <w:sz w:val="20"/>
                <w:szCs w:val="20"/>
                <w:lang w:val="fr-CA"/>
              </w:rPr>
            </w:pPr>
            <w:r w:rsidRPr="005439B2">
              <w:rPr>
                <w:sz w:val="20"/>
                <w:szCs w:val="20"/>
                <w:lang w:val="fr-CA" w:eastAsia="en-CA"/>
              </w:rPr>
              <w:t xml:space="preserve">Aucun décaissement; mise en </w:t>
            </w:r>
            <w:r w:rsidR="000C2EE3">
              <w:rPr>
                <w:sz w:val="20"/>
                <w:szCs w:val="20"/>
                <w:lang w:val="fr-CA" w:eastAsia="en-CA"/>
              </w:rPr>
              <w:t>œuvre</w:t>
            </w:r>
            <w:r w:rsidRPr="005439B2">
              <w:rPr>
                <w:sz w:val="20"/>
                <w:szCs w:val="20"/>
                <w:lang w:val="fr-CA" w:eastAsia="en-CA"/>
              </w:rPr>
              <w:t xml:space="preserve"> au ralenti</w:t>
            </w:r>
          </w:p>
        </w:tc>
        <w:tc>
          <w:tcPr>
            <w:tcW w:w="3860" w:type="dxa"/>
          </w:tcPr>
          <w:p w:rsidR="00BA5619" w:rsidRPr="005439B2" w:rsidRDefault="005439B2" w:rsidP="00BA5619">
            <w:pPr>
              <w:rPr>
                <w:bCs/>
                <w:sz w:val="20"/>
                <w:szCs w:val="20"/>
                <w:lang w:val="fr-CA" w:eastAsia="en-CA"/>
              </w:rPr>
            </w:pPr>
            <w:r w:rsidRPr="005439B2">
              <w:rPr>
                <w:sz w:val="20"/>
                <w:szCs w:val="20"/>
                <w:lang w:val="fr-CA" w:eastAsia="en-CA"/>
              </w:rPr>
              <w:t>Demander de présenter un rapport de situation à la 85</w:t>
            </w:r>
            <w:r w:rsidRPr="00B06136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B06136">
              <w:rPr>
                <w:sz w:val="20"/>
                <w:szCs w:val="20"/>
                <w:lang w:val="fr-CA" w:eastAsia="en-CA"/>
              </w:rPr>
              <w:t> </w:t>
            </w:r>
            <w:r w:rsidRPr="005439B2">
              <w:rPr>
                <w:sz w:val="20"/>
                <w:szCs w:val="20"/>
                <w:lang w:val="fr-CA" w:eastAsia="en-CA"/>
              </w:rPr>
              <w:t xml:space="preserve">réunion </w:t>
            </w:r>
            <w:r>
              <w:rPr>
                <w:sz w:val="20"/>
                <w:szCs w:val="20"/>
                <w:lang w:val="fr-CA" w:eastAsia="en-CA"/>
              </w:rPr>
              <w:t xml:space="preserve">sur l’état d’avancement et le niveau de décaissement </w:t>
            </w:r>
          </w:p>
        </w:tc>
      </w:tr>
      <w:tr w:rsidR="00BA5619" w:rsidRPr="003756CA" w:rsidTr="00BA5619">
        <w:trPr>
          <w:trHeight w:val="214"/>
        </w:trPr>
        <w:tc>
          <w:tcPr>
            <w:tcW w:w="2303" w:type="dxa"/>
            <w:shd w:val="clear" w:color="auto" w:fill="auto"/>
          </w:tcPr>
          <w:p w:rsidR="00BA5619" w:rsidRPr="00FB3F7F" w:rsidRDefault="005439B2" w:rsidP="00BA5619">
            <w:pPr>
              <w:jc w:val="left"/>
              <w:rPr>
                <w:bCs/>
                <w:sz w:val="20"/>
                <w:szCs w:val="20"/>
                <w:lang w:val="fr-CA" w:eastAsia="en-CA"/>
              </w:rPr>
            </w:pPr>
            <w:r w:rsidRPr="00FB3F7F">
              <w:rPr>
                <w:bCs/>
                <w:sz w:val="20"/>
                <w:szCs w:val="20"/>
                <w:lang w:val="fr-CA" w:eastAsia="en-CA"/>
              </w:rPr>
              <w:t xml:space="preserve">République démocratique du Congo </w:t>
            </w:r>
          </w:p>
          <w:p w:rsidR="00BA5619" w:rsidRPr="00FB3F7F" w:rsidRDefault="00BA5619" w:rsidP="00BA5619">
            <w:pPr>
              <w:jc w:val="left"/>
              <w:rPr>
                <w:bCs/>
                <w:sz w:val="20"/>
                <w:szCs w:val="20"/>
                <w:lang w:val="fr-CA" w:eastAsia="en-CA"/>
              </w:rPr>
            </w:pPr>
            <w:r w:rsidRPr="00FB3F7F">
              <w:rPr>
                <w:bCs/>
                <w:sz w:val="20"/>
                <w:szCs w:val="20"/>
                <w:lang w:val="fr-CA" w:eastAsia="en-CA"/>
              </w:rPr>
              <w:t>DRC/PHA/79/PRP/42</w:t>
            </w:r>
          </w:p>
        </w:tc>
        <w:tc>
          <w:tcPr>
            <w:tcW w:w="2918" w:type="dxa"/>
            <w:shd w:val="clear" w:color="auto" w:fill="auto"/>
          </w:tcPr>
          <w:p w:rsidR="00BA5619" w:rsidRPr="00FB3F7F" w:rsidRDefault="005439B2" w:rsidP="00BA5619">
            <w:pPr>
              <w:jc w:val="left"/>
              <w:rPr>
                <w:bCs/>
                <w:sz w:val="20"/>
                <w:szCs w:val="20"/>
                <w:lang w:val="fr-CA" w:eastAsia="en-CA"/>
              </w:rPr>
            </w:pPr>
            <w:r w:rsidRPr="00FB3F7F">
              <w:rPr>
                <w:bCs/>
                <w:sz w:val="20"/>
                <w:szCs w:val="20"/>
                <w:lang w:val="fr-CA" w:eastAsia="en-CA"/>
              </w:rPr>
              <w:t>Préparation d’un plan de gestion de l’élimination des HCFC (phase</w:t>
            </w:r>
            <w:r w:rsidR="00B06136" w:rsidRPr="00FB3F7F">
              <w:rPr>
                <w:bCs/>
                <w:sz w:val="20"/>
                <w:szCs w:val="20"/>
                <w:lang w:val="fr-CA" w:eastAsia="en-CA"/>
              </w:rPr>
              <w:t> </w:t>
            </w:r>
            <w:r w:rsidRPr="00FB3F7F">
              <w:rPr>
                <w:bCs/>
                <w:sz w:val="20"/>
                <w:szCs w:val="20"/>
                <w:lang w:val="fr-CA" w:eastAsia="en-CA"/>
              </w:rPr>
              <w:t>II)</w:t>
            </w:r>
          </w:p>
        </w:tc>
        <w:tc>
          <w:tcPr>
            <w:tcW w:w="1405" w:type="dxa"/>
            <w:shd w:val="clear" w:color="auto" w:fill="auto"/>
          </w:tcPr>
          <w:p w:rsidR="00BA5619" w:rsidRPr="00C04B9F" w:rsidRDefault="00BA5619" w:rsidP="00BA5619">
            <w:pPr>
              <w:jc w:val="center"/>
              <w:rPr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Cs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3760" w:type="dxa"/>
          </w:tcPr>
          <w:p w:rsidR="00BA5619" w:rsidRPr="005439B2" w:rsidRDefault="005439B2" w:rsidP="00BA5619">
            <w:pPr>
              <w:rPr>
                <w:sz w:val="20"/>
                <w:szCs w:val="20"/>
                <w:lang w:val="fr-CA"/>
              </w:rPr>
            </w:pPr>
            <w:r w:rsidRPr="005439B2">
              <w:rPr>
                <w:sz w:val="20"/>
                <w:szCs w:val="20"/>
                <w:lang w:val="fr-CA" w:eastAsia="en-CA"/>
              </w:rPr>
              <w:t>Aucun décaissement en raison de retards dans la mise en œuvre et d’une flambée du virus Ebola, qui ont compliqué les activités sur le terrain; soumission de la phase</w:t>
            </w:r>
            <w:r w:rsidR="00B06136">
              <w:rPr>
                <w:sz w:val="20"/>
                <w:szCs w:val="20"/>
                <w:lang w:val="fr-CA" w:eastAsia="en-CA"/>
              </w:rPr>
              <w:t> </w:t>
            </w:r>
            <w:r w:rsidRPr="005439B2">
              <w:rPr>
                <w:sz w:val="20"/>
                <w:szCs w:val="20"/>
                <w:lang w:val="fr-CA" w:eastAsia="en-CA"/>
              </w:rPr>
              <w:t>II retardé</w:t>
            </w:r>
            <w:r w:rsidR="00B06136">
              <w:rPr>
                <w:sz w:val="20"/>
                <w:szCs w:val="20"/>
                <w:lang w:val="fr-CA" w:eastAsia="en-CA"/>
              </w:rPr>
              <w:t>e</w:t>
            </w:r>
          </w:p>
        </w:tc>
        <w:tc>
          <w:tcPr>
            <w:tcW w:w="3860" w:type="dxa"/>
          </w:tcPr>
          <w:p w:rsidR="00BA5619" w:rsidRPr="005439B2" w:rsidRDefault="005439B2" w:rsidP="00BA5619">
            <w:pPr>
              <w:jc w:val="left"/>
              <w:rPr>
                <w:bCs/>
                <w:sz w:val="20"/>
                <w:szCs w:val="20"/>
                <w:lang w:val="fr-CA" w:eastAsia="en-CA"/>
              </w:rPr>
            </w:pPr>
            <w:r w:rsidRPr="005439B2">
              <w:rPr>
                <w:sz w:val="20"/>
                <w:szCs w:val="20"/>
                <w:lang w:val="fr-CA" w:eastAsia="en-CA"/>
              </w:rPr>
              <w:t>Demander de présenter un rapport de situation à la 85</w:t>
            </w:r>
            <w:r w:rsidRPr="00B06136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B06136">
              <w:rPr>
                <w:sz w:val="20"/>
                <w:szCs w:val="20"/>
                <w:lang w:val="fr-CA" w:eastAsia="en-CA"/>
              </w:rPr>
              <w:t> </w:t>
            </w:r>
            <w:r w:rsidRPr="005439B2">
              <w:rPr>
                <w:sz w:val="20"/>
                <w:szCs w:val="20"/>
                <w:lang w:val="fr-CA" w:eastAsia="en-CA"/>
              </w:rPr>
              <w:t xml:space="preserve">réunion sur le niveau de décaissement </w:t>
            </w:r>
            <w:r>
              <w:rPr>
                <w:sz w:val="20"/>
                <w:szCs w:val="20"/>
                <w:lang w:val="fr-CA" w:eastAsia="en-CA"/>
              </w:rPr>
              <w:t>et l’avancement de la présentation de la phase</w:t>
            </w:r>
            <w:r w:rsidR="00B06136">
              <w:rPr>
                <w:sz w:val="20"/>
                <w:szCs w:val="20"/>
                <w:lang w:val="fr-CA" w:eastAsia="en-CA"/>
              </w:rPr>
              <w:t> </w:t>
            </w:r>
            <w:r>
              <w:rPr>
                <w:sz w:val="20"/>
                <w:szCs w:val="20"/>
                <w:lang w:val="fr-CA" w:eastAsia="en-CA"/>
              </w:rPr>
              <w:t>II</w:t>
            </w:r>
          </w:p>
        </w:tc>
      </w:tr>
    </w:tbl>
    <w:p w:rsidR="00BA5619" w:rsidRPr="005439B2" w:rsidRDefault="00BA5619" w:rsidP="00BA5619">
      <w:pPr>
        <w:tabs>
          <w:tab w:val="left" w:pos="5560"/>
        </w:tabs>
        <w:jc w:val="center"/>
        <w:rPr>
          <w:b/>
          <w:bCs/>
          <w:lang w:val="fr-CA"/>
        </w:rPr>
        <w:sectPr w:rsidR="00BA5619" w:rsidRPr="005439B2" w:rsidSect="00BA561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5840" w:h="12240" w:orient="landscape" w:code="1"/>
          <w:pgMar w:top="1440" w:right="720" w:bottom="1440" w:left="864" w:header="720" w:footer="475" w:gutter="0"/>
          <w:pgNumType w:start="1"/>
          <w:cols w:space="720"/>
          <w:titlePg/>
          <w:docGrid w:linePitch="299"/>
        </w:sectPr>
      </w:pPr>
    </w:p>
    <w:p w:rsidR="00BA5619" w:rsidRPr="00FB3F7F" w:rsidRDefault="00BA5619" w:rsidP="00BA5619">
      <w:pPr>
        <w:tabs>
          <w:tab w:val="left" w:pos="5560"/>
        </w:tabs>
        <w:jc w:val="center"/>
        <w:rPr>
          <w:b/>
          <w:bCs/>
          <w:lang w:val="fr-CA"/>
        </w:rPr>
      </w:pPr>
      <w:r w:rsidRPr="00FB3F7F">
        <w:rPr>
          <w:b/>
          <w:bCs/>
          <w:lang w:val="fr-CA"/>
        </w:rPr>
        <w:lastRenderedPageBreak/>
        <w:t>Annex</w:t>
      </w:r>
      <w:r w:rsidR="0080110A" w:rsidRPr="00FB3F7F">
        <w:rPr>
          <w:b/>
          <w:bCs/>
          <w:lang w:val="fr-CA"/>
        </w:rPr>
        <w:t>e </w:t>
      </w:r>
      <w:r w:rsidRPr="00FB3F7F">
        <w:rPr>
          <w:b/>
          <w:bCs/>
          <w:lang w:val="fr-CA"/>
        </w:rPr>
        <w:t>II</w:t>
      </w:r>
    </w:p>
    <w:p w:rsidR="00BA5619" w:rsidRPr="00FB3F7F" w:rsidRDefault="00BA5619" w:rsidP="00BA5619">
      <w:pPr>
        <w:tabs>
          <w:tab w:val="left" w:pos="5560"/>
        </w:tabs>
        <w:jc w:val="center"/>
        <w:rPr>
          <w:b/>
          <w:bCs/>
          <w:lang w:val="fr-CA"/>
        </w:rPr>
      </w:pPr>
    </w:p>
    <w:p w:rsidR="00BA5619" w:rsidRPr="00FB3F7F" w:rsidRDefault="006531A3" w:rsidP="00BA5619">
      <w:pPr>
        <w:pStyle w:val="Title1"/>
        <w:rPr>
          <w:caps w:val="0"/>
          <w:lang w:val="fr-CA"/>
        </w:rPr>
      </w:pPr>
      <w:r w:rsidRPr="00FB3F7F">
        <w:rPr>
          <w:caps w:val="0"/>
          <w:lang w:val="fr-CA"/>
        </w:rPr>
        <w:t>ANALYSE DU RAPPORT PÉRIODIQUE DU PNUD AU 31</w:t>
      </w:r>
      <w:r w:rsidR="000C2EE3" w:rsidRPr="00FB3F7F">
        <w:rPr>
          <w:caps w:val="0"/>
          <w:lang w:val="fr-CA"/>
        </w:rPr>
        <w:t> </w:t>
      </w:r>
      <w:r w:rsidRPr="00FB3F7F">
        <w:rPr>
          <w:caps w:val="0"/>
          <w:lang w:val="fr-CA"/>
        </w:rPr>
        <w:t>DÉCEMBRE</w:t>
      </w:r>
      <w:r w:rsidR="000C2EE3" w:rsidRPr="00FB3F7F">
        <w:rPr>
          <w:caps w:val="0"/>
          <w:lang w:val="fr-CA"/>
        </w:rPr>
        <w:t> </w:t>
      </w:r>
      <w:r w:rsidRPr="00FB3F7F">
        <w:rPr>
          <w:caps w:val="0"/>
          <w:lang w:val="fr-CA"/>
        </w:rPr>
        <w:t>2018</w:t>
      </w:r>
    </w:p>
    <w:p w:rsidR="00BA5619" w:rsidRPr="00FB3F7F" w:rsidRDefault="00BA5619" w:rsidP="00BA5619">
      <w:pPr>
        <w:pStyle w:val="Title1"/>
        <w:rPr>
          <w:caps w:val="0"/>
          <w:lang w:val="fr-CA"/>
        </w:rPr>
      </w:pPr>
    </w:p>
    <w:p w:rsidR="00BA5619" w:rsidRPr="00FB3F7F" w:rsidRDefault="006531A3" w:rsidP="00BA5619">
      <w:pPr>
        <w:pStyle w:val="Heading1"/>
        <w:numPr>
          <w:ilvl w:val="0"/>
          <w:numId w:val="46"/>
        </w:numPr>
        <w:rPr>
          <w:lang w:val="fr-CA"/>
        </w:rPr>
      </w:pPr>
      <w:r w:rsidRPr="00FB3F7F">
        <w:rPr>
          <w:lang w:val="fr-CA"/>
        </w:rPr>
        <w:t>La présente annexe renferme les deux parties suivantes</w:t>
      </w:r>
      <w:r w:rsidR="000C2EE3" w:rsidRPr="00FB3F7F">
        <w:rPr>
          <w:lang w:val="fr-CA"/>
        </w:rPr>
        <w:t> </w:t>
      </w:r>
      <w:r w:rsidRPr="00FB3F7F">
        <w:rPr>
          <w:lang w:val="fr-CA"/>
        </w:rPr>
        <w:t xml:space="preserve">: </w:t>
      </w:r>
    </w:p>
    <w:p w:rsidR="00BA5619" w:rsidRPr="00FB3F7F" w:rsidRDefault="00BA5619" w:rsidP="00BA5619">
      <w:pPr>
        <w:pStyle w:val="Heading2"/>
        <w:keepNext/>
        <w:widowControl/>
        <w:numPr>
          <w:ilvl w:val="0"/>
          <w:numId w:val="0"/>
        </w:numPr>
        <w:adjustRightInd w:val="0"/>
        <w:ind w:left="2160" w:hanging="1440"/>
        <w:textAlignment w:val="baseline"/>
        <w:rPr>
          <w:szCs w:val="28"/>
          <w:lang w:val="fr-CA"/>
        </w:rPr>
      </w:pPr>
      <w:r w:rsidRPr="006531A3">
        <w:rPr>
          <w:szCs w:val="28"/>
          <w:lang w:val="fr-CA"/>
        </w:rPr>
        <w:t>Part</w:t>
      </w:r>
      <w:r w:rsidR="0080110A" w:rsidRPr="006531A3">
        <w:rPr>
          <w:szCs w:val="28"/>
          <w:lang w:val="fr-CA"/>
        </w:rPr>
        <w:t>ie </w:t>
      </w:r>
      <w:r w:rsidRPr="006531A3">
        <w:rPr>
          <w:szCs w:val="28"/>
          <w:lang w:val="fr-CA"/>
        </w:rPr>
        <w:t>I</w:t>
      </w:r>
      <w:r w:rsidR="001152EB" w:rsidRPr="006531A3">
        <w:rPr>
          <w:szCs w:val="28"/>
          <w:lang w:val="fr-CA"/>
        </w:rPr>
        <w:t> :</w:t>
      </w:r>
      <w:r w:rsidRPr="006531A3">
        <w:rPr>
          <w:szCs w:val="28"/>
          <w:lang w:val="fr-CA"/>
        </w:rPr>
        <w:tab/>
      </w:r>
      <w:r w:rsidR="006531A3" w:rsidRPr="006531A3">
        <w:rPr>
          <w:szCs w:val="28"/>
          <w:lang w:val="fr-CA"/>
        </w:rPr>
        <w:t>Projets approuvés au titre de</w:t>
      </w:r>
      <w:r w:rsidR="000E68A6">
        <w:rPr>
          <w:szCs w:val="28"/>
          <w:lang w:val="fr-CA"/>
        </w:rPr>
        <w:t>s</w:t>
      </w:r>
      <w:r w:rsidR="006531A3" w:rsidRPr="006531A3">
        <w:rPr>
          <w:szCs w:val="28"/>
          <w:lang w:val="fr-CA"/>
        </w:rPr>
        <w:t xml:space="preserve"> contribution</w:t>
      </w:r>
      <w:r w:rsidR="000E68A6">
        <w:rPr>
          <w:szCs w:val="28"/>
          <w:lang w:val="fr-CA"/>
        </w:rPr>
        <w:t>s</w:t>
      </w:r>
      <w:r w:rsidR="006531A3" w:rsidRPr="006531A3">
        <w:rPr>
          <w:szCs w:val="28"/>
          <w:lang w:val="fr-CA"/>
        </w:rPr>
        <w:t xml:space="preserve"> ordinaire</w:t>
      </w:r>
      <w:r w:rsidR="000E68A6">
        <w:rPr>
          <w:szCs w:val="28"/>
          <w:lang w:val="fr-CA"/>
        </w:rPr>
        <w:t>s</w:t>
      </w:r>
      <w:r w:rsidR="006531A3" w:rsidRPr="006531A3">
        <w:rPr>
          <w:szCs w:val="28"/>
          <w:lang w:val="fr-CA"/>
        </w:rPr>
        <w:t xml:space="preserve"> du Fonds multilatéral. </w:t>
      </w:r>
    </w:p>
    <w:p w:rsidR="00BA5619" w:rsidRPr="005B214C" w:rsidRDefault="00BA5619" w:rsidP="00BA5619">
      <w:pPr>
        <w:pStyle w:val="Heading2"/>
        <w:widowControl/>
        <w:numPr>
          <w:ilvl w:val="0"/>
          <w:numId w:val="0"/>
        </w:numPr>
        <w:adjustRightInd w:val="0"/>
        <w:ind w:left="2160" w:hanging="1440"/>
        <w:textAlignment w:val="baseline"/>
        <w:rPr>
          <w:szCs w:val="28"/>
          <w:lang w:val="fr-CA"/>
        </w:rPr>
      </w:pPr>
      <w:r w:rsidRPr="006531A3">
        <w:rPr>
          <w:szCs w:val="28"/>
          <w:lang w:val="fr-CA"/>
        </w:rPr>
        <w:t>Part</w:t>
      </w:r>
      <w:r w:rsidR="0080110A" w:rsidRPr="006531A3">
        <w:rPr>
          <w:szCs w:val="28"/>
          <w:lang w:val="fr-CA"/>
        </w:rPr>
        <w:t>ie </w:t>
      </w:r>
      <w:r w:rsidRPr="006531A3">
        <w:rPr>
          <w:szCs w:val="28"/>
          <w:lang w:val="fr-CA"/>
        </w:rPr>
        <w:t>II</w:t>
      </w:r>
      <w:r w:rsidR="001152EB" w:rsidRPr="006531A3">
        <w:rPr>
          <w:szCs w:val="28"/>
          <w:lang w:val="fr-CA"/>
        </w:rPr>
        <w:t> :</w:t>
      </w:r>
      <w:r w:rsidRPr="006531A3">
        <w:rPr>
          <w:szCs w:val="28"/>
          <w:lang w:val="fr-CA"/>
        </w:rPr>
        <w:tab/>
      </w:r>
      <w:r w:rsidR="006531A3" w:rsidRPr="006531A3">
        <w:rPr>
          <w:szCs w:val="28"/>
          <w:lang w:val="fr-CA"/>
        </w:rPr>
        <w:t xml:space="preserve">Projets </w:t>
      </w:r>
      <w:r w:rsidR="005B214C">
        <w:rPr>
          <w:szCs w:val="28"/>
          <w:lang w:val="fr-CA"/>
        </w:rPr>
        <w:t>approuvés</w:t>
      </w:r>
      <w:r w:rsidR="006531A3" w:rsidRPr="006531A3">
        <w:rPr>
          <w:szCs w:val="28"/>
          <w:lang w:val="fr-CA"/>
        </w:rPr>
        <w:t xml:space="preserve"> au titre des contributions volontaires supplémentaires pour </w:t>
      </w:r>
      <w:r w:rsidR="00735560">
        <w:rPr>
          <w:szCs w:val="28"/>
          <w:lang w:val="fr-CA"/>
        </w:rPr>
        <w:t xml:space="preserve">l’appui au </w:t>
      </w:r>
      <w:r w:rsidR="006531A3" w:rsidRPr="006531A3">
        <w:rPr>
          <w:szCs w:val="28"/>
          <w:lang w:val="fr-CA"/>
        </w:rPr>
        <w:t xml:space="preserve">démarrage rapide </w:t>
      </w:r>
      <w:r w:rsidR="00735560">
        <w:rPr>
          <w:szCs w:val="28"/>
          <w:lang w:val="fr-CA"/>
        </w:rPr>
        <w:t>du processus d</w:t>
      </w:r>
      <w:r w:rsidR="006531A3">
        <w:rPr>
          <w:szCs w:val="28"/>
          <w:lang w:val="fr-CA"/>
        </w:rPr>
        <w:t xml:space="preserve">’élimination progressive des HFC. </w:t>
      </w:r>
    </w:p>
    <w:p w:rsidR="00BA5619" w:rsidRPr="00FB3F7F" w:rsidRDefault="00BA5619" w:rsidP="00BA5619">
      <w:pPr>
        <w:pStyle w:val="sub-title"/>
        <w:keepNext/>
        <w:keepLines/>
        <w:ind w:left="1418" w:hanging="1418"/>
        <w:rPr>
          <w:rFonts w:ascii="Times New Roman Bold" w:hAnsi="Times New Roman Bold"/>
          <w:caps/>
          <w:noProof w:val="0"/>
          <w:szCs w:val="28"/>
          <w:lang w:val="fr-CA"/>
        </w:rPr>
      </w:pPr>
      <w:r w:rsidRPr="00FB3F7F">
        <w:rPr>
          <w:rFonts w:ascii="Times New Roman Bold" w:hAnsi="Times New Roman Bold"/>
          <w:caps/>
          <w:noProof w:val="0"/>
          <w:szCs w:val="28"/>
          <w:lang w:val="fr-CA"/>
        </w:rPr>
        <w:t>Part</w:t>
      </w:r>
      <w:r w:rsidR="0080110A" w:rsidRPr="00FB3F7F">
        <w:rPr>
          <w:rFonts w:ascii="Times New Roman Bold" w:hAnsi="Times New Roman Bold"/>
          <w:caps/>
          <w:noProof w:val="0"/>
          <w:szCs w:val="28"/>
          <w:lang w:val="fr-CA"/>
        </w:rPr>
        <w:t>IE</w:t>
      </w:r>
      <w:r w:rsidR="0080110A" w:rsidRPr="00FB3F7F">
        <w:rPr>
          <w:rFonts w:ascii="Times New Roman Bold" w:hAnsi="Times New Roman Bold" w:hint="eastAsia"/>
          <w:caps/>
          <w:noProof w:val="0"/>
          <w:szCs w:val="28"/>
          <w:lang w:val="fr-CA"/>
        </w:rPr>
        <w:t> </w:t>
      </w:r>
      <w:r w:rsidRPr="00FB3F7F">
        <w:rPr>
          <w:rFonts w:ascii="Times New Roman Bold" w:hAnsi="Times New Roman Bold"/>
          <w:caps/>
          <w:noProof w:val="0"/>
          <w:szCs w:val="28"/>
          <w:lang w:val="fr-CA"/>
        </w:rPr>
        <w:t>I</w:t>
      </w:r>
      <w:r w:rsidR="001152EB" w:rsidRPr="00FB3F7F">
        <w:rPr>
          <w:rFonts w:ascii="Times New Roman Bold" w:hAnsi="Times New Roman Bold"/>
          <w:caps/>
          <w:noProof w:val="0"/>
          <w:szCs w:val="28"/>
          <w:lang w:val="fr-CA"/>
        </w:rPr>
        <w:t> :</w:t>
      </w:r>
      <w:r w:rsidRPr="00FB3F7F">
        <w:rPr>
          <w:rFonts w:ascii="Times New Roman Bold" w:hAnsi="Times New Roman Bold"/>
          <w:caps/>
          <w:noProof w:val="0"/>
          <w:szCs w:val="28"/>
          <w:lang w:val="fr-CA"/>
        </w:rPr>
        <w:t xml:space="preserve"> </w:t>
      </w:r>
      <w:r w:rsidRPr="00FB3F7F">
        <w:rPr>
          <w:rFonts w:ascii="Times New Roman Bold" w:hAnsi="Times New Roman Bold"/>
          <w:caps/>
          <w:noProof w:val="0"/>
          <w:szCs w:val="28"/>
          <w:lang w:val="fr-CA"/>
        </w:rPr>
        <w:tab/>
      </w:r>
      <w:r w:rsidR="006531A3" w:rsidRPr="00FB3F7F">
        <w:rPr>
          <w:rFonts w:ascii="Times New Roman Bold" w:hAnsi="Times New Roman Bold"/>
          <w:caps/>
          <w:noProof w:val="0"/>
          <w:szCs w:val="28"/>
          <w:lang w:val="fr-CA"/>
        </w:rPr>
        <w:t>PROJETS APPROUV</w:t>
      </w:r>
      <w:r w:rsidR="006531A3" w:rsidRPr="00FB3F7F">
        <w:rPr>
          <w:rFonts w:ascii="Times New Roman Bold" w:hAnsi="Times New Roman Bold" w:hint="eastAsia"/>
          <w:caps/>
          <w:noProof w:val="0"/>
          <w:szCs w:val="28"/>
          <w:lang w:val="fr-CA"/>
        </w:rPr>
        <w:t>É</w:t>
      </w:r>
      <w:r w:rsidR="006531A3" w:rsidRPr="00FB3F7F">
        <w:rPr>
          <w:rFonts w:ascii="Times New Roman Bold" w:hAnsi="Times New Roman Bold"/>
          <w:caps/>
          <w:noProof w:val="0"/>
          <w:szCs w:val="28"/>
          <w:lang w:val="fr-CA"/>
        </w:rPr>
        <w:t>S AU TITRE DE</w:t>
      </w:r>
      <w:r w:rsidR="00CC21A5" w:rsidRPr="00FB3F7F">
        <w:rPr>
          <w:rFonts w:ascii="Times New Roman Bold" w:hAnsi="Times New Roman Bold"/>
          <w:caps/>
          <w:noProof w:val="0"/>
          <w:szCs w:val="28"/>
          <w:lang w:val="fr-CA"/>
        </w:rPr>
        <w:t>S</w:t>
      </w:r>
      <w:r w:rsidR="006531A3" w:rsidRPr="00FB3F7F">
        <w:rPr>
          <w:rFonts w:ascii="Times New Roman Bold" w:hAnsi="Times New Roman Bold"/>
          <w:caps/>
          <w:noProof w:val="0"/>
          <w:szCs w:val="28"/>
          <w:lang w:val="fr-CA"/>
        </w:rPr>
        <w:t xml:space="preserve"> CONTRIBUTION</w:t>
      </w:r>
      <w:r w:rsidR="00CC21A5" w:rsidRPr="00FB3F7F">
        <w:rPr>
          <w:rFonts w:ascii="Times New Roman Bold" w:hAnsi="Times New Roman Bold"/>
          <w:caps/>
          <w:noProof w:val="0"/>
          <w:szCs w:val="28"/>
          <w:lang w:val="fr-CA"/>
        </w:rPr>
        <w:t>S</w:t>
      </w:r>
      <w:r w:rsidR="006531A3" w:rsidRPr="00FB3F7F">
        <w:rPr>
          <w:rFonts w:ascii="Times New Roman Bold" w:hAnsi="Times New Roman Bold"/>
          <w:caps/>
          <w:noProof w:val="0"/>
          <w:szCs w:val="28"/>
          <w:lang w:val="fr-CA"/>
        </w:rPr>
        <w:t xml:space="preserve"> ORDINAIRE</w:t>
      </w:r>
      <w:r w:rsidR="00CC21A5" w:rsidRPr="00FB3F7F">
        <w:rPr>
          <w:rFonts w:ascii="Times New Roman Bold" w:hAnsi="Times New Roman Bold"/>
          <w:caps/>
          <w:noProof w:val="0"/>
          <w:szCs w:val="28"/>
          <w:lang w:val="fr-CA"/>
        </w:rPr>
        <w:t>S</w:t>
      </w:r>
      <w:r w:rsidR="006531A3" w:rsidRPr="00FB3F7F">
        <w:rPr>
          <w:rFonts w:ascii="Times New Roman Bold" w:hAnsi="Times New Roman Bold"/>
          <w:caps/>
          <w:noProof w:val="0"/>
          <w:szCs w:val="28"/>
          <w:lang w:val="fr-CA"/>
        </w:rPr>
        <w:t xml:space="preserve"> AU FONDS MULTILAT</w:t>
      </w:r>
      <w:r w:rsidR="006531A3" w:rsidRPr="00FB3F7F">
        <w:rPr>
          <w:rFonts w:ascii="Times New Roman Bold" w:hAnsi="Times New Roman Bold" w:hint="eastAsia"/>
          <w:caps/>
          <w:noProof w:val="0"/>
          <w:szCs w:val="28"/>
          <w:lang w:val="fr-CA"/>
        </w:rPr>
        <w:t>É</w:t>
      </w:r>
      <w:r w:rsidR="006531A3" w:rsidRPr="00FB3F7F">
        <w:rPr>
          <w:rFonts w:ascii="Times New Roman Bold" w:hAnsi="Times New Roman Bold"/>
          <w:caps/>
          <w:noProof w:val="0"/>
          <w:szCs w:val="28"/>
          <w:lang w:val="fr-CA"/>
        </w:rPr>
        <w:t xml:space="preserve">RAL </w:t>
      </w:r>
    </w:p>
    <w:p w:rsidR="00BA5619" w:rsidRPr="00FB3F7F" w:rsidRDefault="00BA5619" w:rsidP="00BA5619">
      <w:pPr>
        <w:rPr>
          <w:lang w:val="fr-CA"/>
        </w:rPr>
      </w:pPr>
    </w:p>
    <w:p w:rsidR="00BA5619" w:rsidRPr="00FB3F7F" w:rsidRDefault="006531A3" w:rsidP="00BA5619">
      <w:pPr>
        <w:pStyle w:val="Heading1"/>
        <w:rPr>
          <w:lang w:val="fr-CA"/>
        </w:rPr>
      </w:pPr>
      <w:r w:rsidRPr="006531A3">
        <w:rPr>
          <w:lang w:val="fr-CA"/>
        </w:rPr>
        <w:t>Au 31</w:t>
      </w:r>
      <w:r w:rsidR="000C2EE3">
        <w:rPr>
          <w:lang w:val="fr-CA"/>
        </w:rPr>
        <w:t> </w:t>
      </w:r>
      <w:r w:rsidRPr="006531A3">
        <w:rPr>
          <w:lang w:val="fr-CA"/>
        </w:rPr>
        <w:t>décembre</w:t>
      </w:r>
      <w:r w:rsidR="005B214C">
        <w:rPr>
          <w:lang w:val="fr-CA"/>
        </w:rPr>
        <w:t> </w:t>
      </w:r>
      <w:r w:rsidRPr="006531A3">
        <w:rPr>
          <w:lang w:val="fr-CA"/>
        </w:rPr>
        <w:t xml:space="preserve">2018, le Comité exécutif avait approuvé </w:t>
      </w:r>
      <w:r w:rsidR="000C2EE3">
        <w:rPr>
          <w:lang w:val="fr-CA"/>
        </w:rPr>
        <w:t>9</w:t>
      </w:r>
      <w:r w:rsidR="00CC21A5">
        <w:rPr>
          <w:lang w:val="fr-CA"/>
        </w:rPr>
        <w:t>3</w:t>
      </w:r>
      <w:r w:rsidR="000C2EE3">
        <w:rPr>
          <w:lang w:val="fr-CA"/>
        </w:rPr>
        <w:t>2,88 millions $US</w:t>
      </w:r>
      <w:r w:rsidRPr="006531A3">
        <w:rPr>
          <w:lang w:val="fr-CA"/>
        </w:rPr>
        <w:t xml:space="preserve">, comprenant </w:t>
      </w:r>
      <w:r w:rsidR="000C2EE3">
        <w:rPr>
          <w:lang w:val="fr-CA"/>
        </w:rPr>
        <w:t>822,21 millions $US</w:t>
      </w:r>
      <w:r w:rsidRPr="006531A3">
        <w:rPr>
          <w:lang w:val="fr-CA"/>
        </w:rPr>
        <w:t xml:space="preserve"> pour la mise en œuvre des projets d’investissement et des projets ne portant pas sur des investissements et 110,66</w:t>
      </w:r>
      <w:r w:rsidR="00CC21A5">
        <w:rPr>
          <w:lang w:val="fr-CA"/>
        </w:rPr>
        <w:t> </w:t>
      </w:r>
      <w:r w:rsidRPr="006531A3">
        <w:rPr>
          <w:lang w:val="fr-CA"/>
        </w:rPr>
        <w:t>millions</w:t>
      </w:r>
      <w:r w:rsidR="00CC21A5">
        <w:rPr>
          <w:lang w:val="fr-CA"/>
        </w:rPr>
        <w:t> $</w:t>
      </w:r>
      <w:r w:rsidRPr="006531A3">
        <w:rPr>
          <w:lang w:val="fr-CA"/>
        </w:rPr>
        <w:t>US pour les coûts d’appui d’agence, comme on peut le voir au tableau</w:t>
      </w:r>
      <w:r w:rsidR="000C2EE3">
        <w:rPr>
          <w:lang w:val="fr-CA"/>
        </w:rPr>
        <w:t> </w:t>
      </w:r>
      <w:r w:rsidRPr="006531A3">
        <w:rPr>
          <w:lang w:val="fr-CA"/>
        </w:rPr>
        <w:t xml:space="preserve">1. </w:t>
      </w:r>
      <w:r w:rsidRPr="000C2EE3">
        <w:rPr>
          <w:lang w:val="fr-CA"/>
        </w:rPr>
        <w:t>En 2018, 60</w:t>
      </w:r>
      <w:r w:rsidR="000C2EE3" w:rsidRPr="000C2EE3">
        <w:rPr>
          <w:lang w:val="fr-CA"/>
        </w:rPr>
        <w:t> </w:t>
      </w:r>
      <w:r w:rsidRPr="000C2EE3">
        <w:rPr>
          <w:lang w:val="fr-CA"/>
        </w:rPr>
        <w:t xml:space="preserve">nouveaux projets et activités ont été </w:t>
      </w:r>
      <w:r w:rsidR="000C2EE3">
        <w:rPr>
          <w:lang w:val="fr-CA"/>
        </w:rPr>
        <w:t>approuvés</w:t>
      </w:r>
      <w:r w:rsidRPr="000C2EE3">
        <w:rPr>
          <w:lang w:val="fr-CA"/>
        </w:rPr>
        <w:t xml:space="preserve">. </w:t>
      </w:r>
      <w:r w:rsidRPr="006531A3">
        <w:rPr>
          <w:lang w:val="fr-CA"/>
        </w:rPr>
        <w:t>Ce financement devrait permettre d’éliminer 68</w:t>
      </w:r>
      <w:r w:rsidR="00CC21A5">
        <w:rPr>
          <w:lang w:val="fr-CA"/>
        </w:rPr>
        <w:t> </w:t>
      </w:r>
      <w:r w:rsidRPr="006531A3">
        <w:rPr>
          <w:lang w:val="fr-CA"/>
        </w:rPr>
        <w:t>281</w:t>
      </w:r>
      <w:r w:rsidR="00CC21A5">
        <w:rPr>
          <w:lang w:val="fr-CA"/>
        </w:rPr>
        <w:t> tonnes </w:t>
      </w:r>
      <w:r w:rsidRPr="006531A3">
        <w:rPr>
          <w:lang w:val="fr-CA"/>
        </w:rPr>
        <w:t xml:space="preserve">PAO de consommation de substances réglementées. </w:t>
      </w:r>
    </w:p>
    <w:p w:rsidR="00BA5619" w:rsidRPr="00FB3F7F" w:rsidRDefault="00BA5619" w:rsidP="00BA5619">
      <w:pPr>
        <w:pStyle w:val="Heading1"/>
        <w:keepNext/>
        <w:numPr>
          <w:ilvl w:val="0"/>
          <w:numId w:val="0"/>
        </w:numPr>
        <w:suppressAutoHyphens/>
        <w:spacing w:after="0"/>
        <w:rPr>
          <w:b/>
          <w:lang w:val="fr-CA"/>
        </w:rPr>
      </w:pPr>
      <w:r w:rsidRPr="00FB3F7F">
        <w:rPr>
          <w:b/>
          <w:spacing w:val="-3"/>
          <w:lang w:val="fr-CA"/>
        </w:rPr>
        <w:t>Table</w:t>
      </w:r>
      <w:r w:rsidR="0080110A" w:rsidRPr="00FB3F7F">
        <w:rPr>
          <w:b/>
          <w:spacing w:val="-3"/>
          <w:lang w:val="fr-CA"/>
        </w:rPr>
        <w:t>au </w:t>
      </w:r>
      <w:r w:rsidRPr="00FB3F7F">
        <w:rPr>
          <w:b/>
          <w:spacing w:val="-3"/>
          <w:lang w:val="fr-CA"/>
        </w:rPr>
        <w:t>1</w:t>
      </w:r>
      <w:r w:rsidR="001152EB" w:rsidRPr="00FB3F7F">
        <w:rPr>
          <w:b/>
          <w:spacing w:val="-3"/>
          <w:lang w:val="fr-CA"/>
        </w:rPr>
        <w:t> :</w:t>
      </w:r>
      <w:r w:rsidRPr="00FB3F7F">
        <w:rPr>
          <w:b/>
          <w:spacing w:val="-3"/>
          <w:lang w:val="fr-CA"/>
        </w:rPr>
        <w:t xml:space="preserve"> </w:t>
      </w:r>
      <w:r w:rsidR="006531A3" w:rsidRPr="00FB3F7F">
        <w:rPr>
          <w:b/>
          <w:spacing w:val="-3"/>
          <w:lang w:val="fr-CA"/>
        </w:rPr>
        <w:t xml:space="preserve">Financement approuvé pour le PNUD par secteur </w:t>
      </w:r>
      <w:r w:rsidR="00CC21A5" w:rsidRPr="00FB3F7F">
        <w:rPr>
          <w:b/>
          <w:spacing w:val="-3"/>
          <w:lang w:val="fr-CA"/>
        </w:rPr>
        <w:t>au</w:t>
      </w:r>
      <w:r w:rsidR="006531A3" w:rsidRPr="00FB3F7F">
        <w:rPr>
          <w:b/>
          <w:spacing w:val="-3"/>
          <w:lang w:val="fr-CA"/>
        </w:rPr>
        <w:t xml:space="preserve"> 31</w:t>
      </w:r>
      <w:r w:rsidR="000C2EE3" w:rsidRPr="00FB3F7F">
        <w:rPr>
          <w:b/>
          <w:spacing w:val="-3"/>
          <w:lang w:val="fr-CA"/>
        </w:rPr>
        <w:t> </w:t>
      </w:r>
      <w:r w:rsidR="006531A3" w:rsidRPr="00FB3F7F">
        <w:rPr>
          <w:b/>
          <w:spacing w:val="-3"/>
          <w:lang w:val="fr-CA"/>
        </w:rPr>
        <w:t>décembre</w:t>
      </w:r>
      <w:r w:rsidR="000C2EE3" w:rsidRPr="00FB3F7F">
        <w:rPr>
          <w:b/>
          <w:spacing w:val="-3"/>
          <w:lang w:val="fr-CA"/>
        </w:rPr>
        <w:t> </w:t>
      </w:r>
      <w:r w:rsidR="006531A3" w:rsidRPr="00FB3F7F">
        <w:rPr>
          <w:b/>
          <w:spacing w:val="-3"/>
          <w:lang w:val="fr-CA"/>
        </w:rPr>
        <w:t>2018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A5619" w:rsidRPr="00C04B9F" w:rsidTr="00BA561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19" w:rsidRPr="00C04B9F" w:rsidRDefault="00BA5619" w:rsidP="00BA5619">
            <w:pPr>
              <w:widowControl w:val="0"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C04B9F">
              <w:rPr>
                <w:b/>
                <w:bCs/>
                <w:sz w:val="21"/>
                <w:szCs w:val="21"/>
                <w:lang w:val="en-CA" w:eastAsia="en-CA"/>
              </w:rPr>
              <w:t>Sect</w:t>
            </w:r>
            <w:r w:rsidR="00C031ED">
              <w:rPr>
                <w:b/>
                <w:bCs/>
                <w:sz w:val="21"/>
                <w:szCs w:val="21"/>
                <w:lang w:val="en-CA" w:eastAsia="en-CA"/>
              </w:rPr>
              <w:t>eu</w:t>
            </w:r>
            <w:r w:rsidRPr="00C04B9F">
              <w:rPr>
                <w:b/>
                <w:bCs/>
                <w:sz w:val="21"/>
                <w:szCs w:val="21"/>
                <w:lang w:val="en-CA" w:eastAsia="en-CA"/>
              </w:rPr>
              <w:t>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619" w:rsidRPr="00C04B9F" w:rsidRDefault="00BA5619" w:rsidP="00BA5619">
            <w:pPr>
              <w:widowControl w:val="0"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C04B9F">
              <w:rPr>
                <w:b/>
                <w:bCs/>
                <w:sz w:val="21"/>
                <w:szCs w:val="21"/>
                <w:lang w:val="en-CA" w:eastAsia="en-CA"/>
              </w:rPr>
              <w:t>F</w:t>
            </w:r>
            <w:r w:rsidR="00C031ED">
              <w:rPr>
                <w:b/>
                <w:bCs/>
                <w:sz w:val="21"/>
                <w:szCs w:val="21"/>
                <w:lang w:val="en-CA" w:eastAsia="en-CA"/>
              </w:rPr>
              <w:t>inancement</w:t>
            </w:r>
            <w:r w:rsidRPr="00C04B9F">
              <w:rPr>
                <w:b/>
                <w:bCs/>
                <w:sz w:val="21"/>
                <w:szCs w:val="21"/>
                <w:lang w:val="en-CA" w:eastAsia="en-CA"/>
              </w:rPr>
              <w:t xml:space="preserve"> (</w:t>
            </w:r>
            <w:r w:rsidR="00D61DC5">
              <w:rPr>
                <w:b/>
                <w:bCs/>
                <w:sz w:val="21"/>
                <w:szCs w:val="21"/>
                <w:lang w:val="en-CA" w:eastAsia="en-CA"/>
              </w:rPr>
              <w:t>$US</w:t>
            </w:r>
            <w:r w:rsidRPr="00C04B9F">
              <w:rPr>
                <w:b/>
                <w:bCs/>
                <w:sz w:val="21"/>
                <w:szCs w:val="21"/>
                <w:lang w:val="en-CA" w:eastAsia="en-CA"/>
              </w:rPr>
              <w:t>)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6531A3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Aérosols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BA5619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 w:rsidRPr="00C04B9F">
              <w:rPr>
                <w:sz w:val="21"/>
                <w:szCs w:val="21"/>
                <w:lang w:val="en-CA" w:eastAsia="en-CA"/>
              </w:rPr>
              <w:t>26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054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838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BA5619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 w:rsidRPr="00C04B9F">
              <w:rPr>
                <w:sz w:val="21"/>
                <w:szCs w:val="21"/>
                <w:lang w:val="en-CA" w:eastAsia="en-CA"/>
              </w:rPr>
              <w:t>Destruction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CB5C08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3 606 279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6531A3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Lutte contre l’incendie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BA5619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 w:rsidRPr="00C04B9F">
              <w:rPr>
                <w:sz w:val="21"/>
                <w:szCs w:val="21"/>
                <w:lang w:val="en-CA" w:eastAsia="en-CA"/>
              </w:rPr>
              <w:t>50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000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6531A3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Mousse</w:t>
            </w:r>
            <w:r w:rsidR="00CC21A5">
              <w:rPr>
                <w:sz w:val="21"/>
                <w:szCs w:val="21"/>
                <w:lang w:val="en-CA" w:eastAsia="en-CA"/>
              </w:rPr>
              <w:t>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CB5C08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173 366 807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BA5619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 w:rsidRPr="00C04B9F">
              <w:rPr>
                <w:sz w:val="21"/>
                <w:szCs w:val="21"/>
                <w:lang w:val="en-CA" w:eastAsia="en-CA"/>
              </w:rPr>
              <w:t>Halon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CB5C08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4 996 975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6531A3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Fumigène</w:t>
            </w:r>
            <w:r w:rsidR="00CC21A5">
              <w:rPr>
                <w:sz w:val="21"/>
                <w:szCs w:val="21"/>
                <w:lang w:val="en-CA" w:eastAsia="en-CA"/>
              </w:rPr>
              <w:t>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CB5C08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20 081 243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6531A3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Plan d’élimination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CB5C08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326 512 742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6531A3" w:rsidRDefault="006531A3" w:rsidP="00BA5619">
            <w:pPr>
              <w:widowControl w:val="0"/>
              <w:jc w:val="left"/>
              <w:rPr>
                <w:sz w:val="21"/>
                <w:szCs w:val="21"/>
                <w:lang w:val="fr-CA" w:eastAsia="en-CA"/>
              </w:rPr>
            </w:pPr>
            <w:r w:rsidRPr="006531A3">
              <w:rPr>
                <w:sz w:val="21"/>
                <w:szCs w:val="21"/>
                <w:lang w:val="fr-CA" w:eastAsia="en-CA"/>
              </w:rPr>
              <w:t>Agent de transformation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CB5C08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1 286 923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BA5619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 w:rsidRPr="00C04B9F">
              <w:rPr>
                <w:sz w:val="21"/>
                <w:szCs w:val="21"/>
                <w:lang w:val="en-CA" w:eastAsia="en-CA"/>
              </w:rPr>
              <w:t>Production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CB5C08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1 056 000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6531A3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Réfrigératio</w:t>
            </w:r>
            <w:r w:rsidR="00CC21A5">
              <w:rPr>
                <w:sz w:val="21"/>
                <w:szCs w:val="21"/>
                <w:lang w:val="en-CA" w:eastAsia="en-CA"/>
              </w:rPr>
              <w:t>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BA5619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 w:rsidRPr="00C04B9F">
              <w:rPr>
                <w:sz w:val="21"/>
                <w:szCs w:val="21"/>
                <w:lang w:val="en-CA" w:eastAsia="en-CA"/>
              </w:rPr>
              <w:t>139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929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636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6531A3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Plusieurs secteurs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BA5619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 w:rsidRPr="00C04B9F">
              <w:rPr>
                <w:sz w:val="21"/>
                <w:szCs w:val="21"/>
                <w:lang w:val="en-CA" w:eastAsia="en-CA"/>
              </w:rPr>
              <w:t>61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151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282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6531A3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Solvants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BA5619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 w:rsidRPr="00C04B9F">
              <w:rPr>
                <w:sz w:val="21"/>
                <w:szCs w:val="21"/>
                <w:lang w:val="en-CA" w:eastAsia="en-CA"/>
              </w:rPr>
              <w:t>63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699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996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6531A3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Stérilisant</w:t>
            </w:r>
            <w:r w:rsidR="00CC21A5">
              <w:rPr>
                <w:sz w:val="21"/>
                <w:szCs w:val="21"/>
                <w:lang w:val="en-CA" w:eastAsia="en-CA"/>
              </w:rPr>
              <w:t>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BA5619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 w:rsidRPr="00C04B9F">
              <w:rPr>
                <w:sz w:val="21"/>
                <w:szCs w:val="21"/>
                <w:lang w:val="en-CA" w:eastAsia="en-CA"/>
              </w:rPr>
              <w:t>417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628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0C2EE3" w:rsidP="00BA5619">
            <w:pPr>
              <w:widowControl w:val="0"/>
              <w:jc w:val="left"/>
              <w:rPr>
                <w:b/>
                <w:bCs/>
                <w:sz w:val="21"/>
                <w:szCs w:val="21"/>
                <w:lang w:val="en-CA" w:eastAsia="en-CA"/>
              </w:rPr>
            </w:pPr>
            <w:r>
              <w:rPr>
                <w:b/>
                <w:bCs/>
                <w:sz w:val="21"/>
                <w:szCs w:val="21"/>
                <w:lang w:val="en-CA" w:eastAsia="en-CA"/>
              </w:rPr>
              <w:t>Sous-total</w:t>
            </w:r>
            <w:r w:rsidR="006531A3">
              <w:rPr>
                <w:b/>
                <w:bCs/>
                <w:sz w:val="21"/>
                <w:szCs w:val="21"/>
                <w:lang w:val="en-CA" w:eastAsia="en-CA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CB5C08" w:rsidP="00BA5619">
            <w:pPr>
              <w:widowControl w:val="0"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>
              <w:rPr>
                <w:b/>
                <w:bCs/>
                <w:sz w:val="21"/>
                <w:szCs w:val="21"/>
                <w:lang w:val="en-CA" w:eastAsia="en-CA"/>
              </w:rPr>
              <w:t>822 210 347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6531A3" w:rsidP="00BA5619">
            <w:pPr>
              <w:widowControl w:val="0"/>
              <w:jc w:val="left"/>
              <w:rPr>
                <w:sz w:val="21"/>
                <w:szCs w:val="21"/>
                <w:lang w:val="en-CA" w:eastAsia="en-CA"/>
              </w:rPr>
            </w:pPr>
            <w:r>
              <w:rPr>
                <w:sz w:val="21"/>
                <w:szCs w:val="21"/>
                <w:lang w:val="en-CA" w:eastAsia="en-CA"/>
              </w:rPr>
              <w:t>Coûts d’appui d’agence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BA5619" w:rsidP="00BA5619">
            <w:pPr>
              <w:widowControl w:val="0"/>
              <w:jc w:val="right"/>
              <w:rPr>
                <w:sz w:val="21"/>
                <w:szCs w:val="21"/>
                <w:lang w:val="en-CA" w:eastAsia="en-CA"/>
              </w:rPr>
            </w:pPr>
            <w:r w:rsidRPr="00C04B9F">
              <w:rPr>
                <w:sz w:val="21"/>
                <w:szCs w:val="21"/>
                <w:lang w:val="en-CA" w:eastAsia="en-CA"/>
              </w:rPr>
              <w:t>110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664</w:t>
            </w:r>
            <w:r w:rsidR="00AA7D65">
              <w:rPr>
                <w:sz w:val="21"/>
                <w:szCs w:val="21"/>
                <w:lang w:val="en-CA" w:eastAsia="en-CA"/>
              </w:rPr>
              <w:t> </w:t>
            </w:r>
            <w:r w:rsidRPr="00C04B9F">
              <w:rPr>
                <w:sz w:val="21"/>
                <w:szCs w:val="21"/>
                <w:lang w:val="en-CA" w:eastAsia="en-CA"/>
              </w:rPr>
              <w:t>988</w:t>
            </w:r>
          </w:p>
        </w:tc>
      </w:tr>
      <w:tr w:rsidR="00BA5619" w:rsidRPr="00C04B9F" w:rsidTr="00BA5619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19" w:rsidRPr="00C04B9F" w:rsidRDefault="00BA5619" w:rsidP="00BA5619">
            <w:pPr>
              <w:widowControl w:val="0"/>
              <w:jc w:val="lef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C04B9F">
              <w:rPr>
                <w:b/>
                <w:bCs/>
                <w:sz w:val="21"/>
                <w:szCs w:val="21"/>
                <w:lang w:val="en-CA" w:eastAsia="en-CA"/>
              </w:rPr>
              <w:t>Total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576" w:type="dxa"/>
            </w:tcMar>
            <w:vAlign w:val="center"/>
            <w:hideMark/>
          </w:tcPr>
          <w:p w:rsidR="00BA5619" w:rsidRPr="00C04B9F" w:rsidRDefault="00CB5C08" w:rsidP="00BA5619">
            <w:pPr>
              <w:widowControl w:val="0"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>
              <w:rPr>
                <w:b/>
                <w:bCs/>
                <w:sz w:val="21"/>
                <w:szCs w:val="21"/>
                <w:lang w:val="en-CA" w:eastAsia="en-CA"/>
              </w:rPr>
              <w:t>932 875 335</w:t>
            </w:r>
          </w:p>
        </w:tc>
      </w:tr>
    </w:tbl>
    <w:p w:rsidR="00BA5619" w:rsidRPr="00C04B9F" w:rsidRDefault="00BA5619" w:rsidP="00BA5619">
      <w:pPr>
        <w:rPr>
          <w:lang w:val="en-CA"/>
        </w:rPr>
      </w:pPr>
    </w:p>
    <w:p w:rsidR="00BA5619" w:rsidRPr="00CC21A5" w:rsidRDefault="00B97F19" w:rsidP="00BA5619">
      <w:pPr>
        <w:pStyle w:val="Heading1"/>
        <w:rPr>
          <w:lang w:val="fr-CA"/>
        </w:rPr>
      </w:pPr>
      <w:r w:rsidRPr="00B97F19">
        <w:rPr>
          <w:lang w:val="fr-CA"/>
        </w:rPr>
        <w:t>Le tableau</w:t>
      </w:r>
      <w:r w:rsidR="000C2EE3">
        <w:rPr>
          <w:lang w:val="fr-CA"/>
        </w:rPr>
        <w:t> </w:t>
      </w:r>
      <w:r w:rsidRPr="00B97F19">
        <w:rPr>
          <w:lang w:val="fr-CA"/>
        </w:rPr>
        <w:t xml:space="preserve">2 </w:t>
      </w:r>
      <w:r w:rsidR="000C2EE3">
        <w:rPr>
          <w:lang w:val="fr-CA"/>
        </w:rPr>
        <w:t>récapitule</w:t>
      </w:r>
      <w:r w:rsidRPr="00B97F19">
        <w:rPr>
          <w:lang w:val="fr-CA"/>
        </w:rPr>
        <w:t xml:space="preserve"> l’état d’avancement des projets par catégorie.</w:t>
      </w:r>
      <w:r w:rsidR="00BA5619" w:rsidRPr="00CC21A5">
        <w:rPr>
          <w:lang w:val="fr-CA"/>
        </w:rPr>
        <w:t xml:space="preserve"> </w:t>
      </w:r>
    </w:p>
    <w:p w:rsidR="00BA5619" w:rsidRPr="00B97F19" w:rsidRDefault="00BA5619" w:rsidP="00BA5619">
      <w:pPr>
        <w:keepNext/>
        <w:jc w:val="left"/>
        <w:rPr>
          <w:b/>
          <w:lang w:val="fr-CA"/>
        </w:rPr>
      </w:pPr>
      <w:r w:rsidRPr="00B97F19">
        <w:rPr>
          <w:b/>
          <w:lang w:val="fr-CA"/>
        </w:rPr>
        <w:t>Table</w:t>
      </w:r>
      <w:r w:rsidR="0080110A" w:rsidRPr="00B97F19">
        <w:rPr>
          <w:b/>
          <w:lang w:val="fr-CA"/>
        </w:rPr>
        <w:t>au </w:t>
      </w:r>
      <w:r w:rsidRPr="00B97F19">
        <w:rPr>
          <w:b/>
          <w:lang w:val="fr-CA"/>
        </w:rPr>
        <w:t>2</w:t>
      </w:r>
      <w:r w:rsidR="001152EB" w:rsidRPr="00B97F19">
        <w:rPr>
          <w:b/>
          <w:lang w:val="fr-CA"/>
        </w:rPr>
        <w:t> :</w:t>
      </w:r>
      <w:r w:rsidRPr="00B97F19">
        <w:rPr>
          <w:b/>
          <w:lang w:val="fr-CA"/>
        </w:rPr>
        <w:t xml:space="preserve"> </w:t>
      </w:r>
      <w:r w:rsidR="00B97F19" w:rsidRPr="00B97F19">
        <w:rPr>
          <w:b/>
          <w:lang w:val="fr-CA"/>
        </w:rPr>
        <w:t>État d’avancement des projets par catégorie</w:t>
      </w:r>
      <w:r w:rsidRPr="00B97F19">
        <w:rPr>
          <w:b/>
          <w:lang w:val="fr-CA"/>
        </w:rPr>
        <w:t xml:space="preserve">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054"/>
        <w:gridCol w:w="964"/>
        <w:gridCol w:w="1163"/>
        <w:gridCol w:w="1134"/>
        <w:gridCol w:w="1134"/>
        <w:gridCol w:w="1044"/>
        <w:gridCol w:w="1162"/>
      </w:tblGrid>
      <w:tr w:rsidR="00C031ED" w:rsidRPr="00C04B9F" w:rsidTr="00CC21A5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1ED" w:rsidRPr="00C04B9F" w:rsidRDefault="00C031ED" w:rsidP="00C031ED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Type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1ED" w:rsidRPr="00C04B9F" w:rsidRDefault="00C031ED" w:rsidP="00C031ED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N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ombre de projets*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1ED" w:rsidRPr="00C04B9F" w:rsidRDefault="00C031ED" w:rsidP="00C031ED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F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inancement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$US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)*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*</w:t>
            </w:r>
          </w:p>
        </w:tc>
      </w:tr>
      <w:tr w:rsidR="006D0E8F" w:rsidRPr="00C04B9F" w:rsidTr="00CC21A5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C21A5" w:rsidRDefault="006D0E8F" w:rsidP="006D0E8F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 w:rsidRPr="00CC21A5">
              <w:rPr>
                <w:b/>
                <w:bCs/>
                <w:sz w:val="18"/>
                <w:szCs w:val="18"/>
                <w:lang w:val="en-US" w:eastAsia="en-CA"/>
              </w:rPr>
              <w:t>Approuvés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C21A5" w:rsidRDefault="006D0E8F" w:rsidP="006D0E8F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 w:rsidRPr="00CC21A5">
              <w:rPr>
                <w:b/>
                <w:bCs/>
                <w:sz w:val="18"/>
                <w:szCs w:val="18"/>
                <w:lang w:val="en-US" w:eastAsia="en-CA"/>
              </w:rPr>
              <w:t>Achevés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C21A5" w:rsidRDefault="00427514" w:rsidP="006D0E8F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val="en-US" w:eastAsia="en-CA"/>
              </w:rPr>
              <w:t>Taux d’</w:t>
            </w:r>
            <w:r w:rsidR="006D0E8F" w:rsidRPr="00CC21A5">
              <w:rPr>
                <w:b/>
                <w:bCs/>
                <w:sz w:val="18"/>
                <w:szCs w:val="18"/>
                <w:lang w:val="en-US" w:eastAsia="en-CA"/>
              </w:rPr>
              <w:t>achèvement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C21A5" w:rsidRDefault="006D0E8F" w:rsidP="006D0E8F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 w:rsidRPr="00CC21A5">
              <w:rPr>
                <w:b/>
                <w:bCs/>
                <w:sz w:val="18"/>
                <w:szCs w:val="18"/>
                <w:lang w:val="en-US" w:eastAsia="en-CA"/>
              </w:rPr>
              <w:t>Approuvé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C21A5" w:rsidRDefault="006D0E8F" w:rsidP="006D0E8F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 w:rsidRPr="00CC21A5">
              <w:rPr>
                <w:b/>
                <w:bCs/>
                <w:sz w:val="18"/>
                <w:szCs w:val="18"/>
                <w:lang w:val="en-US" w:eastAsia="en-CA"/>
              </w:rPr>
              <w:t>Décaissé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C21A5" w:rsidRDefault="006D0E8F" w:rsidP="006D0E8F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 w:rsidRPr="00CC21A5">
              <w:rPr>
                <w:b/>
                <w:bCs/>
                <w:sz w:val="18"/>
                <w:szCs w:val="18"/>
                <w:lang w:val="en-US" w:eastAsia="en-CA"/>
              </w:rPr>
              <w:t>Solde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C21A5" w:rsidRDefault="00427514" w:rsidP="006D0E8F">
            <w:pPr>
              <w:jc w:val="center"/>
              <w:rPr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b/>
                <w:bCs/>
                <w:sz w:val="18"/>
                <w:szCs w:val="18"/>
                <w:lang w:val="en-US" w:eastAsia="en-CA"/>
              </w:rPr>
              <w:t xml:space="preserve">Taux de </w:t>
            </w:r>
            <w:r w:rsidR="006D0E8F" w:rsidRPr="00CC21A5">
              <w:rPr>
                <w:b/>
                <w:bCs/>
                <w:sz w:val="18"/>
                <w:szCs w:val="18"/>
                <w:lang w:val="en-US" w:eastAsia="en-CA"/>
              </w:rPr>
              <w:t>décaissement</w:t>
            </w:r>
          </w:p>
        </w:tc>
      </w:tr>
      <w:tr w:rsidR="006D0E8F" w:rsidRPr="00C04B9F" w:rsidTr="00CC21A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0E8F" w:rsidRPr="00B97F19" w:rsidRDefault="006D0E8F" w:rsidP="006D0E8F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B97F19">
              <w:rPr>
                <w:sz w:val="20"/>
                <w:szCs w:val="20"/>
                <w:lang w:val="fr-CA" w:eastAsia="en-CA"/>
              </w:rPr>
              <w:t xml:space="preserve">Programme de pays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628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628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CC21A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 xml:space="preserve">Démonstration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204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764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440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94</w:t>
            </w:r>
          </w:p>
        </w:tc>
      </w:tr>
      <w:tr w:rsidR="006D0E8F" w:rsidRPr="00C04B9F" w:rsidTr="00CC21A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 xml:space="preserve">Renforcement des institutions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971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142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828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89</w:t>
            </w:r>
          </w:p>
        </w:tc>
      </w:tr>
      <w:tr w:rsidR="006D0E8F" w:rsidRPr="00C04B9F" w:rsidTr="00CC21A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 xml:space="preserve">Investissement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677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423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617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060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363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91</w:t>
            </w:r>
          </w:p>
        </w:tc>
      </w:tr>
      <w:tr w:rsidR="006D0E8F" w:rsidRPr="00C04B9F" w:rsidTr="00CC21A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0E8F" w:rsidRPr="00B97F19" w:rsidRDefault="006D0E8F" w:rsidP="006D0E8F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B97F19">
              <w:rPr>
                <w:sz w:val="20"/>
                <w:szCs w:val="20"/>
                <w:lang w:val="fr-CA" w:eastAsia="en-CA"/>
              </w:rPr>
              <w:t xml:space="preserve">Préparation de projet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207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547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660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97</w:t>
            </w:r>
          </w:p>
        </w:tc>
      </w:tr>
      <w:tr w:rsidR="006D0E8F" w:rsidRPr="00C04B9F" w:rsidTr="00CC21A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 xml:space="preserve">Assistance technique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183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823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360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82</w:t>
            </w:r>
          </w:p>
        </w:tc>
      </w:tr>
      <w:tr w:rsidR="006D0E8F" w:rsidRPr="00C04B9F" w:rsidTr="00CC21A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lastRenderedPageBreak/>
              <w:t>Formation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1 590 489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1 590 489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CC21A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2 435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2 289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822 210 347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745 557 571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76 652 776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91</w:t>
            </w:r>
          </w:p>
        </w:tc>
      </w:tr>
    </w:tbl>
    <w:p w:rsidR="00BA5619" w:rsidRPr="00FB3F7F" w:rsidRDefault="00BA5619" w:rsidP="00BA5619">
      <w:pPr>
        <w:jc w:val="left"/>
        <w:rPr>
          <w:sz w:val="18"/>
          <w:szCs w:val="18"/>
          <w:lang w:val="fr-CA"/>
        </w:rPr>
      </w:pPr>
      <w:r w:rsidRPr="00B97F19">
        <w:rPr>
          <w:sz w:val="18"/>
          <w:szCs w:val="18"/>
          <w:lang w:val="fr-CA"/>
        </w:rPr>
        <w:t>*</w:t>
      </w:r>
      <w:r w:rsidR="00B97F19" w:rsidRPr="00B97F19">
        <w:rPr>
          <w:sz w:val="18"/>
          <w:szCs w:val="18"/>
          <w:lang w:val="fr-CA"/>
        </w:rPr>
        <w:t xml:space="preserve">Exclut les projets clos et transférés. </w:t>
      </w:r>
    </w:p>
    <w:p w:rsidR="00BA5619" w:rsidRPr="00876439" w:rsidRDefault="00BA5619" w:rsidP="00BA5619">
      <w:pPr>
        <w:jc w:val="left"/>
        <w:rPr>
          <w:sz w:val="18"/>
          <w:szCs w:val="18"/>
          <w:lang w:val="fr-CA"/>
        </w:rPr>
      </w:pPr>
      <w:r w:rsidRPr="00B97F19">
        <w:rPr>
          <w:sz w:val="18"/>
          <w:szCs w:val="18"/>
          <w:lang w:val="fr-CA"/>
        </w:rPr>
        <w:t>**</w:t>
      </w:r>
      <w:r w:rsidR="00B97F19" w:rsidRPr="00B97F19">
        <w:rPr>
          <w:sz w:val="18"/>
          <w:szCs w:val="18"/>
          <w:lang w:val="fr-CA"/>
        </w:rPr>
        <w:t xml:space="preserve">Exclut les coûts d’appui d’agence. </w:t>
      </w:r>
    </w:p>
    <w:p w:rsidR="00BA5619" w:rsidRPr="00876439" w:rsidRDefault="00BA5619" w:rsidP="00BA5619">
      <w:pPr>
        <w:jc w:val="left"/>
        <w:rPr>
          <w:sz w:val="18"/>
          <w:szCs w:val="18"/>
          <w:lang w:val="fr-CA"/>
        </w:rPr>
      </w:pPr>
    </w:p>
    <w:p w:rsidR="00BA5619" w:rsidRPr="00F308E6" w:rsidRDefault="00B97F19" w:rsidP="00BA5619">
      <w:pPr>
        <w:pStyle w:val="Heading1"/>
        <w:rPr>
          <w:lang w:val="fr-CA"/>
        </w:rPr>
      </w:pPr>
      <w:r w:rsidRPr="00876439">
        <w:rPr>
          <w:lang w:val="fr-CA"/>
        </w:rPr>
        <w:t>Le tableau</w:t>
      </w:r>
      <w:r w:rsidR="000C2EE3" w:rsidRPr="00876439">
        <w:rPr>
          <w:lang w:val="fr-CA"/>
        </w:rPr>
        <w:t> </w:t>
      </w:r>
      <w:r w:rsidRPr="00876439">
        <w:rPr>
          <w:lang w:val="fr-CA"/>
        </w:rPr>
        <w:t>3 présente un aperçu de l’état d’avancement des projets par année</w:t>
      </w:r>
      <w:r w:rsidR="00BA5619" w:rsidRPr="00C04B9F">
        <w:rPr>
          <w:rStyle w:val="FootnoteReference"/>
          <w:lang w:val="en-CA"/>
        </w:rPr>
        <w:footnoteReference w:id="15"/>
      </w:r>
      <w:r w:rsidR="00BA5619" w:rsidRPr="00876439">
        <w:rPr>
          <w:lang w:val="fr-CA"/>
        </w:rPr>
        <w:t xml:space="preserve">. </w:t>
      </w:r>
      <w:r w:rsidR="006246FA" w:rsidRPr="00876439">
        <w:rPr>
          <w:lang w:val="fr-CA"/>
        </w:rPr>
        <w:t xml:space="preserve">Tous les projets et activités </w:t>
      </w:r>
      <w:r w:rsidR="005B214C">
        <w:rPr>
          <w:lang w:val="fr-CA"/>
        </w:rPr>
        <w:t>approuvés</w:t>
      </w:r>
      <w:r w:rsidR="000C2EE3" w:rsidRPr="00876439">
        <w:rPr>
          <w:lang w:val="fr-CA"/>
        </w:rPr>
        <w:t> </w:t>
      </w:r>
      <w:r w:rsidR="00F308E6">
        <w:rPr>
          <w:lang w:val="fr-CA"/>
        </w:rPr>
        <w:t>de 1</w:t>
      </w:r>
      <w:r w:rsidR="006246FA" w:rsidRPr="00876439">
        <w:rPr>
          <w:lang w:val="fr-CA"/>
        </w:rPr>
        <w:t>991 à 2</w:t>
      </w:r>
      <w:r w:rsidR="00F308E6">
        <w:rPr>
          <w:lang w:val="fr-CA"/>
        </w:rPr>
        <w:t>008 sont maintenant</w:t>
      </w:r>
      <w:r w:rsidR="000C2EE3" w:rsidRPr="00876439">
        <w:rPr>
          <w:lang w:val="fr-CA"/>
        </w:rPr>
        <w:t> </w:t>
      </w:r>
      <w:r w:rsidR="006246FA" w:rsidRPr="00876439">
        <w:rPr>
          <w:lang w:val="fr-CA"/>
        </w:rPr>
        <w:t>achevés.</w:t>
      </w:r>
      <w:r w:rsidR="00BA5619" w:rsidRPr="00F308E6">
        <w:rPr>
          <w:lang w:val="fr-CA"/>
        </w:rPr>
        <w:t xml:space="preserve"> </w:t>
      </w:r>
    </w:p>
    <w:p w:rsidR="00BA5619" w:rsidRPr="006246FA" w:rsidRDefault="00BA5619" w:rsidP="00BA5619">
      <w:pPr>
        <w:keepNext/>
        <w:suppressAutoHyphens/>
        <w:jc w:val="left"/>
        <w:rPr>
          <w:b/>
          <w:spacing w:val="-3"/>
          <w:lang w:val="fr-CA"/>
        </w:rPr>
      </w:pPr>
      <w:r w:rsidRPr="006246FA">
        <w:rPr>
          <w:b/>
          <w:spacing w:val="-3"/>
          <w:lang w:val="fr-CA"/>
        </w:rPr>
        <w:t>Table</w:t>
      </w:r>
      <w:r w:rsidR="0080110A" w:rsidRPr="006246FA">
        <w:rPr>
          <w:b/>
          <w:spacing w:val="-3"/>
          <w:lang w:val="fr-CA"/>
        </w:rPr>
        <w:t>au </w:t>
      </w:r>
      <w:r w:rsidRPr="006246FA">
        <w:rPr>
          <w:b/>
          <w:spacing w:val="-3"/>
          <w:lang w:val="fr-CA"/>
        </w:rPr>
        <w:t>3</w:t>
      </w:r>
      <w:r w:rsidR="001152EB" w:rsidRPr="006246FA">
        <w:rPr>
          <w:b/>
          <w:spacing w:val="-3"/>
          <w:lang w:val="fr-CA"/>
        </w:rPr>
        <w:t> :</w:t>
      </w:r>
      <w:r w:rsidRPr="006246FA">
        <w:rPr>
          <w:b/>
          <w:spacing w:val="-3"/>
          <w:lang w:val="fr-CA"/>
        </w:rPr>
        <w:t xml:space="preserve"> </w:t>
      </w:r>
      <w:r w:rsidR="006246FA" w:rsidRPr="006246FA">
        <w:rPr>
          <w:b/>
          <w:spacing w:val="-3"/>
          <w:lang w:val="fr-CA"/>
        </w:rPr>
        <w:t>État d’avancement des projets par année</w:t>
      </w:r>
      <w:r w:rsidRPr="006246FA">
        <w:rPr>
          <w:b/>
          <w:spacing w:val="-3"/>
          <w:lang w:val="fr-CA"/>
        </w:rPr>
        <w:t xml:space="preserve"> 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054"/>
        <w:gridCol w:w="986"/>
        <w:gridCol w:w="1140"/>
        <w:gridCol w:w="1284"/>
        <w:gridCol w:w="1347"/>
        <w:gridCol w:w="1347"/>
        <w:gridCol w:w="1347"/>
      </w:tblGrid>
      <w:tr w:rsidR="00BA5619" w:rsidRPr="00C04B9F" w:rsidTr="00F308E6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A5619" w:rsidRPr="00C04B9F" w:rsidRDefault="001152EB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Année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A5619" w:rsidRPr="00C04B9F" w:rsidRDefault="001152EB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Nombre de projets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="00BA5619" w:rsidRPr="00C04B9F">
              <w:rPr>
                <w:b/>
                <w:bCs/>
                <w:sz w:val="20"/>
                <w:szCs w:val="20"/>
                <w:lang w:val="en-CA" w:eastAsia="en-CA"/>
              </w:rPr>
              <w:t>*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A5619" w:rsidRPr="00C04B9F" w:rsidRDefault="00BA5619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F</w:t>
            </w:r>
            <w:r w:rsidR="001152EB">
              <w:rPr>
                <w:b/>
                <w:bCs/>
                <w:sz w:val="20"/>
                <w:szCs w:val="20"/>
                <w:lang w:val="en-CA" w:eastAsia="en-CA"/>
              </w:rPr>
              <w:t>inancement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 xml:space="preserve"> (</w:t>
            </w:r>
            <w:r w:rsidR="00D61DC5">
              <w:rPr>
                <w:b/>
                <w:bCs/>
                <w:sz w:val="20"/>
                <w:szCs w:val="20"/>
                <w:lang w:val="en-CA" w:eastAsia="en-CA"/>
              </w:rPr>
              <w:t>$US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)**</w:t>
            </w:r>
          </w:p>
        </w:tc>
      </w:tr>
      <w:tr w:rsidR="006D0E8F" w:rsidRPr="00C04B9F" w:rsidTr="00F308E6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Appro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uvés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Achevés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C394B" w:rsidP="006C394B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Taux d’</w:t>
            </w:r>
            <w:r w:rsidR="006D0E8F">
              <w:rPr>
                <w:b/>
                <w:bCs/>
                <w:sz w:val="20"/>
                <w:szCs w:val="20"/>
                <w:lang w:val="en-US" w:eastAsia="en-CA"/>
              </w:rPr>
              <w:t>achèvement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Approuvé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Décaissé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Solde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C394B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 xml:space="preserve">Taux de </w:t>
            </w:r>
            <w:r w:rsidR="006D0E8F">
              <w:rPr>
                <w:b/>
                <w:bCs/>
                <w:sz w:val="20"/>
                <w:szCs w:val="20"/>
                <w:lang w:val="en-US" w:eastAsia="en-CA"/>
              </w:rPr>
              <w:t>décaissement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149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149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619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619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204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204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481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481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-1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599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599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-1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838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838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056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056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305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305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896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883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896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-1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268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268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292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292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316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316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336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336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802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802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125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124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753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753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-3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142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142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873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873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226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188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567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545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453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972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481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99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889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376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513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96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573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590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982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97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958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963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994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96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666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689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262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404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81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802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924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877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63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734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418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316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66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2018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274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253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021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</w:p>
        </w:tc>
      </w:tr>
      <w:tr w:rsidR="006D0E8F" w:rsidRPr="00C04B9F" w:rsidTr="00F308E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2 435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2 289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b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sz w:val="20"/>
                <w:szCs w:val="20"/>
                <w:lang w:val="en-CA" w:eastAsia="en-CA"/>
              </w:rPr>
              <w:t>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822 210 347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745 557 571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76 652 776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44" w:type="dxa"/>
            </w:tcMar>
            <w:vAlign w:val="center"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91</w:t>
            </w:r>
          </w:p>
        </w:tc>
      </w:tr>
    </w:tbl>
    <w:p w:rsidR="00BA5619" w:rsidRPr="00FB3F7F" w:rsidRDefault="00BA5619" w:rsidP="00BA5619">
      <w:pPr>
        <w:rPr>
          <w:sz w:val="18"/>
          <w:szCs w:val="18"/>
          <w:lang w:val="fr-CA"/>
        </w:rPr>
      </w:pPr>
      <w:r w:rsidRPr="006246FA">
        <w:rPr>
          <w:sz w:val="18"/>
          <w:szCs w:val="18"/>
          <w:lang w:val="fr-CA"/>
        </w:rPr>
        <w:t>*</w:t>
      </w:r>
      <w:r w:rsidR="006246FA" w:rsidRPr="006246FA">
        <w:rPr>
          <w:sz w:val="18"/>
          <w:szCs w:val="18"/>
          <w:lang w:val="fr-CA"/>
        </w:rPr>
        <w:t>Exclut les projets clos et transférés.</w:t>
      </w:r>
    </w:p>
    <w:p w:rsidR="00BA5619" w:rsidRPr="00F308E6" w:rsidRDefault="00BA5619" w:rsidP="00BA5619">
      <w:pPr>
        <w:spacing w:after="240"/>
        <w:rPr>
          <w:sz w:val="18"/>
          <w:szCs w:val="18"/>
          <w:lang w:val="fr-CA"/>
        </w:rPr>
      </w:pPr>
      <w:r w:rsidRPr="006246FA">
        <w:rPr>
          <w:sz w:val="18"/>
          <w:szCs w:val="18"/>
          <w:lang w:val="fr-CA"/>
        </w:rPr>
        <w:t>**</w:t>
      </w:r>
      <w:r w:rsidR="006246FA" w:rsidRPr="006246FA">
        <w:rPr>
          <w:sz w:val="18"/>
          <w:szCs w:val="18"/>
          <w:lang w:val="fr-CA"/>
        </w:rPr>
        <w:t>Exclut les coûts d’appui d’agence.</w:t>
      </w:r>
      <w:r w:rsidRPr="00F308E6">
        <w:rPr>
          <w:sz w:val="18"/>
          <w:szCs w:val="18"/>
          <w:lang w:val="fr-CA"/>
        </w:rPr>
        <w:t xml:space="preserve"> </w:t>
      </w:r>
    </w:p>
    <w:p w:rsidR="00BA5619" w:rsidRPr="006246FA" w:rsidRDefault="006246FA" w:rsidP="00BA5619">
      <w:pPr>
        <w:pStyle w:val="Heading1"/>
        <w:rPr>
          <w:lang w:val="fr-CA"/>
        </w:rPr>
      </w:pPr>
      <w:r w:rsidRPr="006246FA">
        <w:rPr>
          <w:lang w:val="fr-CA"/>
        </w:rPr>
        <w:lastRenderedPageBreak/>
        <w:t>Le tableau</w:t>
      </w:r>
      <w:r w:rsidR="000C2EE3">
        <w:rPr>
          <w:lang w:val="fr-CA"/>
        </w:rPr>
        <w:t> </w:t>
      </w:r>
      <w:r w:rsidRPr="006246FA">
        <w:rPr>
          <w:lang w:val="fr-CA"/>
        </w:rPr>
        <w:t xml:space="preserve">4 </w:t>
      </w:r>
      <w:r w:rsidR="000C2EE3">
        <w:rPr>
          <w:lang w:val="fr-CA"/>
        </w:rPr>
        <w:t>présente</w:t>
      </w:r>
      <w:r w:rsidRPr="006246FA">
        <w:rPr>
          <w:lang w:val="fr-CA"/>
        </w:rPr>
        <w:t xml:space="preserve"> l’état d’avancement des projets par pays pour 2018</w:t>
      </w:r>
      <w:r w:rsidR="00BA5619" w:rsidRPr="006246FA">
        <w:rPr>
          <w:lang w:val="fr-CA"/>
        </w:rPr>
        <w:t>.</w:t>
      </w:r>
    </w:p>
    <w:p w:rsidR="00BA5619" w:rsidRPr="006246FA" w:rsidRDefault="00BA5619" w:rsidP="00BA5619">
      <w:pPr>
        <w:pStyle w:val="Title1"/>
        <w:keepNext/>
        <w:jc w:val="both"/>
        <w:rPr>
          <w:caps w:val="0"/>
          <w:lang w:val="fr-CA"/>
        </w:rPr>
      </w:pPr>
      <w:r w:rsidRPr="00FB3F7F">
        <w:rPr>
          <w:caps w:val="0"/>
          <w:lang w:val="fr-CA"/>
        </w:rPr>
        <w:t>Table</w:t>
      </w:r>
      <w:r w:rsidR="0080110A" w:rsidRPr="00FB3F7F">
        <w:rPr>
          <w:caps w:val="0"/>
          <w:lang w:val="fr-CA"/>
        </w:rPr>
        <w:t>au </w:t>
      </w:r>
      <w:r w:rsidRPr="00FB3F7F">
        <w:rPr>
          <w:caps w:val="0"/>
          <w:lang w:val="fr-CA"/>
        </w:rPr>
        <w:t xml:space="preserve">4. </w:t>
      </w:r>
      <w:r w:rsidR="00F308E6" w:rsidRPr="00F308E6">
        <w:rPr>
          <w:caps w:val="0"/>
          <w:lang w:val="fr-CA"/>
        </w:rPr>
        <w:t>S</w:t>
      </w:r>
      <w:r w:rsidR="006246FA" w:rsidRPr="006246FA">
        <w:rPr>
          <w:caps w:val="0"/>
          <w:lang w:val="fr-CA"/>
        </w:rPr>
        <w:t xml:space="preserve">ommaire des projets mis en </w:t>
      </w:r>
      <w:r w:rsidR="000C2EE3">
        <w:rPr>
          <w:caps w:val="0"/>
          <w:lang w:val="fr-CA"/>
        </w:rPr>
        <w:t>œuvre</w:t>
      </w:r>
      <w:r w:rsidR="006246FA" w:rsidRPr="006246FA">
        <w:rPr>
          <w:caps w:val="0"/>
          <w:lang w:val="fr-CA"/>
        </w:rPr>
        <w:t xml:space="preserve"> par le PNUD </w:t>
      </w:r>
      <w:r w:rsidR="006246FA">
        <w:rPr>
          <w:caps w:val="0"/>
          <w:lang w:val="fr-CA"/>
        </w:rPr>
        <w:t>en 2018</w:t>
      </w:r>
    </w:p>
    <w:tbl>
      <w:tblPr>
        <w:tblW w:w="10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206"/>
        <w:gridCol w:w="1417"/>
        <w:gridCol w:w="1276"/>
        <w:gridCol w:w="1134"/>
        <w:gridCol w:w="1346"/>
        <w:gridCol w:w="1347"/>
      </w:tblGrid>
      <w:tr w:rsidR="00BA5619" w:rsidRPr="003756CA" w:rsidTr="007055DD">
        <w:trPr>
          <w:tblHeader/>
        </w:trPr>
        <w:tc>
          <w:tcPr>
            <w:tcW w:w="233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A5619" w:rsidRPr="00C04B9F" w:rsidRDefault="006246FA" w:rsidP="00BA5619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Pays</w:t>
            </w:r>
          </w:p>
        </w:tc>
        <w:tc>
          <w:tcPr>
            <w:tcW w:w="12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A5619" w:rsidRPr="00C04B9F" w:rsidRDefault="006246FA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 xml:space="preserve">Élimination </w:t>
            </w:r>
            <w:r w:rsidR="00F308E6">
              <w:rPr>
                <w:b/>
                <w:bCs/>
                <w:sz w:val="20"/>
                <w:szCs w:val="20"/>
                <w:lang w:val="en-CA" w:eastAsia="en-CA"/>
              </w:rPr>
              <w:t>en</w:t>
            </w:r>
            <w:r w:rsidR="00BA5619" w:rsidRPr="00C04B9F">
              <w:rPr>
                <w:b/>
                <w:bCs/>
                <w:sz w:val="20"/>
                <w:szCs w:val="20"/>
                <w:lang w:val="en-CA" w:eastAsia="en-CA"/>
              </w:rPr>
              <w:t xml:space="preserve"> 2018*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A5619" w:rsidRPr="00F308E6" w:rsidRDefault="006246FA" w:rsidP="00BA5619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F308E6">
              <w:rPr>
                <w:b/>
                <w:bCs/>
                <w:sz w:val="20"/>
                <w:szCs w:val="20"/>
                <w:lang w:val="fr-CA" w:eastAsia="en-CA"/>
              </w:rPr>
              <w:t>Pourcentage d’élimination prévue obtenue</w:t>
            </w:r>
            <w:r w:rsidR="00F308E6" w:rsidRPr="00F308E6">
              <w:rPr>
                <w:b/>
                <w:bCs/>
                <w:sz w:val="20"/>
                <w:szCs w:val="20"/>
                <w:lang w:val="fr-CA" w:eastAsia="en-CA"/>
              </w:rPr>
              <w:t xml:space="preserve"> en</w:t>
            </w:r>
            <w:r w:rsidR="00F308E6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="00BA5619" w:rsidRPr="00F308E6">
              <w:rPr>
                <w:b/>
                <w:bCs/>
                <w:sz w:val="20"/>
                <w:szCs w:val="20"/>
                <w:lang w:val="fr-CA" w:eastAsia="en-CA"/>
              </w:rPr>
              <w:t>2018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A5619" w:rsidRPr="006246FA" w:rsidRDefault="006246FA" w:rsidP="00BA5619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6246FA">
              <w:rPr>
                <w:b/>
                <w:bCs/>
                <w:sz w:val="20"/>
                <w:szCs w:val="20"/>
                <w:lang w:val="fr-CA" w:eastAsia="en-CA"/>
              </w:rPr>
              <w:t xml:space="preserve">Estimation des fonds décaissés en </w:t>
            </w:r>
            <w:r w:rsidR="00BA5619" w:rsidRPr="006246FA">
              <w:rPr>
                <w:b/>
                <w:bCs/>
                <w:sz w:val="20"/>
                <w:szCs w:val="20"/>
                <w:lang w:val="fr-CA" w:eastAsia="en-CA"/>
              </w:rPr>
              <w:t>2018</w:t>
            </w:r>
          </w:p>
          <w:p w:rsidR="00BA5619" w:rsidRPr="00C04B9F" w:rsidRDefault="00BA5619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(</w:t>
            </w:r>
            <w:r w:rsidR="00F308E6">
              <w:rPr>
                <w:b/>
                <w:bCs/>
                <w:sz w:val="20"/>
                <w:szCs w:val="20"/>
                <w:lang w:val="en-CA" w:eastAsia="en-CA"/>
              </w:rPr>
              <w:t>$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US)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A5619" w:rsidRPr="006246FA" w:rsidRDefault="006246FA" w:rsidP="00BA5619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6246FA">
              <w:rPr>
                <w:b/>
                <w:bCs/>
                <w:sz w:val="20"/>
                <w:szCs w:val="20"/>
                <w:lang w:val="fr-CA" w:eastAsia="en-CA"/>
              </w:rPr>
              <w:t xml:space="preserve">Fonds décaissés </w:t>
            </w:r>
            <w:r w:rsidR="00F308E6">
              <w:rPr>
                <w:b/>
                <w:bCs/>
                <w:sz w:val="20"/>
                <w:szCs w:val="20"/>
                <w:lang w:val="fr-CA" w:eastAsia="en-CA"/>
              </w:rPr>
              <w:t>en </w:t>
            </w:r>
            <w:r w:rsidR="00BA5619" w:rsidRPr="006246FA">
              <w:rPr>
                <w:b/>
                <w:bCs/>
                <w:sz w:val="20"/>
                <w:szCs w:val="20"/>
                <w:lang w:val="fr-CA" w:eastAsia="en-CA"/>
              </w:rPr>
              <w:t>2018</w:t>
            </w:r>
          </w:p>
          <w:p w:rsidR="00BA5619" w:rsidRPr="006246FA" w:rsidRDefault="00BA5619" w:rsidP="00BA5619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6246FA">
              <w:rPr>
                <w:b/>
                <w:bCs/>
                <w:sz w:val="20"/>
                <w:szCs w:val="20"/>
                <w:lang w:val="fr-CA" w:eastAsia="en-CA"/>
              </w:rPr>
              <w:t>(</w:t>
            </w:r>
            <w:r w:rsidR="00F308E6">
              <w:rPr>
                <w:b/>
                <w:bCs/>
                <w:sz w:val="20"/>
                <w:szCs w:val="20"/>
                <w:lang w:val="fr-CA" w:eastAsia="en-CA"/>
              </w:rPr>
              <w:t>$</w:t>
            </w:r>
            <w:r w:rsidRPr="006246FA">
              <w:rPr>
                <w:b/>
                <w:bCs/>
                <w:sz w:val="20"/>
                <w:szCs w:val="20"/>
                <w:lang w:val="fr-CA" w:eastAsia="en-CA"/>
              </w:rPr>
              <w:t>US)</w:t>
            </w:r>
          </w:p>
        </w:tc>
        <w:tc>
          <w:tcPr>
            <w:tcW w:w="134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A5619" w:rsidRPr="007055DD" w:rsidRDefault="006246FA" w:rsidP="007055DD">
            <w:pPr>
              <w:ind w:left="-143" w:right="-135"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6246FA">
              <w:rPr>
                <w:b/>
                <w:bCs/>
                <w:sz w:val="20"/>
                <w:szCs w:val="20"/>
                <w:lang w:val="fr-CA" w:eastAsia="en-CA"/>
              </w:rPr>
              <w:t xml:space="preserve">Pourcentage de fonds décaissés </w:t>
            </w:r>
            <w:r>
              <w:rPr>
                <w:b/>
                <w:bCs/>
                <w:sz w:val="20"/>
                <w:szCs w:val="20"/>
                <w:lang w:val="fr-CA" w:eastAsia="en-CA"/>
              </w:rPr>
              <w:t>dépassant l’estimation en</w:t>
            </w:r>
            <w:r w:rsidR="007055DD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="00BA5619" w:rsidRPr="007055DD">
              <w:rPr>
                <w:b/>
                <w:bCs/>
                <w:sz w:val="20"/>
                <w:szCs w:val="20"/>
                <w:lang w:val="fr-CA" w:eastAsia="en-CA"/>
              </w:rPr>
              <w:t>2018</w:t>
            </w:r>
          </w:p>
        </w:tc>
        <w:tc>
          <w:tcPr>
            <w:tcW w:w="134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A5619" w:rsidRPr="006246FA" w:rsidRDefault="006246FA" w:rsidP="00BA5619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6246FA">
              <w:rPr>
                <w:b/>
                <w:bCs/>
                <w:sz w:val="20"/>
                <w:szCs w:val="20"/>
                <w:lang w:val="fr-CA" w:eastAsia="en-CA"/>
              </w:rPr>
              <w:t>Pourcentage de projets prévus</w:t>
            </w:r>
            <w:r>
              <w:rPr>
                <w:b/>
                <w:bCs/>
                <w:sz w:val="20"/>
                <w:szCs w:val="20"/>
                <w:lang w:val="fr-CA" w:eastAsia="en-CA"/>
              </w:rPr>
              <w:t xml:space="preserve"> achevés en</w:t>
            </w:r>
            <w:r w:rsidR="007055DD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>
              <w:rPr>
                <w:b/>
                <w:bCs/>
                <w:sz w:val="20"/>
                <w:szCs w:val="20"/>
                <w:lang w:val="fr-CA" w:eastAsia="en-CA"/>
              </w:rPr>
              <w:t>2018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Angola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151 639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88 817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59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Argentin</w:t>
            </w:r>
            <w:r w:rsidR="00C031ED">
              <w:rPr>
                <w:sz w:val="20"/>
                <w:szCs w:val="20"/>
                <w:lang w:val="en-CA" w:eastAsia="en-CA"/>
              </w:rPr>
              <w:t>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423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135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453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148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Ar</w:t>
            </w:r>
            <w:r w:rsidR="00C031ED">
              <w:rPr>
                <w:sz w:val="20"/>
                <w:szCs w:val="20"/>
                <w:lang w:val="en-CA" w:eastAsia="en-CA"/>
              </w:rPr>
              <w:t>ménie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62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309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70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387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113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Bangladesh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116 495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77 116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66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67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Barbad</w:t>
            </w:r>
            <w:r w:rsidR="00C031ED">
              <w:rPr>
                <w:sz w:val="20"/>
                <w:szCs w:val="20"/>
                <w:lang w:val="en-CA" w:eastAsia="en-CA"/>
              </w:rPr>
              <w:t>es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44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55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791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126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B</w:t>
            </w:r>
            <w:r w:rsidR="00835393">
              <w:rPr>
                <w:sz w:val="20"/>
                <w:szCs w:val="20"/>
                <w:lang w:val="en-CA" w:eastAsia="en-CA"/>
              </w:rPr>
              <w:t>e</w:t>
            </w:r>
            <w:r w:rsidRPr="00C04B9F">
              <w:rPr>
                <w:sz w:val="20"/>
                <w:szCs w:val="20"/>
                <w:lang w:val="en-CA" w:eastAsia="en-CA"/>
              </w:rPr>
              <w:t>lize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4 550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Bh</w:t>
            </w:r>
            <w:r w:rsidR="00C031ED">
              <w:rPr>
                <w:sz w:val="20"/>
                <w:szCs w:val="20"/>
                <w:lang w:val="en-CA" w:eastAsia="en-CA"/>
              </w:rPr>
              <w:t>o</w:t>
            </w:r>
            <w:r w:rsidRPr="00C04B9F">
              <w:rPr>
                <w:sz w:val="20"/>
                <w:szCs w:val="20"/>
                <w:lang w:val="en-CA" w:eastAsia="en-CA"/>
              </w:rPr>
              <w:t>utan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754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528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182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Br</w:t>
            </w:r>
            <w:r w:rsidR="00C031ED">
              <w:rPr>
                <w:sz w:val="20"/>
                <w:szCs w:val="20"/>
                <w:lang w:val="en-CA" w:eastAsia="en-CA"/>
              </w:rPr>
              <w:t>é</w:t>
            </w:r>
            <w:r w:rsidR="00835393">
              <w:rPr>
                <w:sz w:val="20"/>
                <w:szCs w:val="20"/>
                <w:lang w:val="en-CA" w:eastAsia="en-CA"/>
              </w:rPr>
              <w:t>s</w:t>
            </w:r>
            <w:r w:rsidRPr="00C04B9F">
              <w:rPr>
                <w:sz w:val="20"/>
                <w:szCs w:val="20"/>
                <w:lang w:val="en-CA" w:eastAsia="en-CA"/>
              </w:rPr>
              <w:t>il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45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068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058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422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753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144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0C2EE3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Bruneï Darussalam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7 380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Cambod</w:t>
            </w:r>
            <w:r w:rsidR="00C031ED">
              <w:rPr>
                <w:sz w:val="20"/>
                <w:szCs w:val="20"/>
                <w:lang w:val="en-CA" w:eastAsia="en-CA"/>
              </w:rPr>
              <w:t>ge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Chil</w:t>
            </w:r>
            <w:r w:rsidR="00C031ED">
              <w:rPr>
                <w:sz w:val="20"/>
                <w:szCs w:val="20"/>
                <w:lang w:val="en-CA" w:eastAsia="en-CA"/>
              </w:rPr>
              <w:t>i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395 812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895 921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226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Chin</w:t>
            </w:r>
            <w:r w:rsidR="00C031ED">
              <w:rPr>
                <w:sz w:val="20"/>
                <w:szCs w:val="20"/>
                <w:lang w:val="en-CA" w:eastAsia="en-CA"/>
              </w:rPr>
              <w:t>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88,8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8 384 723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23 003 574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274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Colombi</w:t>
            </w:r>
            <w:r w:rsidR="00C031ED">
              <w:rPr>
                <w:sz w:val="20"/>
                <w:szCs w:val="20"/>
                <w:lang w:val="en-CA" w:eastAsia="en-CA"/>
              </w:rPr>
              <w:t>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16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810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427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288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525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159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Costa Rica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185 918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175 042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94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Cuba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205 499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141 381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69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835393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République démocratique du</w:t>
            </w:r>
            <w:r w:rsidR="00BA5619" w:rsidRPr="00C04B9F">
              <w:rPr>
                <w:sz w:val="20"/>
                <w:szCs w:val="20"/>
                <w:lang w:val="en-CA" w:eastAsia="en-CA"/>
              </w:rPr>
              <w:t xml:space="preserve"> Congo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24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23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536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97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835393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 xml:space="preserve">République </w:t>
            </w:r>
            <w:r w:rsidR="00BA5619" w:rsidRPr="00C04B9F">
              <w:rPr>
                <w:sz w:val="20"/>
                <w:szCs w:val="20"/>
                <w:lang w:val="en-CA" w:eastAsia="en-CA"/>
              </w:rPr>
              <w:t>Dominica</w:t>
            </w:r>
            <w:r>
              <w:rPr>
                <w:sz w:val="20"/>
                <w:szCs w:val="20"/>
                <w:lang w:val="en-CA" w:eastAsia="en-CA"/>
              </w:rPr>
              <w:t>ine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76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662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196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701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257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C031ED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É</w:t>
            </w:r>
            <w:r w:rsidR="00BA5619" w:rsidRPr="00C04B9F">
              <w:rPr>
                <w:sz w:val="20"/>
                <w:szCs w:val="20"/>
                <w:lang w:val="en-CA" w:eastAsia="en-CA"/>
              </w:rPr>
              <w:t>gypt</w:t>
            </w:r>
            <w:r>
              <w:rPr>
                <w:sz w:val="20"/>
                <w:szCs w:val="20"/>
                <w:lang w:val="en-CA" w:eastAsia="en-CA"/>
              </w:rPr>
              <w:t>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023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783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588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656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57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El Salvador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46 000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68 663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149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Fi</w:t>
            </w:r>
            <w:r w:rsidR="006C394B">
              <w:rPr>
                <w:sz w:val="20"/>
                <w:szCs w:val="20"/>
                <w:lang w:val="en-CA" w:eastAsia="en-CA"/>
              </w:rPr>
              <w:t>d</w:t>
            </w:r>
            <w:r w:rsidRPr="00C04B9F">
              <w:rPr>
                <w:sz w:val="20"/>
                <w:szCs w:val="20"/>
                <w:lang w:val="en-CA" w:eastAsia="en-CA"/>
              </w:rPr>
              <w:t>ji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18 997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12 294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65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Georgi</w:t>
            </w:r>
            <w:r w:rsidR="00C031ED">
              <w:rPr>
                <w:sz w:val="20"/>
                <w:szCs w:val="20"/>
                <w:lang w:val="en-CA" w:eastAsia="en-CA"/>
              </w:rPr>
              <w:t>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17 777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17 499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98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Ghana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56 407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140 053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248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Guyan</w:t>
            </w:r>
            <w:r w:rsidR="00C031ED">
              <w:rPr>
                <w:sz w:val="20"/>
                <w:szCs w:val="20"/>
                <w:lang w:val="en-CA" w:eastAsia="en-CA"/>
              </w:rPr>
              <w:t>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37 671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74 358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197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Ha</w:t>
            </w:r>
            <w:r w:rsidR="00835393">
              <w:rPr>
                <w:sz w:val="20"/>
                <w:szCs w:val="20"/>
                <w:lang w:val="en-CA" w:eastAsia="en-CA"/>
              </w:rPr>
              <w:t>ï</w:t>
            </w:r>
            <w:r w:rsidRPr="00C04B9F">
              <w:rPr>
                <w:sz w:val="20"/>
                <w:szCs w:val="20"/>
                <w:lang w:val="en-CA" w:eastAsia="en-CA"/>
              </w:rPr>
              <w:t>ti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29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Ind</w:t>
            </w:r>
            <w:r w:rsidR="00C031ED">
              <w:rPr>
                <w:sz w:val="20"/>
                <w:szCs w:val="20"/>
                <w:lang w:val="en-CA" w:eastAsia="en-CA"/>
              </w:rPr>
              <w:t>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056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460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223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85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83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Indon</w:t>
            </w:r>
            <w:r w:rsidR="00C031ED">
              <w:rPr>
                <w:sz w:val="20"/>
                <w:szCs w:val="20"/>
                <w:lang w:val="en-CA" w:eastAsia="en-CA"/>
              </w:rPr>
              <w:t>ésie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9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317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421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109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32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835393" w:rsidRDefault="00835393" w:rsidP="00BA5619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35393">
              <w:rPr>
                <w:sz w:val="20"/>
                <w:szCs w:val="20"/>
                <w:lang w:val="fr-CA" w:eastAsia="en-CA"/>
              </w:rPr>
              <w:t>République islamique d’Iran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506 468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252 313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50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Jam</w:t>
            </w:r>
            <w:r w:rsidR="00C031ED">
              <w:rPr>
                <w:sz w:val="20"/>
                <w:szCs w:val="20"/>
                <w:lang w:val="en-CA" w:eastAsia="en-CA"/>
              </w:rPr>
              <w:t>aïque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32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787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26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221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80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K</w:t>
            </w:r>
            <w:r w:rsidR="00C031ED">
              <w:rPr>
                <w:sz w:val="20"/>
                <w:szCs w:val="20"/>
                <w:lang w:val="en-CA" w:eastAsia="en-CA"/>
              </w:rPr>
              <w:t>o</w:t>
            </w:r>
            <w:r w:rsidRPr="00C04B9F">
              <w:rPr>
                <w:sz w:val="20"/>
                <w:szCs w:val="20"/>
                <w:lang w:val="en-CA" w:eastAsia="en-CA"/>
              </w:rPr>
              <w:t>w</w:t>
            </w:r>
            <w:r w:rsidR="00C031ED">
              <w:rPr>
                <w:sz w:val="20"/>
                <w:szCs w:val="20"/>
                <w:lang w:val="en-CA" w:eastAsia="en-CA"/>
              </w:rPr>
              <w:t>e</w:t>
            </w:r>
            <w:r w:rsidR="00835393">
              <w:rPr>
                <w:sz w:val="20"/>
                <w:szCs w:val="20"/>
                <w:lang w:val="en-CA" w:eastAsia="en-CA"/>
              </w:rPr>
              <w:t>ï</w:t>
            </w:r>
            <w:r w:rsidRPr="00C04B9F">
              <w:rPr>
                <w:sz w:val="20"/>
                <w:szCs w:val="20"/>
                <w:lang w:val="en-CA" w:eastAsia="en-CA"/>
              </w:rPr>
              <w:t>t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107 900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6C394B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6C394B">
              <w:rPr>
                <w:sz w:val="20"/>
                <w:szCs w:val="20"/>
                <w:lang w:val="fr-CA" w:eastAsia="en-CA"/>
              </w:rPr>
              <w:t>Kirghizistan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70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400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333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L</w:t>
            </w:r>
            <w:r w:rsidR="00835393">
              <w:rPr>
                <w:sz w:val="20"/>
                <w:szCs w:val="20"/>
                <w:lang w:val="en-CA" w:eastAsia="en-CA"/>
              </w:rPr>
              <w:t>iban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29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258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781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841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562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325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Mala</w:t>
            </w:r>
            <w:r w:rsidR="00C031ED">
              <w:rPr>
                <w:sz w:val="20"/>
                <w:szCs w:val="20"/>
                <w:lang w:val="en-CA" w:eastAsia="en-CA"/>
              </w:rPr>
              <w:t>isie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1 441 111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2 092 991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145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Maldives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88 445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130 151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147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Mali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2,6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32 082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84 296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263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Mauritani</w:t>
            </w:r>
            <w:r w:rsidR="00C031ED">
              <w:rPr>
                <w:sz w:val="20"/>
                <w:szCs w:val="20"/>
                <w:lang w:val="en-CA" w:eastAsia="en-CA"/>
              </w:rPr>
              <w:t>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Mexi</w:t>
            </w:r>
            <w:r w:rsidR="00835393">
              <w:rPr>
                <w:sz w:val="20"/>
                <w:szCs w:val="20"/>
                <w:lang w:val="en-CA" w:eastAsia="en-CA"/>
              </w:rPr>
              <w:t>que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716 710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597 950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83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N</w:t>
            </w:r>
            <w:r w:rsidR="00C031ED">
              <w:rPr>
                <w:sz w:val="20"/>
                <w:szCs w:val="20"/>
                <w:lang w:val="en-CA" w:eastAsia="en-CA"/>
              </w:rPr>
              <w:t>é</w:t>
            </w:r>
            <w:r w:rsidRPr="00C04B9F">
              <w:rPr>
                <w:sz w:val="20"/>
                <w:szCs w:val="20"/>
                <w:lang w:val="en-CA" w:eastAsia="en-CA"/>
              </w:rPr>
              <w:t>pal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17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280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30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916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179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Nig</w:t>
            </w:r>
            <w:r w:rsidR="00835393">
              <w:rPr>
                <w:sz w:val="20"/>
                <w:szCs w:val="20"/>
                <w:lang w:val="en-CA" w:eastAsia="en-CA"/>
              </w:rPr>
              <w:t>é</w:t>
            </w:r>
            <w:r w:rsidRPr="00C04B9F">
              <w:rPr>
                <w:sz w:val="20"/>
                <w:szCs w:val="20"/>
                <w:lang w:val="en-CA" w:eastAsia="en-CA"/>
              </w:rPr>
              <w:t>ria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282 423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612 897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217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Pakistan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97 766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140 564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144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Panama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199 675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218 217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109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Paraguay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32 212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38 626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120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P</w:t>
            </w:r>
            <w:r w:rsidR="00C031ED">
              <w:rPr>
                <w:sz w:val="20"/>
                <w:szCs w:val="20"/>
                <w:lang w:val="en-CA" w:eastAsia="en-CA"/>
              </w:rPr>
              <w:t>érou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166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75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513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45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6C394B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R</w:t>
            </w:r>
            <w:r w:rsidR="00835393">
              <w:rPr>
                <w:sz w:val="20"/>
                <w:szCs w:val="20"/>
                <w:lang w:val="en-CA" w:eastAsia="en-CA"/>
              </w:rPr>
              <w:t>é</w:t>
            </w:r>
            <w:r w:rsidRPr="00C04B9F">
              <w:rPr>
                <w:sz w:val="20"/>
                <w:szCs w:val="20"/>
                <w:lang w:val="en-CA" w:eastAsia="en-CA"/>
              </w:rPr>
              <w:t>publi</w:t>
            </w:r>
            <w:r w:rsidR="00835393">
              <w:rPr>
                <w:sz w:val="20"/>
                <w:szCs w:val="20"/>
                <w:lang w:val="en-CA" w:eastAsia="en-CA"/>
              </w:rPr>
              <w:t>que de</w:t>
            </w:r>
            <w:r w:rsidRPr="00C04B9F">
              <w:rPr>
                <w:sz w:val="20"/>
                <w:szCs w:val="20"/>
                <w:lang w:val="en-CA" w:eastAsia="en-CA"/>
              </w:rPr>
              <w:t xml:space="preserve"> Mold</w:t>
            </w:r>
            <w:r w:rsidR="006C394B">
              <w:rPr>
                <w:sz w:val="20"/>
                <w:szCs w:val="20"/>
                <w:lang w:val="en-CA" w:eastAsia="en-CA"/>
              </w:rPr>
              <w:t>ova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38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970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901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Saint</w:t>
            </w:r>
            <w:r w:rsidR="00835393">
              <w:rPr>
                <w:sz w:val="20"/>
                <w:szCs w:val="20"/>
                <w:lang w:val="en-CA" w:eastAsia="en-CA"/>
              </w:rPr>
              <w:t>-</w:t>
            </w:r>
            <w:r w:rsidRPr="00C04B9F">
              <w:rPr>
                <w:sz w:val="20"/>
                <w:szCs w:val="20"/>
                <w:lang w:val="en-CA" w:eastAsia="en-CA"/>
              </w:rPr>
              <w:t>Kitts</w:t>
            </w:r>
            <w:r w:rsidR="00835393">
              <w:rPr>
                <w:sz w:val="20"/>
                <w:szCs w:val="20"/>
                <w:lang w:val="en-CA" w:eastAsia="en-CA"/>
              </w:rPr>
              <w:t>-et-</w:t>
            </w:r>
            <w:r w:rsidRPr="00C04B9F">
              <w:rPr>
                <w:sz w:val="20"/>
                <w:szCs w:val="20"/>
                <w:lang w:val="en-CA" w:eastAsia="en-CA"/>
              </w:rPr>
              <w:t>Nevis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12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Sri Lanka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65 689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199 265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303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lastRenderedPageBreak/>
              <w:t>Timor-Leste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35 204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55 600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158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100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Trini</w:t>
            </w:r>
            <w:r w:rsidR="00835393">
              <w:rPr>
                <w:sz w:val="20"/>
                <w:szCs w:val="20"/>
                <w:lang w:val="en-CA" w:eastAsia="en-CA"/>
              </w:rPr>
              <w:t>té</w:t>
            </w:r>
            <w:r w:rsidR="00C031ED">
              <w:rPr>
                <w:sz w:val="20"/>
                <w:szCs w:val="20"/>
                <w:lang w:val="en-CA" w:eastAsia="en-CA"/>
              </w:rPr>
              <w:t>-et-</w:t>
            </w:r>
            <w:r w:rsidRPr="00C04B9F">
              <w:rPr>
                <w:sz w:val="20"/>
                <w:szCs w:val="20"/>
                <w:lang w:val="en-CA" w:eastAsia="en-CA"/>
              </w:rPr>
              <w:t>Tobago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  <w:r w:rsidR="00AA7D65">
              <w:rPr>
                <w:sz w:val="20"/>
                <w:szCs w:val="20"/>
                <w:lang w:val="en-CA" w:eastAsia="en-CA"/>
              </w:rPr>
              <w:t>,</w:t>
            </w: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122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408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158</w:t>
            </w:r>
            <w:r w:rsidR="00AA7D65"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178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129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Uruguay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162 504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289 835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178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835393" w:rsidRDefault="00835393" w:rsidP="00BA5619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35393">
              <w:rPr>
                <w:sz w:val="20"/>
                <w:szCs w:val="20"/>
                <w:lang w:val="fr-CA" w:eastAsia="en-CA"/>
              </w:rPr>
              <w:t xml:space="preserve">République </w:t>
            </w:r>
            <w:r w:rsidR="000C2EE3">
              <w:rPr>
                <w:sz w:val="20"/>
                <w:szCs w:val="20"/>
                <w:lang w:val="fr-CA" w:eastAsia="en-CA"/>
              </w:rPr>
              <w:t>bolivarienne</w:t>
            </w:r>
            <w:r w:rsidRPr="00835393">
              <w:rPr>
                <w:sz w:val="20"/>
                <w:szCs w:val="20"/>
                <w:lang w:val="fr-CA" w:eastAsia="en-CA"/>
              </w:rPr>
              <w:t xml:space="preserve"> du </w:t>
            </w:r>
            <w:r w:rsidR="00BA5619" w:rsidRPr="00835393">
              <w:rPr>
                <w:sz w:val="20"/>
                <w:szCs w:val="20"/>
                <w:lang w:val="fr-CA" w:eastAsia="en-CA"/>
              </w:rPr>
              <w:t>Venezuela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192 849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139 748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72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</w:tr>
      <w:tr w:rsidR="00BA5619" w:rsidRPr="00C04B9F" w:rsidTr="007055DD">
        <w:tc>
          <w:tcPr>
            <w:tcW w:w="2331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6C394B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20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243,6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24 920 548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CB5C08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41 434 526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166</w:t>
            </w:r>
          </w:p>
        </w:tc>
        <w:tc>
          <w:tcPr>
            <w:tcW w:w="1347" w:type="dxa"/>
            <w:shd w:val="clear" w:color="auto" w:fill="auto"/>
            <w:noWrap/>
            <w:tcMar>
              <w:left w:w="0" w:type="dxa"/>
              <w:right w:w="144" w:type="dxa"/>
            </w:tcMar>
            <w:hideMark/>
          </w:tcPr>
          <w:p w:rsidR="00BA5619" w:rsidRPr="00C04B9F" w:rsidRDefault="00BA5619" w:rsidP="00BA5619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81</w:t>
            </w:r>
          </w:p>
        </w:tc>
      </w:tr>
    </w:tbl>
    <w:p w:rsidR="00BA5619" w:rsidRPr="00FB3F7F" w:rsidRDefault="00BA5619" w:rsidP="00BA5619">
      <w:pPr>
        <w:pStyle w:val="Title1"/>
        <w:keepNext/>
        <w:jc w:val="both"/>
        <w:rPr>
          <w:b w:val="0"/>
          <w:caps w:val="0"/>
          <w:sz w:val="20"/>
          <w:szCs w:val="20"/>
          <w:lang w:val="fr-CA"/>
        </w:rPr>
      </w:pPr>
      <w:r w:rsidRPr="00835393">
        <w:rPr>
          <w:b w:val="0"/>
          <w:caps w:val="0"/>
          <w:sz w:val="20"/>
          <w:szCs w:val="20"/>
          <w:lang w:val="fr-CA"/>
        </w:rPr>
        <w:t xml:space="preserve">* </w:t>
      </w:r>
      <w:r w:rsidR="00835393" w:rsidRPr="00835393">
        <w:rPr>
          <w:b w:val="0"/>
          <w:caps w:val="0"/>
          <w:sz w:val="20"/>
          <w:szCs w:val="20"/>
          <w:lang w:val="fr-CA"/>
        </w:rPr>
        <w:t xml:space="preserve">Pas d’élimination en 2018 pour les projets relatifs aux HFC. </w:t>
      </w:r>
    </w:p>
    <w:p w:rsidR="00BA5619" w:rsidRPr="00FB3F7F" w:rsidRDefault="00BA5619" w:rsidP="00BA5619">
      <w:pPr>
        <w:pStyle w:val="Title1"/>
        <w:keepNext/>
        <w:jc w:val="both"/>
        <w:rPr>
          <w:caps w:val="0"/>
          <w:lang w:val="fr-CA"/>
        </w:rPr>
      </w:pPr>
    </w:p>
    <w:p w:rsidR="00BA5619" w:rsidRPr="00FB3F7F" w:rsidRDefault="00835393" w:rsidP="00BA5619">
      <w:pPr>
        <w:pStyle w:val="Heading1"/>
        <w:rPr>
          <w:lang w:val="fr-CA"/>
        </w:rPr>
      </w:pPr>
      <w:r w:rsidRPr="00835393">
        <w:rPr>
          <w:lang w:val="fr-CA"/>
        </w:rPr>
        <w:t>Le tableau</w:t>
      </w:r>
      <w:r w:rsidR="000C2EE3">
        <w:rPr>
          <w:lang w:val="fr-CA"/>
        </w:rPr>
        <w:t> </w:t>
      </w:r>
      <w:r w:rsidRPr="00835393">
        <w:rPr>
          <w:lang w:val="fr-CA"/>
        </w:rPr>
        <w:t xml:space="preserve">5 </w:t>
      </w:r>
      <w:r w:rsidR="000C2EE3">
        <w:rPr>
          <w:lang w:val="fr-CA"/>
        </w:rPr>
        <w:t>récapitule</w:t>
      </w:r>
      <w:r w:rsidRPr="00835393">
        <w:rPr>
          <w:lang w:val="fr-CA"/>
        </w:rPr>
        <w:t xml:space="preserve"> les projets relatifs aux HFC approuvés au titre de</w:t>
      </w:r>
      <w:r w:rsidR="007055DD">
        <w:rPr>
          <w:lang w:val="fr-CA"/>
        </w:rPr>
        <w:t>s</w:t>
      </w:r>
      <w:r w:rsidRPr="00835393">
        <w:rPr>
          <w:lang w:val="fr-CA"/>
        </w:rPr>
        <w:t xml:space="preserve"> contribution</w:t>
      </w:r>
      <w:r w:rsidR="007055DD">
        <w:rPr>
          <w:lang w:val="fr-CA"/>
        </w:rPr>
        <w:t>s</w:t>
      </w:r>
      <w:r w:rsidRPr="00835393">
        <w:rPr>
          <w:lang w:val="fr-CA"/>
        </w:rPr>
        <w:t xml:space="preserve"> </w:t>
      </w:r>
      <w:r>
        <w:rPr>
          <w:lang w:val="fr-CA"/>
        </w:rPr>
        <w:t>ordinaire</w:t>
      </w:r>
      <w:r w:rsidR="007055DD">
        <w:rPr>
          <w:lang w:val="fr-CA"/>
        </w:rPr>
        <w:t>s</w:t>
      </w:r>
      <w:r>
        <w:rPr>
          <w:lang w:val="fr-CA"/>
        </w:rPr>
        <w:t xml:space="preserve">. </w:t>
      </w:r>
    </w:p>
    <w:p w:rsidR="00BA5619" w:rsidRPr="00835393" w:rsidRDefault="00BA5619" w:rsidP="00BA5619">
      <w:pPr>
        <w:rPr>
          <w:b/>
          <w:lang w:val="fr-CA"/>
        </w:rPr>
      </w:pPr>
      <w:r w:rsidRPr="007055DD">
        <w:rPr>
          <w:b/>
          <w:lang w:val="fr-CA"/>
        </w:rPr>
        <w:t>Table</w:t>
      </w:r>
      <w:r w:rsidR="0080110A" w:rsidRPr="007055DD">
        <w:rPr>
          <w:b/>
          <w:lang w:val="fr-CA"/>
        </w:rPr>
        <w:t>au </w:t>
      </w:r>
      <w:r w:rsidRPr="007055DD">
        <w:rPr>
          <w:b/>
          <w:lang w:val="fr-CA"/>
        </w:rPr>
        <w:t xml:space="preserve">5. </w:t>
      </w:r>
      <w:r w:rsidR="00835393" w:rsidRPr="00835393">
        <w:rPr>
          <w:b/>
          <w:lang w:val="fr-CA"/>
        </w:rPr>
        <w:t>Projets relatifs aux HFC approuvés au titre de</w:t>
      </w:r>
      <w:r w:rsidR="007055DD">
        <w:rPr>
          <w:b/>
          <w:lang w:val="fr-CA"/>
        </w:rPr>
        <w:t>s</w:t>
      </w:r>
      <w:r w:rsidR="00835393" w:rsidRPr="00835393">
        <w:rPr>
          <w:b/>
          <w:lang w:val="fr-CA"/>
        </w:rPr>
        <w:t xml:space="preserve"> contribution</w:t>
      </w:r>
      <w:r w:rsidR="007055DD">
        <w:rPr>
          <w:b/>
          <w:lang w:val="fr-CA"/>
        </w:rPr>
        <w:t>s</w:t>
      </w:r>
      <w:r w:rsidR="00835393" w:rsidRPr="00835393">
        <w:rPr>
          <w:b/>
          <w:lang w:val="fr-CA"/>
        </w:rPr>
        <w:t xml:space="preserve"> ordinaire</w:t>
      </w:r>
      <w:r w:rsidR="007055DD">
        <w:rPr>
          <w:b/>
          <w:lang w:val="fr-CA"/>
        </w:rPr>
        <w:t>s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1641"/>
        <w:gridCol w:w="1150"/>
        <w:gridCol w:w="1027"/>
        <w:gridCol w:w="1405"/>
        <w:gridCol w:w="1198"/>
        <w:gridCol w:w="1031"/>
        <w:gridCol w:w="1016"/>
        <w:gridCol w:w="1491"/>
      </w:tblGrid>
      <w:tr w:rsidR="00C031ED" w:rsidRPr="00C04B9F" w:rsidTr="007055DD">
        <w:trPr>
          <w:trHeight w:val="234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1ED" w:rsidRPr="00C04B9F" w:rsidRDefault="00C031ED" w:rsidP="00C031ED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Type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ED" w:rsidRPr="00C04B9F" w:rsidRDefault="00C031ED" w:rsidP="00C031ED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N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ombre de projets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ED" w:rsidRPr="00C04B9F" w:rsidRDefault="00C031ED" w:rsidP="00C031ED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F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inancement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CA" w:eastAsia="en-CA"/>
              </w:rPr>
              <w:t>$US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)*</w:t>
            </w:r>
          </w:p>
        </w:tc>
      </w:tr>
      <w:tr w:rsidR="007055DD" w:rsidRPr="00C04B9F" w:rsidTr="007055DD">
        <w:trPr>
          <w:trHeight w:val="234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F" w:rsidRPr="00C04B9F" w:rsidRDefault="006D0E8F" w:rsidP="006D0E8F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US" w:eastAsia="en-CA"/>
              </w:rPr>
              <w:t>Appro</w:t>
            </w:r>
            <w:r>
              <w:rPr>
                <w:b/>
                <w:bCs/>
                <w:sz w:val="20"/>
                <w:szCs w:val="20"/>
                <w:lang w:val="en-US" w:eastAsia="en-CA"/>
              </w:rPr>
              <w:t>uvés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Achevés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8F" w:rsidRPr="00C04B9F" w:rsidRDefault="00C65735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Taux d’</w:t>
            </w:r>
            <w:r w:rsidR="006D0E8F">
              <w:rPr>
                <w:b/>
                <w:bCs/>
                <w:sz w:val="20"/>
                <w:szCs w:val="20"/>
                <w:lang w:val="en-US" w:eastAsia="en-CA"/>
              </w:rPr>
              <w:t>achèvement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US" w:eastAsia="en-CA"/>
              </w:rPr>
              <w:t>Appro</w:t>
            </w:r>
            <w:r>
              <w:rPr>
                <w:b/>
                <w:bCs/>
                <w:sz w:val="20"/>
                <w:szCs w:val="20"/>
                <w:lang w:val="en-US" w:eastAsia="en-CA"/>
              </w:rPr>
              <w:t>uvé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Décaissé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Solde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8F" w:rsidRPr="00C04B9F" w:rsidRDefault="00C65735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 xml:space="preserve">Taux de </w:t>
            </w:r>
            <w:r w:rsidR="006D0E8F">
              <w:rPr>
                <w:b/>
                <w:bCs/>
                <w:sz w:val="20"/>
                <w:szCs w:val="20"/>
                <w:lang w:val="en-US" w:eastAsia="en-CA"/>
              </w:rPr>
              <w:t>décaissement</w:t>
            </w:r>
          </w:p>
        </w:tc>
      </w:tr>
      <w:tr w:rsidR="007055DD" w:rsidRPr="00C04B9F" w:rsidTr="007055DD">
        <w:trPr>
          <w:trHeight w:val="23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Investissement</w:t>
            </w:r>
            <w:r w:rsidRPr="00C04B9F">
              <w:rPr>
                <w:sz w:val="20"/>
                <w:szCs w:val="20"/>
                <w:lang w:val="en-CA" w:eastAsia="en-CA"/>
              </w:rPr>
              <w:t>**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491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491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791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</w:tr>
      <w:tr w:rsidR="007055DD" w:rsidRPr="00C04B9F" w:rsidTr="007055DD">
        <w:trPr>
          <w:trHeight w:val="22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8F" w:rsidRPr="00835393" w:rsidRDefault="006D0E8F" w:rsidP="006D0E8F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35393">
              <w:rPr>
                <w:sz w:val="20"/>
                <w:szCs w:val="20"/>
                <w:lang w:val="fr-CA" w:eastAsia="en-CA"/>
              </w:rPr>
              <w:t>Assistance technique –Activités de facilitation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444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439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</w:p>
        </w:tc>
      </w:tr>
      <w:tr w:rsidR="007055DD" w:rsidRPr="00C04B9F" w:rsidTr="007055DD">
        <w:trPr>
          <w:trHeight w:val="23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8F" w:rsidRPr="00C04B9F" w:rsidRDefault="006D0E8F" w:rsidP="006D0E8F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2 935 791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4 334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2 931 457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0,1</w:t>
            </w:r>
          </w:p>
        </w:tc>
      </w:tr>
    </w:tbl>
    <w:p w:rsidR="00BA5619" w:rsidRPr="00835393" w:rsidRDefault="00BA5619" w:rsidP="00BA5619">
      <w:pPr>
        <w:rPr>
          <w:sz w:val="19"/>
          <w:szCs w:val="19"/>
          <w:lang w:val="fr-CA"/>
        </w:rPr>
      </w:pPr>
      <w:r w:rsidRPr="00835393">
        <w:rPr>
          <w:sz w:val="19"/>
          <w:szCs w:val="19"/>
          <w:lang w:val="fr-CA"/>
        </w:rPr>
        <w:t>*</w:t>
      </w:r>
      <w:r w:rsidR="007055DD">
        <w:rPr>
          <w:sz w:val="19"/>
          <w:szCs w:val="19"/>
          <w:lang w:val="fr-CA"/>
        </w:rPr>
        <w:t>Exclut l</w:t>
      </w:r>
      <w:r w:rsidR="00835393" w:rsidRPr="00835393">
        <w:rPr>
          <w:sz w:val="19"/>
          <w:szCs w:val="19"/>
          <w:lang w:val="fr-CA"/>
        </w:rPr>
        <w:t xml:space="preserve">es coûts d’appui d’agence. </w:t>
      </w:r>
    </w:p>
    <w:p w:rsidR="00BA5619" w:rsidRPr="00F7302F" w:rsidRDefault="00BA5619" w:rsidP="00BA5619">
      <w:pPr>
        <w:rPr>
          <w:sz w:val="20"/>
          <w:szCs w:val="20"/>
          <w:lang w:val="fr-CA"/>
        </w:rPr>
      </w:pPr>
      <w:r w:rsidRPr="00F7302F">
        <w:rPr>
          <w:sz w:val="20"/>
          <w:szCs w:val="20"/>
          <w:lang w:val="fr-CA"/>
        </w:rPr>
        <w:t xml:space="preserve">** </w:t>
      </w:r>
      <w:r w:rsidR="000C2EE3" w:rsidRPr="00F7302F">
        <w:rPr>
          <w:sz w:val="20"/>
          <w:szCs w:val="20"/>
          <w:lang w:val="fr-CA"/>
        </w:rPr>
        <w:t>142,8</w:t>
      </w:r>
      <w:r w:rsidR="00F7302F" w:rsidRPr="00F7302F">
        <w:rPr>
          <w:sz w:val="20"/>
          <w:szCs w:val="20"/>
          <w:lang w:val="fr-CA"/>
        </w:rPr>
        <w:t> t</w:t>
      </w:r>
      <w:r w:rsidR="00C65735">
        <w:rPr>
          <w:sz w:val="20"/>
          <w:szCs w:val="20"/>
          <w:lang w:val="fr-CA"/>
        </w:rPr>
        <w:t>m</w:t>
      </w:r>
      <w:r w:rsidRPr="00F7302F">
        <w:rPr>
          <w:sz w:val="20"/>
          <w:szCs w:val="20"/>
          <w:lang w:val="fr-CA"/>
        </w:rPr>
        <w:t xml:space="preserve"> </w:t>
      </w:r>
      <w:r w:rsidR="000C2EE3" w:rsidRPr="00F7302F">
        <w:rPr>
          <w:sz w:val="20"/>
          <w:szCs w:val="20"/>
          <w:lang w:val="fr-CA"/>
        </w:rPr>
        <w:t>approuvé</w:t>
      </w:r>
      <w:r w:rsidR="00F7302F" w:rsidRPr="00F7302F">
        <w:rPr>
          <w:sz w:val="20"/>
          <w:szCs w:val="20"/>
          <w:lang w:val="fr-CA"/>
        </w:rPr>
        <w:t>e</w:t>
      </w:r>
      <w:r w:rsidR="000C2EE3" w:rsidRPr="00F7302F">
        <w:rPr>
          <w:sz w:val="20"/>
          <w:szCs w:val="20"/>
          <w:lang w:val="fr-CA"/>
        </w:rPr>
        <w:t>s</w:t>
      </w:r>
      <w:r w:rsidR="00835393" w:rsidRPr="00F7302F">
        <w:rPr>
          <w:sz w:val="20"/>
          <w:szCs w:val="20"/>
          <w:lang w:val="fr-CA"/>
        </w:rPr>
        <w:t xml:space="preserve"> pour les projets d’investissement, </w:t>
      </w:r>
      <w:r w:rsidR="00A16163">
        <w:rPr>
          <w:sz w:val="20"/>
          <w:szCs w:val="20"/>
          <w:lang w:val="fr-CA"/>
        </w:rPr>
        <w:t>avec</w:t>
      </w:r>
      <w:r w:rsidR="00835393" w:rsidRPr="00F7302F">
        <w:rPr>
          <w:sz w:val="20"/>
          <w:szCs w:val="20"/>
          <w:lang w:val="fr-CA"/>
        </w:rPr>
        <w:t xml:space="preserve"> 204</w:t>
      </w:r>
      <w:r w:rsidR="00F7302F">
        <w:rPr>
          <w:sz w:val="20"/>
          <w:szCs w:val="20"/>
          <w:lang w:val="fr-CA"/>
        </w:rPr>
        <w:t> </w:t>
      </w:r>
      <w:r w:rsidR="00835393" w:rsidRPr="00F7302F">
        <w:rPr>
          <w:sz w:val="20"/>
          <w:szCs w:val="20"/>
          <w:lang w:val="fr-CA"/>
        </w:rPr>
        <w:t>3</w:t>
      </w:r>
      <w:r w:rsidR="00F7302F" w:rsidRPr="00F7302F">
        <w:rPr>
          <w:sz w:val="20"/>
          <w:szCs w:val="20"/>
          <w:lang w:val="fr-CA"/>
        </w:rPr>
        <w:t>3</w:t>
      </w:r>
      <w:r w:rsidR="00835393" w:rsidRPr="00F7302F">
        <w:rPr>
          <w:sz w:val="20"/>
          <w:szCs w:val="20"/>
          <w:lang w:val="fr-CA"/>
        </w:rPr>
        <w:t>2</w:t>
      </w:r>
      <w:r w:rsidR="00F7302F">
        <w:rPr>
          <w:sz w:val="20"/>
          <w:szCs w:val="20"/>
          <w:lang w:val="fr-CA"/>
        </w:rPr>
        <w:t> </w:t>
      </w:r>
      <w:r w:rsidR="00F7302F" w:rsidRPr="00F7302F">
        <w:rPr>
          <w:sz w:val="20"/>
          <w:szCs w:val="20"/>
          <w:lang w:val="fr-CA"/>
        </w:rPr>
        <w:t>tm</w:t>
      </w:r>
      <w:r w:rsidR="00835393" w:rsidRPr="00F7302F">
        <w:rPr>
          <w:sz w:val="20"/>
          <w:szCs w:val="20"/>
          <w:lang w:val="fr-CA"/>
        </w:rPr>
        <w:t xml:space="preserve"> équivalent</w:t>
      </w:r>
      <w:r w:rsidR="00F7302F">
        <w:rPr>
          <w:sz w:val="20"/>
          <w:szCs w:val="20"/>
          <w:lang w:val="fr-CA"/>
        </w:rPr>
        <w:t> </w:t>
      </w:r>
      <w:r w:rsidRPr="00F7302F">
        <w:rPr>
          <w:sz w:val="20"/>
          <w:szCs w:val="20"/>
          <w:lang w:val="fr-CA"/>
        </w:rPr>
        <w:t>CO</w:t>
      </w:r>
      <w:r w:rsidRPr="00F7302F">
        <w:rPr>
          <w:sz w:val="20"/>
          <w:szCs w:val="20"/>
          <w:vertAlign w:val="subscript"/>
          <w:lang w:val="fr-CA"/>
        </w:rPr>
        <w:t>2</w:t>
      </w:r>
      <w:r w:rsidRPr="00F7302F">
        <w:rPr>
          <w:sz w:val="20"/>
          <w:szCs w:val="20"/>
          <w:lang w:val="fr-CA"/>
        </w:rPr>
        <w:t>.</w:t>
      </w:r>
    </w:p>
    <w:p w:rsidR="00BA5619" w:rsidRPr="00F7302F" w:rsidRDefault="00BA5619" w:rsidP="00BA5619">
      <w:pPr>
        <w:rPr>
          <w:sz w:val="20"/>
          <w:szCs w:val="20"/>
          <w:lang w:val="fr-CA"/>
        </w:rPr>
      </w:pPr>
    </w:p>
    <w:p w:rsidR="00BA5619" w:rsidRPr="00F7302F" w:rsidRDefault="00835393" w:rsidP="00BA5619">
      <w:pPr>
        <w:pStyle w:val="Heading1"/>
        <w:rPr>
          <w:lang w:val="fr-CA"/>
        </w:rPr>
      </w:pPr>
      <w:r w:rsidRPr="005D6AB3">
        <w:rPr>
          <w:lang w:val="fr-CA"/>
        </w:rPr>
        <w:t>Il y a actuellement huit projets relatifs aux HFC en cours (</w:t>
      </w:r>
      <w:r w:rsidR="005D6AB3" w:rsidRPr="005D6AB3">
        <w:rPr>
          <w:lang w:val="fr-CA"/>
        </w:rPr>
        <w:t>dont trois projets d’investissement et cinq activités de facilitation) approuvés au titre de</w:t>
      </w:r>
      <w:r w:rsidR="00F7302F">
        <w:rPr>
          <w:lang w:val="fr-CA"/>
        </w:rPr>
        <w:t>s</w:t>
      </w:r>
      <w:r w:rsidR="005D6AB3" w:rsidRPr="005D6AB3">
        <w:rPr>
          <w:lang w:val="fr-CA"/>
        </w:rPr>
        <w:t xml:space="preserve"> contribution</w:t>
      </w:r>
      <w:r w:rsidR="00F7302F">
        <w:rPr>
          <w:lang w:val="fr-CA"/>
        </w:rPr>
        <w:t>s</w:t>
      </w:r>
      <w:r w:rsidR="005D6AB3" w:rsidRPr="005D6AB3">
        <w:rPr>
          <w:lang w:val="fr-CA"/>
        </w:rPr>
        <w:t xml:space="preserve"> ordinaire</w:t>
      </w:r>
      <w:r w:rsidR="00F7302F">
        <w:rPr>
          <w:lang w:val="fr-CA"/>
        </w:rPr>
        <w:t>s</w:t>
      </w:r>
      <w:r w:rsidR="005D6AB3" w:rsidRPr="005D6AB3">
        <w:rPr>
          <w:lang w:val="fr-CA"/>
        </w:rPr>
        <w:t>, pour une valeur totale de 2 935 791</w:t>
      </w:r>
      <w:r w:rsidR="000C2EE3">
        <w:rPr>
          <w:lang w:val="fr-CA"/>
        </w:rPr>
        <w:t> $US</w:t>
      </w:r>
      <w:r w:rsidR="005D6AB3" w:rsidRPr="005D6AB3">
        <w:rPr>
          <w:lang w:val="fr-CA"/>
        </w:rPr>
        <w:t>, et des fonds déjà décaissés de 4</w:t>
      </w:r>
      <w:r w:rsidR="00F7302F">
        <w:rPr>
          <w:lang w:val="fr-CA"/>
        </w:rPr>
        <w:t> </w:t>
      </w:r>
      <w:r w:rsidR="005D6AB3" w:rsidRPr="005D6AB3">
        <w:rPr>
          <w:lang w:val="fr-CA"/>
        </w:rPr>
        <w:t>334</w:t>
      </w:r>
      <w:r w:rsidR="000C2EE3">
        <w:rPr>
          <w:lang w:val="fr-CA"/>
        </w:rPr>
        <w:t> $US</w:t>
      </w:r>
      <w:r w:rsidR="005D6AB3" w:rsidRPr="005D6AB3">
        <w:rPr>
          <w:lang w:val="fr-CA"/>
        </w:rPr>
        <w:t xml:space="preserve">. Ces projets en sont rendus à différents stades de mise en </w:t>
      </w:r>
      <w:r w:rsidR="000C2EE3">
        <w:rPr>
          <w:lang w:val="fr-CA"/>
        </w:rPr>
        <w:t>œuvre</w:t>
      </w:r>
      <w:r w:rsidR="005D6AB3" w:rsidRPr="005D6AB3">
        <w:rPr>
          <w:lang w:val="fr-CA"/>
        </w:rPr>
        <w:t xml:space="preserve">, et les projets d’investissement devraient être achevés à </w:t>
      </w:r>
      <w:r w:rsidR="00F7302F">
        <w:rPr>
          <w:lang w:val="fr-CA"/>
        </w:rPr>
        <w:t>temps</w:t>
      </w:r>
      <w:r w:rsidR="005D6AB3" w:rsidRPr="005D6AB3">
        <w:rPr>
          <w:lang w:val="fr-CA"/>
        </w:rPr>
        <w:t xml:space="preserve"> en</w:t>
      </w:r>
      <w:r w:rsidR="00F7302F">
        <w:rPr>
          <w:lang w:val="fr-CA"/>
        </w:rPr>
        <w:t> </w:t>
      </w:r>
      <w:r w:rsidR="005D6AB3" w:rsidRPr="005D6AB3">
        <w:rPr>
          <w:lang w:val="fr-CA"/>
        </w:rPr>
        <w:t>2020.</w:t>
      </w:r>
      <w:r w:rsidR="00BA5619" w:rsidRPr="00F7302F">
        <w:rPr>
          <w:lang w:val="fr-CA"/>
        </w:rPr>
        <w:t xml:space="preserve"> </w:t>
      </w:r>
    </w:p>
    <w:p w:rsidR="00BA5619" w:rsidRPr="00043F80" w:rsidRDefault="00BA5619" w:rsidP="00BA5619">
      <w:pPr>
        <w:pStyle w:val="Heading1"/>
        <w:keepNext/>
        <w:keepLines/>
        <w:numPr>
          <w:ilvl w:val="0"/>
          <w:numId w:val="0"/>
        </w:numPr>
        <w:ind w:left="1418" w:hanging="1418"/>
        <w:rPr>
          <w:rFonts w:ascii="Times New Roman Bold" w:hAnsi="Times New Roman Bold"/>
          <w:caps/>
          <w:szCs w:val="28"/>
          <w:lang w:val="fr-CA"/>
        </w:rPr>
      </w:pPr>
      <w:r w:rsidRPr="00043F80">
        <w:rPr>
          <w:rFonts w:ascii="Times New Roman Bold" w:hAnsi="Times New Roman Bold"/>
          <w:b/>
          <w:bCs/>
          <w:caps/>
          <w:szCs w:val="28"/>
          <w:lang w:val="fr-CA"/>
        </w:rPr>
        <w:t>Part</w:t>
      </w:r>
      <w:r w:rsidR="0080110A" w:rsidRPr="00043F80">
        <w:rPr>
          <w:rFonts w:ascii="Times New Roman Bold" w:hAnsi="Times New Roman Bold"/>
          <w:b/>
          <w:bCs/>
          <w:caps/>
          <w:szCs w:val="28"/>
          <w:lang w:val="fr-CA"/>
        </w:rPr>
        <w:t>IE</w:t>
      </w:r>
      <w:r w:rsidR="0080110A" w:rsidRPr="00043F80">
        <w:rPr>
          <w:rFonts w:ascii="Times New Roman Bold" w:hAnsi="Times New Roman Bold" w:hint="eastAsia"/>
          <w:b/>
          <w:bCs/>
          <w:caps/>
          <w:szCs w:val="28"/>
          <w:lang w:val="fr-CA"/>
        </w:rPr>
        <w:t> </w:t>
      </w:r>
      <w:r w:rsidRPr="00043F80">
        <w:rPr>
          <w:rFonts w:ascii="Times New Roman Bold" w:hAnsi="Times New Roman Bold"/>
          <w:b/>
          <w:bCs/>
          <w:caps/>
          <w:szCs w:val="28"/>
          <w:lang w:val="fr-CA"/>
        </w:rPr>
        <w:t>II</w:t>
      </w:r>
      <w:r w:rsidR="001152EB" w:rsidRPr="00043F80">
        <w:rPr>
          <w:rFonts w:ascii="Times New Roman Bold" w:hAnsi="Times New Roman Bold"/>
          <w:b/>
          <w:bCs/>
          <w:caps/>
          <w:szCs w:val="28"/>
          <w:lang w:val="fr-CA"/>
        </w:rPr>
        <w:t> :</w:t>
      </w:r>
      <w:r w:rsidR="00F7302F">
        <w:rPr>
          <w:rFonts w:ascii="Times New Roman Bold" w:hAnsi="Times New Roman Bold"/>
          <w:b/>
          <w:bCs/>
          <w:caps/>
          <w:szCs w:val="28"/>
          <w:lang w:val="fr-CA"/>
        </w:rPr>
        <w:tab/>
      </w:r>
      <w:r w:rsidR="00043F80" w:rsidRPr="00043F80">
        <w:rPr>
          <w:rFonts w:ascii="Times New Roman Bold" w:hAnsi="Times New Roman Bold"/>
          <w:b/>
          <w:bCs/>
          <w:caps/>
          <w:szCs w:val="28"/>
          <w:lang w:val="fr-CA"/>
        </w:rPr>
        <w:t>PROJETS APPROUV</w:t>
      </w:r>
      <w:r w:rsidR="00043F80" w:rsidRPr="00043F80">
        <w:rPr>
          <w:rFonts w:ascii="Times New Roman Bold" w:hAnsi="Times New Roman Bold" w:hint="eastAsia"/>
          <w:b/>
          <w:bCs/>
          <w:caps/>
          <w:szCs w:val="28"/>
          <w:lang w:val="fr-CA"/>
        </w:rPr>
        <w:t>É</w:t>
      </w:r>
      <w:r w:rsidR="00043F80" w:rsidRPr="00043F80">
        <w:rPr>
          <w:rFonts w:ascii="Times New Roman Bold" w:hAnsi="Times New Roman Bold"/>
          <w:b/>
          <w:bCs/>
          <w:caps/>
          <w:szCs w:val="28"/>
          <w:lang w:val="fr-CA"/>
        </w:rPr>
        <w:t>S AU TITRE DE</w:t>
      </w:r>
      <w:r w:rsidR="00F7302F">
        <w:rPr>
          <w:rFonts w:ascii="Times New Roman Bold" w:hAnsi="Times New Roman Bold"/>
          <w:b/>
          <w:bCs/>
          <w:caps/>
          <w:szCs w:val="28"/>
          <w:lang w:val="fr-CA"/>
        </w:rPr>
        <w:t>S</w:t>
      </w:r>
      <w:r w:rsidR="00043F80" w:rsidRPr="00043F80">
        <w:rPr>
          <w:rFonts w:ascii="Times New Roman Bold" w:hAnsi="Times New Roman Bold"/>
          <w:b/>
          <w:bCs/>
          <w:caps/>
          <w:szCs w:val="28"/>
          <w:lang w:val="fr-CA"/>
        </w:rPr>
        <w:t xml:space="preserve"> CONTRIBUTION</w:t>
      </w:r>
      <w:r w:rsidR="00F7302F">
        <w:rPr>
          <w:rFonts w:ascii="Times New Roman Bold" w:hAnsi="Times New Roman Bold"/>
          <w:b/>
          <w:bCs/>
          <w:caps/>
          <w:szCs w:val="28"/>
          <w:lang w:val="fr-CA"/>
        </w:rPr>
        <w:t>S</w:t>
      </w:r>
      <w:r w:rsidR="00043F80" w:rsidRPr="00043F80">
        <w:rPr>
          <w:rFonts w:ascii="Times New Roman Bold" w:hAnsi="Times New Roman Bold"/>
          <w:b/>
          <w:bCs/>
          <w:caps/>
          <w:szCs w:val="28"/>
          <w:lang w:val="fr-CA"/>
        </w:rPr>
        <w:t xml:space="preserve"> </w:t>
      </w:r>
      <w:r w:rsidR="005B214C">
        <w:rPr>
          <w:rFonts w:ascii="Times New Roman Bold" w:hAnsi="Times New Roman Bold"/>
          <w:b/>
          <w:bCs/>
          <w:caps/>
          <w:szCs w:val="28"/>
          <w:lang w:val="fr-CA"/>
        </w:rPr>
        <w:t>VOLONTAIRES</w:t>
      </w:r>
      <w:r w:rsidR="00F7302F">
        <w:rPr>
          <w:rFonts w:ascii="Times New Roman Bold" w:hAnsi="Times New Roman Bold"/>
          <w:b/>
          <w:bCs/>
          <w:caps/>
          <w:szCs w:val="28"/>
          <w:lang w:val="fr-CA"/>
        </w:rPr>
        <w:t xml:space="preserve"> S</w:t>
      </w:r>
      <w:r w:rsidR="00043F80" w:rsidRPr="00043F80">
        <w:rPr>
          <w:rFonts w:ascii="Times New Roman Bold" w:hAnsi="Times New Roman Bold"/>
          <w:b/>
          <w:bCs/>
          <w:caps/>
          <w:szCs w:val="28"/>
          <w:lang w:val="fr-CA"/>
        </w:rPr>
        <w:t>UPPL</w:t>
      </w:r>
      <w:r w:rsidR="00043F80" w:rsidRPr="00043F80">
        <w:rPr>
          <w:rFonts w:ascii="Times New Roman Bold" w:hAnsi="Times New Roman Bold" w:hint="eastAsia"/>
          <w:b/>
          <w:bCs/>
          <w:caps/>
          <w:szCs w:val="28"/>
          <w:lang w:val="fr-CA"/>
        </w:rPr>
        <w:t>É</w:t>
      </w:r>
      <w:r w:rsidR="00043F80" w:rsidRPr="00043F80">
        <w:rPr>
          <w:rFonts w:ascii="Times New Roman Bold" w:hAnsi="Times New Roman Bold"/>
          <w:b/>
          <w:bCs/>
          <w:caps/>
          <w:szCs w:val="28"/>
          <w:lang w:val="fr-CA"/>
        </w:rPr>
        <w:t>MENTAIRE</w:t>
      </w:r>
      <w:r w:rsidR="00F7302F">
        <w:rPr>
          <w:rFonts w:ascii="Times New Roman Bold" w:hAnsi="Times New Roman Bold"/>
          <w:b/>
          <w:bCs/>
          <w:caps/>
          <w:szCs w:val="28"/>
          <w:lang w:val="fr-CA"/>
        </w:rPr>
        <w:t>S</w:t>
      </w:r>
      <w:r w:rsidR="00043F80" w:rsidRPr="00043F80">
        <w:rPr>
          <w:rFonts w:ascii="Times New Roman Bold" w:hAnsi="Times New Roman Bold"/>
          <w:b/>
          <w:bCs/>
          <w:caps/>
          <w:szCs w:val="28"/>
          <w:lang w:val="fr-CA"/>
        </w:rPr>
        <w:t xml:space="preserve"> POUR L’APPUI AU D</w:t>
      </w:r>
      <w:r w:rsidR="00043F80" w:rsidRPr="00043F80">
        <w:rPr>
          <w:rFonts w:ascii="Times New Roman Bold" w:hAnsi="Times New Roman Bold" w:hint="eastAsia"/>
          <w:b/>
          <w:bCs/>
          <w:caps/>
          <w:szCs w:val="28"/>
          <w:lang w:val="fr-CA"/>
        </w:rPr>
        <w:t>É</w:t>
      </w:r>
      <w:r w:rsidR="00043F80" w:rsidRPr="00043F80">
        <w:rPr>
          <w:rFonts w:ascii="Times New Roman Bold" w:hAnsi="Times New Roman Bold"/>
          <w:b/>
          <w:bCs/>
          <w:caps/>
          <w:szCs w:val="28"/>
          <w:lang w:val="fr-CA"/>
        </w:rPr>
        <w:t xml:space="preserve">MARRAGE RAPIDE </w:t>
      </w:r>
      <w:r w:rsidR="00C65735">
        <w:rPr>
          <w:rFonts w:ascii="Times New Roman Bold" w:hAnsi="Times New Roman Bold"/>
          <w:b/>
          <w:bCs/>
          <w:caps/>
          <w:szCs w:val="28"/>
          <w:lang w:val="fr-CA"/>
        </w:rPr>
        <w:t>DU PROCESSUS</w:t>
      </w:r>
      <w:r w:rsidR="00043F80">
        <w:rPr>
          <w:rFonts w:ascii="Times New Roman Bold" w:hAnsi="Times New Roman Bold"/>
          <w:b/>
          <w:bCs/>
          <w:caps/>
          <w:szCs w:val="28"/>
          <w:lang w:val="fr-CA"/>
        </w:rPr>
        <w:t xml:space="preserve"> D’</w:t>
      </w:r>
      <w:r w:rsidR="00043F80">
        <w:rPr>
          <w:rFonts w:ascii="Times New Roman Bold" w:hAnsi="Times New Roman Bold" w:hint="eastAsia"/>
          <w:b/>
          <w:bCs/>
          <w:caps/>
          <w:szCs w:val="28"/>
          <w:lang w:val="fr-CA"/>
        </w:rPr>
        <w:t>É</w:t>
      </w:r>
      <w:r w:rsidR="00043F80">
        <w:rPr>
          <w:rFonts w:ascii="Times New Roman Bold" w:hAnsi="Times New Roman Bold"/>
          <w:b/>
          <w:bCs/>
          <w:caps/>
          <w:szCs w:val="28"/>
          <w:lang w:val="fr-CA"/>
        </w:rPr>
        <w:t>LIMINATION PROGRESSIVE DES HFC</w:t>
      </w:r>
    </w:p>
    <w:p w:rsidR="00BA5619" w:rsidRPr="00C04B9F" w:rsidRDefault="00043F80" w:rsidP="00BA5619">
      <w:pPr>
        <w:pStyle w:val="Heading1"/>
        <w:rPr>
          <w:lang w:val="en-CA"/>
        </w:rPr>
      </w:pPr>
      <w:r w:rsidRPr="00043F80">
        <w:rPr>
          <w:lang w:val="fr-CA"/>
        </w:rPr>
        <w:t>Au 31</w:t>
      </w:r>
      <w:r w:rsidR="00F7302F">
        <w:rPr>
          <w:lang w:val="fr-CA"/>
        </w:rPr>
        <w:t> décembre </w:t>
      </w:r>
      <w:r w:rsidRPr="00043F80">
        <w:rPr>
          <w:lang w:val="fr-CA"/>
        </w:rPr>
        <w:t>2018, le Comité exécutif avait approuvé 18</w:t>
      </w:r>
      <w:r w:rsidR="000C2EE3">
        <w:rPr>
          <w:lang w:val="fr-CA"/>
        </w:rPr>
        <w:t> </w:t>
      </w:r>
      <w:r w:rsidRPr="00043F80">
        <w:rPr>
          <w:lang w:val="fr-CA"/>
        </w:rPr>
        <w:t>projets relatifs aux HFC au titre de</w:t>
      </w:r>
      <w:r w:rsidR="00F7302F">
        <w:rPr>
          <w:lang w:val="fr-CA"/>
        </w:rPr>
        <w:t>s</w:t>
      </w:r>
      <w:r w:rsidRPr="00043F80">
        <w:rPr>
          <w:lang w:val="fr-CA"/>
        </w:rPr>
        <w:t xml:space="preserve"> contribution</w:t>
      </w:r>
      <w:r w:rsidR="00F7302F">
        <w:rPr>
          <w:lang w:val="fr-CA"/>
        </w:rPr>
        <w:t>s</w:t>
      </w:r>
      <w:r w:rsidRPr="00043F80">
        <w:rPr>
          <w:lang w:val="fr-CA"/>
        </w:rPr>
        <w:t xml:space="preserve"> volontaire</w:t>
      </w:r>
      <w:r w:rsidR="00F7302F">
        <w:rPr>
          <w:lang w:val="fr-CA"/>
        </w:rPr>
        <w:t>s</w:t>
      </w:r>
      <w:r w:rsidRPr="00043F80">
        <w:rPr>
          <w:lang w:val="fr-CA"/>
        </w:rPr>
        <w:t xml:space="preserve"> supplémentaire</w:t>
      </w:r>
      <w:r w:rsidR="00F7302F">
        <w:rPr>
          <w:lang w:val="fr-CA"/>
        </w:rPr>
        <w:t>s</w:t>
      </w:r>
      <w:r w:rsidRPr="00043F80">
        <w:rPr>
          <w:lang w:val="fr-CA"/>
        </w:rPr>
        <w:t xml:space="preserve">, </w:t>
      </w:r>
      <w:r>
        <w:rPr>
          <w:lang w:val="fr-CA"/>
        </w:rPr>
        <w:t>pour un montant total de 6 079 </w:t>
      </w:r>
      <w:r w:rsidR="00F7302F">
        <w:rPr>
          <w:lang w:val="fr-CA"/>
        </w:rPr>
        <w:t>6</w:t>
      </w:r>
      <w:r>
        <w:rPr>
          <w:lang w:val="fr-CA"/>
        </w:rPr>
        <w:t>10</w:t>
      </w:r>
      <w:r w:rsidR="000C2EE3">
        <w:rPr>
          <w:lang w:val="fr-CA"/>
        </w:rPr>
        <w:t> $US</w:t>
      </w:r>
      <w:r>
        <w:rPr>
          <w:lang w:val="fr-CA"/>
        </w:rPr>
        <w:t xml:space="preserve"> (excluant les coûts d’appui d’agence). </w:t>
      </w:r>
      <w:r w:rsidRPr="00F7302F">
        <w:rPr>
          <w:lang w:val="fr-CA"/>
        </w:rPr>
        <w:t>Le tableau</w:t>
      </w:r>
      <w:r w:rsidR="000C2EE3" w:rsidRPr="00F7302F">
        <w:rPr>
          <w:lang w:val="fr-CA"/>
        </w:rPr>
        <w:t> </w:t>
      </w:r>
      <w:r w:rsidRPr="00F7302F">
        <w:rPr>
          <w:lang w:val="fr-CA"/>
        </w:rPr>
        <w:t>6 récapitule l’état d’avancement de ces projets.</w:t>
      </w:r>
      <w:r w:rsidR="00BA5619" w:rsidRPr="00C04B9F">
        <w:rPr>
          <w:lang w:val="en-CA"/>
        </w:rPr>
        <w:t xml:space="preserve"> </w:t>
      </w:r>
    </w:p>
    <w:p w:rsidR="00BA5619" w:rsidRPr="00043F80" w:rsidRDefault="00BA5619" w:rsidP="00BA5619">
      <w:pPr>
        <w:pStyle w:val="Heading1"/>
        <w:numPr>
          <w:ilvl w:val="0"/>
          <w:numId w:val="0"/>
        </w:numPr>
        <w:spacing w:after="0"/>
        <w:rPr>
          <w:b/>
          <w:lang w:val="fr-CA"/>
        </w:rPr>
      </w:pPr>
      <w:r w:rsidRPr="00FB3F7F">
        <w:rPr>
          <w:b/>
          <w:lang w:val="fr-CA"/>
        </w:rPr>
        <w:t>Table</w:t>
      </w:r>
      <w:r w:rsidR="0080110A" w:rsidRPr="00FB3F7F">
        <w:rPr>
          <w:b/>
          <w:lang w:val="fr-CA"/>
        </w:rPr>
        <w:t>au </w:t>
      </w:r>
      <w:r w:rsidRPr="00FB3F7F">
        <w:rPr>
          <w:b/>
          <w:lang w:val="fr-CA"/>
        </w:rPr>
        <w:t xml:space="preserve">6. </w:t>
      </w:r>
      <w:r w:rsidR="00043F80" w:rsidRPr="00043F80">
        <w:rPr>
          <w:b/>
          <w:lang w:val="fr-CA"/>
        </w:rPr>
        <w:t>Projets relatifs aux HFC approuvés en 2018</w:t>
      </w:r>
    </w:p>
    <w:tbl>
      <w:tblPr>
        <w:tblW w:w="9554" w:type="dxa"/>
        <w:tblInd w:w="-5" w:type="dxa"/>
        <w:tblLook w:val="04A0" w:firstRow="1" w:lastRow="0" w:firstColumn="1" w:lastColumn="0" w:noHBand="0" w:noVBand="1"/>
      </w:tblPr>
      <w:tblGrid>
        <w:gridCol w:w="1985"/>
        <w:gridCol w:w="1048"/>
        <w:gridCol w:w="1048"/>
        <w:gridCol w:w="1303"/>
        <w:gridCol w:w="1134"/>
        <w:gridCol w:w="1134"/>
        <w:gridCol w:w="914"/>
        <w:gridCol w:w="1236"/>
      </w:tblGrid>
      <w:tr w:rsidR="00BA5619" w:rsidRPr="00C04B9F" w:rsidTr="006D0E8F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A5619" w:rsidRPr="00C04B9F" w:rsidRDefault="00BA5619" w:rsidP="00BA5619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Type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N</w:t>
            </w:r>
            <w:r w:rsidR="001152EB">
              <w:rPr>
                <w:b/>
                <w:bCs/>
                <w:sz w:val="20"/>
                <w:szCs w:val="20"/>
                <w:lang w:val="en-CA" w:eastAsia="en-CA"/>
              </w:rPr>
              <w:t>ombre de projets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A5619" w:rsidRPr="00C04B9F" w:rsidRDefault="00BA5619" w:rsidP="00BA5619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F</w:t>
            </w:r>
            <w:r w:rsidR="001152EB">
              <w:rPr>
                <w:b/>
                <w:bCs/>
                <w:sz w:val="20"/>
                <w:szCs w:val="20"/>
                <w:lang w:val="en-CA" w:eastAsia="en-CA"/>
              </w:rPr>
              <w:t>inancement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 xml:space="preserve"> (</w:t>
            </w:r>
            <w:r w:rsidR="00D61DC5">
              <w:rPr>
                <w:b/>
                <w:bCs/>
                <w:sz w:val="20"/>
                <w:szCs w:val="20"/>
                <w:lang w:val="en-CA" w:eastAsia="en-CA"/>
              </w:rPr>
              <w:t>$US</w:t>
            </w: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)*</w:t>
            </w:r>
          </w:p>
        </w:tc>
      </w:tr>
      <w:tr w:rsidR="006D0E8F" w:rsidRPr="00C04B9F" w:rsidTr="006D0E8F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US" w:eastAsia="en-CA"/>
              </w:rPr>
              <w:t>Appro</w:t>
            </w:r>
            <w:r>
              <w:rPr>
                <w:b/>
                <w:bCs/>
                <w:sz w:val="20"/>
                <w:szCs w:val="20"/>
                <w:lang w:val="en-US" w:eastAsia="en-CA"/>
              </w:rPr>
              <w:t>uvés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Achevés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C65735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Taux d’</w:t>
            </w:r>
            <w:r w:rsidR="006D0E8F">
              <w:rPr>
                <w:b/>
                <w:bCs/>
                <w:sz w:val="20"/>
                <w:szCs w:val="20"/>
                <w:lang w:val="en-US" w:eastAsia="en-CA"/>
              </w:rPr>
              <w:t>achèvement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US" w:eastAsia="en-CA"/>
              </w:rPr>
              <w:t>Appro</w:t>
            </w:r>
            <w:r>
              <w:rPr>
                <w:b/>
                <w:bCs/>
                <w:sz w:val="20"/>
                <w:szCs w:val="20"/>
                <w:lang w:val="en-US" w:eastAsia="en-CA"/>
              </w:rPr>
              <w:t>uvé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Décaissé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6D0E8F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Solde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D0E8F" w:rsidRPr="00C04B9F" w:rsidRDefault="00C65735" w:rsidP="006D0E8F">
            <w:pPr>
              <w:jc w:val="center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US" w:eastAsia="en-CA"/>
              </w:rPr>
              <w:t>Taux de</w:t>
            </w:r>
            <w:r w:rsidR="006D0E8F" w:rsidRPr="00C04B9F">
              <w:rPr>
                <w:b/>
                <w:bCs/>
                <w:sz w:val="20"/>
                <w:szCs w:val="20"/>
                <w:lang w:val="en-US" w:eastAsia="en-CA"/>
              </w:rPr>
              <w:t xml:space="preserve"> d</w:t>
            </w:r>
            <w:r w:rsidR="006D0E8F">
              <w:rPr>
                <w:b/>
                <w:bCs/>
                <w:sz w:val="20"/>
                <w:szCs w:val="20"/>
                <w:lang w:val="en-US" w:eastAsia="en-CA"/>
              </w:rPr>
              <w:t>écaissement</w:t>
            </w:r>
          </w:p>
        </w:tc>
      </w:tr>
      <w:tr w:rsidR="006D0E8F" w:rsidRPr="00C04B9F" w:rsidTr="006D0E8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Investissement</w:t>
            </w:r>
            <w:r w:rsidRPr="00C04B9F">
              <w:rPr>
                <w:sz w:val="20"/>
                <w:szCs w:val="20"/>
                <w:lang w:val="en-CA" w:eastAsia="en-CA"/>
              </w:rPr>
              <w:t>**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406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208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198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27</w:t>
            </w:r>
          </w:p>
        </w:tc>
      </w:tr>
      <w:tr w:rsidR="006D0E8F" w:rsidRPr="00C04B9F" w:rsidTr="006D0E8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043F80" w:rsidRDefault="006D0E8F" w:rsidP="006D0E8F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43F80">
              <w:rPr>
                <w:sz w:val="20"/>
                <w:szCs w:val="20"/>
                <w:lang w:val="fr-CA" w:eastAsia="en-CA"/>
              </w:rPr>
              <w:t xml:space="preserve">Préparation de projet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150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47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178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102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822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31</w:t>
            </w:r>
          </w:p>
        </w:tc>
      </w:tr>
      <w:tr w:rsidR="006D0E8F" w:rsidRPr="00C04B9F" w:rsidTr="006D0E8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043F80" w:rsidRDefault="006D0E8F" w:rsidP="006D0E8F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43F80">
              <w:rPr>
                <w:sz w:val="20"/>
                <w:szCs w:val="20"/>
                <w:lang w:val="fr-CA" w:eastAsia="en-CA"/>
              </w:rPr>
              <w:t>Assistance technique –activités de sensibilisation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523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220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635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302</w:t>
            </w:r>
            <w:r>
              <w:rPr>
                <w:sz w:val="20"/>
                <w:szCs w:val="20"/>
                <w:lang w:val="en-CA" w:eastAsia="en-CA"/>
              </w:rPr>
              <w:t> </w:t>
            </w:r>
            <w:r w:rsidRPr="00C04B9F">
              <w:rPr>
                <w:sz w:val="20"/>
                <w:szCs w:val="20"/>
                <w:lang w:val="en-CA" w:eastAsia="en-CA"/>
              </w:rPr>
              <w:t>365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sz w:val="20"/>
                <w:szCs w:val="20"/>
                <w:lang w:val="en-CA" w:eastAsia="en-CA"/>
              </w:rPr>
            </w:pPr>
            <w:r w:rsidRPr="00C04B9F">
              <w:rPr>
                <w:sz w:val="20"/>
                <w:szCs w:val="20"/>
                <w:lang w:val="en-CA" w:eastAsia="en-CA"/>
              </w:rPr>
              <w:t>14</w:t>
            </w:r>
          </w:p>
        </w:tc>
      </w:tr>
      <w:tr w:rsidR="006D0E8F" w:rsidRPr="00C04B9F" w:rsidTr="006D0E8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lef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6 079 610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1 476 389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b/>
                <w:bCs/>
                <w:sz w:val="20"/>
                <w:szCs w:val="20"/>
                <w:lang w:val="en-CA" w:eastAsia="en-CA"/>
              </w:rPr>
              <w:t>4 603 221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D0E8F" w:rsidRPr="00C04B9F" w:rsidRDefault="006D0E8F" w:rsidP="006D0E8F">
            <w:pPr>
              <w:jc w:val="right"/>
              <w:rPr>
                <w:b/>
                <w:bCs/>
                <w:sz w:val="20"/>
                <w:szCs w:val="20"/>
                <w:lang w:val="en-CA" w:eastAsia="en-CA"/>
              </w:rPr>
            </w:pPr>
            <w:r w:rsidRPr="00C04B9F">
              <w:rPr>
                <w:b/>
                <w:bCs/>
                <w:sz w:val="20"/>
                <w:szCs w:val="20"/>
                <w:lang w:val="en-CA" w:eastAsia="en-CA"/>
              </w:rPr>
              <w:t>24</w:t>
            </w:r>
          </w:p>
        </w:tc>
      </w:tr>
    </w:tbl>
    <w:p w:rsidR="00BA5619" w:rsidRPr="00FB3F7F" w:rsidRDefault="00BA5619" w:rsidP="00BA5619">
      <w:pPr>
        <w:pStyle w:val="Title1"/>
        <w:jc w:val="both"/>
        <w:rPr>
          <w:b w:val="0"/>
          <w:caps w:val="0"/>
          <w:sz w:val="19"/>
          <w:szCs w:val="19"/>
          <w:lang w:val="fr-CA"/>
        </w:rPr>
      </w:pPr>
      <w:r w:rsidRPr="00043F80">
        <w:rPr>
          <w:b w:val="0"/>
          <w:caps w:val="0"/>
          <w:sz w:val="19"/>
          <w:szCs w:val="19"/>
          <w:lang w:val="fr-CA"/>
        </w:rPr>
        <w:t xml:space="preserve">* </w:t>
      </w:r>
      <w:r w:rsidR="00043F80" w:rsidRPr="00043F80">
        <w:rPr>
          <w:b w:val="0"/>
          <w:caps w:val="0"/>
          <w:sz w:val="19"/>
          <w:szCs w:val="19"/>
          <w:lang w:val="fr-CA"/>
        </w:rPr>
        <w:t xml:space="preserve">Exclut les coûts d’appui d’agence. </w:t>
      </w:r>
    </w:p>
    <w:p w:rsidR="00BA5619" w:rsidRPr="00FB3F7F" w:rsidRDefault="00BA5619" w:rsidP="00BA5619">
      <w:pPr>
        <w:pStyle w:val="Title1"/>
        <w:jc w:val="both"/>
        <w:rPr>
          <w:b w:val="0"/>
          <w:caps w:val="0"/>
          <w:sz w:val="19"/>
          <w:szCs w:val="19"/>
          <w:lang w:val="fr-CA"/>
        </w:rPr>
      </w:pPr>
      <w:r w:rsidRPr="00F7302F">
        <w:rPr>
          <w:b w:val="0"/>
          <w:caps w:val="0"/>
          <w:sz w:val="19"/>
          <w:szCs w:val="19"/>
          <w:lang w:val="fr-CA"/>
        </w:rPr>
        <w:t xml:space="preserve">** </w:t>
      </w:r>
      <w:r w:rsidR="000C2EE3" w:rsidRPr="00F7302F">
        <w:rPr>
          <w:b w:val="0"/>
          <w:caps w:val="0"/>
          <w:sz w:val="19"/>
          <w:szCs w:val="19"/>
          <w:lang w:val="fr-CA"/>
        </w:rPr>
        <w:t>480,6</w:t>
      </w:r>
      <w:r w:rsidR="00F7302F" w:rsidRPr="00F7302F">
        <w:rPr>
          <w:b w:val="0"/>
          <w:caps w:val="0"/>
          <w:sz w:val="19"/>
          <w:szCs w:val="19"/>
          <w:lang w:val="fr-CA"/>
        </w:rPr>
        <w:t> tm</w:t>
      </w:r>
      <w:r w:rsidRPr="00F7302F">
        <w:rPr>
          <w:b w:val="0"/>
          <w:caps w:val="0"/>
          <w:sz w:val="19"/>
          <w:szCs w:val="19"/>
          <w:lang w:val="fr-CA"/>
        </w:rPr>
        <w:t xml:space="preserve"> (</w:t>
      </w:r>
      <w:r w:rsidR="000C2EE3" w:rsidRPr="00F7302F">
        <w:rPr>
          <w:b w:val="0"/>
          <w:caps w:val="0"/>
          <w:sz w:val="19"/>
          <w:szCs w:val="19"/>
          <w:lang w:val="fr-CA"/>
        </w:rPr>
        <w:t>587</w:t>
      </w:r>
      <w:r w:rsidR="00F7302F" w:rsidRPr="00F7302F">
        <w:rPr>
          <w:b w:val="0"/>
          <w:caps w:val="0"/>
          <w:sz w:val="19"/>
          <w:szCs w:val="19"/>
          <w:lang w:val="fr-CA"/>
        </w:rPr>
        <w:t> </w:t>
      </w:r>
      <w:r w:rsidR="000C2EE3" w:rsidRPr="00F7302F">
        <w:rPr>
          <w:b w:val="0"/>
          <w:caps w:val="0"/>
          <w:sz w:val="19"/>
          <w:szCs w:val="19"/>
          <w:lang w:val="fr-CA"/>
        </w:rPr>
        <w:t>301</w:t>
      </w:r>
      <w:r w:rsidR="00F7302F" w:rsidRPr="00F7302F">
        <w:rPr>
          <w:b w:val="0"/>
          <w:caps w:val="0"/>
          <w:sz w:val="19"/>
          <w:szCs w:val="19"/>
          <w:lang w:val="fr-CA"/>
        </w:rPr>
        <w:t> tm</w:t>
      </w:r>
      <w:r w:rsidRPr="00F7302F">
        <w:rPr>
          <w:b w:val="0"/>
          <w:caps w:val="0"/>
          <w:sz w:val="19"/>
          <w:szCs w:val="19"/>
          <w:lang w:val="fr-CA"/>
        </w:rPr>
        <w:t xml:space="preserve"> </w:t>
      </w:r>
      <w:r w:rsidR="000C2EE3" w:rsidRPr="00F7302F">
        <w:rPr>
          <w:b w:val="0"/>
          <w:caps w:val="0"/>
          <w:sz w:val="19"/>
          <w:szCs w:val="19"/>
          <w:lang w:val="fr-CA"/>
        </w:rPr>
        <w:t>équivalent</w:t>
      </w:r>
      <w:r w:rsidR="00F7302F" w:rsidRPr="00F7302F">
        <w:rPr>
          <w:b w:val="0"/>
          <w:caps w:val="0"/>
          <w:sz w:val="19"/>
          <w:szCs w:val="19"/>
          <w:lang w:val="fr-CA"/>
        </w:rPr>
        <w:t> </w:t>
      </w:r>
      <w:r w:rsidRPr="00F7302F">
        <w:rPr>
          <w:b w:val="0"/>
          <w:caps w:val="0"/>
          <w:sz w:val="19"/>
          <w:szCs w:val="19"/>
          <w:lang w:val="fr-CA"/>
        </w:rPr>
        <w:t>CO</w:t>
      </w:r>
      <w:r w:rsidRPr="00F7302F">
        <w:rPr>
          <w:b w:val="0"/>
          <w:caps w:val="0"/>
          <w:sz w:val="19"/>
          <w:szCs w:val="19"/>
          <w:vertAlign w:val="subscript"/>
          <w:lang w:val="fr-CA"/>
        </w:rPr>
        <w:t>2</w:t>
      </w:r>
      <w:r w:rsidRPr="00F7302F">
        <w:rPr>
          <w:b w:val="0"/>
          <w:caps w:val="0"/>
          <w:sz w:val="19"/>
          <w:szCs w:val="19"/>
          <w:lang w:val="fr-CA"/>
        </w:rPr>
        <w:t xml:space="preserve">) </w:t>
      </w:r>
      <w:r w:rsidR="00F7302F" w:rsidRPr="00F7302F">
        <w:rPr>
          <w:b w:val="0"/>
          <w:caps w:val="0"/>
          <w:sz w:val="19"/>
          <w:szCs w:val="19"/>
          <w:lang w:val="fr-CA"/>
        </w:rPr>
        <w:t>d</w:t>
      </w:r>
      <w:r w:rsidR="000C2EE3" w:rsidRPr="00F7302F">
        <w:rPr>
          <w:b w:val="0"/>
          <w:caps w:val="0"/>
          <w:sz w:val="19"/>
          <w:szCs w:val="19"/>
          <w:lang w:val="fr-CA"/>
        </w:rPr>
        <w:t>e HFC à éliminer.</w:t>
      </w:r>
    </w:p>
    <w:p w:rsidR="00BA5619" w:rsidRPr="00FB3F7F" w:rsidRDefault="00BA5619" w:rsidP="00BA5619">
      <w:pPr>
        <w:pStyle w:val="Title1"/>
        <w:jc w:val="both"/>
        <w:rPr>
          <w:b w:val="0"/>
          <w:caps w:val="0"/>
          <w:sz w:val="19"/>
          <w:szCs w:val="19"/>
          <w:lang w:val="fr-CA"/>
        </w:rPr>
      </w:pPr>
    </w:p>
    <w:p w:rsidR="00BA5619" w:rsidRPr="00FB3F7F" w:rsidRDefault="000C2EE3" w:rsidP="00BA5619">
      <w:pPr>
        <w:pStyle w:val="Heading1"/>
        <w:rPr>
          <w:lang w:val="fr-CA"/>
        </w:rPr>
      </w:pPr>
      <w:r w:rsidRPr="000C2EE3">
        <w:rPr>
          <w:lang w:val="fr-CA"/>
        </w:rPr>
        <w:lastRenderedPageBreak/>
        <w:t>Sur les 18</w:t>
      </w:r>
      <w:r>
        <w:rPr>
          <w:lang w:val="fr-CA"/>
        </w:rPr>
        <w:t> </w:t>
      </w:r>
      <w:r w:rsidRPr="000C2EE3">
        <w:rPr>
          <w:lang w:val="fr-CA"/>
        </w:rPr>
        <w:t>projets approuvés à la fin de 2018,</w:t>
      </w:r>
      <w:r w:rsidR="00F7302F">
        <w:rPr>
          <w:lang w:val="fr-CA"/>
        </w:rPr>
        <w:t xml:space="preserve"> trois</w:t>
      </w:r>
      <w:r>
        <w:rPr>
          <w:lang w:val="fr-CA"/>
        </w:rPr>
        <w:t> </w:t>
      </w:r>
      <w:r w:rsidRPr="000C2EE3">
        <w:rPr>
          <w:lang w:val="fr-CA"/>
        </w:rPr>
        <w:t>activités de préparation ont été achevées et de</w:t>
      </w:r>
      <w:r w:rsidR="00F7302F">
        <w:rPr>
          <w:lang w:val="fr-CA"/>
        </w:rPr>
        <w:t>ux</w:t>
      </w:r>
      <w:r w:rsidRPr="000C2EE3">
        <w:rPr>
          <w:lang w:val="fr-CA"/>
        </w:rPr>
        <w:t xml:space="preserve"> projets d’investissement sont en cours de mise en </w:t>
      </w:r>
      <w:r>
        <w:rPr>
          <w:lang w:val="fr-CA"/>
        </w:rPr>
        <w:t>œuvre</w:t>
      </w:r>
      <w:r w:rsidRPr="000C2EE3">
        <w:rPr>
          <w:lang w:val="fr-CA"/>
        </w:rPr>
        <w:t xml:space="preserve">. Les activités de facilitation en sont rendues à différents stades de mise en </w:t>
      </w:r>
      <w:r>
        <w:rPr>
          <w:lang w:val="fr-CA"/>
        </w:rPr>
        <w:t>œuvre</w:t>
      </w:r>
      <w:r w:rsidRPr="000C2EE3">
        <w:rPr>
          <w:lang w:val="fr-CA"/>
        </w:rPr>
        <w:t>. En tout, sur un montant total de 6 079 610</w:t>
      </w:r>
      <w:r>
        <w:rPr>
          <w:lang w:val="fr-CA"/>
        </w:rPr>
        <w:t> $US</w:t>
      </w:r>
      <w:r w:rsidRPr="000C2EE3">
        <w:rPr>
          <w:lang w:val="fr-CA"/>
        </w:rPr>
        <w:t xml:space="preserve"> approuvé aux fins de décaissement (excluant les coûts d’appui d’agence), </w:t>
      </w:r>
      <w:r>
        <w:rPr>
          <w:lang w:val="fr-CA"/>
        </w:rPr>
        <w:t>1 476 389 $US avaient été décaissés</w:t>
      </w:r>
      <w:r w:rsidR="00F7302F">
        <w:rPr>
          <w:lang w:val="fr-CA"/>
        </w:rPr>
        <w:t>,</w:t>
      </w:r>
      <w:r>
        <w:rPr>
          <w:lang w:val="fr-CA"/>
        </w:rPr>
        <w:t xml:space="preserve"> pour un taux de décaissement de 24</w:t>
      </w:r>
      <w:r w:rsidR="00F7302F">
        <w:rPr>
          <w:lang w:val="fr-CA"/>
        </w:rPr>
        <w:t> </w:t>
      </w:r>
      <w:r>
        <w:rPr>
          <w:lang w:val="fr-CA"/>
        </w:rPr>
        <w:t xml:space="preserve">%. </w:t>
      </w:r>
    </w:p>
    <w:p w:rsidR="00441083" w:rsidRPr="00D61520" w:rsidRDefault="00441083" w:rsidP="00CB5C08">
      <w:pPr>
        <w:jc w:val="center"/>
        <w:rPr>
          <w:u w:val="single"/>
          <w:lang w:val="fr-FR"/>
        </w:rPr>
      </w:pPr>
    </w:p>
    <w:sectPr w:rsidR="00441083" w:rsidRPr="00D61520">
      <w:headerReference w:type="first" r:id="rId21"/>
      <w:footerReference w:type="first" r:id="rId22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B6" w:rsidRDefault="008365B6">
      <w:r>
        <w:separator/>
      </w:r>
    </w:p>
  </w:endnote>
  <w:endnote w:type="continuationSeparator" w:id="0">
    <w:p w:rsidR="008365B6" w:rsidRDefault="008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Pr="0033525D" w:rsidRDefault="00FB3F7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54F2A">
      <w:rPr>
        <w:noProof/>
      </w:rPr>
      <w:t>2</w:t>
    </w:r>
    <w:r>
      <w:rPr>
        <w:noProof/>
      </w:rPr>
      <w:fldChar w:fldCharType="end"/>
    </w:r>
  </w:p>
  <w:p w:rsidR="00FB3F7F" w:rsidRDefault="00FB3F7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Pr="0033525D" w:rsidRDefault="00FB3F7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54F2A">
      <w:rPr>
        <w:noProof/>
      </w:rPr>
      <w:t>3</w:t>
    </w:r>
    <w:r>
      <w:rPr>
        <w:noProof/>
      </w:rPr>
      <w:fldChar w:fldCharType="end"/>
    </w:r>
  </w:p>
  <w:p w:rsidR="00FB3F7F" w:rsidRDefault="00FB3F7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Default="00FB3F7F" w:rsidP="00DC47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:rsidR="00FB3F7F" w:rsidRPr="00FB3F7F" w:rsidRDefault="00FB3F7F" w:rsidP="00BA56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  <w:lang w:val="fr-CA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publication.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Pr="0033525D" w:rsidRDefault="00FB3F7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54F2A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Pr="0033525D" w:rsidRDefault="00FB3F7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A54F2A">
      <w:rPr>
        <w:noProof/>
      </w:rPr>
      <w:t>5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1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F7F" w:rsidRDefault="00FB3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F7F" w:rsidRPr="007E7443" w:rsidRDefault="00FB3F7F" w:rsidP="00BA561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F7F" w:rsidRDefault="00FB3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F7F" w:rsidRDefault="00FB3F7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B6" w:rsidRDefault="008365B6">
      <w:r>
        <w:separator/>
      </w:r>
    </w:p>
  </w:footnote>
  <w:footnote w:type="continuationSeparator" w:id="0">
    <w:p w:rsidR="008365B6" w:rsidRDefault="008365B6">
      <w:r>
        <w:continuationSeparator/>
      </w:r>
    </w:p>
  </w:footnote>
  <w:footnote w:id="1">
    <w:p w:rsidR="00FB3F7F" w:rsidRPr="00FB3F7F" w:rsidRDefault="00FB3F7F" w:rsidP="00BA5619">
      <w:pPr>
        <w:pStyle w:val="FootnoteText"/>
        <w:spacing w:after="0"/>
        <w:ind w:left="0" w:firstLine="0"/>
        <w:jc w:val="both"/>
        <w:rPr>
          <w:lang w:val="fr-CA"/>
        </w:rPr>
      </w:pPr>
      <w:r w:rsidRPr="0081493F">
        <w:rPr>
          <w:rStyle w:val="FootnoteReference"/>
          <w:lang w:val="en-CA"/>
        </w:rPr>
        <w:footnoteRef/>
      </w:r>
      <w:r w:rsidRPr="00F73BE6">
        <w:rPr>
          <w:lang w:val="fr-CA"/>
        </w:rPr>
        <w:t xml:space="preserve"> Le rapport périodique est joint au présent document. </w:t>
      </w:r>
      <w:r>
        <w:rPr>
          <w:lang w:val="fr-CA"/>
        </w:rPr>
        <w:t>Les données ont été intégrées dans la base de données du rapport périodique consolidé qui est disponible sur demande.</w:t>
      </w:r>
    </w:p>
  </w:footnote>
  <w:footnote w:id="2">
    <w:p w:rsidR="00FB3F7F" w:rsidRDefault="00FB3F7F" w:rsidP="00BA5619">
      <w:pPr>
        <w:pStyle w:val="FootnoteText"/>
        <w:spacing w:after="0"/>
        <w:ind w:left="0" w:firstLine="0"/>
        <w:jc w:val="both"/>
        <w:rPr>
          <w:lang w:val="fr-CA"/>
        </w:rPr>
      </w:pPr>
      <w:r w:rsidRPr="0081493F">
        <w:rPr>
          <w:rStyle w:val="FootnoteReference"/>
          <w:lang w:val="en-GB"/>
        </w:rPr>
        <w:footnoteRef/>
      </w:r>
      <w:r w:rsidRPr="00F73BE6">
        <w:rPr>
          <w:lang w:val="fr-CA"/>
        </w:rPr>
        <w:t xml:space="preserve"> Les projets en cours sont tous les projets qui étaient en cours d'exécution le 31</w:t>
      </w:r>
      <w:r>
        <w:rPr>
          <w:lang w:val="fr-CA"/>
        </w:rPr>
        <w:t> </w:t>
      </w:r>
      <w:r w:rsidRPr="00F73BE6">
        <w:rPr>
          <w:lang w:val="fr-CA"/>
        </w:rPr>
        <w:t>décembre</w:t>
      </w:r>
      <w:r>
        <w:rPr>
          <w:lang w:val="fr-CA"/>
        </w:rPr>
        <w:t> </w:t>
      </w:r>
      <w:r w:rsidRPr="00F73BE6">
        <w:rPr>
          <w:lang w:val="fr-CA"/>
        </w:rPr>
        <w:t xml:space="preserve">2018. </w:t>
      </w:r>
      <w:r>
        <w:rPr>
          <w:lang w:val="fr-CA"/>
        </w:rPr>
        <w:t xml:space="preserve">Les principaux indicateurs de progrès sont les suivants : pourcentage de fonds décaissés et pourcentage de projets ayant commencé à décaisser des fonds; financement devant être décaissé d'ici la fin de l'année en pourcentage du financement approuvé; temps moyen des retards prévus dans la mise en œuvre; et renseignements consignés à la colonne Remarques dans la base de données de rapport périodique. </w:t>
      </w:r>
    </w:p>
    <w:p w:rsidR="00D61520" w:rsidRDefault="00D61520" w:rsidP="00BA5619">
      <w:pPr>
        <w:pStyle w:val="FootnoteText"/>
        <w:spacing w:after="0"/>
        <w:ind w:left="0" w:firstLine="0"/>
        <w:jc w:val="both"/>
        <w:rPr>
          <w:lang w:val="fr-CA"/>
        </w:rPr>
      </w:pPr>
    </w:p>
    <w:p w:rsidR="00D61520" w:rsidRPr="00FB3F7F" w:rsidRDefault="00D61520" w:rsidP="00BA5619">
      <w:pPr>
        <w:pStyle w:val="FootnoteText"/>
        <w:spacing w:after="0"/>
        <w:ind w:left="0" w:firstLine="0"/>
        <w:jc w:val="both"/>
        <w:rPr>
          <w:lang w:val="fr-CA"/>
        </w:rPr>
      </w:pPr>
    </w:p>
  </w:footnote>
  <w:footnote w:id="3">
    <w:p w:rsidR="00FB3F7F" w:rsidRPr="00452874" w:rsidRDefault="00FB3F7F" w:rsidP="00BA5619">
      <w:pPr>
        <w:pStyle w:val="FootnoteText"/>
        <w:spacing w:after="0"/>
        <w:ind w:left="0" w:firstLine="0"/>
        <w:rPr>
          <w:lang w:val="fr-CA"/>
        </w:rPr>
      </w:pPr>
      <w:r w:rsidRPr="0081493F">
        <w:rPr>
          <w:rStyle w:val="FootnoteReference"/>
        </w:rPr>
        <w:footnoteRef/>
      </w:r>
      <w:r w:rsidRPr="00452874">
        <w:rPr>
          <w:lang w:val="fr-CA"/>
        </w:rPr>
        <w:t xml:space="preserve"> La question des de</w:t>
      </w:r>
      <w:r>
        <w:rPr>
          <w:lang w:val="fr-CA"/>
        </w:rPr>
        <w:t>ux</w:t>
      </w:r>
      <w:r w:rsidRPr="00452874">
        <w:rPr>
          <w:lang w:val="fr-CA"/>
        </w:rPr>
        <w:t xml:space="preserve"> différentes mesures utilisées pour les substances réglementées est traitée dans le rapport périodique </w:t>
      </w:r>
      <w:r>
        <w:rPr>
          <w:lang w:val="fr-CA"/>
        </w:rPr>
        <w:t>consolidé</w:t>
      </w:r>
      <w:r w:rsidRPr="00452874">
        <w:rPr>
          <w:lang w:val="fr-CA"/>
        </w:rPr>
        <w:t xml:space="preserve"> (UNEP/OzL.Pro/ExCom/84/16).</w:t>
      </w:r>
    </w:p>
  </w:footnote>
  <w:footnote w:id="4">
    <w:p w:rsidR="00FB3F7F" w:rsidRPr="00087FF6" w:rsidRDefault="00FB3F7F" w:rsidP="00BA5619">
      <w:pPr>
        <w:pStyle w:val="FootnoteText"/>
        <w:spacing w:after="0"/>
        <w:ind w:left="0" w:firstLine="0"/>
        <w:jc w:val="both"/>
        <w:rPr>
          <w:lang w:val="fr-CA"/>
        </w:rPr>
      </w:pPr>
      <w:r w:rsidRPr="0081493F">
        <w:rPr>
          <w:rStyle w:val="FootnoteReference"/>
        </w:rPr>
        <w:footnoteRef/>
      </w:r>
      <w:r w:rsidRPr="00087FF6">
        <w:rPr>
          <w:lang w:val="fr-CA"/>
        </w:rPr>
        <w:t xml:space="preserve"> L'élimination </w:t>
      </w:r>
      <w:r>
        <w:rPr>
          <w:lang w:val="fr-CA"/>
        </w:rPr>
        <w:t>comprend</w:t>
      </w:r>
      <w:r w:rsidRPr="00087FF6">
        <w:rPr>
          <w:lang w:val="fr-CA"/>
        </w:rPr>
        <w:t xml:space="preserve"> l'approbation de projets d'investissement </w:t>
      </w:r>
      <w:r w:rsidR="0039745E">
        <w:rPr>
          <w:lang w:val="fr-CA"/>
        </w:rPr>
        <w:t>portant sur les</w:t>
      </w:r>
      <w:r w:rsidRPr="00087FF6">
        <w:rPr>
          <w:lang w:val="fr-CA"/>
        </w:rPr>
        <w:t xml:space="preserve"> HFC</w:t>
      </w:r>
      <w:r>
        <w:rPr>
          <w:lang w:val="fr-CA"/>
        </w:rPr>
        <w:t>,</w:t>
      </w:r>
      <w:r w:rsidRPr="00087FF6">
        <w:rPr>
          <w:lang w:val="fr-CA"/>
        </w:rPr>
        <w:t xml:space="preserve"> </w:t>
      </w:r>
      <w:r>
        <w:rPr>
          <w:lang w:val="fr-CA"/>
        </w:rPr>
        <w:t xml:space="preserve">pour un total de 142,8 tm, </w:t>
      </w:r>
      <w:r w:rsidR="00A16163">
        <w:rPr>
          <w:lang w:val="fr-CA"/>
        </w:rPr>
        <w:t>avec</w:t>
      </w:r>
      <w:r>
        <w:rPr>
          <w:lang w:val="fr-CA"/>
        </w:rPr>
        <w:t xml:space="preserve"> 204 332 tm équivalent </w:t>
      </w:r>
      <w:r w:rsidRPr="00087FF6">
        <w:rPr>
          <w:lang w:val="fr-CA"/>
        </w:rPr>
        <w:t>CO</w:t>
      </w:r>
      <w:r w:rsidRPr="00087FF6">
        <w:rPr>
          <w:vertAlign w:val="subscript"/>
          <w:lang w:val="fr-CA"/>
        </w:rPr>
        <w:t>2</w:t>
      </w:r>
      <w:r>
        <w:rPr>
          <w:vertAlign w:val="subscript"/>
          <w:lang w:val="fr-CA"/>
        </w:rPr>
        <w:t>.</w:t>
      </w:r>
    </w:p>
  </w:footnote>
  <w:footnote w:id="5">
    <w:p w:rsidR="00FB3F7F" w:rsidRPr="00FB3F7F" w:rsidRDefault="00FB3F7F" w:rsidP="00BA5619">
      <w:pPr>
        <w:pStyle w:val="FootnoteText"/>
        <w:spacing w:after="0"/>
        <w:ind w:left="0" w:firstLine="0"/>
        <w:jc w:val="both"/>
        <w:rPr>
          <w:lang w:val="fr-CA"/>
        </w:rPr>
      </w:pPr>
      <w:r w:rsidRPr="0081493F">
        <w:rPr>
          <w:rStyle w:val="FootnoteReference"/>
        </w:rPr>
        <w:footnoteRef/>
      </w:r>
      <w:r w:rsidRPr="00160951">
        <w:rPr>
          <w:lang w:val="fr-CA"/>
        </w:rPr>
        <w:t xml:space="preserve"> Y compris 142,8</w:t>
      </w:r>
      <w:r>
        <w:rPr>
          <w:lang w:val="fr-CA"/>
        </w:rPr>
        <w:t> tm</w:t>
      </w:r>
      <w:r w:rsidRPr="00160951">
        <w:rPr>
          <w:lang w:val="fr-CA"/>
        </w:rPr>
        <w:t xml:space="preserve"> de projets d'investissement </w:t>
      </w:r>
      <w:r>
        <w:rPr>
          <w:lang w:val="fr-CA"/>
        </w:rPr>
        <w:t>portant sur les HFC.</w:t>
      </w:r>
    </w:p>
  </w:footnote>
  <w:footnote w:id="6">
    <w:p w:rsidR="00FB3F7F" w:rsidRPr="000C2EE3" w:rsidRDefault="00FB3F7F" w:rsidP="00BA5619">
      <w:pPr>
        <w:pStyle w:val="FootnoteText"/>
        <w:ind w:left="0" w:firstLine="0"/>
        <w:jc w:val="both"/>
        <w:rPr>
          <w:lang w:val="fr-CA"/>
        </w:rPr>
      </w:pPr>
      <w:r w:rsidRPr="0081493F">
        <w:rPr>
          <w:rStyle w:val="FootnoteReference"/>
          <w:lang w:val="en-CA"/>
        </w:rPr>
        <w:footnoteRef/>
      </w:r>
      <w:r w:rsidRPr="00160951">
        <w:rPr>
          <w:lang w:val="fr-CA"/>
        </w:rPr>
        <w:t xml:space="preserve"> La valeur p</w:t>
      </w:r>
      <w:r>
        <w:rPr>
          <w:lang w:val="fr-CA"/>
        </w:rPr>
        <w:t>lus élevée</w:t>
      </w:r>
      <w:r w:rsidRPr="00160951">
        <w:rPr>
          <w:lang w:val="fr-CA"/>
        </w:rPr>
        <w:t xml:space="preserve"> du rapport</w:t>
      </w:r>
      <w:r>
        <w:rPr>
          <w:lang w:val="fr-CA"/>
        </w:rPr>
        <w:t xml:space="preserve"> coût</w:t>
      </w:r>
      <w:r w:rsidRPr="00160951">
        <w:rPr>
          <w:lang w:val="fr-CA"/>
        </w:rPr>
        <w:t>-efficacité pour les projets en cours e</w:t>
      </w:r>
      <w:r>
        <w:rPr>
          <w:lang w:val="fr-CA"/>
        </w:rPr>
        <w:t>s</w:t>
      </w:r>
      <w:r w:rsidRPr="00160951">
        <w:rPr>
          <w:lang w:val="fr-CA"/>
        </w:rPr>
        <w:t>t en grande partie attribuable aux valeurs plus basses de</w:t>
      </w:r>
      <w:r w:rsidR="0039745E">
        <w:rPr>
          <w:lang w:val="fr-CA"/>
        </w:rPr>
        <w:t>s</w:t>
      </w:r>
      <w:r w:rsidRPr="00160951">
        <w:rPr>
          <w:lang w:val="fr-CA"/>
        </w:rPr>
        <w:t xml:space="preserve"> HCFC en</w:t>
      </w:r>
      <w:r>
        <w:rPr>
          <w:lang w:val="fr-CA"/>
        </w:rPr>
        <w:t> tonnes PAO</w:t>
      </w:r>
      <w:r w:rsidRPr="00160951">
        <w:rPr>
          <w:lang w:val="fr-CA"/>
        </w:rPr>
        <w:t xml:space="preserve">, mais également </w:t>
      </w:r>
      <w:r w:rsidR="0039745E" w:rsidRPr="0039745E">
        <w:rPr>
          <w:lang w:val="fr-CA"/>
        </w:rPr>
        <w:t>aux méthodes employées par les agences pour ventiler l'élimination</w:t>
      </w:r>
      <w:r w:rsidRPr="00160951">
        <w:rPr>
          <w:lang w:val="fr-CA"/>
        </w:rPr>
        <w:t xml:space="preserve">. </w:t>
      </w:r>
    </w:p>
  </w:footnote>
  <w:footnote w:id="7">
    <w:p w:rsidR="00FB3F7F" w:rsidRPr="00FB3F7F" w:rsidRDefault="00FB3F7F" w:rsidP="00BA5619">
      <w:pPr>
        <w:pStyle w:val="FootnoteText"/>
        <w:spacing w:after="0"/>
        <w:rPr>
          <w:lang w:val="fr-CA"/>
        </w:rPr>
      </w:pPr>
      <w:r w:rsidRPr="0081493F">
        <w:rPr>
          <w:rStyle w:val="FootnoteReference"/>
        </w:rPr>
        <w:footnoteRef/>
      </w:r>
      <w:r w:rsidRPr="00FB3F7F">
        <w:rPr>
          <w:lang w:val="fr-CA"/>
        </w:rPr>
        <w:t xml:space="preserve"> UNEP/OzL.Pro/ExCom/84/42</w:t>
      </w:r>
    </w:p>
  </w:footnote>
  <w:footnote w:id="8">
    <w:p w:rsidR="00FB3F7F" w:rsidRPr="00FB3F7F" w:rsidRDefault="00FB3F7F" w:rsidP="00BA5619">
      <w:pPr>
        <w:pStyle w:val="FootnoteText"/>
        <w:spacing w:after="0"/>
        <w:rPr>
          <w:lang w:val="fr-CA"/>
        </w:rPr>
      </w:pPr>
      <w:r w:rsidRPr="0081493F">
        <w:rPr>
          <w:rStyle w:val="FootnoteReference"/>
        </w:rPr>
        <w:footnoteRef/>
      </w:r>
      <w:r w:rsidRPr="00FB3F7F">
        <w:rPr>
          <w:lang w:val="fr-CA"/>
        </w:rPr>
        <w:t xml:space="preserve"> UNEP/OzL.Pro/ExCom/84/43</w:t>
      </w:r>
    </w:p>
  </w:footnote>
  <w:footnote w:id="9">
    <w:p w:rsidR="00FB3F7F" w:rsidRPr="00FB3F7F" w:rsidRDefault="00FB3F7F" w:rsidP="00BA5619">
      <w:pPr>
        <w:pStyle w:val="FootnoteText"/>
        <w:spacing w:after="0"/>
        <w:rPr>
          <w:lang w:val="fr-CA"/>
        </w:rPr>
      </w:pPr>
      <w:r w:rsidRPr="0081493F">
        <w:rPr>
          <w:rStyle w:val="FootnoteReference"/>
        </w:rPr>
        <w:footnoteRef/>
      </w:r>
      <w:r w:rsidRPr="00FB3F7F">
        <w:rPr>
          <w:lang w:val="fr-CA"/>
        </w:rPr>
        <w:t xml:space="preserve"> UNEP/OzL.Pro/ExCom/84/45</w:t>
      </w:r>
    </w:p>
  </w:footnote>
  <w:footnote w:id="10">
    <w:p w:rsidR="00FB3F7F" w:rsidRPr="00FB3F7F" w:rsidRDefault="00FB3F7F" w:rsidP="00BA5619">
      <w:pPr>
        <w:pStyle w:val="FootnoteText"/>
        <w:spacing w:after="0"/>
        <w:rPr>
          <w:lang w:val="fr-CA"/>
        </w:rPr>
      </w:pPr>
      <w:r w:rsidRPr="0081493F">
        <w:rPr>
          <w:rStyle w:val="FootnoteReference"/>
        </w:rPr>
        <w:footnoteRef/>
      </w:r>
      <w:r w:rsidRPr="00FB3F7F">
        <w:rPr>
          <w:lang w:val="fr-CA"/>
        </w:rPr>
        <w:t xml:space="preserve"> UNEP/OzL.Pro/ExCom/84/49</w:t>
      </w:r>
    </w:p>
  </w:footnote>
  <w:footnote w:id="11">
    <w:p w:rsidR="00FB3F7F" w:rsidRPr="00FB3F7F" w:rsidRDefault="00FB3F7F" w:rsidP="00BA5619">
      <w:pPr>
        <w:pStyle w:val="FootnoteText"/>
        <w:spacing w:after="0"/>
        <w:rPr>
          <w:lang w:val="fr-CA"/>
        </w:rPr>
      </w:pPr>
      <w:r w:rsidRPr="0081493F">
        <w:rPr>
          <w:rStyle w:val="FootnoteReference"/>
        </w:rPr>
        <w:footnoteRef/>
      </w:r>
      <w:r w:rsidRPr="00FB3F7F">
        <w:rPr>
          <w:lang w:val="fr-CA"/>
        </w:rPr>
        <w:t xml:space="preserve"> UNEP/OzL.Pro/ExCom/84/50</w:t>
      </w:r>
    </w:p>
  </w:footnote>
  <w:footnote w:id="12">
    <w:p w:rsidR="00FB3F7F" w:rsidRPr="00FB3F7F" w:rsidRDefault="00FB3F7F" w:rsidP="00BA5619">
      <w:pPr>
        <w:pStyle w:val="FootnoteText"/>
        <w:spacing w:after="0"/>
        <w:rPr>
          <w:lang w:val="fr-CA"/>
        </w:rPr>
      </w:pPr>
      <w:r w:rsidRPr="0081493F">
        <w:rPr>
          <w:rStyle w:val="FootnoteReference"/>
        </w:rPr>
        <w:footnoteRef/>
      </w:r>
      <w:r w:rsidRPr="00FB3F7F">
        <w:rPr>
          <w:lang w:val="fr-CA"/>
        </w:rPr>
        <w:t xml:space="preserve"> UNEP/OzL.Pro/ExCom/84/51</w:t>
      </w:r>
    </w:p>
  </w:footnote>
  <w:footnote w:id="13">
    <w:p w:rsidR="00FB3F7F" w:rsidRPr="00FB3F7F" w:rsidRDefault="00FB3F7F" w:rsidP="00BA5619">
      <w:pPr>
        <w:pStyle w:val="FootnoteText"/>
        <w:spacing w:after="0"/>
        <w:rPr>
          <w:lang w:val="fr-CA"/>
        </w:rPr>
      </w:pPr>
      <w:r w:rsidRPr="0081493F">
        <w:rPr>
          <w:rStyle w:val="FootnoteReference"/>
        </w:rPr>
        <w:footnoteRef/>
      </w:r>
      <w:r w:rsidRPr="00FB3F7F">
        <w:rPr>
          <w:lang w:val="fr-CA"/>
        </w:rPr>
        <w:t xml:space="preserve"> UNEP/OzL.Pro/ExCom/84/54</w:t>
      </w:r>
    </w:p>
  </w:footnote>
  <w:footnote w:id="14">
    <w:p w:rsidR="00FB3F7F" w:rsidRPr="00FB3F7F" w:rsidRDefault="00FB3F7F" w:rsidP="00BA5619">
      <w:pPr>
        <w:pStyle w:val="FootnoteText"/>
        <w:spacing w:after="0"/>
        <w:rPr>
          <w:lang w:val="fr-CA"/>
        </w:rPr>
      </w:pPr>
      <w:r w:rsidRPr="0081493F">
        <w:rPr>
          <w:rStyle w:val="FootnoteReference"/>
        </w:rPr>
        <w:footnoteRef/>
      </w:r>
      <w:r w:rsidRPr="00FB3F7F">
        <w:rPr>
          <w:lang w:val="fr-CA"/>
        </w:rPr>
        <w:t xml:space="preserve"> UNEP/OzL.Pro/ExCom/84/22 et Add.1</w:t>
      </w:r>
    </w:p>
  </w:footnote>
  <w:footnote w:id="15">
    <w:p w:rsidR="00FB3F7F" w:rsidRPr="00FB3F7F" w:rsidRDefault="00FB3F7F" w:rsidP="00BA5619">
      <w:pPr>
        <w:pStyle w:val="FootnoteText"/>
        <w:spacing w:after="0"/>
        <w:ind w:left="0" w:firstLine="0"/>
        <w:jc w:val="both"/>
        <w:rPr>
          <w:lang w:val="fr-CA"/>
        </w:rPr>
      </w:pPr>
      <w:r w:rsidRPr="0081493F">
        <w:rPr>
          <w:rStyle w:val="FootnoteReference"/>
          <w:lang w:val="en-CA"/>
        </w:rPr>
        <w:footnoteRef/>
      </w:r>
      <w:r w:rsidRPr="00B97F19">
        <w:rPr>
          <w:lang w:val="fr-CA"/>
        </w:rPr>
        <w:t xml:space="preserve"> Les données sont présentées selon l'année au cours de laquelle </w:t>
      </w:r>
      <w:r>
        <w:rPr>
          <w:lang w:val="fr-CA"/>
        </w:rPr>
        <w:t>un</w:t>
      </w:r>
      <w:r w:rsidRPr="00B97F19">
        <w:rPr>
          <w:lang w:val="fr-CA"/>
        </w:rPr>
        <w:t xml:space="preserve"> projet a été approuvé par le Comité exécutif. Toutes les approbations (projets d'investissement et projets ne portant pas sur des investissements</w:t>
      </w:r>
      <w:r>
        <w:rPr>
          <w:lang w:val="fr-CA"/>
        </w:rPr>
        <w:t>)</w:t>
      </w:r>
      <w:r w:rsidRPr="00B97F19">
        <w:rPr>
          <w:lang w:val="fr-CA"/>
        </w:rPr>
        <w:t xml:space="preserve"> sont considérées </w:t>
      </w:r>
      <w:r>
        <w:rPr>
          <w:lang w:val="fr-CA"/>
        </w:rPr>
        <w:t xml:space="preserve">de la même façon (c.-à-d. qu'un projet d'investissement ou une tranche de financement d'un accord pluriannuel de 1 million $US est considéré comme un projet, tout comme la préparation d'un programme de pays de 30 000 $US). </w:t>
      </w:r>
      <w:r w:rsidRPr="00B97F19">
        <w:rPr>
          <w:lang w:val="fr-CA"/>
        </w:rPr>
        <w:t>Les indicateurs clés de ce sommaire annuel sont les suivants</w:t>
      </w:r>
      <w:r>
        <w:rPr>
          <w:lang w:val="fr-CA"/>
        </w:rPr>
        <w:t> </w:t>
      </w:r>
      <w:r w:rsidRPr="00B97F19">
        <w:rPr>
          <w:lang w:val="fr-CA"/>
        </w:rPr>
        <w:t>: pourcentage de projets achevés, tonne</w:t>
      </w:r>
      <w:r>
        <w:rPr>
          <w:lang w:val="fr-CA"/>
        </w:rPr>
        <w:t>s </w:t>
      </w:r>
      <w:r w:rsidRPr="00B97F19">
        <w:rPr>
          <w:lang w:val="fr-CA"/>
        </w:rPr>
        <w:t xml:space="preserve">PAO éliminées </w:t>
      </w:r>
      <w:r>
        <w:rPr>
          <w:lang w:val="fr-CA"/>
        </w:rPr>
        <w:t xml:space="preserve">et pourcentage de fonds décaissés. </w:t>
      </w:r>
      <w:r w:rsidRPr="00B97F19">
        <w:rPr>
          <w:lang w:val="fr-CA"/>
        </w:rPr>
        <w:t>Il existe trois types de décaissement</w:t>
      </w:r>
      <w:r>
        <w:rPr>
          <w:lang w:val="fr-CA"/>
        </w:rPr>
        <w:t> </w:t>
      </w:r>
      <w:r w:rsidRPr="00B97F19">
        <w:rPr>
          <w:lang w:val="fr-CA"/>
        </w:rPr>
        <w:t xml:space="preserve">: pendant la mise en </w:t>
      </w:r>
      <w:r>
        <w:rPr>
          <w:lang w:val="fr-CA"/>
        </w:rPr>
        <w:t>œuvre</w:t>
      </w:r>
      <w:r w:rsidRPr="00B97F19">
        <w:rPr>
          <w:lang w:val="fr-CA"/>
        </w:rPr>
        <w:t xml:space="preserve">, après la mise en œuvre et </w:t>
      </w:r>
      <w:r>
        <w:rPr>
          <w:lang w:val="fr-CA"/>
        </w:rPr>
        <w:t>pour les projets financés rétroactivement.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Pr="0033525D" w:rsidRDefault="005737C1" w:rsidP="00BA5619">
    <w:fldSimple w:instr=" DOCPROPERTY &quot;Document number&quot;  \* MERGEFORMAT ">
      <w:r w:rsidR="00FB3F7F">
        <w:t>UNEP/OzL.Pro/ExCom/84/18</w:t>
      </w:r>
    </w:fldSimple>
  </w:p>
  <w:p w:rsidR="00FB3F7F" w:rsidRPr="0033525D" w:rsidRDefault="00FB3F7F"/>
  <w:p w:rsidR="00FB3F7F" w:rsidRPr="0033525D" w:rsidRDefault="00FB3F7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Pr="0033525D" w:rsidRDefault="005737C1" w:rsidP="00BA5619">
    <w:pPr>
      <w:jc w:val="right"/>
    </w:pPr>
    <w:fldSimple w:instr=" DOCPROPERTY &quot;Document number&quot;  \* MERGEFORMAT ">
      <w:r w:rsidR="00FB3F7F">
        <w:t>UNEP/OzL.Pro/ExCom/84/18</w:t>
      </w:r>
    </w:fldSimple>
  </w:p>
  <w:p w:rsidR="00FB3F7F" w:rsidRPr="0033525D" w:rsidRDefault="00FB3F7F"/>
  <w:p w:rsidR="00FB3F7F" w:rsidRPr="0033525D" w:rsidRDefault="00FB3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Default="005737C1">
    <w:fldSimple w:instr=" DOCPROPERTY &quot;Document number&quot;  \* MERGEFORMAT ">
      <w:r w:rsidR="00FB3F7F">
        <w:t>UNEP/OzL.Pro/ExCom/84/18</w:t>
      </w:r>
    </w:fldSimple>
  </w:p>
  <w:p w:rsidR="00FB3F7F" w:rsidRPr="0033525D" w:rsidRDefault="00FB3F7F">
    <w:r>
      <w:t>Annexe II</w:t>
    </w:r>
  </w:p>
  <w:p w:rsidR="00FB3F7F" w:rsidRDefault="00FB3F7F"/>
  <w:p w:rsidR="00FB3F7F" w:rsidRPr="0033525D" w:rsidRDefault="00FB3F7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Default="005737C1">
    <w:pPr>
      <w:jc w:val="right"/>
    </w:pPr>
    <w:fldSimple w:instr=" DOCPROPERTY &quot;Document number&quot;  \* MERGEFORMAT ">
      <w:r w:rsidR="00FB3F7F">
        <w:t>UNEP/OzL.Pro/ExCom/84/18</w:t>
      </w:r>
    </w:fldSimple>
  </w:p>
  <w:p w:rsidR="00FB3F7F" w:rsidRPr="0033525D" w:rsidRDefault="00FB3F7F" w:rsidP="00BA5619">
    <w:pPr>
      <w:jc w:val="right"/>
    </w:pPr>
    <w:r>
      <w:t>Annexe II</w:t>
    </w:r>
  </w:p>
  <w:p w:rsidR="00FB3F7F" w:rsidRDefault="00FB3F7F">
    <w:pPr>
      <w:pStyle w:val="Header"/>
    </w:pPr>
  </w:p>
  <w:p w:rsidR="00FB3F7F" w:rsidRPr="0033525D" w:rsidRDefault="00FB3F7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Pr="0033525D" w:rsidRDefault="005737C1" w:rsidP="00BA5619">
    <w:pPr>
      <w:jc w:val="right"/>
    </w:pPr>
    <w:fldSimple w:instr=" DOCPROPERTY &quot;Document number&quot;  \* MERGEFORMAT ">
      <w:r w:rsidR="00FB3F7F">
        <w:t>UNEP/OzL.Pro/ExCom/84/18</w:t>
      </w:r>
    </w:fldSimple>
  </w:p>
  <w:p w:rsidR="00FB3F7F" w:rsidRDefault="00FB3F7F" w:rsidP="00BA5619">
    <w:pPr>
      <w:pStyle w:val="Header"/>
      <w:jc w:val="right"/>
    </w:pPr>
    <w:r>
      <w:t>Annexe I</w:t>
    </w:r>
  </w:p>
  <w:p w:rsidR="00FB3F7F" w:rsidRDefault="00FB3F7F" w:rsidP="00BA5619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F" w:rsidRDefault="005737C1">
    <w:pPr>
      <w:jc w:val="right"/>
    </w:pPr>
    <w:fldSimple w:instr=" DOCPROPERTY &quot;Document number&quot;  \* MERGEFORMAT ">
      <w:r w:rsidR="00FB3F7F">
        <w:t>UNEP/OzL.Pro/ExCom/84/1</w:t>
      </w:r>
    </w:fldSimple>
    <w:r w:rsidR="00FB3F7F">
      <w:t>8</w:t>
    </w:r>
  </w:p>
  <w:p w:rsidR="00FB3F7F" w:rsidRDefault="00FB3F7F">
    <w:pPr>
      <w:jc w:val="right"/>
    </w:pPr>
    <w:r>
      <w:t>Annexe II</w:t>
    </w:r>
  </w:p>
  <w:p w:rsidR="00FB3F7F" w:rsidRDefault="00FB3F7F">
    <w:pPr>
      <w:jc w:val="right"/>
    </w:pPr>
  </w:p>
  <w:p w:rsidR="00FB3F7F" w:rsidRDefault="00FB3F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74A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20DB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B08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2EA0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CAA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9EE5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A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2A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64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8A43F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645FA"/>
    <w:multiLevelType w:val="hybridMultilevel"/>
    <w:tmpl w:val="90CEC7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4CC5F7B"/>
    <w:multiLevelType w:val="hybridMultilevel"/>
    <w:tmpl w:val="7480B00E"/>
    <w:lvl w:ilvl="0" w:tplc="FE0244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5229AC"/>
    <w:multiLevelType w:val="hybridMultilevel"/>
    <w:tmpl w:val="C3308846"/>
    <w:lvl w:ilvl="0" w:tplc="FE0244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219F3"/>
    <w:multiLevelType w:val="multilevel"/>
    <w:tmpl w:val="CF325E98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2880" w:hanging="72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3586" w:hanging="706"/>
      </w:pPr>
    </w:lvl>
    <w:lvl w:ilvl="4">
      <w:start w:val="1"/>
      <w:numFmt w:val="decimal"/>
      <w:lvlText w:val="(%5)"/>
      <w:lvlJc w:val="left"/>
      <w:pPr>
        <w:tabs>
          <w:tab w:val="num" w:pos="720"/>
        </w:tabs>
        <w:ind w:left="4291" w:hanging="705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5011" w:hanging="720"/>
      </w:p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5717" w:hanging="706"/>
      </w:p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6422" w:hanging="705"/>
      </w:p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7128" w:hanging="706"/>
      </w:pPr>
    </w:lvl>
  </w:abstractNum>
  <w:abstractNum w:abstractNumId="18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9" w15:restartNumberingAfterBreak="0">
    <w:nsid w:val="354676A1"/>
    <w:multiLevelType w:val="hybridMultilevel"/>
    <w:tmpl w:val="7AFA253E"/>
    <w:lvl w:ilvl="0" w:tplc="79620F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FF2E9D"/>
    <w:multiLevelType w:val="hybridMultilevel"/>
    <w:tmpl w:val="E564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541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22" w15:restartNumberingAfterBreak="0">
    <w:nsid w:val="414F23EA"/>
    <w:multiLevelType w:val="hybridMultilevel"/>
    <w:tmpl w:val="26804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FC15EE6"/>
    <w:multiLevelType w:val="hybridMultilevel"/>
    <w:tmpl w:val="85CC5508"/>
    <w:lvl w:ilvl="0" w:tplc="806E8D8A">
      <w:start w:val="1"/>
      <w:numFmt w:val="lowerLetter"/>
      <w:lvlText w:val="%1."/>
      <w:lvlJc w:val="left"/>
      <w:pPr>
        <w:ind w:left="3111" w:hanging="360"/>
      </w:pPr>
    </w:lvl>
    <w:lvl w:ilvl="1" w:tplc="04090019" w:tentative="1">
      <w:start w:val="1"/>
      <w:numFmt w:val="lowerLetter"/>
      <w:lvlText w:val="%2."/>
      <w:lvlJc w:val="left"/>
      <w:pPr>
        <w:ind w:left="3831" w:hanging="360"/>
      </w:pPr>
    </w:lvl>
    <w:lvl w:ilvl="2" w:tplc="0409001B" w:tentative="1">
      <w:start w:val="1"/>
      <w:numFmt w:val="lowerRoman"/>
      <w:lvlText w:val="%3."/>
      <w:lvlJc w:val="right"/>
      <w:pPr>
        <w:ind w:left="4551" w:hanging="180"/>
      </w:pPr>
    </w:lvl>
    <w:lvl w:ilvl="3" w:tplc="0409000F" w:tentative="1">
      <w:start w:val="1"/>
      <w:numFmt w:val="decimal"/>
      <w:lvlText w:val="%4."/>
      <w:lvlJc w:val="left"/>
      <w:pPr>
        <w:ind w:left="5271" w:hanging="360"/>
      </w:pPr>
    </w:lvl>
    <w:lvl w:ilvl="4" w:tplc="04090019" w:tentative="1">
      <w:start w:val="1"/>
      <w:numFmt w:val="lowerLetter"/>
      <w:lvlText w:val="%5."/>
      <w:lvlJc w:val="left"/>
      <w:pPr>
        <w:ind w:left="5991" w:hanging="360"/>
      </w:pPr>
    </w:lvl>
    <w:lvl w:ilvl="5" w:tplc="0409001B" w:tentative="1">
      <w:start w:val="1"/>
      <w:numFmt w:val="lowerRoman"/>
      <w:lvlText w:val="%6."/>
      <w:lvlJc w:val="right"/>
      <w:pPr>
        <w:ind w:left="6711" w:hanging="180"/>
      </w:pPr>
    </w:lvl>
    <w:lvl w:ilvl="6" w:tplc="0409000F" w:tentative="1">
      <w:start w:val="1"/>
      <w:numFmt w:val="decimal"/>
      <w:lvlText w:val="%7."/>
      <w:lvlJc w:val="left"/>
      <w:pPr>
        <w:ind w:left="7431" w:hanging="360"/>
      </w:pPr>
    </w:lvl>
    <w:lvl w:ilvl="7" w:tplc="04090019" w:tentative="1">
      <w:start w:val="1"/>
      <w:numFmt w:val="lowerLetter"/>
      <w:lvlText w:val="%8."/>
      <w:lvlJc w:val="left"/>
      <w:pPr>
        <w:ind w:left="8151" w:hanging="360"/>
      </w:pPr>
    </w:lvl>
    <w:lvl w:ilvl="8" w:tplc="040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25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6293731"/>
    <w:multiLevelType w:val="hybridMultilevel"/>
    <w:tmpl w:val="32C4F1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06D9F"/>
    <w:multiLevelType w:val="hybridMultilevel"/>
    <w:tmpl w:val="6A047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28" w15:restartNumberingAfterBreak="0">
    <w:nsid w:val="5D8B73B8"/>
    <w:multiLevelType w:val="hybridMultilevel"/>
    <w:tmpl w:val="B60A3D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8F52DD"/>
    <w:multiLevelType w:val="hybridMultilevel"/>
    <w:tmpl w:val="7430B4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F32ABA"/>
    <w:multiLevelType w:val="hybridMultilevel"/>
    <w:tmpl w:val="D6E4A5DA"/>
    <w:lvl w:ilvl="0" w:tplc="DE308B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A0A9E"/>
    <w:multiLevelType w:val="hybridMultilevel"/>
    <w:tmpl w:val="055CE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3" w15:restartNumberingAfterBreak="0">
    <w:nsid w:val="7EBF4C61"/>
    <w:multiLevelType w:val="hybridMultilevel"/>
    <w:tmpl w:val="13423C78"/>
    <w:lvl w:ilvl="0" w:tplc="AC2A4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3"/>
  </w:num>
  <w:num w:numId="18">
    <w:abstractNumId w:val="25"/>
  </w:num>
  <w:num w:numId="19">
    <w:abstractNumId w:val="32"/>
  </w:num>
  <w:num w:numId="20">
    <w:abstractNumId w:val="18"/>
  </w:num>
  <w:num w:numId="21">
    <w:abstractNumId w:val="11"/>
  </w:num>
  <w:num w:numId="22">
    <w:abstractNumId w:val="12"/>
  </w:num>
  <w:num w:numId="23">
    <w:abstractNumId w:val="24"/>
  </w:num>
  <w:num w:numId="24">
    <w:abstractNumId w:val="21"/>
  </w:num>
  <w:num w:numId="25">
    <w:abstractNumId w:val="27"/>
  </w:num>
  <w:num w:numId="26">
    <w:abstractNumId w:val="13"/>
  </w:num>
  <w:num w:numId="27">
    <w:abstractNumId w:val="17"/>
  </w:num>
  <w:num w:numId="28">
    <w:abstractNumId w:val="28"/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29"/>
  </w:num>
  <w:num w:numId="32">
    <w:abstractNumId w:val="26"/>
  </w:num>
  <w:num w:numId="33">
    <w:abstractNumId w:val="33"/>
  </w:num>
  <w:num w:numId="34">
    <w:abstractNumId w:val="19"/>
  </w:num>
  <w:num w:numId="35">
    <w:abstractNumId w:val="2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4"/>
  </w:num>
  <w:num w:numId="45">
    <w:abstractNumId w:val="3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00"/>
    <w:rsid w:val="00043F80"/>
    <w:rsid w:val="00087FF6"/>
    <w:rsid w:val="000C2EE3"/>
    <w:rsid w:val="000D3AE7"/>
    <w:rsid w:val="000E68A6"/>
    <w:rsid w:val="000F6C8E"/>
    <w:rsid w:val="001152EB"/>
    <w:rsid w:val="00147D7E"/>
    <w:rsid w:val="00160951"/>
    <w:rsid w:val="001B0ABE"/>
    <w:rsid w:val="001C3D0C"/>
    <w:rsid w:val="001D4CE7"/>
    <w:rsid w:val="00265AF0"/>
    <w:rsid w:val="002B1CCA"/>
    <w:rsid w:val="002F0B57"/>
    <w:rsid w:val="00350287"/>
    <w:rsid w:val="00353D51"/>
    <w:rsid w:val="003756CA"/>
    <w:rsid w:val="0039745E"/>
    <w:rsid w:val="003A0CA4"/>
    <w:rsid w:val="00427514"/>
    <w:rsid w:val="00441083"/>
    <w:rsid w:val="00452874"/>
    <w:rsid w:val="004A4572"/>
    <w:rsid w:val="004C2C87"/>
    <w:rsid w:val="004E3A36"/>
    <w:rsid w:val="00533C30"/>
    <w:rsid w:val="005439B2"/>
    <w:rsid w:val="005737C1"/>
    <w:rsid w:val="00584B9B"/>
    <w:rsid w:val="005B214C"/>
    <w:rsid w:val="005B3CAD"/>
    <w:rsid w:val="005C278F"/>
    <w:rsid w:val="005D6AB3"/>
    <w:rsid w:val="005D6C78"/>
    <w:rsid w:val="00605093"/>
    <w:rsid w:val="006246FA"/>
    <w:rsid w:val="006531A3"/>
    <w:rsid w:val="006826CB"/>
    <w:rsid w:val="00687780"/>
    <w:rsid w:val="00694F07"/>
    <w:rsid w:val="006C394B"/>
    <w:rsid w:val="006D0E8F"/>
    <w:rsid w:val="006D6D0E"/>
    <w:rsid w:val="007034FA"/>
    <w:rsid w:val="007055DD"/>
    <w:rsid w:val="00712CE0"/>
    <w:rsid w:val="00721C97"/>
    <w:rsid w:val="00735560"/>
    <w:rsid w:val="0075750B"/>
    <w:rsid w:val="00787DA7"/>
    <w:rsid w:val="0080110A"/>
    <w:rsid w:val="00821E39"/>
    <w:rsid w:val="008332F6"/>
    <w:rsid w:val="00835393"/>
    <w:rsid w:val="008365B6"/>
    <w:rsid w:val="00873C5D"/>
    <w:rsid w:val="00876439"/>
    <w:rsid w:val="008E7C9F"/>
    <w:rsid w:val="008F0113"/>
    <w:rsid w:val="0091161A"/>
    <w:rsid w:val="0095571B"/>
    <w:rsid w:val="0096254A"/>
    <w:rsid w:val="00972E99"/>
    <w:rsid w:val="00994FD0"/>
    <w:rsid w:val="009A5180"/>
    <w:rsid w:val="00A16163"/>
    <w:rsid w:val="00A54F2A"/>
    <w:rsid w:val="00AA7D65"/>
    <w:rsid w:val="00AC013C"/>
    <w:rsid w:val="00AE63D8"/>
    <w:rsid w:val="00B06136"/>
    <w:rsid w:val="00B40800"/>
    <w:rsid w:val="00B811F2"/>
    <w:rsid w:val="00B97F19"/>
    <w:rsid w:val="00BA5619"/>
    <w:rsid w:val="00BC3C7D"/>
    <w:rsid w:val="00C031ED"/>
    <w:rsid w:val="00C6443E"/>
    <w:rsid w:val="00C65735"/>
    <w:rsid w:val="00CB5C08"/>
    <w:rsid w:val="00CC21A5"/>
    <w:rsid w:val="00D2488D"/>
    <w:rsid w:val="00D61520"/>
    <w:rsid w:val="00D61DC5"/>
    <w:rsid w:val="00D624EE"/>
    <w:rsid w:val="00D62E5D"/>
    <w:rsid w:val="00D7654A"/>
    <w:rsid w:val="00DB4E64"/>
    <w:rsid w:val="00DC28D3"/>
    <w:rsid w:val="00DC4726"/>
    <w:rsid w:val="00DD0FB6"/>
    <w:rsid w:val="00DD3433"/>
    <w:rsid w:val="00E348C6"/>
    <w:rsid w:val="00E54871"/>
    <w:rsid w:val="00E60D9C"/>
    <w:rsid w:val="00E76718"/>
    <w:rsid w:val="00EB2067"/>
    <w:rsid w:val="00F308E6"/>
    <w:rsid w:val="00F37A42"/>
    <w:rsid w:val="00F557F5"/>
    <w:rsid w:val="00F702C0"/>
    <w:rsid w:val="00F7302F"/>
    <w:rsid w:val="00F73BE6"/>
    <w:rsid w:val="00F80949"/>
    <w:rsid w:val="00FB3F7F"/>
    <w:rsid w:val="00FC0D87"/>
    <w:rsid w:val="00FC5578"/>
    <w:rsid w:val="00FD22FE"/>
    <w:rsid w:val="00FE0F74"/>
    <w:rsid w:val="00FE431D"/>
    <w:rsid w:val="00FF3CF1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13698F"/>
  <w15:docId w15:val="{18B29222-8FD3-401A-9325-E4C5148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link w:val="Heading3Char3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link w:val="Heading4Char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uiPriority w:val="99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uiPriority w:val="99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uiPriority w:val="99"/>
    <w:semiHidden/>
    <w:pPr>
      <w:numPr>
        <w:numId w:val="17"/>
      </w:numPr>
    </w:pPr>
  </w:style>
  <w:style w:type="numbering" w:styleId="ArticleSection">
    <w:name w:val="Outline List 3"/>
    <w:basedOn w:val="NoList"/>
    <w:uiPriority w:val="99"/>
    <w:semiHidden/>
    <w:pPr>
      <w:numPr>
        <w:numId w:val="18"/>
      </w:numPr>
    </w:pPr>
  </w:style>
  <w:style w:type="paragraph" w:styleId="BlockText">
    <w:name w:val="Block Text"/>
    <w:basedOn w:val="Normal"/>
    <w:uiPriority w:val="99"/>
    <w:semiHidden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uiPriority w:val="99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link w:val="DateCha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uiPriority w:val="99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rsid w:val="00BA5619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BA56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5619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BA56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5619"/>
    <w:rPr>
      <w:sz w:val="22"/>
      <w:szCs w:val="22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A561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5619"/>
    <w:rPr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BA56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5619"/>
    <w:rPr>
      <w:sz w:val="22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A561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5619"/>
    <w:rPr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BA56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5619"/>
    <w:rPr>
      <w:sz w:val="22"/>
      <w:szCs w:val="22"/>
      <w:lang w:val="en-GB"/>
    </w:rPr>
  </w:style>
  <w:style w:type="paragraph" w:styleId="Closing">
    <w:name w:val="Closing"/>
    <w:basedOn w:val="Normal"/>
    <w:link w:val="ClosingChar"/>
    <w:uiPriority w:val="99"/>
    <w:semiHidden/>
    <w:rsid w:val="00BA561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5619"/>
    <w:rPr>
      <w:sz w:val="22"/>
      <w:szCs w:val="22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BA56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5619"/>
    <w:rPr>
      <w:sz w:val="22"/>
      <w:szCs w:val="22"/>
      <w:lang w:val="en-GB"/>
    </w:rPr>
  </w:style>
  <w:style w:type="character" w:styleId="Emphasis">
    <w:name w:val="Emphasis"/>
    <w:basedOn w:val="DefaultParagraphFont"/>
    <w:uiPriority w:val="99"/>
    <w:qFormat/>
    <w:rsid w:val="00BA5619"/>
    <w:rPr>
      <w:i/>
      <w:iCs/>
    </w:rPr>
  </w:style>
  <w:style w:type="paragraph" w:styleId="EnvelopeAddress">
    <w:name w:val="envelope address"/>
    <w:basedOn w:val="Normal"/>
    <w:uiPriority w:val="99"/>
    <w:semiHidden/>
    <w:rsid w:val="00BA561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semiHidden/>
    <w:rsid w:val="00BA5619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BA561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BA5619"/>
  </w:style>
  <w:style w:type="paragraph" w:styleId="HTMLAddress">
    <w:name w:val="HTML Address"/>
    <w:basedOn w:val="Normal"/>
    <w:link w:val="HTMLAddressChar"/>
    <w:uiPriority w:val="99"/>
    <w:semiHidden/>
    <w:rsid w:val="00BA56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5619"/>
    <w:rPr>
      <w:i/>
      <w:iCs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rsid w:val="00BA5619"/>
    <w:rPr>
      <w:i/>
      <w:iCs/>
    </w:rPr>
  </w:style>
  <w:style w:type="character" w:styleId="HTMLCode">
    <w:name w:val="HTML Code"/>
    <w:basedOn w:val="DefaultParagraphFont"/>
    <w:uiPriority w:val="99"/>
    <w:semiHidden/>
    <w:rsid w:val="00BA561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BA561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BA561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BA561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5619"/>
    <w:rPr>
      <w:rFonts w:ascii="Courier New" w:hAnsi="Courier New" w:cs="Courier New"/>
      <w:szCs w:val="22"/>
      <w:lang w:val="en-GB"/>
    </w:rPr>
  </w:style>
  <w:style w:type="character" w:styleId="HTMLSample">
    <w:name w:val="HTML Sample"/>
    <w:basedOn w:val="DefaultParagraphFont"/>
    <w:uiPriority w:val="99"/>
    <w:semiHidden/>
    <w:rsid w:val="00BA561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BA561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BA5619"/>
    <w:rPr>
      <w:i/>
      <w:iCs/>
    </w:rPr>
  </w:style>
  <w:style w:type="character" w:styleId="Hyperlink">
    <w:name w:val="Hyperlink"/>
    <w:basedOn w:val="DefaultParagraphFont"/>
    <w:uiPriority w:val="99"/>
    <w:semiHidden/>
    <w:rsid w:val="00BA561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BA5619"/>
  </w:style>
  <w:style w:type="paragraph" w:styleId="List">
    <w:name w:val="List"/>
    <w:basedOn w:val="Normal"/>
    <w:uiPriority w:val="99"/>
    <w:semiHidden/>
    <w:rsid w:val="00BA5619"/>
    <w:pPr>
      <w:ind w:left="360" w:hanging="360"/>
    </w:pPr>
  </w:style>
  <w:style w:type="paragraph" w:styleId="List2">
    <w:name w:val="List 2"/>
    <w:basedOn w:val="Normal"/>
    <w:uiPriority w:val="99"/>
    <w:semiHidden/>
    <w:rsid w:val="00BA5619"/>
    <w:pPr>
      <w:ind w:left="720" w:hanging="360"/>
    </w:pPr>
  </w:style>
  <w:style w:type="paragraph" w:styleId="List3">
    <w:name w:val="List 3"/>
    <w:basedOn w:val="Normal"/>
    <w:uiPriority w:val="99"/>
    <w:semiHidden/>
    <w:rsid w:val="00BA5619"/>
    <w:pPr>
      <w:ind w:left="1080" w:hanging="360"/>
    </w:pPr>
  </w:style>
  <w:style w:type="paragraph" w:styleId="List4">
    <w:name w:val="List 4"/>
    <w:basedOn w:val="Normal"/>
    <w:uiPriority w:val="99"/>
    <w:semiHidden/>
    <w:rsid w:val="00BA5619"/>
    <w:pPr>
      <w:ind w:left="1440" w:hanging="360"/>
    </w:pPr>
  </w:style>
  <w:style w:type="paragraph" w:styleId="List5">
    <w:name w:val="List 5"/>
    <w:basedOn w:val="Normal"/>
    <w:uiPriority w:val="99"/>
    <w:semiHidden/>
    <w:rsid w:val="00BA5619"/>
    <w:pPr>
      <w:ind w:left="1800" w:hanging="360"/>
    </w:pPr>
  </w:style>
  <w:style w:type="paragraph" w:styleId="ListBullet">
    <w:name w:val="List Bullet"/>
    <w:basedOn w:val="Normal"/>
    <w:autoRedefine/>
    <w:uiPriority w:val="99"/>
    <w:semiHidden/>
    <w:rsid w:val="00BA561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semiHidden/>
    <w:rsid w:val="00BA561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semiHidden/>
    <w:rsid w:val="00BA561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semiHidden/>
    <w:rsid w:val="00BA561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semiHidden/>
    <w:rsid w:val="00BA561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BA5619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BA5619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BA5619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BA5619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BA5619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BA561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BA561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BA561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semiHidden/>
    <w:rsid w:val="00BA561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semiHidden/>
    <w:rsid w:val="00BA5619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uiPriority w:val="99"/>
    <w:semiHidden/>
    <w:rsid w:val="00BA56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5619"/>
    <w:rPr>
      <w:rFonts w:ascii="Arial" w:hAnsi="Arial" w:cs="Arial"/>
      <w:sz w:val="22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BA5619"/>
    <w:rPr>
      <w:szCs w:val="24"/>
    </w:rPr>
  </w:style>
  <w:style w:type="paragraph" w:styleId="NormalIndent">
    <w:name w:val="Normal Indent"/>
    <w:basedOn w:val="Normal"/>
    <w:uiPriority w:val="99"/>
    <w:semiHidden/>
    <w:rsid w:val="00BA56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A56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5619"/>
    <w:rPr>
      <w:sz w:val="22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A56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5619"/>
    <w:rPr>
      <w:sz w:val="22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BA561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5619"/>
    <w:rPr>
      <w:sz w:val="22"/>
      <w:szCs w:val="22"/>
      <w:lang w:val="en-GB"/>
    </w:rPr>
  </w:style>
  <w:style w:type="character" w:styleId="Strong">
    <w:name w:val="Strong"/>
    <w:basedOn w:val="DefaultParagraphFont"/>
    <w:uiPriority w:val="99"/>
    <w:qFormat/>
    <w:rsid w:val="00BA5619"/>
    <w:rPr>
      <w:b/>
      <w:bCs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BA5619"/>
    <w:rPr>
      <w:sz w:val="22"/>
      <w:szCs w:val="22"/>
      <w:lang w:val="en-GB"/>
    </w:rPr>
  </w:style>
  <w:style w:type="character" w:customStyle="1" w:styleId="Heading3Char3">
    <w:name w:val="Heading 3 Char3"/>
    <w:aliases w:val="Char Char3,Heading 3 Char Char2,Char Char Char2,Heading 3 Char1 Char1,Heading 3 Char Char Char1,Char Char Char Char1,Char Char1 Char1,Heading 3 Char1 Char Char,Heading 3 Char Char Char Char,Char Char Char Char Char,Char Char1 Char Char"/>
    <w:basedOn w:val="DefaultParagraphFont"/>
    <w:link w:val="Heading3"/>
    <w:rsid w:val="00BA5619"/>
    <w:rPr>
      <w:sz w:val="22"/>
      <w:szCs w:val="22"/>
      <w:lang w:val="en-GB"/>
    </w:rPr>
  </w:style>
  <w:style w:type="character" w:customStyle="1" w:styleId="Heading4Char">
    <w:name w:val="Heading 4 Char"/>
    <w:aliases w:val="Heading 11 Char,para 4 Char,Título 41 Char,heading 4 Char,Heading 41 Char"/>
    <w:basedOn w:val="DefaultParagraphFont"/>
    <w:link w:val="Heading4"/>
    <w:rsid w:val="00BA5619"/>
    <w:rPr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BA5619"/>
    <w:rPr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BA5619"/>
    <w:rPr>
      <w:rFonts w:ascii="Arial" w:hAnsi="Arial"/>
      <w:i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BA5619"/>
    <w:rPr>
      <w:rFonts w:ascii="Arial" w:hAnsi="Arial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A5619"/>
    <w:rPr>
      <w:b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BA5619"/>
    <w:rPr>
      <w:rFonts w:ascii="Arial" w:hAnsi="Arial"/>
      <w:i/>
      <w:sz w:val="18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A5619"/>
    <w:rPr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5619"/>
    <w:rPr>
      <w:sz w:val="16"/>
      <w:szCs w:val="16"/>
      <w:lang w:val="en-GB"/>
    </w:rPr>
  </w:style>
  <w:style w:type="character" w:customStyle="1" w:styleId="BodyText2Char1">
    <w:name w:val="Body Text 2 Char1"/>
    <w:basedOn w:val="DefaultParagraphFont"/>
    <w:uiPriority w:val="99"/>
    <w:semiHidden/>
    <w:rsid w:val="00BA5619"/>
    <w:rPr>
      <w:lang w:val="en-GB"/>
    </w:rPr>
  </w:style>
  <w:style w:type="character" w:customStyle="1" w:styleId="BodyText2Char2">
    <w:name w:val="Body Text 2 Char2"/>
    <w:basedOn w:val="DefaultParagraphFont"/>
    <w:uiPriority w:val="99"/>
    <w:semiHidden/>
    <w:rsid w:val="00BA5619"/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5619"/>
    <w:rPr>
      <w:sz w:val="16"/>
      <w:szCs w:val="16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5619"/>
    <w:rPr>
      <w:rFonts w:ascii="Courier New" w:hAnsi="Courier New" w:cs="Courier New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BA5619"/>
    <w:rPr>
      <w:rFonts w:ascii="Arial" w:hAnsi="Arial" w:cs="Arial"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A5619"/>
    <w:rPr>
      <w:rFonts w:ascii="Arial" w:hAnsi="Arial" w:cs="Arial"/>
      <w:b/>
      <w:bCs/>
      <w:kern w:val="28"/>
      <w:sz w:val="22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BA5619"/>
    <w:rPr>
      <w:sz w:val="22"/>
      <w:szCs w:val="22"/>
      <w:lang w:val="en-GB"/>
    </w:rPr>
  </w:style>
  <w:style w:type="paragraph" w:customStyle="1" w:styleId="Heading">
    <w:name w:val="Heading"/>
    <w:basedOn w:val="Header"/>
    <w:next w:val="Header"/>
    <w:rsid w:val="00BA5619"/>
    <w:pPr>
      <w:tabs>
        <w:tab w:val="clear" w:pos="4320"/>
        <w:tab w:val="clear" w:pos="8640"/>
      </w:tabs>
    </w:pPr>
    <w:rPr>
      <w:b/>
      <w:bCs/>
      <w:sz w:val="24"/>
      <w:szCs w:val="24"/>
      <w:u w:val="single"/>
    </w:rPr>
  </w:style>
  <w:style w:type="paragraph" w:customStyle="1" w:styleId="Bullet2">
    <w:name w:val="Bullet 2"/>
    <w:basedOn w:val="Normal"/>
    <w:uiPriority w:val="99"/>
    <w:rsid w:val="00BA561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ind w:left="1440" w:hanging="720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A5619"/>
    <w:pPr>
      <w:ind w:left="720"/>
      <w:contextualSpacing/>
      <w:jc w:val="left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74">
    <w:name w:val="xl74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75">
    <w:name w:val="xl75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76">
    <w:name w:val="xl76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77">
    <w:name w:val="xl77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  <w:lang w:val="en-US"/>
    </w:rPr>
  </w:style>
  <w:style w:type="paragraph" w:customStyle="1" w:styleId="xl78">
    <w:name w:val="xl78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  <w:lang w:val="en-US"/>
    </w:rPr>
  </w:style>
  <w:style w:type="paragraph" w:customStyle="1" w:styleId="xl79">
    <w:name w:val="xl79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80">
    <w:name w:val="xl80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81">
    <w:name w:val="xl81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82">
    <w:name w:val="xl82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83">
    <w:name w:val="xl83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84">
    <w:name w:val="xl84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en-US"/>
    </w:rPr>
  </w:style>
  <w:style w:type="paragraph" w:customStyle="1" w:styleId="xl85">
    <w:name w:val="xl85"/>
    <w:basedOn w:val="Normal"/>
    <w:rsid w:val="00BA5619"/>
    <w:pP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86">
    <w:name w:val="xl86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  <w:lang w:val="en-US"/>
    </w:rPr>
  </w:style>
  <w:style w:type="paragraph" w:customStyle="1" w:styleId="xl87">
    <w:name w:val="xl87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  <w:lang w:val="en-US"/>
    </w:rPr>
  </w:style>
  <w:style w:type="paragraph" w:customStyle="1" w:styleId="xl88">
    <w:name w:val="xl88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  <w:lang w:val="en-US"/>
    </w:rPr>
  </w:style>
  <w:style w:type="paragraph" w:customStyle="1" w:styleId="xl89">
    <w:name w:val="xl89"/>
    <w:basedOn w:val="Normal"/>
    <w:rsid w:val="00BA5619"/>
    <w:pP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90">
    <w:name w:val="xl90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91">
    <w:name w:val="xl91"/>
    <w:basedOn w:val="Normal"/>
    <w:rsid w:val="00BA5619"/>
    <w:pP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92">
    <w:name w:val="xl92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  <w:lang w:val="en-US"/>
    </w:rPr>
  </w:style>
  <w:style w:type="paragraph" w:customStyle="1" w:styleId="xl72">
    <w:name w:val="xl72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CA" w:eastAsia="en-CA"/>
    </w:rPr>
  </w:style>
  <w:style w:type="paragraph" w:customStyle="1" w:styleId="xl70">
    <w:name w:val="xl70"/>
    <w:basedOn w:val="Normal"/>
    <w:rsid w:val="00BA5619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CA" w:eastAsia="en-CA"/>
    </w:rPr>
  </w:style>
  <w:style w:type="paragraph" w:customStyle="1" w:styleId="xl71">
    <w:name w:val="xl71"/>
    <w:basedOn w:val="Normal"/>
    <w:rsid w:val="00BA5619"/>
    <w:pPr>
      <w:spacing w:before="100" w:beforeAutospacing="1" w:after="100" w:afterAutospacing="1"/>
      <w:jc w:val="left"/>
    </w:pPr>
    <w:rPr>
      <w:sz w:val="16"/>
      <w:szCs w:val="16"/>
      <w:lang w:val="en-CA" w:eastAsia="en-CA"/>
    </w:rPr>
  </w:style>
  <w:style w:type="paragraph" w:customStyle="1" w:styleId="xl93">
    <w:name w:val="xl93"/>
    <w:basedOn w:val="Normal"/>
    <w:rsid w:val="00BA5619"/>
    <w:pPr>
      <w:spacing w:before="100" w:beforeAutospacing="1" w:after="100" w:afterAutospacing="1"/>
      <w:jc w:val="left"/>
    </w:pPr>
    <w:rPr>
      <w:b/>
      <w:bCs/>
      <w:sz w:val="24"/>
      <w:szCs w:val="24"/>
      <w:lang w:val="en-CA" w:eastAsia="en-CA"/>
    </w:rPr>
  </w:style>
  <w:style w:type="character" w:styleId="FootnoteReference">
    <w:name w:val="footnote reference"/>
    <w:aliases w:val="Footnote text,16 Point,Superscript 6 Point,Footnote Text1,Footnote Text2"/>
    <w:uiPriority w:val="99"/>
    <w:rsid w:val="00BA5619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FootnoteText">
    <w:name w:val="footnote text"/>
    <w:aliases w:val="Fußnotentextf, Char1, Char1 Char Char,Char1,Char1 Char Char"/>
    <w:basedOn w:val="Normal"/>
    <w:link w:val="FootnoteTextChar"/>
    <w:uiPriority w:val="99"/>
    <w:qFormat/>
    <w:rsid w:val="00BA5619"/>
    <w:pPr>
      <w:spacing w:after="120"/>
      <w:ind w:left="432" w:hanging="432"/>
      <w:jc w:val="left"/>
    </w:pPr>
    <w:rPr>
      <w:sz w:val="20"/>
      <w:szCs w:val="20"/>
      <w:lang w:val="en-US" w:eastAsia="fr-FR"/>
    </w:rPr>
  </w:style>
  <w:style w:type="character" w:customStyle="1" w:styleId="FootnoteTextChar">
    <w:name w:val="Footnote Text Char"/>
    <w:aliases w:val="Fußnotentextf Char, Char1 Char, Char1 Char Char Char,Char1 Char,Char1 Char Char Char"/>
    <w:basedOn w:val="DefaultParagraphFont"/>
    <w:link w:val="FootnoteText"/>
    <w:uiPriority w:val="99"/>
    <w:rsid w:val="00BA5619"/>
    <w:rPr>
      <w:lang w:eastAsia="fr-FR"/>
    </w:rPr>
  </w:style>
  <w:style w:type="paragraph" w:customStyle="1" w:styleId="a--">
    <w:name w:val="a-(-)"/>
    <w:basedOn w:val="Normal"/>
    <w:rsid w:val="00BA561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</w:pPr>
    <w:rPr>
      <w:b/>
      <w:bCs/>
      <w:sz w:val="24"/>
      <w:szCs w:val="24"/>
      <w:lang w:eastAsia="fr-FR"/>
    </w:rPr>
  </w:style>
  <w:style w:type="numbering" w:customStyle="1" w:styleId="NoList1">
    <w:name w:val="No List1"/>
    <w:next w:val="NoList"/>
    <w:uiPriority w:val="99"/>
    <w:semiHidden/>
    <w:unhideWhenUsed/>
    <w:rsid w:val="00BA5619"/>
  </w:style>
  <w:style w:type="paragraph" w:customStyle="1" w:styleId="xl94">
    <w:name w:val="xl94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BA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xl96">
    <w:name w:val="xl96"/>
    <w:basedOn w:val="Normal"/>
    <w:rsid w:val="00BA5619"/>
    <w:pPr>
      <w:spacing w:before="100" w:beforeAutospacing="1" w:after="100" w:afterAutospacing="1"/>
      <w:jc w:val="left"/>
      <w:textAlignment w:val="top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A561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pclient\Downloads\F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683CADC4F284EA5F0B82357B5BF3A" ma:contentTypeVersion="2" ma:contentTypeDescription="Create a new document." ma:contentTypeScope="" ma:versionID="068ecf6b82cce04dbb15b641d5edd95a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ec3297cc96d292a79aedb3c4ee5cf4fc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UNEP/OzL.Pro/ExCom/84/18</Document_x0020_Number>
  </documentManagement>
</p:properties>
</file>

<file path=customXml/itemProps1.xml><?xml version="1.0" encoding="utf-8"?>
<ds:datastoreItem xmlns:ds="http://schemas.openxmlformats.org/officeDocument/2006/customXml" ds:itemID="{9D6A780B-F7D0-4378-8782-9B8F7F0C6725}"/>
</file>

<file path=customXml/itemProps2.xml><?xml version="1.0" encoding="utf-8"?>
<ds:datastoreItem xmlns:ds="http://schemas.openxmlformats.org/officeDocument/2006/customXml" ds:itemID="{19B90384-49E4-4D36-8279-8C8E9836BC76}"/>
</file>

<file path=customXml/itemProps3.xml><?xml version="1.0" encoding="utf-8"?>
<ds:datastoreItem xmlns:ds="http://schemas.openxmlformats.org/officeDocument/2006/customXml" ds:itemID="{B0DDC0C4-A7AE-45C5-A4EE-B43D16777C08}"/>
</file>

<file path=customXml/itemProps4.xml><?xml version="1.0" encoding="utf-8"?>
<ds:datastoreItem xmlns:ds="http://schemas.openxmlformats.org/officeDocument/2006/customXml" ds:itemID="{CF2C9B07-9DBA-4B3A-A342-73C8FC83C8D3}"/>
</file>

<file path=docProps/app.xml><?xml version="1.0" encoding="utf-8"?>
<Properties xmlns="http://schemas.openxmlformats.org/officeDocument/2006/extended-properties" xmlns:vt="http://schemas.openxmlformats.org/officeDocument/2006/docPropsVTypes">
  <Template>F84-Template</Template>
  <TotalTime>37</TotalTime>
  <Pages>13</Pages>
  <Words>3138</Words>
  <Characters>17890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périodique du PNUD au 31 décembre 2018</vt:lpstr>
      <vt:lpstr/>
    </vt:vector>
  </TitlesOfParts>
  <Company>UNMFS</Company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périodique du PNUD au 31 décembre 2018</dc:title>
  <dc:creator>vipclient</dc:creator>
  <cp:lastModifiedBy>HBE</cp:lastModifiedBy>
  <cp:revision>19</cp:revision>
  <cp:lastPrinted>2001-05-26T16:40:00Z</cp:lastPrinted>
  <dcterms:created xsi:type="dcterms:W3CDTF">2019-11-21T22:40:00Z</dcterms:created>
  <dcterms:modified xsi:type="dcterms:W3CDTF">2019-11-27T18:31:00Z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UNEP/OzL.Pro/ExCom/84/18</vt:lpwstr>
  </property>
  <property fmtid="{D5CDD505-2E9C-101B-9397-08002B2CF9AE}" pid="3" name="Revision date">
    <vt:lpwstr>11/19/2019</vt:lpwstr>
  </property>
  <property fmtid="{D5CDD505-2E9C-101B-9397-08002B2CF9AE}" pid="4" name="ContentTypeId">
    <vt:lpwstr>0x010100109683CADC4F284EA5F0B82357B5BF3A</vt:lpwstr>
  </property>
</Properties>
</file>