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7382E" w14:textId="77777777" w:rsidR="00982102" w:rsidRPr="00AF4307" w:rsidRDefault="00264ACF" w:rsidP="00264ACF">
      <w:pPr>
        <w:rPr>
          <w:lang w:val="en-CA"/>
        </w:rPr>
      </w:pPr>
      <w:r w:rsidRPr="00AF4307">
        <w:rPr>
          <w:lang w:val="en-CA"/>
        </w:rPr>
        <w:t xml:space="preserve"> </w:t>
      </w:r>
    </w:p>
    <w:tbl>
      <w:tblPr>
        <w:tblW w:w="10605" w:type="dxa"/>
        <w:tblInd w:w="-432" w:type="dxa"/>
        <w:tblLayout w:type="fixed"/>
        <w:tblLook w:val="0000" w:firstRow="0" w:lastRow="0" w:firstColumn="0" w:lastColumn="0" w:noHBand="0" w:noVBand="0"/>
      </w:tblPr>
      <w:tblGrid>
        <w:gridCol w:w="2070"/>
        <w:gridCol w:w="4991"/>
        <w:gridCol w:w="3544"/>
      </w:tblGrid>
      <w:tr w:rsidR="00982102" w14:paraId="28AC95EB" w14:textId="77777777" w:rsidTr="00FF0035">
        <w:trPr>
          <w:trHeight w:val="720"/>
        </w:trPr>
        <w:tc>
          <w:tcPr>
            <w:tcW w:w="7061" w:type="dxa"/>
            <w:gridSpan w:val="2"/>
            <w:tcBorders>
              <w:bottom w:val="single" w:sz="18" w:space="0" w:color="auto"/>
            </w:tcBorders>
          </w:tcPr>
          <w:p w14:paraId="0EC31F3F" w14:textId="77777777" w:rsidR="00982102" w:rsidRDefault="00982102" w:rsidP="00FF003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6E9261F7" w14:textId="77777777" w:rsidR="00982102" w:rsidRDefault="00982102" w:rsidP="00FF003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00C535C6" w14:textId="77777777" w:rsidR="00982102" w:rsidRDefault="00982102" w:rsidP="00FF0035">
            <w:pPr>
              <w:tabs>
                <w:tab w:val="left" w:pos="3010"/>
              </w:tabs>
              <w:jc w:val="center"/>
              <w:rPr>
                <w:sz w:val="52"/>
                <w:szCs w:val="52"/>
              </w:rPr>
            </w:pPr>
            <w:r>
              <w:rPr>
                <w:rFonts w:ascii="Univers Bold" w:hAnsi="Univers Bold"/>
                <w:b/>
                <w:sz w:val="72"/>
              </w:rPr>
              <w:t xml:space="preserve">          EP</w:t>
            </w:r>
          </w:p>
        </w:tc>
      </w:tr>
      <w:tr w:rsidR="00982102" w14:paraId="792C3A30" w14:textId="77777777" w:rsidTr="00FF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0001990" w14:textId="77777777" w:rsidR="00982102" w:rsidRDefault="00982102" w:rsidP="00FF0035">
            <w:pPr>
              <w:spacing w:before="120"/>
            </w:pPr>
            <w:r>
              <w:rPr>
                <w:noProof/>
                <w:lang w:val="en-CA" w:eastAsia="en-CA"/>
              </w:rPr>
              <w:drawing>
                <wp:anchor distT="0" distB="0" distL="114300" distR="114300" simplePos="0" relativeHeight="251659264" behindDoc="0" locked="0" layoutInCell="1" allowOverlap="1" wp14:anchorId="5505C68B" wp14:editId="599EB223">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0288" behindDoc="1" locked="0" layoutInCell="0" allowOverlap="1" wp14:anchorId="3824DB48" wp14:editId="78FD289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1EE16957" w14:textId="77777777" w:rsidR="00982102" w:rsidRDefault="00982102" w:rsidP="00FF003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4892FD65" w14:textId="77777777" w:rsidR="00982102" w:rsidRDefault="00982102" w:rsidP="00FF003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Pr>
                <w:rFonts w:ascii="Univers" w:hAnsi="Univers"/>
                <w:b/>
                <w:sz w:val="32"/>
              </w:rPr>
              <w:t>Programme des</w:t>
            </w:r>
          </w:p>
          <w:p w14:paraId="4A0FDFF3" w14:textId="77777777" w:rsidR="00982102" w:rsidRDefault="00982102" w:rsidP="00FF0035">
            <w:pPr>
              <w:rPr>
                <w:rFonts w:ascii="Univers" w:hAnsi="Univers"/>
                <w:b/>
                <w:sz w:val="32"/>
              </w:rPr>
            </w:pPr>
            <w:r>
              <w:rPr>
                <w:rFonts w:ascii="Univers" w:hAnsi="Univers"/>
                <w:b/>
                <w:sz w:val="32"/>
              </w:rPr>
              <w:t>Nations Unies pour</w:t>
            </w:r>
          </w:p>
          <w:p w14:paraId="5E0F3DC0" w14:textId="77777777" w:rsidR="00982102" w:rsidRDefault="00982102" w:rsidP="00FF0035">
            <w:pPr>
              <w:rPr>
                <w:rFonts w:ascii="Univers" w:hAnsi="Univers"/>
                <w:b/>
                <w:sz w:val="32"/>
              </w:rPr>
            </w:pPr>
            <w:r>
              <w:rPr>
                <w:rFonts w:ascii="Univers" w:hAnsi="Univers"/>
                <w:b/>
                <w:sz w:val="32"/>
              </w:rPr>
              <w:t>l’environnement</w:t>
            </w:r>
          </w:p>
          <w:p w14:paraId="09C0CBBD" w14:textId="77777777" w:rsidR="00982102" w:rsidRDefault="00982102" w:rsidP="00FF0035">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4454D518" w14:textId="77777777" w:rsidR="00982102" w:rsidRDefault="00982102" w:rsidP="00FF0035">
            <w:pPr>
              <w:rPr>
                <w:lang w:val="fr-FR"/>
              </w:rPr>
            </w:pPr>
          </w:p>
          <w:p w14:paraId="057FE5D8" w14:textId="77777777" w:rsidR="00982102" w:rsidRPr="001E6DC0" w:rsidRDefault="00982102" w:rsidP="00FF0035">
            <w:pPr>
              <w:rPr>
                <w:lang w:val="fr-FR"/>
              </w:rPr>
            </w:pPr>
            <w:proofErr w:type="spellStart"/>
            <w:r w:rsidRPr="001E6DC0">
              <w:rPr>
                <w:lang w:val="fr-FR"/>
              </w:rPr>
              <w:t>Distr</w:t>
            </w:r>
            <w:proofErr w:type="spellEnd"/>
            <w:r w:rsidRPr="001E6DC0">
              <w:rPr>
                <w:lang w:val="fr-FR"/>
              </w:rPr>
              <w:t>.</w:t>
            </w:r>
          </w:p>
          <w:p w14:paraId="16A14712" w14:textId="77777777" w:rsidR="00982102" w:rsidRPr="00A90ADE" w:rsidRDefault="00982102" w:rsidP="00FF0035">
            <w:r w:rsidRPr="00A90ADE">
              <w:t>GÉNÉRALE</w:t>
            </w:r>
          </w:p>
          <w:p w14:paraId="44302879" w14:textId="77777777" w:rsidR="00982102" w:rsidRPr="00A90ADE" w:rsidRDefault="00982102" w:rsidP="00FF0035"/>
          <w:p w14:paraId="068D86DF" w14:textId="43E698D1" w:rsidR="00982102" w:rsidRPr="00183241" w:rsidRDefault="00982102" w:rsidP="00FF0035">
            <w:pPr>
              <w:rPr>
                <w:lang w:val="fr-FR"/>
              </w:rPr>
            </w:pPr>
            <w:r>
              <w:fldChar w:fldCharType="begin"/>
            </w:r>
            <w:r w:rsidRPr="00183241">
              <w:rPr>
                <w:lang w:val="fr-FR"/>
              </w:rPr>
              <w:instrText xml:space="preserve"> DOCPROPERTY "Document number"  \* MERGEFORMAT </w:instrText>
            </w:r>
            <w:r>
              <w:fldChar w:fldCharType="separate"/>
            </w:r>
            <w:r w:rsidR="00E941CC">
              <w:rPr>
                <w:lang w:val="fr-FR"/>
              </w:rPr>
              <w:t>UNEP/</w:t>
            </w:r>
            <w:proofErr w:type="spellStart"/>
            <w:r w:rsidR="00E941CC">
              <w:rPr>
                <w:lang w:val="fr-FR"/>
              </w:rPr>
              <w:t>OzL.Pro</w:t>
            </w:r>
            <w:proofErr w:type="spellEnd"/>
            <w:r w:rsidR="00E941CC">
              <w:rPr>
                <w:lang w:val="fr-FR"/>
              </w:rPr>
              <w:t>/</w:t>
            </w:r>
            <w:proofErr w:type="spellStart"/>
            <w:r w:rsidR="00E941CC">
              <w:rPr>
                <w:lang w:val="fr-FR"/>
              </w:rPr>
              <w:t>ExCom</w:t>
            </w:r>
            <w:proofErr w:type="spellEnd"/>
            <w:r w:rsidR="00E941CC">
              <w:rPr>
                <w:lang w:val="fr-FR"/>
              </w:rPr>
              <w:t>/84/13</w:t>
            </w:r>
            <w:r>
              <w:fldChar w:fldCharType="end"/>
            </w:r>
          </w:p>
          <w:p w14:paraId="7E7BD57A" w14:textId="6827AF4D" w:rsidR="00982102" w:rsidRPr="000905F7" w:rsidRDefault="00982102" w:rsidP="00FF0035">
            <w:pPr>
              <w:rPr>
                <w:lang w:val="fr-FR"/>
              </w:rPr>
            </w:pPr>
            <w:r>
              <w:fldChar w:fldCharType="begin"/>
            </w:r>
            <w:r w:rsidRPr="000905F7">
              <w:rPr>
                <w:lang w:val="fr-FR"/>
              </w:rPr>
              <w:instrText xml:space="preserve"> DOCPROPERTY "Revision date" \@ "d MMMM YYYY"  \* MERGEFORMAT </w:instrText>
            </w:r>
            <w:r>
              <w:fldChar w:fldCharType="separate"/>
            </w:r>
            <w:r w:rsidR="00E941CC">
              <w:rPr>
                <w:lang w:val="fr-FR"/>
              </w:rPr>
              <w:t>26 novembre 2019</w:t>
            </w:r>
            <w:r>
              <w:fldChar w:fldCharType="end"/>
            </w:r>
          </w:p>
          <w:p w14:paraId="6FB9998F" w14:textId="77777777" w:rsidR="00982102" w:rsidRDefault="00982102" w:rsidP="00FF0035">
            <w:pPr>
              <w:rPr>
                <w:caps/>
                <w:lang w:val="fr-FR"/>
              </w:rPr>
            </w:pPr>
            <w:r w:rsidRPr="000905F7">
              <w:rPr>
                <w:caps/>
                <w:lang w:val="fr-FR"/>
              </w:rPr>
              <w:br/>
            </w:r>
            <w:r>
              <w:rPr>
                <w:caps/>
                <w:lang w:val="fr-FR"/>
              </w:rPr>
              <w:t>FRANÇAIS</w:t>
            </w:r>
          </w:p>
          <w:p w14:paraId="3E45070C" w14:textId="77777777" w:rsidR="00982102" w:rsidRDefault="00982102" w:rsidP="00FF0035">
            <w:r>
              <w:t>ORIGINAL : ANGLAIS</w:t>
            </w:r>
          </w:p>
        </w:tc>
      </w:tr>
    </w:tbl>
    <w:p w14:paraId="30C133AE" w14:textId="77777777" w:rsidR="00982102" w:rsidRDefault="00982102" w:rsidP="00982102">
      <w:pPr>
        <w:jc w:val="left"/>
      </w:pPr>
    </w:p>
    <w:p w14:paraId="7EE877F1" w14:textId="77777777" w:rsidR="00982102" w:rsidRDefault="00982102" w:rsidP="00982102">
      <w:pPr>
        <w:jc w:val="left"/>
      </w:pPr>
      <w:r>
        <w:t xml:space="preserve">COMITE EXECUTIF </w:t>
      </w:r>
      <w:r>
        <w:br/>
        <w:t xml:space="preserve">  DU FONDS MULTILATERAL AUX FINS </w:t>
      </w:r>
      <w:r>
        <w:br/>
        <w:t xml:space="preserve">  D’APPLICATION DU PROTOCOLE DE MONTREAL</w:t>
      </w:r>
      <w:r>
        <w:br/>
        <w:t>Quatre-vingt-quatrième</w:t>
      </w:r>
      <w:r w:rsidRPr="00FC5578">
        <w:t xml:space="preserve"> </w:t>
      </w:r>
      <w:r>
        <w:t>réunion</w:t>
      </w:r>
    </w:p>
    <w:p w14:paraId="374E61AC" w14:textId="77777777" w:rsidR="00982102" w:rsidRDefault="00982102" w:rsidP="00982102">
      <w:pPr>
        <w:jc w:val="left"/>
      </w:pPr>
      <w:r>
        <w:t>Montr</w:t>
      </w:r>
      <w:r w:rsidRPr="008071A4">
        <w:t>é</w:t>
      </w:r>
      <w:r>
        <w:t>al, 16 – 20 décembre 2019</w:t>
      </w:r>
    </w:p>
    <w:p w14:paraId="023245CD" w14:textId="1883E3B1" w:rsidR="00F90B06" w:rsidRPr="00595C8F" w:rsidRDefault="00F90B06" w:rsidP="00595C8F">
      <w:pPr>
        <w:spacing w:after="240" w:line="360" w:lineRule="auto"/>
        <w:rPr>
          <w:caps/>
          <w:lang w:val="fr-FR"/>
        </w:rPr>
      </w:pPr>
    </w:p>
    <w:p w14:paraId="5ED729E2" w14:textId="36333836" w:rsidR="00F90B06" w:rsidRPr="00923843" w:rsidRDefault="00F90B06" w:rsidP="0033282B">
      <w:pPr>
        <w:spacing w:after="240"/>
        <w:jc w:val="center"/>
        <w:rPr>
          <w:b/>
          <w:caps/>
        </w:rPr>
      </w:pPr>
      <w:r>
        <w:rPr>
          <w:b/>
          <w:caps/>
        </w:rPr>
        <w:t>MANDAT DE L’ÉTUDE THÉORIQUE SUR L’ÉVALUATION DES RÉSEAUX RÉGIONAUX D’ADMINISTRATEURS DES BUREAUX NATIONAUX DE L’OZONE</w:t>
      </w:r>
    </w:p>
    <w:p w14:paraId="6C976883" w14:textId="77777777" w:rsidR="0033282B" w:rsidRDefault="0033282B" w:rsidP="0033282B">
      <w:pPr>
        <w:spacing w:after="240"/>
        <w:jc w:val="left"/>
        <w:rPr>
          <w:b/>
        </w:rPr>
      </w:pPr>
    </w:p>
    <w:p w14:paraId="7F6EBB82" w14:textId="57B5980F" w:rsidR="00F90B06" w:rsidRPr="00923843" w:rsidRDefault="00F90B06" w:rsidP="0033282B">
      <w:pPr>
        <w:spacing w:after="240"/>
        <w:jc w:val="left"/>
        <w:rPr>
          <w:b/>
        </w:rPr>
      </w:pPr>
      <w:r>
        <w:rPr>
          <w:b/>
        </w:rPr>
        <w:t>Contexte</w:t>
      </w:r>
    </w:p>
    <w:p w14:paraId="561C6675" w14:textId="3A2A1FEE"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Lors de sa 82</w:t>
      </w:r>
      <w:r>
        <w:rPr>
          <w:sz w:val="22"/>
          <w:szCs w:val="22"/>
          <w:vertAlign w:val="superscript"/>
        </w:rPr>
        <w:t>e</w:t>
      </w:r>
      <w:r>
        <w:rPr>
          <w:sz w:val="22"/>
          <w:szCs w:val="22"/>
        </w:rPr>
        <w:t xml:space="preserve"> réunion, le Comité exécutif a demandé à l’administrateur principal, </w:t>
      </w:r>
      <w:r w:rsidR="002E2850">
        <w:rPr>
          <w:sz w:val="22"/>
          <w:szCs w:val="22"/>
        </w:rPr>
        <w:t>S</w:t>
      </w:r>
      <w:r>
        <w:rPr>
          <w:sz w:val="22"/>
          <w:szCs w:val="22"/>
        </w:rPr>
        <w:t>urveillance et évaluation de préparer le mandat pour l’étude théorique sur l’évaluation des réseaux régionaux d’administrateurs des bureaux nationaux de l’ozone pour le présenter à la 84</w:t>
      </w:r>
      <w:r>
        <w:rPr>
          <w:sz w:val="22"/>
          <w:szCs w:val="22"/>
          <w:vertAlign w:val="superscript"/>
        </w:rPr>
        <w:t>e</w:t>
      </w:r>
      <w:r>
        <w:rPr>
          <w:sz w:val="22"/>
          <w:szCs w:val="22"/>
        </w:rPr>
        <w:t xml:space="preserve"> réunion (décision 82/10).</w:t>
      </w:r>
    </w:p>
    <w:p w14:paraId="1A9376A4" w14:textId="00570A03"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Les réseaux sont des mécanismes d’accroissement de la capacité qui encouragent l’échange d’informations, d’expérience et du savoir-faire nécessaires pour respecter les engagements du Protocole de Montréal, rapporter les données, fixer et exécuter les politiques, adopter des technologies et gérer efficacement les unités nationales de l’ozone (UNO). </w:t>
      </w:r>
    </w:p>
    <w:p w14:paraId="263B26C7" w14:textId="1269DD4A"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L’objectif des réseaux est de fournir aux administrateurs des bureaux régionaux des mises à jour régulières et une orientation sur la conformité avec le Protocole de Montréal et dans la mise en œuvre des activités d’élimination qui contribuent à respecter et à maintenir la conformité avec le Protocole de Montréal.</w:t>
      </w:r>
    </w:p>
    <w:p w14:paraId="464B78C9" w14:textId="238623D2"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Le réseau joue le rôle d’un forum pour la communication continue entre les administrateurs des bureaux nationaux de l’ozone, les pays non visés par l’Article 5, le Fonds et les Secrétariats de l’ozone, ainsi que les agences bilatérales et d’exécution. Des réunions annuelles sont prévues et des ateliers thématiques sont organisés régulièrement afin de discuter notamment d’informations techniques, scientifiques et politiques. Cela permet aux administrateurs des bureaux nationaux de l’ozone de partager des connaissances, de former une coopération et d’accroître leur expertise et leur capacité. </w:t>
      </w:r>
    </w:p>
    <w:p w14:paraId="190D6D8D" w14:textId="77777777" w:rsidR="00574EEC" w:rsidRDefault="00F90B06" w:rsidP="0033282B">
      <w:pPr>
        <w:pStyle w:val="ListParagraph"/>
        <w:numPr>
          <w:ilvl w:val="0"/>
          <w:numId w:val="41"/>
        </w:numPr>
        <w:spacing w:after="240"/>
        <w:ind w:left="0" w:firstLine="0"/>
        <w:contextualSpacing w:val="0"/>
        <w:jc w:val="both"/>
        <w:rPr>
          <w:sz w:val="22"/>
          <w:szCs w:val="22"/>
        </w:rPr>
      </w:pPr>
      <w:r>
        <w:rPr>
          <w:sz w:val="22"/>
          <w:szCs w:val="22"/>
        </w:rPr>
        <w:lastRenderedPageBreak/>
        <w:t>Le premier réseau a été créé en 1993 pour la région de l’Asie du Sud-Est avec le soutien de l’Agence suédoise de coopération au développement international (ASDI). Entre 1994 et 2008, huit autres réseaux ont été créés.</w:t>
      </w:r>
      <w:r w:rsidRPr="00923843">
        <w:rPr>
          <w:sz w:val="22"/>
          <w:szCs w:val="22"/>
          <w:vertAlign w:val="superscript"/>
        </w:rPr>
        <w:footnoteReference w:id="2"/>
      </w:r>
      <w:r>
        <w:rPr>
          <w:sz w:val="22"/>
          <w:szCs w:val="22"/>
        </w:rPr>
        <w:t xml:space="preserve"> Il existe aujourd’hui neuf réseaux régionaux qui opèrent dans cinq régions, et 147 pays visés par l’Article 5 y participent. </w:t>
      </w:r>
    </w:p>
    <w:p w14:paraId="48AD1989" w14:textId="186AFF31" w:rsidR="00F90B06" w:rsidRPr="00574EEC" w:rsidRDefault="00923843" w:rsidP="0033282B">
      <w:pPr>
        <w:pStyle w:val="ListParagraph"/>
        <w:numPr>
          <w:ilvl w:val="0"/>
          <w:numId w:val="41"/>
        </w:numPr>
        <w:spacing w:after="240"/>
        <w:ind w:left="0" w:firstLine="0"/>
        <w:contextualSpacing w:val="0"/>
        <w:jc w:val="both"/>
        <w:rPr>
          <w:sz w:val="22"/>
          <w:szCs w:val="22"/>
        </w:rPr>
      </w:pPr>
      <w:r>
        <w:rPr>
          <w:sz w:val="22"/>
          <w:szCs w:val="22"/>
        </w:rPr>
        <w:t>Les réseaux ont été évalués deux fois par le passé : en 1994, une évaluation a été réalisée pour le projet du PNUE et de l’ASDI qui a créé le premier réseau régional en Asie du Sud-Est. L’objectif de l’évaluation était de fournir au PNUE et à l’ASDI de « l’aide dans les décisions concernant le financement futur et la structure du projet en Asie du Sud-Est et des leçons pour la mise en application et le développement des projets de réseaux similaires dans d’autres régions. »</w:t>
      </w:r>
      <w:r w:rsidR="00FA2D53" w:rsidRPr="00923843">
        <w:rPr>
          <w:rStyle w:val="FootnoteReference"/>
          <w:sz w:val="22"/>
          <w:szCs w:val="22"/>
        </w:rPr>
        <w:footnoteReference w:id="3"/>
      </w:r>
      <w:r>
        <w:rPr>
          <w:sz w:val="22"/>
          <w:szCs w:val="22"/>
        </w:rPr>
        <w:t xml:space="preserve"> L’évaluation concluait que le réseau jouait un rôle important dans la sensibilisation sur le Protocole de Montréal et sur son rôle au sein d’un groupe clé de responsables gouvernementaux; elle a aidé à définir les priorités d’élimination, elle a facilité le transfert de technologie et a engendré un esprit de coopération dans la région. Une question a été soulevée concernant la capacité de financement du réseau pour devenir autonome. L’évaluation recommandait de répliquer le concept du réseau dans d’autres régions. </w:t>
      </w:r>
    </w:p>
    <w:p w14:paraId="33B98A9E" w14:textId="144C07C5"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Le rapport final de la deuxième évaluation des réseaux régionaux a été présenté à la 33</w:t>
      </w:r>
      <w:r>
        <w:rPr>
          <w:sz w:val="22"/>
          <w:szCs w:val="22"/>
          <w:vertAlign w:val="superscript"/>
        </w:rPr>
        <w:t>e</w:t>
      </w:r>
      <w:r>
        <w:rPr>
          <w:sz w:val="22"/>
          <w:szCs w:val="22"/>
        </w:rPr>
        <w:t> réunion (mars 2001)</w:t>
      </w:r>
      <w:r w:rsidR="00464D82">
        <w:rPr>
          <w:sz w:val="22"/>
          <w:szCs w:val="22"/>
        </w:rPr>
        <w:t>,</w:t>
      </w:r>
      <w:r w:rsidR="00E5432A">
        <w:rPr>
          <w:rStyle w:val="FootnoteReference"/>
          <w:sz w:val="22"/>
          <w:szCs w:val="22"/>
        </w:rPr>
        <w:footnoteReference w:id="4"/>
      </w:r>
      <w:r w:rsidR="00464D82">
        <w:rPr>
          <w:sz w:val="22"/>
          <w:szCs w:val="22"/>
        </w:rPr>
        <w:t xml:space="preserve"> i</w:t>
      </w:r>
      <w:r>
        <w:rPr>
          <w:sz w:val="22"/>
          <w:szCs w:val="22"/>
        </w:rPr>
        <w:t>l évaluait le fonctionnement et l’organisation de huit réseaux et émettait des recommandations d’améliorations. Les conclusions montraient que les réseaux fournissaient aux administrateurs des possibilités de connaître les décisions du Comité exécutif et de la réunion des parties, d’échanger des expériences et d’augmenter leur niveau de connaissances associées aux derniers développements des substituts technologiques. Les réunions du réseau offraient un forum pour nouer des contacts personnels et en apprendre sur les succès et les échecs afin d’éviter les embûches. D’un autre côté, les programmes des réunions étaient souvent surchargés, le temps alloué aux présentations n’était pas toujours adéquat et la participation aux réunions était irrégulière.</w:t>
      </w:r>
    </w:p>
    <w:p w14:paraId="70078DD0" w14:textId="77777777" w:rsidR="00F90B06" w:rsidRPr="00923843" w:rsidRDefault="00F90B06" w:rsidP="0033282B">
      <w:pPr>
        <w:pStyle w:val="ListParagraph"/>
        <w:spacing w:after="240"/>
        <w:ind w:left="0"/>
        <w:contextualSpacing w:val="0"/>
        <w:rPr>
          <w:b/>
          <w:sz w:val="22"/>
          <w:szCs w:val="22"/>
        </w:rPr>
      </w:pPr>
      <w:r>
        <w:rPr>
          <w:b/>
          <w:sz w:val="22"/>
          <w:szCs w:val="22"/>
        </w:rPr>
        <w:t>Objectifs de l’étude théorique</w:t>
      </w:r>
    </w:p>
    <w:p w14:paraId="6CD84A2A" w14:textId="5C3F5BB9" w:rsidR="00F90B06" w:rsidRPr="00923843" w:rsidRDefault="000840B0" w:rsidP="0033282B">
      <w:pPr>
        <w:pStyle w:val="ListParagraph"/>
        <w:numPr>
          <w:ilvl w:val="0"/>
          <w:numId w:val="41"/>
        </w:numPr>
        <w:spacing w:after="240"/>
        <w:ind w:left="0" w:firstLine="0"/>
        <w:contextualSpacing w:val="0"/>
        <w:jc w:val="both"/>
        <w:rPr>
          <w:sz w:val="22"/>
          <w:szCs w:val="22"/>
        </w:rPr>
      </w:pPr>
      <w:r>
        <w:rPr>
          <w:sz w:val="22"/>
          <w:szCs w:val="22"/>
        </w:rPr>
        <w:t xml:space="preserve">En prenant note que l’évaluation précédente des réseaux régionaux a été menée en 2001, l’étude théorique évaluera de quelle manière le rôle des réseaux a évolué dans la mise en œuvre du Protocole de Montréal et elle évaluera si les recommandations faites lors de l’évaluation précédente ont été réalisées. Elle analysera la pertinence des réseaux régionaux dans la mise en œuvre des exigences du Protocole de Montréal à l’échelle régionale et des pays en tenant compte de l’organisation, de la participation, du choix du sujet de discussion et de l’influence sur les processus de prise de décision ainsi que les changements nécessaires pour adapter les réseaux aux nouveaux défis du Protocole de Montréal. </w:t>
      </w:r>
    </w:p>
    <w:p w14:paraId="40A212C9" w14:textId="77777777"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L’étude théorique essaiera de répondre aux questions d’évaluation suivantes :</w:t>
      </w:r>
    </w:p>
    <w:p w14:paraId="5D10F503" w14:textId="77777777" w:rsidR="00923843" w:rsidRDefault="00F90B06" w:rsidP="0033282B">
      <w:pPr>
        <w:spacing w:after="240"/>
        <w:rPr>
          <w:color w:val="000000"/>
          <w:u w:val="single"/>
        </w:rPr>
      </w:pPr>
      <w:r>
        <w:rPr>
          <w:u w:val="single"/>
        </w:rPr>
        <w:t>Planification et organisation</w:t>
      </w:r>
      <w:r>
        <w:rPr>
          <w:color w:val="000000"/>
          <w:u w:val="single"/>
        </w:rPr>
        <w:t xml:space="preserve"> </w:t>
      </w:r>
    </w:p>
    <w:p w14:paraId="24B787A8" w14:textId="5FEF748C" w:rsidR="00F90B06" w:rsidRPr="00923843" w:rsidRDefault="00EE7E1D" w:rsidP="0033282B">
      <w:pPr>
        <w:pStyle w:val="ListParagraph"/>
        <w:numPr>
          <w:ilvl w:val="0"/>
          <w:numId w:val="41"/>
        </w:numPr>
        <w:spacing w:after="240"/>
        <w:ind w:left="0" w:firstLine="0"/>
        <w:contextualSpacing w:val="0"/>
        <w:jc w:val="both"/>
        <w:rPr>
          <w:color w:val="000000"/>
          <w:sz w:val="22"/>
          <w:szCs w:val="22"/>
        </w:rPr>
      </w:pPr>
      <w:r>
        <w:rPr>
          <w:sz w:val="22"/>
          <w:szCs w:val="22"/>
        </w:rPr>
        <w:t>Quelles</w:t>
      </w:r>
      <w:r>
        <w:rPr>
          <w:color w:val="000000"/>
          <w:sz w:val="22"/>
          <w:szCs w:val="22"/>
        </w:rPr>
        <w:t xml:space="preserve"> sont les leçons et les bonnes pratiques tirées des réunions régionales et comment peuvent-elles être utilisées pour améliorer leur fonctionnement? </w:t>
      </w:r>
    </w:p>
    <w:p w14:paraId="2FDBFB51" w14:textId="194903FD"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Y a-t-il eu des changement</w:t>
      </w:r>
      <w:r w:rsidR="00AF4307">
        <w:rPr>
          <w:sz w:val="22"/>
          <w:szCs w:val="22"/>
        </w:rPr>
        <w:t>s</w:t>
      </w:r>
      <w:r>
        <w:rPr>
          <w:sz w:val="22"/>
          <w:szCs w:val="22"/>
        </w:rPr>
        <w:t xml:space="preserve"> dans l’organisation des réunions au fil du temps? Quels type</w:t>
      </w:r>
      <w:r w:rsidR="00AF4307">
        <w:rPr>
          <w:sz w:val="22"/>
          <w:szCs w:val="22"/>
        </w:rPr>
        <w:t>s</w:t>
      </w:r>
      <w:r>
        <w:rPr>
          <w:sz w:val="22"/>
          <w:szCs w:val="22"/>
        </w:rPr>
        <w:t xml:space="preserve"> de changements ont été apportés et quels étaient les objectifs? Ces objectifs ont-ils été atteints?</w:t>
      </w:r>
    </w:p>
    <w:p w14:paraId="1FCE5D3C" w14:textId="4B12476B" w:rsidR="00142520" w:rsidRPr="00923843" w:rsidRDefault="00142520" w:rsidP="0033282B">
      <w:pPr>
        <w:pStyle w:val="ListParagraph"/>
        <w:numPr>
          <w:ilvl w:val="0"/>
          <w:numId w:val="41"/>
        </w:numPr>
        <w:spacing w:after="240"/>
        <w:ind w:left="0" w:firstLine="0"/>
        <w:contextualSpacing w:val="0"/>
        <w:jc w:val="both"/>
        <w:rPr>
          <w:sz w:val="22"/>
          <w:szCs w:val="22"/>
        </w:rPr>
      </w:pPr>
      <w:r>
        <w:rPr>
          <w:sz w:val="22"/>
          <w:szCs w:val="22"/>
        </w:rPr>
        <w:t xml:space="preserve">La participation des administrateurs aux réunions était-elle régulière? La participation s’est-elle améliorée au fil du temps? Y a-t-il eu un roulement dans la participation des administrateurs d’une réunion </w:t>
      </w:r>
      <w:r>
        <w:rPr>
          <w:sz w:val="22"/>
          <w:szCs w:val="22"/>
        </w:rPr>
        <w:lastRenderedPageBreak/>
        <w:t>à l’autre? Comment les connaissances et le savoir-faire des réunions ont-ils été maintenus et transmis (p. ex., comment a été élaborée la mémoire institutionnelle des réunions)?</w:t>
      </w:r>
    </w:p>
    <w:p w14:paraId="2545309D" w14:textId="0D198534"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Les objectifs et les sujets d’une réunion font-ils l’objet d’une discussion et d’une entente préalables avec les administrateurs avant la réunion? Quel est le processus de sélection des sujets pour les discussions qui seront tenues (p. ex., sont-ils suggérés lors de la réunion précédente, les administrateurs sont-ils contactés au préalable)? Le temps imparti pour la présentation des sujets est-il adéquat?</w:t>
      </w:r>
    </w:p>
    <w:p w14:paraId="6A66B6DF" w14:textId="4D11EF17"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Comment les participants se préparent-ils avant une réunion? Les documents sont-ils fournis à l’avance aux administrateurs (p. ex., disponibles sur le site d’</w:t>
      </w:r>
      <w:proofErr w:type="spellStart"/>
      <w:r>
        <w:rPr>
          <w:sz w:val="22"/>
          <w:szCs w:val="22"/>
        </w:rPr>
        <w:t>OzonAction</w:t>
      </w:r>
      <w:proofErr w:type="spellEnd"/>
      <w:r>
        <w:rPr>
          <w:sz w:val="22"/>
          <w:szCs w:val="22"/>
        </w:rPr>
        <w:t>)? Y a-t-il un forum en ligne (p. ex., chaîne de courriels, page de réseau social, site Web) où peuvent être tenues des discussions entre les réunions régionales sur des enjeux qui concernent l’organisation et la suggestion de sujets précis?</w:t>
      </w:r>
    </w:p>
    <w:p w14:paraId="01827FED" w14:textId="589E1552"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Des facilitateurs sont-ils identifiés pour présider ou faciliter les discussions? Comment sont-ils choisis? </w:t>
      </w:r>
    </w:p>
    <w:p w14:paraId="3E3EC83F" w14:textId="6E78F503" w:rsidR="0010509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Comment l’impact des réseaux est-il évalué? Y a-t-il un suivi des résultats atteints par les discussions tenues durant les réunions? Les résultats de ces discussions sont-ils présentés à la réunion suivante, puis les réussites et les échecs, analysés? </w:t>
      </w:r>
    </w:p>
    <w:p w14:paraId="6D8D999D" w14:textId="212AC15A"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Les réunions du réseau sont-elles tenues de manière consécutive à d’autres réunions connexes sur l’environnement (p. ex., réunions avec les ministères de l’Environnement) afin d’effectuer une sensibilisation politique concernant les problèmes d’ozone dans la région et pour encourager les discussions de politiques sur les approches régionales?</w:t>
      </w:r>
    </w:p>
    <w:p w14:paraId="6C4B1407" w14:textId="25FE3630" w:rsidR="00F90B06" w:rsidRPr="00923843" w:rsidRDefault="00F90B06" w:rsidP="0033282B">
      <w:pPr>
        <w:keepNext/>
        <w:keepLines/>
        <w:spacing w:after="240"/>
        <w:jc w:val="left"/>
        <w:rPr>
          <w:u w:val="single"/>
        </w:rPr>
      </w:pPr>
      <w:r>
        <w:rPr>
          <w:u w:val="single"/>
        </w:rPr>
        <w:t>Accroissement de la capacité</w:t>
      </w:r>
    </w:p>
    <w:p w14:paraId="174C3207" w14:textId="126F5415"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Quelles activités d’accroissement de la capacité sont réalisées pour améliorer la performance des UNO? Les nouveaux administrateurs sont-ils accompagnés par ceux qui ont plus d’expérience? Est-ce que les coordinateurs régionaux de réseau visitent les UNO? Si oui, est-ce fréquent?</w:t>
      </w:r>
    </w:p>
    <w:p w14:paraId="6127F628" w14:textId="3D62C9A3"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Les réseaux régionaux offrent-ils du soutien en matière de formation et d’échange d’expertise et de savoir-faire, notamment dans des domaines comme : la législation, les systèmes de permis d’importation/exportation, des incitatifs fiscaux, le travail avec le secteur informel et les petites entreprises, le développement technologique, le contrôle du commerce illégal, ainsi que les projets de récupération et de recyclage?</w:t>
      </w:r>
    </w:p>
    <w:p w14:paraId="551B3E89" w14:textId="29646D5E" w:rsidR="00F90B06" w:rsidRPr="00923843" w:rsidRDefault="00F90B06" w:rsidP="00E941CC">
      <w:pPr>
        <w:pStyle w:val="ListParagraph"/>
        <w:numPr>
          <w:ilvl w:val="0"/>
          <w:numId w:val="41"/>
        </w:numPr>
        <w:spacing w:after="240"/>
        <w:ind w:left="0" w:firstLine="0"/>
        <w:contextualSpacing w:val="0"/>
        <w:jc w:val="both"/>
        <w:rPr>
          <w:sz w:val="22"/>
          <w:szCs w:val="22"/>
        </w:rPr>
      </w:pPr>
      <w:r>
        <w:rPr>
          <w:sz w:val="22"/>
          <w:szCs w:val="22"/>
        </w:rPr>
        <w:t>Est-ce que des personnes</w:t>
      </w:r>
      <w:r w:rsidR="0060092C">
        <w:rPr>
          <w:sz w:val="22"/>
          <w:szCs w:val="22"/>
        </w:rPr>
        <w:t>-</w:t>
      </w:r>
      <w:r>
        <w:rPr>
          <w:sz w:val="22"/>
          <w:szCs w:val="22"/>
        </w:rPr>
        <w:t>ressources, par exemple</w:t>
      </w:r>
      <w:r w:rsidR="00E941CC">
        <w:rPr>
          <w:sz w:val="22"/>
          <w:szCs w:val="22"/>
        </w:rPr>
        <w:t>, entre autres,</w:t>
      </w:r>
      <w:bookmarkStart w:id="0" w:name="_GoBack"/>
      <w:bookmarkEnd w:id="0"/>
      <w:r>
        <w:rPr>
          <w:sz w:val="22"/>
          <w:szCs w:val="22"/>
        </w:rPr>
        <w:t xml:space="preserve"> des agents des douanes, des conseillers juridiques et des représentants d’une association de l’industrie, sont invitées aux </w:t>
      </w:r>
      <w:proofErr w:type="gramStart"/>
      <w:r>
        <w:rPr>
          <w:sz w:val="22"/>
          <w:szCs w:val="22"/>
        </w:rPr>
        <w:t>réunions?</w:t>
      </w:r>
      <w:proofErr w:type="gramEnd"/>
    </w:p>
    <w:p w14:paraId="113AFE17" w14:textId="1BEDA684"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Y a-t-il des échanges de coordonnées et d’information entre les différents réseaux organisés? Les administrateurs qui ont de l’expérience sont-ils invités dans d’autres réunions régionales pour partager leurs connaissances? La surveillance et les rapports des UNO sur la consommation et la production de substances contrôlées</w:t>
      </w:r>
      <w:r w:rsidR="00AF4307">
        <w:rPr>
          <w:sz w:val="22"/>
          <w:szCs w:val="22"/>
        </w:rPr>
        <w:t xml:space="preserve"> adressés </w:t>
      </w:r>
      <w:r>
        <w:rPr>
          <w:sz w:val="22"/>
          <w:szCs w:val="22"/>
        </w:rPr>
        <w:t>au Secrétariat de l’ozone et au Secrétariat du Fonds ont-ils été abordés lors des réunions? Y a-t-il eu des signes d’amélioration par la suite?</w:t>
      </w:r>
    </w:p>
    <w:p w14:paraId="2EF060D0" w14:textId="57A78B09" w:rsidR="0074681B" w:rsidRDefault="004F3C35" w:rsidP="0033282B">
      <w:pPr>
        <w:pStyle w:val="ListParagraph"/>
        <w:numPr>
          <w:ilvl w:val="0"/>
          <w:numId w:val="41"/>
        </w:numPr>
        <w:spacing w:after="240"/>
        <w:ind w:left="0" w:firstLine="0"/>
        <w:contextualSpacing w:val="0"/>
        <w:jc w:val="both"/>
        <w:rPr>
          <w:sz w:val="22"/>
          <w:szCs w:val="22"/>
        </w:rPr>
      </w:pPr>
      <w:r>
        <w:rPr>
          <w:sz w:val="22"/>
          <w:szCs w:val="22"/>
        </w:rPr>
        <w:t>Les participants étaient-ils capables d’influencer les processus de prise de décision à l’échelle régionale ou de leur pays? Ces décisions étaient-elles formulées lors des réunions?</w:t>
      </w:r>
    </w:p>
    <w:p w14:paraId="6DFAA98E" w14:textId="743FB46A" w:rsidR="00F90B06" w:rsidRPr="0074681B" w:rsidRDefault="00232150" w:rsidP="0033282B">
      <w:pPr>
        <w:pStyle w:val="ListParagraph"/>
        <w:numPr>
          <w:ilvl w:val="0"/>
          <w:numId w:val="41"/>
        </w:numPr>
        <w:spacing w:after="240"/>
        <w:ind w:left="0" w:firstLine="0"/>
        <w:contextualSpacing w:val="0"/>
        <w:jc w:val="both"/>
        <w:rPr>
          <w:sz w:val="22"/>
          <w:szCs w:val="22"/>
        </w:rPr>
      </w:pPr>
      <w:r>
        <w:rPr>
          <w:sz w:val="22"/>
          <w:szCs w:val="22"/>
        </w:rPr>
        <w:t>Quelles activités démontrent que les réunions du réseau régional sont des plateformes efficaces pour transmettre des décisions émanant du Comité exécutif et de la réunion</w:t>
      </w:r>
      <w:r>
        <w:rPr>
          <w:color w:val="000000"/>
          <w:sz w:val="22"/>
          <w:szCs w:val="22"/>
        </w:rPr>
        <w:t xml:space="preserve"> des parties? Comment peut-on améliorer cela?</w:t>
      </w:r>
    </w:p>
    <w:p w14:paraId="64B917B6" w14:textId="77777777" w:rsidR="00E941CC" w:rsidRDefault="00E941CC">
      <w:pPr>
        <w:jc w:val="left"/>
        <w:rPr>
          <w:color w:val="000000"/>
          <w:u w:val="single"/>
        </w:rPr>
      </w:pPr>
      <w:r>
        <w:rPr>
          <w:color w:val="000000"/>
          <w:u w:val="single"/>
        </w:rPr>
        <w:br w:type="page"/>
      </w:r>
    </w:p>
    <w:p w14:paraId="44479E7A" w14:textId="66945CCD" w:rsidR="00F90B06" w:rsidRPr="00923843" w:rsidRDefault="00F90B06" w:rsidP="0033282B">
      <w:pPr>
        <w:spacing w:after="240"/>
        <w:rPr>
          <w:color w:val="000000"/>
          <w:u w:val="single"/>
        </w:rPr>
      </w:pPr>
      <w:r>
        <w:rPr>
          <w:color w:val="000000"/>
          <w:u w:val="single"/>
        </w:rPr>
        <w:lastRenderedPageBreak/>
        <w:t>Coordination avec les agences bilatérales et d’exécution</w:t>
      </w:r>
    </w:p>
    <w:p w14:paraId="0A978BC2" w14:textId="33560A89" w:rsidR="00F90B06" w:rsidRPr="0074681B"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Comment les réseaux régionaux contribuent-ils aux activités des agences bilatérales et d’exécution, au Secrétariat du Fonds et au Secrétariat de l’ozone? Les réunions de réseau aident-elles à traiter les problèmes de coordination et de communication entre les agences bilatérales et d’exécution et les UNO? </w:t>
      </w:r>
    </w:p>
    <w:p w14:paraId="4CFAA053" w14:textId="2135D036" w:rsidR="002D2C5B" w:rsidRPr="0074681B" w:rsidRDefault="002D2C5B" w:rsidP="0033282B">
      <w:pPr>
        <w:pStyle w:val="ListParagraph"/>
        <w:numPr>
          <w:ilvl w:val="0"/>
          <w:numId w:val="41"/>
        </w:numPr>
        <w:spacing w:after="240"/>
        <w:ind w:left="0" w:firstLine="0"/>
        <w:contextualSpacing w:val="0"/>
        <w:jc w:val="both"/>
        <w:rPr>
          <w:sz w:val="22"/>
          <w:szCs w:val="22"/>
        </w:rPr>
      </w:pPr>
      <w:r>
        <w:rPr>
          <w:sz w:val="22"/>
          <w:szCs w:val="22"/>
        </w:rPr>
        <w:t xml:space="preserve">Quelle est l’importance de la participation des agences bilatérales et d’exécution aux réunions? Quel était leur rôle dans les discussions, le brassage d’idées concernant les problèmes et les projets? Quel est le rôle du PNUE </w:t>
      </w:r>
      <w:r w:rsidR="00AF4307">
        <w:rPr>
          <w:sz w:val="22"/>
          <w:szCs w:val="22"/>
        </w:rPr>
        <w:t>pour favoriser</w:t>
      </w:r>
      <w:r>
        <w:rPr>
          <w:sz w:val="22"/>
          <w:szCs w:val="22"/>
        </w:rPr>
        <w:t xml:space="preserve"> la coopération entre les participants et les agences d’exécution? Les pays non visés par l’Article 5 sont-ils invités à participer aux réunions (autres que les agences bilatérales)?</w:t>
      </w:r>
    </w:p>
    <w:p w14:paraId="21B7F1A3" w14:textId="386EB8D4" w:rsidR="004F3C35" w:rsidRPr="00923843" w:rsidRDefault="004F3C35" w:rsidP="0033282B">
      <w:pPr>
        <w:pStyle w:val="ListParagraph"/>
        <w:numPr>
          <w:ilvl w:val="0"/>
          <w:numId w:val="41"/>
        </w:numPr>
        <w:spacing w:after="240"/>
        <w:ind w:left="0" w:firstLine="0"/>
        <w:contextualSpacing w:val="0"/>
        <w:jc w:val="both"/>
        <w:rPr>
          <w:sz w:val="22"/>
          <w:szCs w:val="22"/>
        </w:rPr>
      </w:pPr>
      <w:r>
        <w:rPr>
          <w:sz w:val="22"/>
          <w:szCs w:val="22"/>
        </w:rPr>
        <w:t xml:space="preserve">De quelle manière les réunions contribuent-elles à renforcer la coopération régionale entre les pays (p. ex., aborder les problèmes fréquents)? Des activités conjointes sont-elles organisées conséquemment aux discussions tenues lors des réunions? </w:t>
      </w:r>
    </w:p>
    <w:p w14:paraId="72D9585B" w14:textId="54E5F1B7" w:rsidR="00F90B06" w:rsidRPr="00923843" w:rsidRDefault="00F90B06" w:rsidP="0033282B">
      <w:pPr>
        <w:keepNext/>
        <w:keepLines/>
        <w:spacing w:after="240"/>
        <w:rPr>
          <w:color w:val="000000"/>
          <w:u w:val="single"/>
        </w:rPr>
      </w:pPr>
      <w:r>
        <w:rPr>
          <w:color w:val="000000"/>
          <w:u w:val="single"/>
        </w:rPr>
        <w:t xml:space="preserve">Nouveaux défis </w:t>
      </w:r>
    </w:p>
    <w:p w14:paraId="7E05645C" w14:textId="758C4FC9" w:rsidR="004F3C35" w:rsidRPr="004436CB"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De quelle manière les rôles des réseaux régionaux changeront-ils à la lumière de la nouvelle orientation apportée par l’Amendement de Kigali? Quels types de modifications sont nécessaires pour renforcer les réseaux régionaux et pour soutenir leurs activités? Quelles sont les leçons et les bonnes pratiques tirées des réunions régionales et comment peuvent-elles être utilisées pour améliorer leur fonctionnement? </w:t>
      </w:r>
    </w:p>
    <w:p w14:paraId="319CF636" w14:textId="669B1DA3"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Quel rôle jouent les réseaux dans la durabilité des réalisations du Protocole de Montréal?</w:t>
      </w:r>
    </w:p>
    <w:p w14:paraId="6D9E38C0" w14:textId="38F74802"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Quel rôle jouent les réseaux dans l’intégration des enjeux de genre au Protocole de Montréal?</w:t>
      </w:r>
    </w:p>
    <w:p w14:paraId="69F4145C" w14:textId="77777777" w:rsidR="00F90B06" w:rsidRPr="00923843" w:rsidRDefault="00F90B06" w:rsidP="0033282B">
      <w:pPr>
        <w:keepNext/>
        <w:keepLines/>
        <w:spacing w:after="240"/>
        <w:jc w:val="left"/>
        <w:rPr>
          <w:b/>
        </w:rPr>
      </w:pPr>
      <w:r>
        <w:rPr>
          <w:b/>
        </w:rPr>
        <w:t>Méthodologie</w:t>
      </w:r>
    </w:p>
    <w:p w14:paraId="53BDFBF1" w14:textId="0F342A0A"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Un consultant ou une consultante sera recruté pour préparer l’étude théorique. Il ou elle analysera les documents existants relatifs notamment aux réseaux régionaux, les rapports des réunions du réseau et les documents du Comité exécutif. Un questionnaire pourrait être préparé et envoyé aux coordinateurs de réseau régional et aux administrateurs des bureaux nationaux de l’ozone. Des discussions auront lieu avec les employés du PNUE, du Secrétariat et d’autres parties prenantes pertinentes. </w:t>
      </w:r>
    </w:p>
    <w:p w14:paraId="3A772352" w14:textId="3BBF6DDA" w:rsidR="00F90B06" w:rsidRPr="00923843" w:rsidRDefault="00F90B06" w:rsidP="0033282B">
      <w:pPr>
        <w:pStyle w:val="ListParagraph"/>
        <w:numPr>
          <w:ilvl w:val="0"/>
          <w:numId w:val="41"/>
        </w:numPr>
        <w:spacing w:after="240"/>
        <w:ind w:left="0" w:firstLine="0"/>
        <w:contextualSpacing w:val="0"/>
        <w:jc w:val="both"/>
        <w:rPr>
          <w:sz w:val="22"/>
          <w:szCs w:val="22"/>
        </w:rPr>
      </w:pPr>
      <w:r>
        <w:rPr>
          <w:sz w:val="22"/>
          <w:szCs w:val="22"/>
        </w:rPr>
        <w:t xml:space="preserve">L’ébauche du rapport sera partagée avec le Secrétariat, les agences bilatérales et d’exécution et les UNO pour obtenir des commentaires. Au besoin, une deuxième partie incluant la participation à des réunions régionales sera suggérée, selon les conclusions de l’étude théorique. </w:t>
      </w:r>
    </w:p>
    <w:p w14:paraId="0792C14E" w14:textId="77777777" w:rsidR="00F90B06" w:rsidRPr="00923843" w:rsidRDefault="00F90B06" w:rsidP="0033282B">
      <w:pPr>
        <w:pStyle w:val="ListParagraph"/>
        <w:keepNext/>
        <w:keepLines/>
        <w:spacing w:after="240"/>
        <w:ind w:left="0"/>
        <w:contextualSpacing w:val="0"/>
        <w:jc w:val="both"/>
        <w:rPr>
          <w:b/>
          <w:sz w:val="22"/>
          <w:szCs w:val="22"/>
        </w:rPr>
      </w:pPr>
      <w:r>
        <w:rPr>
          <w:b/>
          <w:sz w:val="22"/>
          <w:szCs w:val="22"/>
        </w:rPr>
        <w:t>Recommandation</w:t>
      </w:r>
    </w:p>
    <w:p w14:paraId="240E8FE0" w14:textId="6839CB71" w:rsidR="00F90B06" w:rsidRDefault="00F90B06" w:rsidP="0033282B">
      <w:pPr>
        <w:pStyle w:val="ListParagraph"/>
        <w:numPr>
          <w:ilvl w:val="0"/>
          <w:numId w:val="41"/>
        </w:numPr>
        <w:spacing w:after="240"/>
        <w:ind w:left="0" w:firstLine="0"/>
        <w:contextualSpacing w:val="0"/>
        <w:jc w:val="both"/>
        <w:rPr>
          <w:sz w:val="22"/>
          <w:szCs w:val="22"/>
        </w:rPr>
      </w:pPr>
      <w:r>
        <w:rPr>
          <w:sz w:val="22"/>
          <w:szCs w:val="22"/>
        </w:rPr>
        <w:t>Le Comité exécutif pourrait envisager d’approuver le mandat de l’étude théorique sur l’évaluation des réseaux régionaux d’administrateurs des bureaux nationaux de l’</w:t>
      </w:r>
      <w:r w:rsidR="008B667C">
        <w:rPr>
          <w:sz w:val="22"/>
          <w:szCs w:val="22"/>
        </w:rPr>
        <w:t>ozone, contenu dans le document </w:t>
      </w:r>
      <w:r>
        <w:rPr>
          <w:sz w:val="22"/>
          <w:szCs w:val="22"/>
        </w:rPr>
        <w:t>UNEP/</w:t>
      </w:r>
      <w:proofErr w:type="spellStart"/>
      <w:r>
        <w:rPr>
          <w:sz w:val="22"/>
          <w:szCs w:val="22"/>
        </w:rPr>
        <w:t>OzL.Pro</w:t>
      </w:r>
      <w:proofErr w:type="spellEnd"/>
      <w:r>
        <w:rPr>
          <w:sz w:val="22"/>
          <w:szCs w:val="22"/>
        </w:rPr>
        <w:t>/</w:t>
      </w:r>
      <w:proofErr w:type="spellStart"/>
      <w:r>
        <w:rPr>
          <w:sz w:val="22"/>
          <w:szCs w:val="22"/>
        </w:rPr>
        <w:t>ExCom</w:t>
      </w:r>
      <w:proofErr w:type="spellEnd"/>
      <w:r>
        <w:rPr>
          <w:sz w:val="22"/>
          <w:szCs w:val="22"/>
        </w:rPr>
        <w:t>/84/13.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893"/>
        <w:gridCol w:w="1893"/>
        <w:gridCol w:w="1893"/>
        <w:gridCol w:w="1787"/>
      </w:tblGrid>
      <w:tr w:rsidR="00F90B06" w:rsidRPr="006879BF" w14:paraId="49417B9B" w14:textId="77777777" w:rsidTr="00E941CC">
        <w:tc>
          <w:tcPr>
            <w:tcW w:w="1786" w:type="dxa"/>
          </w:tcPr>
          <w:p w14:paraId="5DB2433D" w14:textId="77777777" w:rsidR="00F90B06" w:rsidRPr="006879BF" w:rsidRDefault="00F90B06" w:rsidP="005D1149">
            <w:pPr>
              <w:spacing w:line="360" w:lineRule="auto"/>
              <w:jc w:val="left"/>
              <w:rPr>
                <w:sz w:val="24"/>
                <w:szCs w:val="24"/>
              </w:rPr>
            </w:pPr>
          </w:p>
        </w:tc>
        <w:tc>
          <w:tcPr>
            <w:tcW w:w="1893" w:type="dxa"/>
          </w:tcPr>
          <w:p w14:paraId="1ACA6436" w14:textId="77777777" w:rsidR="00F90B06" w:rsidRPr="006879BF" w:rsidRDefault="00F90B06" w:rsidP="005D1149">
            <w:pPr>
              <w:spacing w:line="360" w:lineRule="auto"/>
              <w:jc w:val="left"/>
              <w:rPr>
                <w:sz w:val="24"/>
                <w:szCs w:val="24"/>
              </w:rPr>
            </w:pPr>
          </w:p>
        </w:tc>
        <w:tc>
          <w:tcPr>
            <w:tcW w:w="1893" w:type="dxa"/>
            <w:tcBorders>
              <w:bottom w:val="single" w:sz="4" w:space="0" w:color="auto"/>
            </w:tcBorders>
          </w:tcPr>
          <w:p w14:paraId="6173386B" w14:textId="77777777" w:rsidR="00F90B06" w:rsidRPr="006879BF" w:rsidRDefault="00F90B06" w:rsidP="005D1149">
            <w:pPr>
              <w:spacing w:line="360" w:lineRule="auto"/>
              <w:jc w:val="left"/>
              <w:rPr>
                <w:sz w:val="24"/>
                <w:szCs w:val="24"/>
              </w:rPr>
            </w:pPr>
          </w:p>
        </w:tc>
        <w:tc>
          <w:tcPr>
            <w:tcW w:w="1893" w:type="dxa"/>
          </w:tcPr>
          <w:p w14:paraId="1C4841AE" w14:textId="77777777" w:rsidR="00F90B06" w:rsidRPr="006879BF" w:rsidRDefault="00F90B06" w:rsidP="005D1149">
            <w:pPr>
              <w:spacing w:line="360" w:lineRule="auto"/>
              <w:jc w:val="left"/>
              <w:rPr>
                <w:sz w:val="24"/>
                <w:szCs w:val="24"/>
              </w:rPr>
            </w:pPr>
          </w:p>
        </w:tc>
        <w:tc>
          <w:tcPr>
            <w:tcW w:w="1787" w:type="dxa"/>
          </w:tcPr>
          <w:p w14:paraId="1B0C7DC4" w14:textId="77777777" w:rsidR="00F90B06" w:rsidRPr="006879BF" w:rsidRDefault="00F90B06" w:rsidP="005D1149">
            <w:pPr>
              <w:spacing w:line="360" w:lineRule="auto"/>
              <w:jc w:val="left"/>
              <w:rPr>
                <w:sz w:val="24"/>
                <w:szCs w:val="24"/>
              </w:rPr>
            </w:pPr>
          </w:p>
        </w:tc>
      </w:tr>
    </w:tbl>
    <w:p w14:paraId="0E57EE0F" w14:textId="77777777" w:rsidR="00F90B06" w:rsidRPr="001C3C80" w:rsidRDefault="00F90B06" w:rsidP="001C3C80">
      <w:pPr>
        <w:tabs>
          <w:tab w:val="left" w:pos="8280"/>
        </w:tabs>
      </w:pPr>
    </w:p>
    <w:sectPr w:rsidR="00F90B06" w:rsidRPr="001C3C80" w:rsidSect="006A5C1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B69E" w14:textId="77777777" w:rsidR="00882DF5" w:rsidRDefault="00882DF5" w:rsidP="004A504B">
      <w:r>
        <w:separator/>
      </w:r>
    </w:p>
  </w:endnote>
  <w:endnote w:type="continuationSeparator" w:id="0">
    <w:p w14:paraId="318100E3" w14:textId="77777777" w:rsidR="00882DF5" w:rsidRDefault="00882DF5" w:rsidP="004A504B">
      <w:r>
        <w:continuationSeparator/>
      </w:r>
    </w:p>
  </w:endnote>
  <w:endnote w:type="continuationNotice" w:id="1">
    <w:p w14:paraId="0900832B" w14:textId="77777777" w:rsidR="00882DF5" w:rsidRDefault="00882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4B0A" w14:textId="28467F91" w:rsidR="00BB3308" w:rsidRDefault="00BB3308" w:rsidP="0028569D">
    <w:pPr>
      <w:pStyle w:val="Footer"/>
      <w:jc w:val="center"/>
    </w:pPr>
    <w:r>
      <w:rPr>
        <w:rStyle w:val="PageNumber"/>
      </w:rPr>
      <w:fldChar w:fldCharType="begin"/>
    </w:r>
    <w:r>
      <w:rPr>
        <w:rStyle w:val="PageNumber"/>
      </w:rPr>
      <w:instrText xml:space="preserve"> PAGE </w:instrText>
    </w:r>
    <w:r>
      <w:rPr>
        <w:rStyle w:val="PageNumber"/>
      </w:rPr>
      <w:fldChar w:fldCharType="separate"/>
    </w:r>
    <w:r w:rsidR="00E941C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48CA" w14:textId="676E7ED2" w:rsidR="00BB3308" w:rsidRDefault="00BB3308" w:rsidP="0028569D">
    <w:pPr>
      <w:pStyle w:val="Footer"/>
      <w:jc w:val="center"/>
    </w:pPr>
    <w:r>
      <w:rPr>
        <w:rStyle w:val="PageNumber"/>
      </w:rPr>
      <w:fldChar w:fldCharType="begin"/>
    </w:r>
    <w:r>
      <w:rPr>
        <w:rStyle w:val="PageNumber"/>
      </w:rPr>
      <w:instrText xml:space="preserve"> PAGE </w:instrText>
    </w:r>
    <w:r>
      <w:rPr>
        <w:rStyle w:val="PageNumber"/>
      </w:rPr>
      <w:fldChar w:fldCharType="separate"/>
    </w:r>
    <w:r w:rsidR="00E941C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3493" w14:textId="77777777" w:rsidR="00982102" w:rsidRDefault="00BB3308" w:rsidP="00982102">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w:t>
    </w:r>
    <w:r w:rsidR="00982102">
      <w:rPr>
        <w:sz w:val="18"/>
        <w:szCs w:val="18"/>
      </w:rPr>
      <w:t>s d’application du Protocole de</w:t>
    </w:r>
  </w:p>
  <w:p w14:paraId="0295D78F" w14:textId="2AEFC4F1" w:rsidR="00BB3308" w:rsidRDefault="00BB3308" w:rsidP="00982102">
    <w:pPr>
      <w:pBdr>
        <w:top w:val="single" w:sz="4" w:space="1" w:color="auto"/>
        <w:left w:val="single" w:sz="4" w:space="4" w:color="auto"/>
        <w:bottom w:val="single" w:sz="4" w:space="1" w:color="auto"/>
        <w:right w:val="single" w:sz="4" w:space="4" w:color="auto"/>
      </w:pBdr>
      <w:jc w:val="center"/>
      <w:rPr>
        <w:sz w:val="18"/>
        <w:szCs w:val="18"/>
      </w:rPr>
    </w:pPr>
    <w:r>
      <w:rPr>
        <w:sz w:val="18"/>
        <w:szCs w:val="18"/>
      </w:rPr>
      <w:t>Montréal sont présentés sous réserve des décisions pouvant être prises par le Comité exécutif après leur publication.</w:t>
    </w:r>
  </w:p>
  <w:p w14:paraId="1622DD02" w14:textId="77777777" w:rsidR="00BB3308" w:rsidRPr="006A5C1F" w:rsidRDefault="00BB3308" w:rsidP="006A5C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0F22" w14:textId="77777777" w:rsidR="00882DF5" w:rsidRDefault="00882DF5" w:rsidP="004A504B">
      <w:r>
        <w:separator/>
      </w:r>
    </w:p>
  </w:footnote>
  <w:footnote w:type="continuationSeparator" w:id="0">
    <w:p w14:paraId="2146D971" w14:textId="77777777" w:rsidR="00882DF5" w:rsidRDefault="00882DF5" w:rsidP="004A504B">
      <w:r>
        <w:continuationSeparator/>
      </w:r>
    </w:p>
  </w:footnote>
  <w:footnote w:type="continuationNotice" w:id="1">
    <w:p w14:paraId="3183FF2E" w14:textId="77777777" w:rsidR="00882DF5" w:rsidRDefault="00882DF5"/>
  </w:footnote>
  <w:footnote w:id="2">
    <w:p w14:paraId="702FB402" w14:textId="28815B65" w:rsidR="00BB3308" w:rsidRPr="00981292" w:rsidRDefault="00BB3308" w:rsidP="00F90B06">
      <w:pPr>
        <w:pStyle w:val="FootnoteText"/>
        <w:rPr>
          <w:sz w:val="18"/>
        </w:rPr>
      </w:pPr>
      <w:r>
        <w:rPr>
          <w:rStyle w:val="FootnoteReference"/>
          <w:sz w:val="18"/>
        </w:rPr>
        <w:footnoteRef/>
      </w:r>
      <w:r>
        <w:rPr>
          <w:sz w:val="18"/>
        </w:rPr>
        <w:t xml:space="preserve"> </w:t>
      </w:r>
      <w:r>
        <w:t>Afrique anglophone (1994); Afrique francophone (1994); Mexique et Amérique centrale (1994); Amérique du Sud (1994); Caraïbe (1994); Asie occidentale (1996); Asie du Sud (1997); Europe et Asie centrale (2003); Pays insulaires du Pacifique (2008).</w:t>
      </w:r>
    </w:p>
  </w:footnote>
  <w:footnote w:id="3">
    <w:p w14:paraId="139D0B96" w14:textId="0C0FD883" w:rsidR="00923843" w:rsidRPr="001C163D" w:rsidRDefault="00BB3308">
      <w:pPr>
        <w:pStyle w:val="FootnoteText"/>
      </w:pPr>
      <w:r>
        <w:rPr>
          <w:rStyle w:val="FootnoteReference"/>
        </w:rPr>
        <w:footnoteRef/>
      </w:r>
      <w:r>
        <w:t xml:space="preserve"> UNEP/</w:t>
      </w:r>
      <w:proofErr w:type="spellStart"/>
      <w:r>
        <w:t>OzL.Pro</w:t>
      </w:r>
      <w:proofErr w:type="spellEnd"/>
      <w:r>
        <w:t>/</w:t>
      </w:r>
      <w:proofErr w:type="spellStart"/>
      <w:r>
        <w:t>ExCom</w:t>
      </w:r>
      <w:proofErr w:type="spellEnd"/>
      <w:r>
        <w:t>/30/8</w:t>
      </w:r>
    </w:p>
  </w:footnote>
  <w:footnote w:id="4">
    <w:p w14:paraId="2FC021E3" w14:textId="11C4BF22" w:rsidR="00E5432A" w:rsidRPr="00E5432A" w:rsidRDefault="00E5432A">
      <w:pPr>
        <w:pStyle w:val="FootnoteText"/>
      </w:pPr>
      <w:r>
        <w:rPr>
          <w:rStyle w:val="FootnoteReference"/>
        </w:rPr>
        <w:footnoteRef/>
      </w:r>
      <w:r>
        <w:t xml:space="preserve"> UNEP/</w:t>
      </w:r>
      <w:proofErr w:type="spellStart"/>
      <w:r>
        <w:t>OzL.Pro</w:t>
      </w:r>
      <w:proofErr w:type="spellEnd"/>
      <w:r>
        <w:t>/</w:t>
      </w:r>
      <w:proofErr w:type="spellStart"/>
      <w:r>
        <w:t>ExCom</w:t>
      </w:r>
      <w:proofErr w:type="spellEnd"/>
      <w:r>
        <w:t>/33/7 et Corr.1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464F" w14:textId="7A8F1B61" w:rsidR="00BB3308" w:rsidRDefault="00EA2D32">
    <w:pPr>
      <w:pStyle w:val="Header"/>
    </w:pPr>
    <w:r>
      <w:fldChar w:fldCharType="begin"/>
    </w:r>
    <w:r>
      <w:instrText xml:space="preserve"> DOCPROPERTY "Document number"  \* MERGEFORMAT </w:instrText>
    </w:r>
    <w:r>
      <w:fldChar w:fldCharType="separate"/>
    </w:r>
    <w:r w:rsidR="00372D0E">
      <w:t>UNEP/</w:t>
    </w:r>
    <w:proofErr w:type="spellStart"/>
    <w:r w:rsidR="00372D0E">
      <w:t>OzL.Pro</w:t>
    </w:r>
    <w:proofErr w:type="spellEnd"/>
    <w:r w:rsidR="00372D0E">
      <w:t>/</w:t>
    </w:r>
    <w:proofErr w:type="spellStart"/>
    <w:r w:rsidR="00372D0E">
      <w:t>ExCom</w:t>
    </w:r>
    <w:proofErr w:type="spellEnd"/>
    <w:r w:rsidR="00372D0E">
      <w:t>/84/13</w:t>
    </w:r>
    <w:r>
      <w:fldChar w:fldCharType="end"/>
    </w:r>
  </w:p>
  <w:p w14:paraId="3D8FBE9A" w14:textId="77777777" w:rsidR="00BB3308" w:rsidRDefault="00BB3308">
    <w:pPr>
      <w:pStyle w:val="Header"/>
    </w:pPr>
  </w:p>
  <w:p w14:paraId="4E8FEE50" w14:textId="77777777" w:rsidR="00BB3308" w:rsidRDefault="00BB33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7324" w14:textId="0EA630E9" w:rsidR="00BB3308" w:rsidRDefault="00EA2D32" w:rsidP="0028569D">
    <w:pPr>
      <w:pStyle w:val="Header"/>
      <w:jc w:val="right"/>
    </w:pPr>
    <w:r>
      <w:fldChar w:fldCharType="begin"/>
    </w:r>
    <w:r>
      <w:instrText xml:space="preserve"> DOCPROPERTY "Document number"  \* MERGEFORMAT </w:instrText>
    </w:r>
    <w:r>
      <w:fldChar w:fldCharType="separate"/>
    </w:r>
    <w:r w:rsidR="00372D0E">
      <w:t>UNEP/</w:t>
    </w:r>
    <w:proofErr w:type="spellStart"/>
    <w:r w:rsidR="00372D0E">
      <w:t>OzL.Pro</w:t>
    </w:r>
    <w:proofErr w:type="spellEnd"/>
    <w:r w:rsidR="00372D0E">
      <w:t>/</w:t>
    </w:r>
    <w:proofErr w:type="spellStart"/>
    <w:r w:rsidR="00372D0E">
      <w:t>ExCom</w:t>
    </w:r>
    <w:proofErr w:type="spellEnd"/>
    <w:r w:rsidR="00372D0E">
      <w:t>/84/13</w:t>
    </w:r>
    <w:r>
      <w:fldChar w:fldCharType="end"/>
    </w:r>
  </w:p>
  <w:p w14:paraId="0D481046" w14:textId="77777777" w:rsidR="00BB3308" w:rsidRDefault="00BB3308" w:rsidP="0028569D">
    <w:pPr>
      <w:pStyle w:val="Header"/>
      <w:jc w:val="right"/>
    </w:pPr>
  </w:p>
  <w:p w14:paraId="20A51118" w14:textId="77777777" w:rsidR="00BB3308" w:rsidRDefault="00BB3308" w:rsidP="0028569D">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EC98" w14:textId="77777777" w:rsidR="00BB3308" w:rsidRDefault="00BB3308" w:rsidP="006A5C1F">
    <w:pPr>
      <w:pStyle w:val="Header"/>
      <w:jc w:val="right"/>
    </w:pPr>
  </w:p>
  <w:p w14:paraId="4BF9A67D" w14:textId="77777777" w:rsidR="00BB3308" w:rsidRDefault="00BB3308">
    <w:pPr>
      <w:pStyle w:val="Header"/>
    </w:pPr>
  </w:p>
  <w:p w14:paraId="778D7A04" w14:textId="77777777" w:rsidR="00BB3308" w:rsidRDefault="00BB33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D44131A"/>
    <w:lvl w:ilvl="0">
      <w:start w:val="1"/>
      <w:numFmt w:val="decimal"/>
      <w:pStyle w:val="Heading1"/>
      <w:lvlText w:val="%1."/>
      <w:lvlJc w:val="left"/>
      <w:pPr>
        <w:tabs>
          <w:tab w:val="num" w:pos="0"/>
        </w:tabs>
        <w:ind w:left="0" w:firstLine="0"/>
      </w:pPr>
      <w:rPr>
        <w:b w:val="0"/>
        <w:color w:val="auto"/>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B34F0A"/>
    <w:multiLevelType w:val="hybridMultilevel"/>
    <w:tmpl w:val="6F6A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E6D3F"/>
    <w:multiLevelType w:val="hybridMultilevel"/>
    <w:tmpl w:val="1BECB3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5CD28D5"/>
    <w:multiLevelType w:val="hybridMultilevel"/>
    <w:tmpl w:val="64801782"/>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DC2D38"/>
    <w:multiLevelType w:val="multilevel"/>
    <w:tmpl w:val="E4F88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08416E"/>
    <w:multiLevelType w:val="hybridMultilevel"/>
    <w:tmpl w:val="E39C8D5C"/>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6A6190"/>
    <w:multiLevelType w:val="hybridMultilevel"/>
    <w:tmpl w:val="024A4708"/>
    <w:lvl w:ilvl="0" w:tplc="10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9012E3"/>
    <w:multiLevelType w:val="hybridMultilevel"/>
    <w:tmpl w:val="A320761E"/>
    <w:lvl w:ilvl="0" w:tplc="AC1E84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5784AA1"/>
    <w:multiLevelType w:val="hybridMultilevel"/>
    <w:tmpl w:val="A1DAA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0B7447"/>
    <w:multiLevelType w:val="hybridMultilevel"/>
    <w:tmpl w:val="82FE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20"/>
  </w:num>
  <w:num w:numId="19">
    <w:abstractNumId w:val="26"/>
  </w:num>
  <w:num w:numId="20">
    <w:abstractNumId w:val="15"/>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5"/>
  </w:num>
  <w:num w:numId="42">
    <w:abstractNumId w:val="18"/>
  </w:num>
  <w:num w:numId="43">
    <w:abstractNumId w:val="16"/>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B1BF0"/>
    <w:rsid w:val="00000FED"/>
    <w:rsid w:val="0000434E"/>
    <w:rsid w:val="0000685A"/>
    <w:rsid w:val="000110F7"/>
    <w:rsid w:val="000119D3"/>
    <w:rsid w:val="00013938"/>
    <w:rsid w:val="00013D15"/>
    <w:rsid w:val="00014AA9"/>
    <w:rsid w:val="00017C3F"/>
    <w:rsid w:val="000211A9"/>
    <w:rsid w:val="0002251D"/>
    <w:rsid w:val="00022BF9"/>
    <w:rsid w:val="00027178"/>
    <w:rsid w:val="00031260"/>
    <w:rsid w:val="000333BA"/>
    <w:rsid w:val="0003681A"/>
    <w:rsid w:val="00037F68"/>
    <w:rsid w:val="00040755"/>
    <w:rsid w:val="0004387D"/>
    <w:rsid w:val="00050EC6"/>
    <w:rsid w:val="00052C5C"/>
    <w:rsid w:val="00056BC9"/>
    <w:rsid w:val="00061EC2"/>
    <w:rsid w:val="00065D34"/>
    <w:rsid w:val="0007110A"/>
    <w:rsid w:val="00073A3C"/>
    <w:rsid w:val="0007482D"/>
    <w:rsid w:val="0007577E"/>
    <w:rsid w:val="00080ED0"/>
    <w:rsid w:val="000824D8"/>
    <w:rsid w:val="000840B0"/>
    <w:rsid w:val="00085B8F"/>
    <w:rsid w:val="000863EE"/>
    <w:rsid w:val="00086B5E"/>
    <w:rsid w:val="00086DBC"/>
    <w:rsid w:val="00090481"/>
    <w:rsid w:val="00092009"/>
    <w:rsid w:val="00092C9D"/>
    <w:rsid w:val="00095C11"/>
    <w:rsid w:val="00097B70"/>
    <w:rsid w:val="000A6C26"/>
    <w:rsid w:val="000A7EF4"/>
    <w:rsid w:val="000B1050"/>
    <w:rsid w:val="000B61C3"/>
    <w:rsid w:val="000C74BD"/>
    <w:rsid w:val="000D27CB"/>
    <w:rsid w:val="000D52A4"/>
    <w:rsid w:val="000E07BC"/>
    <w:rsid w:val="000E432D"/>
    <w:rsid w:val="000E59CB"/>
    <w:rsid w:val="000F1CD4"/>
    <w:rsid w:val="000F4103"/>
    <w:rsid w:val="000F70A7"/>
    <w:rsid w:val="001001B9"/>
    <w:rsid w:val="001042D1"/>
    <w:rsid w:val="001049B8"/>
    <w:rsid w:val="00105096"/>
    <w:rsid w:val="00110741"/>
    <w:rsid w:val="0011167A"/>
    <w:rsid w:val="00112BDE"/>
    <w:rsid w:val="00113CCA"/>
    <w:rsid w:val="00115466"/>
    <w:rsid w:val="00120221"/>
    <w:rsid w:val="00122F25"/>
    <w:rsid w:val="00123DE0"/>
    <w:rsid w:val="00123EA2"/>
    <w:rsid w:val="00135076"/>
    <w:rsid w:val="00135980"/>
    <w:rsid w:val="001371B2"/>
    <w:rsid w:val="00142520"/>
    <w:rsid w:val="00160066"/>
    <w:rsid w:val="001607B4"/>
    <w:rsid w:val="00162D2E"/>
    <w:rsid w:val="00164719"/>
    <w:rsid w:val="00166FC4"/>
    <w:rsid w:val="001677AC"/>
    <w:rsid w:val="001755B0"/>
    <w:rsid w:val="001804EA"/>
    <w:rsid w:val="00180666"/>
    <w:rsid w:val="0018204C"/>
    <w:rsid w:val="00184C8E"/>
    <w:rsid w:val="00190A61"/>
    <w:rsid w:val="00197E80"/>
    <w:rsid w:val="001A113A"/>
    <w:rsid w:val="001A3342"/>
    <w:rsid w:val="001A3E3D"/>
    <w:rsid w:val="001A7049"/>
    <w:rsid w:val="001B1C90"/>
    <w:rsid w:val="001B1D88"/>
    <w:rsid w:val="001B1E40"/>
    <w:rsid w:val="001B4443"/>
    <w:rsid w:val="001B5B14"/>
    <w:rsid w:val="001B6487"/>
    <w:rsid w:val="001B7B4E"/>
    <w:rsid w:val="001B7D29"/>
    <w:rsid w:val="001C12E7"/>
    <w:rsid w:val="001C163D"/>
    <w:rsid w:val="001C3C80"/>
    <w:rsid w:val="001C5A7D"/>
    <w:rsid w:val="001C764E"/>
    <w:rsid w:val="001C7D77"/>
    <w:rsid w:val="001D3AFA"/>
    <w:rsid w:val="001E0AE1"/>
    <w:rsid w:val="001E1052"/>
    <w:rsid w:val="001E21B1"/>
    <w:rsid w:val="001E2CEB"/>
    <w:rsid w:val="001E2F93"/>
    <w:rsid w:val="001E61E5"/>
    <w:rsid w:val="001E7CB7"/>
    <w:rsid w:val="001E7E41"/>
    <w:rsid w:val="001F2159"/>
    <w:rsid w:val="001F4542"/>
    <w:rsid w:val="001F4EAD"/>
    <w:rsid w:val="001F78EF"/>
    <w:rsid w:val="0020152F"/>
    <w:rsid w:val="00201538"/>
    <w:rsid w:val="00204AE5"/>
    <w:rsid w:val="00205A29"/>
    <w:rsid w:val="00213B82"/>
    <w:rsid w:val="00214863"/>
    <w:rsid w:val="002156B4"/>
    <w:rsid w:val="00224A33"/>
    <w:rsid w:val="00224ACF"/>
    <w:rsid w:val="002266C3"/>
    <w:rsid w:val="00232150"/>
    <w:rsid w:val="00234B7B"/>
    <w:rsid w:val="00235205"/>
    <w:rsid w:val="00235CDF"/>
    <w:rsid w:val="00237904"/>
    <w:rsid w:val="0024026A"/>
    <w:rsid w:val="002527A3"/>
    <w:rsid w:val="00253222"/>
    <w:rsid w:val="0025514B"/>
    <w:rsid w:val="0025687B"/>
    <w:rsid w:val="002609CA"/>
    <w:rsid w:val="00262847"/>
    <w:rsid w:val="00264ACF"/>
    <w:rsid w:val="00265707"/>
    <w:rsid w:val="00275A81"/>
    <w:rsid w:val="0028154D"/>
    <w:rsid w:val="00281BB2"/>
    <w:rsid w:val="002831BA"/>
    <w:rsid w:val="0028569D"/>
    <w:rsid w:val="00287421"/>
    <w:rsid w:val="00291880"/>
    <w:rsid w:val="002965B2"/>
    <w:rsid w:val="002A0247"/>
    <w:rsid w:val="002A4709"/>
    <w:rsid w:val="002B08D9"/>
    <w:rsid w:val="002B547B"/>
    <w:rsid w:val="002B72E9"/>
    <w:rsid w:val="002C0491"/>
    <w:rsid w:val="002C7998"/>
    <w:rsid w:val="002D07D1"/>
    <w:rsid w:val="002D2C5B"/>
    <w:rsid w:val="002E2850"/>
    <w:rsid w:val="002E3F92"/>
    <w:rsid w:val="002E40B7"/>
    <w:rsid w:val="002F0DCD"/>
    <w:rsid w:val="002F1E53"/>
    <w:rsid w:val="002F263D"/>
    <w:rsid w:val="002F2CAA"/>
    <w:rsid w:val="0030052C"/>
    <w:rsid w:val="0030065C"/>
    <w:rsid w:val="00300F68"/>
    <w:rsid w:val="003058AD"/>
    <w:rsid w:val="00307816"/>
    <w:rsid w:val="00311465"/>
    <w:rsid w:val="003115B0"/>
    <w:rsid w:val="00312EAD"/>
    <w:rsid w:val="00322469"/>
    <w:rsid w:val="00322F96"/>
    <w:rsid w:val="00325AE8"/>
    <w:rsid w:val="003306E1"/>
    <w:rsid w:val="003320E4"/>
    <w:rsid w:val="0033282B"/>
    <w:rsid w:val="0033525D"/>
    <w:rsid w:val="00340860"/>
    <w:rsid w:val="003414F3"/>
    <w:rsid w:val="00344157"/>
    <w:rsid w:val="003449B7"/>
    <w:rsid w:val="00346674"/>
    <w:rsid w:val="003512CB"/>
    <w:rsid w:val="00351903"/>
    <w:rsid w:val="00355347"/>
    <w:rsid w:val="00355E54"/>
    <w:rsid w:val="0035613E"/>
    <w:rsid w:val="00363EE9"/>
    <w:rsid w:val="00364013"/>
    <w:rsid w:val="0036427C"/>
    <w:rsid w:val="00366505"/>
    <w:rsid w:val="003706A8"/>
    <w:rsid w:val="00372D0E"/>
    <w:rsid w:val="003736B3"/>
    <w:rsid w:val="003756E3"/>
    <w:rsid w:val="00376128"/>
    <w:rsid w:val="003762BE"/>
    <w:rsid w:val="0037742E"/>
    <w:rsid w:val="00377D56"/>
    <w:rsid w:val="0038245A"/>
    <w:rsid w:val="00383E3C"/>
    <w:rsid w:val="003840E6"/>
    <w:rsid w:val="0038547C"/>
    <w:rsid w:val="00385613"/>
    <w:rsid w:val="00385CFC"/>
    <w:rsid w:val="003919B9"/>
    <w:rsid w:val="0039337A"/>
    <w:rsid w:val="0039555E"/>
    <w:rsid w:val="003A2D12"/>
    <w:rsid w:val="003A3189"/>
    <w:rsid w:val="003A32AF"/>
    <w:rsid w:val="003A3CA7"/>
    <w:rsid w:val="003B148C"/>
    <w:rsid w:val="003B21DE"/>
    <w:rsid w:val="003B27D5"/>
    <w:rsid w:val="003B33BD"/>
    <w:rsid w:val="003B3973"/>
    <w:rsid w:val="003B3AB8"/>
    <w:rsid w:val="003B43A0"/>
    <w:rsid w:val="003B4998"/>
    <w:rsid w:val="003B569D"/>
    <w:rsid w:val="003B5BC6"/>
    <w:rsid w:val="003C0C29"/>
    <w:rsid w:val="003C17CD"/>
    <w:rsid w:val="003C3C0E"/>
    <w:rsid w:val="003C4542"/>
    <w:rsid w:val="003D2A09"/>
    <w:rsid w:val="003D4FAC"/>
    <w:rsid w:val="003D5C44"/>
    <w:rsid w:val="003D695D"/>
    <w:rsid w:val="003E254A"/>
    <w:rsid w:val="003E4612"/>
    <w:rsid w:val="003E7906"/>
    <w:rsid w:val="003F3C50"/>
    <w:rsid w:val="003F4504"/>
    <w:rsid w:val="003F5FBE"/>
    <w:rsid w:val="003F7C60"/>
    <w:rsid w:val="0040097D"/>
    <w:rsid w:val="00400D67"/>
    <w:rsid w:val="00401D81"/>
    <w:rsid w:val="00405CBA"/>
    <w:rsid w:val="004062C2"/>
    <w:rsid w:val="00406A6A"/>
    <w:rsid w:val="00406B22"/>
    <w:rsid w:val="00407AF5"/>
    <w:rsid w:val="004174B4"/>
    <w:rsid w:val="00421688"/>
    <w:rsid w:val="00424E20"/>
    <w:rsid w:val="004253DC"/>
    <w:rsid w:val="004301A8"/>
    <w:rsid w:val="00431C4C"/>
    <w:rsid w:val="004328A7"/>
    <w:rsid w:val="00433F7A"/>
    <w:rsid w:val="00434C74"/>
    <w:rsid w:val="00440FE1"/>
    <w:rsid w:val="004436CB"/>
    <w:rsid w:val="004503E2"/>
    <w:rsid w:val="00453F7F"/>
    <w:rsid w:val="00456EB4"/>
    <w:rsid w:val="004615F4"/>
    <w:rsid w:val="00464D82"/>
    <w:rsid w:val="00466661"/>
    <w:rsid w:val="004718F3"/>
    <w:rsid w:val="004720F5"/>
    <w:rsid w:val="004731B8"/>
    <w:rsid w:val="004731C3"/>
    <w:rsid w:val="00475040"/>
    <w:rsid w:val="00476A59"/>
    <w:rsid w:val="004778D9"/>
    <w:rsid w:val="0049025E"/>
    <w:rsid w:val="00490381"/>
    <w:rsid w:val="0049136E"/>
    <w:rsid w:val="00493D40"/>
    <w:rsid w:val="004965C6"/>
    <w:rsid w:val="004967B6"/>
    <w:rsid w:val="004A504B"/>
    <w:rsid w:val="004A6911"/>
    <w:rsid w:val="004B54E0"/>
    <w:rsid w:val="004B7384"/>
    <w:rsid w:val="004C11CB"/>
    <w:rsid w:val="004C29C1"/>
    <w:rsid w:val="004C4269"/>
    <w:rsid w:val="004C6498"/>
    <w:rsid w:val="004D1D5C"/>
    <w:rsid w:val="004D56B4"/>
    <w:rsid w:val="004D6236"/>
    <w:rsid w:val="004D7F90"/>
    <w:rsid w:val="004E4DBB"/>
    <w:rsid w:val="004E4E41"/>
    <w:rsid w:val="004E7F9C"/>
    <w:rsid w:val="004F18A7"/>
    <w:rsid w:val="004F3493"/>
    <w:rsid w:val="004F3C35"/>
    <w:rsid w:val="004F5143"/>
    <w:rsid w:val="00507275"/>
    <w:rsid w:val="00512B09"/>
    <w:rsid w:val="00513FD5"/>
    <w:rsid w:val="005148C6"/>
    <w:rsid w:val="00514B7E"/>
    <w:rsid w:val="00515B2F"/>
    <w:rsid w:val="00533796"/>
    <w:rsid w:val="005366DA"/>
    <w:rsid w:val="00537246"/>
    <w:rsid w:val="00541857"/>
    <w:rsid w:val="0054235D"/>
    <w:rsid w:val="005469E1"/>
    <w:rsid w:val="005549F8"/>
    <w:rsid w:val="00554AED"/>
    <w:rsid w:val="00555D75"/>
    <w:rsid w:val="00560C5E"/>
    <w:rsid w:val="00560DF0"/>
    <w:rsid w:val="0056759C"/>
    <w:rsid w:val="00571039"/>
    <w:rsid w:val="00573112"/>
    <w:rsid w:val="00574EEC"/>
    <w:rsid w:val="0057533E"/>
    <w:rsid w:val="005764B1"/>
    <w:rsid w:val="00582206"/>
    <w:rsid w:val="00583039"/>
    <w:rsid w:val="00585F23"/>
    <w:rsid w:val="00594C61"/>
    <w:rsid w:val="0059513E"/>
    <w:rsid w:val="00595C8F"/>
    <w:rsid w:val="00597CCB"/>
    <w:rsid w:val="005A1848"/>
    <w:rsid w:val="005A2052"/>
    <w:rsid w:val="005A2D3E"/>
    <w:rsid w:val="005A4390"/>
    <w:rsid w:val="005A68C5"/>
    <w:rsid w:val="005A7B1C"/>
    <w:rsid w:val="005B48FF"/>
    <w:rsid w:val="005C12A9"/>
    <w:rsid w:val="005C1D05"/>
    <w:rsid w:val="005C2184"/>
    <w:rsid w:val="005D1149"/>
    <w:rsid w:val="005D35AC"/>
    <w:rsid w:val="005D3F42"/>
    <w:rsid w:val="005D47D0"/>
    <w:rsid w:val="005E2990"/>
    <w:rsid w:val="005E312F"/>
    <w:rsid w:val="005E374C"/>
    <w:rsid w:val="005F1DA3"/>
    <w:rsid w:val="005F77B2"/>
    <w:rsid w:val="0060092C"/>
    <w:rsid w:val="00604C15"/>
    <w:rsid w:val="0061189B"/>
    <w:rsid w:val="00612F2F"/>
    <w:rsid w:val="00613646"/>
    <w:rsid w:val="00613D17"/>
    <w:rsid w:val="006141C1"/>
    <w:rsid w:val="00614A06"/>
    <w:rsid w:val="00614BE0"/>
    <w:rsid w:val="006158D5"/>
    <w:rsid w:val="00625D83"/>
    <w:rsid w:val="00634A61"/>
    <w:rsid w:val="00635C3A"/>
    <w:rsid w:val="006376C7"/>
    <w:rsid w:val="00637E37"/>
    <w:rsid w:val="00650F91"/>
    <w:rsid w:val="00652547"/>
    <w:rsid w:val="00660EBE"/>
    <w:rsid w:val="00662172"/>
    <w:rsid w:val="006623E7"/>
    <w:rsid w:val="00662B80"/>
    <w:rsid w:val="006630CC"/>
    <w:rsid w:val="00670F6C"/>
    <w:rsid w:val="006721FA"/>
    <w:rsid w:val="006740CC"/>
    <w:rsid w:val="00675795"/>
    <w:rsid w:val="00677A1A"/>
    <w:rsid w:val="00677B07"/>
    <w:rsid w:val="00682330"/>
    <w:rsid w:val="006852C7"/>
    <w:rsid w:val="006852CE"/>
    <w:rsid w:val="006879BF"/>
    <w:rsid w:val="00694330"/>
    <w:rsid w:val="006959E8"/>
    <w:rsid w:val="00696AB4"/>
    <w:rsid w:val="006A49EA"/>
    <w:rsid w:val="006A5C1F"/>
    <w:rsid w:val="006A7948"/>
    <w:rsid w:val="006B2660"/>
    <w:rsid w:val="006C1727"/>
    <w:rsid w:val="006C31B1"/>
    <w:rsid w:val="006C32FD"/>
    <w:rsid w:val="006C39CE"/>
    <w:rsid w:val="006C5D49"/>
    <w:rsid w:val="006D0FCC"/>
    <w:rsid w:val="006D1D2D"/>
    <w:rsid w:val="006D342D"/>
    <w:rsid w:val="006D54FC"/>
    <w:rsid w:val="006D751F"/>
    <w:rsid w:val="006E0B70"/>
    <w:rsid w:val="006E0D57"/>
    <w:rsid w:val="006E1FC3"/>
    <w:rsid w:val="006E580A"/>
    <w:rsid w:val="006F0233"/>
    <w:rsid w:val="006F2DDB"/>
    <w:rsid w:val="006F38F4"/>
    <w:rsid w:val="006F3E64"/>
    <w:rsid w:val="006F495B"/>
    <w:rsid w:val="006F6453"/>
    <w:rsid w:val="006F6D04"/>
    <w:rsid w:val="007050D0"/>
    <w:rsid w:val="0070616B"/>
    <w:rsid w:val="00706FDA"/>
    <w:rsid w:val="00711F9A"/>
    <w:rsid w:val="007122B3"/>
    <w:rsid w:val="00712C06"/>
    <w:rsid w:val="00713810"/>
    <w:rsid w:val="00716C46"/>
    <w:rsid w:val="00721388"/>
    <w:rsid w:val="00725FD9"/>
    <w:rsid w:val="007303A5"/>
    <w:rsid w:val="00730B3E"/>
    <w:rsid w:val="0073420B"/>
    <w:rsid w:val="00734DBE"/>
    <w:rsid w:val="00736193"/>
    <w:rsid w:val="007369C4"/>
    <w:rsid w:val="007407FA"/>
    <w:rsid w:val="0074681B"/>
    <w:rsid w:val="00747131"/>
    <w:rsid w:val="0074760E"/>
    <w:rsid w:val="00752F83"/>
    <w:rsid w:val="0075344B"/>
    <w:rsid w:val="00753EE4"/>
    <w:rsid w:val="0075403C"/>
    <w:rsid w:val="00754ABA"/>
    <w:rsid w:val="00760F9F"/>
    <w:rsid w:val="007619B6"/>
    <w:rsid w:val="00771806"/>
    <w:rsid w:val="00772046"/>
    <w:rsid w:val="00790AB6"/>
    <w:rsid w:val="00795834"/>
    <w:rsid w:val="0079789B"/>
    <w:rsid w:val="007A0A3F"/>
    <w:rsid w:val="007A0EF9"/>
    <w:rsid w:val="007A1546"/>
    <w:rsid w:val="007A228C"/>
    <w:rsid w:val="007A368E"/>
    <w:rsid w:val="007A4C1C"/>
    <w:rsid w:val="007A5868"/>
    <w:rsid w:val="007B04CE"/>
    <w:rsid w:val="007B1BF0"/>
    <w:rsid w:val="007B4920"/>
    <w:rsid w:val="007B6871"/>
    <w:rsid w:val="007B7A2F"/>
    <w:rsid w:val="007C227C"/>
    <w:rsid w:val="007C3D33"/>
    <w:rsid w:val="007C45F8"/>
    <w:rsid w:val="007C4DB4"/>
    <w:rsid w:val="007D137E"/>
    <w:rsid w:val="007D1CCC"/>
    <w:rsid w:val="007D294A"/>
    <w:rsid w:val="007D47D2"/>
    <w:rsid w:val="007D4958"/>
    <w:rsid w:val="007D6EC0"/>
    <w:rsid w:val="007D7E1D"/>
    <w:rsid w:val="007E0958"/>
    <w:rsid w:val="007E0CD6"/>
    <w:rsid w:val="007E0E50"/>
    <w:rsid w:val="007E2408"/>
    <w:rsid w:val="007E3256"/>
    <w:rsid w:val="007F23DC"/>
    <w:rsid w:val="00805A5D"/>
    <w:rsid w:val="00811AFB"/>
    <w:rsid w:val="00812E15"/>
    <w:rsid w:val="00813B1D"/>
    <w:rsid w:val="00815E16"/>
    <w:rsid w:val="008241D7"/>
    <w:rsid w:val="0082433E"/>
    <w:rsid w:val="008260CB"/>
    <w:rsid w:val="0082709C"/>
    <w:rsid w:val="00831979"/>
    <w:rsid w:val="00844A1F"/>
    <w:rsid w:val="00851352"/>
    <w:rsid w:val="0085139C"/>
    <w:rsid w:val="008570AF"/>
    <w:rsid w:val="00863230"/>
    <w:rsid w:val="00863338"/>
    <w:rsid w:val="008635ED"/>
    <w:rsid w:val="00867889"/>
    <w:rsid w:val="00867AC8"/>
    <w:rsid w:val="008717D8"/>
    <w:rsid w:val="0087215C"/>
    <w:rsid w:val="00880E35"/>
    <w:rsid w:val="00882DF5"/>
    <w:rsid w:val="00884782"/>
    <w:rsid w:val="00886900"/>
    <w:rsid w:val="008875FE"/>
    <w:rsid w:val="00887F8E"/>
    <w:rsid w:val="00893DA0"/>
    <w:rsid w:val="00894B70"/>
    <w:rsid w:val="00896234"/>
    <w:rsid w:val="00897C1F"/>
    <w:rsid w:val="00897E43"/>
    <w:rsid w:val="008A3807"/>
    <w:rsid w:val="008A7357"/>
    <w:rsid w:val="008B25F2"/>
    <w:rsid w:val="008B667C"/>
    <w:rsid w:val="008C4731"/>
    <w:rsid w:val="008C5738"/>
    <w:rsid w:val="008C680F"/>
    <w:rsid w:val="008C736A"/>
    <w:rsid w:val="008C7EAD"/>
    <w:rsid w:val="008D0CFE"/>
    <w:rsid w:val="008D3375"/>
    <w:rsid w:val="008D4ED3"/>
    <w:rsid w:val="008D52FA"/>
    <w:rsid w:val="008D54C2"/>
    <w:rsid w:val="008D6152"/>
    <w:rsid w:val="008D7E3A"/>
    <w:rsid w:val="008E10FB"/>
    <w:rsid w:val="008F0F81"/>
    <w:rsid w:val="008F19DD"/>
    <w:rsid w:val="008F27BF"/>
    <w:rsid w:val="008F7D95"/>
    <w:rsid w:val="00901815"/>
    <w:rsid w:val="009054C2"/>
    <w:rsid w:val="00907095"/>
    <w:rsid w:val="00910F27"/>
    <w:rsid w:val="009142EC"/>
    <w:rsid w:val="009154C3"/>
    <w:rsid w:val="00915810"/>
    <w:rsid w:val="00917D22"/>
    <w:rsid w:val="00922A58"/>
    <w:rsid w:val="00923540"/>
    <w:rsid w:val="00923843"/>
    <w:rsid w:val="009251AF"/>
    <w:rsid w:val="0092617A"/>
    <w:rsid w:val="00926767"/>
    <w:rsid w:val="009320E6"/>
    <w:rsid w:val="00932DA3"/>
    <w:rsid w:val="00934098"/>
    <w:rsid w:val="009361D5"/>
    <w:rsid w:val="00936739"/>
    <w:rsid w:val="00942410"/>
    <w:rsid w:val="009428A4"/>
    <w:rsid w:val="00943014"/>
    <w:rsid w:val="00950D22"/>
    <w:rsid w:val="0095141C"/>
    <w:rsid w:val="00954ED7"/>
    <w:rsid w:val="009659F4"/>
    <w:rsid w:val="009660AA"/>
    <w:rsid w:val="009709B0"/>
    <w:rsid w:val="00970D60"/>
    <w:rsid w:val="00971EDE"/>
    <w:rsid w:val="00977F4E"/>
    <w:rsid w:val="00981292"/>
    <w:rsid w:val="00982102"/>
    <w:rsid w:val="00984DD6"/>
    <w:rsid w:val="009918F4"/>
    <w:rsid w:val="009941BC"/>
    <w:rsid w:val="009960E5"/>
    <w:rsid w:val="009A7ADC"/>
    <w:rsid w:val="009B457B"/>
    <w:rsid w:val="009B75CF"/>
    <w:rsid w:val="009B7DAC"/>
    <w:rsid w:val="009C19B7"/>
    <w:rsid w:val="009C7CA0"/>
    <w:rsid w:val="009D25A1"/>
    <w:rsid w:val="009D28DC"/>
    <w:rsid w:val="009D7C51"/>
    <w:rsid w:val="009E1171"/>
    <w:rsid w:val="009E196C"/>
    <w:rsid w:val="009E2EA3"/>
    <w:rsid w:val="009F2262"/>
    <w:rsid w:val="009F36BF"/>
    <w:rsid w:val="00A012CE"/>
    <w:rsid w:val="00A01A7D"/>
    <w:rsid w:val="00A072D3"/>
    <w:rsid w:val="00A111B6"/>
    <w:rsid w:val="00A128EF"/>
    <w:rsid w:val="00A179F7"/>
    <w:rsid w:val="00A2011D"/>
    <w:rsid w:val="00A21B8E"/>
    <w:rsid w:val="00A23AB6"/>
    <w:rsid w:val="00A23FA2"/>
    <w:rsid w:val="00A2547B"/>
    <w:rsid w:val="00A26D27"/>
    <w:rsid w:val="00A31AA8"/>
    <w:rsid w:val="00A36247"/>
    <w:rsid w:val="00A376EE"/>
    <w:rsid w:val="00A42A99"/>
    <w:rsid w:val="00A42E25"/>
    <w:rsid w:val="00A439F3"/>
    <w:rsid w:val="00A5110F"/>
    <w:rsid w:val="00A51319"/>
    <w:rsid w:val="00A5151A"/>
    <w:rsid w:val="00A56465"/>
    <w:rsid w:val="00A57E0A"/>
    <w:rsid w:val="00A61CC5"/>
    <w:rsid w:val="00A734C5"/>
    <w:rsid w:val="00A823F6"/>
    <w:rsid w:val="00A924D8"/>
    <w:rsid w:val="00A937AE"/>
    <w:rsid w:val="00A93BBA"/>
    <w:rsid w:val="00A96BE1"/>
    <w:rsid w:val="00AA0A89"/>
    <w:rsid w:val="00AA18F3"/>
    <w:rsid w:val="00AA32F2"/>
    <w:rsid w:val="00AA6429"/>
    <w:rsid w:val="00AA6FBE"/>
    <w:rsid w:val="00AB1383"/>
    <w:rsid w:val="00AB295B"/>
    <w:rsid w:val="00AB7364"/>
    <w:rsid w:val="00AC01AA"/>
    <w:rsid w:val="00AC1B39"/>
    <w:rsid w:val="00AC31D0"/>
    <w:rsid w:val="00AC4F72"/>
    <w:rsid w:val="00AD4F60"/>
    <w:rsid w:val="00AD51D9"/>
    <w:rsid w:val="00AD57D7"/>
    <w:rsid w:val="00AE06D7"/>
    <w:rsid w:val="00AE334E"/>
    <w:rsid w:val="00AE40F0"/>
    <w:rsid w:val="00AE77AA"/>
    <w:rsid w:val="00AF0421"/>
    <w:rsid w:val="00AF4307"/>
    <w:rsid w:val="00AF741A"/>
    <w:rsid w:val="00B01ADB"/>
    <w:rsid w:val="00B030F0"/>
    <w:rsid w:val="00B03CBF"/>
    <w:rsid w:val="00B04161"/>
    <w:rsid w:val="00B0567E"/>
    <w:rsid w:val="00B056F9"/>
    <w:rsid w:val="00B10BA2"/>
    <w:rsid w:val="00B114E3"/>
    <w:rsid w:val="00B118C3"/>
    <w:rsid w:val="00B11E3D"/>
    <w:rsid w:val="00B17E82"/>
    <w:rsid w:val="00B230B1"/>
    <w:rsid w:val="00B376E8"/>
    <w:rsid w:val="00B42961"/>
    <w:rsid w:val="00B4384E"/>
    <w:rsid w:val="00B4575A"/>
    <w:rsid w:val="00B51510"/>
    <w:rsid w:val="00B575BA"/>
    <w:rsid w:val="00B57ADF"/>
    <w:rsid w:val="00B6231F"/>
    <w:rsid w:val="00B6578E"/>
    <w:rsid w:val="00B66A48"/>
    <w:rsid w:val="00B7052D"/>
    <w:rsid w:val="00B742D5"/>
    <w:rsid w:val="00B7442C"/>
    <w:rsid w:val="00B76429"/>
    <w:rsid w:val="00B81A7D"/>
    <w:rsid w:val="00B81E5A"/>
    <w:rsid w:val="00B82F0D"/>
    <w:rsid w:val="00B85095"/>
    <w:rsid w:val="00B91711"/>
    <w:rsid w:val="00B92265"/>
    <w:rsid w:val="00B956D4"/>
    <w:rsid w:val="00B96223"/>
    <w:rsid w:val="00B97446"/>
    <w:rsid w:val="00BA6EB6"/>
    <w:rsid w:val="00BA7432"/>
    <w:rsid w:val="00BB3308"/>
    <w:rsid w:val="00BB4F20"/>
    <w:rsid w:val="00BB5770"/>
    <w:rsid w:val="00BC1AA0"/>
    <w:rsid w:val="00BC2495"/>
    <w:rsid w:val="00BC2553"/>
    <w:rsid w:val="00BC2DDC"/>
    <w:rsid w:val="00BC5286"/>
    <w:rsid w:val="00BC5C3C"/>
    <w:rsid w:val="00BC7EB9"/>
    <w:rsid w:val="00BD0BEC"/>
    <w:rsid w:val="00BD2643"/>
    <w:rsid w:val="00BD56B1"/>
    <w:rsid w:val="00BD6558"/>
    <w:rsid w:val="00BD75DB"/>
    <w:rsid w:val="00BE0D75"/>
    <w:rsid w:val="00BE5D04"/>
    <w:rsid w:val="00BF3022"/>
    <w:rsid w:val="00BF3214"/>
    <w:rsid w:val="00BF329A"/>
    <w:rsid w:val="00BF351F"/>
    <w:rsid w:val="00BF5573"/>
    <w:rsid w:val="00BF6FC5"/>
    <w:rsid w:val="00C0111E"/>
    <w:rsid w:val="00C104A8"/>
    <w:rsid w:val="00C15867"/>
    <w:rsid w:val="00C1654A"/>
    <w:rsid w:val="00C2296D"/>
    <w:rsid w:val="00C23155"/>
    <w:rsid w:val="00C2758F"/>
    <w:rsid w:val="00C35DE2"/>
    <w:rsid w:val="00C40C41"/>
    <w:rsid w:val="00C43175"/>
    <w:rsid w:val="00C45885"/>
    <w:rsid w:val="00C47B54"/>
    <w:rsid w:val="00C50F22"/>
    <w:rsid w:val="00C5112F"/>
    <w:rsid w:val="00C54314"/>
    <w:rsid w:val="00C545F4"/>
    <w:rsid w:val="00C54F8F"/>
    <w:rsid w:val="00C55303"/>
    <w:rsid w:val="00C57971"/>
    <w:rsid w:val="00C625EA"/>
    <w:rsid w:val="00C65565"/>
    <w:rsid w:val="00C65BD7"/>
    <w:rsid w:val="00C66009"/>
    <w:rsid w:val="00C71623"/>
    <w:rsid w:val="00C76BA4"/>
    <w:rsid w:val="00C83A48"/>
    <w:rsid w:val="00C85865"/>
    <w:rsid w:val="00C85E85"/>
    <w:rsid w:val="00C960F3"/>
    <w:rsid w:val="00CA2EAE"/>
    <w:rsid w:val="00CA361A"/>
    <w:rsid w:val="00CA4AC1"/>
    <w:rsid w:val="00CA4B39"/>
    <w:rsid w:val="00CA5985"/>
    <w:rsid w:val="00CB0316"/>
    <w:rsid w:val="00CB0408"/>
    <w:rsid w:val="00CB0B11"/>
    <w:rsid w:val="00CB5354"/>
    <w:rsid w:val="00CC299E"/>
    <w:rsid w:val="00CC2CFA"/>
    <w:rsid w:val="00CC6236"/>
    <w:rsid w:val="00CC6A14"/>
    <w:rsid w:val="00CC70A3"/>
    <w:rsid w:val="00CD42B6"/>
    <w:rsid w:val="00CD4442"/>
    <w:rsid w:val="00CD4BE9"/>
    <w:rsid w:val="00CD53C3"/>
    <w:rsid w:val="00CD574E"/>
    <w:rsid w:val="00CE05DE"/>
    <w:rsid w:val="00CE4C22"/>
    <w:rsid w:val="00CF41EC"/>
    <w:rsid w:val="00CF4D9F"/>
    <w:rsid w:val="00CF5D04"/>
    <w:rsid w:val="00D01E08"/>
    <w:rsid w:val="00D04DE4"/>
    <w:rsid w:val="00D0546C"/>
    <w:rsid w:val="00D063F1"/>
    <w:rsid w:val="00D13CD0"/>
    <w:rsid w:val="00D14F22"/>
    <w:rsid w:val="00D1645D"/>
    <w:rsid w:val="00D16E0F"/>
    <w:rsid w:val="00D22563"/>
    <w:rsid w:val="00D24723"/>
    <w:rsid w:val="00D377FC"/>
    <w:rsid w:val="00D418F2"/>
    <w:rsid w:val="00D41D28"/>
    <w:rsid w:val="00D463AD"/>
    <w:rsid w:val="00D4718A"/>
    <w:rsid w:val="00D4741C"/>
    <w:rsid w:val="00D47ED4"/>
    <w:rsid w:val="00D51B89"/>
    <w:rsid w:val="00D53C46"/>
    <w:rsid w:val="00D55105"/>
    <w:rsid w:val="00D57918"/>
    <w:rsid w:val="00D62899"/>
    <w:rsid w:val="00D66817"/>
    <w:rsid w:val="00D66982"/>
    <w:rsid w:val="00D676FB"/>
    <w:rsid w:val="00D734F2"/>
    <w:rsid w:val="00D73DC6"/>
    <w:rsid w:val="00D74100"/>
    <w:rsid w:val="00D74C1A"/>
    <w:rsid w:val="00D753A2"/>
    <w:rsid w:val="00D754C1"/>
    <w:rsid w:val="00D77316"/>
    <w:rsid w:val="00D77393"/>
    <w:rsid w:val="00D77A35"/>
    <w:rsid w:val="00D80209"/>
    <w:rsid w:val="00D808FC"/>
    <w:rsid w:val="00D81B3E"/>
    <w:rsid w:val="00D869DD"/>
    <w:rsid w:val="00D8738D"/>
    <w:rsid w:val="00D87D43"/>
    <w:rsid w:val="00D90382"/>
    <w:rsid w:val="00D90C70"/>
    <w:rsid w:val="00D90E49"/>
    <w:rsid w:val="00D92147"/>
    <w:rsid w:val="00D96793"/>
    <w:rsid w:val="00D96ADE"/>
    <w:rsid w:val="00DA0CE2"/>
    <w:rsid w:val="00DA2A65"/>
    <w:rsid w:val="00DA4AC1"/>
    <w:rsid w:val="00DA5C41"/>
    <w:rsid w:val="00DA663D"/>
    <w:rsid w:val="00DB0309"/>
    <w:rsid w:val="00DB47BD"/>
    <w:rsid w:val="00DB7AF3"/>
    <w:rsid w:val="00DC1601"/>
    <w:rsid w:val="00DC246D"/>
    <w:rsid w:val="00DC2F3A"/>
    <w:rsid w:val="00DC6A10"/>
    <w:rsid w:val="00DC7B8E"/>
    <w:rsid w:val="00DD49D1"/>
    <w:rsid w:val="00DD4B9C"/>
    <w:rsid w:val="00DD575F"/>
    <w:rsid w:val="00DE3F39"/>
    <w:rsid w:val="00DE657E"/>
    <w:rsid w:val="00DF4704"/>
    <w:rsid w:val="00DF4B2D"/>
    <w:rsid w:val="00E024AA"/>
    <w:rsid w:val="00E02571"/>
    <w:rsid w:val="00E03001"/>
    <w:rsid w:val="00E03802"/>
    <w:rsid w:val="00E10CCF"/>
    <w:rsid w:val="00E16D12"/>
    <w:rsid w:val="00E23255"/>
    <w:rsid w:val="00E250F1"/>
    <w:rsid w:val="00E354DA"/>
    <w:rsid w:val="00E3550D"/>
    <w:rsid w:val="00E35D79"/>
    <w:rsid w:val="00E37E5A"/>
    <w:rsid w:val="00E41335"/>
    <w:rsid w:val="00E454FF"/>
    <w:rsid w:val="00E45A18"/>
    <w:rsid w:val="00E5432A"/>
    <w:rsid w:val="00E614E0"/>
    <w:rsid w:val="00E67467"/>
    <w:rsid w:val="00E73F7F"/>
    <w:rsid w:val="00E74CFC"/>
    <w:rsid w:val="00E85409"/>
    <w:rsid w:val="00E92875"/>
    <w:rsid w:val="00E941CC"/>
    <w:rsid w:val="00EA09EF"/>
    <w:rsid w:val="00EA2887"/>
    <w:rsid w:val="00EA2D32"/>
    <w:rsid w:val="00EA320A"/>
    <w:rsid w:val="00EA429F"/>
    <w:rsid w:val="00EA4F9E"/>
    <w:rsid w:val="00EA63CA"/>
    <w:rsid w:val="00EA6D3B"/>
    <w:rsid w:val="00EB00AD"/>
    <w:rsid w:val="00EB136C"/>
    <w:rsid w:val="00EB298A"/>
    <w:rsid w:val="00EB3147"/>
    <w:rsid w:val="00EB480E"/>
    <w:rsid w:val="00EB49D6"/>
    <w:rsid w:val="00EB5EC6"/>
    <w:rsid w:val="00EB76FC"/>
    <w:rsid w:val="00EB789F"/>
    <w:rsid w:val="00EB7FC9"/>
    <w:rsid w:val="00EC256F"/>
    <w:rsid w:val="00EC4277"/>
    <w:rsid w:val="00EC730D"/>
    <w:rsid w:val="00ED140E"/>
    <w:rsid w:val="00ED27E8"/>
    <w:rsid w:val="00ED29EA"/>
    <w:rsid w:val="00ED4D20"/>
    <w:rsid w:val="00ED67F5"/>
    <w:rsid w:val="00ED7137"/>
    <w:rsid w:val="00EE0DE4"/>
    <w:rsid w:val="00EE4C85"/>
    <w:rsid w:val="00EE58CB"/>
    <w:rsid w:val="00EE66BA"/>
    <w:rsid w:val="00EE7E1D"/>
    <w:rsid w:val="00EF5405"/>
    <w:rsid w:val="00EF78C0"/>
    <w:rsid w:val="00EF7B26"/>
    <w:rsid w:val="00F02D8B"/>
    <w:rsid w:val="00F037BD"/>
    <w:rsid w:val="00F04211"/>
    <w:rsid w:val="00F04EEC"/>
    <w:rsid w:val="00F06E68"/>
    <w:rsid w:val="00F07A58"/>
    <w:rsid w:val="00F117E3"/>
    <w:rsid w:val="00F125CE"/>
    <w:rsid w:val="00F12DFD"/>
    <w:rsid w:val="00F13646"/>
    <w:rsid w:val="00F2028F"/>
    <w:rsid w:val="00F21088"/>
    <w:rsid w:val="00F24317"/>
    <w:rsid w:val="00F24E16"/>
    <w:rsid w:val="00F268BE"/>
    <w:rsid w:val="00F26E2B"/>
    <w:rsid w:val="00F273FE"/>
    <w:rsid w:val="00F327AA"/>
    <w:rsid w:val="00F327E7"/>
    <w:rsid w:val="00F356DD"/>
    <w:rsid w:val="00F35746"/>
    <w:rsid w:val="00F36371"/>
    <w:rsid w:val="00F36F1E"/>
    <w:rsid w:val="00F37BF9"/>
    <w:rsid w:val="00F447C7"/>
    <w:rsid w:val="00F4573D"/>
    <w:rsid w:val="00F5211B"/>
    <w:rsid w:val="00F526E4"/>
    <w:rsid w:val="00F554A9"/>
    <w:rsid w:val="00F55A09"/>
    <w:rsid w:val="00F57E24"/>
    <w:rsid w:val="00F62155"/>
    <w:rsid w:val="00F647AE"/>
    <w:rsid w:val="00F64B05"/>
    <w:rsid w:val="00F716FD"/>
    <w:rsid w:val="00F721B6"/>
    <w:rsid w:val="00F80355"/>
    <w:rsid w:val="00F87C43"/>
    <w:rsid w:val="00F90B06"/>
    <w:rsid w:val="00F960D3"/>
    <w:rsid w:val="00FA0F4D"/>
    <w:rsid w:val="00FA2162"/>
    <w:rsid w:val="00FA2D53"/>
    <w:rsid w:val="00FA31C1"/>
    <w:rsid w:val="00FA58BE"/>
    <w:rsid w:val="00FB004A"/>
    <w:rsid w:val="00FB0C81"/>
    <w:rsid w:val="00FB17D3"/>
    <w:rsid w:val="00FB1EDC"/>
    <w:rsid w:val="00FB511B"/>
    <w:rsid w:val="00FC10C1"/>
    <w:rsid w:val="00FC2200"/>
    <w:rsid w:val="00FC2540"/>
    <w:rsid w:val="00FC4F96"/>
    <w:rsid w:val="00FC4FCA"/>
    <w:rsid w:val="00FC523B"/>
    <w:rsid w:val="00FC58DB"/>
    <w:rsid w:val="00FD07AF"/>
    <w:rsid w:val="00FE2CE5"/>
    <w:rsid w:val="00FE39BF"/>
    <w:rsid w:val="00FE7422"/>
    <w:rsid w:val="00FF0204"/>
    <w:rsid w:val="00FF1B8E"/>
    <w:rsid w:val="00FF31B5"/>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AD8CF"/>
  <w15:docId w15:val="{C2258B2C-8C42-4CC4-9AC1-B25FDB30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5D1149"/>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5D1149"/>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7B1BF0"/>
    <w:rPr>
      <w:sz w:val="22"/>
      <w:szCs w:val="22"/>
      <w:lang w:val="fr-CA"/>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7B1BF0"/>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7B1BF0"/>
    <w:rPr>
      <w:lang w:val="fr-CA"/>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7B1BF0"/>
    <w:rPr>
      <w:vertAlign w:val="superscript"/>
    </w:rPr>
  </w:style>
  <w:style w:type="paragraph" w:customStyle="1" w:styleId="lisa">
    <w:name w:val="lisa"/>
    <w:basedOn w:val="Normal"/>
    <w:rsid w:val="00932DA3"/>
    <w:pPr>
      <w:widowControl w:val="0"/>
      <w:numPr>
        <w:ilvl w:val="1"/>
        <w:numId w:val="27"/>
      </w:numPr>
      <w:spacing w:after="240"/>
      <w:outlineLvl w:val="1"/>
    </w:pPr>
    <w:rPr>
      <w:b/>
      <w:szCs w:val="24"/>
    </w:rPr>
  </w:style>
  <w:style w:type="character" w:styleId="Hyperlink">
    <w:name w:val="Hyperlink"/>
    <w:basedOn w:val="DefaultParagraphFont"/>
    <w:uiPriority w:val="99"/>
    <w:unhideWhenUsed/>
    <w:rsid w:val="005D1149"/>
    <w:rPr>
      <w:color w:val="0000FF"/>
      <w:u w:val="single"/>
    </w:rPr>
  </w:style>
  <w:style w:type="paragraph" w:customStyle="1" w:styleId="IIntroduction">
    <w:name w:val="I. Introduction"/>
    <w:basedOn w:val="Normal"/>
    <w:rsid w:val="00932DA3"/>
    <w:pPr>
      <w:numPr>
        <w:numId w:val="28"/>
      </w:numPr>
      <w:spacing w:before="240" w:after="240"/>
    </w:pPr>
    <w:rPr>
      <w:b/>
      <w:sz w:val="24"/>
      <w:szCs w:val="20"/>
    </w:rPr>
  </w:style>
  <w:style w:type="character" w:customStyle="1" w:styleId="FooterChar">
    <w:name w:val="Footer Char"/>
    <w:basedOn w:val="DefaultParagraphFont"/>
    <w:link w:val="Footer"/>
    <w:uiPriority w:val="99"/>
    <w:rsid w:val="006A5C1F"/>
    <w:rPr>
      <w:sz w:val="22"/>
      <w:szCs w:val="22"/>
      <w:lang w:val="fr-CA"/>
    </w:rPr>
  </w:style>
  <w:style w:type="paragraph" w:styleId="ListParagraph">
    <w:name w:val="List Paragraph"/>
    <w:basedOn w:val="Normal"/>
    <w:uiPriority w:val="34"/>
    <w:qFormat/>
    <w:rsid w:val="00F90B06"/>
    <w:pPr>
      <w:ind w:left="720"/>
      <w:contextualSpacing/>
      <w:jc w:val="left"/>
    </w:pPr>
    <w:rPr>
      <w:sz w:val="24"/>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90B06"/>
    <w:pPr>
      <w:spacing w:after="160" w:line="240" w:lineRule="exact"/>
    </w:pPr>
    <w:rPr>
      <w:sz w:val="20"/>
      <w:szCs w:val="20"/>
      <w:vertAlign w:val="superscript"/>
    </w:rPr>
  </w:style>
  <w:style w:type="character" w:styleId="PageNumber">
    <w:name w:val="page number"/>
    <w:basedOn w:val="DefaultParagraphFont"/>
    <w:uiPriority w:val="99"/>
    <w:semiHidden/>
    <w:unhideWhenUsed/>
    <w:rsid w:val="0028569D"/>
  </w:style>
  <w:style w:type="character" w:customStyle="1" w:styleId="apple-converted-space">
    <w:name w:val="apple-converted-space"/>
    <w:basedOn w:val="DefaultParagraphFont"/>
    <w:rsid w:val="005D1149"/>
  </w:style>
  <w:style w:type="paragraph" w:styleId="Revision">
    <w:name w:val="Revision"/>
    <w:hidden/>
    <w:uiPriority w:val="99"/>
    <w:semiHidden/>
    <w:rsid w:val="005D11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845">
      <w:bodyDiv w:val="1"/>
      <w:marLeft w:val="0"/>
      <w:marRight w:val="0"/>
      <w:marTop w:val="0"/>
      <w:marBottom w:val="0"/>
      <w:divBdr>
        <w:top w:val="none" w:sz="0" w:space="0" w:color="auto"/>
        <w:left w:val="none" w:sz="0" w:space="0" w:color="auto"/>
        <w:bottom w:val="none" w:sz="0" w:space="0" w:color="auto"/>
        <w:right w:val="none" w:sz="0" w:space="0" w:color="auto"/>
      </w:divBdr>
    </w:div>
    <w:div w:id="205486374">
      <w:bodyDiv w:val="1"/>
      <w:marLeft w:val="0"/>
      <w:marRight w:val="0"/>
      <w:marTop w:val="0"/>
      <w:marBottom w:val="0"/>
      <w:divBdr>
        <w:top w:val="none" w:sz="0" w:space="0" w:color="auto"/>
        <w:left w:val="none" w:sz="0" w:space="0" w:color="auto"/>
        <w:bottom w:val="none" w:sz="0" w:space="0" w:color="auto"/>
        <w:right w:val="none" w:sz="0" w:space="0" w:color="auto"/>
      </w:divBdr>
    </w:div>
    <w:div w:id="269162758">
      <w:bodyDiv w:val="1"/>
      <w:marLeft w:val="0"/>
      <w:marRight w:val="0"/>
      <w:marTop w:val="0"/>
      <w:marBottom w:val="0"/>
      <w:divBdr>
        <w:top w:val="none" w:sz="0" w:space="0" w:color="auto"/>
        <w:left w:val="none" w:sz="0" w:space="0" w:color="auto"/>
        <w:bottom w:val="none" w:sz="0" w:space="0" w:color="auto"/>
        <w:right w:val="none" w:sz="0" w:space="0" w:color="auto"/>
      </w:divBdr>
    </w:div>
    <w:div w:id="318965882">
      <w:bodyDiv w:val="1"/>
      <w:marLeft w:val="0"/>
      <w:marRight w:val="0"/>
      <w:marTop w:val="0"/>
      <w:marBottom w:val="0"/>
      <w:divBdr>
        <w:top w:val="none" w:sz="0" w:space="0" w:color="auto"/>
        <w:left w:val="none" w:sz="0" w:space="0" w:color="auto"/>
        <w:bottom w:val="none" w:sz="0" w:space="0" w:color="auto"/>
        <w:right w:val="none" w:sz="0" w:space="0" w:color="auto"/>
      </w:divBdr>
    </w:div>
    <w:div w:id="410584857">
      <w:bodyDiv w:val="1"/>
      <w:marLeft w:val="0"/>
      <w:marRight w:val="0"/>
      <w:marTop w:val="0"/>
      <w:marBottom w:val="0"/>
      <w:divBdr>
        <w:top w:val="none" w:sz="0" w:space="0" w:color="auto"/>
        <w:left w:val="none" w:sz="0" w:space="0" w:color="auto"/>
        <w:bottom w:val="none" w:sz="0" w:space="0" w:color="auto"/>
        <w:right w:val="none" w:sz="0" w:space="0" w:color="auto"/>
      </w:divBdr>
    </w:div>
    <w:div w:id="510872313">
      <w:bodyDiv w:val="1"/>
      <w:marLeft w:val="0"/>
      <w:marRight w:val="0"/>
      <w:marTop w:val="0"/>
      <w:marBottom w:val="0"/>
      <w:divBdr>
        <w:top w:val="none" w:sz="0" w:space="0" w:color="auto"/>
        <w:left w:val="none" w:sz="0" w:space="0" w:color="auto"/>
        <w:bottom w:val="none" w:sz="0" w:space="0" w:color="auto"/>
        <w:right w:val="none" w:sz="0" w:space="0" w:color="auto"/>
      </w:divBdr>
    </w:div>
    <w:div w:id="677778752">
      <w:bodyDiv w:val="1"/>
      <w:marLeft w:val="0"/>
      <w:marRight w:val="0"/>
      <w:marTop w:val="0"/>
      <w:marBottom w:val="0"/>
      <w:divBdr>
        <w:top w:val="none" w:sz="0" w:space="0" w:color="auto"/>
        <w:left w:val="none" w:sz="0" w:space="0" w:color="auto"/>
        <w:bottom w:val="none" w:sz="0" w:space="0" w:color="auto"/>
        <w:right w:val="none" w:sz="0" w:space="0" w:color="auto"/>
      </w:divBdr>
    </w:div>
    <w:div w:id="785663928">
      <w:bodyDiv w:val="1"/>
      <w:marLeft w:val="0"/>
      <w:marRight w:val="0"/>
      <w:marTop w:val="0"/>
      <w:marBottom w:val="0"/>
      <w:divBdr>
        <w:top w:val="none" w:sz="0" w:space="0" w:color="auto"/>
        <w:left w:val="none" w:sz="0" w:space="0" w:color="auto"/>
        <w:bottom w:val="none" w:sz="0" w:space="0" w:color="auto"/>
        <w:right w:val="none" w:sz="0" w:space="0" w:color="auto"/>
      </w:divBdr>
    </w:div>
    <w:div w:id="849216174">
      <w:bodyDiv w:val="1"/>
      <w:marLeft w:val="0"/>
      <w:marRight w:val="0"/>
      <w:marTop w:val="0"/>
      <w:marBottom w:val="0"/>
      <w:divBdr>
        <w:top w:val="none" w:sz="0" w:space="0" w:color="auto"/>
        <w:left w:val="none" w:sz="0" w:space="0" w:color="auto"/>
        <w:bottom w:val="none" w:sz="0" w:space="0" w:color="auto"/>
        <w:right w:val="none" w:sz="0" w:space="0" w:color="auto"/>
      </w:divBdr>
    </w:div>
    <w:div w:id="891579680">
      <w:bodyDiv w:val="1"/>
      <w:marLeft w:val="0"/>
      <w:marRight w:val="0"/>
      <w:marTop w:val="0"/>
      <w:marBottom w:val="0"/>
      <w:divBdr>
        <w:top w:val="none" w:sz="0" w:space="0" w:color="auto"/>
        <w:left w:val="none" w:sz="0" w:space="0" w:color="auto"/>
        <w:bottom w:val="none" w:sz="0" w:space="0" w:color="auto"/>
        <w:right w:val="none" w:sz="0" w:space="0" w:color="auto"/>
      </w:divBdr>
    </w:div>
    <w:div w:id="920139959">
      <w:bodyDiv w:val="1"/>
      <w:marLeft w:val="0"/>
      <w:marRight w:val="0"/>
      <w:marTop w:val="0"/>
      <w:marBottom w:val="0"/>
      <w:divBdr>
        <w:top w:val="none" w:sz="0" w:space="0" w:color="auto"/>
        <w:left w:val="none" w:sz="0" w:space="0" w:color="auto"/>
        <w:bottom w:val="none" w:sz="0" w:space="0" w:color="auto"/>
        <w:right w:val="none" w:sz="0" w:space="0" w:color="auto"/>
      </w:divBdr>
    </w:div>
    <w:div w:id="965307215">
      <w:bodyDiv w:val="1"/>
      <w:marLeft w:val="0"/>
      <w:marRight w:val="0"/>
      <w:marTop w:val="0"/>
      <w:marBottom w:val="0"/>
      <w:divBdr>
        <w:top w:val="none" w:sz="0" w:space="0" w:color="auto"/>
        <w:left w:val="none" w:sz="0" w:space="0" w:color="auto"/>
        <w:bottom w:val="none" w:sz="0" w:space="0" w:color="auto"/>
        <w:right w:val="none" w:sz="0" w:space="0" w:color="auto"/>
      </w:divBdr>
    </w:div>
    <w:div w:id="974873305">
      <w:bodyDiv w:val="1"/>
      <w:marLeft w:val="0"/>
      <w:marRight w:val="0"/>
      <w:marTop w:val="0"/>
      <w:marBottom w:val="0"/>
      <w:divBdr>
        <w:top w:val="none" w:sz="0" w:space="0" w:color="auto"/>
        <w:left w:val="none" w:sz="0" w:space="0" w:color="auto"/>
        <w:bottom w:val="none" w:sz="0" w:space="0" w:color="auto"/>
        <w:right w:val="none" w:sz="0" w:space="0" w:color="auto"/>
      </w:divBdr>
    </w:div>
    <w:div w:id="1120759010">
      <w:bodyDiv w:val="1"/>
      <w:marLeft w:val="0"/>
      <w:marRight w:val="0"/>
      <w:marTop w:val="0"/>
      <w:marBottom w:val="0"/>
      <w:divBdr>
        <w:top w:val="none" w:sz="0" w:space="0" w:color="auto"/>
        <w:left w:val="none" w:sz="0" w:space="0" w:color="auto"/>
        <w:bottom w:val="none" w:sz="0" w:space="0" w:color="auto"/>
        <w:right w:val="none" w:sz="0" w:space="0" w:color="auto"/>
      </w:divBdr>
    </w:div>
    <w:div w:id="1139759634">
      <w:bodyDiv w:val="1"/>
      <w:marLeft w:val="0"/>
      <w:marRight w:val="0"/>
      <w:marTop w:val="0"/>
      <w:marBottom w:val="0"/>
      <w:divBdr>
        <w:top w:val="none" w:sz="0" w:space="0" w:color="auto"/>
        <w:left w:val="none" w:sz="0" w:space="0" w:color="auto"/>
        <w:bottom w:val="none" w:sz="0" w:space="0" w:color="auto"/>
        <w:right w:val="none" w:sz="0" w:space="0" w:color="auto"/>
      </w:divBdr>
    </w:div>
    <w:div w:id="1141843116">
      <w:bodyDiv w:val="1"/>
      <w:marLeft w:val="0"/>
      <w:marRight w:val="0"/>
      <w:marTop w:val="0"/>
      <w:marBottom w:val="0"/>
      <w:divBdr>
        <w:top w:val="none" w:sz="0" w:space="0" w:color="auto"/>
        <w:left w:val="none" w:sz="0" w:space="0" w:color="auto"/>
        <w:bottom w:val="none" w:sz="0" w:space="0" w:color="auto"/>
        <w:right w:val="none" w:sz="0" w:space="0" w:color="auto"/>
      </w:divBdr>
    </w:div>
    <w:div w:id="1213925809">
      <w:bodyDiv w:val="1"/>
      <w:marLeft w:val="0"/>
      <w:marRight w:val="0"/>
      <w:marTop w:val="0"/>
      <w:marBottom w:val="0"/>
      <w:divBdr>
        <w:top w:val="none" w:sz="0" w:space="0" w:color="auto"/>
        <w:left w:val="none" w:sz="0" w:space="0" w:color="auto"/>
        <w:bottom w:val="none" w:sz="0" w:space="0" w:color="auto"/>
        <w:right w:val="none" w:sz="0" w:space="0" w:color="auto"/>
      </w:divBdr>
    </w:div>
    <w:div w:id="1221791193">
      <w:bodyDiv w:val="1"/>
      <w:marLeft w:val="0"/>
      <w:marRight w:val="0"/>
      <w:marTop w:val="0"/>
      <w:marBottom w:val="0"/>
      <w:divBdr>
        <w:top w:val="none" w:sz="0" w:space="0" w:color="auto"/>
        <w:left w:val="none" w:sz="0" w:space="0" w:color="auto"/>
        <w:bottom w:val="none" w:sz="0" w:space="0" w:color="auto"/>
        <w:right w:val="none" w:sz="0" w:space="0" w:color="auto"/>
      </w:divBdr>
    </w:div>
    <w:div w:id="1251542069">
      <w:bodyDiv w:val="1"/>
      <w:marLeft w:val="0"/>
      <w:marRight w:val="0"/>
      <w:marTop w:val="0"/>
      <w:marBottom w:val="0"/>
      <w:divBdr>
        <w:top w:val="none" w:sz="0" w:space="0" w:color="auto"/>
        <w:left w:val="none" w:sz="0" w:space="0" w:color="auto"/>
        <w:bottom w:val="none" w:sz="0" w:space="0" w:color="auto"/>
        <w:right w:val="none" w:sz="0" w:space="0" w:color="auto"/>
      </w:divBdr>
    </w:div>
    <w:div w:id="1302034943">
      <w:bodyDiv w:val="1"/>
      <w:marLeft w:val="0"/>
      <w:marRight w:val="0"/>
      <w:marTop w:val="0"/>
      <w:marBottom w:val="0"/>
      <w:divBdr>
        <w:top w:val="none" w:sz="0" w:space="0" w:color="auto"/>
        <w:left w:val="none" w:sz="0" w:space="0" w:color="auto"/>
        <w:bottom w:val="none" w:sz="0" w:space="0" w:color="auto"/>
        <w:right w:val="none" w:sz="0" w:space="0" w:color="auto"/>
      </w:divBdr>
    </w:div>
    <w:div w:id="1309095634">
      <w:bodyDiv w:val="1"/>
      <w:marLeft w:val="0"/>
      <w:marRight w:val="0"/>
      <w:marTop w:val="0"/>
      <w:marBottom w:val="0"/>
      <w:divBdr>
        <w:top w:val="none" w:sz="0" w:space="0" w:color="auto"/>
        <w:left w:val="none" w:sz="0" w:space="0" w:color="auto"/>
        <w:bottom w:val="none" w:sz="0" w:space="0" w:color="auto"/>
        <w:right w:val="none" w:sz="0" w:space="0" w:color="auto"/>
      </w:divBdr>
    </w:div>
    <w:div w:id="1343321089">
      <w:bodyDiv w:val="1"/>
      <w:marLeft w:val="0"/>
      <w:marRight w:val="0"/>
      <w:marTop w:val="0"/>
      <w:marBottom w:val="0"/>
      <w:divBdr>
        <w:top w:val="none" w:sz="0" w:space="0" w:color="auto"/>
        <w:left w:val="none" w:sz="0" w:space="0" w:color="auto"/>
        <w:bottom w:val="none" w:sz="0" w:space="0" w:color="auto"/>
        <w:right w:val="none" w:sz="0" w:space="0" w:color="auto"/>
      </w:divBdr>
    </w:div>
    <w:div w:id="1380933130">
      <w:bodyDiv w:val="1"/>
      <w:marLeft w:val="0"/>
      <w:marRight w:val="0"/>
      <w:marTop w:val="0"/>
      <w:marBottom w:val="0"/>
      <w:divBdr>
        <w:top w:val="none" w:sz="0" w:space="0" w:color="auto"/>
        <w:left w:val="none" w:sz="0" w:space="0" w:color="auto"/>
        <w:bottom w:val="none" w:sz="0" w:space="0" w:color="auto"/>
        <w:right w:val="none" w:sz="0" w:space="0" w:color="auto"/>
      </w:divBdr>
    </w:div>
    <w:div w:id="1446075746">
      <w:bodyDiv w:val="1"/>
      <w:marLeft w:val="0"/>
      <w:marRight w:val="0"/>
      <w:marTop w:val="0"/>
      <w:marBottom w:val="0"/>
      <w:divBdr>
        <w:top w:val="none" w:sz="0" w:space="0" w:color="auto"/>
        <w:left w:val="none" w:sz="0" w:space="0" w:color="auto"/>
        <w:bottom w:val="none" w:sz="0" w:space="0" w:color="auto"/>
        <w:right w:val="none" w:sz="0" w:space="0" w:color="auto"/>
      </w:divBdr>
    </w:div>
    <w:div w:id="1516577712">
      <w:bodyDiv w:val="1"/>
      <w:marLeft w:val="0"/>
      <w:marRight w:val="0"/>
      <w:marTop w:val="0"/>
      <w:marBottom w:val="0"/>
      <w:divBdr>
        <w:top w:val="none" w:sz="0" w:space="0" w:color="auto"/>
        <w:left w:val="none" w:sz="0" w:space="0" w:color="auto"/>
        <w:bottom w:val="none" w:sz="0" w:space="0" w:color="auto"/>
        <w:right w:val="none" w:sz="0" w:space="0" w:color="auto"/>
      </w:divBdr>
    </w:div>
    <w:div w:id="1529174237">
      <w:bodyDiv w:val="1"/>
      <w:marLeft w:val="0"/>
      <w:marRight w:val="0"/>
      <w:marTop w:val="0"/>
      <w:marBottom w:val="0"/>
      <w:divBdr>
        <w:top w:val="none" w:sz="0" w:space="0" w:color="auto"/>
        <w:left w:val="none" w:sz="0" w:space="0" w:color="auto"/>
        <w:bottom w:val="none" w:sz="0" w:space="0" w:color="auto"/>
        <w:right w:val="none" w:sz="0" w:space="0" w:color="auto"/>
      </w:divBdr>
    </w:div>
    <w:div w:id="1565990907">
      <w:bodyDiv w:val="1"/>
      <w:marLeft w:val="0"/>
      <w:marRight w:val="0"/>
      <w:marTop w:val="0"/>
      <w:marBottom w:val="0"/>
      <w:divBdr>
        <w:top w:val="none" w:sz="0" w:space="0" w:color="auto"/>
        <w:left w:val="none" w:sz="0" w:space="0" w:color="auto"/>
        <w:bottom w:val="none" w:sz="0" w:space="0" w:color="auto"/>
        <w:right w:val="none" w:sz="0" w:space="0" w:color="auto"/>
      </w:divBdr>
    </w:div>
    <w:div w:id="1582446341">
      <w:bodyDiv w:val="1"/>
      <w:marLeft w:val="0"/>
      <w:marRight w:val="0"/>
      <w:marTop w:val="0"/>
      <w:marBottom w:val="0"/>
      <w:divBdr>
        <w:top w:val="none" w:sz="0" w:space="0" w:color="auto"/>
        <w:left w:val="none" w:sz="0" w:space="0" w:color="auto"/>
        <w:bottom w:val="none" w:sz="0" w:space="0" w:color="auto"/>
        <w:right w:val="none" w:sz="0" w:space="0" w:color="auto"/>
      </w:divBdr>
    </w:div>
    <w:div w:id="1585535091">
      <w:bodyDiv w:val="1"/>
      <w:marLeft w:val="0"/>
      <w:marRight w:val="0"/>
      <w:marTop w:val="0"/>
      <w:marBottom w:val="0"/>
      <w:divBdr>
        <w:top w:val="none" w:sz="0" w:space="0" w:color="auto"/>
        <w:left w:val="none" w:sz="0" w:space="0" w:color="auto"/>
        <w:bottom w:val="none" w:sz="0" w:space="0" w:color="auto"/>
        <w:right w:val="none" w:sz="0" w:space="0" w:color="auto"/>
      </w:divBdr>
    </w:div>
    <w:div w:id="1696422981">
      <w:bodyDiv w:val="1"/>
      <w:marLeft w:val="0"/>
      <w:marRight w:val="0"/>
      <w:marTop w:val="0"/>
      <w:marBottom w:val="0"/>
      <w:divBdr>
        <w:top w:val="none" w:sz="0" w:space="0" w:color="auto"/>
        <w:left w:val="none" w:sz="0" w:space="0" w:color="auto"/>
        <w:bottom w:val="none" w:sz="0" w:space="0" w:color="auto"/>
        <w:right w:val="none" w:sz="0" w:space="0" w:color="auto"/>
      </w:divBdr>
    </w:div>
    <w:div w:id="1834880498">
      <w:bodyDiv w:val="1"/>
      <w:marLeft w:val="0"/>
      <w:marRight w:val="0"/>
      <w:marTop w:val="0"/>
      <w:marBottom w:val="0"/>
      <w:divBdr>
        <w:top w:val="none" w:sz="0" w:space="0" w:color="auto"/>
        <w:left w:val="none" w:sz="0" w:space="0" w:color="auto"/>
        <w:bottom w:val="none" w:sz="0" w:space="0" w:color="auto"/>
        <w:right w:val="none" w:sz="0" w:space="0" w:color="auto"/>
      </w:divBdr>
    </w:div>
    <w:div w:id="1851136817">
      <w:bodyDiv w:val="1"/>
      <w:marLeft w:val="0"/>
      <w:marRight w:val="0"/>
      <w:marTop w:val="0"/>
      <w:marBottom w:val="0"/>
      <w:divBdr>
        <w:top w:val="none" w:sz="0" w:space="0" w:color="auto"/>
        <w:left w:val="none" w:sz="0" w:space="0" w:color="auto"/>
        <w:bottom w:val="none" w:sz="0" w:space="0" w:color="auto"/>
        <w:right w:val="none" w:sz="0" w:space="0" w:color="auto"/>
      </w:divBdr>
    </w:div>
    <w:div w:id="185376041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4654882">
      <w:bodyDiv w:val="1"/>
      <w:marLeft w:val="0"/>
      <w:marRight w:val="0"/>
      <w:marTop w:val="0"/>
      <w:marBottom w:val="0"/>
      <w:divBdr>
        <w:top w:val="none" w:sz="0" w:space="0" w:color="auto"/>
        <w:left w:val="none" w:sz="0" w:space="0" w:color="auto"/>
        <w:bottom w:val="none" w:sz="0" w:space="0" w:color="auto"/>
        <w:right w:val="none" w:sz="0" w:space="0" w:color="auto"/>
      </w:divBdr>
    </w:div>
    <w:div w:id="1920871634">
      <w:bodyDiv w:val="1"/>
      <w:marLeft w:val="0"/>
      <w:marRight w:val="0"/>
      <w:marTop w:val="0"/>
      <w:marBottom w:val="0"/>
      <w:divBdr>
        <w:top w:val="none" w:sz="0" w:space="0" w:color="auto"/>
        <w:left w:val="none" w:sz="0" w:space="0" w:color="auto"/>
        <w:bottom w:val="none" w:sz="0" w:space="0" w:color="auto"/>
        <w:right w:val="none" w:sz="0" w:space="0" w:color="auto"/>
      </w:divBdr>
    </w:div>
    <w:div w:id="1970549175">
      <w:bodyDiv w:val="1"/>
      <w:marLeft w:val="0"/>
      <w:marRight w:val="0"/>
      <w:marTop w:val="0"/>
      <w:marBottom w:val="0"/>
      <w:divBdr>
        <w:top w:val="none" w:sz="0" w:space="0" w:color="auto"/>
        <w:left w:val="none" w:sz="0" w:space="0" w:color="auto"/>
        <w:bottom w:val="none" w:sz="0" w:space="0" w:color="auto"/>
        <w:right w:val="none" w:sz="0" w:space="0" w:color="auto"/>
      </w:divBdr>
    </w:div>
    <w:div w:id="2019891002">
      <w:bodyDiv w:val="1"/>
      <w:marLeft w:val="0"/>
      <w:marRight w:val="0"/>
      <w:marTop w:val="0"/>
      <w:marBottom w:val="0"/>
      <w:divBdr>
        <w:top w:val="none" w:sz="0" w:space="0" w:color="auto"/>
        <w:left w:val="none" w:sz="0" w:space="0" w:color="auto"/>
        <w:bottom w:val="none" w:sz="0" w:space="0" w:color="auto"/>
        <w:right w:val="none" w:sz="0" w:space="0" w:color="auto"/>
      </w:divBdr>
    </w:div>
    <w:div w:id="2029065025">
      <w:bodyDiv w:val="1"/>
      <w:marLeft w:val="0"/>
      <w:marRight w:val="0"/>
      <w:marTop w:val="0"/>
      <w:marBottom w:val="0"/>
      <w:divBdr>
        <w:top w:val="none" w:sz="0" w:space="0" w:color="auto"/>
        <w:left w:val="none" w:sz="0" w:space="0" w:color="auto"/>
        <w:bottom w:val="none" w:sz="0" w:space="0" w:color="auto"/>
        <w:right w:val="none" w:sz="0" w:space="0" w:color="auto"/>
      </w:divBdr>
    </w:div>
    <w:div w:id="2039889513">
      <w:bodyDiv w:val="1"/>
      <w:marLeft w:val="0"/>
      <w:marRight w:val="0"/>
      <w:marTop w:val="0"/>
      <w:marBottom w:val="0"/>
      <w:divBdr>
        <w:top w:val="none" w:sz="0" w:space="0" w:color="auto"/>
        <w:left w:val="none" w:sz="0" w:space="0" w:color="auto"/>
        <w:bottom w:val="none" w:sz="0" w:space="0" w:color="auto"/>
        <w:right w:val="none" w:sz="0" w:space="0" w:color="auto"/>
      </w:divBdr>
    </w:div>
    <w:div w:id="2072337958">
      <w:bodyDiv w:val="1"/>
      <w:marLeft w:val="0"/>
      <w:marRight w:val="0"/>
      <w:marTop w:val="0"/>
      <w:marBottom w:val="0"/>
      <w:divBdr>
        <w:top w:val="none" w:sz="0" w:space="0" w:color="auto"/>
        <w:left w:val="none" w:sz="0" w:space="0" w:color="auto"/>
        <w:bottom w:val="none" w:sz="0" w:space="0" w:color="auto"/>
        <w:right w:val="none" w:sz="0" w:space="0" w:color="auto"/>
      </w:divBdr>
    </w:div>
    <w:div w:id="2097434932">
      <w:bodyDiv w:val="1"/>
      <w:marLeft w:val="0"/>
      <w:marRight w:val="0"/>
      <w:marTop w:val="0"/>
      <w:marBottom w:val="0"/>
      <w:divBdr>
        <w:top w:val="none" w:sz="0" w:space="0" w:color="auto"/>
        <w:left w:val="none" w:sz="0" w:space="0" w:color="auto"/>
        <w:bottom w:val="none" w:sz="0" w:space="0" w:color="auto"/>
        <w:right w:val="none" w:sz="0" w:space="0" w:color="auto"/>
      </w:divBdr>
    </w:div>
    <w:div w:id="21313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UNEP/OzL.Pro/ExCom/84/13</Document_x0020_Number>
  </documentManagement>
</p:properties>
</file>

<file path=customXml/itemProps1.xml><?xml version="1.0" encoding="utf-8"?>
<ds:datastoreItem xmlns:ds="http://schemas.openxmlformats.org/officeDocument/2006/customXml" ds:itemID="{19D304B3-E62F-48CB-9FD0-259D3DF044F5}"/>
</file>

<file path=customXml/itemProps2.xml><?xml version="1.0" encoding="utf-8"?>
<ds:datastoreItem xmlns:ds="http://schemas.openxmlformats.org/officeDocument/2006/customXml" ds:itemID="{60D34955-BBC1-4A29-A72F-8800F3CDC884}"/>
</file>

<file path=customXml/itemProps3.xml><?xml version="1.0" encoding="utf-8"?>
<ds:datastoreItem xmlns:ds="http://schemas.openxmlformats.org/officeDocument/2006/customXml" ds:itemID="{907E46D0-43EB-45B2-88D1-FCDCD8466298}"/>
</file>

<file path=customXml/itemProps4.xml><?xml version="1.0" encoding="utf-8"?>
<ds:datastoreItem xmlns:ds="http://schemas.openxmlformats.org/officeDocument/2006/customXml" ds:itemID="{A668C418-CE97-48CF-BCE1-52350F1406BB}"/>
</file>

<file path=customXml/itemProps5.xml><?xml version="1.0" encoding="utf-8"?>
<ds:datastoreItem xmlns:ds="http://schemas.openxmlformats.org/officeDocument/2006/customXml" ds:itemID="{73AF0C46-AE56-45AC-9C22-26462FD5E390}"/>
</file>

<file path=docProps/app.xml><?xml version="1.0" encoding="utf-8"?>
<Properties xmlns="http://schemas.openxmlformats.org/officeDocument/2006/extended-properties" xmlns:vt="http://schemas.openxmlformats.org/officeDocument/2006/docPropsVTypes">
  <Template>Eec84G</Template>
  <TotalTime>79</TotalTime>
  <Pages>4</Pages>
  <Words>1742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Mandat de l’étude théorique sur l’évaluation des réseaux régionaux d’administrateurs des bureaux nationaux de l’ozone</vt:lpstr>
      <vt:lpstr>Terms of reference for the evaluation of the regional networks of national ozone officers</vt:lpstr>
    </vt:vector>
  </TitlesOfParts>
  <Manager/>
  <Company>UNMFS</Company>
  <LinksUpToDate>false</LinksUpToDate>
  <CharactersWithSpaces>11938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l’étude théorique sur l’évaluation des réseaux régionaux d’administrateurs des bureaux nationaux de l’ozone</dc:title>
  <dc:subject/>
  <dc:creator>Joel Pare-Julien</dc:creator>
  <cp:keywords/>
  <dc:description/>
  <cp:lastModifiedBy>HBE</cp:lastModifiedBy>
  <cp:revision>16</cp:revision>
  <cp:lastPrinted>2019-11-26T15:48:00Z</cp:lastPrinted>
  <dcterms:created xsi:type="dcterms:W3CDTF">2019-11-29T13:03:00Z</dcterms:created>
  <dcterms:modified xsi:type="dcterms:W3CDTF">2019-11-30T22:29:00Z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UNEP/OzL.Pro/ExCom/84/13</vt:lpwstr>
  </property>
  <property fmtid="{D5CDD505-2E9C-101B-9397-08002B2CF9AE}" pid="3" name="Revision date">
    <vt:lpwstr>11/26/2019</vt:lpwstr>
  </property>
  <property fmtid="{D5CDD505-2E9C-101B-9397-08002B2CF9AE}" pid="4" name="ContentTypeId">
    <vt:lpwstr>0x010100109683CADC4F284EA5F0B82357B5BF3A</vt:lpwstr>
  </property>
</Properties>
</file>