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trPr>
          <w:trHeight w:val="720"/>
        </w:trPr>
        <w:tc>
          <w:tcPr>
            <w:tcW w:w="7061" w:type="dxa"/>
            <w:gridSpan w:val="2"/>
            <w:tcBorders>
              <w:bottom w:val="single" w:sz="18" w:space="0" w:color="auto"/>
            </w:tcBorders>
          </w:tcPr>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rsidR="00441083" w:rsidRDefault="00E60D9C">
            <w:pPr>
              <w:tabs>
                <w:tab w:val="left" w:pos="3010"/>
              </w:tabs>
              <w:jc w:val="center"/>
              <w:rPr>
                <w:sz w:val="52"/>
                <w:szCs w:val="52"/>
              </w:rPr>
            </w:pPr>
            <w:r>
              <w:rPr>
                <w:rFonts w:ascii="Univers Bold" w:hAnsi="Univers Bold"/>
                <w:b/>
                <w:sz w:val="72"/>
                <w:lang w:val="fr-CA"/>
              </w:rPr>
              <w:t xml:space="preserve">          EP</w:t>
            </w:r>
          </w:p>
        </w:tc>
      </w:tr>
      <w:tr w:rsidR="00441083" w:rsidRP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Default="00C6443E">
            <w:pPr>
              <w:spacing w:before="120"/>
            </w:pPr>
            <w:r>
              <w:rPr>
                <w:noProof/>
                <w:lang w:val="en-CA" w:eastAsia="en-CA"/>
              </w:rPr>
              <w:drawing>
                <wp:anchor distT="0" distB="0" distL="114300" distR="114300" simplePos="0" relativeHeight="251660288" behindDoc="0" locked="0" layoutInCell="1" allowOverlap="1">
                  <wp:simplePos x="0" y="0"/>
                  <wp:positionH relativeFrom="column">
                    <wp:posOffset>346075</wp:posOffset>
                  </wp:positionH>
                  <wp:positionV relativeFrom="paragraph">
                    <wp:posOffset>973455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anchor>
              </w:drawing>
            </w:r>
          </w:p>
        </w:tc>
        <w:tc>
          <w:tcPr>
            <w:tcW w:w="4991" w:type="dxa"/>
            <w:tcBorders>
              <w:top w:val="nil"/>
              <w:left w:val="nil"/>
              <w:bottom w:val="single" w:sz="36" w:space="0" w:color="auto"/>
              <w:right w:val="nil"/>
            </w:tcBorders>
          </w:tcPr>
          <w:p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rsidR="00441083" w:rsidRDefault="00E60D9C">
            <w:pPr>
              <w:rPr>
                <w:rFonts w:ascii="Univers" w:hAnsi="Univers"/>
                <w:b/>
                <w:sz w:val="32"/>
                <w:lang w:val="fr-CA"/>
              </w:rPr>
            </w:pPr>
            <w:r>
              <w:rPr>
                <w:rFonts w:ascii="Univers" w:hAnsi="Univers"/>
                <w:b/>
                <w:sz w:val="32"/>
                <w:lang w:val="fr-CA"/>
              </w:rPr>
              <w:t>Nations Unies pour</w:t>
            </w:r>
          </w:p>
          <w:p w:rsidR="00441083" w:rsidRDefault="00E60D9C">
            <w:pPr>
              <w:rPr>
                <w:rFonts w:ascii="Univers" w:hAnsi="Univers"/>
                <w:b/>
                <w:sz w:val="32"/>
                <w:lang w:val="fr-CA"/>
              </w:rPr>
            </w:pPr>
            <w:r>
              <w:rPr>
                <w:rFonts w:ascii="Univers" w:hAnsi="Univers"/>
                <w:b/>
                <w:sz w:val="32"/>
                <w:lang w:val="fr-CA"/>
              </w:rPr>
              <w:t>l’environnement</w:t>
            </w:r>
          </w:p>
          <w:p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441083" w:rsidRDefault="00441083">
            <w:pPr>
              <w:rPr>
                <w:lang w:val="fr-FR"/>
              </w:rPr>
            </w:pPr>
          </w:p>
          <w:p w:rsidR="00441083" w:rsidRPr="00DD3433" w:rsidRDefault="00E60D9C">
            <w:pPr>
              <w:rPr>
                <w:lang w:val="fr-FR"/>
              </w:rPr>
            </w:pPr>
            <w:r w:rsidRPr="00DD3433">
              <w:rPr>
                <w:lang w:val="fr-FR"/>
              </w:rPr>
              <w:t>Distr.</w:t>
            </w:r>
          </w:p>
          <w:p w:rsidR="00441083" w:rsidRPr="00DD3433" w:rsidRDefault="00E60D9C" w:rsidP="00DD3433">
            <w:pPr>
              <w:rPr>
                <w:lang w:val="fr-FR"/>
              </w:rPr>
            </w:pPr>
            <w:r w:rsidRPr="00DD3433">
              <w:rPr>
                <w:lang w:val="fr-FR"/>
              </w:rPr>
              <w:t>G</w:t>
            </w:r>
            <w:r w:rsidR="00DD3433" w:rsidRPr="00DD3433">
              <w:rPr>
                <w:lang w:val="fr-FR"/>
              </w:rPr>
              <w:t>É</w:t>
            </w:r>
            <w:r w:rsidRPr="00DD3433">
              <w:rPr>
                <w:lang w:val="fr-FR"/>
              </w:rPr>
              <w:t>N</w:t>
            </w:r>
            <w:r w:rsidR="00DD3433" w:rsidRPr="00DD3433">
              <w:rPr>
                <w:lang w:val="fr-FR"/>
              </w:rPr>
              <w:t>É</w:t>
            </w:r>
            <w:r w:rsidRPr="00DD3433">
              <w:rPr>
                <w:lang w:val="fr-FR"/>
              </w:rPr>
              <w:t>RAL</w:t>
            </w:r>
            <w:r w:rsidR="00FF3CF1" w:rsidRPr="00DD3433">
              <w:rPr>
                <w:lang w:val="fr-FR"/>
              </w:rPr>
              <w:t>E</w:t>
            </w:r>
          </w:p>
          <w:p w:rsidR="00441083" w:rsidRPr="00DD3433" w:rsidRDefault="00441083">
            <w:pPr>
              <w:rPr>
                <w:lang w:val="fr-FR"/>
              </w:rPr>
            </w:pPr>
          </w:p>
          <w:p w:rsidR="00441083" w:rsidRPr="00FF3CF1" w:rsidRDefault="00273CE4" w:rsidP="00CA456B">
            <w:pPr>
              <w:rPr>
                <w:lang w:val="fr-FR"/>
              </w:rPr>
            </w:pPr>
            <w:r>
              <w:fldChar w:fldCharType="begin"/>
            </w:r>
            <w:r w:rsidR="00E60D9C" w:rsidRPr="00DD3433">
              <w:rPr>
                <w:lang w:val="fr-FR"/>
              </w:rPr>
              <w:instrText xml:space="preserve"> DOCPROPERTY "Document number"  \* MERGEFORMAT </w:instrText>
            </w:r>
            <w:r>
              <w:fldChar w:fldCharType="separate"/>
            </w:r>
            <w:r w:rsidR="00CA456B">
              <w:rPr>
                <w:lang w:val="fr-FR"/>
              </w:rPr>
              <w:t>UNEP/OzL.Pro/ExCom/84/5</w:t>
            </w:r>
            <w:r>
              <w:fldChar w:fldCharType="end"/>
            </w:r>
          </w:p>
          <w:p w:rsidR="002F0B57" w:rsidRPr="00FF3CF1" w:rsidRDefault="00273CE4" w:rsidP="000F6C8E">
            <w:pPr>
              <w:rPr>
                <w:lang w:val="fr-FR"/>
              </w:rPr>
            </w:pPr>
            <w:r>
              <w:fldChar w:fldCharType="begin"/>
            </w:r>
            <w:r w:rsidR="002F0B57" w:rsidRPr="00FF3CF1">
              <w:rPr>
                <w:lang w:val="fr-FR"/>
              </w:rPr>
              <w:instrText xml:space="preserve"> DOCPROPERTY "Revision date" \@ "d MMMM YYYY"  \* MERGEFORMAT </w:instrText>
            </w:r>
            <w:r>
              <w:fldChar w:fldCharType="separate"/>
            </w:r>
            <w:r w:rsidR="00CA456B">
              <w:rPr>
                <w:lang w:val="fr-FR"/>
              </w:rPr>
              <w:t>19 novembre 2019</w:t>
            </w:r>
            <w:r>
              <w:fldChar w:fldCharType="end"/>
            </w:r>
          </w:p>
          <w:p w:rsidR="00441083" w:rsidRDefault="00FC5578">
            <w:pPr>
              <w:rPr>
                <w:caps/>
                <w:lang w:val="fr-FR"/>
              </w:rPr>
            </w:pPr>
            <w:r w:rsidRPr="00FF3CF1">
              <w:rPr>
                <w:caps/>
                <w:lang w:val="fr-FR"/>
              </w:rPr>
              <w:br/>
            </w:r>
            <w:r w:rsidR="00E60D9C">
              <w:rPr>
                <w:caps/>
                <w:lang w:val="fr-FR"/>
              </w:rPr>
              <w:t>FRANÇAIS</w:t>
            </w:r>
          </w:p>
          <w:p w:rsidR="00441083" w:rsidRPr="00B617C3" w:rsidRDefault="00E60D9C">
            <w:pPr>
              <w:rPr>
                <w:lang w:val="fr-FR"/>
              </w:rPr>
            </w:pPr>
            <w:r w:rsidRPr="00B617C3">
              <w:rPr>
                <w:lang w:val="fr-FR"/>
              </w:rPr>
              <w:t xml:space="preserve">ORIGINAL: </w:t>
            </w:r>
            <w:r w:rsidR="0091161A" w:rsidRPr="00B617C3">
              <w:rPr>
                <w:lang w:val="fr-FR"/>
              </w:rPr>
              <w:t>ANGLAIS</w:t>
            </w:r>
          </w:p>
        </w:tc>
      </w:tr>
    </w:tbl>
    <w:p w:rsidR="00441083" w:rsidRDefault="00441083">
      <w:pPr>
        <w:jc w:val="left"/>
        <w:rPr>
          <w:lang w:val="fr-CA"/>
        </w:rPr>
      </w:pPr>
    </w:p>
    <w:p w:rsidR="00441083" w:rsidRDefault="00E60D9C" w:rsidP="00DD3433">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AE63D8">
        <w:rPr>
          <w:lang w:val="fr-CA"/>
        </w:rPr>
        <w:t>-</w:t>
      </w:r>
      <w:r w:rsidR="00AC013C">
        <w:rPr>
          <w:lang w:val="fr-CA"/>
        </w:rPr>
        <w:t>quat</w:t>
      </w:r>
      <w:r w:rsidR="004C2C87">
        <w:rPr>
          <w:lang w:val="fr-CA"/>
        </w:rPr>
        <w:t>ri</w:t>
      </w:r>
      <w:r w:rsidR="00E54871">
        <w:rPr>
          <w:lang w:val="fr-CA"/>
        </w:rPr>
        <w:t>ème</w:t>
      </w:r>
      <w:r w:rsidR="00FC5578" w:rsidRPr="00FC5578">
        <w:rPr>
          <w:lang w:val="fr-CA"/>
        </w:rPr>
        <w:t xml:space="preserve"> </w:t>
      </w:r>
      <w:r>
        <w:rPr>
          <w:lang w:val="fr-CA"/>
        </w:rPr>
        <w:t>réunion</w:t>
      </w:r>
    </w:p>
    <w:p w:rsidR="00441083" w:rsidRDefault="00E54871" w:rsidP="00AC013C">
      <w:pPr>
        <w:jc w:val="left"/>
        <w:rPr>
          <w:lang w:val="fr-CA"/>
        </w:rPr>
      </w:pPr>
      <w:r>
        <w:rPr>
          <w:lang w:val="fr-CA"/>
        </w:rPr>
        <w:t>Montr</w:t>
      </w:r>
      <w:r w:rsidRPr="00A25CBF">
        <w:rPr>
          <w:lang w:val="fr-FR"/>
        </w:rPr>
        <w:t>é</w:t>
      </w:r>
      <w:r>
        <w:rPr>
          <w:lang w:val="fr-CA"/>
        </w:rPr>
        <w:t>al,</w:t>
      </w:r>
      <w:r w:rsidR="00FC5578">
        <w:rPr>
          <w:lang w:val="fr-CA"/>
        </w:rPr>
        <w:t xml:space="preserve"> </w:t>
      </w:r>
      <w:r w:rsidR="00AC013C">
        <w:rPr>
          <w:lang w:val="fr-CA"/>
        </w:rPr>
        <w:t xml:space="preserve">16 </w:t>
      </w:r>
      <w:r w:rsidR="00E60D9C">
        <w:rPr>
          <w:lang w:val="fr-CA"/>
        </w:rPr>
        <w:t xml:space="preserve">– </w:t>
      </w:r>
      <w:r w:rsidR="00AC013C">
        <w:rPr>
          <w:lang w:val="fr-CA"/>
        </w:rPr>
        <w:t>20 décembre</w:t>
      </w:r>
      <w:r w:rsidR="004C2C87">
        <w:rPr>
          <w:lang w:val="fr-CA"/>
        </w:rPr>
        <w:t xml:space="preserve"> 2019</w:t>
      </w:r>
    </w:p>
    <w:p w:rsidR="00441083" w:rsidRDefault="00441083">
      <w:pPr>
        <w:jc w:val="left"/>
        <w:rPr>
          <w:lang w:val="fr-CA"/>
        </w:rPr>
      </w:pPr>
    </w:p>
    <w:p w:rsidR="00441083" w:rsidRDefault="00441083">
      <w:pPr>
        <w:pStyle w:val="Title1"/>
        <w:rPr>
          <w:lang w:val="fr-FR"/>
        </w:rPr>
      </w:pPr>
    </w:p>
    <w:p w:rsidR="00441083" w:rsidRDefault="00441083">
      <w:pPr>
        <w:pStyle w:val="Title1"/>
        <w:rPr>
          <w:lang w:val="fr-FR"/>
        </w:rPr>
      </w:pPr>
    </w:p>
    <w:p w:rsidR="00441083" w:rsidRDefault="00E5512D">
      <w:pPr>
        <w:jc w:val="center"/>
        <w:rPr>
          <w:lang w:val="fr-CA"/>
        </w:rPr>
      </w:pPr>
      <w:r w:rsidRPr="00E5512D">
        <w:rPr>
          <w:b/>
          <w:caps/>
          <w:lang w:val="fr-FR"/>
        </w:rPr>
        <w:t>État des contributions supplémentaires aux Fonds multilatéral et disponibilité des ressources</w:t>
      </w:r>
      <w:r w:rsidRPr="00E5512D">
        <w:rPr>
          <w:b/>
          <w:lang w:val="fr-FR"/>
        </w:rPr>
        <w:t xml:space="preserve"> </w:t>
      </w:r>
      <w:r w:rsidRPr="00E5512D">
        <w:rPr>
          <w:b/>
          <w:bCs/>
          <w:lang w:val="fr-FR"/>
        </w:rPr>
        <w:t>(DÉCISION 83/4(c))</w:t>
      </w:r>
    </w:p>
    <w:p w:rsidR="00441083" w:rsidRDefault="00441083">
      <w:pPr>
        <w:jc w:val="center"/>
        <w:rPr>
          <w:lang w:val="fr-CA"/>
        </w:rPr>
      </w:pPr>
    </w:p>
    <w:p w:rsidR="00E5512D" w:rsidRDefault="00E5512D" w:rsidP="00E5512D">
      <w:pPr>
        <w:jc w:val="center"/>
        <w:rPr>
          <w:b/>
          <w:bCs/>
        </w:rPr>
      </w:pPr>
      <w:r>
        <w:rPr>
          <w:b/>
          <w:bCs/>
        </w:rPr>
        <w:t>Rapport du Trésorier</w:t>
      </w:r>
    </w:p>
    <w:p w:rsidR="00A075ED" w:rsidRDefault="00A075ED" w:rsidP="00E5512D">
      <w:pPr>
        <w:jc w:val="center"/>
        <w:rPr>
          <w:b/>
          <w:bCs/>
        </w:rPr>
      </w:pPr>
    </w:p>
    <w:p w:rsidR="00E5512D" w:rsidRPr="00A11B88" w:rsidRDefault="00E5512D" w:rsidP="00E5512D">
      <w:pPr>
        <w:tabs>
          <w:tab w:val="left" w:pos="0"/>
        </w:tabs>
      </w:pPr>
    </w:p>
    <w:p w:rsidR="00E5512D" w:rsidRPr="00E5512D" w:rsidRDefault="00E5512D" w:rsidP="00E5512D">
      <w:pPr>
        <w:pStyle w:val="Heading1"/>
        <w:numPr>
          <w:ilvl w:val="0"/>
          <w:numId w:val="24"/>
        </w:numPr>
        <w:rPr>
          <w:lang w:val="fr-FR"/>
        </w:rPr>
      </w:pPr>
      <w:r w:rsidRPr="00E5512D">
        <w:rPr>
          <w:lang w:val="fr-FR"/>
        </w:rPr>
        <w:t>Lors de sa 77</w:t>
      </w:r>
      <w:r w:rsidRPr="00E5512D">
        <w:rPr>
          <w:vertAlign w:val="superscript"/>
          <w:lang w:val="fr-FR"/>
        </w:rPr>
        <w:t>e</w:t>
      </w:r>
      <w:r w:rsidRPr="00E5512D">
        <w:rPr>
          <w:lang w:val="fr-FR"/>
        </w:rPr>
        <w:t xml:space="preserve"> réunion, le Comité exécutif a accepté avec satisfaction les contributions supplémentaires promises par plusieurs Parties non visées à l’Article 5 (pays donateurs) pour un démarrage rapide de la mise en œuvre de l’amendement de Kigali, tout en remarquant que ce type de financement est ponctuel et isolé et ne se substitue aucunement aux contributions des donateurs (décision 77/59(d)(i)). Le Trésorier a ainsi reçu, en date du 7 août 2018, 25 513 071 $ US, qui représentent le montant total des contributions supplémentaires promises par le groupe </w:t>
      </w:r>
      <w:r w:rsidR="00A2681A">
        <w:rPr>
          <w:lang w:val="fr-FR"/>
        </w:rPr>
        <w:t>constitué de 17 pays donateurs.</w:t>
      </w:r>
    </w:p>
    <w:p w:rsidR="00E5512D" w:rsidRPr="00E5512D" w:rsidRDefault="00E5512D" w:rsidP="00E5512D">
      <w:pPr>
        <w:pStyle w:val="Heading1"/>
        <w:numPr>
          <w:ilvl w:val="0"/>
          <w:numId w:val="24"/>
        </w:numPr>
        <w:rPr>
          <w:lang w:val="fr-FR"/>
        </w:rPr>
      </w:pPr>
      <w:r w:rsidRPr="00E5512D">
        <w:rPr>
          <w:lang w:val="fr-FR"/>
        </w:rPr>
        <w:t>Des revenus complémentaires de 253 304 $ US ont été reçus en tant qu’intérêts accumulés</w:t>
      </w:r>
      <w:r>
        <w:rPr>
          <w:rStyle w:val="FootnoteReference"/>
        </w:rPr>
        <w:footnoteReference w:id="1"/>
      </w:r>
      <w:r w:rsidRPr="00E5512D">
        <w:rPr>
          <w:lang w:val="fr-FR"/>
        </w:rPr>
        <w:t xml:space="preserve"> au 30 juin 2019 sur les contributions supplémentaires, donnant un montant total de 25 766 375 $ US pour la programmation.</w:t>
      </w:r>
    </w:p>
    <w:p w:rsidR="004B21CF" w:rsidRDefault="00E5512D" w:rsidP="00E5512D">
      <w:pPr>
        <w:pStyle w:val="Heading1"/>
        <w:rPr>
          <w:lang w:val="fr-FR"/>
        </w:rPr>
      </w:pPr>
      <w:r w:rsidRPr="00E5512D">
        <w:rPr>
          <w:lang w:val="fr-FR"/>
        </w:rPr>
        <w:t>Entre la 79</w:t>
      </w:r>
      <w:r w:rsidRPr="00E5512D">
        <w:rPr>
          <w:vertAlign w:val="superscript"/>
          <w:lang w:val="fr-FR"/>
        </w:rPr>
        <w:t>e</w:t>
      </w:r>
      <w:r w:rsidRPr="00E5512D">
        <w:rPr>
          <w:lang w:val="fr-FR"/>
        </w:rPr>
        <w:t> réunion et la 83</w:t>
      </w:r>
      <w:r w:rsidRPr="00E5512D">
        <w:rPr>
          <w:vertAlign w:val="superscript"/>
          <w:lang w:val="fr-FR"/>
        </w:rPr>
        <w:t>e</w:t>
      </w:r>
      <w:r w:rsidRPr="00E5512D">
        <w:rPr>
          <w:lang w:val="fr-FR"/>
        </w:rPr>
        <w:t> réunion, le Comité exécutif a approuvé un financement de 25 770 680 $ US à destination des agences bilatérales</w:t>
      </w:r>
      <w:r>
        <w:rPr>
          <w:rStyle w:val="FootnoteReference"/>
        </w:rPr>
        <w:footnoteReference w:id="2"/>
      </w:r>
      <w:r w:rsidRPr="00E5512D">
        <w:rPr>
          <w:lang w:val="fr-FR"/>
        </w:rPr>
        <w:t xml:space="preserve"> et des agences d’exécution, comme indiqué dans le tableau 1.</w:t>
      </w:r>
    </w:p>
    <w:p w:rsidR="004B21CF" w:rsidRDefault="004B21CF" w:rsidP="004B21CF">
      <w:pPr>
        <w:rPr>
          <w:lang w:val="fr-FR"/>
        </w:rPr>
      </w:pPr>
      <w:r>
        <w:rPr>
          <w:lang w:val="fr-FR"/>
        </w:rPr>
        <w:br w:type="page"/>
      </w:r>
    </w:p>
    <w:p w:rsidR="00E5512D" w:rsidRPr="00E5512D" w:rsidRDefault="00E5512D" w:rsidP="00E5512D">
      <w:pPr>
        <w:rPr>
          <w:b/>
          <w:sz w:val="21"/>
          <w:szCs w:val="21"/>
          <w:lang w:val="fr-FR"/>
        </w:rPr>
      </w:pPr>
      <w:r w:rsidRPr="00E5512D">
        <w:rPr>
          <w:b/>
          <w:sz w:val="21"/>
          <w:szCs w:val="21"/>
          <w:lang w:val="fr-FR"/>
        </w:rPr>
        <w:lastRenderedPageBreak/>
        <w:t>Tableau 1. Financement issu des contributions supplémentaires et approuvé par le Comité exécutif</w:t>
      </w:r>
    </w:p>
    <w:tbl>
      <w:tblPr>
        <w:tblStyle w:val="TableGrid"/>
        <w:tblW w:w="0" w:type="auto"/>
        <w:tblLook w:val="04A0" w:firstRow="1" w:lastRow="0" w:firstColumn="1" w:lastColumn="0" w:noHBand="0" w:noVBand="1"/>
      </w:tblPr>
      <w:tblGrid>
        <w:gridCol w:w="939"/>
        <w:gridCol w:w="6450"/>
        <w:gridCol w:w="1984"/>
      </w:tblGrid>
      <w:tr w:rsidR="00E5512D" w:rsidTr="005926B2">
        <w:trPr>
          <w:tblHead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E5512D" w:rsidRPr="00E30238" w:rsidRDefault="00E5512D" w:rsidP="005926B2">
            <w:pPr>
              <w:jc w:val="center"/>
              <w:rPr>
                <w:b/>
                <w:color w:val="000000"/>
                <w:sz w:val="20"/>
                <w:szCs w:val="20"/>
              </w:rPr>
            </w:pPr>
            <w:r>
              <w:rPr>
                <w:b/>
                <w:color w:val="000000"/>
                <w:sz w:val="20"/>
                <w:szCs w:val="20"/>
              </w:rPr>
              <w:t>Réunion</w:t>
            </w:r>
          </w:p>
        </w:tc>
        <w:tc>
          <w:tcPr>
            <w:tcW w:w="6450" w:type="dxa"/>
            <w:tcBorders>
              <w:top w:val="single" w:sz="4" w:space="0" w:color="auto"/>
              <w:left w:val="nil"/>
              <w:bottom w:val="single" w:sz="4" w:space="0" w:color="auto"/>
              <w:right w:val="single" w:sz="4" w:space="0" w:color="auto"/>
            </w:tcBorders>
            <w:shd w:val="clear" w:color="auto" w:fill="auto"/>
            <w:vAlign w:val="center"/>
          </w:tcPr>
          <w:p w:rsidR="00E5512D" w:rsidRPr="00E30238" w:rsidRDefault="00E5512D" w:rsidP="005926B2">
            <w:pPr>
              <w:jc w:val="center"/>
              <w:rPr>
                <w:b/>
                <w:color w:val="000000"/>
                <w:sz w:val="20"/>
                <w:szCs w:val="20"/>
              </w:rPr>
            </w:pPr>
            <w:r>
              <w:rPr>
                <w:b/>
                <w:color w:val="000000"/>
                <w:sz w:val="20"/>
                <w:szCs w:val="20"/>
              </w:rPr>
              <w:t>Description</w:t>
            </w:r>
          </w:p>
        </w:tc>
        <w:tc>
          <w:tcPr>
            <w:tcW w:w="1984" w:type="dxa"/>
            <w:tcBorders>
              <w:top w:val="single" w:sz="4" w:space="0" w:color="auto"/>
              <w:left w:val="nil"/>
              <w:bottom w:val="single" w:sz="4" w:space="0" w:color="auto"/>
              <w:right w:val="single" w:sz="4" w:space="0" w:color="auto"/>
            </w:tcBorders>
            <w:shd w:val="clear" w:color="auto" w:fill="auto"/>
            <w:vAlign w:val="center"/>
          </w:tcPr>
          <w:p w:rsidR="00E5512D" w:rsidRPr="00E30238" w:rsidRDefault="00E5512D" w:rsidP="004B21CF">
            <w:pPr>
              <w:jc w:val="center"/>
              <w:rPr>
                <w:b/>
                <w:color w:val="000000"/>
                <w:sz w:val="20"/>
                <w:szCs w:val="20"/>
              </w:rPr>
            </w:pPr>
            <w:r>
              <w:rPr>
                <w:b/>
                <w:color w:val="000000"/>
                <w:sz w:val="20"/>
                <w:szCs w:val="20"/>
              </w:rPr>
              <w:t>Financement ($ US)</w:t>
            </w:r>
          </w:p>
        </w:tc>
      </w:tr>
      <w:tr w:rsidR="00E5512D" w:rsidTr="005926B2">
        <w:tc>
          <w:tcPr>
            <w:tcW w:w="916" w:type="dxa"/>
            <w:tcBorders>
              <w:top w:val="nil"/>
              <w:left w:val="single" w:sz="4" w:space="0" w:color="auto"/>
              <w:bottom w:val="single" w:sz="4" w:space="0" w:color="auto"/>
              <w:right w:val="single" w:sz="4" w:space="0" w:color="auto"/>
            </w:tcBorders>
            <w:shd w:val="clear" w:color="auto" w:fill="auto"/>
            <w:vAlign w:val="center"/>
          </w:tcPr>
          <w:p w:rsidR="00E5512D" w:rsidRPr="00E30238" w:rsidRDefault="00E5512D" w:rsidP="005926B2">
            <w:pPr>
              <w:jc w:val="center"/>
              <w:rPr>
                <w:color w:val="000000"/>
                <w:sz w:val="20"/>
                <w:szCs w:val="20"/>
              </w:rPr>
            </w:pPr>
            <w:r>
              <w:rPr>
                <w:color w:val="000000"/>
                <w:sz w:val="20"/>
                <w:szCs w:val="20"/>
              </w:rPr>
              <w:t>79</w:t>
            </w:r>
          </w:p>
        </w:tc>
        <w:tc>
          <w:tcPr>
            <w:tcW w:w="6450" w:type="dxa"/>
            <w:tcBorders>
              <w:top w:val="nil"/>
              <w:left w:val="nil"/>
              <w:bottom w:val="single" w:sz="4" w:space="0" w:color="auto"/>
              <w:right w:val="single" w:sz="4" w:space="0" w:color="auto"/>
            </w:tcBorders>
            <w:shd w:val="clear" w:color="auto" w:fill="auto"/>
            <w:vAlign w:val="bottom"/>
          </w:tcPr>
          <w:p w:rsidR="00E5512D" w:rsidRPr="00E5512D" w:rsidRDefault="00E5512D" w:rsidP="005926B2">
            <w:pPr>
              <w:jc w:val="left"/>
              <w:rPr>
                <w:color w:val="000000"/>
                <w:sz w:val="20"/>
                <w:szCs w:val="20"/>
                <w:lang w:val="fr-FR"/>
              </w:rPr>
            </w:pPr>
            <w:r w:rsidRPr="00E5512D">
              <w:rPr>
                <w:color w:val="000000"/>
                <w:sz w:val="20"/>
                <w:szCs w:val="20"/>
                <w:lang w:val="fr-FR"/>
              </w:rPr>
              <w:t>Évaluation des solutions rentables du point de vue coût/efficacité et écologiquement durables pour détruire le HFC-23 provenant des installations de production de HCFC-22</w:t>
            </w:r>
          </w:p>
        </w:tc>
        <w:tc>
          <w:tcPr>
            <w:tcW w:w="1984" w:type="dxa"/>
            <w:tcBorders>
              <w:top w:val="nil"/>
              <w:left w:val="nil"/>
              <w:bottom w:val="single" w:sz="4" w:space="0" w:color="auto"/>
              <w:right w:val="single" w:sz="4" w:space="0" w:color="auto"/>
            </w:tcBorders>
            <w:shd w:val="clear" w:color="auto" w:fill="auto"/>
            <w:vAlign w:val="center"/>
          </w:tcPr>
          <w:p w:rsidR="00E5512D" w:rsidRPr="00E30238" w:rsidRDefault="00E5512D" w:rsidP="004B21CF">
            <w:pPr>
              <w:jc w:val="center"/>
              <w:rPr>
                <w:color w:val="000000"/>
                <w:sz w:val="20"/>
                <w:szCs w:val="20"/>
              </w:rPr>
            </w:pPr>
            <w:r>
              <w:rPr>
                <w:color w:val="000000"/>
                <w:sz w:val="20"/>
                <w:szCs w:val="20"/>
              </w:rPr>
              <w:t>100 000</w:t>
            </w:r>
          </w:p>
        </w:tc>
      </w:tr>
      <w:tr w:rsidR="00E5512D" w:rsidTr="005926B2">
        <w:tc>
          <w:tcPr>
            <w:tcW w:w="916" w:type="dxa"/>
            <w:tcBorders>
              <w:top w:val="nil"/>
              <w:left w:val="single" w:sz="4" w:space="0" w:color="auto"/>
              <w:bottom w:val="single" w:sz="4" w:space="0" w:color="auto"/>
              <w:right w:val="single" w:sz="4" w:space="0" w:color="auto"/>
            </w:tcBorders>
            <w:shd w:val="clear" w:color="auto" w:fill="auto"/>
            <w:vAlign w:val="center"/>
          </w:tcPr>
          <w:p w:rsidR="00E5512D" w:rsidRPr="00E30238" w:rsidRDefault="00E5512D" w:rsidP="005926B2">
            <w:pPr>
              <w:jc w:val="center"/>
              <w:rPr>
                <w:color w:val="000000"/>
                <w:sz w:val="20"/>
                <w:szCs w:val="20"/>
              </w:rPr>
            </w:pPr>
            <w:r>
              <w:rPr>
                <w:color w:val="000000"/>
                <w:sz w:val="20"/>
                <w:szCs w:val="20"/>
              </w:rPr>
              <w:t>80</w:t>
            </w:r>
          </w:p>
        </w:tc>
        <w:tc>
          <w:tcPr>
            <w:tcW w:w="6450" w:type="dxa"/>
            <w:tcBorders>
              <w:top w:val="nil"/>
              <w:left w:val="nil"/>
              <w:bottom w:val="single" w:sz="4" w:space="0" w:color="auto"/>
              <w:right w:val="single" w:sz="4" w:space="0" w:color="auto"/>
            </w:tcBorders>
            <w:shd w:val="clear" w:color="auto" w:fill="auto"/>
            <w:vAlign w:val="bottom"/>
          </w:tcPr>
          <w:p w:rsidR="00E5512D" w:rsidRPr="00E5512D" w:rsidRDefault="00E5512D" w:rsidP="00205393">
            <w:pPr>
              <w:jc w:val="left"/>
              <w:rPr>
                <w:color w:val="000000"/>
                <w:sz w:val="20"/>
                <w:szCs w:val="20"/>
                <w:lang w:val="fr-FR"/>
              </w:rPr>
            </w:pPr>
            <w:r w:rsidRPr="00E5512D">
              <w:rPr>
                <w:color w:val="000000"/>
                <w:sz w:val="20"/>
                <w:szCs w:val="20"/>
                <w:lang w:val="fr-FR"/>
              </w:rPr>
              <w:t xml:space="preserve">70 activités </w:t>
            </w:r>
            <w:r w:rsidR="00205393">
              <w:rPr>
                <w:color w:val="000000"/>
                <w:sz w:val="20"/>
                <w:szCs w:val="20"/>
                <w:lang w:val="fr-FR"/>
              </w:rPr>
              <w:t>de facilitation</w:t>
            </w:r>
            <w:r w:rsidRPr="00E5512D">
              <w:rPr>
                <w:color w:val="000000"/>
                <w:sz w:val="20"/>
                <w:szCs w:val="20"/>
                <w:lang w:val="fr-FR"/>
              </w:rPr>
              <w:t>, 9 préparations de projet, 1 investissement</w:t>
            </w:r>
          </w:p>
        </w:tc>
        <w:tc>
          <w:tcPr>
            <w:tcW w:w="1984" w:type="dxa"/>
            <w:tcBorders>
              <w:top w:val="nil"/>
              <w:left w:val="nil"/>
              <w:bottom w:val="single" w:sz="4" w:space="0" w:color="auto"/>
              <w:right w:val="single" w:sz="4" w:space="0" w:color="auto"/>
            </w:tcBorders>
            <w:shd w:val="clear" w:color="auto" w:fill="auto"/>
            <w:vAlign w:val="center"/>
          </w:tcPr>
          <w:p w:rsidR="00E5512D" w:rsidRPr="00E30238" w:rsidRDefault="00E5512D" w:rsidP="004B21CF">
            <w:pPr>
              <w:jc w:val="center"/>
              <w:rPr>
                <w:color w:val="000000"/>
                <w:sz w:val="20"/>
                <w:szCs w:val="20"/>
              </w:rPr>
            </w:pPr>
            <w:r>
              <w:rPr>
                <w:color w:val="000000"/>
                <w:sz w:val="20"/>
                <w:szCs w:val="20"/>
              </w:rPr>
              <w:t>12 488 623</w:t>
            </w:r>
          </w:p>
        </w:tc>
      </w:tr>
      <w:tr w:rsidR="00E5512D" w:rsidTr="005926B2">
        <w:tc>
          <w:tcPr>
            <w:tcW w:w="916" w:type="dxa"/>
            <w:tcBorders>
              <w:top w:val="nil"/>
              <w:left w:val="single" w:sz="4" w:space="0" w:color="auto"/>
              <w:bottom w:val="single" w:sz="4" w:space="0" w:color="auto"/>
              <w:right w:val="single" w:sz="4" w:space="0" w:color="auto"/>
            </w:tcBorders>
            <w:shd w:val="clear" w:color="auto" w:fill="auto"/>
            <w:vAlign w:val="center"/>
          </w:tcPr>
          <w:p w:rsidR="00E5512D" w:rsidRPr="00E30238" w:rsidRDefault="00E5512D" w:rsidP="005926B2">
            <w:pPr>
              <w:jc w:val="center"/>
              <w:rPr>
                <w:color w:val="000000"/>
                <w:sz w:val="20"/>
                <w:szCs w:val="20"/>
              </w:rPr>
            </w:pPr>
            <w:r>
              <w:rPr>
                <w:color w:val="000000"/>
                <w:sz w:val="20"/>
                <w:szCs w:val="20"/>
              </w:rPr>
              <w:t>81</w:t>
            </w:r>
          </w:p>
        </w:tc>
        <w:tc>
          <w:tcPr>
            <w:tcW w:w="6450" w:type="dxa"/>
            <w:tcBorders>
              <w:top w:val="nil"/>
              <w:left w:val="nil"/>
              <w:bottom w:val="single" w:sz="4" w:space="0" w:color="auto"/>
              <w:right w:val="single" w:sz="4" w:space="0" w:color="auto"/>
            </w:tcBorders>
            <w:shd w:val="clear" w:color="auto" w:fill="auto"/>
            <w:vAlign w:val="bottom"/>
          </w:tcPr>
          <w:p w:rsidR="00E5512D" w:rsidRPr="00E5512D" w:rsidRDefault="00E5512D" w:rsidP="00205393">
            <w:pPr>
              <w:jc w:val="left"/>
              <w:rPr>
                <w:color w:val="000000"/>
                <w:sz w:val="20"/>
                <w:szCs w:val="20"/>
                <w:lang w:val="fr-FR"/>
              </w:rPr>
            </w:pPr>
            <w:r w:rsidRPr="00E5512D">
              <w:rPr>
                <w:color w:val="000000"/>
                <w:sz w:val="20"/>
                <w:szCs w:val="20"/>
                <w:lang w:val="fr-FR"/>
              </w:rPr>
              <w:t xml:space="preserve">52 activités </w:t>
            </w:r>
            <w:r w:rsidR="00205393">
              <w:rPr>
                <w:color w:val="000000"/>
                <w:sz w:val="20"/>
                <w:szCs w:val="20"/>
                <w:lang w:val="fr-FR"/>
              </w:rPr>
              <w:t>de facilitation</w:t>
            </w:r>
            <w:r w:rsidRPr="00E5512D">
              <w:rPr>
                <w:color w:val="000000"/>
                <w:sz w:val="20"/>
                <w:szCs w:val="20"/>
                <w:lang w:val="fr-FR"/>
              </w:rPr>
              <w:t>, 1 préparation de projet, 3 investissements</w:t>
            </w:r>
          </w:p>
        </w:tc>
        <w:tc>
          <w:tcPr>
            <w:tcW w:w="1984" w:type="dxa"/>
            <w:tcBorders>
              <w:top w:val="nil"/>
              <w:left w:val="nil"/>
              <w:bottom w:val="single" w:sz="4" w:space="0" w:color="auto"/>
              <w:right w:val="single" w:sz="4" w:space="0" w:color="auto"/>
            </w:tcBorders>
            <w:shd w:val="clear" w:color="auto" w:fill="auto"/>
            <w:vAlign w:val="center"/>
          </w:tcPr>
          <w:p w:rsidR="00E5512D" w:rsidRPr="00E30238" w:rsidRDefault="00E5512D" w:rsidP="004B21CF">
            <w:pPr>
              <w:jc w:val="center"/>
              <w:rPr>
                <w:color w:val="000000"/>
                <w:sz w:val="20"/>
                <w:szCs w:val="20"/>
              </w:rPr>
            </w:pPr>
            <w:r>
              <w:rPr>
                <w:color w:val="000000"/>
                <w:sz w:val="20"/>
                <w:szCs w:val="20"/>
              </w:rPr>
              <w:t>10 515 677</w:t>
            </w:r>
          </w:p>
        </w:tc>
      </w:tr>
      <w:tr w:rsidR="00E5512D" w:rsidTr="005926B2">
        <w:tc>
          <w:tcPr>
            <w:tcW w:w="916" w:type="dxa"/>
            <w:tcBorders>
              <w:top w:val="nil"/>
              <w:left w:val="single" w:sz="4" w:space="0" w:color="auto"/>
              <w:bottom w:val="single" w:sz="4" w:space="0" w:color="auto"/>
              <w:right w:val="single" w:sz="4" w:space="0" w:color="auto"/>
            </w:tcBorders>
            <w:shd w:val="clear" w:color="auto" w:fill="auto"/>
            <w:vAlign w:val="center"/>
          </w:tcPr>
          <w:p w:rsidR="00E5512D" w:rsidRPr="00E30238" w:rsidRDefault="00E5512D" w:rsidP="005926B2">
            <w:pPr>
              <w:jc w:val="center"/>
              <w:rPr>
                <w:color w:val="000000"/>
                <w:sz w:val="20"/>
                <w:szCs w:val="20"/>
              </w:rPr>
            </w:pPr>
            <w:r>
              <w:rPr>
                <w:color w:val="000000"/>
                <w:sz w:val="20"/>
                <w:szCs w:val="20"/>
              </w:rPr>
              <w:t>82</w:t>
            </w:r>
          </w:p>
        </w:tc>
        <w:tc>
          <w:tcPr>
            <w:tcW w:w="6450" w:type="dxa"/>
            <w:tcBorders>
              <w:top w:val="nil"/>
              <w:left w:val="nil"/>
              <w:bottom w:val="single" w:sz="4" w:space="0" w:color="auto"/>
              <w:right w:val="single" w:sz="4" w:space="0" w:color="auto"/>
            </w:tcBorders>
            <w:shd w:val="clear" w:color="auto" w:fill="auto"/>
            <w:vAlign w:val="bottom"/>
          </w:tcPr>
          <w:p w:rsidR="00E5512D" w:rsidRPr="00E30238" w:rsidRDefault="00E5512D" w:rsidP="00205393">
            <w:pPr>
              <w:jc w:val="left"/>
              <w:rPr>
                <w:color w:val="000000"/>
                <w:sz w:val="20"/>
                <w:szCs w:val="20"/>
              </w:rPr>
            </w:pPr>
            <w:r>
              <w:rPr>
                <w:color w:val="000000"/>
                <w:sz w:val="20"/>
                <w:szCs w:val="20"/>
              </w:rPr>
              <w:t xml:space="preserve">6 activités </w:t>
            </w:r>
            <w:r w:rsidR="00205393">
              <w:rPr>
                <w:color w:val="000000"/>
                <w:sz w:val="20"/>
                <w:szCs w:val="20"/>
              </w:rPr>
              <w:t>de facilitation</w:t>
            </w:r>
            <w:r>
              <w:rPr>
                <w:color w:val="000000"/>
                <w:sz w:val="20"/>
                <w:szCs w:val="20"/>
              </w:rPr>
              <w:t>, 2 investissements</w:t>
            </w:r>
          </w:p>
        </w:tc>
        <w:tc>
          <w:tcPr>
            <w:tcW w:w="1984" w:type="dxa"/>
            <w:tcBorders>
              <w:top w:val="nil"/>
              <w:left w:val="nil"/>
              <w:bottom w:val="single" w:sz="4" w:space="0" w:color="auto"/>
              <w:right w:val="single" w:sz="4" w:space="0" w:color="auto"/>
            </w:tcBorders>
            <w:shd w:val="clear" w:color="auto" w:fill="auto"/>
            <w:vAlign w:val="center"/>
          </w:tcPr>
          <w:p w:rsidR="00E5512D" w:rsidRPr="00E30238" w:rsidRDefault="00E5512D" w:rsidP="004B21CF">
            <w:pPr>
              <w:jc w:val="center"/>
              <w:rPr>
                <w:color w:val="000000"/>
                <w:sz w:val="20"/>
                <w:szCs w:val="20"/>
              </w:rPr>
            </w:pPr>
            <w:r>
              <w:rPr>
                <w:color w:val="000000"/>
                <w:sz w:val="20"/>
                <w:szCs w:val="20"/>
              </w:rPr>
              <w:t>2 398 880</w:t>
            </w:r>
          </w:p>
        </w:tc>
      </w:tr>
      <w:tr w:rsidR="00E5512D" w:rsidTr="005926B2">
        <w:tc>
          <w:tcPr>
            <w:tcW w:w="916" w:type="dxa"/>
            <w:tcBorders>
              <w:top w:val="nil"/>
              <w:left w:val="single" w:sz="4" w:space="0" w:color="auto"/>
              <w:bottom w:val="single" w:sz="4" w:space="0" w:color="auto"/>
              <w:right w:val="single" w:sz="4" w:space="0" w:color="auto"/>
            </w:tcBorders>
            <w:shd w:val="clear" w:color="auto" w:fill="auto"/>
            <w:vAlign w:val="center"/>
          </w:tcPr>
          <w:p w:rsidR="00E5512D" w:rsidRPr="00E30238" w:rsidRDefault="00E5512D" w:rsidP="005926B2">
            <w:pPr>
              <w:jc w:val="center"/>
              <w:rPr>
                <w:color w:val="000000"/>
                <w:sz w:val="20"/>
                <w:szCs w:val="20"/>
              </w:rPr>
            </w:pPr>
            <w:r>
              <w:rPr>
                <w:color w:val="000000"/>
                <w:sz w:val="20"/>
                <w:szCs w:val="20"/>
              </w:rPr>
              <w:t>83</w:t>
            </w:r>
          </w:p>
        </w:tc>
        <w:tc>
          <w:tcPr>
            <w:tcW w:w="6450" w:type="dxa"/>
            <w:tcBorders>
              <w:top w:val="nil"/>
              <w:left w:val="nil"/>
              <w:bottom w:val="single" w:sz="4" w:space="0" w:color="auto"/>
              <w:right w:val="single" w:sz="4" w:space="0" w:color="auto"/>
            </w:tcBorders>
            <w:shd w:val="clear" w:color="auto" w:fill="auto"/>
            <w:vAlign w:val="bottom"/>
          </w:tcPr>
          <w:p w:rsidR="00E5512D" w:rsidRPr="00E30238" w:rsidRDefault="00E5512D" w:rsidP="00205393">
            <w:pPr>
              <w:jc w:val="left"/>
              <w:rPr>
                <w:color w:val="000000"/>
                <w:sz w:val="20"/>
                <w:szCs w:val="20"/>
              </w:rPr>
            </w:pPr>
            <w:r>
              <w:rPr>
                <w:color w:val="000000"/>
                <w:sz w:val="20"/>
                <w:szCs w:val="20"/>
              </w:rPr>
              <w:t xml:space="preserve">1 activité </w:t>
            </w:r>
            <w:r w:rsidR="00205393">
              <w:rPr>
                <w:color w:val="000000"/>
                <w:sz w:val="20"/>
                <w:szCs w:val="20"/>
              </w:rPr>
              <w:t>de facilitation</w:t>
            </w:r>
          </w:p>
        </w:tc>
        <w:tc>
          <w:tcPr>
            <w:tcW w:w="1984" w:type="dxa"/>
            <w:tcBorders>
              <w:top w:val="nil"/>
              <w:left w:val="nil"/>
              <w:bottom w:val="single" w:sz="4" w:space="0" w:color="auto"/>
              <w:right w:val="single" w:sz="4" w:space="0" w:color="auto"/>
            </w:tcBorders>
            <w:shd w:val="clear" w:color="auto" w:fill="auto"/>
            <w:vAlign w:val="center"/>
          </w:tcPr>
          <w:p w:rsidR="00E5512D" w:rsidRPr="00E30238" w:rsidRDefault="00E5512D" w:rsidP="004B21CF">
            <w:pPr>
              <w:jc w:val="center"/>
              <w:rPr>
                <w:color w:val="000000"/>
                <w:sz w:val="20"/>
                <w:szCs w:val="20"/>
              </w:rPr>
            </w:pPr>
            <w:r>
              <w:rPr>
                <w:color w:val="000000"/>
                <w:sz w:val="20"/>
                <w:szCs w:val="20"/>
              </w:rPr>
              <w:t>267 500</w:t>
            </w:r>
          </w:p>
        </w:tc>
      </w:tr>
      <w:tr w:rsidR="00E5512D" w:rsidTr="005926B2">
        <w:tc>
          <w:tcPr>
            <w:tcW w:w="916" w:type="dxa"/>
            <w:tcBorders>
              <w:top w:val="nil"/>
              <w:left w:val="single" w:sz="4" w:space="0" w:color="auto"/>
              <w:bottom w:val="single" w:sz="4" w:space="0" w:color="auto"/>
              <w:right w:val="single" w:sz="4" w:space="0" w:color="auto"/>
            </w:tcBorders>
            <w:shd w:val="clear" w:color="auto" w:fill="auto"/>
            <w:vAlign w:val="center"/>
          </w:tcPr>
          <w:p w:rsidR="00E5512D" w:rsidRPr="00EE5744" w:rsidRDefault="00E5512D" w:rsidP="005926B2">
            <w:pPr>
              <w:jc w:val="center"/>
              <w:rPr>
                <w:b/>
                <w:color w:val="000000"/>
                <w:sz w:val="20"/>
                <w:szCs w:val="20"/>
              </w:rPr>
            </w:pPr>
            <w:r>
              <w:rPr>
                <w:b/>
                <w:color w:val="000000"/>
                <w:sz w:val="20"/>
                <w:szCs w:val="20"/>
              </w:rPr>
              <w:t>Total</w:t>
            </w:r>
          </w:p>
        </w:tc>
        <w:tc>
          <w:tcPr>
            <w:tcW w:w="6450" w:type="dxa"/>
            <w:tcBorders>
              <w:top w:val="nil"/>
              <w:left w:val="nil"/>
              <w:bottom w:val="single" w:sz="4" w:space="0" w:color="auto"/>
              <w:right w:val="single" w:sz="4" w:space="0" w:color="auto"/>
            </w:tcBorders>
            <w:shd w:val="clear" w:color="auto" w:fill="auto"/>
            <w:vAlign w:val="bottom"/>
          </w:tcPr>
          <w:p w:rsidR="00E5512D" w:rsidRPr="00E5512D" w:rsidRDefault="00205393" w:rsidP="00205393">
            <w:pPr>
              <w:jc w:val="left"/>
              <w:rPr>
                <w:b/>
                <w:color w:val="000000"/>
                <w:sz w:val="20"/>
                <w:szCs w:val="20"/>
                <w:lang w:val="fr-FR"/>
              </w:rPr>
            </w:pPr>
            <w:r>
              <w:rPr>
                <w:b/>
                <w:color w:val="000000"/>
                <w:sz w:val="20"/>
                <w:szCs w:val="20"/>
                <w:lang w:val="fr-FR"/>
              </w:rPr>
              <w:t>129 activités de facilitation</w:t>
            </w:r>
            <w:r w:rsidR="00E5512D" w:rsidRPr="00E5512D">
              <w:rPr>
                <w:b/>
                <w:color w:val="000000"/>
                <w:sz w:val="20"/>
                <w:szCs w:val="20"/>
                <w:lang w:val="fr-FR"/>
              </w:rPr>
              <w:t>, 10 préparations de projet, 6 investissements</w:t>
            </w:r>
          </w:p>
        </w:tc>
        <w:tc>
          <w:tcPr>
            <w:tcW w:w="1984" w:type="dxa"/>
            <w:tcBorders>
              <w:top w:val="nil"/>
              <w:left w:val="nil"/>
              <w:bottom w:val="single" w:sz="4" w:space="0" w:color="auto"/>
              <w:right w:val="single" w:sz="4" w:space="0" w:color="auto"/>
            </w:tcBorders>
            <w:shd w:val="clear" w:color="auto" w:fill="auto"/>
            <w:vAlign w:val="center"/>
          </w:tcPr>
          <w:p w:rsidR="00E5512D" w:rsidRPr="00EE5744" w:rsidRDefault="00E5512D" w:rsidP="004B21CF">
            <w:pPr>
              <w:jc w:val="center"/>
              <w:rPr>
                <w:b/>
                <w:color w:val="000000"/>
                <w:sz w:val="20"/>
                <w:szCs w:val="20"/>
              </w:rPr>
            </w:pPr>
            <w:r>
              <w:rPr>
                <w:b/>
                <w:color w:val="000000"/>
                <w:sz w:val="20"/>
                <w:szCs w:val="20"/>
              </w:rPr>
              <w:t>25 770 680</w:t>
            </w:r>
          </w:p>
        </w:tc>
      </w:tr>
    </w:tbl>
    <w:p w:rsidR="00E5512D" w:rsidRDefault="00E5512D" w:rsidP="00E5512D"/>
    <w:p w:rsidR="00E5512D" w:rsidRPr="00E5512D" w:rsidRDefault="00E5512D" w:rsidP="00E5512D">
      <w:pPr>
        <w:pStyle w:val="Heading1"/>
        <w:keepNext/>
        <w:rPr>
          <w:u w:val="single"/>
          <w:lang w:val="fr-FR"/>
        </w:rPr>
      </w:pPr>
      <w:r w:rsidRPr="00E5512D">
        <w:rPr>
          <w:lang w:val="fr-FR"/>
        </w:rPr>
        <w:t>L’évaluation des solutions rentables du point de vue coût/efficacité et écologiquement durables pour détruire le HFC-23 provenant des installations de production de HCFC-22, approuvée à la 79</w:t>
      </w:r>
      <w:r w:rsidRPr="00E5512D">
        <w:rPr>
          <w:vertAlign w:val="superscript"/>
          <w:lang w:val="fr-FR"/>
        </w:rPr>
        <w:t>e</w:t>
      </w:r>
      <w:r w:rsidRPr="00E5512D">
        <w:rPr>
          <w:lang w:val="fr-FR"/>
        </w:rPr>
        <w:t> réunion, a été menée à bien à un coût total de 81 997 $ US, pour un solde de 18 003</w:t>
      </w:r>
      <w:r w:rsidR="00A2681A">
        <w:rPr>
          <w:lang w:val="fr-FR"/>
        </w:rPr>
        <w:t> $ US qui a été rendu au Fonds.</w:t>
      </w:r>
    </w:p>
    <w:p w:rsidR="00E5512D" w:rsidRPr="00E5512D" w:rsidRDefault="00E5512D" w:rsidP="00E5512D">
      <w:pPr>
        <w:pStyle w:val="Heading1"/>
        <w:keepNext/>
        <w:rPr>
          <w:u w:val="single"/>
          <w:lang w:val="fr-FR"/>
        </w:rPr>
      </w:pPr>
      <w:r w:rsidRPr="00E5512D">
        <w:rPr>
          <w:lang w:val="fr-FR"/>
        </w:rPr>
        <w:t>En conséquence, le financement total disponible pour la programmation d’activités s’élève à 13 698 $ US, comme illustré à l’Annexe I du présent document.</w:t>
      </w:r>
    </w:p>
    <w:p w:rsidR="00E5512D" w:rsidRPr="00E5512D" w:rsidRDefault="00E5512D" w:rsidP="00E5512D">
      <w:pPr>
        <w:pStyle w:val="Heading1"/>
        <w:keepNext/>
        <w:numPr>
          <w:ilvl w:val="0"/>
          <w:numId w:val="0"/>
        </w:numPr>
        <w:rPr>
          <w:u w:val="single"/>
          <w:lang w:val="fr-FR"/>
        </w:rPr>
      </w:pPr>
      <w:r w:rsidRPr="00E5512D">
        <w:rPr>
          <w:u w:val="single"/>
          <w:lang w:val="fr-FR"/>
        </w:rPr>
        <w:t>Mise en œuvre de la décision 83/4(c)</w:t>
      </w:r>
    </w:p>
    <w:p w:rsidR="00E5512D" w:rsidRPr="00E5512D" w:rsidRDefault="00E5512D" w:rsidP="00E5512D">
      <w:pPr>
        <w:pStyle w:val="Heading1"/>
        <w:keepNext/>
        <w:rPr>
          <w:lang w:val="fr-FR"/>
        </w:rPr>
      </w:pPr>
      <w:r w:rsidRPr="00E5512D">
        <w:rPr>
          <w:lang w:val="fr-FR"/>
        </w:rPr>
        <w:t>En réponse à la décision 83/4(c) dans laquelle le Comité exécutif a décidé de se pencher à la 84</w:t>
      </w:r>
      <w:r w:rsidRPr="00E5512D">
        <w:rPr>
          <w:vertAlign w:val="superscript"/>
          <w:lang w:val="fr-FR"/>
        </w:rPr>
        <w:t>e</w:t>
      </w:r>
      <w:r w:rsidRPr="00E5512D">
        <w:rPr>
          <w:lang w:val="fr-FR"/>
        </w:rPr>
        <w:t xml:space="preserve"> réunion sur la façon d’employer les soldes restants (c’est-à-dire 13 698 $ US), et compte tenu des consultations qui ont eu lieu entre le </w:t>
      </w:r>
      <w:r w:rsidR="00A25CBF" w:rsidRPr="00A25CBF">
        <w:rPr>
          <w:lang w:val="fr-FR"/>
        </w:rPr>
        <w:t>Chef du Secrétariat</w:t>
      </w:r>
      <w:r w:rsidR="00A25CBF">
        <w:rPr>
          <w:lang w:val="fr-FR"/>
        </w:rPr>
        <w:t xml:space="preserve"> </w:t>
      </w:r>
      <w:r w:rsidRPr="00E5512D">
        <w:rPr>
          <w:lang w:val="fr-FR"/>
        </w:rPr>
        <w:t xml:space="preserve">et les 17 pays donateurs ayant versé des contributions supplémentaires au Fonds multilatéral, le </w:t>
      </w:r>
      <w:r w:rsidR="00A25CBF" w:rsidRPr="00A25CBF">
        <w:rPr>
          <w:lang w:val="fr-FR"/>
        </w:rPr>
        <w:t>Chef du Secrétariat</w:t>
      </w:r>
      <w:r w:rsidR="00A25CBF">
        <w:rPr>
          <w:lang w:val="fr-FR"/>
        </w:rPr>
        <w:t xml:space="preserve"> </w:t>
      </w:r>
      <w:r w:rsidRPr="00E5512D">
        <w:rPr>
          <w:lang w:val="fr-FR"/>
        </w:rPr>
        <w:t>a envoyé un courrier à chacun des pays donateurs en juin 2019 pour leur demander conseil. Les pays ayant répondu ont indiqué leur accord pour regrouper les soldes des contributions supplémentaires avec les contributions promises régulières au Fonds multilatéral.</w:t>
      </w:r>
    </w:p>
    <w:p w:rsidR="00E5512D" w:rsidRPr="00D41211" w:rsidRDefault="00E5512D" w:rsidP="00E5512D">
      <w:pPr>
        <w:rPr>
          <w:b/>
        </w:rPr>
      </w:pPr>
      <w:r>
        <w:rPr>
          <w:b/>
        </w:rPr>
        <w:t>Recommandation</w:t>
      </w:r>
    </w:p>
    <w:p w:rsidR="00E5512D" w:rsidRPr="00D41211" w:rsidRDefault="00E5512D" w:rsidP="00E5512D">
      <w:pPr>
        <w:rPr>
          <w:b/>
        </w:rPr>
      </w:pPr>
    </w:p>
    <w:p w:rsidR="00E5512D" w:rsidRPr="00E5512D" w:rsidRDefault="00E5512D" w:rsidP="00E5512D">
      <w:pPr>
        <w:pStyle w:val="Heading1"/>
        <w:rPr>
          <w:lang w:val="fr-FR"/>
        </w:rPr>
      </w:pPr>
      <w:r w:rsidRPr="00E5512D">
        <w:rPr>
          <w:lang w:val="fr-FR"/>
        </w:rPr>
        <w:t>Le Comité exécutif pourrait souhaiter :</w:t>
      </w:r>
    </w:p>
    <w:p w:rsidR="00E5512D" w:rsidRPr="00E5512D" w:rsidRDefault="00E5512D" w:rsidP="00E5512D">
      <w:pPr>
        <w:pStyle w:val="Heading2"/>
        <w:numPr>
          <w:ilvl w:val="1"/>
          <w:numId w:val="1"/>
        </w:numPr>
        <w:rPr>
          <w:lang w:val="fr-FR"/>
        </w:rPr>
      </w:pPr>
      <w:r w:rsidRPr="00E5512D">
        <w:rPr>
          <w:lang w:val="fr-FR"/>
        </w:rPr>
        <w:t>prendre note du rapport du Trésorier sur l’état des contributions supplémentaires au Fonds multilatéral et de la disponibilité des ressources figurant dans le document UNEP/OzL.Pro/ExCom/84/5 ;</w:t>
      </w:r>
    </w:p>
    <w:p w:rsidR="00E5512D" w:rsidRPr="00E5512D" w:rsidRDefault="00E5512D" w:rsidP="00205393">
      <w:pPr>
        <w:pStyle w:val="Heading2"/>
        <w:numPr>
          <w:ilvl w:val="1"/>
          <w:numId w:val="1"/>
        </w:numPr>
        <w:rPr>
          <w:lang w:val="fr-FR"/>
        </w:rPr>
      </w:pPr>
      <w:r w:rsidRPr="00E5512D">
        <w:rPr>
          <w:lang w:val="fr-FR"/>
        </w:rPr>
        <w:t>prendre note avec satisfaction de l’accord des pays donateurs à regrouper les soldes des contributions supplémentaires pour le démarrage rapide des activités d</w:t>
      </w:r>
      <w:r w:rsidR="00205393">
        <w:rPr>
          <w:lang w:val="fr-FR"/>
        </w:rPr>
        <w:t>e réduction</w:t>
      </w:r>
      <w:bookmarkStart w:id="0" w:name="_GoBack"/>
      <w:bookmarkEnd w:id="0"/>
      <w:r w:rsidRPr="00E5512D">
        <w:rPr>
          <w:lang w:val="fr-FR"/>
        </w:rPr>
        <w:t xml:space="preserve"> progressive des HFC avec les contributions promises régulières au Fonds multilatéral ;</w:t>
      </w:r>
    </w:p>
    <w:p w:rsidR="00E5512D" w:rsidRPr="00D41211" w:rsidRDefault="00E5512D" w:rsidP="00E5512D">
      <w:pPr>
        <w:pStyle w:val="Heading2"/>
        <w:numPr>
          <w:ilvl w:val="1"/>
          <w:numId w:val="1"/>
        </w:numPr>
      </w:pPr>
      <w:r>
        <w:t>demander au Trésorier :</w:t>
      </w:r>
    </w:p>
    <w:p w:rsidR="00E5512D" w:rsidRPr="00D41211" w:rsidRDefault="00E5512D" w:rsidP="00E5512D">
      <w:pPr>
        <w:pStyle w:val="ListParagraph"/>
        <w:numPr>
          <w:ilvl w:val="0"/>
          <w:numId w:val="23"/>
        </w:numPr>
        <w:autoSpaceDE w:val="0"/>
        <w:autoSpaceDN w:val="0"/>
        <w:adjustRightInd w:val="0"/>
        <w:spacing w:after="240"/>
        <w:ind w:left="2127" w:hanging="709"/>
      </w:pPr>
      <w:r>
        <w:t>d’ajouter le solde de 13 698 $ US des contributions supplémentaires aux contributions promises régulières au Fonds multilatéral en tant que revenu complémentaire ;</w:t>
      </w:r>
    </w:p>
    <w:p w:rsidR="00E5512D" w:rsidRPr="00554899" w:rsidRDefault="00E5512D" w:rsidP="00E5512D">
      <w:pPr>
        <w:pStyle w:val="ListParagraph"/>
        <w:autoSpaceDE w:val="0"/>
        <w:autoSpaceDN w:val="0"/>
        <w:adjustRightInd w:val="0"/>
        <w:ind w:left="2127"/>
        <w:rPr>
          <w:lang w:bidi="hi-IN"/>
        </w:rPr>
      </w:pPr>
    </w:p>
    <w:p w:rsidR="00E5512D" w:rsidRPr="00D41211" w:rsidRDefault="00E5512D" w:rsidP="00E5512D">
      <w:pPr>
        <w:pStyle w:val="ListParagraph"/>
        <w:numPr>
          <w:ilvl w:val="0"/>
          <w:numId w:val="23"/>
        </w:numPr>
        <w:autoSpaceDE w:val="0"/>
        <w:autoSpaceDN w:val="0"/>
        <w:adjustRightInd w:val="0"/>
        <w:spacing w:after="240"/>
        <w:ind w:left="2127" w:hanging="709"/>
      </w:pPr>
      <w:r>
        <w:t>d’ajouter les soldes des projets achevés et, par décision, ceux des projets financés par les contributions supplémentaires, rendus à la 84</w:t>
      </w:r>
      <w:r>
        <w:rPr>
          <w:vertAlign w:val="superscript"/>
        </w:rPr>
        <w:t>e</w:t>
      </w:r>
      <w:r>
        <w:t> réunion ou aux réunions futures, aux contributions promises régulières au Fonds multilatéral en tant que revenu complémentaire ; et</w:t>
      </w:r>
    </w:p>
    <w:p w:rsidR="00E5512D" w:rsidRDefault="000E6D16" w:rsidP="00E5512D">
      <w:pPr>
        <w:pStyle w:val="Heading2"/>
        <w:numPr>
          <w:ilvl w:val="1"/>
          <w:numId w:val="1"/>
        </w:numPr>
        <w:rPr>
          <w:lang w:val="fr-FR"/>
        </w:rPr>
      </w:pPr>
      <w:r>
        <w:rPr>
          <w:lang w:val="fr-FR"/>
        </w:rPr>
        <w:t xml:space="preserve">prendre </w:t>
      </w:r>
      <w:r w:rsidR="00E5512D" w:rsidRPr="00E5512D">
        <w:rPr>
          <w:lang w:val="fr-FR"/>
        </w:rPr>
        <w:t>note en outre qu’à partir de la 85</w:t>
      </w:r>
      <w:r w:rsidR="00E5512D" w:rsidRPr="00E5512D">
        <w:rPr>
          <w:vertAlign w:val="superscript"/>
          <w:lang w:val="fr-FR"/>
        </w:rPr>
        <w:t>e</w:t>
      </w:r>
      <w:r w:rsidR="00E5512D" w:rsidRPr="00E5512D">
        <w:rPr>
          <w:lang w:val="fr-FR"/>
        </w:rPr>
        <w:t> réunion, l’état des contributions supplémentaires ne sera plus communiqué au Comité exécutif séparément des contributions promises régulières au Fonds multilatéral.</w:t>
      </w:r>
    </w:p>
    <w:p w:rsidR="00E5512D" w:rsidRPr="00E5512D" w:rsidRDefault="00E5512D" w:rsidP="00E5512D">
      <w:pPr>
        <w:rPr>
          <w:lang w:val="fr-FR"/>
        </w:rPr>
        <w:sectPr w:rsidR="00E5512D" w:rsidRPr="00E5512D" w:rsidSect="004142BD">
          <w:headerReference w:type="even" r:id="rId10"/>
          <w:headerReference w:type="default" r:id="rId11"/>
          <w:footerReference w:type="even" r:id="rId12"/>
          <w:footerReference w:type="default" r:id="rId13"/>
          <w:footerReference w:type="first" r:id="rId14"/>
          <w:pgSz w:w="12240" w:h="15840" w:code="1"/>
          <w:pgMar w:top="426" w:right="1440" w:bottom="426" w:left="1440" w:header="720" w:footer="475" w:gutter="0"/>
          <w:cols w:space="720"/>
          <w:titlePg/>
          <w:docGrid w:linePitch="299"/>
        </w:sectPr>
      </w:pPr>
    </w:p>
    <w:p w:rsidR="00E5512D" w:rsidRPr="00554899" w:rsidRDefault="00E5512D" w:rsidP="00E5512D">
      <w:pPr>
        <w:tabs>
          <w:tab w:val="center" w:pos="4680"/>
        </w:tabs>
        <w:jc w:val="left"/>
        <w:rPr>
          <w:lang w:val="fr-FR"/>
        </w:rPr>
      </w:pPr>
    </w:p>
    <w:p w:rsidR="00E5512D" w:rsidRPr="009F7E96" w:rsidRDefault="00E5512D" w:rsidP="00E5512D">
      <w:pPr>
        <w:jc w:val="center"/>
        <w:rPr>
          <w:b/>
        </w:rPr>
      </w:pPr>
      <w:r>
        <w:rPr>
          <w:b/>
        </w:rPr>
        <w:t>Annexe I</w:t>
      </w:r>
    </w:p>
    <w:p w:rsidR="00E5512D" w:rsidRPr="009F7E96" w:rsidRDefault="00E5512D" w:rsidP="00E5512D">
      <w:pPr>
        <w:jc w:val="center"/>
        <w:rPr>
          <w:b/>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5512D" w:rsidTr="005926B2">
        <w:tc>
          <w:tcPr>
            <w:tcW w:w="1871" w:type="dxa"/>
          </w:tcPr>
          <w:p w:rsidR="00E5512D" w:rsidRDefault="00E5512D" w:rsidP="005926B2"/>
        </w:tc>
        <w:tc>
          <w:tcPr>
            <w:tcW w:w="1872" w:type="dxa"/>
          </w:tcPr>
          <w:p w:rsidR="00E5512D" w:rsidRDefault="00E5512D" w:rsidP="005926B2"/>
        </w:tc>
        <w:tc>
          <w:tcPr>
            <w:tcW w:w="1872" w:type="dxa"/>
          </w:tcPr>
          <w:p w:rsidR="00E5512D" w:rsidRDefault="00E5512D" w:rsidP="005926B2"/>
        </w:tc>
        <w:tc>
          <w:tcPr>
            <w:tcW w:w="1872" w:type="dxa"/>
          </w:tcPr>
          <w:p w:rsidR="00E5512D" w:rsidRDefault="00E5512D" w:rsidP="005926B2"/>
        </w:tc>
        <w:tc>
          <w:tcPr>
            <w:tcW w:w="1873" w:type="dxa"/>
          </w:tcPr>
          <w:p w:rsidR="00E5512D" w:rsidRDefault="00E5512D" w:rsidP="005926B2"/>
        </w:tc>
      </w:tr>
      <w:tr w:rsidR="00E5512D" w:rsidTr="005926B2">
        <w:tc>
          <w:tcPr>
            <w:tcW w:w="1871" w:type="dxa"/>
          </w:tcPr>
          <w:p w:rsidR="00E5512D" w:rsidRDefault="00E5512D" w:rsidP="005926B2"/>
        </w:tc>
        <w:tc>
          <w:tcPr>
            <w:tcW w:w="1872" w:type="dxa"/>
          </w:tcPr>
          <w:p w:rsidR="00E5512D" w:rsidRDefault="00E5512D" w:rsidP="005926B2"/>
        </w:tc>
        <w:tc>
          <w:tcPr>
            <w:tcW w:w="1872" w:type="dxa"/>
            <w:tcBorders>
              <w:bottom w:val="single" w:sz="4" w:space="0" w:color="auto"/>
            </w:tcBorders>
          </w:tcPr>
          <w:p w:rsidR="00E5512D" w:rsidRDefault="00E5512D" w:rsidP="005926B2"/>
        </w:tc>
        <w:tc>
          <w:tcPr>
            <w:tcW w:w="1872" w:type="dxa"/>
          </w:tcPr>
          <w:p w:rsidR="00E5512D" w:rsidRDefault="00E5512D" w:rsidP="005926B2"/>
        </w:tc>
        <w:tc>
          <w:tcPr>
            <w:tcW w:w="1873" w:type="dxa"/>
          </w:tcPr>
          <w:p w:rsidR="00E5512D" w:rsidRDefault="00E5512D" w:rsidP="005926B2"/>
        </w:tc>
      </w:tr>
    </w:tbl>
    <w:p w:rsidR="00E5512D" w:rsidRPr="001C3C80" w:rsidRDefault="00E5512D" w:rsidP="00E5512D">
      <w:pPr>
        <w:tabs>
          <w:tab w:val="left" w:pos="8280"/>
        </w:tabs>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41083">
        <w:tc>
          <w:tcPr>
            <w:tcW w:w="1915" w:type="dxa"/>
          </w:tcPr>
          <w:p w:rsidR="00441083" w:rsidRDefault="00441083">
            <w:pPr>
              <w:rPr>
                <w:lang w:val="en-CA"/>
              </w:rPr>
            </w:pPr>
          </w:p>
        </w:tc>
        <w:tc>
          <w:tcPr>
            <w:tcW w:w="1915" w:type="dxa"/>
          </w:tcPr>
          <w:p w:rsidR="00441083" w:rsidRDefault="00441083">
            <w:pPr>
              <w:rPr>
                <w:lang w:val="en-CA"/>
              </w:rPr>
            </w:pPr>
          </w:p>
        </w:tc>
        <w:tc>
          <w:tcPr>
            <w:tcW w:w="1915" w:type="dxa"/>
            <w:tcBorders>
              <w:bottom w:val="single" w:sz="4" w:space="0" w:color="auto"/>
            </w:tcBorders>
          </w:tcPr>
          <w:p w:rsidR="00441083" w:rsidRDefault="00441083">
            <w:pPr>
              <w:rPr>
                <w:b/>
                <w:bCs/>
                <w:lang w:val="en-CA"/>
              </w:rPr>
            </w:pPr>
          </w:p>
        </w:tc>
        <w:tc>
          <w:tcPr>
            <w:tcW w:w="1915" w:type="dxa"/>
          </w:tcPr>
          <w:p w:rsidR="00441083" w:rsidRDefault="00441083">
            <w:pPr>
              <w:rPr>
                <w:lang w:val="en-CA"/>
              </w:rPr>
            </w:pPr>
          </w:p>
        </w:tc>
        <w:tc>
          <w:tcPr>
            <w:tcW w:w="1916" w:type="dxa"/>
          </w:tcPr>
          <w:p w:rsidR="00441083" w:rsidRDefault="00441083">
            <w:pPr>
              <w:rPr>
                <w:lang w:val="en-CA"/>
              </w:rPr>
            </w:pPr>
          </w:p>
        </w:tc>
      </w:tr>
    </w:tbl>
    <w:p w:rsidR="00441083" w:rsidRDefault="00441083" w:rsidP="00452011">
      <w:pPr>
        <w:rPr>
          <w:lang w:val="fr-FR"/>
        </w:rPr>
      </w:pPr>
    </w:p>
    <w:sectPr w:rsidR="00441083" w:rsidSect="00512F6B">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0CA" w:rsidRDefault="001B50CA">
      <w:r>
        <w:separator/>
      </w:r>
    </w:p>
  </w:endnote>
  <w:endnote w:type="continuationSeparator" w:id="0">
    <w:p w:rsidR="001B50CA" w:rsidRDefault="001B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2D" w:rsidRPr="0033525D" w:rsidRDefault="00E5512D">
    <w:pPr>
      <w:jc w:val="center"/>
    </w:pPr>
    <w: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2D" w:rsidRPr="0033525D" w:rsidRDefault="00E5512D">
    <w:pPr>
      <w:jc w:val="center"/>
    </w:pPr>
    <w: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2D" w:rsidRPr="00E5512D" w:rsidRDefault="00E5512D" w:rsidP="00B252E0">
    <w:pPr>
      <w:pBdr>
        <w:top w:val="single" w:sz="4" w:space="1" w:color="auto"/>
        <w:left w:val="single" w:sz="4" w:space="4" w:color="auto"/>
        <w:bottom w:val="single" w:sz="4" w:space="1" w:color="auto"/>
        <w:right w:val="single" w:sz="4" w:space="4" w:color="auto"/>
      </w:pBdr>
      <w:jc w:val="center"/>
      <w:rPr>
        <w:sz w:val="18"/>
        <w:szCs w:val="18"/>
        <w:lang w:val="fr-FR"/>
      </w:rPr>
    </w:pPr>
    <w:r w:rsidRPr="00E5512D">
      <w:rPr>
        <w:sz w:val="18"/>
        <w:szCs w:val="18"/>
        <w:lang w:val="fr-FR"/>
      </w:rPr>
      <w:t>Les documents de présession du Comité exécutif du Fonds multilatéral aux fins d’application du Protocole de Montréal sont présentés sous réserve des décisions pouvant être prises par le Comité exécutif après leur publication.</w:t>
    </w:r>
  </w:p>
  <w:p w:rsidR="00E5512D" w:rsidRPr="00E5512D" w:rsidRDefault="00E5512D" w:rsidP="00B252E0">
    <w:pPr>
      <w:pBdr>
        <w:top w:val="single" w:sz="4" w:space="1" w:color="auto"/>
        <w:left w:val="single" w:sz="4" w:space="4" w:color="auto"/>
        <w:bottom w:val="single" w:sz="4" w:space="1" w:color="auto"/>
        <w:right w:val="single" w:sz="4" w:space="4" w:color="auto"/>
      </w:pBdr>
      <w:jc w:val="center"/>
      <w:rPr>
        <w:sz w:val="18"/>
        <w:szCs w:val="18"/>
        <w:lang w:val="fr-FR"/>
      </w:rPr>
    </w:pPr>
  </w:p>
  <w:p w:rsidR="00E5512D" w:rsidRPr="00E5512D" w:rsidRDefault="00E5512D" w:rsidP="00B252E0">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rsidR="00441083" w:rsidRDefault="00273CE4">
        <w:pPr>
          <w:pStyle w:val="Footer"/>
          <w:jc w:val="center"/>
        </w:pPr>
        <w:r>
          <w:fldChar w:fldCharType="begin"/>
        </w:r>
        <w:r w:rsidR="00E60D9C">
          <w:instrText xml:space="preserve"> PAGE   \* MERGEFORMAT </w:instrText>
        </w:r>
        <w:r>
          <w:fldChar w:fldCharType="separate"/>
        </w:r>
        <w:r w:rsidR="00205393">
          <w:rPr>
            <w:noProof/>
          </w:rPr>
          <w:t>1</w:t>
        </w:r>
        <w:r>
          <w:rPr>
            <w:noProof/>
          </w:rPr>
          <w:fldChar w:fldCharType="end"/>
        </w:r>
      </w:p>
    </w:sdtContent>
  </w:sdt>
  <w:p w:rsidR="00441083" w:rsidRDefault="00441083">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0CA" w:rsidRDefault="001B50CA">
      <w:r>
        <w:separator/>
      </w:r>
    </w:p>
  </w:footnote>
  <w:footnote w:type="continuationSeparator" w:id="0">
    <w:p w:rsidR="001B50CA" w:rsidRDefault="001B50CA">
      <w:r>
        <w:continuationSeparator/>
      </w:r>
    </w:p>
  </w:footnote>
  <w:footnote w:id="1">
    <w:p w:rsidR="00E5512D" w:rsidRPr="008E07C3" w:rsidRDefault="00E5512D" w:rsidP="00E5512D">
      <w:pPr>
        <w:pStyle w:val="FootnoteText"/>
      </w:pPr>
      <w:r>
        <w:rPr>
          <w:rStyle w:val="FootnoteReference"/>
        </w:rPr>
        <w:footnoteRef/>
      </w:r>
      <w:r>
        <w:t xml:space="preserve"> Conformément aux pratiques comptables normalisées et aux accords standard entre le Trésorier et les pays donateurs qui ont signé un tel accord, tous les intérêts associés aux contributions supplémentaires doivent être crédités, à titre de revenus, au Fonds multilatéral et doivent être utilisés en accord avec les politiques et les lignes directrices du Comité exécutif.</w:t>
      </w:r>
    </w:p>
  </w:footnote>
  <w:footnote w:id="2">
    <w:p w:rsidR="00E5512D" w:rsidRDefault="00E5512D" w:rsidP="00E5512D">
      <w:pPr>
        <w:pStyle w:val="FootnoteText"/>
      </w:pPr>
      <w:r>
        <w:rPr>
          <w:rStyle w:val="FootnoteReference"/>
        </w:rPr>
        <w:footnoteRef/>
      </w:r>
      <w:r>
        <w:t xml:space="preserve"> Dans le cadre de la coopération bilatérale des gouvernements de l’Allemagne (304 950 $ US) et de l’Italie (208 650 $ US).</w:t>
      </w:r>
    </w:p>
    <w:p w:rsidR="00A075ED" w:rsidRDefault="00A075ED" w:rsidP="00E5512D">
      <w:pPr>
        <w:pStyle w:val="FootnoteText"/>
      </w:pPr>
    </w:p>
    <w:p w:rsidR="00A075ED" w:rsidRPr="00212A47" w:rsidRDefault="00A075ED" w:rsidP="00E5512D">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2D" w:rsidRPr="0033525D" w:rsidRDefault="00273CE4" w:rsidP="009A4799">
    <w:pPr>
      <w:jc w:val="left"/>
    </w:pPr>
    <w:r>
      <w:fldChar w:fldCharType="begin"/>
    </w:r>
    <w:r w:rsidR="00E5512D">
      <w:instrText xml:space="preserve"> DOCPROPERTY "Document number"  \* MERGEFORMAT </w:instrText>
    </w:r>
    <w:r>
      <w:fldChar w:fldCharType="separate"/>
    </w:r>
    <w:r w:rsidR="00E5512D">
      <w:t>UNEP/OzL.Pro/ExCom/84/5</w:t>
    </w:r>
    <w:r>
      <w:fldChar w:fldCharType="end"/>
    </w:r>
  </w:p>
  <w:p w:rsidR="00E5512D" w:rsidRPr="0033525D" w:rsidRDefault="00E5512D" w:rsidP="00DB75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2D" w:rsidRPr="00554899" w:rsidRDefault="00273CE4" w:rsidP="00561786">
    <w:pPr>
      <w:jc w:val="right"/>
      <w:rPr>
        <w:lang w:val="en-US"/>
      </w:rPr>
    </w:pPr>
    <w:r>
      <w:fldChar w:fldCharType="begin"/>
    </w:r>
    <w:r w:rsidR="00E5512D" w:rsidRPr="00554899">
      <w:rPr>
        <w:lang w:val="en-US"/>
      </w:rPr>
      <w:instrText xml:space="preserve"> DOCPROPERTY "Document number"  \* MERGEFORMAT </w:instrText>
    </w:r>
    <w:r>
      <w:fldChar w:fldCharType="separate"/>
    </w:r>
    <w:r w:rsidR="00E5512D" w:rsidRPr="00554899">
      <w:rPr>
        <w:lang w:val="en-US"/>
      </w:rPr>
      <w:t>UNEP/OzL.Pro/ExCom/84/5</w:t>
    </w:r>
    <w:r>
      <w:fldChar w:fldCharType="end"/>
    </w:r>
  </w:p>
  <w:p w:rsidR="00E5512D" w:rsidRPr="00554899" w:rsidRDefault="00E5512D" w:rsidP="00561786">
    <w:pPr>
      <w:jc w:val="right"/>
      <w:rPr>
        <w:lang w:val="en-US"/>
      </w:rPr>
    </w:pPr>
    <w:r w:rsidRPr="00554899">
      <w:rPr>
        <w:lang w:val="en-US"/>
      </w:rPr>
      <w:t>Annexe 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2D" w:rsidRPr="00554899" w:rsidRDefault="00273CE4" w:rsidP="00E5512D">
    <w:pPr>
      <w:pStyle w:val="Header"/>
      <w:jc w:val="right"/>
      <w:rPr>
        <w:lang w:val="en-US"/>
      </w:rPr>
    </w:pPr>
    <w:r w:rsidRPr="0086109F">
      <w:fldChar w:fldCharType="begin"/>
    </w:r>
    <w:r w:rsidR="00E5512D" w:rsidRPr="00554899">
      <w:rPr>
        <w:lang w:val="en-US"/>
      </w:rPr>
      <w:instrText xml:space="preserve"> DOCPROPERTY "Document number"  \* MERGEFORMAT </w:instrText>
    </w:r>
    <w:r w:rsidRPr="0086109F">
      <w:fldChar w:fldCharType="separate"/>
    </w:r>
    <w:r w:rsidR="00E5512D" w:rsidRPr="00554899">
      <w:rPr>
        <w:lang w:val="en-US"/>
      </w:rPr>
      <w:t>UNEP/OzL.Pro/ExCom/84/5</w:t>
    </w:r>
    <w:r w:rsidRPr="0086109F">
      <w:fldChar w:fldCharType="end"/>
    </w:r>
  </w:p>
  <w:p w:rsidR="00441083" w:rsidRDefault="00E5512D" w:rsidP="00E5512D">
    <w:pPr>
      <w:jc w:val="right"/>
    </w:pPr>
    <w:r w:rsidRPr="00554899">
      <w:rPr>
        <w:lang w:val="en-US"/>
      </w:rPr>
      <w:t>Annexe I</w:t>
    </w:r>
  </w:p>
  <w:p w:rsidR="00441083" w:rsidRDefault="00441083">
    <w:pPr>
      <w:jc w:val="right"/>
    </w:pPr>
  </w:p>
  <w:p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64375A"/>
    <w:multiLevelType w:val="hybridMultilevel"/>
    <w:tmpl w:val="B5D898C6"/>
    <w:lvl w:ilvl="0" w:tplc="782CC4B2">
      <w:start w:val="1"/>
      <w:numFmt w:val="lowerRoman"/>
      <w:lvlText w:val="(%1)"/>
      <w:lvlJc w:val="left"/>
      <w:pPr>
        <w:ind w:left="2658" w:hanging="360"/>
      </w:pPr>
      <w:rPr>
        <w:rFonts w:ascii="Times New Roman" w:eastAsia="Times New Roman" w:hAnsi="Times New Roman" w:cs="Times New Roman"/>
      </w:rPr>
    </w:lvl>
    <w:lvl w:ilvl="1" w:tplc="10090019" w:tentative="1">
      <w:start w:val="1"/>
      <w:numFmt w:val="lowerLetter"/>
      <w:lvlText w:val="%2."/>
      <w:lvlJc w:val="left"/>
      <w:pPr>
        <w:ind w:left="3378" w:hanging="360"/>
      </w:pPr>
    </w:lvl>
    <w:lvl w:ilvl="2" w:tplc="1009001B" w:tentative="1">
      <w:start w:val="1"/>
      <w:numFmt w:val="lowerRoman"/>
      <w:lvlText w:val="%3."/>
      <w:lvlJc w:val="right"/>
      <w:pPr>
        <w:ind w:left="4098" w:hanging="180"/>
      </w:pPr>
    </w:lvl>
    <w:lvl w:ilvl="3" w:tplc="1009000F" w:tentative="1">
      <w:start w:val="1"/>
      <w:numFmt w:val="decimal"/>
      <w:lvlText w:val="%4."/>
      <w:lvlJc w:val="left"/>
      <w:pPr>
        <w:ind w:left="4818" w:hanging="360"/>
      </w:pPr>
    </w:lvl>
    <w:lvl w:ilvl="4" w:tplc="10090019" w:tentative="1">
      <w:start w:val="1"/>
      <w:numFmt w:val="lowerLetter"/>
      <w:lvlText w:val="%5."/>
      <w:lvlJc w:val="left"/>
      <w:pPr>
        <w:ind w:left="5538" w:hanging="360"/>
      </w:pPr>
    </w:lvl>
    <w:lvl w:ilvl="5" w:tplc="1009001B" w:tentative="1">
      <w:start w:val="1"/>
      <w:numFmt w:val="lowerRoman"/>
      <w:lvlText w:val="%6."/>
      <w:lvlJc w:val="right"/>
      <w:pPr>
        <w:ind w:left="6258" w:hanging="180"/>
      </w:pPr>
    </w:lvl>
    <w:lvl w:ilvl="6" w:tplc="1009000F" w:tentative="1">
      <w:start w:val="1"/>
      <w:numFmt w:val="decimal"/>
      <w:lvlText w:val="%7."/>
      <w:lvlJc w:val="left"/>
      <w:pPr>
        <w:ind w:left="6978" w:hanging="360"/>
      </w:pPr>
    </w:lvl>
    <w:lvl w:ilvl="7" w:tplc="10090019" w:tentative="1">
      <w:start w:val="1"/>
      <w:numFmt w:val="lowerLetter"/>
      <w:lvlText w:val="%8."/>
      <w:lvlJc w:val="left"/>
      <w:pPr>
        <w:ind w:left="7698" w:hanging="360"/>
      </w:pPr>
    </w:lvl>
    <w:lvl w:ilvl="8" w:tplc="1009001B" w:tentative="1">
      <w:start w:val="1"/>
      <w:numFmt w:val="lowerRoman"/>
      <w:lvlText w:val="%9."/>
      <w:lvlJc w:val="right"/>
      <w:pPr>
        <w:ind w:left="8418" w:hanging="180"/>
      </w:pPr>
    </w:lvl>
  </w:abstractNum>
  <w:abstractNum w:abstractNumId="13"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7"/>
  </w:num>
  <w:num w:numId="19">
    <w:abstractNumId w:val="18"/>
  </w:num>
  <w:num w:numId="20">
    <w:abstractNumId w:val="15"/>
  </w:num>
  <w:num w:numId="21">
    <w:abstractNumId w:val="11"/>
  </w:num>
  <w:num w:numId="22">
    <w:abstractNumId w:val="13"/>
  </w:num>
  <w:num w:numId="23">
    <w:abstractNumId w:val="1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21CF"/>
    <w:rsid w:val="000E6D16"/>
    <w:rsid w:val="000F6C8E"/>
    <w:rsid w:val="001B50CA"/>
    <w:rsid w:val="001C3D0C"/>
    <w:rsid w:val="001D4CE7"/>
    <w:rsid w:val="00205393"/>
    <w:rsid w:val="00265AF0"/>
    <w:rsid w:val="00273CE4"/>
    <w:rsid w:val="002F0B57"/>
    <w:rsid w:val="003022D3"/>
    <w:rsid w:val="003A0CA4"/>
    <w:rsid w:val="00441083"/>
    <w:rsid w:val="00452011"/>
    <w:rsid w:val="004B21CF"/>
    <w:rsid w:val="004C2C87"/>
    <w:rsid w:val="004E3A36"/>
    <w:rsid w:val="00512F6B"/>
    <w:rsid w:val="005840B0"/>
    <w:rsid w:val="005B3CAD"/>
    <w:rsid w:val="005C278F"/>
    <w:rsid w:val="00605093"/>
    <w:rsid w:val="006E0C99"/>
    <w:rsid w:val="007034FA"/>
    <w:rsid w:val="0075750B"/>
    <w:rsid w:val="00783DC3"/>
    <w:rsid w:val="0091161A"/>
    <w:rsid w:val="00972E99"/>
    <w:rsid w:val="009A5180"/>
    <w:rsid w:val="00A075ED"/>
    <w:rsid w:val="00A25CBF"/>
    <w:rsid w:val="00A2681A"/>
    <w:rsid w:val="00AC013C"/>
    <w:rsid w:val="00AE63D8"/>
    <w:rsid w:val="00B617C3"/>
    <w:rsid w:val="00B811F2"/>
    <w:rsid w:val="00BC3C7D"/>
    <w:rsid w:val="00C6443E"/>
    <w:rsid w:val="00CA456B"/>
    <w:rsid w:val="00D128A8"/>
    <w:rsid w:val="00D7654A"/>
    <w:rsid w:val="00DB4E64"/>
    <w:rsid w:val="00DD3433"/>
    <w:rsid w:val="00E348C6"/>
    <w:rsid w:val="00E47B3D"/>
    <w:rsid w:val="00E54871"/>
    <w:rsid w:val="00E5512D"/>
    <w:rsid w:val="00E60D9C"/>
    <w:rsid w:val="00EB2067"/>
    <w:rsid w:val="00F37A42"/>
    <w:rsid w:val="00F557F5"/>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27B9B"/>
  <w15:docId w15:val="{CC2D996A-76D4-4C78-A437-2C2F94B9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6B"/>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512F6B"/>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512F6B"/>
    <w:pPr>
      <w:widowControl w:val="0"/>
      <w:numPr>
        <w:ilvl w:val="1"/>
        <w:numId w:val="2"/>
      </w:numPr>
      <w:spacing w:after="240"/>
      <w:outlineLvl w:val="1"/>
    </w:pPr>
  </w:style>
  <w:style w:type="paragraph" w:styleId="Heading3">
    <w:name w:val="heading 3"/>
    <w:aliases w:val="Char,Heading 3 Char,Char Char,Heading 3 Char1,Heading 3 Char Char,Char Char Char,Char Char1"/>
    <w:basedOn w:val="Normal"/>
    <w:next w:val="Normal"/>
    <w:qFormat/>
    <w:rsid w:val="00512F6B"/>
    <w:pPr>
      <w:widowControl w:val="0"/>
      <w:numPr>
        <w:ilvl w:val="2"/>
        <w:numId w:val="3"/>
      </w:numPr>
      <w:spacing w:after="240"/>
      <w:outlineLvl w:val="2"/>
    </w:pPr>
  </w:style>
  <w:style w:type="paragraph" w:styleId="Heading4">
    <w:name w:val="heading 4"/>
    <w:aliases w:val="Heading 11"/>
    <w:basedOn w:val="Normal"/>
    <w:next w:val="Heading9"/>
    <w:qFormat/>
    <w:rsid w:val="00512F6B"/>
    <w:pPr>
      <w:keepNext/>
      <w:numPr>
        <w:ilvl w:val="3"/>
        <w:numId w:val="4"/>
      </w:numPr>
      <w:spacing w:before="240" w:after="60"/>
      <w:outlineLvl w:val="3"/>
    </w:pPr>
  </w:style>
  <w:style w:type="paragraph" w:styleId="Heading5">
    <w:name w:val="heading 5"/>
    <w:basedOn w:val="Normal"/>
    <w:next w:val="Normal"/>
    <w:qFormat/>
    <w:rsid w:val="00512F6B"/>
    <w:pPr>
      <w:keepNext/>
      <w:numPr>
        <w:numId w:val="20"/>
      </w:numPr>
      <w:spacing w:after="240"/>
      <w:ind w:left="3600" w:hanging="720"/>
      <w:outlineLvl w:val="4"/>
    </w:pPr>
  </w:style>
  <w:style w:type="paragraph" w:styleId="Heading6">
    <w:name w:val="heading 6"/>
    <w:basedOn w:val="Normal"/>
    <w:next w:val="Normal"/>
    <w:qFormat/>
    <w:rsid w:val="00512F6B"/>
    <w:pPr>
      <w:numPr>
        <w:ilvl w:val="5"/>
        <w:numId w:val="1"/>
      </w:numPr>
      <w:spacing w:before="240" w:after="60"/>
      <w:outlineLvl w:val="5"/>
    </w:pPr>
    <w:rPr>
      <w:rFonts w:ascii="Arial" w:hAnsi="Arial"/>
      <w:i/>
    </w:rPr>
  </w:style>
  <w:style w:type="paragraph" w:styleId="Heading7">
    <w:name w:val="heading 7"/>
    <w:basedOn w:val="Normal"/>
    <w:next w:val="Normal"/>
    <w:qFormat/>
    <w:rsid w:val="00512F6B"/>
    <w:pPr>
      <w:numPr>
        <w:ilvl w:val="6"/>
        <w:numId w:val="1"/>
      </w:numPr>
      <w:spacing w:before="240" w:after="60"/>
      <w:outlineLvl w:val="6"/>
    </w:pPr>
    <w:rPr>
      <w:rFonts w:ascii="Arial" w:hAnsi="Arial"/>
    </w:rPr>
  </w:style>
  <w:style w:type="paragraph" w:styleId="Heading8">
    <w:name w:val="heading 8"/>
    <w:basedOn w:val="Normal"/>
    <w:next w:val="Normal"/>
    <w:qFormat/>
    <w:rsid w:val="00512F6B"/>
    <w:pPr>
      <w:outlineLvl w:val="7"/>
    </w:pPr>
    <w:rPr>
      <w:b/>
    </w:rPr>
  </w:style>
  <w:style w:type="paragraph" w:styleId="Heading9">
    <w:name w:val="heading 9"/>
    <w:basedOn w:val="Normal"/>
    <w:next w:val="Normal"/>
    <w:qFormat/>
    <w:rsid w:val="00512F6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12F6B"/>
    <w:pPr>
      <w:numPr>
        <w:numId w:val="16"/>
      </w:numPr>
    </w:pPr>
  </w:style>
  <w:style w:type="paragraph" w:styleId="Header">
    <w:name w:val="header"/>
    <w:basedOn w:val="Normal"/>
    <w:rsid w:val="00512F6B"/>
    <w:pPr>
      <w:tabs>
        <w:tab w:val="center" w:pos="4320"/>
        <w:tab w:val="right" w:pos="8640"/>
      </w:tabs>
    </w:pPr>
  </w:style>
  <w:style w:type="paragraph" w:customStyle="1" w:styleId="sub-title">
    <w:name w:val="sub-title"/>
    <w:rsid w:val="00512F6B"/>
    <w:pPr>
      <w:jc w:val="both"/>
      <w:outlineLvl w:val="0"/>
    </w:pPr>
    <w:rPr>
      <w:b/>
      <w:noProof/>
      <w:sz w:val="22"/>
      <w:szCs w:val="22"/>
    </w:rPr>
  </w:style>
  <w:style w:type="paragraph" w:customStyle="1" w:styleId="Title1">
    <w:name w:val="Title1"/>
    <w:rsid w:val="00512F6B"/>
    <w:pPr>
      <w:jc w:val="center"/>
      <w:outlineLvl w:val="0"/>
    </w:pPr>
    <w:rPr>
      <w:b/>
      <w:caps/>
      <w:sz w:val="22"/>
      <w:szCs w:val="22"/>
      <w:lang w:val="en-GB"/>
    </w:rPr>
  </w:style>
  <w:style w:type="paragraph" w:customStyle="1" w:styleId="Decision">
    <w:name w:val="Decision"/>
    <w:basedOn w:val="Normal"/>
    <w:rsid w:val="00512F6B"/>
    <w:pPr>
      <w:keepLines/>
      <w:jc w:val="right"/>
    </w:pPr>
    <w:rPr>
      <w:b/>
    </w:rPr>
  </w:style>
  <w:style w:type="paragraph" w:customStyle="1" w:styleId="0Heading0">
    <w:name w:val="0 Heading 0"/>
    <w:rsid w:val="00512F6B"/>
    <w:rPr>
      <w:sz w:val="22"/>
      <w:szCs w:val="22"/>
      <w:lang w:val="en-GB"/>
    </w:rPr>
  </w:style>
  <w:style w:type="paragraph" w:styleId="Footer">
    <w:name w:val="footer"/>
    <w:basedOn w:val="Normal"/>
    <w:link w:val="FooterChar"/>
    <w:uiPriority w:val="99"/>
    <w:rsid w:val="00512F6B"/>
    <w:pPr>
      <w:tabs>
        <w:tab w:val="center" w:pos="4320"/>
        <w:tab w:val="right" w:pos="8640"/>
      </w:tabs>
    </w:pPr>
  </w:style>
  <w:style w:type="numbering" w:styleId="1ai">
    <w:name w:val="Outline List 1"/>
    <w:basedOn w:val="NoList"/>
    <w:semiHidden/>
    <w:rsid w:val="00512F6B"/>
    <w:pPr>
      <w:numPr>
        <w:numId w:val="17"/>
      </w:numPr>
    </w:pPr>
  </w:style>
  <w:style w:type="numbering" w:styleId="ArticleSection">
    <w:name w:val="Outline List 3"/>
    <w:basedOn w:val="NoList"/>
    <w:semiHidden/>
    <w:rsid w:val="00512F6B"/>
    <w:pPr>
      <w:numPr>
        <w:numId w:val="18"/>
      </w:numPr>
    </w:pPr>
  </w:style>
  <w:style w:type="paragraph" w:styleId="BlockText">
    <w:name w:val="Block Text"/>
    <w:basedOn w:val="Normal"/>
    <w:semiHidden/>
    <w:rsid w:val="00512F6B"/>
    <w:pPr>
      <w:spacing w:after="120"/>
      <w:ind w:left="1440" w:right="1440"/>
    </w:pPr>
  </w:style>
  <w:style w:type="paragraph" w:styleId="BodyText3">
    <w:name w:val="Body Text 3"/>
    <w:basedOn w:val="Normal"/>
    <w:semiHidden/>
    <w:rsid w:val="00512F6B"/>
    <w:pPr>
      <w:spacing w:after="120"/>
    </w:pPr>
    <w:rPr>
      <w:sz w:val="16"/>
      <w:szCs w:val="16"/>
    </w:rPr>
  </w:style>
  <w:style w:type="paragraph" w:styleId="BodyTextIndent3">
    <w:name w:val="Body Text Indent 3"/>
    <w:basedOn w:val="Normal"/>
    <w:semiHidden/>
    <w:rsid w:val="00512F6B"/>
    <w:pPr>
      <w:spacing w:after="120"/>
      <w:ind w:left="360"/>
    </w:pPr>
    <w:rPr>
      <w:sz w:val="16"/>
      <w:szCs w:val="16"/>
    </w:rPr>
  </w:style>
  <w:style w:type="paragraph" w:styleId="PlainText">
    <w:name w:val="Plain Text"/>
    <w:basedOn w:val="Normal"/>
    <w:semiHidden/>
    <w:rsid w:val="00512F6B"/>
    <w:rPr>
      <w:rFonts w:ascii="Courier New" w:hAnsi="Courier New" w:cs="Courier New"/>
      <w:sz w:val="20"/>
    </w:rPr>
  </w:style>
  <w:style w:type="table" w:styleId="Table3Deffects1">
    <w:name w:val="Table 3D effects 1"/>
    <w:basedOn w:val="TableNormal"/>
    <w:semiHidden/>
    <w:rsid w:val="00512F6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2F6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2F6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12F6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2F6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2F6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2F6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2F6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2F6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2F6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2F6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2F6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2F6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2F6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2F6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12F6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2F6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12F6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12F6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2F6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2F6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2F6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2F6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2F6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2F6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2F6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2F6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2F6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2F6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2F6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2F6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2F6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2F6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2F6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12F6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2F6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2F6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2F6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2F6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2F6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12F6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12F6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2F6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2F6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512F6B"/>
    <w:rPr>
      <w:sz w:val="22"/>
      <w:szCs w:val="22"/>
      <w:lang w:val="en-GB"/>
    </w:rPr>
  </w:style>
  <w:style w:type="paragraph" w:customStyle="1" w:styleId="Header4">
    <w:name w:val="Header4"/>
    <w:aliases w:val="Para 4"/>
    <w:basedOn w:val="Normal"/>
    <w:next w:val="Normal"/>
    <w:rsid w:val="00512F6B"/>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512F6B"/>
    <w:rPr>
      <w:sz w:val="16"/>
      <w:szCs w:val="16"/>
    </w:rPr>
  </w:style>
  <w:style w:type="paragraph" w:styleId="Subtitle">
    <w:name w:val="Subtitle"/>
    <w:basedOn w:val="Normal"/>
    <w:qFormat/>
    <w:rsid w:val="00512F6B"/>
    <w:pPr>
      <w:spacing w:after="60"/>
      <w:jc w:val="center"/>
      <w:outlineLvl w:val="1"/>
    </w:pPr>
    <w:rPr>
      <w:rFonts w:ascii="Arial" w:hAnsi="Arial" w:cs="Arial"/>
    </w:rPr>
  </w:style>
  <w:style w:type="paragraph" w:styleId="Title">
    <w:name w:val="Title"/>
    <w:basedOn w:val="Normal"/>
    <w:qFormat/>
    <w:rsid w:val="00512F6B"/>
    <w:pPr>
      <w:spacing w:before="240" w:after="60"/>
      <w:jc w:val="center"/>
      <w:outlineLvl w:val="0"/>
    </w:pPr>
    <w:rPr>
      <w:rFonts w:ascii="Arial" w:hAnsi="Arial" w:cs="Arial"/>
      <w:b/>
      <w:bCs/>
      <w:kern w:val="28"/>
    </w:rPr>
  </w:style>
  <w:style w:type="paragraph" w:styleId="Date">
    <w:name w:val="Date"/>
    <w:basedOn w:val="Normal"/>
    <w:next w:val="Normal"/>
    <w:rsid w:val="00512F6B"/>
  </w:style>
  <w:style w:type="character" w:styleId="PlaceholderText">
    <w:name w:val="Placeholder Text"/>
    <w:basedOn w:val="DefaultParagraphFont"/>
    <w:uiPriority w:val="99"/>
    <w:semiHidden/>
    <w:rsid w:val="00512F6B"/>
    <w:rPr>
      <w:color w:val="808080"/>
    </w:rPr>
  </w:style>
  <w:style w:type="paragraph" w:styleId="BalloonText">
    <w:name w:val="Balloon Text"/>
    <w:basedOn w:val="Normal"/>
    <w:link w:val="BalloonTextChar"/>
    <w:uiPriority w:val="99"/>
    <w:semiHidden/>
    <w:unhideWhenUsed/>
    <w:rsid w:val="00512F6B"/>
    <w:rPr>
      <w:rFonts w:ascii="Tahoma" w:hAnsi="Tahoma" w:cs="Tahoma"/>
      <w:sz w:val="16"/>
      <w:szCs w:val="16"/>
    </w:rPr>
  </w:style>
  <w:style w:type="character" w:customStyle="1" w:styleId="BalloonTextChar">
    <w:name w:val="Balloon Text Char"/>
    <w:basedOn w:val="DefaultParagraphFont"/>
    <w:link w:val="BalloonText"/>
    <w:uiPriority w:val="99"/>
    <w:semiHidden/>
    <w:rsid w:val="00512F6B"/>
    <w:rPr>
      <w:rFonts w:ascii="Tahoma" w:hAnsi="Tahoma" w:cs="Tahoma"/>
      <w:sz w:val="16"/>
      <w:szCs w:val="16"/>
      <w:lang w:val="en-GB"/>
    </w:rPr>
  </w:style>
  <w:style w:type="paragraph" w:styleId="CommentText">
    <w:name w:val="annotation text"/>
    <w:basedOn w:val="Normal"/>
    <w:link w:val="CommentTextChar"/>
    <w:uiPriority w:val="99"/>
    <w:semiHidden/>
    <w:unhideWhenUsed/>
    <w:rsid w:val="00512F6B"/>
    <w:rPr>
      <w:sz w:val="20"/>
      <w:szCs w:val="20"/>
    </w:rPr>
  </w:style>
  <w:style w:type="character" w:customStyle="1" w:styleId="CommentTextChar">
    <w:name w:val="Comment Text Char"/>
    <w:basedOn w:val="DefaultParagraphFont"/>
    <w:link w:val="CommentText"/>
    <w:uiPriority w:val="99"/>
    <w:semiHidden/>
    <w:rsid w:val="00512F6B"/>
    <w:rPr>
      <w:lang w:val="en-GB"/>
    </w:rPr>
  </w:style>
  <w:style w:type="paragraph" w:styleId="CommentSubject">
    <w:name w:val="annotation subject"/>
    <w:basedOn w:val="CommentText"/>
    <w:next w:val="CommentText"/>
    <w:link w:val="CommentSubjectChar"/>
    <w:uiPriority w:val="99"/>
    <w:semiHidden/>
    <w:unhideWhenUsed/>
    <w:rsid w:val="00512F6B"/>
    <w:rPr>
      <w:b/>
      <w:bCs/>
    </w:rPr>
  </w:style>
  <w:style w:type="character" w:customStyle="1" w:styleId="CommentSubjectChar">
    <w:name w:val="Comment Subject Char"/>
    <w:basedOn w:val="CommentTextChar"/>
    <w:link w:val="CommentSubject"/>
    <w:uiPriority w:val="99"/>
    <w:semiHidden/>
    <w:rsid w:val="00512F6B"/>
    <w:rPr>
      <w:b/>
      <w:bCs/>
      <w:lang w:val="en-GB"/>
    </w:rPr>
  </w:style>
  <w:style w:type="paragraph" w:customStyle="1" w:styleId="StyleHeader4Para4Left0Firstline0">
    <w:name w:val="Style Header4Para 4 + Left:  0&quot; First line:  0&quot;"/>
    <w:basedOn w:val="Header4"/>
    <w:rsid w:val="00512F6B"/>
    <w:pPr>
      <w:ind w:left="0" w:firstLine="0"/>
    </w:pPr>
    <w:rPr>
      <w:sz w:val="20"/>
    </w:rPr>
  </w:style>
  <w:style w:type="paragraph" w:customStyle="1" w:styleId="StyleHeading1Para1Heading1CharHeading1Char3CharHeadin">
    <w:name w:val="Style Heading 1Para (1)Heading 1 CharHeading 1 Char3 CharHeadin..."/>
    <w:basedOn w:val="Heading1"/>
    <w:rsid w:val="00512F6B"/>
    <w:pPr>
      <w:numPr>
        <w:numId w:val="0"/>
      </w:numPr>
      <w:tabs>
        <w:tab w:val="left" w:pos="720"/>
      </w:tabs>
    </w:pPr>
    <w:rPr>
      <w:szCs w:val="20"/>
    </w:rPr>
  </w:style>
  <w:style w:type="character" w:customStyle="1" w:styleId="FooterChar">
    <w:name w:val="Footer Char"/>
    <w:basedOn w:val="DefaultParagraphFont"/>
    <w:link w:val="Footer"/>
    <w:uiPriority w:val="99"/>
    <w:rsid w:val="00512F6B"/>
    <w:rPr>
      <w:sz w:val="22"/>
      <w:szCs w:val="22"/>
      <w:lang w:val="en-GB"/>
    </w:rPr>
  </w:style>
  <w:style w:type="paragraph" w:styleId="ListParagraph">
    <w:name w:val="List Paragraph"/>
    <w:basedOn w:val="Normal"/>
    <w:uiPriority w:val="34"/>
    <w:qFormat/>
    <w:rsid w:val="00E5512D"/>
    <w:pPr>
      <w:ind w:left="720"/>
      <w:contextualSpacing/>
    </w:pPr>
    <w:rPr>
      <w:lang w:val="fr-FR"/>
    </w:rPr>
  </w:style>
  <w:style w:type="paragraph" w:styleId="FootnoteText">
    <w:name w:val="footnote text"/>
    <w:basedOn w:val="Normal"/>
    <w:link w:val="FootnoteTextChar"/>
    <w:uiPriority w:val="99"/>
    <w:semiHidden/>
    <w:unhideWhenUsed/>
    <w:rsid w:val="00E5512D"/>
    <w:rPr>
      <w:sz w:val="20"/>
      <w:szCs w:val="20"/>
      <w:lang w:val="fr-FR"/>
    </w:rPr>
  </w:style>
  <w:style w:type="character" w:customStyle="1" w:styleId="FootnoteTextChar">
    <w:name w:val="Footnote Text Char"/>
    <w:basedOn w:val="DefaultParagraphFont"/>
    <w:link w:val="FootnoteText"/>
    <w:uiPriority w:val="99"/>
    <w:semiHidden/>
    <w:rsid w:val="00E5512D"/>
    <w:rPr>
      <w:lang w:val="fr-FR"/>
    </w:rPr>
  </w:style>
  <w:style w:type="character" w:styleId="FootnoteReference">
    <w:name w:val="footnote reference"/>
    <w:basedOn w:val="DefaultParagraphFont"/>
    <w:uiPriority w:val="99"/>
    <w:semiHidden/>
    <w:unhideWhenUsed/>
    <w:rsid w:val="00E55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n%20travail\traducteur\travaux\ONU\2019-11-12\F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UNEP/OzL.Pro/ExCom/84/5</Document_x0020_Number>
  </documentManagement>
</p:properties>
</file>

<file path=customXml/itemProps1.xml><?xml version="1.0" encoding="utf-8"?>
<ds:datastoreItem xmlns:ds="http://schemas.openxmlformats.org/officeDocument/2006/customXml" ds:itemID="{4DD40E9F-36B4-418B-8D48-022137EF80BE}"/>
</file>

<file path=customXml/itemProps2.xml><?xml version="1.0" encoding="utf-8"?>
<ds:datastoreItem xmlns:ds="http://schemas.openxmlformats.org/officeDocument/2006/customXml" ds:itemID="{72126B80-0941-40DB-ABCC-84C9B052BC30}"/>
</file>

<file path=customXml/itemProps3.xml><?xml version="1.0" encoding="utf-8"?>
<ds:datastoreItem xmlns:ds="http://schemas.openxmlformats.org/officeDocument/2006/customXml" ds:itemID="{79BEA2CB-E55F-402C-A927-F5F19E47E867}"/>
</file>

<file path=customXml/itemProps4.xml><?xml version="1.0" encoding="utf-8"?>
<ds:datastoreItem xmlns:ds="http://schemas.openxmlformats.org/officeDocument/2006/customXml" ds:itemID="{94208342-CE0A-490A-BB56-B43CCD7DD279}"/>
</file>

<file path=docProps/app.xml><?xml version="1.0" encoding="utf-8"?>
<Properties xmlns="http://schemas.openxmlformats.org/officeDocument/2006/extended-properties" xmlns:vt="http://schemas.openxmlformats.org/officeDocument/2006/docPropsVTypes">
  <Template>F84-Template</Template>
  <TotalTime>28</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Etat des contributions supplémentaires au Fonds multilatéral et disponibilité des ressources </vt:lpstr>
    </vt:vector>
  </TitlesOfParts>
  <Company>UNMFS</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État des contributions supplémentaires au Fonds multilatéral et disponibilité des ressources</dc:title>
  <dc:creator>Magali Mourdon-Bertrand</dc:creator>
  <cp:lastModifiedBy>HBE</cp:lastModifiedBy>
  <cp:revision>17</cp:revision>
  <cp:lastPrinted>2001-05-26T16:40:00Z</cp:lastPrinted>
  <dcterms:created xsi:type="dcterms:W3CDTF">2019-11-21T12:04:00Z</dcterms:created>
  <dcterms:modified xsi:type="dcterms:W3CDTF">2019-11-26T19:37:00Z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UNEP/OzL.Pro/ExCom/84/5</vt:lpwstr>
  </property>
  <property fmtid="{D5CDD505-2E9C-101B-9397-08002B2CF9AE}" pid="3" name="Revision date">
    <vt:lpwstr>11/19/2019</vt:lpwstr>
  </property>
  <property fmtid="{D5CDD505-2E9C-101B-9397-08002B2CF9AE}" pid="4" name="ContentTypeId">
    <vt:lpwstr>0x010100109683CADC4F284EA5F0B82357B5BF3A</vt:lpwstr>
  </property>
</Properties>
</file>