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DF33" w14:textId="77777777" w:rsidR="00EE66BA" w:rsidRDefault="00264ACF" w:rsidP="009A3176">
      <w:r>
        <w:rPr>
          <w:noProof/>
          <w:lang w:val="en-CA" w:eastAsia="en-CA"/>
        </w:rPr>
        <w:drawing>
          <wp:anchor distT="0" distB="0" distL="114300" distR="114300" simplePos="0" relativeHeight="251658240" behindDoc="1" locked="0" layoutInCell="1" allowOverlap="1" wp14:anchorId="72D0C047" wp14:editId="4D6D4640">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14:paraId="791C5E72" w14:textId="77777777" w:rsidR="00D0546C" w:rsidRDefault="00D0546C" w:rsidP="009A3176">
      <w:pPr>
        <w:tabs>
          <w:tab w:val="left" w:pos="1410"/>
        </w:tabs>
      </w:pPr>
    </w:p>
    <w:p w14:paraId="50604116" w14:textId="77777777" w:rsidR="00D0546C" w:rsidRDefault="00D0546C" w:rsidP="009A3176">
      <w:pPr>
        <w:ind w:left="5040"/>
      </w:pPr>
    </w:p>
    <w:p w14:paraId="17ADC4A2" w14:textId="7F13B4FC" w:rsidR="003919B9" w:rsidRDefault="005A4390" w:rsidP="009A3176">
      <w:pPr>
        <w:ind w:left="5040"/>
      </w:pPr>
      <w:r>
        <w:t xml:space="preserve"> </w:t>
      </w:r>
      <w:r>
        <w:br/>
        <w:t xml:space="preserve">   </w:t>
      </w:r>
      <w:r w:rsidR="00D0546C">
        <w:br/>
      </w:r>
      <w:r w:rsidR="00D0546C">
        <w:br/>
      </w:r>
      <w:r w:rsidR="00D0546C">
        <w:br/>
      </w:r>
      <w:r w:rsidR="00264ACF">
        <w:t xml:space="preserve">   </w:t>
      </w:r>
      <w:r w:rsidR="005E2E96">
        <w:fldChar w:fldCharType="begin"/>
      </w:r>
      <w:r w:rsidR="005E2E96">
        <w:instrText xml:space="preserve"> DOCPROPERTY "Document number"  \* MERGEFORMAT </w:instrText>
      </w:r>
      <w:r w:rsidR="005E2E96">
        <w:fldChar w:fldCharType="separate"/>
      </w:r>
      <w:r w:rsidR="000E0964">
        <w:t>UNEP/</w:t>
      </w:r>
      <w:proofErr w:type="spellStart"/>
      <w:r w:rsidR="000E0964">
        <w:t>OzL.Pro</w:t>
      </w:r>
      <w:proofErr w:type="spellEnd"/>
      <w:r w:rsidR="000E0964">
        <w:t>/</w:t>
      </w:r>
      <w:proofErr w:type="spellStart"/>
      <w:r w:rsidR="000E0964">
        <w:t>ExCom</w:t>
      </w:r>
      <w:proofErr w:type="spellEnd"/>
      <w:r w:rsidR="000E0964">
        <w:t>/84/51</w:t>
      </w:r>
      <w:r w:rsidR="005E2E96">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5E2E96">
        <w:t>1 December 2019</w:t>
      </w:r>
      <w:r w:rsidR="003919B9">
        <w:fldChar w:fldCharType="end"/>
      </w:r>
    </w:p>
    <w:p w14:paraId="005D33F3" w14:textId="77777777" w:rsidR="003919B9" w:rsidRPr="003F73BA" w:rsidRDefault="003919B9" w:rsidP="009A3176"/>
    <w:p w14:paraId="129EB47E" w14:textId="77777777" w:rsidR="00EE66BA" w:rsidRDefault="00EE66BA" w:rsidP="009A3176">
      <w:pPr>
        <w:tabs>
          <w:tab w:val="left" w:pos="8280"/>
        </w:tabs>
      </w:pPr>
    </w:p>
    <w:p w14:paraId="6D7EF6A0" w14:textId="77777777" w:rsidR="003919B9" w:rsidRDefault="003919B9" w:rsidP="009A3176">
      <w:pPr>
        <w:tabs>
          <w:tab w:val="left" w:pos="8280"/>
        </w:tabs>
      </w:pPr>
    </w:p>
    <w:p w14:paraId="3AC850D1" w14:textId="77777777" w:rsidR="003919B9" w:rsidRDefault="00D66982" w:rsidP="009A3176">
      <w:pPr>
        <w:tabs>
          <w:tab w:val="left" w:pos="3940"/>
        </w:tabs>
      </w:pPr>
      <w:r>
        <w:tab/>
      </w:r>
    </w:p>
    <w:p w14:paraId="31D1352C" w14:textId="77777777" w:rsidR="003919B9" w:rsidRDefault="003919B9" w:rsidP="009A3176">
      <w:pPr>
        <w:tabs>
          <w:tab w:val="left" w:pos="8280"/>
        </w:tabs>
      </w:pPr>
    </w:p>
    <w:p w14:paraId="41F1AB41" w14:textId="77777777" w:rsidR="003919B9" w:rsidRDefault="003919B9" w:rsidP="009A3176">
      <w:pPr>
        <w:tabs>
          <w:tab w:val="left" w:pos="8280"/>
        </w:tabs>
      </w:pPr>
    </w:p>
    <w:p w14:paraId="6F43C762" w14:textId="77777777" w:rsidR="003919B9" w:rsidRDefault="003919B9" w:rsidP="009A3176">
      <w:pPr>
        <w:tabs>
          <w:tab w:val="left" w:pos="8280"/>
        </w:tabs>
      </w:pPr>
    </w:p>
    <w:p w14:paraId="1644F496" w14:textId="77777777" w:rsidR="003919B9" w:rsidRDefault="003919B9" w:rsidP="009A3176">
      <w:pPr>
        <w:tabs>
          <w:tab w:val="left" w:pos="8280"/>
        </w:tabs>
      </w:pPr>
    </w:p>
    <w:p w14:paraId="6E67ED3D" w14:textId="77777777" w:rsidR="003919B9" w:rsidRDefault="003919B9" w:rsidP="009A3176">
      <w:pPr>
        <w:tabs>
          <w:tab w:val="left" w:pos="8280"/>
        </w:tabs>
      </w:pPr>
    </w:p>
    <w:p w14:paraId="240539B1" w14:textId="77777777" w:rsidR="003919B9" w:rsidRDefault="003919B9" w:rsidP="009A3176">
      <w:pPr>
        <w:tabs>
          <w:tab w:val="left" w:pos="8280"/>
        </w:tabs>
      </w:pPr>
    </w:p>
    <w:p w14:paraId="778310F1" w14:textId="77777777" w:rsidR="000E59CB" w:rsidRDefault="000E59CB" w:rsidP="009A3176">
      <w:pPr>
        <w:tabs>
          <w:tab w:val="left" w:pos="8280"/>
        </w:tabs>
      </w:pPr>
    </w:p>
    <w:p w14:paraId="7A2DDEFD" w14:textId="77777777" w:rsidR="000E0964" w:rsidRDefault="000E0964" w:rsidP="009A3176">
      <w:pPr>
        <w:tabs>
          <w:tab w:val="left" w:pos="8280"/>
        </w:tabs>
      </w:pPr>
    </w:p>
    <w:p w14:paraId="4CD09069" w14:textId="77777777" w:rsidR="000E0964" w:rsidRPr="00FE3307" w:rsidRDefault="000E0964" w:rsidP="009A3176">
      <w:pPr>
        <w:rPr>
          <w:lang w:val="en-CA"/>
        </w:rPr>
      </w:pPr>
    </w:p>
    <w:p w14:paraId="7840F9C3" w14:textId="60DF729C" w:rsidR="000E0964" w:rsidRPr="00FE3307" w:rsidRDefault="000E0964" w:rsidP="009A3176">
      <w:pPr>
        <w:jc w:val="center"/>
        <w:rPr>
          <w:b/>
          <w:lang w:val="en-CA"/>
        </w:rPr>
      </w:pPr>
      <w:r>
        <w:rPr>
          <w:b/>
          <w:lang w:val="en-CA"/>
        </w:rPr>
        <w:t>PROJECT PROPOSAL</w:t>
      </w:r>
      <w:r w:rsidR="005E2E96">
        <w:rPr>
          <w:b/>
          <w:lang w:val="en-CA"/>
        </w:rPr>
        <w:t>S</w:t>
      </w:r>
      <w:r>
        <w:rPr>
          <w:b/>
          <w:lang w:val="en-CA"/>
        </w:rPr>
        <w:t>: IRAN (ISLAMIC REPUBLIC OF)</w:t>
      </w:r>
    </w:p>
    <w:p w14:paraId="6FBAA413" w14:textId="77777777" w:rsidR="000E0964" w:rsidRPr="00FE3307" w:rsidRDefault="000E0964" w:rsidP="009A3176">
      <w:pPr>
        <w:rPr>
          <w:lang w:val="en-CA"/>
        </w:rPr>
      </w:pPr>
    </w:p>
    <w:p w14:paraId="66355F04" w14:textId="77777777" w:rsidR="000E0964" w:rsidRPr="00FE3307" w:rsidRDefault="000E0964" w:rsidP="009A3176">
      <w:pPr>
        <w:rPr>
          <w:lang w:val="en-CA"/>
        </w:rPr>
      </w:pPr>
    </w:p>
    <w:p w14:paraId="288B0EDF" w14:textId="77777777" w:rsidR="000E0964" w:rsidRPr="00FE3307" w:rsidRDefault="000E0964" w:rsidP="009A3176">
      <w:pPr>
        <w:ind w:firstLine="720"/>
        <w:rPr>
          <w:lang w:val="en-CA"/>
        </w:rPr>
      </w:pPr>
      <w:r w:rsidRPr="00FE3307">
        <w:rPr>
          <w:lang w:val="en-CA"/>
        </w:rPr>
        <w:t xml:space="preserve">This document consists of the comments and recommendation of the Secretariat on the following project proposal: </w:t>
      </w:r>
    </w:p>
    <w:p w14:paraId="79C6427F" w14:textId="77777777" w:rsidR="000E0964" w:rsidRDefault="000E0964" w:rsidP="009A3176">
      <w:pPr>
        <w:rPr>
          <w:lang w:val="en-CA"/>
        </w:rPr>
      </w:pPr>
    </w:p>
    <w:p w14:paraId="45F1F8E6" w14:textId="77777777" w:rsidR="000E0964" w:rsidRDefault="000E0964" w:rsidP="009A3176">
      <w:pPr>
        <w:rPr>
          <w:lang w:val="en-CA"/>
        </w:rPr>
      </w:pPr>
    </w:p>
    <w:p w14:paraId="6EE665A5" w14:textId="77777777" w:rsidR="000E0964" w:rsidRPr="00FE3307" w:rsidRDefault="000E0964" w:rsidP="009A3176">
      <w:pPr>
        <w:rPr>
          <w:u w:val="single"/>
          <w:lang w:val="en-CA"/>
        </w:rPr>
      </w:pPr>
      <w:r w:rsidRPr="00FE3307">
        <w:rPr>
          <w:u w:val="single"/>
          <w:lang w:val="en-CA"/>
        </w:rPr>
        <w:t>Phase-out</w:t>
      </w:r>
    </w:p>
    <w:p w14:paraId="17D65FD5" w14:textId="77777777" w:rsidR="000E0964" w:rsidRPr="00FE3307" w:rsidRDefault="000E0964" w:rsidP="009A3176">
      <w:pPr>
        <w:rPr>
          <w:lang w:val="en-C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790"/>
      </w:tblGrid>
      <w:tr w:rsidR="000E0964" w:rsidRPr="00FE3307" w14:paraId="61BEA242" w14:textId="77777777" w:rsidTr="007E53AE">
        <w:tc>
          <w:tcPr>
            <w:tcW w:w="6660" w:type="dxa"/>
            <w:shd w:val="clear" w:color="auto" w:fill="auto"/>
          </w:tcPr>
          <w:p w14:paraId="16272FA5" w14:textId="4574C895" w:rsidR="000E0964" w:rsidRPr="00AB4A87" w:rsidRDefault="000E0964" w:rsidP="009A3176">
            <w:pPr>
              <w:pStyle w:val="ListParagraph"/>
              <w:numPr>
                <w:ilvl w:val="0"/>
                <w:numId w:val="21"/>
              </w:numPr>
              <w:ind w:left="0" w:hanging="830"/>
              <w:rPr>
                <w:lang w:val="en-CA"/>
              </w:rPr>
            </w:pPr>
            <w:r w:rsidRPr="00AB4A87">
              <w:rPr>
                <w:lang w:val="en-CA"/>
              </w:rPr>
              <w:t>HCFC phase-out management plan (</w:t>
            </w:r>
            <w:r w:rsidR="00687BDF">
              <w:rPr>
                <w:lang w:val="en-CA"/>
              </w:rPr>
              <w:t>stage I</w:t>
            </w:r>
            <w:r>
              <w:rPr>
                <w:lang w:val="en-CA"/>
              </w:rPr>
              <w:t>) (annual progress report</w:t>
            </w:r>
            <w:r w:rsidRPr="00AB4A87">
              <w:rPr>
                <w:lang w:val="en-CA"/>
              </w:rPr>
              <w:t>)</w:t>
            </w:r>
          </w:p>
        </w:tc>
        <w:tc>
          <w:tcPr>
            <w:tcW w:w="2790" w:type="dxa"/>
          </w:tcPr>
          <w:p w14:paraId="6A8DECB4" w14:textId="460FDC3C" w:rsidR="000E0964" w:rsidRPr="00FE3307" w:rsidRDefault="000E0964" w:rsidP="007E53AE">
            <w:pPr>
              <w:jc w:val="right"/>
              <w:rPr>
                <w:lang w:val="en-CA"/>
              </w:rPr>
            </w:pPr>
            <w:r>
              <w:rPr>
                <w:lang w:val="en-CA"/>
              </w:rPr>
              <w:t xml:space="preserve">UNDP, </w:t>
            </w:r>
            <w:r w:rsidRPr="001D2D65">
              <w:rPr>
                <w:lang w:val="en-CA"/>
              </w:rPr>
              <w:t>UNEP, UNIDO</w:t>
            </w:r>
            <w:r w:rsidR="007E53AE">
              <w:rPr>
                <w:lang w:val="en-CA"/>
              </w:rPr>
              <w:t xml:space="preserve"> and Germany</w:t>
            </w:r>
            <w:r w:rsidRPr="00FE3307">
              <w:rPr>
                <w:lang w:val="en-CA"/>
              </w:rPr>
              <w:t xml:space="preserve"> </w:t>
            </w:r>
          </w:p>
        </w:tc>
      </w:tr>
      <w:tr w:rsidR="000E0964" w:rsidRPr="00FE3307" w14:paraId="3624B342" w14:textId="77777777" w:rsidTr="007E53AE">
        <w:tc>
          <w:tcPr>
            <w:tcW w:w="6660" w:type="dxa"/>
            <w:shd w:val="clear" w:color="auto" w:fill="auto"/>
          </w:tcPr>
          <w:p w14:paraId="6963BB41" w14:textId="257C79BD" w:rsidR="000E0964" w:rsidRPr="00AB4A87" w:rsidRDefault="000E0964" w:rsidP="009A3176">
            <w:pPr>
              <w:pStyle w:val="ListParagraph"/>
              <w:numPr>
                <w:ilvl w:val="0"/>
                <w:numId w:val="21"/>
              </w:numPr>
              <w:ind w:left="0" w:hanging="830"/>
              <w:rPr>
                <w:lang w:val="en-CA"/>
              </w:rPr>
            </w:pPr>
            <w:r w:rsidRPr="00AB4A87">
              <w:rPr>
                <w:lang w:val="en-CA"/>
              </w:rPr>
              <w:t>HCFC phase-out management plan (</w:t>
            </w:r>
            <w:r w:rsidR="00687BDF">
              <w:rPr>
                <w:lang w:val="en-CA"/>
              </w:rPr>
              <w:t>stage I</w:t>
            </w:r>
            <w:r w:rsidRPr="00AB4A87">
              <w:rPr>
                <w:lang w:val="en-CA"/>
              </w:rPr>
              <w:t>I, second tranche)</w:t>
            </w:r>
          </w:p>
        </w:tc>
        <w:tc>
          <w:tcPr>
            <w:tcW w:w="2790" w:type="dxa"/>
          </w:tcPr>
          <w:p w14:paraId="3213A16D" w14:textId="32709ACC" w:rsidR="000E0964" w:rsidRDefault="000E0964" w:rsidP="007E53AE">
            <w:pPr>
              <w:jc w:val="right"/>
              <w:rPr>
                <w:lang w:val="en-CA"/>
              </w:rPr>
            </w:pPr>
            <w:r>
              <w:rPr>
                <w:lang w:val="en-CA"/>
              </w:rPr>
              <w:t xml:space="preserve">UNDP, </w:t>
            </w:r>
            <w:r w:rsidRPr="001D2D65">
              <w:rPr>
                <w:lang w:val="en-CA"/>
              </w:rPr>
              <w:t>UNEP, UNIDO</w:t>
            </w:r>
            <w:r w:rsidR="007E53AE">
              <w:rPr>
                <w:lang w:val="en-CA"/>
              </w:rPr>
              <w:t>, Germany, and Italy</w:t>
            </w:r>
          </w:p>
        </w:tc>
      </w:tr>
    </w:tbl>
    <w:p w14:paraId="38FDAA97" w14:textId="77777777" w:rsidR="000E0964" w:rsidRPr="00FE3307" w:rsidRDefault="000E0964" w:rsidP="009A3176">
      <w:pPr>
        <w:rPr>
          <w:lang w:val="en-CA"/>
        </w:rPr>
      </w:pPr>
    </w:p>
    <w:p w14:paraId="768644DC" w14:textId="77777777" w:rsidR="000E0964" w:rsidRPr="00FE3307" w:rsidRDefault="000E0964" w:rsidP="009A3176">
      <w:pPr>
        <w:rPr>
          <w:lang w:val="en-CA"/>
        </w:rPr>
      </w:pPr>
    </w:p>
    <w:p w14:paraId="180C9C3E" w14:textId="77777777" w:rsidR="000E0964" w:rsidRPr="00FE3307" w:rsidRDefault="000E0964" w:rsidP="009A3176">
      <w:pPr>
        <w:rPr>
          <w:lang w:val="en-CA"/>
        </w:rPr>
      </w:pPr>
    </w:p>
    <w:p w14:paraId="36D2B4CA" w14:textId="77777777" w:rsidR="000E0964" w:rsidRPr="00FE3307" w:rsidRDefault="000E0964" w:rsidP="009A3176">
      <w:pPr>
        <w:rPr>
          <w:lang w:val="en-CA"/>
        </w:rPr>
      </w:pPr>
      <w:r w:rsidRPr="00FE3307">
        <w:rPr>
          <w:lang w:val="en-CA"/>
        </w:rPr>
        <w:br w:type="page"/>
      </w:r>
    </w:p>
    <w:p w14:paraId="4C6E810C" w14:textId="2B37FC07" w:rsidR="000E0964" w:rsidRPr="005E2E96" w:rsidRDefault="00687BDF" w:rsidP="009A3176">
      <w:pPr>
        <w:keepNext/>
        <w:spacing w:after="240"/>
        <w:rPr>
          <w:b/>
          <w:color w:val="000000"/>
          <w:lang w:val="en-CA"/>
        </w:rPr>
      </w:pPr>
      <w:r w:rsidRPr="005E2E96">
        <w:rPr>
          <w:b/>
          <w:color w:val="000000"/>
          <w:lang w:val="en-CA"/>
        </w:rPr>
        <w:lastRenderedPageBreak/>
        <w:t>Stage I</w:t>
      </w:r>
      <w:r w:rsidR="000E0964" w:rsidRPr="005E2E96">
        <w:rPr>
          <w:b/>
          <w:color w:val="000000"/>
          <w:lang w:val="en-CA"/>
        </w:rPr>
        <w:t xml:space="preserve"> of the HPMP for Iran</w:t>
      </w:r>
      <w:r w:rsidR="000E0964" w:rsidRPr="005E2E96">
        <w:rPr>
          <w:b/>
          <w:lang w:val="en-CA"/>
        </w:rPr>
        <w:t xml:space="preserve"> (</w:t>
      </w:r>
      <w:r w:rsidR="000E0964" w:rsidRPr="005E2E96">
        <w:rPr>
          <w:b/>
          <w:color w:val="000000"/>
          <w:lang w:val="en-CA"/>
        </w:rPr>
        <w:t>Islamic Republic of)</w:t>
      </w:r>
    </w:p>
    <w:p w14:paraId="46599721" w14:textId="77777777" w:rsidR="000E0964" w:rsidRPr="005E2E96" w:rsidRDefault="000E0964" w:rsidP="009A3176">
      <w:pPr>
        <w:spacing w:after="240"/>
        <w:outlineLvl w:val="0"/>
        <w:rPr>
          <w:b/>
          <w:lang w:val="en-CA"/>
        </w:rPr>
      </w:pPr>
      <w:r w:rsidRPr="005E2E96">
        <w:rPr>
          <w:b/>
          <w:lang w:val="en-CA"/>
        </w:rPr>
        <w:t>Background</w:t>
      </w:r>
    </w:p>
    <w:p w14:paraId="071BA41D" w14:textId="42ACA08E" w:rsidR="00DD3D2C" w:rsidRPr="005E2E96" w:rsidRDefault="00DD3D2C" w:rsidP="00DD3D2C">
      <w:pPr>
        <w:pStyle w:val="Heading1"/>
        <w:rPr>
          <w:lang w:val="en-CA"/>
        </w:rPr>
      </w:pPr>
      <w:r w:rsidRPr="005E2E96">
        <w:rPr>
          <w:lang w:val="en-CA"/>
        </w:rPr>
        <w:t>At the 83</w:t>
      </w:r>
      <w:r w:rsidRPr="005E2E96">
        <w:rPr>
          <w:vertAlign w:val="superscript"/>
          <w:lang w:val="en-CA"/>
        </w:rPr>
        <w:t>rd</w:t>
      </w:r>
      <w:r w:rsidRPr="005E2E96">
        <w:rPr>
          <w:lang w:val="en-CA"/>
        </w:rPr>
        <w:t xml:space="preserve"> meeting, on behalf of the Government of the Islamic Republic of Iran, UNDP as the lead implementing agency, submitted</w:t>
      </w:r>
      <w:r w:rsidR="00E46CA8" w:rsidRPr="005E2E96">
        <w:rPr>
          <w:rStyle w:val="FootnoteReference"/>
          <w:lang w:val="en-CA"/>
        </w:rPr>
        <w:footnoteReference w:id="1"/>
      </w:r>
      <w:r w:rsidRPr="005E2E96">
        <w:rPr>
          <w:lang w:val="en-CA"/>
        </w:rPr>
        <w:t xml:space="preserve"> the final progress report on the implementation of the work programme associated with the fourth tranche of </w:t>
      </w:r>
      <w:r w:rsidR="00687BDF" w:rsidRPr="005E2E96">
        <w:rPr>
          <w:lang w:val="en-CA"/>
        </w:rPr>
        <w:t>stage I</w:t>
      </w:r>
      <w:r w:rsidRPr="005E2E96">
        <w:rPr>
          <w:lang w:val="en-CA"/>
        </w:rPr>
        <w:t xml:space="preserve"> of the HCFC phase out management plan (HPMP).</w:t>
      </w:r>
      <w:r w:rsidR="00E46CA8" w:rsidRPr="005E2E96">
        <w:rPr>
          <w:vertAlign w:val="superscript"/>
          <w:lang w:val="en-CA"/>
        </w:rPr>
        <w:footnoteReference w:id="2"/>
      </w:r>
      <w:r w:rsidRPr="005E2E96">
        <w:rPr>
          <w:lang w:val="en-CA"/>
        </w:rPr>
        <w:t xml:space="preserve"> </w:t>
      </w:r>
    </w:p>
    <w:p w14:paraId="42226ACE" w14:textId="347CF3FA" w:rsidR="00E46CA8" w:rsidRPr="005E2E96" w:rsidRDefault="00E46CA8" w:rsidP="00E46CA8">
      <w:pPr>
        <w:pStyle w:val="Heading1"/>
      </w:pPr>
      <w:r w:rsidRPr="005E2E96">
        <w:rPr>
          <w:lang w:val="en-CA"/>
        </w:rPr>
        <w:t>Further to a discussion, the Executive Committee noted the progress report and requested the Government, UNDP, UNEP, UNIDO and the Government of Germany to submit a revised project completion report</w:t>
      </w:r>
      <w:r w:rsidR="00B1629C" w:rsidRPr="005E2E96">
        <w:rPr>
          <w:lang w:val="en-CA"/>
        </w:rPr>
        <w:t xml:space="preserve"> (PCR)</w:t>
      </w:r>
      <w:r w:rsidRPr="005E2E96">
        <w:rPr>
          <w:lang w:val="en-CA"/>
        </w:rPr>
        <w:t xml:space="preserve">, including the final disbursement for </w:t>
      </w:r>
      <w:r w:rsidR="00687BDF" w:rsidRPr="005E2E96">
        <w:rPr>
          <w:lang w:val="en-CA"/>
        </w:rPr>
        <w:t>stage I</w:t>
      </w:r>
      <w:r w:rsidRPr="005E2E96">
        <w:rPr>
          <w:lang w:val="en-CA"/>
        </w:rPr>
        <w:t xml:space="preserve"> and any balance to be returned to the Multilateral Fund; and detailed information on the actions taken to ensure that specific equipment or components that had been replaced had in fact been destroyed or rendered unusable, in line with decision 22/38(c) </w:t>
      </w:r>
      <w:r w:rsidRPr="005E2E96">
        <w:t>(decision 83/23).</w:t>
      </w:r>
    </w:p>
    <w:p w14:paraId="7607AACC" w14:textId="78C78120" w:rsidR="000E0964" w:rsidRPr="005E2E96" w:rsidRDefault="00E46CA8" w:rsidP="00B32AE4">
      <w:pPr>
        <w:pStyle w:val="Heading1"/>
        <w:rPr>
          <w:lang w:val="en-CA"/>
        </w:rPr>
      </w:pPr>
      <w:r w:rsidRPr="005E2E96">
        <w:rPr>
          <w:lang w:val="en-CA"/>
        </w:rPr>
        <w:t>Subsequent to the 83</w:t>
      </w:r>
      <w:r w:rsidRPr="005E2E96">
        <w:rPr>
          <w:vertAlign w:val="superscript"/>
          <w:lang w:val="en-CA"/>
        </w:rPr>
        <w:t>rd</w:t>
      </w:r>
      <w:r w:rsidRPr="005E2E96">
        <w:rPr>
          <w:lang w:val="en-CA"/>
        </w:rPr>
        <w:t xml:space="preserve"> meeting, the Government of the Islamic Republic of Iran submitted</w:t>
      </w:r>
      <w:r w:rsidR="00B1629C" w:rsidRPr="005E2E96">
        <w:rPr>
          <w:lang w:val="en-CA"/>
        </w:rPr>
        <w:t>,</w:t>
      </w:r>
      <w:r w:rsidRPr="005E2E96">
        <w:rPr>
          <w:lang w:val="en-CA"/>
        </w:rPr>
        <w:t xml:space="preserve"> online</w:t>
      </w:r>
      <w:r w:rsidR="00B1629C" w:rsidRPr="005E2E96">
        <w:rPr>
          <w:lang w:val="en-CA"/>
        </w:rPr>
        <w:t>,</w:t>
      </w:r>
      <w:r w:rsidRPr="005E2E96">
        <w:rPr>
          <w:lang w:val="en-CA"/>
        </w:rPr>
        <w:t xml:space="preserve"> </w:t>
      </w:r>
      <w:r w:rsidR="00B1629C" w:rsidRPr="005E2E96">
        <w:rPr>
          <w:lang w:val="en-CA"/>
        </w:rPr>
        <w:t>a revised PCR</w:t>
      </w:r>
      <w:r w:rsidRPr="005E2E96">
        <w:rPr>
          <w:lang w:val="en-CA"/>
        </w:rPr>
        <w:t xml:space="preserve">, in line with decision 83/23(b). In addition, </w:t>
      </w:r>
      <w:r w:rsidR="000E0964" w:rsidRPr="005E2E96">
        <w:rPr>
          <w:lang w:val="en-CA"/>
        </w:rPr>
        <w:t xml:space="preserve">the Government </w:t>
      </w:r>
      <w:r w:rsidRPr="005E2E96">
        <w:rPr>
          <w:lang w:val="en-CA"/>
        </w:rPr>
        <w:t>res</w:t>
      </w:r>
      <w:r w:rsidR="000E0964" w:rsidRPr="005E2E96">
        <w:rPr>
          <w:lang w:val="en-CA"/>
        </w:rPr>
        <w:t xml:space="preserve">ubmitted the final progress report on the implementation of the work programme associated with the fourth and final tranche of </w:t>
      </w:r>
      <w:r w:rsidR="00687BDF" w:rsidRPr="005E2E96">
        <w:rPr>
          <w:lang w:val="en-CA"/>
        </w:rPr>
        <w:t>stage I</w:t>
      </w:r>
      <w:r w:rsidRPr="005E2E96">
        <w:rPr>
          <w:lang w:val="en-CA"/>
        </w:rPr>
        <w:t xml:space="preserve"> providing updated </w:t>
      </w:r>
      <w:r w:rsidR="00110477" w:rsidRPr="005E2E96">
        <w:rPr>
          <w:lang w:val="en-CA"/>
        </w:rPr>
        <w:t xml:space="preserve">information on HCFC consumption, the regulatory framework and </w:t>
      </w:r>
      <w:r w:rsidRPr="005E2E96">
        <w:rPr>
          <w:lang w:val="en-CA"/>
        </w:rPr>
        <w:t>financial information</w:t>
      </w:r>
      <w:r w:rsidR="00110477" w:rsidRPr="005E2E96">
        <w:rPr>
          <w:lang w:val="en-CA"/>
        </w:rPr>
        <w:t>;</w:t>
      </w:r>
      <w:r w:rsidRPr="005E2E96">
        <w:rPr>
          <w:lang w:val="en-CA"/>
        </w:rPr>
        <w:t xml:space="preserve"> and the request for </w:t>
      </w:r>
      <w:r w:rsidR="00FC4352" w:rsidRPr="005E2E96">
        <w:rPr>
          <w:lang w:val="en-CA"/>
        </w:rPr>
        <w:t xml:space="preserve">funding the second tranche of </w:t>
      </w:r>
      <w:r w:rsidR="00687BDF" w:rsidRPr="005E2E96">
        <w:rPr>
          <w:lang w:val="en-CA"/>
        </w:rPr>
        <w:t>stage I</w:t>
      </w:r>
      <w:r w:rsidR="00FC4352" w:rsidRPr="005E2E96">
        <w:rPr>
          <w:lang w:val="en-CA"/>
        </w:rPr>
        <w:t>I of the HPMP</w:t>
      </w:r>
      <w:r w:rsidR="000E0964" w:rsidRPr="005E2E96">
        <w:rPr>
          <w:lang w:val="en-CA"/>
        </w:rPr>
        <w:t>.</w:t>
      </w:r>
      <w:r w:rsidR="009A3176" w:rsidRPr="005E2E96">
        <w:rPr>
          <w:lang w:val="en-CA"/>
        </w:rPr>
        <w:t xml:space="preserve"> </w:t>
      </w:r>
    </w:p>
    <w:p w14:paraId="19BA481F" w14:textId="469AB366" w:rsidR="00110477" w:rsidRPr="005E2E96" w:rsidRDefault="00110477" w:rsidP="00110477">
      <w:pPr>
        <w:rPr>
          <w:u w:val="single"/>
          <w:lang w:val="en-CA"/>
        </w:rPr>
      </w:pPr>
      <w:r w:rsidRPr="005E2E96">
        <w:rPr>
          <w:u w:val="single"/>
          <w:lang w:val="en-CA"/>
        </w:rPr>
        <w:t>HCFC consumption</w:t>
      </w:r>
    </w:p>
    <w:p w14:paraId="1A6D92DF" w14:textId="77777777" w:rsidR="00110477" w:rsidRPr="005E2E96" w:rsidRDefault="00110477" w:rsidP="00110477">
      <w:pPr>
        <w:rPr>
          <w:lang w:val="en-CA"/>
        </w:rPr>
      </w:pPr>
    </w:p>
    <w:p w14:paraId="78A84508" w14:textId="6ED54ABB" w:rsidR="00110477" w:rsidRPr="005E2E96" w:rsidRDefault="00110477" w:rsidP="00110477">
      <w:pPr>
        <w:pStyle w:val="Heading1"/>
        <w:rPr>
          <w:lang w:val="en-CA"/>
        </w:rPr>
      </w:pPr>
      <w:r w:rsidRPr="005E2E96">
        <w:rPr>
          <w:lang w:val="en-CA"/>
        </w:rPr>
        <w:t>The Government of the Islamic Republic of Iran reported a consumption of 162.96</w:t>
      </w:r>
      <w:r w:rsidR="00E532B1" w:rsidRPr="005E2E96">
        <w:rPr>
          <w:lang w:val="en-CA"/>
        </w:rPr>
        <w:t> ODP t</w:t>
      </w:r>
      <w:r w:rsidRPr="005E2E96">
        <w:rPr>
          <w:lang w:val="en-CA"/>
        </w:rPr>
        <w:t>onnes of HCFC in 2018, which is 57.2 per cent below the HCFC baseline for compliance</w:t>
      </w:r>
      <w:r w:rsidR="00363BB6" w:rsidRPr="005E2E96">
        <w:rPr>
          <w:lang w:val="en-CA"/>
        </w:rPr>
        <w:t>, and 38.8 per cent below the annual consumption target (266.35</w:t>
      </w:r>
      <w:r w:rsidR="00E532B1" w:rsidRPr="005E2E96">
        <w:rPr>
          <w:lang w:val="en-CA"/>
        </w:rPr>
        <w:t> ODP t</w:t>
      </w:r>
      <w:r w:rsidR="00363BB6" w:rsidRPr="005E2E96">
        <w:rPr>
          <w:lang w:val="en-CA"/>
        </w:rPr>
        <w:t xml:space="preserve">onnes) stipulated in its Agreement for </w:t>
      </w:r>
      <w:r w:rsidR="00687BDF" w:rsidRPr="005E2E96">
        <w:rPr>
          <w:lang w:val="en-CA"/>
        </w:rPr>
        <w:t>stage I</w:t>
      </w:r>
      <w:r w:rsidR="00363BB6" w:rsidRPr="005E2E96">
        <w:rPr>
          <w:lang w:val="en-CA"/>
        </w:rPr>
        <w:t>I with the Executive Committee</w:t>
      </w:r>
      <w:r w:rsidRPr="005E2E96">
        <w:rPr>
          <w:lang w:val="en-CA"/>
        </w:rPr>
        <w:t>. The 2014-2018 HCFC consumption is shown in Table 1.</w:t>
      </w:r>
    </w:p>
    <w:p w14:paraId="6A6D43CE" w14:textId="5E7CE1F2" w:rsidR="00110477" w:rsidRPr="005E2E96" w:rsidRDefault="00110477" w:rsidP="00110477">
      <w:pPr>
        <w:rPr>
          <w:b/>
          <w:lang w:val="en-CA"/>
        </w:rPr>
      </w:pPr>
      <w:r w:rsidRPr="005E2E96">
        <w:rPr>
          <w:b/>
          <w:lang w:val="en-CA"/>
        </w:rPr>
        <w:t>Table 1. HCFC consumption in the Islamic Republic of Iran (2014-2018 Article 7 data)</w:t>
      </w:r>
    </w:p>
    <w:tbl>
      <w:tblPr>
        <w:tblW w:w="5000" w:type="pct"/>
        <w:tblLayout w:type="fixed"/>
        <w:tblLook w:val="04A0" w:firstRow="1" w:lastRow="0" w:firstColumn="1" w:lastColumn="0" w:noHBand="0" w:noVBand="1"/>
      </w:tblPr>
      <w:tblGrid>
        <w:gridCol w:w="2872"/>
        <w:gridCol w:w="1079"/>
        <w:gridCol w:w="1081"/>
        <w:gridCol w:w="1079"/>
        <w:gridCol w:w="1081"/>
        <w:gridCol w:w="1079"/>
        <w:gridCol w:w="1079"/>
      </w:tblGrid>
      <w:tr w:rsidR="00110477" w:rsidRPr="005E2E96" w14:paraId="1A5ED5A8" w14:textId="77777777" w:rsidTr="00110477">
        <w:trPr>
          <w:trHeight w:val="41"/>
          <w:tblHeader/>
        </w:trPr>
        <w:tc>
          <w:tcPr>
            <w:tcW w:w="153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CCF386F" w14:textId="77777777" w:rsidR="00110477" w:rsidRPr="005E2E96" w:rsidRDefault="00110477" w:rsidP="00B32AE4">
            <w:pPr>
              <w:widowControl w:val="0"/>
              <w:jc w:val="left"/>
              <w:rPr>
                <w:b/>
                <w:bCs/>
                <w:color w:val="000000"/>
                <w:sz w:val="20"/>
                <w:szCs w:val="20"/>
                <w:lang w:val="en-CA"/>
              </w:rPr>
            </w:pPr>
            <w:r w:rsidRPr="005E2E96">
              <w:rPr>
                <w:b/>
                <w:bCs/>
                <w:color w:val="000000"/>
                <w:sz w:val="20"/>
                <w:szCs w:val="20"/>
                <w:lang w:val="en-CA"/>
              </w:rPr>
              <w:t>HCFC</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14:paraId="34B4EB2B" w14:textId="77777777" w:rsidR="00110477" w:rsidRPr="005E2E96" w:rsidRDefault="00110477" w:rsidP="00B32AE4">
            <w:pPr>
              <w:widowControl w:val="0"/>
              <w:jc w:val="center"/>
              <w:rPr>
                <w:b/>
                <w:bCs/>
                <w:color w:val="000000"/>
                <w:sz w:val="20"/>
                <w:szCs w:val="20"/>
                <w:lang w:val="en-CA"/>
              </w:rPr>
            </w:pPr>
            <w:r w:rsidRPr="005E2E96">
              <w:rPr>
                <w:b/>
                <w:bCs/>
                <w:color w:val="000000"/>
                <w:sz w:val="20"/>
                <w:szCs w:val="20"/>
                <w:lang w:val="en-CA"/>
              </w:rPr>
              <w:t>2014</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BAE9961" w14:textId="77777777" w:rsidR="00110477" w:rsidRPr="005E2E96" w:rsidRDefault="00110477" w:rsidP="00B32AE4">
            <w:pPr>
              <w:widowControl w:val="0"/>
              <w:jc w:val="center"/>
              <w:rPr>
                <w:b/>
                <w:bCs/>
                <w:color w:val="000000"/>
                <w:sz w:val="20"/>
                <w:szCs w:val="20"/>
                <w:lang w:val="en-CA"/>
              </w:rPr>
            </w:pPr>
            <w:r w:rsidRPr="005E2E96">
              <w:rPr>
                <w:b/>
                <w:bCs/>
                <w:color w:val="000000"/>
                <w:sz w:val="20"/>
                <w:szCs w:val="20"/>
                <w:lang w:val="en-CA"/>
              </w:rPr>
              <w:t>2015</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14:paraId="143EE007" w14:textId="77777777" w:rsidR="00110477" w:rsidRPr="005E2E96" w:rsidRDefault="00110477" w:rsidP="00B32AE4">
            <w:pPr>
              <w:widowControl w:val="0"/>
              <w:jc w:val="center"/>
              <w:rPr>
                <w:b/>
                <w:bCs/>
                <w:color w:val="000000"/>
                <w:sz w:val="20"/>
                <w:szCs w:val="20"/>
                <w:lang w:val="en-CA"/>
              </w:rPr>
            </w:pPr>
            <w:r w:rsidRPr="005E2E96">
              <w:rPr>
                <w:b/>
                <w:bCs/>
                <w:color w:val="000000"/>
                <w:sz w:val="20"/>
                <w:szCs w:val="20"/>
                <w:lang w:val="en-CA"/>
              </w:rPr>
              <w:t>2016</w:t>
            </w:r>
          </w:p>
        </w:tc>
        <w:tc>
          <w:tcPr>
            <w:tcW w:w="578" w:type="pct"/>
            <w:tcBorders>
              <w:top w:val="single" w:sz="4" w:space="0" w:color="auto"/>
              <w:left w:val="nil"/>
              <w:bottom w:val="single" w:sz="4" w:space="0" w:color="auto"/>
              <w:right w:val="single" w:sz="4" w:space="0" w:color="auto"/>
            </w:tcBorders>
          </w:tcPr>
          <w:p w14:paraId="4B253273" w14:textId="77777777" w:rsidR="00110477" w:rsidRPr="005E2E96" w:rsidRDefault="00110477" w:rsidP="00B32AE4">
            <w:pPr>
              <w:widowControl w:val="0"/>
              <w:jc w:val="center"/>
              <w:rPr>
                <w:b/>
                <w:bCs/>
                <w:color w:val="000000"/>
                <w:sz w:val="20"/>
                <w:szCs w:val="20"/>
                <w:lang w:val="en-CA"/>
              </w:rPr>
            </w:pPr>
            <w:r w:rsidRPr="005E2E96">
              <w:rPr>
                <w:b/>
                <w:bCs/>
                <w:color w:val="000000"/>
                <w:sz w:val="20"/>
                <w:szCs w:val="20"/>
                <w:lang w:val="en-CA"/>
              </w:rPr>
              <w:t>2017</w:t>
            </w:r>
          </w:p>
        </w:tc>
        <w:tc>
          <w:tcPr>
            <w:tcW w:w="577" w:type="pct"/>
            <w:tcBorders>
              <w:top w:val="single" w:sz="4" w:space="0" w:color="auto"/>
              <w:left w:val="single" w:sz="4" w:space="0" w:color="auto"/>
              <w:bottom w:val="single" w:sz="4" w:space="0" w:color="auto"/>
              <w:right w:val="single" w:sz="4" w:space="0" w:color="auto"/>
            </w:tcBorders>
          </w:tcPr>
          <w:p w14:paraId="6D0D51AC" w14:textId="77777777" w:rsidR="00110477" w:rsidRPr="005E2E96" w:rsidRDefault="00110477" w:rsidP="00B32AE4">
            <w:pPr>
              <w:widowControl w:val="0"/>
              <w:jc w:val="center"/>
              <w:rPr>
                <w:b/>
                <w:bCs/>
                <w:color w:val="000000"/>
                <w:sz w:val="20"/>
                <w:szCs w:val="20"/>
                <w:lang w:val="en-CA"/>
              </w:rPr>
            </w:pPr>
            <w:r w:rsidRPr="005E2E96">
              <w:rPr>
                <w:b/>
                <w:bCs/>
                <w:color w:val="000000"/>
                <w:sz w:val="20"/>
                <w:szCs w:val="20"/>
                <w:lang w:val="en-CA"/>
              </w:rPr>
              <w:t>2018</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322E7" w14:textId="77777777" w:rsidR="00110477" w:rsidRPr="005E2E96" w:rsidRDefault="00110477" w:rsidP="00B32AE4">
            <w:pPr>
              <w:widowControl w:val="0"/>
              <w:jc w:val="center"/>
              <w:rPr>
                <w:b/>
                <w:bCs/>
                <w:color w:val="000000"/>
                <w:sz w:val="20"/>
                <w:szCs w:val="20"/>
                <w:lang w:val="en-CA"/>
              </w:rPr>
            </w:pPr>
            <w:r w:rsidRPr="005E2E96">
              <w:rPr>
                <w:b/>
                <w:bCs/>
                <w:color w:val="000000"/>
                <w:sz w:val="20"/>
                <w:szCs w:val="20"/>
                <w:lang w:val="en-CA"/>
              </w:rPr>
              <w:t>Baseline</w:t>
            </w:r>
          </w:p>
        </w:tc>
      </w:tr>
      <w:tr w:rsidR="00110477" w:rsidRPr="005E2E96" w14:paraId="3E88C092" w14:textId="77777777" w:rsidTr="00110477">
        <w:tc>
          <w:tcPr>
            <w:tcW w:w="1536"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3374A6C" w14:textId="77777777" w:rsidR="00110477" w:rsidRPr="005E2E96" w:rsidRDefault="00110477" w:rsidP="00B32AE4">
            <w:pPr>
              <w:widowControl w:val="0"/>
              <w:jc w:val="left"/>
              <w:rPr>
                <w:b/>
                <w:bCs/>
                <w:color w:val="000000"/>
                <w:sz w:val="20"/>
                <w:szCs w:val="20"/>
                <w:lang w:val="en-CA"/>
              </w:rPr>
            </w:pPr>
            <w:r w:rsidRPr="005E2E96">
              <w:rPr>
                <w:b/>
                <w:bCs/>
                <w:color w:val="000000"/>
                <w:sz w:val="20"/>
                <w:szCs w:val="20"/>
                <w:lang w:val="en-CA"/>
              </w:rPr>
              <w:t>Metric tonnes</w:t>
            </w:r>
          </w:p>
        </w:tc>
        <w:tc>
          <w:tcPr>
            <w:tcW w:w="577" w:type="pct"/>
            <w:tcBorders>
              <w:top w:val="nil"/>
              <w:left w:val="nil"/>
              <w:bottom w:val="single" w:sz="4" w:space="0" w:color="auto"/>
              <w:right w:val="single" w:sz="4" w:space="0" w:color="auto"/>
            </w:tcBorders>
            <w:shd w:val="clear" w:color="auto" w:fill="auto"/>
            <w:noWrap/>
            <w:vAlign w:val="center"/>
            <w:hideMark/>
          </w:tcPr>
          <w:p w14:paraId="3B2EFA82" w14:textId="77777777" w:rsidR="00110477" w:rsidRPr="005E2E96" w:rsidRDefault="00110477" w:rsidP="00B32AE4">
            <w:pPr>
              <w:widowControl w:val="0"/>
              <w:jc w:val="center"/>
              <w:rPr>
                <w:b/>
                <w:bCs/>
                <w:color w:val="000000"/>
                <w:sz w:val="20"/>
                <w:szCs w:val="20"/>
                <w:lang w:val="en-CA"/>
              </w:rPr>
            </w:pPr>
          </w:p>
        </w:tc>
        <w:tc>
          <w:tcPr>
            <w:tcW w:w="578" w:type="pct"/>
            <w:tcBorders>
              <w:top w:val="nil"/>
              <w:left w:val="nil"/>
              <w:bottom w:val="single" w:sz="4" w:space="0" w:color="auto"/>
              <w:right w:val="single" w:sz="4" w:space="0" w:color="auto"/>
            </w:tcBorders>
            <w:shd w:val="clear" w:color="auto" w:fill="auto"/>
            <w:noWrap/>
            <w:vAlign w:val="center"/>
            <w:hideMark/>
          </w:tcPr>
          <w:p w14:paraId="144D2EF0" w14:textId="77777777" w:rsidR="00110477" w:rsidRPr="005E2E96" w:rsidRDefault="00110477" w:rsidP="00B32AE4">
            <w:pPr>
              <w:widowControl w:val="0"/>
              <w:jc w:val="center"/>
              <w:rPr>
                <w:b/>
                <w:bCs/>
                <w:color w:val="000000"/>
                <w:sz w:val="20"/>
                <w:szCs w:val="20"/>
                <w:lang w:val="en-CA"/>
              </w:rPr>
            </w:pPr>
          </w:p>
        </w:tc>
        <w:tc>
          <w:tcPr>
            <w:tcW w:w="577" w:type="pct"/>
            <w:tcBorders>
              <w:top w:val="nil"/>
              <w:left w:val="nil"/>
              <w:bottom w:val="single" w:sz="4" w:space="0" w:color="auto"/>
              <w:right w:val="single" w:sz="4" w:space="0" w:color="auto"/>
            </w:tcBorders>
            <w:shd w:val="clear" w:color="auto" w:fill="auto"/>
            <w:noWrap/>
            <w:vAlign w:val="center"/>
            <w:hideMark/>
          </w:tcPr>
          <w:p w14:paraId="700E5B44" w14:textId="77777777" w:rsidR="00110477" w:rsidRPr="005E2E96" w:rsidRDefault="00110477" w:rsidP="00B32AE4">
            <w:pPr>
              <w:widowControl w:val="0"/>
              <w:jc w:val="center"/>
              <w:rPr>
                <w:b/>
                <w:bCs/>
                <w:color w:val="000000"/>
                <w:sz w:val="20"/>
                <w:szCs w:val="20"/>
                <w:lang w:val="en-CA"/>
              </w:rPr>
            </w:pPr>
          </w:p>
        </w:tc>
        <w:tc>
          <w:tcPr>
            <w:tcW w:w="578" w:type="pct"/>
            <w:tcBorders>
              <w:top w:val="single" w:sz="4" w:space="0" w:color="auto"/>
              <w:left w:val="nil"/>
              <w:bottom w:val="single" w:sz="4" w:space="0" w:color="auto"/>
              <w:right w:val="single" w:sz="4" w:space="0" w:color="auto"/>
            </w:tcBorders>
          </w:tcPr>
          <w:p w14:paraId="71D034BD" w14:textId="77777777" w:rsidR="00110477" w:rsidRPr="005E2E96" w:rsidRDefault="00110477" w:rsidP="00B32AE4">
            <w:pPr>
              <w:widowControl w:val="0"/>
              <w:jc w:val="center"/>
              <w:rPr>
                <w:b/>
                <w:bCs/>
                <w:color w:val="000000"/>
                <w:sz w:val="20"/>
                <w:szCs w:val="20"/>
                <w:lang w:val="en-CA"/>
              </w:rPr>
            </w:pPr>
          </w:p>
        </w:tc>
        <w:tc>
          <w:tcPr>
            <w:tcW w:w="577" w:type="pct"/>
            <w:tcBorders>
              <w:top w:val="nil"/>
              <w:left w:val="single" w:sz="4" w:space="0" w:color="auto"/>
              <w:bottom w:val="single" w:sz="4" w:space="0" w:color="auto"/>
              <w:right w:val="single" w:sz="4" w:space="0" w:color="auto"/>
            </w:tcBorders>
          </w:tcPr>
          <w:p w14:paraId="5B842C5F" w14:textId="77777777" w:rsidR="00110477" w:rsidRPr="005E2E96" w:rsidRDefault="00110477" w:rsidP="00B32AE4">
            <w:pPr>
              <w:widowControl w:val="0"/>
              <w:jc w:val="center"/>
              <w:rPr>
                <w:b/>
                <w:bCs/>
                <w:color w:val="000000"/>
                <w:sz w:val="20"/>
                <w:szCs w:val="20"/>
                <w:lang w:val="en-CA"/>
              </w:rPr>
            </w:pP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8A72022" w14:textId="77777777" w:rsidR="00110477" w:rsidRPr="005E2E96" w:rsidRDefault="00110477" w:rsidP="00B32AE4">
            <w:pPr>
              <w:widowControl w:val="0"/>
              <w:jc w:val="center"/>
              <w:rPr>
                <w:b/>
                <w:bCs/>
                <w:color w:val="000000"/>
                <w:sz w:val="20"/>
                <w:szCs w:val="20"/>
                <w:lang w:val="en-CA"/>
              </w:rPr>
            </w:pPr>
          </w:p>
        </w:tc>
      </w:tr>
      <w:tr w:rsidR="00110477" w:rsidRPr="005E2E96" w14:paraId="44B3C32F" w14:textId="77777777" w:rsidTr="00110477">
        <w:tc>
          <w:tcPr>
            <w:tcW w:w="1536"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508392" w14:textId="77777777" w:rsidR="00110477" w:rsidRPr="005E2E96" w:rsidRDefault="00110477" w:rsidP="00B32AE4">
            <w:pPr>
              <w:widowControl w:val="0"/>
              <w:jc w:val="left"/>
              <w:rPr>
                <w:color w:val="000000"/>
                <w:sz w:val="20"/>
                <w:szCs w:val="20"/>
                <w:lang w:val="en-CA"/>
              </w:rPr>
            </w:pPr>
            <w:r w:rsidRPr="005E2E96">
              <w:rPr>
                <w:color w:val="000000"/>
                <w:sz w:val="20"/>
                <w:szCs w:val="20"/>
                <w:lang w:val="en-CA"/>
              </w:rPr>
              <w:t>HCFC-22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44C68" w14:textId="77777777" w:rsidR="00110477" w:rsidRPr="005E2E96" w:rsidRDefault="00110477" w:rsidP="00B32AE4">
            <w:pPr>
              <w:jc w:val="right"/>
              <w:rPr>
                <w:sz w:val="20"/>
                <w:szCs w:val="20"/>
              </w:rPr>
            </w:pPr>
            <w:r w:rsidRPr="005E2E96">
              <w:rPr>
                <w:sz w:val="20"/>
                <w:szCs w:val="20"/>
              </w:rPr>
              <w:t>2,666.78</w:t>
            </w:r>
          </w:p>
        </w:tc>
        <w:tc>
          <w:tcPr>
            <w:tcW w:w="578" w:type="pct"/>
            <w:tcBorders>
              <w:top w:val="single" w:sz="4" w:space="0" w:color="auto"/>
              <w:left w:val="nil"/>
              <w:bottom w:val="single" w:sz="4" w:space="0" w:color="auto"/>
              <w:right w:val="single" w:sz="4" w:space="0" w:color="auto"/>
            </w:tcBorders>
            <w:shd w:val="clear" w:color="auto" w:fill="auto"/>
            <w:noWrap/>
            <w:vAlign w:val="bottom"/>
          </w:tcPr>
          <w:p w14:paraId="61841FD9" w14:textId="77777777" w:rsidR="00110477" w:rsidRPr="005E2E96" w:rsidRDefault="00110477" w:rsidP="00B32AE4">
            <w:pPr>
              <w:jc w:val="right"/>
              <w:rPr>
                <w:sz w:val="20"/>
                <w:szCs w:val="20"/>
              </w:rPr>
            </w:pPr>
            <w:r w:rsidRPr="005E2E96">
              <w:rPr>
                <w:sz w:val="20"/>
                <w:szCs w:val="20"/>
              </w:rPr>
              <w:t>2,783.22</w:t>
            </w:r>
          </w:p>
        </w:tc>
        <w:tc>
          <w:tcPr>
            <w:tcW w:w="577" w:type="pct"/>
            <w:tcBorders>
              <w:top w:val="single" w:sz="4" w:space="0" w:color="auto"/>
              <w:left w:val="nil"/>
              <w:bottom w:val="single" w:sz="4" w:space="0" w:color="auto"/>
              <w:right w:val="single" w:sz="4" w:space="0" w:color="auto"/>
            </w:tcBorders>
            <w:shd w:val="clear" w:color="auto" w:fill="auto"/>
            <w:noWrap/>
            <w:vAlign w:val="bottom"/>
          </w:tcPr>
          <w:p w14:paraId="24C6C198" w14:textId="77777777" w:rsidR="00110477" w:rsidRPr="005E2E96" w:rsidRDefault="00110477" w:rsidP="00B32AE4">
            <w:pPr>
              <w:jc w:val="right"/>
              <w:rPr>
                <w:sz w:val="20"/>
                <w:szCs w:val="20"/>
              </w:rPr>
            </w:pPr>
            <w:r w:rsidRPr="005E2E96">
              <w:rPr>
                <w:sz w:val="20"/>
                <w:szCs w:val="20"/>
              </w:rPr>
              <w:t>2,922.89</w:t>
            </w:r>
          </w:p>
        </w:tc>
        <w:tc>
          <w:tcPr>
            <w:tcW w:w="578" w:type="pct"/>
            <w:tcBorders>
              <w:top w:val="single" w:sz="4" w:space="0" w:color="auto"/>
              <w:left w:val="nil"/>
              <w:bottom w:val="single" w:sz="4" w:space="0" w:color="auto"/>
              <w:right w:val="single" w:sz="4" w:space="0" w:color="auto"/>
            </w:tcBorders>
            <w:shd w:val="clear" w:color="auto" w:fill="auto"/>
            <w:vAlign w:val="bottom"/>
          </w:tcPr>
          <w:p w14:paraId="77FD9E0F" w14:textId="77777777" w:rsidR="00110477" w:rsidRPr="005E2E96" w:rsidRDefault="00110477" w:rsidP="00B32AE4">
            <w:pPr>
              <w:jc w:val="right"/>
              <w:rPr>
                <w:sz w:val="20"/>
                <w:szCs w:val="20"/>
              </w:rPr>
            </w:pPr>
            <w:r w:rsidRPr="005E2E96">
              <w:rPr>
                <w:sz w:val="20"/>
                <w:szCs w:val="20"/>
              </w:rPr>
              <w:t>2,120.28</w:t>
            </w:r>
          </w:p>
        </w:tc>
        <w:tc>
          <w:tcPr>
            <w:tcW w:w="577" w:type="pct"/>
            <w:tcBorders>
              <w:top w:val="nil"/>
              <w:left w:val="single" w:sz="4" w:space="0" w:color="auto"/>
              <w:bottom w:val="single" w:sz="4" w:space="0" w:color="auto"/>
              <w:right w:val="single" w:sz="4" w:space="0" w:color="auto"/>
            </w:tcBorders>
          </w:tcPr>
          <w:p w14:paraId="57A5AE58"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1,810.64</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0A1E3A6B"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2,974.55</w:t>
            </w:r>
          </w:p>
        </w:tc>
      </w:tr>
      <w:tr w:rsidR="00110477" w:rsidRPr="005E2E96" w14:paraId="3924FB39" w14:textId="77777777" w:rsidTr="00110477">
        <w:tc>
          <w:tcPr>
            <w:tcW w:w="1536"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F53B146" w14:textId="77777777" w:rsidR="00110477" w:rsidRPr="005E2E96" w:rsidRDefault="00110477" w:rsidP="00B32AE4">
            <w:pPr>
              <w:widowControl w:val="0"/>
              <w:jc w:val="left"/>
              <w:rPr>
                <w:color w:val="000000"/>
                <w:sz w:val="20"/>
                <w:szCs w:val="20"/>
                <w:lang w:val="en-CA"/>
              </w:rPr>
            </w:pPr>
            <w:r w:rsidRPr="005E2E96">
              <w:rPr>
                <w:color w:val="000000"/>
                <w:sz w:val="20"/>
                <w:szCs w:val="20"/>
                <w:lang w:val="en-CA"/>
              </w:rPr>
              <w:t>HCFC-141b</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C4A40C" w14:textId="77777777" w:rsidR="00110477" w:rsidRPr="005E2E96" w:rsidRDefault="00110477" w:rsidP="00B32AE4">
            <w:pPr>
              <w:jc w:val="right"/>
              <w:rPr>
                <w:sz w:val="20"/>
                <w:szCs w:val="20"/>
              </w:rPr>
            </w:pPr>
            <w:r w:rsidRPr="005E2E96">
              <w:rPr>
                <w:sz w:val="20"/>
                <w:szCs w:val="20"/>
              </w:rPr>
              <w:t>1,777.00</w:t>
            </w:r>
          </w:p>
        </w:tc>
        <w:tc>
          <w:tcPr>
            <w:tcW w:w="578" w:type="pct"/>
            <w:tcBorders>
              <w:top w:val="single" w:sz="4" w:space="0" w:color="auto"/>
              <w:left w:val="nil"/>
              <w:bottom w:val="single" w:sz="4" w:space="0" w:color="auto"/>
              <w:right w:val="single" w:sz="4" w:space="0" w:color="auto"/>
            </w:tcBorders>
            <w:shd w:val="clear" w:color="auto" w:fill="auto"/>
            <w:noWrap/>
            <w:vAlign w:val="bottom"/>
          </w:tcPr>
          <w:p w14:paraId="7AD61D1F" w14:textId="77777777" w:rsidR="00110477" w:rsidRPr="005E2E96" w:rsidRDefault="00110477" w:rsidP="00B32AE4">
            <w:pPr>
              <w:jc w:val="right"/>
              <w:rPr>
                <w:sz w:val="20"/>
                <w:szCs w:val="20"/>
              </w:rPr>
            </w:pPr>
            <w:r w:rsidRPr="005E2E96">
              <w:rPr>
                <w:sz w:val="20"/>
                <w:szCs w:val="20"/>
              </w:rPr>
              <w:t>1,420.00</w:t>
            </w:r>
          </w:p>
        </w:tc>
        <w:tc>
          <w:tcPr>
            <w:tcW w:w="577" w:type="pct"/>
            <w:tcBorders>
              <w:top w:val="single" w:sz="4" w:space="0" w:color="auto"/>
              <w:left w:val="nil"/>
              <w:bottom w:val="single" w:sz="4" w:space="0" w:color="auto"/>
              <w:right w:val="single" w:sz="4" w:space="0" w:color="auto"/>
            </w:tcBorders>
            <w:shd w:val="clear" w:color="auto" w:fill="auto"/>
            <w:noWrap/>
            <w:vAlign w:val="bottom"/>
          </w:tcPr>
          <w:p w14:paraId="03283A62" w14:textId="77777777" w:rsidR="00110477" w:rsidRPr="005E2E96" w:rsidRDefault="00110477" w:rsidP="00B32AE4">
            <w:pPr>
              <w:jc w:val="right"/>
              <w:rPr>
                <w:sz w:val="20"/>
                <w:szCs w:val="20"/>
              </w:rPr>
            </w:pPr>
            <w:r w:rsidRPr="005E2E96">
              <w:rPr>
                <w:sz w:val="20"/>
                <w:szCs w:val="20"/>
              </w:rPr>
              <w:t>1,020.18</w:t>
            </w:r>
          </w:p>
        </w:tc>
        <w:tc>
          <w:tcPr>
            <w:tcW w:w="578" w:type="pct"/>
            <w:tcBorders>
              <w:top w:val="single" w:sz="4" w:space="0" w:color="auto"/>
              <w:left w:val="nil"/>
              <w:bottom w:val="single" w:sz="4" w:space="0" w:color="auto"/>
              <w:right w:val="single" w:sz="4" w:space="0" w:color="auto"/>
            </w:tcBorders>
            <w:shd w:val="clear" w:color="auto" w:fill="auto"/>
            <w:vAlign w:val="bottom"/>
          </w:tcPr>
          <w:p w14:paraId="3954687D" w14:textId="77777777" w:rsidR="00110477" w:rsidRPr="005E2E96" w:rsidRDefault="00110477" w:rsidP="00B32AE4">
            <w:pPr>
              <w:jc w:val="right"/>
              <w:rPr>
                <w:sz w:val="20"/>
                <w:szCs w:val="20"/>
              </w:rPr>
            </w:pPr>
            <w:r w:rsidRPr="005E2E96">
              <w:rPr>
                <w:sz w:val="20"/>
                <w:szCs w:val="20"/>
              </w:rPr>
              <w:t>1,024.08</w:t>
            </w:r>
          </w:p>
        </w:tc>
        <w:tc>
          <w:tcPr>
            <w:tcW w:w="577" w:type="pct"/>
            <w:tcBorders>
              <w:top w:val="nil"/>
              <w:left w:val="single" w:sz="4" w:space="0" w:color="auto"/>
              <w:bottom w:val="single" w:sz="4" w:space="0" w:color="auto"/>
              <w:right w:val="single" w:sz="4" w:space="0" w:color="auto"/>
            </w:tcBorders>
          </w:tcPr>
          <w:p w14:paraId="763967AA"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576.12</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134AD6F4"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1,971.82</w:t>
            </w:r>
          </w:p>
        </w:tc>
      </w:tr>
      <w:tr w:rsidR="00110477" w:rsidRPr="005E2E96" w14:paraId="11B5878C" w14:textId="77777777" w:rsidTr="00110477">
        <w:tc>
          <w:tcPr>
            <w:tcW w:w="1536"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AC69678" w14:textId="77777777" w:rsidR="00110477" w:rsidRPr="005E2E96" w:rsidRDefault="00110477" w:rsidP="00B32AE4">
            <w:pPr>
              <w:jc w:val="left"/>
              <w:rPr>
                <w:rFonts w:eastAsiaTheme="minorHAnsi"/>
                <w:b/>
                <w:color w:val="000000"/>
                <w:sz w:val="20"/>
                <w:szCs w:val="20"/>
                <w:lang w:val="en-CA"/>
              </w:rPr>
            </w:pPr>
            <w:r w:rsidRPr="005E2E96">
              <w:rPr>
                <w:b/>
                <w:color w:val="000000"/>
                <w:sz w:val="20"/>
                <w:szCs w:val="20"/>
                <w:lang w:val="en-CA"/>
              </w:rPr>
              <w:t>Total (mt)</w:t>
            </w:r>
          </w:p>
        </w:tc>
        <w:tc>
          <w:tcPr>
            <w:tcW w:w="577" w:type="pct"/>
            <w:tcBorders>
              <w:top w:val="nil"/>
              <w:left w:val="nil"/>
              <w:bottom w:val="single" w:sz="4" w:space="0" w:color="auto"/>
              <w:right w:val="single" w:sz="4" w:space="0" w:color="auto"/>
            </w:tcBorders>
            <w:shd w:val="clear" w:color="auto" w:fill="auto"/>
            <w:noWrap/>
            <w:vAlign w:val="center"/>
          </w:tcPr>
          <w:p w14:paraId="0F874E7E" w14:textId="77777777" w:rsidR="00110477" w:rsidRPr="005E2E96" w:rsidRDefault="00110477" w:rsidP="00B32AE4">
            <w:pPr>
              <w:widowControl w:val="0"/>
              <w:jc w:val="right"/>
              <w:rPr>
                <w:b/>
                <w:color w:val="000000"/>
                <w:sz w:val="20"/>
                <w:szCs w:val="20"/>
                <w:lang w:val="en-CA"/>
              </w:rPr>
            </w:pPr>
            <w:r w:rsidRPr="005E2E96">
              <w:rPr>
                <w:b/>
                <w:color w:val="000000"/>
                <w:sz w:val="20"/>
                <w:szCs w:val="20"/>
                <w:lang w:val="en-CA"/>
              </w:rPr>
              <w:t>4,443.78</w:t>
            </w:r>
          </w:p>
        </w:tc>
        <w:tc>
          <w:tcPr>
            <w:tcW w:w="578" w:type="pct"/>
            <w:tcBorders>
              <w:top w:val="nil"/>
              <w:left w:val="nil"/>
              <w:bottom w:val="single" w:sz="4" w:space="0" w:color="auto"/>
              <w:right w:val="single" w:sz="4" w:space="0" w:color="auto"/>
            </w:tcBorders>
            <w:shd w:val="clear" w:color="auto" w:fill="auto"/>
            <w:noWrap/>
            <w:vAlign w:val="center"/>
          </w:tcPr>
          <w:p w14:paraId="54DAE388" w14:textId="77777777" w:rsidR="00110477" w:rsidRPr="005E2E96" w:rsidRDefault="00110477" w:rsidP="00B32AE4">
            <w:pPr>
              <w:widowControl w:val="0"/>
              <w:jc w:val="right"/>
              <w:rPr>
                <w:b/>
                <w:color w:val="000000"/>
                <w:sz w:val="20"/>
                <w:szCs w:val="20"/>
                <w:lang w:val="en-CA"/>
              </w:rPr>
            </w:pPr>
            <w:r w:rsidRPr="005E2E96">
              <w:rPr>
                <w:b/>
                <w:color w:val="000000"/>
                <w:sz w:val="20"/>
                <w:szCs w:val="20"/>
                <w:lang w:val="en-CA"/>
              </w:rPr>
              <w:t>4,203.22</w:t>
            </w:r>
          </w:p>
        </w:tc>
        <w:tc>
          <w:tcPr>
            <w:tcW w:w="577" w:type="pct"/>
            <w:tcBorders>
              <w:top w:val="nil"/>
              <w:left w:val="nil"/>
              <w:bottom w:val="single" w:sz="4" w:space="0" w:color="auto"/>
              <w:right w:val="single" w:sz="4" w:space="0" w:color="auto"/>
            </w:tcBorders>
            <w:shd w:val="clear" w:color="auto" w:fill="auto"/>
            <w:noWrap/>
            <w:vAlign w:val="center"/>
          </w:tcPr>
          <w:p w14:paraId="6C57B53D" w14:textId="77777777" w:rsidR="00110477" w:rsidRPr="005E2E96" w:rsidRDefault="00110477" w:rsidP="00B32AE4">
            <w:pPr>
              <w:widowControl w:val="0"/>
              <w:jc w:val="right"/>
              <w:rPr>
                <w:b/>
                <w:color w:val="000000"/>
                <w:sz w:val="20"/>
                <w:szCs w:val="20"/>
                <w:lang w:val="en-CA"/>
              </w:rPr>
            </w:pPr>
            <w:r w:rsidRPr="005E2E96">
              <w:rPr>
                <w:b/>
                <w:color w:val="000000"/>
                <w:sz w:val="20"/>
                <w:szCs w:val="20"/>
                <w:lang w:val="en-CA"/>
              </w:rPr>
              <w:t>3,943.07</w:t>
            </w:r>
          </w:p>
        </w:tc>
        <w:tc>
          <w:tcPr>
            <w:tcW w:w="578" w:type="pct"/>
            <w:tcBorders>
              <w:top w:val="single" w:sz="4" w:space="0" w:color="auto"/>
              <w:left w:val="nil"/>
              <w:bottom w:val="single" w:sz="4" w:space="0" w:color="auto"/>
              <w:right w:val="single" w:sz="4" w:space="0" w:color="auto"/>
            </w:tcBorders>
          </w:tcPr>
          <w:p w14:paraId="7BD0E762" w14:textId="77777777" w:rsidR="00110477" w:rsidRPr="005E2E96" w:rsidRDefault="00110477" w:rsidP="00B32AE4">
            <w:pPr>
              <w:widowControl w:val="0"/>
              <w:jc w:val="right"/>
              <w:rPr>
                <w:b/>
                <w:color w:val="000000"/>
                <w:sz w:val="20"/>
                <w:szCs w:val="20"/>
                <w:lang w:val="en-CA"/>
              </w:rPr>
            </w:pPr>
            <w:r w:rsidRPr="005E2E96">
              <w:rPr>
                <w:b/>
                <w:color w:val="000000"/>
                <w:sz w:val="20"/>
                <w:szCs w:val="20"/>
                <w:lang w:val="en-CA"/>
              </w:rPr>
              <w:t>3,144.96</w:t>
            </w:r>
          </w:p>
        </w:tc>
        <w:tc>
          <w:tcPr>
            <w:tcW w:w="577" w:type="pct"/>
            <w:tcBorders>
              <w:top w:val="nil"/>
              <w:left w:val="single" w:sz="4" w:space="0" w:color="auto"/>
              <w:bottom w:val="single" w:sz="4" w:space="0" w:color="auto"/>
              <w:right w:val="single" w:sz="4" w:space="0" w:color="auto"/>
            </w:tcBorders>
          </w:tcPr>
          <w:p w14:paraId="18498F1E" w14:textId="77777777" w:rsidR="00110477" w:rsidRPr="005E2E96" w:rsidRDefault="00110477" w:rsidP="00B32AE4">
            <w:pPr>
              <w:widowControl w:val="0"/>
              <w:jc w:val="right"/>
              <w:rPr>
                <w:b/>
                <w:color w:val="000000"/>
                <w:sz w:val="20"/>
                <w:szCs w:val="20"/>
                <w:lang w:val="en-CA"/>
              </w:rPr>
            </w:pPr>
            <w:r w:rsidRPr="005E2E96">
              <w:rPr>
                <w:b/>
                <w:color w:val="000000"/>
                <w:sz w:val="20"/>
                <w:szCs w:val="20"/>
                <w:lang w:val="en-CA"/>
              </w:rPr>
              <w:t>2,386.76</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590436C2" w14:textId="77777777" w:rsidR="00110477" w:rsidRPr="005E2E96" w:rsidRDefault="00110477" w:rsidP="00B32AE4">
            <w:pPr>
              <w:widowControl w:val="0"/>
              <w:jc w:val="right"/>
              <w:rPr>
                <w:b/>
                <w:color w:val="000000"/>
                <w:sz w:val="20"/>
                <w:szCs w:val="20"/>
                <w:lang w:val="en-CA"/>
              </w:rPr>
            </w:pPr>
            <w:r w:rsidRPr="005E2E96">
              <w:rPr>
                <w:b/>
                <w:color w:val="000000"/>
                <w:sz w:val="20"/>
                <w:szCs w:val="20"/>
                <w:lang w:val="en-CA"/>
              </w:rPr>
              <w:t>4,945.80</w:t>
            </w:r>
          </w:p>
        </w:tc>
      </w:tr>
      <w:tr w:rsidR="00110477" w:rsidRPr="005E2E96" w14:paraId="1DA6E2D9" w14:textId="77777777" w:rsidTr="00110477">
        <w:tc>
          <w:tcPr>
            <w:tcW w:w="153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C1DBBE1" w14:textId="77777777" w:rsidR="00110477" w:rsidRPr="005E2E96" w:rsidRDefault="00110477" w:rsidP="00B32AE4">
            <w:pPr>
              <w:widowControl w:val="0"/>
              <w:jc w:val="left"/>
              <w:rPr>
                <w:b/>
                <w:bCs/>
                <w:color w:val="000000"/>
                <w:sz w:val="20"/>
                <w:szCs w:val="20"/>
                <w:lang w:val="en-CA"/>
              </w:rPr>
            </w:pPr>
            <w:r w:rsidRPr="005E2E96">
              <w:rPr>
                <w:b/>
                <w:bCs/>
                <w:color w:val="000000"/>
                <w:sz w:val="20"/>
                <w:szCs w:val="20"/>
                <w:lang w:val="en-CA"/>
              </w:rPr>
              <w:t>ODP tonnes</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DA585" w14:textId="77777777" w:rsidR="00110477" w:rsidRPr="005E2E96" w:rsidRDefault="00110477" w:rsidP="00B32AE4">
            <w:pPr>
              <w:widowControl w:val="0"/>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39FAE" w14:textId="77777777" w:rsidR="00110477" w:rsidRPr="005E2E96" w:rsidRDefault="00110477" w:rsidP="00B32AE4">
            <w:pPr>
              <w:widowControl w:val="0"/>
              <w:jc w:val="right"/>
              <w:rPr>
                <w:color w:val="000000"/>
                <w:sz w:val="20"/>
                <w:szCs w:val="20"/>
                <w:lang w:val="en-CA"/>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1B12D" w14:textId="77777777" w:rsidR="00110477" w:rsidRPr="005E2E96" w:rsidRDefault="00110477" w:rsidP="00B32AE4">
            <w:pPr>
              <w:widowControl w:val="0"/>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3146D275" w14:textId="77777777" w:rsidR="00110477" w:rsidRPr="005E2E96" w:rsidRDefault="00110477" w:rsidP="00B32AE4">
            <w:pPr>
              <w:widowControl w:val="0"/>
              <w:jc w:val="right"/>
              <w:rPr>
                <w:color w:val="000000"/>
                <w:sz w:val="20"/>
                <w:szCs w:val="20"/>
                <w:lang w:val="en-CA"/>
              </w:rPr>
            </w:pPr>
          </w:p>
        </w:tc>
        <w:tc>
          <w:tcPr>
            <w:tcW w:w="577" w:type="pct"/>
            <w:tcBorders>
              <w:top w:val="single" w:sz="4" w:space="0" w:color="auto"/>
              <w:left w:val="single" w:sz="4" w:space="0" w:color="auto"/>
              <w:bottom w:val="single" w:sz="4" w:space="0" w:color="auto"/>
              <w:right w:val="single" w:sz="4" w:space="0" w:color="auto"/>
            </w:tcBorders>
          </w:tcPr>
          <w:p w14:paraId="05049472" w14:textId="77777777" w:rsidR="00110477" w:rsidRPr="005E2E96" w:rsidRDefault="00110477" w:rsidP="00B32AE4">
            <w:pPr>
              <w:widowControl w:val="0"/>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F86E6" w14:textId="77777777" w:rsidR="00110477" w:rsidRPr="005E2E96" w:rsidRDefault="00110477" w:rsidP="00B32AE4">
            <w:pPr>
              <w:widowControl w:val="0"/>
              <w:jc w:val="right"/>
              <w:rPr>
                <w:color w:val="000000"/>
                <w:sz w:val="20"/>
                <w:szCs w:val="20"/>
                <w:lang w:val="en-CA"/>
              </w:rPr>
            </w:pPr>
          </w:p>
        </w:tc>
      </w:tr>
      <w:tr w:rsidR="00110477" w:rsidRPr="005E2E96" w14:paraId="3E6999F9" w14:textId="77777777" w:rsidTr="00110477">
        <w:tc>
          <w:tcPr>
            <w:tcW w:w="153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65968A3" w14:textId="77777777" w:rsidR="00110477" w:rsidRPr="005E2E96" w:rsidRDefault="00110477" w:rsidP="00B32AE4">
            <w:pPr>
              <w:widowControl w:val="0"/>
              <w:jc w:val="left"/>
              <w:rPr>
                <w:color w:val="000000"/>
                <w:sz w:val="20"/>
                <w:szCs w:val="20"/>
                <w:lang w:val="en-CA"/>
              </w:rPr>
            </w:pPr>
            <w:r w:rsidRPr="005E2E96">
              <w:rPr>
                <w:color w:val="000000"/>
                <w:sz w:val="20"/>
                <w:szCs w:val="20"/>
                <w:lang w:val="en-CA"/>
              </w:rPr>
              <w:t>HCFC-22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00BD5" w14:textId="77777777" w:rsidR="00110477" w:rsidRPr="005E2E96" w:rsidRDefault="00110477" w:rsidP="00B32AE4">
            <w:pPr>
              <w:widowControl w:val="0"/>
              <w:jc w:val="right"/>
              <w:rPr>
                <w:color w:val="000000"/>
                <w:sz w:val="20"/>
                <w:szCs w:val="20"/>
                <w:lang w:val="en-CA" w:eastAsia="en-CA"/>
              </w:rPr>
            </w:pPr>
            <w:r w:rsidRPr="005E2E96">
              <w:rPr>
                <w:color w:val="000000"/>
                <w:sz w:val="20"/>
                <w:szCs w:val="20"/>
                <w:lang w:val="en-CA" w:eastAsia="en-CA"/>
              </w:rPr>
              <w:t>146.67</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2C352"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153.08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BEB91"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160.76</w:t>
            </w:r>
          </w:p>
        </w:tc>
        <w:tc>
          <w:tcPr>
            <w:tcW w:w="578" w:type="pct"/>
            <w:tcBorders>
              <w:top w:val="single" w:sz="4" w:space="0" w:color="auto"/>
              <w:left w:val="single" w:sz="4" w:space="0" w:color="auto"/>
              <w:bottom w:val="single" w:sz="4" w:space="0" w:color="auto"/>
              <w:right w:val="single" w:sz="4" w:space="0" w:color="auto"/>
            </w:tcBorders>
          </w:tcPr>
          <w:p w14:paraId="6FF8FE27"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116.62</w:t>
            </w:r>
          </w:p>
        </w:tc>
        <w:tc>
          <w:tcPr>
            <w:tcW w:w="577" w:type="pct"/>
            <w:tcBorders>
              <w:top w:val="single" w:sz="4" w:space="0" w:color="auto"/>
              <w:left w:val="single" w:sz="4" w:space="0" w:color="auto"/>
              <w:bottom w:val="single" w:sz="4" w:space="0" w:color="auto"/>
              <w:right w:val="single" w:sz="4" w:space="0" w:color="auto"/>
            </w:tcBorders>
          </w:tcPr>
          <w:p w14:paraId="3E3B0E43"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99.59</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EEFFC"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163.60</w:t>
            </w:r>
          </w:p>
        </w:tc>
      </w:tr>
      <w:tr w:rsidR="00110477" w:rsidRPr="005E2E96" w14:paraId="1B3455E7" w14:textId="77777777" w:rsidTr="00110477">
        <w:tc>
          <w:tcPr>
            <w:tcW w:w="153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444B002" w14:textId="77777777" w:rsidR="00110477" w:rsidRPr="005E2E96" w:rsidRDefault="00110477" w:rsidP="00B32AE4">
            <w:pPr>
              <w:widowControl w:val="0"/>
              <w:jc w:val="left"/>
              <w:rPr>
                <w:color w:val="000000"/>
                <w:sz w:val="20"/>
                <w:szCs w:val="20"/>
                <w:lang w:val="en-CA"/>
              </w:rPr>
            </w:pPr>
            <w:r w:rsidRPr="005E2E96">
              <w:rPr>
                <w:color w:val="000000"/>
                <w:sz w:val="20"/>
                <w:szCs w:val="20"/>
                <w:lang w:val="en-CA"/>
              </w:rPr>
              <w:t>HCFC-141b</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132AB" w14:textId="77777777" w:rsidR="00110477" w:rsidRPr="005E2E96" w:rsidRDefault="00110477" w:rsidP="00B32AE4">
            <w:pPr>
              <w:widowControl w:val="0"/>
              <w:jc w:val="right"/>
              <w:rPr>
                <w:color w:val="000000"/>
                <w:sz w:val="20"/>
                <w:szCs w:val="20"/>
                <w:lang w:val="en-CA" w:eastAsia="en-CA"/>
              </w:rPr>
            </w:pPr>
            <w:r w:rsidRPr="005E2E96">
              <w:rPr>
                <w:color w:val="000000"/>
                <w:sz w:val="20"/>
                <w:szCs w:val="20"/>
                <w:lang w:val="en-CA" w:eastAsia="en-CA"/>
              </w:rPr>
              <w:t>195.47</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17A00"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156.20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22E76"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112.22</w:t>
            </w:r>
          </w:p>
        </w:tc>
        <w:tc>
          <w:tcPr>
            <w:tcW w:w="578" w:type="pct"/>
            <w:tcBorders>
              <w:top w:val="single" w:sz="4" w:space="0" w:color="auto"/>
              <w:left w:val="single" w:sz="4" w:space="0" w:color="auto"/>
              <w:bottom w:val="single" w:sz="4" w:space="0" w:color="auto"/>
              <w:right w:val="single" w:sz="4" w:space="0" w:color="auto"/>
            </w:tcBorders>
          </w:tcPr>
          <w:p w14:paraId="794D443F"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112.65</w:t>
            </w:r>
          </w:p>
        </w:tc>
        <w:tc>
          <w:tcPr>
            <w:tcW w:w="577" w:type="pct"/>
            <w:tcBorders>
              <w:top w:val="single" w:sz="4" w:space="0" w:color="auto"/>
              <w:left w:val="single" w:sz="4" w:space="0" w:color="auto"/>
              <w:bottom w:val="single" w:sz="4" w:space="0" w:color="auto"/>
              <w:right w:val="single" w:sz="4" w:space="0" w:color="auto"/>
            </w:tcBorders>
          </w:tcPr>
          <w:p w14:paraId="24402DEF"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63.37</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EE5D7" w14:textId="77777777" w:rsidR="00110477" w:rsidRPr="005E2E96" w:rsidRDefault="00110477" w:rsidP="00B32AE4">
            <w:pPr>
              <w:widowControl w:val="0"/>
              <w:jc w:val="right"/>
              <w:rPr>
                <w:color w:val="000000"/>
                <w:sz w:val="20"/>
                <w:szCs w:val="20"/>
                <w:lang w:val="en-CA"/>
              </w:rPr>
            </w:pPr>
            <w:r w:rsidRPr="005E2E96">
              <w:rPr>
                <w:color w:val="000000"/>
                <w:sz w:val="20"/>
                <w:szCs w:val="20"/>
                <w:lang w:val="en-CA"/>
              </w:rPr>
              <w:t>216.90</w:t>
            </w:r>
          </w:p>
        </w:tc>
      </w:tr>
      <w:tr w:rsidR="00110477" w:rsidRPr="005E2E96" w14:paraId="428C9AE1" w14:textId="77777777" w:rsidTr="00110477">
        <w:tc>
          <w:tcPr>
            <w:tcW w:w="153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1D04EDE" w14:textId="796E0E6C" w:rsidR="00110477" w:rsidRPr="005E2E96" w:rsidRDefault="00110477" w:rsidP="00110477">
            <w:pPr>
              <w:jc w:val="left"/>
              <w:rPr>
                <w:rFonts w:eastAsiaTheme="minorHAnsi"/>
                <w:b/>
                <w:sz w:val="20"/>
                <w:szCs w:val="20"/>
                <w:lang w:val="en-CA"/>
              </w:rPr>
            </w:pPr>
            <w:r w:rsidRPr="005E2E96">
              <w:rPr>
                <w:b/>
                <w:sz w:val="20"/>
                <w:szCs w:val="20"/>
                <w:lang w:val="en-CA"/>
              </w:rPr>
              <w:t>Total (ODP tonnes)</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E6D38" w14:textId="77777777" w:rsidR="00110477" w:rsidRPr="005E2E96" w:rsidRDefault="00110477" w:rsidP="00B32AE4">
            <w:pPr>
              <w:widowControl w:val="0"/>
              <w:jc w:val="right"/>
              <w:rPr>
                <w:b/>
                <w:color w:val="000000"/>
                <w:sz w:val="20"/>
                <w:szCs w:val="20"/>
                <w:lang w:val="en-CA" w:eastAsia="en-CA"/>
              </w:rPr>
            </w:pPr>
            <w:r w:rsidRPr="005E2E96">
              <w:rPr>
                <w:b/>
                <w:color w:val="000000"/>
                <w:sz w:val="20"/>
                <w:szCs w:val="20"/>
                <w:lang w:val="en-CA" w:eastAsia="en-CA"/>
              </w:rPr>
              <w:t>342.14</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0DDA0" w14:textId="77777777" w:rsidR="00110477" w:rsidRPr="005E2E96" w:rsidRDefault="00110477" w:rsidP="00B32AE4">
            <w:pPr>
              <w:widowControl w:val="0"/>
              <w:jc w:val="right"/>
              <w:rPr>
                <w:b/>
                <w:color w:val="000000"/>
                <w:sz w:val="20"/>
                <w:szCs w:val="20"/>
                <w:lang w:val="en-CA"/>
              </w:rPr>
            </w:pPr>
            <w:r w:rsidRPr="005E2E96">
              <w:rPr>
                <w:b/>
                <w:color w:val="000000"/>
                <w:sz w:val="20"/>
                <w:szCs w:val="20"/>
                <w:lang w:val="en-CA"/>
              </w:rPr>
              <w:t>309.28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32CB2" w14:textId="77777777" w:rsidR="00110477" w:rsidRPr="005E2E96" w:rsidRDefault="00110477" w:rsidP="00B32AE4">
            <w:pPr>
              <w:widowControl w:val="0"/>
              <w:jc w:val="right"/>
              <w:rPr>
                <w:b/>
                <w:color w:val="000000"/>
                <w:sz w:val="20"/>
                <w:szCs w:val="20"/>
                <w:lang w:val="en-CA"/>
              </w:rPr>
            </w:pPr>
            <w:r w:rsidRPr="005E2E96">
              <w:rPr>
                <w:b/>
                <w:color w:val="000000"/>
                <w:sz w:val="20"/>
                <w:szCs w:val="20"/>
                <w:lang w:val="en-CA"/>
              </w:rPr>
              <w:t>272.98</w:t>
            </w:r>
          </w:p>
        </w:tc>
        <w:tc>
          <w:tcPr>
            <w:tcW w:w="578" w:type="pct"/>
            <w:tcBorders>
              <w:top w:val="single" w:sz="4" w:space="0" w:color="auto"/>
              <w:left w:val="single" w:sz="4" w:space="0" w:color="auto"/>
              <w:bottom w:val="single" w:sz="4" w:space="0" w:color="auto"/>
              <w:right w:val="single" w:sz="4" w:space="0" w:color="auto"/>
            </w:tcBorders>
          </w:tcPr>
          <w:p w14:paraId="6D76A651" w14:textId="77777777" w:rsidR="00110477" w:rsidRPr="005E2E96" w:rsidRDefault="00110477" w:rsidP="00B32AE4">
            <w:pPr>
              <w:jc w:val="right"/>
              <w:rPr>
                <w:b/>
                <w:color w:val="000000"/>
                <w:sz w:val="20"/>
                <w:szCs w:val="20"/>
                <w:lang w:val="en-CA"/>
              </w:rPr>
            </w:pPr>
            <w:r w:rsidRPr="005E2E96">
              <w:rPr>
                <w:b/>
                <w:color w:val="000000"/>
                <w:sz w:val="20"/>
                <w:szCs w:val="20"/>
                <w:lang w:val="en-CA"/>
              </w:rPr>
              <w:t>229.28</w:t>
            </w:r>
          </w:p>
        </w:tc>
        <w:tc>
          <w:tcPr>
            <w:tcW w:w="577" w:type="pct"/>
            <w:tcBorders>
              <w:top w:val="single" w:sz="4" w:space="0" w:color="auto"/>
              <w:left w:val="single" w:sz="4" w:space="0" w:color="auto"/>
              <w:bottom w:val="single" w:sz="4" w:space="0" w:color="auto"/>
              <w:right w:val="single" w:sz="4" w:space="0" w:color="auto"/>
            </w:tcBorders>
          </w:tcPr>
          <w:p w14:paraId="7BD762CA" w14:textId="77777777" w:rsidR="00110477" w:rsidRPr="005E2E96" w:rsidRDefault="00110477" w:rsidP="00B32AE4">
            <w:pPr>
              <w:jc w:val="right"/>
              <w:rPr>
                <w:b/>
                <w:color w:val="000000"/>
                <w:sz w:val="20"/>
                <w:szCs w:val="20"/>
                <w:lang w:val="en-CA"/>
              </w:rPr>
            </w:pPr>
            <w:r w:rsidRPr="005E2E96">
              <w:rPr>
                <w:b/>
                <w:color w:val="000000"/>
                <w:sz w:val="20"/>
                <w:szCs w:val="20"/>
                <w:lang w:val="en-CA"/>
              </w:rPr>
              <w:t>162.96</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10F5D8D8" w14:textId="77777777" w:rsidR="00110477" w:rsidRPr="005E2E96" w:rsidRDefault="00110477" w:rsidP="00B32AE4">
            <w:pPr>
              <w:jc w:val="right"/>
              <w:rPr>
                <w:rFonts w:eastAsiaTheme="minorHAnsi"/>
                <w:b/>
                <w:color w:val="000000"/>
                <w:sz w:val="20"/>
                <w:szCs w:val="20"/>
                <w:lang w:val="en-CA"/>
              </w:rPr>
            </w:pPr>
            <w:r w:rsidRPr="005E2E96">
              <w:rPr>
                <w:rFonts w:eastAsiaTheme="minorHAnsi"/>
                <w:b/>
                <w:color w:val="000000"/>
                <w:sz w:val="20"/>
                <w:szCs w:val="20"/>
                <w:lang w:val="en-CA"/>
              </w:rPr>
              <w:t>380.50</w:t>
            </w:r>
          </w:p>
        </w:tc>
      </w:tr>
    </w:tbl>
    <w:p w14:paraId="271E7D5C" w14:textId="77777777" w:rsidR="00110477" w:rsidRPr="005E2E96" w:rsidRDefault="00110477" w:rsidP="00110477">
      <w:pPr>
        <w:rPr>
          <w:lang w:val="en-CA"/>
        </w:rPr>
      </w:pPr>
    </w:p>
    <w:p w14:paraId="57BC012C" w14:textId="41330CD7" w:rsidR="00110477" w:rsidRPr="005E2E96" w:rsidRDefault="00110477" w:rsidP="00110477">
      <w:pPr>
        <w:pStyle w:val="Heading1"/>
        <w:rPr>
          <w:lang w:val="en-CA"/>
        </w:rPr>
      </w:pPr>
      <w:r w:rsidRPr="005E2E96">
        <w:t xml:space="preserve">Since the beginning of the implementation of HCFC phase-out activities, fluctuations in the national economy, </w:t>
      </w:r>
      <w:r w:rsidRPr="005E2E96">
        <w:rPr>
          <w:lang w:val="en-CA"/>
        </w:rPr>
        <w:t xml:space="preserve">triggered by international sanctions have restricted the country’s access to the supply chain of HCFCs, raw material and equipment required for the conversion to alternative technologies, and has also resulted in price increases. </w:t>
      </w:r>
      <w:r w:rsidRPr="005E2E96">
        <w:t>T</w:t>
      </w:r>
      <w:r w:rsidRPr="005E2E96">
        <w:rPr>
          <w:lang w:val="en-CA"/>
        </w:rPr>
        <w:t>he significant decrease in HCFC consumption from 2017 to 2018, particularly in the case of HCFC</w:t>
      </w:r>
      <w:r w:rsidRPr="005E2E96">
        <w:rPr>
          <w:lang w:val="en-CA"/>
        </w:rPr>
        <w:noBreakHyphen/>
        <w:t xml:space="preserve">141b, was exacerbated by the </w:t>
      </w:r>
      <w:r w:rsidR="00363BB6" w:rsidRPr="005E2E96">
        <w:rPr>
          <w:lang w:val="en-CA"/>
        </w:rPr>
        <w:t xml:space="preserve">most recent </w:t>
      </w:r>
      <w:r w:rsidRPr="005E2E96">
        <w:rPr>
          <w:lang w:val="en-CA"/>
        </w:rPr>
        <w:t xml:space="preserve">economic downturn. The slowdown is believed to be temporary, and as the economic situation stabilizes, it is expected that consumption will return to higher levels, as predicted in the </w:t>
      </w:r>
      <w:r w:rsidR="00687BDF" w:rsidRPr="005E2E96">
        <w:rPr>
          <w:lang w:val="en-CA"/>
        </w:rPr>
        <w:t>stage I</w:t>
      </w:r>
      <w:r w:rsidRPr="005E2E96">
        <w:rPr>
          <w:lang w:val="en-CA"/>
        </w:rPr>
        <w:t>I proposal.</w:t>
      </w:r>
    </w:p>
    <w:p w14:paraId="18CC2FF7" w14:textId="604B2960" w:rsidR="00613A38" w:rsidRPr="005E2E96" w:rsidRDefault="00613A38" w:rsidP="00613A38">
      <w:pPr>
        <w:pStyle w:val="Heading1"/>
        <w:rPr>
          <w:lang w:val="en-CA"/>
        </w:rPr>
      </w:pPr>
      <w:r w:rsidRPr="005E2E96">
        <w:rPr>
          <w:lang w:val="en-CA"/>
        </w:rPr>
        <w:lastRenderedPageBreak/>
        <w:t xml:space="preserve">Notwithstanding the national economic constraints, the activities related to the conversion of over </w:t>
      </w:r>
      <w:r w:rsidR="006076BD" w:rsidRPr="005E2E96">
        <w:rPr>
          <w:lang w:val="en-CA"/>
        </w:rPr>
        <w:t>18</w:t>
      </w:r>
      <w:r w:rsidRPr="005E2E96">
        <w:rPr>
          <w:lang w:val="en-CA"/>
        </w:rPr>
        <w:t xml:space="preserve"> foam enterprises using HCFC</w:t>
      </w:r>
      <w:r w:rsidRPr="005E2E96">
        <w:rPr>
          <w:lang w:val="en-CA"/>
        </w:rPr>
        <w:noBreakHyphen/>
        <w:t xml:space="preserve">141b as a blowing agent; the conversion of one air-conditioning (AC) manufacturing enterprise resulting in the phase-out of HCFC-22, and the </w:t>
      </w:r>
      <w:r w:rsidR="005D71ED" w:rsidRPr="005E2E96">
        <w:rPr>
          <w:lang w:val="en-CA"/>
        </w:rPr>
        <w:t>training and technical assistance in the refrigeration servicing sector, have largely contributed to the sustained phase-out of HCFCs. Once the economic situation stabilizes, it would be expected an increase in the consumption of the alternative technologies that have been phased in in all the manufacturing enterprises.</w:t>
      </w:r>
    </w:p>
    <w:p w14:paraId="6285CB26" w14:textId="77777777" w:rsidR="00110477" w:rsidRPr="005E2E96" w:rsidRDefault="00110477" w:rsidP="00110477">
      <w:pPr>
        <w:rPr>
          <w:i/>
          <w:lang w:val="en-CA"/>
        </w:rPr>
      </w:pPr>
      <w:r w:rsidRPr="005E2E96">
        <w:rPr>
          <w:i/>
          <w:lang w:val="en-CA"/>
        </w:rPr>
        <w:t>Country programme (CP) implementation report</w:t>
      </w:r>
    </w:p>
    <w:p w14:paraId="41CF6CA9" w14:textId="77777777" w:rsidR="00110477" w:rsidRPr="005E2E96" w:rsidRDefault="00110477" w:rsidP="00110477">
      <w:pPr>
        <w:rPr>
          <w:lang w:val="en-CA"/>
        </w:rPr>
      </w:pPr>
    </w:p>
    <w:p w14:paraId="4D8872E6" w14:textId="77777777" w:rsidR="00110477" w:rsidRPr="005E2E96" w:rsidRDefault="00110477" w:rsidP="00110477">
      <w:pPr>
        <w:pStyle w:val="Heading1"/>
        <w:rPr>
          <w:lang w:val="en-CA"/>
        </w:rPr>
      </w:pPr>
      <w:r w:rsidRPr="005E2E96">
        <w:rPr>
          <w:lang w:val="en-CA"/>
        </w:rPr>
        <w:t xml:space="preserve">The Government of the Islamic Republic of Iran reported HCFC sector consumption data under the 2018 CP implementation report that is consistent with the data reported under Article 7 of the Montreal Protocol. </w:t>
      </w:r>
    </w:p>
    <w:p w14:paraId="1546E308" w14:textId="77777777" w:rsidR="00110477" w:rsidRPr="005E2E96" w:rsidRDefault="00110477" w:rsidP="00110477">
      <w:pPr>
        <w:rPr>
          <w:u w:val="single"/>
          <w:lang w:val="en-CA"/>
        </w:rPr>
      </w:pPr>
      <w:r w:rsidRPr="005E2E96">
        <w:rPr>
          <w:u w:val="single"/>
          <w:lang w:val="en-CA"/>
        </w:rPr>
        <w:t>Legal framework</w:t>
      </w:r>
    </w:p>
    <w:p w14:paraId="5B807668" w14:textId="77777777" w:rsidR="00110477" w:rsidRPr="005E2E96" w:rsidRDefault="00110477" w:rsidP="00110477">
      <w:pPr>
        <w:rPr>
          <w:lang w:val="en-CA"/>
        </w:rPr>
      </w:pPr>
    </w:p>
    <w:p w14:paraId="6A4B5F14" w14:textId="77777777" w:rsidR="00110477" w:rsidRPr="005E2E96" w:rsidRDefault="00110477" w:rsidP="00110477">
      <w:pPr>
        <w:pStyle w:val="Heading1"/>
        <w:rPr>
          <w:lang w:val="en-CA"/>
        </w:rPr>
      </w:pPr>
      <w:r w:rsidRPr="005E2E96">
        <w:rPr>
          <w:lang w:val="en-CA"/>
        </w:rPr>
        <w:t>The HCFC import and export licensing and quota system continues to be operational and is the basis for the establishment of the annual import quotas for HCFC imports; the National Ozone Unit (NOU) approves importers and quantities, and the Ministry of Industry, Mines and Trade (MIMT) issues the import licenses to registered importers. The established regulatory framework for HCFC phase-out also includes the provision of fiscal incentives, a harmonized customs code system and labelling requirements for products containing ODS as well as an “ozone friendly” label for those products converted to non-ODS technology.</w:t>
      </w:r>
    </w:p>
    <w:p w14:paraId="688B604C" w14:textId="77777777" w:rsidR="00110477" w:rsidRPr="005E2E96" w:rsidRDefault="00110477" w:rsidP="00110477">
      <w:pPr>
        <w:pStyle w:val="Heading1"/>
        <w:rPr>
          <w:lang w:val="en-CA"/>
        </w:rPr>
      </w:pPr>
      <w:r w:rsidRPr="005E2E96">
        <w:rPr>
          <w:lang w:val="en-CA"/>
        </w:rPr>
        <w:t>In March 2018, the national ODS regulation</w:t>
      </w:r>
      <w:r w:rsidRPr="005E2E96">
        <w:rPr>
          <w:rStyle w:val="FootnoteReference"/>
          <w:lang w:val="en-CA"/>
        </w:rPr>
        <w:footnoteReference w:id="3"/>
      </w:r>
      <w:r w:rsidRPr="005E2E96">
        <w:rPr>
          <w:lang w:val="en-CA"/>
        </w:rPr>
        <w:t xml:space="preserve"> was amended to impose a ban on the import of HCFC</w:t>
      </w:r>
      <w:r w:rsidRPr="005E2E96">
        <w:rPr>
          <w:lang w:val="en-CA"/>
        </w:rPr>
        <w:noBreakHyphen/>
        <w:t xml:space="preserve">22-based equipment </w:t>
      </w:r>
      <w:r w:rsidRPr="005E2E96">
        <w:t xml:space="preserve">to </w:t>
      </w:r>
      <w:r w:rsidRPr="005E2E96">
        <w:rPr>
          <w:lang w:val="en-CA"/>
        </w:rPr>
        <w:t>align with the accelerated phase-out of HCFCs. No new manufacturing capacity based on HCFC-22 will be allowed in the country from 1 January 2020.</w:t>
      </w:r>
    </w:p>
    <w:p w14:paraId="79854183" w14:textId="0145C03C" w:rsidR="000E0964" w:rsidRPr="005E2E96" w:rsidRDefault="000E0964" w:rsidP="004758C7">
      <w:pPr>
        <w:pStyle w:val="Heading1"/>
        <w:numPr>
          <w:ilvl w:val="0"/>
          <w:numId w:val="0"/>
        </w:numPr>
        <w:tabs>
          <w:tab w:val="num" w:pos="710"/>
        </w:tabs>
        <w:rPr>
          <w:b/>
          <w:lang w:val="en-CA"/>
        </w:rPr>
      </w:pPr>
      <w:r w:rsidRPr="005E2E96">
        <w:rPr>
          <w:b/>
          <w:lang w:val="en-CA"/>
        </w:rPr>
        <w:t>Progress report</w:t>
      </w:r>
      <w:r w:rsidR="004758C7" w:rsidRPr="005E2E96">
        <w:rPr>
          <w:b/>
          <w:lang w:val="en-CA"/>
        </w:rPr>
        <w:t xml:space="preserve"> of </w:t>
      </w:r>
      <w:r w:rsidR="00687BDF" w:rsidRPr="005E2E96">
        <w:rPr>
          <w:b/>
          <w:lang w:val="en-CA"/>
        </w:rPr>
        <w:t>stage I</w:t>
      </w:r>
      <w:r w:rsidR="004758C7" w:rsidRPr="005E2E96">
        <w:rPr>
          <w:b/>
          <w:lang w:val="en-CA"/>
        </w:rPr>
        <w:t xml:space="preserve"> of the HPMP</w:t>
      </w:r>
    </w:p>
    <w:p w14:paraId="082F3283" w14:textId="692137D5" w:rsidR="000E0964" w:rsidRPr="005E2E96" w:rsidRDefault="000E0964" w:rsidP="004758C7">
      <w:pPr>
        <w:pStyle w:val="Heading1"/>
        <w:tabs>
          <w:tab w:val="num" w:pos="710"/>
        </w:tabs>
        <w:rPr>
          <w:lang w:val="en-CA"/>
        </w:rPr>
      </w:pPr>
      <w:r w:rsidRPr="005E2E96">
        <w:rPr>
          <w:lang w:val="en-CA"/>
        </w:rPr>
        <w:t xml:space="preserve">All activities under </w:t>
      </w:r>
      <w:r w:rsidR="00687BDF" w:rsidRPr="005E2E96">
        <w:rPr>
          <w:lang w:val="en-CA"/>
        </w:rPr>
        <w:t>stage I</w:t>
      </w:r>
      <w:r w:rsidRPr="005E2E96">
        <w:rPr>
          <w:lang w:val="en-CA"/>
        </w:rPr>
        <w:t xml:space="preserve"> of the HPMP for the Islamic Republic of Iran have been successfully completed, as reported below. </w:t>
      </w:r>
    </w:p>
    <w:p w14:paraId="15B16FA2" w14:textId="77777777" w:rsidR="000E0964" w:rsidRPr="005E2E96" w:rsidRDefault="000E0964" w:rsidP="004758C7">
      <w:pPr>
        <w:pStyle w:val="Heading1"/>
        <w:numPr>
          <w:ilvl w:val="0"/>
          <w:numId w:val="0"/>
        </w:numPr>
        <w:tabs>
          <w:tab w:val="num" w:pos="710"/>
        </w:tabs>
        <w:rPr>
          <w:u w:val="single"/>
          <w:lang w:val="en-CA"/>
        </w:rPr>
      </w:pPr>
      <w:r w:rsidRPr="005E2E96">
        <w:rPr>
          <w:u w:val="single"/>
          <w:lang w:val="en-CA"/>
        </w:rPr>
        <w:t>Regulatory measures</w:t>
      </w:r>
    </w:p>
    <w:p w14:paraId="68291C1C" w14:textId="77777777" w:rsidR="00653B58" w:rsidRPr="005E2E96" w:rsidRDefault="000E0964" w:rsidP="004758C7">
      <w:pPr>
        <w:pStyle w:val="Heading1"/>
        <w:tabs>
          <w:tab w:val="num" w:pos="710"/>
        </w:tabs>
        <w:rPr>
          <w:lang w:val="en-CA"/>
        </w:rPr>
      </w:pPr>
      <w:r w:rsidRPr="005E2E96">
        <w:rPr>
          <w:lang w:val="en-CA"/>
        </w:rPr>
        <w:t>The NOU continued to issue licenses for imports of ODS and ODS</w:t>
      </w:r>
      <w:r w:rsidRPr="005E2E96">
        <w:rPr>
          <w:lang w:val="en-CA"/>
        </w:rPr>
        <w:noBreakHyphen/>
        <w:t xml:space="preserve">containing equipment. A new online system introduced by the customs department has expedited the import license request process, increased the accuracy and reliability of the data and prevented illegal trade. </w:t>
      </w:r>
    </w:p>
    <w:p w14:paraId="53145B7D" w14:textId="1E9F811E" w:rsidR="000E0964" w:rsidRPr="005E2E96" w:rsidRDefault="000E0964" w:rsidP="004758C7">
      <w:pPr>
        <w:pStyle w:val="Heading1"/>
        <w:tabs>
          <w:tab w:val="num" w:pos="710"/>
        </w:tabs>
        <w:rPr>
          <w:lang w:val="en-CA"/>
        </w:rPr>
      </w:pPr>
      <w:r w:rsidRPr="005E2E96">
        <w:rPr>
          <w:lang w:val="en-CA"/>
        </w:rPr>
        <w:t>The ban on imports of HCFC</w:t>
      </w:r>
      <w:r w:rsidRPr="005E2E96">
        <w:rPr>
          <w:lang w:val="en-CA"/>
        </w:rPr>
        <w:noBreakHyphen/>
        <w:t>22</w:t>
      </w:r>
      <w:r w:rsidRPr="005E2E96">
        <w:rPr>
          <w:lang w:val="en-CA"/>
        </w:rPr>
        <w:noBreakHyphen/>
        <w:t>based residential air conditioners was established in 2018.</w:t>
      </w:r>
    </w:p>
    <w:p w14:paraId="4F06A8BF" w14:textId="77777777" w:rsidR="000E0964" w:rsidRPr="005E2E96" w:rsidRDefault="000E0964" w:rsidP="004758C7">
      <w:pPr>
        <w:pStyle w:val="Heading1"/>
        <w:numPr>
          <w:ilvl w:val="0"/>
          <w:numId w:val="0"/>
        </w:numPr>
        <w:tabs>
          <w:tab w:val="num" w:pos="710"/>
        </w:tabs>
        <w:rPr>
          <w:u w:val="single"/>
          <w:lang w:val="en-CA"/>
        </w:rPr>
      </w:pPr>
      <w:r w:rsidRPr="005E2E96">
        <w:rPr>
          <w:u w:val="single"/>
          <w:lang w:val="en-CA"/>
        </w:rPr>
        <w:t>Manufacturing sector</w:t>
      </w:r>
    </w:p>
    <w:p w14:paraId="4D847529" w14:textId="3D90049D" w:rsidR="000E0964" w:rsidRPr="005E2E96" w:rsidRDefault="004758C7" w:rsidP="004758C7">
      <w:pPr>
        <w:pStyle w:val="Heading1"/>
        <w:rPr>
          <w:lang w:val="en-CA"/>
        </w:rPr>
      </w:pPr>
      <w:r w:rsidRPr="005E2E96">
        <w:rPr>
          <w:lang w:val="en-CA"/>
        </w:rPr>
        <w:t>T</w:t>
      </w:r>
      <w:r w:rsidR="000E0964" w:rsidRPr="005E2E96">
        <w:rPr>
          <w:lang w:val="en-CA"/>
        </w:rPr>
        <w:t xml:space="preserve">he following activities were </w:t>
      </w:r>
      <w:r w:rsidR="006076BD" w:rsidRPr="005E2E96">
        <w:rPr>
          <w:lang w:val="en-CA"/>
        </w:rPr>
        <w:t xml:space="preserve">successfully </w:t>
      </w:r>
      <w:r w:rsidR="000E0964" w:rsidRPr="005E2E96">
        <w:rPr>
          <w:lang w:val="en-CA"/>
        </w:rPr>
        <w:t>completed</w:t>
      </w:r>
      <w:r w:rsidRPr="005E2E96">
        <w:rPr>
          <w:lang w:val="en-CA"/>
        </w:rPr>
        <w:t xml:space="preserve"> </w:t>
      </w:r>
      <w:r w:rsidR="00E3787B" w:rsidRPr="005E2E96">
        <w:rPr>
          <w:lang w:val="en-CA"/>
        </w:rPr>
        <w:t>during</w:t>
      </w:r>
      <w:r w:rsidRPr="005E2E96">
        <w:rPr>
          <w:lang w:val="en-CA"/>
        </w:rPr>
        <w:t xml:space="preserve"> </w:t>
      </w:r>
      <w:r w:rsidR="00687BDF" w:rsidRPr="005E2E96">
        <w:rPr>
          <w:lang w:val="en-CA"/>
        </w:rPr>
        <w:t>stage I</w:t>
      </w:r>
      <w:r w:rsidRPr="005E2E96">
        <w:rPr>
          <w:lang w:val="en-CA"/>
        </w:rPr>
        <w:t>:</w:t>
      </w:r>
    </w:p>
    <w:p w14:paraId="6D8F9490" w14:textId="65107428" w:rsidR="000E0964" w:rsidRPr="005E2E96" w:rsidRDefault="000E0964" w:rsidP="009A3176">
      <w:pPr>
        <w:pStyle w:val="Heading2"/>
        <w:rPr>
          <w:lang w:val="en-CA"/>
        </w:rPr>
      </w:pPr>
      <w:r w:rsidRPr="005E2E96">
        <w:rPr>
          <w:lang w:val="en-CA"/>
        </w:rPr>
        <w:t xml:space="preserve">Conversion of seven </w:t>
      </w:r>
      <w:r w:rsidR="000C2FCA" w:rsidRPr="005E2E96">
        <w:rPr>
          <w:lang w:val="en-CA"/>
        </w:rPr>
        <w:t>polyurethane (</w:t>
      </w:r>
      <w:r w:rsidRPr="005E2E96">
        <w:rPr>
          <w:lang w:val="en-CA"/>
        </w:rPr>
        <w:t>PU</w:t>
      </w:r>
      <w:r w:rsidR="000C2FCA" w:rsidRPr="005E2E96">
        <w:rPr>
          <w:lang w:val="en-CA"/>
        </w:rPr>
        <w:t>)</w:t>
      </w:r>
      <w:r w:rsidRPr="005E2E96">
        <w:rPr>
          <w:lang w:val="en-CA"/>
        </w:rPr>
        <w:t xml:space="preserve"> foam enterprises in the continuous panel sector to hydrocarbon (HC) technology, phasing out 27.8</w:t>
      </w:r>
      <w:r w:rsidR="00E532B1" w:rsidRPr="005E2E96">
        <w:rPr>
          <w:lang w:val="en-CA"/>
        </w:rPr>
        <w:t> ODP t</w:t>
      </w:r>
      <w:r w:rsidRPr="005E2E96">
        <w:rPr>
          <w:lang w:val="en-CA"/>
        </w:rPr>
        <w:t>onnes of HCFC</w:t>
      </w:r>
      <w:r w:rsidRPr="005E2E96">
        <w:rPr>
          <w:lang w:val="en-CA"/>
        </w:rPr>
        <w:noBreakHyphen/>
        <w:t>141b (Government of Germany);</w:t>
      </w:r>
      <w:r w:rsidRPr="005E2E96">
        <w:rPr>
          <w:vertAlign w:val="superscript"/>
          <w:lang w:val="en-CA"/>
        </w:rPr>
        <w:footnoteReference w:id="4"/>
      </w:r>
      <w:r w:rsidR="004758C7" w:rsidRPr="005E2E96">
        <w:rPr>
          <w:lang w:val="en-CA"/>
        </w:rPr>
        <w:t xml:space="preserve"> </w:t>
      </w:r>
    </w:p>
    <w:p w14:paraId="7E9B0AF7" w14:textId="4DAB9F78" w:rsidR="004758C7" w:rsidRPr="005E2E96" w:rsidRDefault="000E0964" w:rsidP="00B32AE4">
      <w:pPr>
        <w:pStyle w:val="Heading2"/>
        <w:rPr>
          <w:lang w:val="en-CA"/>
        </w:rPr>
      </w:pPr>
      <w:r w:rsidRPr="005E2E96">
        <w:rPr>
          <w:lang w:val="en-CA"/>
        </w:rPr>
        <w:t xml:space="preserve">Conversion of 11 rigid PU foam enterprises in domestic refrigeration and discontinuous </w:t>
      </w:r>
      <w:r w:rsidRPr="005E2E96">
        <w:rPr>
          <w:lang w:val="en-CA"/>
        </w:rPr>
        <w:lastRenderedPageBreak/>
        <w:t>panels to HC technology, phasing out 88.1</w:t>
      </w:r>
      <w:r w:rsidR="00E532B1" w:rsidRPr="005E2E96">
        <w:rPr>
          <w:lang w:val="en-CA"/>
        </w:rPr>
        <w:t> ODP t</w:t>
      </w:r>
      <w:r w:rsidRPr="005E2E96">
        <w:rPr>
          <w:lang w:val="en-CA"/>
        </w:rPr>
        <w:t>onnes of HCFC</w:t>
      </w:r>
      <w:r w:rsidRPr="005E2E96">
        <w:rPr>
          <w:lang w:val="en-CA"/>
        </w:rPr>
        <w:noBreakHyphen/>
        <w:t>141b (UNIDO)</w:t>
      </w:r>
      <w:r w:rsidR="004758C7" w:rsidRPr="005E2E96">
        <w:rPr>
          <w:lang w:val="en-CA"/>
        </w:rPr>
        <w:t>; and</w:t>
      </w:r>
    </w:p>
    <w:p w14:paraId="0688A117" w14:textId="5B539D83" w:rsidR="000E0964" w:rsidRPr="005E2E96" w:rsidRDefault="000E0964" w:rsidP="009A3176">
      <w:pPr>
        <w:pStyle w:val="Heading2"/>
        <w:rPr>
          <w:lang w:val="en-CA"/>
        </w:rPr>
      </w:pPr>
      <w:r w:rsidRPr="005E2E96">
        <w:rPr>
          <w:lang w:val="en-CA"/>
        </w:rPr>
        <w:t>Conversion of one air-conditioning (AC) manufacturing enterprise to R</w:t>
      </w:r>
      <w:r w:rsidRPr="005E2E96">
        <w:rPr>
          <w:lang w:val="en-CA"/>
        </w:rPr>
        <w:noBreakHyphen/>
        <w:t>410A, phasing out 29.3</w:t>
      </w:r>
      <w:r w:rsidR="00E532B1" w:rsidRPr="005E2E96">
        <w:rPr>
          <w:lang w:val="en-CA"/>
        </w:rPr>
        <w:t> ODP t</w:t>
      </w:r>
      <w:r w:rsidRPr="005E2E96">
        <w:rPr>
          <w:lang w:val="en-CA"/>
        </w:rPr>
        <w:t>onnes of HCFC</w:t>
      </w:r>
      <w:r w:rsidRPr="005E2E96">
        <w:rPr>
          <w:lang w:val="en-CA"/>
        </w:rPr>
        <w:noBreakHyphen/>
        <w:t>22 (UNDP).</w:t>
      </w:r>
    </w:p>
    <w:p w14:paraId="4298B2A4" w14:textId="36AECAD2" w:rsidR="000E0964" w:rsidRPr="005E2E96" w:rsidRDefault="00DB040F" w:rsidP="009A3176">
      <w:pPr>
        <w:pStyle w:val="Heading1"/>
        <w:numPr>
          <w:ilvl w:val="0"/>
          <w:numId w:val="0"/>
        </w:numPr>
        <w:rPr>
          <w:u w:val="single"/>
          <w:lang w:val="en-CA"/>
        </w:rPr>
      </w:pPr>
      <w:r w:rsidRPr="005E2E96">
        <w:rPr>
          <w:u w:val="single"/>
          <w:lang w:val="en-CA"/>
        </w:rPr>
        <w:t xml:space="preserve">Refrigeration </w:t>
      </w:r>
      <w:r w:rsidR="000E0964" w:rsidRPr="005E2E96">
        <w:rPr>
          <w:u w:val="single"/>
          <w:lang w:val="en-CA"/>
        </w:rPr>
        <w:t>servicing sector (Government of Germany and UNEP)</w:t>
      </w:r>
    </w:p>
    <w:p w14:paraId="770A1BC3" w14:textId="02676A28" w:rsidR="000E0964" w:rsidRPr="005E2E96" w:rsidRDefault="00DB040F" w:rsidP="009A3176">
      <w:pPr>
        <w:pStyle w:val="Heading1"/>
        <w:rPr>
          <w:lang w:val="en-CA"/>
        </w:rPr>
      </w:pPr>
      <w:r w:rsidRPr="005E2E96">
        <w:rPr>
          <w:lang w:val="en-CA"/>
        </w:rPr>
        <w:t xml:space="preserve">During </w:t>
      </w:r>
      <w:r w:rsidR="00687BDF" w:rsidRPr="005E2E96">
        <w:rPr>
          <w:lang w:val="en-CA"/>
        </w:rPr>
        <w:t>stage I</w:t>
      </w:r>
      <w:r w:rsidRPr="005E2E96">
        <w:rPr>
          <w:lang w:val="en-CA"/>
        </w:rPr>
        <w:t>, t</w:t>
      </w:r>
      <w:r w:rsidR="000E0964" w:rsidRPr="005E2E96">
        <w:rPr>
          <w:lang w:val="en-CA"/>
        </w:rPr>
        <w:t xml:space="preserve">he following activities in the </w:t>
      </w:r>
      <w:r w:rsidRPr="005E2E96">
        <w:rPr>
          <w:lang w:val="en-CA"/>
        </w:rPr>
        <w:t>refrigeration and air-conditioning (</w:t>
      </w:r>
      <w:r w:rsidR="000E0964" w:rsidRPr="005E2E96">
        <w:rPr>
          <w:lang w:val="en-CA"/>
        </w:rPr>
        <w:t>RAC</w:t>
      </w:r>
      <w:r w:rsidRPr="005E2E96">
        <w:rPr>
          <w:lang w:val="en-CA"/>
        </w:rPr>
        <w:t>)</w:t>
      </w:r>
      <w:r w:rsidR="000E0964" w:rsidRPr="005E2E96">
        <w:rPr>
          <w:lang w:val="en-CA"/>
        </w:rPr>
        <w:t xml:space="preserve"> servicing sector have been completed:</w:t>
      </w:r>
      <w:r w:rsidR="000E0964" w:rsidRPr="005E2E96">
        <w:rPr>
          <w:i/>
          <w:lang w:val="en-CA"/>
        </w:rPr>
        <w:t xml:space="preserve"> </w:t>
      </w:r>
      <w:r w:rsidR="000E0964" w:rsidRPr="005E2E96">
        <w:rPr>
          <w:lang w:val="en-CA"/>
        </w:rPr>
        <w:t xml:space="preserve">training and awareness workshops on HCFC regulations and enforcement for more than 400 customs and enforcement officers; training in good servicing practices in several provinces provided to over 750 technicians; awareness workshops on </w:t>
      </w:r>
      <w:r w:rsidR="00653B58" w:rsidRPr="005E2E96">
        <w:rPr>
          <w:lang w:val="en-CA"/>
        </w:rPr>
        <w:t>good practices and en</w:t>
      </w:r>
      <w:r w:rsidR="000E0964" w:rsidRPr="005E2E96">
        <w:rPr>
          <w:lang w:val="en-CA"/>
        </w:rPr>
        <w:t xml:space="preserve">ergy efficiency for more than 150 technicians; </w:t>
      </w:r>
      <w:r w:rsidR="00653B58" w:rsidRPr="005E2E96">
        <w:rPr>
          <w:lang w:val="en-CA"/>
        </w:rPr>
        <w:t xml:space="preserve">demonstration of </w:t>
      </w:r>
      <w:r w:rsidR="000E0964" w:rsidRPr="005E2E96">
        <w:rPr>
          <w:lang w:val="en-CA"/>
        </w:rPr>
        <w:t xml:space="preserve">sealed, leakage-free </w:t>
      </w:r>
      <w:r w:rsidR="00653B58" w:rsidRPr="005E2E96">
        <w:rPr>
          <w:lang w:val="en-CA"/>
        </w:rPr>
        <w:t xml:space="preserve">refrigeration </w:t>
      </w:r>
      <w:r w:rsidR="000E0964" w:rsidRPr="005E2E96">
        <w:rPr>
          <w:lang w:val="en-CA"/>
        </w:rPr>
        <w:t>systems</w:t>
      </w:r>
      <w:r w:rsidR="00653B58" w:rsidRPr="005E2E96">
        <w:rPr>
          <w:lang w:val="en-CA"/>
        </w:rPr>
        <w:t xml:space="preserve"> in two supermarket chains</w:t>
      </w:r>
      <w:r w:rsidR="000E0964" w:rsidRPr="005E2E96">
        <w:rPr>
          <w:lang w:val="en-CA"/>
        </w:rPr>
        <w:t>; training in managing log books for servicing enterprises and supermarkets; and production and distribution of technical publications to stakeholders.</w:t>
      </w:r>
    </w:p>
    <w:p w14:paraId="59D7EE0A" w14:textId="77777777" w:rsidR="000E0964" w:rsidRPr="005E2E96" w:rsidRDefault="000E0964" w:rsidP="009A3176">
      <w:pPr>
        <w:spacing w:after="240"/>
        <w:rPr>
          <w:u w:val="single"/>
          <w:lang w:val="en-CA"/>
        </w:rPr>
      </w:pPr>
      <w:r w:rsidRPr="005E2E96">
        <w:rPr>
          <w:u w:val="single"/>
          <w:lang w:val="en-CA"/>
        </w:rPr>
        <w:t xml:space="preserve">Level of fund disbursement </w:t>
      </w:r>
    </w:p>
    <w:p w14:paraId="4BD3EC8B" w14:textId="0739DF1D" w:rsidR="000E0964" w:rsidRPr="005E2E96" w:rsidRDefault="00DB040F" w:rsidP="00DB040F">
      <w:pPr>
        <w:pStyle w:val="Heading1"/>
        <w:rPr>
          <w:u w:val="single"/>
          <w:lang w:val="en-CA"/>
        </w:rPr>
      </w:pPr>
      <w:r w:rsidRPr="005E2E96">
        <w:rPr>
          <w:lang w:val="en-CA"/>
        </w:rPr>
        <w:t xml:space="preserve">In line with decision 83/23, the Government of the Islamic Republic of Iran has submitted a final financial report on the funding approved for </w:t>
      </w:r>
      <w:r w:rsidR="00687BDF" w:rsidRPr="005E2E96">
        <w:rPr>
          <w:lang w:val="en-CA"/>
        </w:rPr>
        <w:t>stage I</w:t>
      </w:r>
      <w:r w:rsidRPr="005E2E96">
        <w:rPr>
          <w:lang w:val="en-CA"/>
        </w:rPr>
        <w:t xml:space="preserve">. </w:t>
      </w:r>
      <w:r w:rsidR="000E0964" w:rsidRPr="005E2E96">
        <w:rPr>
          <w:lang w:val="en-CA"/>
        </w:rPr>
        <w:t xml:space="preserve">As at September 2019, of the </w:t>
      </w:r>
      <w:r w:rsidR="00687BDF" w:rsidRPr="005E2E96">
        <w:rPr>
          <w:lang w:val="en-CA"/>
        </w:rPr>
        <w:t>US $</w:t>
      </w:r>
      <w:r w:rsidR="000E0964" w:rsidRPr="005E2E96">
        <w:rPr>
          <w:lang w:val="en-CA"/>
        </w:rPr>
        <w:t xml:space="preserve">9,994,338 approved, </w:t>
      </w:r>
      <w:r w:rsidR="00687BDF" w:rsidRPr="005E2E96">
        <w:rPr>
          <w:lang w:val="en-CA"/>
        </w:rPr>
        <w:t>US $</w:t>
      </w:r>
      <w:r w:rsidR="000E0964" w:rsidRPr="005E2E96">
        <w:rPr>
          <w:lang w:val="en-CA"/>
        </w:rPr>
        <w:t>9,7</w:t>
      </w:r>
      <w:r w:rsidR="00AC01E0" w:rsidRPr="005E2E96">
        <w:rPr>
          <w:lang w:val="en-CA"/>
        </w:rPr>
        <w:t>29,843</w:t>
      </w:r>
      <w:r w:rsidR="000E0964" w:rsidRPr="005E2E96">
        <w:rPr>
          <w:lang w:val="en-CA"/>
        </w:rPr>
        <w:t xml:space="preserve"> had been disbu</w:t>
      </w:r>
      <w:r w:rsidR="00653B58" w:rsidRPr="005E2E96">
        <w:rPr>
          <w:lang w:val="en-CA"/>
        </w:rPr>
        <w:t>rsed, as shown in Table </w:t>
      </w:r>
      <w:r w:rsidR="00966F49" w:rsidRPr="005E2E96">
        <w:rPr>
          <w:lang w:val="en-CA"/>
        </w:rPr>
        <w:t>2</w:t>
      </w:r>
      <w:r w:rsidR="00653B58" w:rsidRPr="005E2E96">
        <w:rPr>
          <w:lang w:val="en-CA"/>
        </w:rPr>
        <w:t>.</w:t>
      </w:r>
    </w:p>
    <w:p w14:paraId="1C267474" w14:textId="419ABAEC" w:rsidR="000E0964" w:rsidRPr="005E2E96" w:rsidRDefault="000E0964" w:rsidP="009A3176">
      <w:pPr>
        <w:rPr>
          <w:lang w:val="en-CA"/>
        </w:rPr>
      </w:pPr>
      <w:r w:rsidRPr="005E2E96">
        <w:rPr>
          <w:b/>
          <w:lang w:val="en-CA"/>
        </w:rPr>
        <w:t xml:space="preserve">Table </w:t>
      </w:r>
      <w:r w:rsidR="00966F49" w:rsidRPr="005E2E96">
        <w:rPr>
          <w:b/>
          <w:lang w:val="en-CA"/>
        </w:rPr>
        <w:t>2</w:t>
      </w:r>
      <w:r w:rsidRPr="005E2E96">
        <w:rPr>
          <w:b/>
          <w:lang w:val="en-CA"/>
        </w:rPr>
        <w:t xml:space="preserve">. Financial report of </w:t>
      </w:r>
      <w:r w:rsidR="00687BDF" w:rsidRPr="005E2E96">
        <w:rPr>
          <w:b/>
          <w:lang w:val="en-CA"/>
        </w:rPr>
        <w:t>stage I</w:t>
      </w:r>
      <w:r w:rsidRPr="005E2E96">
        <w:rPr>
          <w:b/>
          <w:lang w:val="en-CA"/>
        </w:rPr>
        <w:t xml:space="preserve"> of the HPMP for the Islamic Republic of Iran</w:t>
      </w:r>
    </w:p>
    <w:tbl>
      <w:tblPr>
        <w:tblW w:w="5000" w:type="pct"/>
        <w:tblLook w:val="04A0" w:firstRow="1" w:lastRow="0" w:firstColumn="1" w:lastColumn="0" w:noHBand="0" w:noVBand="1"/>
      </w:tblPr>
      <w:tblGrid>
        <w:gridCol w:w="2337"/>
        <w:gridCol w:w="2337"/>
        <w:gridCol w:w="2338"/>
        <w:gridCol w:w="2338"/>
      </w:tblGrid>
      <w:tr w:rsidR="000E0964" w:rsidRPr="005E2E96" w14:paraId="6D67B6DC" w14:textId="77777777" w:rsidTr="000E0964">
        <w:trPr>
          <w:tblHeader/>
        </w:trPr>
        <w:tc>
          <w:tcPr>
            <w:tcW w:w="1250" w:type="pct"/>
            <w:tcBorders>
              <w:top w:val="single" w:sz="4" w:space="0" w:color="auto"/>
              <w:left w:val="single" w:sz="4" w:space="0" w:color="auto"/>
              <w:bottom w:val="single" w:sz="4" w:space="0" w:color="auto"/>
              <w:right w:val="single" w:sz="4" w:space="0" w:color="000000"/>
            </w:tcBorders>
            <w:noWrap/>
            <w:vAlign w:val="center"/>
            <w:hideMark/>
          </w:tcPr>
          <w:p w14:paraId="0A4E4575" w14:textId="77777777" w:rsidR="000E0964" w:rsidRPr="005E2E96" w:rsidRDefault="000E0964" w:rsidP="009A3176">
            <w:pPr>
              <w:jc w:val="left"/>
              <w:rPr>
                <w:b/>
                <w:bCs/>
                <w:color w:val="000000"/>
                <w:sz w:val="21"/>
                <w:szCs w:val="21"/>
                <w:lang w:val="en-CA" w:eastAsia="en-CA"/>
              </w:rPr>
            </w:pPr>
            <w:r w:rsidRPr="005E2E96">
              <w:rPr>
                <w:b/>
                <w:bCs/>
                <w:color w:val="000000"/>
                <w:sz w:val="21"/>
                <w:szCs w:val="21"/>
                <w:lang w:val="en-CA" w:eastAsia="en-CA"/>
              </w:rPr>
              <w:t>Agency</w:t>
            </w:r>
          </w:p>
        </w:tc>
        <w:tc>
          <w:tcPr>
            <w:tcW w:w="1250" w:type="pct"/>
            <w:tcBorders>
              <w:top w:val="single" w:sz="4" w:space="0" w:color="auto"/>
              <w:left w:val="single" w:sz="4" w:space="0" w:color="auto"/>
              <w:right w:val="single" w:sz="4" w:space="0" w:color="auto"/>
            </w:tcBorders>
            <w:noWrap/>
            <w:vAlign w:val="center"/>
            <w:hideMark/>
          </w:tcPr>
          <w:p w14:paraId="77CB5FA2" w14:textId="296415E2" w:rsidR="000E0964" w:rsidRPr="005E2E96" w:rsidRDefault="000E0964" w:rsidP="009A3176">
            <w:pPr>
              <w:jc w:val="center"/>
              <w:rPr>
                <w:b/>
                <w:color w:val="000000"/>
                <w:sz w:val="21"/>
                <w:szCs w:val="21"/>
                <w:lang w:val="en-CA" w:eastAsia="en-CA"/>
              </w:rPr>
            </w:pPr>
            <w:r w:rsidRPr="005E2E96">
              <w:rPr>
                <w:b/>
                <w:color w:val="000000"/>
                <w:sz w:val="21"/>
                <w:szCs w:val="21"/>
                <w:lang w:val="en-CA" w:eastAsia="en-CA"/>
              </w:rPr>
              <w:t>Approved (</w:t>
            </w:r>
            <w:r w:rsidR="00687BDF" w:rsidRPr="005E2E96">
              <w:rPr>
                <w:b/>
                <w:color w:val="000000"/>
                <w:sz w:val="21"/>
                <w:szCs w:val="21"/>
                <w:lang w:val="en-CA" w:eastAsia="en-CA"/>
              </w:rPr>
              <w:t>US $</w:t>
            </w:r>
            <w:r w:rsidRPr="005E2E96">
              <w:rPr>
                <w:b/>
                <w:color w:val="000000"/>
                <w:sz w:val="21"/>
                <w:szCs w:val="21"/>
                <w:lang w:val="en-CA" w:eastAsia="en-CA"/>
              </w:rPr>
              <w:t>)</w:t>
            </w:r>
          </w:p>
        </w:tc>
        <w:tc>
          <w:tcPr>
            <w:tcW w:w="1250" w:type="pct"/>
            <w:tcBorders>
              <w:top w:val="single" w:sz="4" w:space="0" w:color="auto"/>
              <w:left w:val="single" w:sz="4" w:space="0" w:color="auto"/>
              <w:bottom w:val="single" w:sz="4" w:space="0" w:color="auto"/>
              <w:right w:val="single" w:sz="4" w:space="0" w:color="auto"/>
            </w:tcBorders>
            <w:vAlign w:val="center"/>
          </w:tcPr>
          <w:p w14:paraId="5020CAA7" w14:textId="766EFDFB" w:rsidR="000E0964" w:rsidRPr="005E2E96" w:rsidRDefault="000E0964" w:rsidP="009A3176">
            <w:pPr>
              <w:jc w:val="center"/>
              <w:rPr>
                <w:b/>
                <w:color w:val="000000"/>
                <w:sz w:val="21"/>
                <w:szCs w:val="21"/>
                <w:lang w:val="en-CA" w:eastAsia="en-CA"/>
              </w:rPr>
            </w:pPr>
            <w:r w:rsidRPr="005E2E96">
              <w:rPr>
                <w:b/>
                <w:color w:val="000000"/>
                <w:sz w:val="21"/>
                <w:szCs w:val="21"/>
                <w:lang w:val="en-CA" w:eastAsia="en-CA"/>
              </w:rPr>
              <w:t>Disbursed (</w:t>
            </w:r>
            <w:r w:rsidR="00687BDF" w:rsidRPr="005E2E96">
              <w:rPr>
                <w:b/>
                <w:color w:val="000000"/>
                <w:sz w:val="21"/>
                <w:szCs w:val="21"/>
                <w:lang w:val="en-CA" w:eastAsia="en-CA"/>
              </w:rPr>
              <w:t>US $</w:t>
            </w:r>
            <w:r w:rsidRPr="005E2E96">
              <w:rPr>
                <w:b/>
                <w:color w:val="000000"/>
                <w:sz w:val="21"/>
                <w:szCs w:val="21"/>
                <w:lang w:val="en-CA" w:eastAsia="en-CA"/>
              </w:rPr>
              <w:t>)</w:t>
            </w:r>
          </w:p>
        </w:tc>
        <w:tc>
          <w:tcPr>
            <w:tcW w:w="1250" w:type="pct"/>
            <w:tcBorders>
              <w:top w:val="single" w:sz="4" w:space="0" w:color="auto"/>
              <w:left w:val="single" w:sz="4" w:space="0" w:color="auto"/>
              <w:bottom w:val="single" w:sz="4" w:space="0" w:color="auto"/>
              <w:right w:val="single" w:sz="4" w:space="0" w:color="auto"/>
            </w:tcBorders>
          </w:tcPr>
          <w:p w14:paraId="150B4BCD" w14:textId="77777777" w:rsidR="000E0964" w:rsidRPr="005E2E96" w:rsidRDefault="000E0964" w:rsidP="009A3176">
            <w:pPr>
              <w:jc w:val="center"/>
              <w:rPr>
                <w:b/>
                <w:color w:val="000000"/>
                <w:sz w:val="21"/>
                <w:szCs w:val="21"/>
                <w:lang w:val="en-CA" w:eastAsia="en-CA"/>
              </w:rPr>
            </w:pPr>
            <w:r w:rsidRPr="005E2E96">
              <w:rPr>
                <w:b/>
                <w:color w:val="000000"/>
                <w:sz w:val="21"/>
                <w:szCs w:val="21"/>
                <w:lang w:val="en-CA" w:eastAsia="en-CA"/>
              </w:rPr>
              <w:t>Disbursement rate (%)</w:t>
            </w:r>
          </w:p>
        </w:tc>
      </w:tr>
      <w:tr w:rsidR="000E0964" w:rsidRPr="005E2E96" w14:paraId="26D98A4C" w14:textId="77777777" w:rsidTr="000E0964">
        <w:tc>
          <w:tcPr>
            <w:tcW w:w="1250" w:type="pct"/>
            <w:tcBorders>
              <w:top w:val="nil"/>
              <w:left w:val="single" w:sz="4" w:space="0" w:color="auto"/>
              <w:bottom w:val="single" w:sz="4" w:space="0" w:color="auto"/>
              <w:right w:val="single" w:sz="4" w:space="0" w:color="auto"/>
            </w:tcBorders>
            <w:noWrap/>
            <w:vAlign w:val="center"/>
            <w:hideMark/>
          </w:tcPr>
          <w:p w14:paraId="3EDF0963" w14:textId="77777777" w:rsidR="000E0964" w:rsidRPr="005E2E96" w:rsidRDefault="000E0964" w:rsidP="009A3176">
            <w:pPr>
              <w:jc w:val="left"/>
              <w:rPr>
                <w:bCs/>
                <w:color w:val="000000"/>
                <w:sz w:val="21"/>
                <w:szCs w:val="21"/>
                <w:lang w:val="en-CA" w:eastAsia="en-CA"/>
              </w:rPr>
            </w:pPr>
            <w:r w:rsidRPr="005E2E96">
              <w:rPr>
                <w:bCs/>
                <w:color w:val="000000"/>
                <w:sz w:val="21"/>
                <w:szCs w:val="21"/>
                <w:lang w:val="en-CA" w:eastAsia="en-CA"/>
              </w:rPr>
              <w:t>UNDP</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14:paraId="0D77F15C" w14:textId="77777777" w:rsidR="000E0964" w:rsidRPr="005E2E96" w:rsidRDefault="000E0964" w:rsidP="009A3176">
            <w:pPr>
              <w:jc w:val="right"/>
              <w:rPr>
                <w:color w:val="000000"/>
                <w:sz w:val="21"/>
                <w:szCs w:val="21"/>
                <w:lang w:val="en-CA"/>
              </w:rPr>
            </w:pPr>
            <w:r w:rsidRPr="005E2E96">
              <w:rPr>
                <w:color w:val="000000"/>
                <w:sz w:val="21"/>
                <w:szCs w:val="21"/>
                <w:lang w:val="en-CA"/>
              </w:rPr>
              <w:t>4,340,246</w:t>
            </w:r>
          </w:p>
        </w:tc>
        <w:tc>
          <w:tcPr>
            <w:tcW w:w="1250" w:type="pct"/>
            <w:tcBorders>
              <w:top w:val="single" w:sz="4" w:space="0" w:color="auto"/>
              <w:left w:val="single" w:sz="4" w:space="0" w:color="auto"/>
              <w:bottom w:val="single" w:sz="4" w:space="0" w:color="auto"/>
              <w:right w:val="single" w:sz="4" w:space="0" w:color="auto"/>
            </w:tcBorders>
            <w:noWrap/>
            <w:tcMar>
              <w:left w:w="115" w:type="dxa"/>
              <w:right w:w="432" w:type="dxa"/>
            </w:tcMar>
            <w:vAlign w:val="bottom"/>
          </w:tcPr>
          <w:p w14:paraId="4D731A75" w14:textId="77777777" w:rsidR="000E0964" w:rsidRPr="005E2E96" w:rsidRDefault="000E0964" w:rsidP="009A3176">
            <w:pPr>
              <w:jc w:val="right"/>
              <w:rPr>
                <w:color w:val="000000"/>
                <w:sz w:val="21"/>
                <w:szCs w:val="21"/>
                <w:lang w:val="en-CA"/>
              </w:rPr>
            </w:pPr>
            <w:r w:rsidRPr="005E2E96">
              <w:rPr>
                <w:color w:val="000000"/>
                <w:sz w:val="21"/>
                <w:szCs w:val="21"/>
                <w:lang w:val="en-CA"/>
              </w:rPr>
              <w:t>4,340,246</w:t>
            </w:r>
          </w:p>
        </w:tc>
        <w:tc>
          <w:tcPr>
            <w:tcW w:w="1250" w:type="pct"/>
            <w:tcBorders>
              <w:top w:val="single" w:sz="4" w:space="0" w:color="auto"/>
              <w:left w:val="single" w:sz="4" w:space="0" w:color="auto"/>
              <w:bottom w:val="single" w:sz="4" w:space="0" w:color="auto"/>
              <w:right w:val="single" w:sz="4" w:space="0" w:color="auto"/>
            </w:tcBorders>
            <w:tcMar>
              <w:left w:w="115" w:type="dxa"/>
              <w:right w:w="864" w:type="dxa"/>
            </w:tcMar>
          </w:tcPr>
          <w:p w14:paraId="53CAD1A5" w14:textId="77777777" w:rsidR="000E0964" w:rsidRPr="005E2E96" w:rsidRDefault="000E0964" w:rsidP="009A3176">
            <w:pPr>
              <w:jc w:val="right"/>
              <w:rPr>
                <w:color w:val="000000"/>
                <w:sz w:val="21"/>
                <w:szCs w:val="21"/>
                <w:lang w:val="en-CA"/>
              </w:rPr>
            </w:pPr>
            <w:r w:rsidRPr="005E2E96">
              <w:rPr>
                <w:color w:val="000000"/>
                <w:sz w:val="21"/>
                <w:szCs w:val="21"/>
                <w:lang w:val="en-CA"/>
              </w:rPr>
              <w:t>100</w:t>
            </w:r>
          </w:p>
        </w:tc>
      </w:tr>
      <w:tr w:rsidR="000E0964" w:rsidRPr="005E2E96" w14:paraId="4D68B793" w14:textId="77777777" w:rsidTr="000E0964">
        <w:tc>
          <w:tcPr>
            <w:tcW w:w="1250" w:type="pct"/>
            <w:tcBorders>
              <w:top w:val="nil"/>
              <w:left w:val="single" w:sz="4" w:space="0" w:color="auto"/>
              <w:bottom w:val="single" w:sz="4" w:space="0" w:color="auto"/>
              <w:right w:val="single" w:sz="4" w:space="0" w:color="auto"/>
            </w:tcBorders>
            <w:noWrap/>
            <w:vAlign w:val="center"/>
            <w:hideMark/>
          </w:tcPr>
          <w:p w14:paraId="029B59E8" w14:textId="77777777" w:rsidR="000E0964" w:rsidRPr="005E2E96" w:rsidRDefault="000E0964" w:rsidP="009A3176">
            <w:pPr>
              <w:jc w:val="left"/>
              <w:rPr>
                <w:bCs/>
                <w:color w:val="000000"/>
                <w:sz w:val="21"/>
                <w:szCs w:val="21"/>
                <w:lang w:val="en-CA" w:eastAsia="en-CA"/>
              </w:rPr>
            </w:pPr>
            <w:r w:rsidRPr="005E2E96">
              <w:rPr>
                <w:bCs/>
                <w:color w:val="000000"/>
                <w:sz w:val="21"/>
                <w:szCs w:val="21"/>
                <w:lang w:val="en-CA" w:eastAsia="en-CA"/>
              </w:rPr>
              <w:t>UNIDO</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14:paraId="1CD4DA06" w14:textId="77777777" w:rsidR="000E0964" w:rsidRPr="005E2E96" w:rsidRDefault="000E0964" w:rsidP="009A3176">
            <w:pPr>
              <w:jc w:val="right"/>
              <w:rPr>
                <w:color w:val="000000"/>
                <w:sz w:val="21"/>
                <w:szCs w:val="21"/>
                <w:lang w:val="en-CA"/>
              </w:rPr>
            </w:pPr>
            <w:r w:rsidRPr="005E2E96">
              <w:rPr>
                <w:sz w:val="21"/>
                <w:szCs w:val="21"/>
                <w:lang w:val="en-CA"/>
              </w:rPr>
              <w:t>2,506,277</w:t>
            </w:r>
          </w:p>
        </w:tc>
        <w:tc>
          <w:tcPr>
            <w:tcW w:w="1250" w:type="pct"/>
            <w:tcBorders>
              <w:top w:val="nil"/>
              <w:left w:val="single" w:sz="4" w:space="0" w:color="auto"/>
              <w:bottom w:val="single" w:sz="4" w:space="0" w:color="auto"/>
              <w:right w:val="single" w:sz="4" w:space="0" w:color="auto"/>
            </w:tcBorders>
            <w:noWrap/>
            <w:tcMar>
              <w:left w:w="115" w:type="dxa"/>
              <w:right w:w="432" w:type="dxa"/>
            </w:tcMar>
          </w:tcPr>
          <w:p w14:paraId="2CBCC943" w14:textId="432E7478" w:rsidR="000E0964" w:rsidRPr="005E2E96" w:rsidRDefault="000E0964" w:rsidP="005E2E96">
            <w:pPr>
              <w:jc w:val="right"/>
              <w:rPr>
                <w:color w:val="000000"/>
                <w:sz w:val="21"/>
                <w:szCs w:val="21"/>
                <w:lang w:val="en-CA"/>
              </w:rPr>
            </w:pPr>
            <w:r w:rsidRPr="005E2E96">
              <w:rPr>
                <w:sz w:val="21"/>
                <w:szCs w:val="21"/>
                <w:lang w:val="en-CA"/>
              </w:rPr>
              <w:t>2,24</w:t>
            </w:r>
            <w:r w:rsidR="004360BA" w:rsidRPr="005E2E96">
              <w:rPr>
                <w:sz w:val="21"/>
                <w:szCs w:val="21"/>
                <w:lang w:val="en-CA"/>
              </w:rPr>
              <w:t>1,</w:t>
            </w:r>
            <w:r w:rsidR="005E2E96" w:rsidRPr="005E2E96">
              <w:rPr>
                <w:sz w:val="21"/>
                <w:szCs w:val="21"/>
                <w:lang w:val="en-CA"/>
              </w:rPr>
              <w:t>7</w:t>
            </w:r>
            <w:r w:rsidR="004360BA" w:rsidRPr="005E2E96">
              <w:rPr>
                <w:sz w:val="21"/>
                <w:szCs w:val="21"/>
                <w:lang w:val="en-CA"/>
              </w:rPr>
              <w:t>82</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6181D8D8" w14:textId="77777777" w:rsidR="000E0964" w:rsidRPr="005E2E96" w:rsidRDefault="000E0964" w:rsidP="009A3176">
            <w:pPr>
              <w:jc w:val="right"/>
              <w:rPr>
                <w:sz w:val="21"/>
                <w:szCs w:val="21"/>
                <w:lang w:val="en-CA"/>
              </w:rPr>
            </w:pPr>
            <w:r w:rsidRPr="005E2E96">
              <w:rPr>
                <w:sz w:val="21"/>
                <w:szCs w:val="21"/>
                <w:lang w:val="en-CA"/>
              </w:rPr>
              <w:t>90</w:t>
            </w:r>
          </w:p>
        </w:tc>
      </w:tr>
      <w:tr w:rsidR="000E0964" w:rsidRPr="005E2E96" w14:paraId="3C328C11" w14:textId="77777777" w:rsidTr="000E0964">
        <w:tc>
          <w:tcPr>
            <w:tcW w:w="1250" w:type="pct"/>
            <w:tcBorders>
              <w:top w:val="nil"/>
              <w:left w:val="single" w:sz="4" w:space="0" w:color="auto"/>
              <w:bottom w:val="single" w:sz="4" w:space="0" w:color="auto"/>
              <w:right w:val="single" w:sz="4" w:space="0" w:color="auto"/>
            </w:tcBorders>
            <w:noWrap/>
            <w:vAlign w:val="center"/>
            <w:hideMark/>
          </w:tcPr>
          <w:p w14:paraId="45576BD4" w14:textId="77777777" w:rsidR="000E0964" w:rsidRPr="005E2E96" w:rsidRDefault="000E0964" w:rsidP="009A3176">
            <w:pPr>
              <w:jc w:val="left"/>
              <w:rPr>
                <w:bCs/>
                <w:color w:val="000000"/>
                <w:sz w:val="21"/>
                <w:szCs w:val="21"/>
                <w:lang w:val="en-CA" w:eastAsia="en-CA"/>
              </w:rPr>
            </w:pPr>
            <w:r w:rsidRPr="005E2E96">
              <w:rPr>
                <w:bCs/>
                <w:color w:val="000000"/>
                <w:sz w:val="21"/>
                <w:szCs w:val="21"/>
                <w:lang w:val="en-CA" w:eastAsia="en-CA"/>
              </w:rPr>
              <w:t>Government of Germany</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14:paraId="45D06D4C" w14:textId="77777777" w:rsidR="000E0964" w:rsidRPr="005E2E96" w:rsidRDefault="000E0964" w:rsidP="009A3176">
            <w:pPr>
              <w:jc w:val="right"/>
              <w:rPr>
                <w:color w:val="000000"/>
                <w:sz w:val="21"/>
                <w:szCs w:val="21"/>
                <w:lang w:val="en-CA"/>
              </w:rPr>
            </w:pPr>
            <w:r w:rsidRPr="005E2E96">
              <w:rPr>
                <w:color w:val="000000"/>
                <w:sz w:val="21"/>
                <w:szCs w:val="21"/>
                <w:lang w:val="en-CA"/>
              </w:rPr>
              <w:t>2,885,815</w:t>
            </w:r>
          </w:p>
        </w:tc>
        <w:tc>
          <w:tcPr>
            <w:tcW w:w="1250" w:type="pct"/>
            <w:tcBorders>
              <w:top w:val="nil"/>
              <w:left w:val="single" w:sz="4" w:space="0" w:color="auto"/>
              <w:bottom w:val="single" w:sz="4" w:space="0" w:color="auto"/>
              <w:right w:val="single" w:sz="4" w:space="0" w:color="auto"/>
            </w:tcBorders>
            <w:noWrap/>
            <w:tcMar>
              <w:left w:w="115" w:type="dxa"/>
              <w:right w:w="432" w:type="dxa"/>
            </w:tcMar>
            <w:vAlign w:val="bottom"/>
          </w:tcPr>
          <w:p w14:paraId="67FDC8CF" w14:textId="77777777" w:rsidR="000E0964" w:rsidRPr="005E2E96" w:rsidRDefault="000E0964" w:rsidP="009A3176">
            <w:pPr>
              <w:jc w:val="right"/>
              <w:rPr>
                <w:color w:val="000000"/>
                <w:sz w:val="21"/>
                <w:szCs w:val="21"/>
                <w:lang w:val="en-CA"/>
              </w:rPr>
            </w:pPr>
            <w:r w:rsidRPr="005E2E96">
              <w:rPr>
                <w:color w:val="000000"/>
                <w:sz w:val="21"/>
                <w:szCs w:val="21"/>
                <w:lang w:val="en-CA"/>
              </w:rPr>
              <w:t>2,885,815</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0E0DA2FD" w14:textId="77777777" w:rsidR="000E0964" w:rsidRPr="005E2E96" w:rsidRDefault="000E0964" w:rsidP="009A3176">
            <w:pPr>
              <w:jc w:val="right"/>
              <w:rPr>
                <w:color w:val="000000"/>
                <w:sz w:val="21"/>
                <w:szCs w:val="21"/>
                <w:lang w:val="en-CA"/>
              </w:rPr>
            </w:pPr>
            <w:r w:rsidRPr="005E2E96">
              <w:rPr>
                <w:color w:val="000000"/>
                <w:sz w:val="21"/>
                <w:szCs w:val="21"/>
                <w:lang w:val="en-CA"/>
              </w:rPr>
              <w:t>100</w:t>
            </w:r>
          </w:p>
        </w:tc>
      </w:tr>
      <w:tr w:rsidR="000E0964" w:rsidRPr="005E2E96" w14:paraId="6C91BBB9" w14:textId="77777777" w:rsidTr="000E0964">
        <w:tc>
          <w:tcPr>
            <w:tcW w:w="1250" w:type="pct"/>
            <w:tcBorders>
              <w:top w:val="nil"/>
              <w:left w:val="single" w:sz="4" w:space="0" w:color="auto"/>
              <w:bottom w:val="single" w:sz="4" w:space="0" w:color="auto"/>
              <w:right w:val="single" w:sz="4" w:space="0" w:color="auto"/>
            </w:tcBorders>
            <w:noWrap/>
            <w:vAlign w:val="center"/>
            <w:hideMark/>
          </w:tcPr>
          <w:p w14:paraId="7A343EF1" w14:textId="77777777" w:rsidR="000E0964" w:rsidRPr="005E2E96" w:rsidRDefault="000E0964" w:rsidP="009A3176">
            <w:pPr>
              <w:jc w:val="left"/>
              <w:rPr>
                <w:bCs/>
                <w:color w:val="000000"/>
                <w:sz w:val="21"/>
                <w:szCs w:val="21"/>
                <w:lang w:val="en-CA" w:eastAsia="en-CA"/>
              </w:rPr>
            </w:pPr>
            <w:r w:rsidRPr="005E2E96">
              <w:rPr>
                <w:bCs/>
                <w:color w:val="000000"/>
                <w:sz w:val="21"/>
                <w:szCs w:val="21"/>
                <w:lang w:val="en-CA" w:eastAsia="en-CA"/>
              </w:rPr>
              <w:t>UNEP</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bottom"/>
          </w:tcPr>
          <w:p w14:paraId="415F8A6D" w14:textId="77777777" w:rsidR="000E0964" w:rsidRPr="005E2E96" w:rsidRDefault="000E0964" w:rsidP="009A3176">
            <w:pPr>
              <w:jc w:val="right"/>
              <w:rPr>
                <w:color w:val="000000"/>
                <w:sz w:val="21"/>
                <w:szCs w:val="21"/>
                <w:lang w:val="en-CA"/>
              </w:rPr>
            </w:pPr>
            <w:r w:rsidRPr="005E2E96">
              <w:rPr>
                <w:color w:val="000000"/>
                <w:sz w:val="21"/>
                <w:szCs w:val="21"/>
                <w:lang w:val="en-CA"/>
              </w:rPr>
              <w:t>262,000</w:t>
            </w:r>
          </w:p>
        </w:tc>
        <w:tc>
          <w:tcPr>
            <w:tcW w:w="1250" w:type="pct"/>
            <w:tcBorders>
              <w:top w:val="nil"/>
              <w:left w:val="single" w:sz="4" w:space="0" w:color="auto"/>
              <w:bottom w:val="single" w:sz="4" w:space="0" w:color="auto"/>
              <w:right w:val="single" w:sz="4" w:space="0" w:color="auto"/>
            </w:tcBorders>
            <w:noWrap/>
            <w:tcMar>
              <w:left w:w="115" w:type="dxa"/>
              <w:right w:w="432" w:type="dxa"/>
            </w:tcMar>
            <w:vAlign w:val="bottom"/>
          </w:tcPr>
          <w:p w14:paraId="094E6093" w14:textId="77777777" w:rsidR="000E0964" w:rsidRPr="005E2E96" w:rsidRDefault="000E0964" w:rsidP="009A3176">
            <w:pPr>
              <w:jc w:val="right"/>
              <w:rPr>
                <w:color w:val="000000"/>
                <w:sz w:val="21"/>
                <w:szCs w:val="21"/>
                <w:lang w:val="en-CA"/>
              </w:rPr>
            </w:pPr>
            <w:r w:rsidRPr="005E2E96">
              <w:rPr>
                <w:sz w:val="21"/>
                <w:szCs w:val="21"/>
                <w:lang w:val="en-CA"/>
              </w:rPr>
              <w:t>262,000</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1EDBAD3D" w14:textId="77777777" w:rsidR="000E0964" w:rsidRPr="005E2E96" w:rsidRDefault="000E0964" w:rsidP="009A3176">
            <w:pPr>
              <w:jc w:val="right"/>
              <w:rPr>
                <w:sz w:val="21"/>
                <w:szCs w:val="21"/>
                <w:lang w:val="en-CA"/>
              </w:rPr>
            </w:pPr>
            <w:r w:rsidRPr="005E2E96">
              <w:rPr>
                <w:sz w:val="21"/>
                <w:szCs w:val="21"/>
                <w:lang w:val="en-CA"/>
              </w:rPr>
              <w:t>100</w:t>
            </w:r>
          </w:p>
        </w:tc>
      </w:tr>
      <w:tr w:rsidR="000E0964" w:rsidRPr="005E2E96" w14:paraId="31757E78" w14:textId="77777777" w:rsidTr="000E0964">
        <w:tc>
          <w:tcPr>
            <w:tcW w:w="1250" w:type="pct"/>
            <w:tcBorders>
              <w:top w:val="nil"/>
              <w:left w:val="single" w:sz="4" w:space="0" w:color="auto"/>
              <w:bottom w:val="single" w:sz="4" w:space="0" w:color="auto"/>
              <w:right w:val="single" w:sz="4" w:space="0" w:color="auto"/>
            </w:tcBorders>
            <w:noWrap/>
            <w:vAlign w:val="center"/>
            <w:hideMark/>
          </w:tcPr>
          <w:p w14:paraId="2DDB9BBF" w14:textId="77777777" w:rsidR="000E0964" w:rsidRPr="005E2E96" w:rsidRDefault="000E0964" w:rsidP="009A3176">
            <w:pPr>
              <w:jc w:val="left"/>
              <w:rPr>
                <w:b/>
                <w:bCs/>
                <w:color w:val="000000"/>
                <w:sz w:val="21"/>
                <w:szCs w:val="21"/>
                <w:lang w:val="en-CA" w:eastAsia="en-CA"/>
              </w:rPr>
            </w:pPr>
            <w:r w:rsidRPr="005E2E96">
              <w:rPr>
                <w:b/>
                <w:bCs/>
                <w:color w:val="000000"/>
                <w:sz w:val="21"/>
                <w:szCs w:val="21"/>
                <w:lang w:val="en-CA" w:eastAsia="en-CA"/>
              </w:rPr>
              <w:t>Total</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vAlign w:val="center"/>
          </w:tcPr>
          <w:p w14:paraId="5CF2CBD2" w14:textId="77777777" w:rsidR="000E0964" w:rsidRPr="005E2E96" w:rsidRDefault="000E0964" w:rsidP="009A3176">
            <w:pPr>
              <w:jc w:val="right"/>
              <w:rPr>
                <w:b/>
                <w:bCs/>
                <w:color w:val="000000"/>
                <w:sz w:val="21"/>
                <w:szCs w:val="21"/>
                <w:lang w:val="en-CA"/>
              </w:rPr>
            </w:pPr>
            <w:r w:rsidRPr="005E2E96">
              <w:rPr>
                <w:b/>
                <w:bCs/>
                <w:color w:val="000000"/>
                <w:sz w:val="21"/>
                <w:szCs w:val="21"/>
                <w:lang w:val="en-CA"/>
              </w:rPr>
              <w:t>9,994,338</w:t>
            </w:r>
          </w:p>
        </w:tc>
        <w:tc>
          <w:tcPr>
            <w:tcW w:w="1250" w:type="pct"/>
            <w:tcBorders>
              <w:top w:val="nil"/>
              <w:left w:val="single" w:sz="4" w:space="0" w:color="auto"/>
              <w:bottom w:val="single" w:sz="4" w:space="0" w:color="auto"/>
              <w:right w:val="single" w:sz="4" w:space="0" w:color="auto"/>
            </w:tcBorders>
            <w:noWrap/>
            <w:tcMar>
              <w:left w:w="115" w:type="dxa"/>
              <w:right w:w="432" w:type="dxa"/>
            </w:tcMar>
            <w:vAlign w:val="bottom"/>
          </w:tcPr>
          <w:p w14:paraId="69822488" w14:textId="2E7E8573" w:rsidR="000E0964" w:rsidRPr="005E2E96" w:rsidRDefault="000E0964" w:rsidP="009A3176">
            <w:pPr>
              <w:jc w:val="right"/>
              <w:rPr>
                <w:b/>
                <w:color w:val="000000"/>
                <w:sz w:val="21"/>
                <w:szCs w:val="21"/>
                <w:lang w:val="en-CA"/>
              </w:rPr>
            </w:pPr>
            <w:r w:rsidRPr="005E2E96">
              <w:rPr>
                <w:b/>
                <w:color w:val="000000"/>
                <w:sz w:val="21"/>
                <w:szCs w:val="21"/>
                <w:lang w:val="en-CA"/>
              </w:rPr>
              <w:t>9,7</w:t>
            </w:r>
            <w:r w:rsidR="004360BA" w:rsidRPr="005E2E96">
              <w:rPr>
                <w:b/>
                <w:color w:val="000000"/>
                <w:sz w:val="21"/>
                <w:szCs w:val="21"/>
                <w:lang w:val="en-CA"/>
              </w:rPr>
              <w:t>29</w:t>
            </w:r>
            <w:r w:rsidRPr="005E2E96">
              <w:rPr>
                <w:b/>
                <w:color w:val="000000"/>
                <w:sz w:val="21"/>
                <w:szCs w:val="21"/>
                <w:lang w:val="en-CA"/>
              </w:rPr>
              <w:t>,</w:t>
            </w:r>
            <w:r w:rsidR="004360BA" w:rsidRPr="005E2E96">
              <w:rPr>
                <w:b/>
                <w:color w:val="000000"/>
                <w:sz w:val="21"/>
                <w:szCs w:val="21"/>
                <w:lang w:val="en-CA"/>
              </w:rPr>
              <w:t>843</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40C06F2A" w14:textId="7D545343" w:rsidR="000E0964" w:rsidRPr="005E2E96" w:rsidRDefault="000E0964" w:rsidP="009A3176">
            <w:pPr>
              <w:jc w:val="right"/>
              <w:rPr>
                <w:b/>
                <w:color w:val="000000"/>
                <w:sz w:val="21"/>
                <w:szCs w:val="21"/>
                <w:lang w:val="en-CA"/>
              </w:rPr>
            </w:pPr>
            <w:r w:rsidRPr="005E2E96">
              <w:rPr>
                <w:b/>
                <w:color w:val="000000"/>
                <w:sz w:val="21"/>
                <w:szCs w:val="21"/>
                <w:lang w:val="en-CA"/>
              </w:rPr>
              <w:t>9</w:t>
            </w:r>
            <w:r w:rsidR="00AC01E0" w:rsidRPr="005E2E96">
              <w:rPr>
                <w:b/>
                <w:color w:val="000000"/>
                <w:sz w:val="21"/>
                <w:szCs w:val="21"/>
                <w:lang w:val="en-CA"/>
              </w:rPr>
              <w:t>7</w:t>
            </w:r>
          </w:p>
        </w:tc>
      </w:tr>
    </w:tbl>
    <w:p w14:paraId="03817DC4" w14:textId="77777777" w:rsidR="000E0964" w:rsidRPr="005E2E96" w:rsidRDefault="000E0964" w:rsidP="009A3176">
      <w:pPr>
        <w:outlineLvl w:val="0"/>
        <w:rPr>
          <w:b/>
          <w:bCs/>
          <w:lang w:val="en-CA"/>
        </w:rPr>
      </w:pPr>
    </w:p>
    <w:p w14:paraId="19C27636" w14:textId="27CFBBE1" w:rsidR="000E0964" w:rsidRPr="005E2E96" w:rsidRDefault="000E0964" w:rsidP="009A3176">
      <w:pPr>
        <w:pStyle w:val="Heading1"/>
        <w:rPr>
          <w:lang w:val="en-CA"/>
        </w:rPr>
      </w:pPr>
      <w:r w:rsidRPr="005E2E96">
        <w:rPr>
          <w:lang w:val="en-CA"/>
        </w:rPr>
        <w:t xml:space="preserve">Out of the balance of </w:t>
      </w:r>
      <w:r w:rsidR="00687BDF" w:rsidRPr="005E2E96">
        <w:rPr>
          <w:lang w:val="en-CA"/>
        </w:rPr>
        <w:t>US $</w:t>
      </w:r>
      <w:r w:rsidRPr="005E2E96">
        <w:rPr>
          <w:lang w:val="en-CA"/>
        </w:rPr>
        <w:t>26</w:t>
      </w:r>
      <w:r w:rsidR="00AC01E0" w:rsidRPr="005E2E96">
        <w:rPr>
          <w:lang w:val="en-CA"/>
        </w:rPr>
        <w:t>4,495</w:t>
      </w:r>
      <w:r w:rsidRPr="005E2E96">
        <w:rPr>
          <w:lang w:val="en-CA"/>
        </w:rPr>
        <w:t xml:space="preserve"> from UNIDO, a total of </w:t>
      </w:r>
      <w:r w:rsidR="00687BDF" w:rsidRPr="005E2E96">
        <w:rPr>
          <w:lang w:val="en-CA"/>
        </w:rPr>
        <w:t>US $</w:t>
      </w:r>
      <w:r w:rsidRPr="005E2E96">
        <w:rPr>
          <w:lang w:val="en-CA"/>
        </w:rPr>
        <w:t xml:space="preserve">238,258 will be disbursed by the </w:t>
      </w:r>
      <w:r w:rsidR="008B50C7" w:rsidRPr="005E2E96">
        <w:rPr>
          <w:lang w:val="en-CA"/>
        </w:rPr>
        <w:t xml:space="preserve">end of November 2019, and </w:t>
      </w:r>
      <w:r w:rsidR="00DB040F" w:rsidRPr="005E2E96">
        <w:rPr>
          <w:lang w:val="en-CA"/>
        </w:rPr>
        <w:t xml:space="preserve">the </w:t>
      </w:r>
      <w:r w:rsidRPr="005E2E96">
        <w:rPr>
          <w:lang w:val="en-CA"/>
        </w:rPr>
        <w:t xml:space="preserve">balance of </w:t>
      </w:r>
      <w:r w:rsidR="00687BDF" w:rsidRPr="005E2E96">
        <w:rPr>
          <w:lang w:val="en-CA"/>
        </w:rPr>
        <w:t>US $</w:t>
      </w:r>
      <w:r w:rsidRPr="005E2E96">
        <w:rPr>
          <w:lang w:val="en-CA"/>
        </w:rPr>
        <w:t>23,846 will be returned to the Multilateral Fund at the 85</w:t>
      </w:r>
      <w:r w:rsidRPr="005E2E96">
        <w:rPr>
          <w:vertAlign w:val="superscript"/>
          <w:lang w:val="en-CA"/>
        </w:rPr>
        <w:t>th</w:t>
      </w:r>
      <w:r w:rsidRPr="005E2E96">
        <w:rPr>
          <w:lang w:val="en-CA"/>
        </w:rPr>
        <w:t xml:space="preserve"> meeting. Moreover, UNIDO already returned a balance of </w:t>
      </w:r>
      <w:r w:rsidR="00687BDF" w:rsidRPr="005E2E96">
        <w:rPr>
          <w:lang w:val="en-CA"/>
        </w:rPr>
        <w:t>US $</w:t>
      </w:r>
      <w:r w:rsidRPr="005E2E96">
        <w:rPr>
          <w:lang w:val="en-CA"/>
        </w:rPr>
        <w:t xml:space="preserve">12,059 from the first tranche of </w:t>
      </w:r>
      <w:r w:rsidR="00687BDF" w:rsidRPr="005E2E96">
        <w:rPr>
          <w:lang w:val="en-CA"/>
        </w:rPr>
        <w:t>stage I</w:t>
      </w:r>
      <w:r w:rsidRPr="005E2E96">
        <w:rPr>
          <w:lang w:val="en-CA"/>
        </w:rPr>
        <w:t xml:space="preserve"> at the 81</w:t>
      </w:r>
      <w:r w:rsidRPr="005E2E96">
        <w:rPr>
          <w:vertAlign w:val="superscript"/>
          <w:lang w:val="en-CA"/>
        </w:rPr>
        <w:t>st</w:t>
      </w:r>
      <w:r w:rsidRPr="005E2E96">
        <w:rPr>
          <w:lang w:val="en-CA"/>
        </w:rPr>
        <w:t> meeting</w:t>
      </w:r>
      <w:r w:rsidR="00DB040F" w:rsidRPr="005E2E96">
        <w:rPr>
          <w:lang w:val="en-CA"/>
        </w:rPr>
        <w:t>,</w:t>
      </w:r>
      <w:r w:rsidRPr="005E2E96">
        <w:rPr>
          <w:lang w:val="en-CA"/>
        </w:rPr>
        <w:t xml:space="preserve"> and will return a balance of </w:t>
      </w:r>
      <w:r w:rsidR="00687BDF" w:rsidRPr="005E2E96">
        <w:rPr>
          <w:lang w:val="en-CA"/>
        </w:rPr>
        <w:t>US $</w:t>
      </w:r>
      <w:r w:rsidRPr="005E2E96">
        <w:rPr>
          <w:lang w:val="en-CA"/>
        </w:rPr>
        <w:t>2,391 from the third tranche at the 84</w:t>
      </w:r>
      <w:r w:rsidRPr="005E2E96">
        <w:rPr>
          <w:vertAlign w:val="superscript"/>
          <w:lang w:val="en-CA"/>
        </w:rPr>
        <w:t>th</w:t>
      </w:r>
      <w:r w:rsidRPr="005E2E96">
        <w:rPr>
          <w:lang w:val="en-CA"/>
        </w:rPr>
        <w:t xml:space="preserve"> meeting.</w:t>
      </w:r>
    </w:p>
    <w:p w14:paraId="543DBD53" w14:textId="3145D1C3" w:rsidR="000E0964" w:rsidRPr="005E2E96" w:rsidRDefault="000E0964" w:rsidP="009A3176">
      <w:pPr>
        <w:spacing w:after="240"/>
        <w:outlineLvl w:val="0"/>
        <w:rPr>
          <w:b/>
          <w:bCs/>
          <w:lang w:val="en-CA"/>
        </w:rPr>
      </w:pPr>
      <w:r w:rsidRPr="005E2E96">
        <w:rPr>
          <w:b/>
          <w:bCs/>
          <w:lang w:val="en-CA"/>
        </w:rPr>
        <w:t>Secretariat’s comments</w:t>
      </w:r>
    </w:p>
    <w:p w14:paraId="0B552B5C" w14:textId="03EB56EC" w:rsidR="00DB040F" w:rsidRPr="005E2E96" w:rsidRDefault="00DB040F" w:rsidP="00DB040F">
      <w:pPr>
        <w:spacing w:after="240"/>
        <w:outlineLvl w:val="0"/>
        <w:rPr>
          <w:u w:val="single"/>
          <w:lang w:val="en-CA"/>
        </w:rPr>
      </w:pPr>
      <w:r w:rsidRPr="005E2E96">
        <w:rPr>
          <w:u w:val="single"/>
          <w:lang w:val="en-CA"/>
        </w:rPr>
        <w:t xml:space="preserve">Implementation of activities included in </w:t>
      </w:r>
      <w:r w:rsidR="00687BDF" w:rsidRPr="005E2E96">
        <w:rPr>
          <w:u w:val="single"/>
          <w:lang w:val="en-CA"/>
        </w:rPr>
        <w:t>stage I</w:t>
      </w:r>
    </w:p>
    <w:p w14:paraId="524B5720" w14:textId="77777777" w:rsidR="00DB040F" w:rsidRPr="005E2E96" w:rsidRDefault="00DB040F" w:rsidP="00DB040F">
      <w:pPr>
        <w:pStyle w:val="Heading1"/>
        <w:rPr>
          <w:u w:val="single"/>
          <w:lang w:val="en-CA"/>
        </w:rPr>
      </w:pPr>
      <w:r w:rsidRPr="005E2E96">
        <w:rPr>
          <w:lang w:val="en-CA"/>
        </w:rPr>
        <w:t>The Secretariat notes that the licensing and quota system has been enforced and strengthened through the online system.</w:t>
      </w:r>
    </w:p>
    <w:p w14:paraId="14FFC957" w14:textId="3FD76F07" w:rsidR="00DB040F" w:rsidRPr="005E2E96" w:rsidRDefault="00DB040F" w:rsidP="00DB040F">
      <w:pPr>
        <w:pStyle w:val="Heading1"/>
        <w:rPr>
          <w:u w:val="single"/>
          <w:lang w:val="en-CA"/>
        </w:rPr>
      </w:pPr>
      <w:r w:rsidRPr="005E2E96">
        <w:rPr>
          <w:lang w:val="en-CA"/>
        </w:rPr>
        <w:t xml:space="preserve">With regard to the projects related to the conversion of manufacturing enterprises, the Secretariat notes that throughout the implementation of </w:t>
      </w:r>
      <w:r w:rsidR="00687BDF" w:rsidRPr="005E2E96">
        <w:rPr>
          <w:lang w:val="en-CA"/>
        </w:rPr>
        <w:t>stage I</w:t>
      </w:r>
      <w:r w:rsidRPr="005E2E96">
        <w:rPr>
          <w:lang w:val="en-CA"/>
        </w:rPr>
        <w:t xml:space="preserve">, </w:t>
      </w:r>
      <w:r w:rsidR="00325CDC" w:rsidRPr="005E2E96">
        <w:rPr>
          <w:lang w:val="en-CA"/>
        </w:rPr>
        <w:t xml:space="preserve">several of the enterprises that were </w:t>
      </w:r>
      <w:r w:rsidR="00B1629C" w:rsidRPr="005E2E96">
        <w:rPr>
          <w:lang w:val="en-CA"/>
        </w:rPr>
        <w:t xml:space="preserve">verified and included in the HPMP as originally approved, withdrew their participation </w:t>
      </w:r>
      <w:r w:rsidRPr="005E2E96">
        <w:rPr>
          <w:lang w:val="en-CA"/>
        </w:rPr>
        <w:t xml:space="preserve">mainly due </w:t>
      </w:r>
      <w:r w:rsidR="00B1629C" w:rsidRPr="005E2E96">
        <w:rPr>
          <w:lang w:val="en-CA"/>
        </w:rPr>
        <w:t xml:space="preserve">to the </w:t>
      </w:r>
      <w:r w:rsidRPr="005E2E96">
        <w:rPr>
          <w:lang w:val="en-CA"/>
        </w:rPr>
        <w:t xml:space="preserve">economic </w:t>
      </w:r>
      <w:r w:rsidR="00B1629C" w:rsidRPr="005E2E96">
        <w:rPr>
          <w:lang w:val="en-CA"/>
        </w:rPr>
        <w:t xml:space="preserve">constraints </w:t>
      </w:r>
      <w:r w:rsidRPr="005E2E96">
        <w:rPr>
          <w:lang w:val="en-CA"/>
        </w:rPr>
        <w:t>prevailing in the country</w:t>
      </w:r>
      <w:r w:rsidR="006076BD" w:rsidRPr="005E2E96">
        <w:rPr>
          <w:lang w:val="en-CA"/>
        </w:rPr>
        <w:t>. I</w:t>
      </w:r>
      <w:r w:rsidR="00B1629C" w:rsidRPr="005E2E96">
        <w:rPr>
          <w:lang w:val="en-CA"/>
        </w:rPr>
        <w:t xml:space="preserve">n most cases, the relevant bilateral and implementing agencies were able to identify other enterprises that fulfilled all the funding eligibility criteria under the Multilateral Fund, and incorporated under </w:t>
      </w:r>
      <w:r w:rsidR="00687BDF" w:rsidRPr="005E2E96">
        <w:rPr>
          <w:lang w:val="en-CA"/>
        </w:rPr>
        <w:t>stage I</w:t>
      </w:r>
      <w:r w:rsidR="00B1629C" w:rsidRPr="005E2E96">
        <w:rPr>
          <w:lang w:val="en-CA"/>
        </w:rPr>
        <w:t xml:space="preserve"> of the HPMP, at no additional cost to the Fund. Except for one enterprise,</w:t>
      </w:r>
      <w:r w:rsidR="00B1629C" w:rsidRPr="005E2E96">
        <w:rPr>
          <w:rStyle w:val="FootnoteReference"/>
          <w:lang w:val="en-CA"/>
        </w:rPr>
        <w:footnoteReference w:id="5"/>
      </w:r>
      <w:r w:rsidR="00B1629C" w:rsidRPr="005E2E96">
        <w:rPr>
          <w:lang w:val="en-CA"/>
        </w:rPr>
        <w:t xml:space="preserve"> detailed records on the level of consumption of HCFCs and the detailed calculations on the conversion costs associated with those enterprises were provided to the Executive Committee.</w:t>
      </w:r>
    </w:p>
    <w:p w14:paraId="6BE3D75D" w14:textId="7E22EDBC" w:rsidR="00DB040F" w:rsidRPr="005E2E96" w:rsidRDefault="00B1629C" w:rsidP="00DB040F">
      <w:pPr>
        <w:pStyle w:val="Heading1"/>
        <w:rPr>
          <w:u w:val="single"/>
          <w:lang w:val="en-CA"/>
        </w:rPr>
      </w:pPr>
      <w:r w:rsidRPr="005E2E96">
        <w:rPr>
          <w:lang w:val="en-CA"/>
        </w:rPr>
        <w:lastRenderedPageBreak/>
        <w:t xml:space="preserve">The Secretariat also notes that al </w:t>
      </w:r>
      <w:r w:rsidR="00DB040F" w:rsidRPr="005E2E96">
        <w:rPr>
          <w:lang w:val="en-CA"/>
        </w:rPr>
        <w:t xml:space="preserve">activities </w:t>
      </w:r>
      <w:r w:rsidRPr="005E2E96">
        <w:rPr>
          <w:lang w:val="en-CA"/>
        </w:rPr>
        <w:t xml:space="preserve">in the RAC servicing sector </w:t>
      </w:r>
      <w:r w:rsidR="00DB040F" w:rsidRPr="005E2E96">
        <w:rPr>
          <w:lang w:val="en-CA"/>
        </w:rPr>
        <w:t xml:space="preserve">that were included in </w:t>
      </w:r>
      <w:r w:rsidR="00687BDF" w:rsidRPr="005E2E96">
        <w:rPr>
          <w:lang w:val="en-CA"/>
        </w:rPr>
        <w:t>stage I</w:t>
      </w:r>
      <w:r w:rsidR="00DB040F" w:rsidRPr="005E2E96">
        <w:rPr>
          <w:lang w:val="en-CA"/>
        </w:rPr>
        <w:t xml:space="preserve"> have been completed. </w:t>
      </w:r>
    </w:p>
    <w:p w14:paraId="5E8D0034" w14:textId="219F0086" w:rsidR="00DB040F" w:rsidRPr="005E2E96" w:rsidRDefault="00DB040F" w:rsidP="00DB040F">
      <w:pPr>
        <w:spacing w:after="240"/>
        <w:outlineLvl w:val="0"/>
        <w:rPr>
          <w:u w:val="single"/>
          <w:lang w:val="en-CA"/>
        </w:rPr>
      </w:pPr>
      <w:r w:rsidRPr="005E2E96">
        <w:rPr>
          <w:u w:val="single"/>
          <w:lang w:val="en-CA"/>
        </w:rPr>
        <w:t>Resubmission of the project completion report</w:t>
      </w:r>
    </w:p>
    <w:p w14:paraId="30468CED" w14:textId="47021202" w:rsidR="009A0E86" w:rsidRPr="005E2E96" w:rsidRDefault="009A0E86" w:rsidP="009A0E86">
      <w:pPr>
        <w:pStyle w:val="Heading1"/>
        <w:rPr>
          <w:lang w:val="en-CA"/>
        </w:rPr>
      </w:pPr>
      <w:r w:rsidRPr="005E2E96">
        <w:t xml:space="preserve">The Secretariat reviewed the revised PCR submitted by the Government of the Islamic Republic of Iran. In line with decision 22/38(c), the PCR included the list of equipment destroyed upon conversion of the AC and the 18 PU foam manufacturing enterprises. For the AC project, the charging machine was retrofitted, the vacuum pumps and the equipment used for leak detection were decommissioned. With regard to PU foam, three foam machines </w:t>
      </w:r>
      <w:r w:rsidR="000A362C" w:rsidRPr="005E2E96">
        <w:t xml:space="preserve">were retrofitted; for </w:t>
      </w:r>
      <w:r w:rsidRPr="005E2E96">
        <w:t>the remaining 16 foam</w:t>
      </w:r>
      <w:r w:rsidR="000A362C" w:rsidRPr="005E2E96">
        <w:t>ing</w:t>
      </w:r>
      <w:r w:rsidRPr="005E2E96">
        <w:t xml:space="preserve"> machines that could not be retrofitted</w:t>
      </w:r>
      <w:r w:rsidR="000A362C" w:rsidRPr="005E2E96">
        <w:t>,</w:t>
      </w:r>
      <w:r w:rsidRPr="005E2E96">
        <w:t xml:space="preserve"> the mixing heads and programmable logic controllers were destroyed</w:t>
      </w:r>
      <w:r w:rsidR="000A362C" w:rsidRPr="005E2E96">
        <w:t xml:space="preserve"> and </w:t>
      </w:r>
      <w:r w:rsidRPr="005E2E96">
        <w:t>the pipes and electrical wiring were cut</w:t>
      </w:r>
      <w:r w:rsidR="000A362C" w:rsidRPr="005E2E96">
        <w:t>; and f</w:t>
      </w:r>
      <w:r w:rsidRPr="005E2E96">
        <w:t>ixtures and mixing tanks were also destroyed. The PCR also included a financial report with fund balances from the first, third and last tranches returned or to be returned to the Multilateral Fund.</w:t>
      </w:r>
    </w:p>
    <w:p w14:paraId="6F40B732" w14:textId="77777777" w:rsidR="000E0964" w:rsidRPr="005E2E96" w:rsidRDefault="000E0964" w:rsidP="009A3176">
      <w:pPr>
        <w:keepNext/>
        <w:autoSpaceDE w:val="0"/>
        <w:autoSpaceDN w:val="0"/>
        <w:adjustRightInd w:val="0"/>
        <w:spacing w:after="240"/>
        <w:jc w:val="left"/>
        <w:rPr>
          <w:b/>
          <w:lang w:val="en-CA"/>
        </w:rPr>
      </w:pPr>
      <w:r w:rsidRPr="005E2E96">
        <w:rPr>
          <w:b/>
          <w:lang w:val="en-CA"/>
        </w:rPr>
        <w:t>Secretariat’s recommendation</w:t>
      </w:r>
    </w:p>
    <w:p w14:paraId="20C0DFD1" w14:textId="77777777" w:rsidR="000E0964" w:rsidRPr="005E2E96" w:rsidRDefault="000E0964" w:rsidP="009A3176">
      <w:pPr>
        <w:pStyle w:val="Heading1"/>
        <w:rPr>
          <w:lang w:val="en-CA"/>
        </w:rPr>
      </w:pPr>
      <w:r w:rsidRPr="005E2E96">
        <w:rPr>
          <w:lang w:val="en-CA"/>
        </w:rPr>
        <w:t>The Executive Committee may wish:</w:t>
      </w:r>
    </w:p>
    <w:p w14:paraId="22572913" w14:textId="77777777" w:rsidR="000E0964" w:rsidRPr="005E2E96" w:rsidRDefault="000E0964" w:rsidP="009A3176">
      <w:pPr>
        <w:pStyle w:val="Heading2"/>
        <w:rPr>
          <w:lang w:val="en-CA"/>
        </w:rPr>
      </w:pPr>
      <w:r w:rsidRPr="005E2E96">
        <w:rPr>
          <w:lang w:val="en-CA"/>
        </w:rPr>
        <w:t>To note:</w:t>
      </w:r>
    </w:p>
    <w:p w14:paraId="04CF70B5" w14:textId="3A6C97F9" w:rsidR="000E0964" w:rsidRPr="005E2E96" w:rsidRDefault="000E0964" w:rsidP="009A3176">
      <w:pPr>
        <w:pStyle w:val="Heading3"/>
        <w:widowControl/>
        <w:rPr>
          <w:lang w:val="en-CA"/>
        </w:rPr>
      </w:pPr>
      <w:r w:rsidRPr="005E2E96">
        <w:rPr>
          <w:lang w:val="en-CA"/>
        </w:rPr>
        <w:t xml:space="preserve">The final progress report on the implementation of the work programme associated with the fourth tranche of </w:t>
      </w:r>
      <w:r w:rsidR="00687BDF" w:rsidRPr="005E2E96">
        <w:rPr>
          <w:lang w:val="en-CA"/>
        </w:rPr>
        <w:t>stage I</w:t>
      </w:r>
      <w:r w:rsidRPr="005E2E96">
        <w:rPr>
          <w:lang w:val="en-CA"/>
        </w:rPr>
        <w:t xml:space="preserve"> of the HCFC phase</w:t>
      </w:r>
      <w:r w:rsidRPr="005E2E96">
        <w:rPr>
          <w:lang w:val="en-CA"/>
        </w:rPr>
        <w:noBreakHyphen/>
        <w:t>out management plan (HPMP) for the Islamic Republic of Iran, submitted by UNDP, and contained in document UNEP/OzL.Pro/ExCom/84/51;</w:t>
      </w:r>
    </w:p>
    <w:p w14:paraId="21132C30" w14:textId="5472880B" w:rsidR="00966F49" w:rsidRPr="005E2E96" w:rsidRDefault="00966F49" w:rsidP="00966F49">
      <w:pPr>
        <w:pStyle w:val="Heading3"/>
        <w:rPr>
          <w:lang w:val="en-CA"/>
        </w:rPr>
      </w:pPr>
      <w:r w:rsidRPr="005E2E96">
        <w:rPr>
          <w:lang w:val="en-CA"/>
        </w:rPr>
        <w:t>That the Government of the Islamic Republic of Iran, UNDP, UNIDO, UNEP and the Government of Germany have submitted a revised project completion report in line with decision 83/23;</w:t>
      </w:r>
    </w:p>
    <w:p w14:paraId="25238913" w14:textId="20E3B673" w:rsidR="000E0964" w:rsidRPr="005E2E96" w:rsidRDefault="000E0964" w:rsidP="009A3176">
      <w:pPr>
        <w:pStyle w:val="Heading3"/>
        <w:rPr>
          <w:lang w:val="en-CA"/>
        </w:rPr>
      </w:pPr>
      <w:r w:rsidRPr="005E2E96">
        <w:rPr>
          <w:lang w:val="en-CA"/>
        </w:rPr>
        <w:t>That UNIDO will return to the 84</w:t>
      </w:r>
      <w:r w:rsidRPr="005E2E96">
        <w:rPr>
          <w:vertAlign w:val="superscript"/>
          <w:lang w:val="en-CA"/>
        </w:rPr>
        <w:t>th</w:t>
      </w:r>
      <w:r w:rsidRPr="005E2E96">
        <w:rPr>
          <w:lang w:val="en-CA"/>
        </w:rPr>
        <w:t xml:space="preserve"> meeting a balance of </w:t>
      </w:r>
      <w:r w:rsidR="00687BDF" w:rsidRPr="005E2E96">
        <w:rPr>
          <w:lang w:val="en-CA"/>
        </w:rPr>
        <w:t>US $</w:t>
      </w:r>
      <w:r w:rsidRPr="005E2E96">
        <w:rPr>
          <w:lang w:val="en-CA"/>
        </w:rPr>
        <w:t>2,391</w:t>
      </w:r>
      <w:r w:rsidR="008D2FC3" w:rsidRPr="005E2E96">
        <w:rPr>
          <w:lang w:val="en-CA"/>
        </w:rPr>
        <w:t>,</w:t>
      </w:r>
      <w:r w:rsidRPr="005E2E96">
        <w:rPr>
          <w:lang w:val="en-CA"/>
        </w:rPr>
        <w:t xml:space="preserve"> </w:t>
      </w:r>
      <w:r w:rsidR="008D2FC3" w:rsidRPr="005E2E96">
        <w:rPr>
          <w:lang w:val="en-CA"/>
        </w:rPr>
        <w:t xml:space="preserve">plus agency support cost of </w:t>
      </w:r>
      <w:r w:rsidR="00687BDF" w:rsidRPr="005E2E96">
        <w:rPr>
          <w:lang w:val="en-CA"/>
        </w:rPr>
        <w:t>US $</w:t>
      </w:r>
      <w:r w:rsidR="008D2FC3" w:rsidRPr="005E2E96">
        <w:rPr>
          <w:lang w:val="en-CA"/>
        </w:rPr>
        <w:t xml:space="preserve">180 </w:t>
      </w:r>
      <w:r w:rsidRPr="005E2E96">
        <w:rPr>
          <w:lang w:val="en-CA"/>
        </w:rPr>
        <w:t xml:space="preserve">from the third tranche of </w:t>
      </w:r>
      <w:r w:rsidR="00687BDF" w:rsidRPr="005E2E96">
        <w:rPr>
          <w:lang w:val="en-CA"/>
        </w:rPr>
        <w:t>stage I</w:t>
      </w:r>
      <w:r w:rsidRPr="005E2E96">
        <w:rPr>
          <w:lang w:val="en-CA"/>
        </w:rPr>
        <w:t xml:space="preserve"> of the HPMP;</w:t>
      </w:r>
      <w:r w:rsidR="00966F49" w:rsidRPr="005E2E96">
        <w:rPr>
          <w:lang w:val="en-CA"/>
        </w:rPr>
        <w:t xml:space="preserve"> and</w:t>
      </w:r>
    </w:p>
    <w:p w14:paraId="5F4E7604" w14:textId="22FF6C9D" w:rsidR="000E0964" w:rsidRPr="005E2E96" w:rsidRDefault="000E0964" w:rsidP="009A3176">
      <w:pPr>
        <w:pStyle w:val="Heading2"/>
        <w:rPr>
          <w:lang w:val="en-CA"/>
        </w:rPr>
      </w:pPr>
      <w:r w:rsidRPr="005E2E96">
        <w:rPr>
          <w:lang w:val="en-CA"/>
        </w:rPr>
        <w:t>To request UNIDO to return, no later than the 85</w:t>
      </w:r>
      <w:r w:rsidRPr="005E2E96">
        <w:rPr>
          <w:vertAlign w:val="superscript"/>
          <w:lang w:val="en-CA"/>
        </w:rPr>
        <w:t>th</w:t>
      </w:r>
      <w:r w:rsidRPr="005E2E96">
        <w:rPr>
          <w:lang w:val="en-CA"/>
        </w:rPr>
        <w:t xml:space="preserve"> meeting, any remaining balances of funds approved for </w:t>
      </w:r>
      <w:r w:rsidR="00687BDF" w:rsidRPr="005E2E96">
        <w:rPr>
          <w:lang w:val="en-CA"/>
        </w:rPr>
        <w:t>stage I</w:t>
      </w:r>
      <w:r w:rsidRPr="005E2E96">
        <w:rPr>
          <w:lang w:val="en-CA"/>
        </w:rPr>
        <w:t xml:space="preserve"> of the HPMP for the Islamic Republic of Iran.</w:t>
      </w:r>
    </w:p>
    <w:p w14:paraId="3D465392" w14:textId="77777777" w:rsidR="000E0964" w:rsidRPr="005E2E96" w:rsidRDefault="000E0964" w:rsidP="009A3176">
      <w:pPr>
        <w:jc w:val="left"/>
        <w:rPr>
          <w:b/>
          <w:sz w:val="20"/>
          <w:szCs w:val="20"/>
          <w:lang w:val="en-CA"/>
        </w:rPr>
      </w:pPr>
      <w:r w:rsidRPr="005E2E96">
        <w:rPr>
          <w:b/>
          <w:sz w:val="20"/>
          <w:szCs w:val="20"/>
          <w:lang w:val="en-CA"/>
        </w:rPr>
        <w:br w:type="page"/>
      </w:r>
    </w:p>
    <w:p w14:paraId="4E00CDA6" w14:textId="77777777" w:rsidR="000E0964" w:rsidRPr="005E2E96" w:rsidRDefault="000E0964" w:rsidP="009A3176">
      <w:pPr>
        <w:jc w:val="center"/>
        <w:rPr>
          <w:b/>
          <w:sz w:val="20"/>
          <w:szCs w:val="20"/>
          <w:lang w:val="en-CA"/>
        </w:rPr>
      </w:pPr>
      <w:r w:rsidRPr="005E2E96">
        <w:rPr>
          <w:b/>
          <w:sz w:val="20"/>
          <w:szCs w:val="20"/>
          <w:lang w:val="en-CA"/>
        </w:rPr>
        <w:lastRenderedPageBreak/>
        <w:t>PROJECT EVALUATION SHEET – MULTI-YEAR PROJECTS</w:t>
      </w:r>
    </w:p>
    <w:p w14:paraId="0FDE2955" w14:textId="77777777" w:rsidR="000E0964" w:rsidRPr="005E2E96" w:rsidRDefault="000E0964" w:rsidP="009A3176">
      <w:pPr>
        <w:spacing w:after="80"/>
        <w:jc w:val="center"/>
        <w:rPr>
          <w:sz w:val="20"/>
          <w:szCs w:val="20"/>
        </w:rPr>
      </w:pPr>
      <w:r w:rsidRPr="005E2E96">
        <w:rPr>
          <w:b/>
          <w:sz w:val="20"/>
          <w:szCs w:val="20"/>
        </w:rPr>
        <w:t>Iran (Islamic Republic of)</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28" w:type="dxa"/>
          <w:right w:w="28" w:type="dxa"/>
        </w:tblCellMar>
        <w:tblLook w:val="04A0" w:firstRow="1" w:lastRow="0" w:firstColumn="1" w:lastColumn="0" w:noHBand="0" w:noVBand="1"/>
      </w:tblPr>
      <w:tblGrid>
        <w:gridCol w:w="2405"/>
        <w:gridCol w:w="3544"/>
        <w:gridCol w:w="2126"/>
        <w:gridCol w:w="1925"/>
      </w:tblGrid>
      <w:tr w:rsidR="000E0964" w:rsidRPr="005E2E96" w14:paraId="57723D84" w14:textId="77777777" w:rsidTr="000E0964">
        <w:trPr>
          <w:trHeight w:val="115"/>
        </w:trPr>
        <w:tc>
          <w:tcPr>
            <w:tcW w:w="2405" w:type="dxa"/>
            <w:shd w:val="clear" w:color="auto" w:fill="auto"/>
          </w:tcPr>
          <w:p w14:paraId="58E4550E" w14:textId="77777777" w:rsidR="000E0964" w:rsidRPr="005E2E96" w:rsidRDefault="000E0964" w:rsidP="009A3176">
            <w:pPr>
              <w:jc w:val="left"/>
              <w:rPr>
                <w:b/>
                <w:sz w:val="18"/>
              </w:rPr>
            </w:pPr>
            <w:r w:rsidRPr="005E2E96">
              <w:rPr>
                <w:b/>
                <w:sz w:val="18"/>
              </w:rPr>
              <w:t>(I) PROJECT TITLE</w:t>
            </w:r>
          </w:p>
        </w:tc>
        <w:tc>
          <w:tcPr>
            <w:tcW w:w="3544" w:type="dxa"/>
            <w:shd w:val="clear" w:color="auto" w:fill="auto"/>
          </w:tcPr>
          <w:p w14:paraId="4A9FD63F" w14:textId="77777777" w:rsidR="000E0964" w:rsidRPr="005E2E96" w:rsidRDefault="000E0964" w:rsidP="009A3176">
            <w:pPr>
              <w:spacing w:after="80"/>
              <w:jc w:val="center"/>
              <w:rPr>
                <w:b/>
                <w:sz w:val="18"/>
              </w:rPr>
            </w:pPr>
            <w:r w:rsidRPr="005E2E96">
              <w:rPr>
                <w:b/>
                <w:sz w:val="18"/>
              </w:rPr>
              <w:t>AGENCY</w:t>
            </w:r>
          </w:p>
        </w:tc>
        <w:tc>
          <w:tcPr>
            <w:tcW w:w="2126" w:type="dxa"/>
            <w:shd w:val="clear" w:color="auto" w:fill="auto"/>
          </w:tcPr>
          <w:p w14:paraId="70EB18C2" w14:textId="77777777" w:rsidR="000E0964" w:rsidRPr="005E2E96" w:rsidRDefault="000E0964" w:rsidP="009A3176">
            <w:pPr>
              <w:spacing w:after="80"/>
              <w:jc w:val="center"/>
              <w:rPr>
                <w:b/>
                <w:sz w:val="18"/>
              </w:rPr>
            </w:pPr>
            <w:r w:rsidRPr="005E2E96">
              <w:rPr>
                <w:b/>
                <w:sz w:val="18"/>
              </w:rPr>
              <w:t>MEETING APPROVED</w:t>
            </w:r>
          </w:p>
        </w:tc>
        <w:tc>
          <w:tcPr>
            <w:tcW w:w="1925" w:type="dxa"/>
            <w:shd w:val="clear" w:color="auto" w:fill="auto"/>
          </w:tcPr>
          <w:p w14:paraId="0621BD92" w14:textId="77777777" w:rsidR="000E0964" w:rsidRPr="005E2E96" w:rsidRDefault="000E0964" w:rsidP="009A3176">
            <w:pPr>
              <w:spacing w:after="80"/>
              <w:jc w:val="center"/>
              <w:rPr>
                <w:b/>
                <w:sz w:val="18"/>
              </w:rPr>
            </w:pPr>
            <w:r w:rsidRPr="005E2E96">
              <w:rPr>
                <w:b/>
                <w:sz w:val="18"/>
              </w:rPr>
              <w:t>CONTROL MEASURE</w:t>
            </w:r>
          </w:p>
        </w:tc>
      </w:tr>
      <w:tr w:rsidR="000E0964" w:rsidRPr="005E2E96" w14:paraId="0B03D836" w14:textId="77777777" w:rsidTr="000E0964">
        <w:trPr>
          <w:trHeight w:val="105"/>
        </w:trPr>
        <w:tc>
          <w:tcPr>
            <w:tcW w:w="2405" w:type="dxa"/>
            <w:shd w:val="clear" w:color="auto" w:fill="auto"/>
          </w:tcPr>
          <w:p w14:paraId="54AEC2A0" w14:textId="792D5142" w:rsidR="000E0964" w:rsidRPr="005E2E96" w:rsidRDefault="000E0964" w:rsidP="009A3176">
            <w:pPr>
              <w:spacing w:after="80"/>
              <w:rPr>
                <w:sz w:val="18"/>
              </w:rPr>
            </w:pPr>
            <w:r w:rsidRPr="005E2E96">
              <w:rPr>
                <w:sz w:val="18"/>
              </w:rPr>
              <w:t>HCFC Phase-Out Plan (</w:t>
            </w:r>
            <w:r w:rsidR="00687BDF" w:rsidRPr="005E2E96">
              <w:rPr>
                <w:sz w:val="18"/>
              </w:rPr>
              <w:t>Stage I</w:t>
            </w:r>
            <w:r w:rsidRPr="005E2E96">
              <w:rPr>
                <w:sz w:val="18"/>
              </w:rPr>
              <w:t>I)</w:t>
            </w:r>
          </w:p>
        </w:tc>
        <w:tc>
          <w:tcPr>
            <w:tcW w:w="3544" w:type="dxa"/>
            <w:shd w:val="clear" w:color="auto" w:fill="auto"/>
          </w:tcPr>
          <w:p w14:paraId="4F6D4D84" w14:textId="77777777" w:rsidR="000E0964" w:rsidRPr="005E2E96" w:rsidRDefault="000E0964" w:rsidP="009A3176">
            <w:pPr>
              <w:spacing w:after="80"/>
              <w:jc w:val="center"/>
              <w:rPr>
                <w:sz w:val="18"/>
              </w:rPr>
            </w:pPr>
            <w:r w:rsidRPr="005E2E96">
              <w:rPr>
                <w:sz w:val="18"/>
              </w:rPr>
              <w:t>UNDP (lead), UNEP, UNIDO, Germany, Italy</w:t>
            </w:r>
          </w:p>
        </w:tc>
        <w:tc>
          <w:tcPr>
            <w:tcW w:w="2126" w:type="dxa"/>
            <w:shd w:val="clear" w:color="auto" w:fill="auto"/>
          </w:tcPr>
          <w:p w14:paraId="2F438F2E" w14:textId="77777777" w:rsidR="000E0964" w:rsidRPr="005E2E96" w:rsidRDefault="000E0964" w:rsidP="009A3176">
            <w:pPr>
              <w:spacing w:after="80"/>
              <w:jc w:val="center"/>
              <w:rPr>
                <w:sz w:val="18"/>
              </w:rPr>
            </w:pPr>
            <w:r w:rsidRPr="005E2E96">
              <w:rPr>
                <w:sz w:val="18"/>
              </w:rPr>
              <w:t>77</w:t>
            </w:r>
            <w:r w:rsidRPr="005E2E96">
              <w:rPr>
                <w:sz w:val="18"/>
                <w:vertAlign w:val="superscript"/>
              </w:rPr>
              <w:t>th</w:t>
            </w:r>
          </w:p>
        </w:tc>
        <w:tc>
          <w:tcPr>
            <w:tcW w:w="1925" w:type="dxa"/>
            <w:shd w:val="clear" w:color="auto" w:fill="auto"/>
          </w:tcPr>
          <w:p w14:paraId="4DD8A377" w14:textId="77777777" w:rsidR="000E0964" w:rsidRPr="005E2E96" w:rsidRDefault="000E0964" w:rsidP="009A3176">
            <w:pPr>
              <w:spacing w:after="80"/>
              <w:jc w:val="center"/>
              <w:rPr>
                <w:sz w:val="18"/>
              </w:rPr>
            </w:pPr>
            <w:r w:rsidRPr="005E2E96">
              <w:rPr>
                <w:sz w:val="18"/>
              </w:rPr>
              <w:t>75% by 2023</w:t>
            </w:r>
          </w:p>
        </w:tc>
      </w:tr>
    </w:tbl>
    <w:p w14:paraId="2D8A4A23" w14:textId="77777777" w:rsidR="000E0964" w:rsidRPr="005E2E96" w:rsidRDefault="000E0964" w:rsidP="009A3176">
      <w:pPr>
        <w:spacing w:after="60"/>
        <w:contextualSpacing/>
        <w:rPr>
          <w:sz w:val="6"/>
          <w:szCs w:val="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0E0964" w:rsidRPr="005E2E96" w14:paraId="0D42D1FB" w14:textId="77777777" w:rsidTr="000E0964">
        <w:trPr>
          <w:trHeight w:val="240"/>
        </w:trPr>
        <w:tc>
          <w:tcPr>
            <w:tcW w:w="5200" w:type="dxa"/>
            <w:shd w:val="clear" w:color="auto" w:fill="auto"/>
          </w:tcPr>
          <w:p w14:paraId="2D4AF53C" w14:textId="77777777" w:rsidR="000E0964" w:rsidRPr="005E2E96" w:rsidRDefault="000E0964" w:rsidP="009A3176">
            <w:pPr>
              <w:spacing w:after="60"/>
              <w:jc w:val="left"/>
              <w:rPr>
                <w:b/>
                <w:sz w:val="18"/>
              </w:rPr>
            </w:pPr>
            <w:r w:rsidRPr="005E2E96">
              <w:rPr>
                <w:b/>
                <w:sz w:val="18"/>
              </w:rPr>
              <w:t>(II) LATEST ARTICLE 7 DATA (Annex C Group l)</w:t>
            </w:r>
          </w:p>
        </w:tc>
        <w:tc>
          <w:tcPr>
            <w:tcW w:w="2400" w:type="dxa"/>
            <w:shd w:val="clear" w:color="auto" w:fill="auto"/>
          </w:tcPr>
          <w:p w14:paraId="2FAED471" w14:textId="77777777" w:rsidR="000E0964" w:rsidRPr="005E2E96" w:rsidRDefault="000E0964" w:rsidP="009A3176">
            <w:pPr>
              <w:spacing w:after="60"/>
              <w:rPr>
                <w:sz w:val="18"/>
              </w:rPr>
            </w:pPr>
            <w:r w:rsidRPr="005E2E96">
              <w:rPr>
                <w:sz w:val="18"/>
              </w:rPr>
              <w:t>Year: 2018</w:t>
            </w:r>
          </w:p>
        </w:tc>
        <w:tc>
          <w:tcPr>
            <w:tcW w:w="2400" w:type="dxa"/>
            <w:shd w:val="clear" w:color="auto" w:fill="auto"/>
          </w:tcPr>
          <w:p w14:paraId="6118BE21" w14:textId="77777777" w:rsidR="000E0964" w:rsidRPr="005E2E96" w:rsidRDefault="000E0964" w:rsidP="009A3176">
            <w:pPr>
              <w:spacing w:after="60"/>
              <w:jc w:val="right"/>
              <w:rPr>
                <w:sz w:val="18"/>
              </w:rPr>
            </w:pPr>
            <w:r w:rsidRPr="005E2E96">
              <w:rPr>
                <w:sz w:val="18"/>
              </w:rPr>
              <w:t>162.96 (ODP tonnes)</w:t>
            </w:r>
          </w:p>
        </w:tc>
      </w:tr>
    </w:tbl>
    <w:p w14:paraId="577E436D" w14:textId="77777777" w:rsidR="000E0964" w:rsidRPr="005E2E96" w:rsidRDefault="000E0964" w:rsidP="009A3176">
      <w:pPr>
        <w:spacing w:after="60"/>
        <w:contextualSpacing/>
        <w:rPr>
          <w:sz w:val="6"/>
          <w:szCs w:val="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0E0964" w:rsidRPr="005E2E96" w14:paraId="680F9783" w14:textId="77777777" w:rsidTr="000E0964">
        <w:trPr>
          <w:trHeight w:val="240"/>
        </w:trPr>
        <w:tc>
          <w:tcPr>
            <w:tcW w:w="0" w:type="auto"/>
            <w:gridSpan w:val="8"/>
            <w:shd w:val="clear" w:color="auto" w:fill="auto"/>
          </w:tcPr>
          <w:p w14:paraId="21EDA41C" w14:textId="77777777" w:rsidR="000E0964" w:rsidRPr="005E2E96" w:rsidRDefault="000E0964" w:rsidP="009A3176">
            <w:pPr>
              <w:spacing w:after="60"/>
              <w:jc w:val="left"/>
              <w:rPr>
                <w:b/>
                <w:sz w:val="18"/>
              </w:rPr>
            </w:pPr>
            <w:r w:rsidRPr="005E2E96">
              <w:rPr>
                <w:b/>
                <w:sz w:val="18"/>
              </w:rPr>
              <w:t>(III) LATEST COUNTRY PROGRAMME SECTORAL DATA (ODP tonnes)</w:t>
            </w:r>
          </w:p>
        </w:tc>
        <w:tc>
          <w:tcPr>
            <w:tcW w:w="0" w:type="auto"/>
            <w:gridSpan w:val="2"/>
            <w:shd w:val="clear" w:color="auto" w:fill="auto"/>
          </w:tcPr>
          <w:p w14:paraId="34BD9526" w14:textId="77777777" w:rsidR="000E0964" w:rsidRPr="005E2E96" w:rsidRDefault="000E0964" w:rsidP="009A3176">
            <w:pPr>
              <w:spacing w:after="60"/>
              <w:jc w:val="right"/>
              <w:rPr>
                <w:b/>
                <w:sz w:val="18"/>
              </w:rPr>
            </w:pPr>
            <w:r w:rsidRPr="005E2E96">
              <w:rPr>
                <w:b/>
                <w:sz w:val="18"/>
              </w:rPr>
              <w:t>Year: 2018</w:t>
            </w:r>
          </w:p>
        </w:tc>
      </w:tr>
      <w:tr w:rsidR="000E0964" w:rsidRPr="005E2E96" w14:paraId="2BDCCB6F" w14:textId="77777777" w:rsidTr="000E0964">
        <w:trPr>
          <w:trHeight w:val="240"/>
        </w:trPr>
        <w:tc>
          <w:tcPr>
            <w:tcW w:w="0" w:type="auto"/>
            <w:shd w:val="clear" w:color="auto" w:fill="auto"/>
          </w:tcPr>
          <w:p w14:paraId="39346C15" w14:textId="77777777" w:rsidR="000E0964" w:rsidRPr="005E2E96" w:rsidRDefault="000E0964" w:rsidP="009A3176">
            <w:pPr>
              <w:spacing w:after="60"/>
              <w:jc w:val="center"/>
              <w:rPr>
                <w:sz w:val="18"/>
              </w:rPr>
            </w:pPr>
            <w:r w:rsidRPr="005E2E96">
              <w:rPr>
                <w:sz w:val="18"/>
              </w:rPr>
              <w:t>Chemical</w:t>
            </w:r>
          </w:p>
        </w:tc>
        <w:tc>
          <w:tcPr>
            <w:tcW w:w="0" w:type="auto"/>
            <w:shd w:val="clear" w:color="auto" w:fill="auto"/>
          </w:tcPr>
          <w:p w14:paraId="2B234642" w14:textId="77777777" w:rsidR="000E0964" w:rsidRPr="005E2E96" w:rsidRDefault="000E0964" w:rsidP="009A3176">
            <w:pPr>
              <w:spacing w:after="60"/>
              <w:jc w:val="center"/>
              <w:rPr>
                <w:sz w:val="18"/>
              </w:rPr>
            </w:pPr>
            <w:r w:rsidRPr="005E2E96">
              <w:rPr>
                <w:sz w:val="18"/>
              </w:rPr>
              <w:t>Aerosol</w:t>
            </w:r>
          </w:p>
        </w:tc>
        <w:tc>
          <w:tcPr>
            <w:tcW w:w="0" w:type="auto"/>
            <w:shd w:val="clear" w:color="auto" w:fill="auto"/>
          </w:tcPr>
          <w:p w14:paraId="034B29A6" w14:textId="77777777" w:rsidR="000E0964" w:rsidRPr="005E2E96" w:rsidRDefault="000E0964" w:rsidP="009A3176">
            <w:pPr>
              <w:spacing w:after="60"/>
              <w:jc w:val="center"/>
              <w:rPr>
                <w:sz w:val="18"/>
              </w:rPr>
            </w:pPr>
            <w:r w:rsidRPr="005E2E96">
              <w:rPr>
                <w:sz w:val="18"/>
              </w:rPr>
              <w:t>Foam</w:t>
            </w:r>
          </w:p>
        </w:tc>
        <w:tc>
          <w:tcPr>
            <w:tcW w:w="0" w:type="auto"/>
            <w:shd w:val="clear" w:color="auto" w:fill="auto"/>
          </w:tcPr>
          <w:p w14:paraId="75896658" w14:textId="77777777" w:rsidR="000E0964" w:rsidRPr="005E2E96" w:rsidRDefault="000E0964" w:rsidP="009A3176">
            <w:pPr>
              <w:spacing w:after="60"/>
              <w:jc w:val="center"/>
              <w:rPr>
                <w:sz w:val="18"/>
              </w:rPr>
            </w:pPr>
            <w:r w:rsidRPr="005E2E96">
              <w:rPr>
                <w:sz w:val="18"/>
              </w:rPr>
              <w:t>Fire fighting</w:t>
            </w:r>
          </w:p>
        </w:tc>
        <w:tc>
          <w:tcPr>
            <w:tcW w:w="0" w:type="auto"/>
            <w:gridSpan w:val="2"/>
            <w:shd w:val="clear" w:color="auto" w:fill="auto"/>
          </w:tcPr>
          <w:p w14:paraId="33284225" w14:textId="77777777" w:rsidR="000E0964" w:rsidRPr="005E2E96" w:rsidRDefault="000E0964" w:rsidP="009A3176">
            <w:pPr>
              <w:spacing w:after="60"/>
              <w:jc w:val="center"/>
              <w:rPr>
                <w:sz w:val="18"/>
              </w:rPr>
            </w:pPr>
            <w:r w:rsidRPr="005E2E96">
              <w:rPr>
                <w:sz w:val="18"/>
              </w:rPr>
              <w:t>Refrigeration</w:t>
            </w:r>
          </w:p>
        </w:tc>
        <w:tc>
          <w:tcPr>
            <w:tcW w:w="0" w:type="auto"/>
            <w:shd w:val="clear" w:color="auto" w:fill="auto"/>
          </w:tcPr>
          <w:p w14:paraId="2A7E5FE2" w14:textId="77777777" w:rsidR="000E0964" w:rsidRPr="005E2E96" w:rsidRDefault="000E0964" w:rsidP="009A3176">
            <w:pPr>
              <w:spacing w:after="60"/>
              <w:jc w:val="center"/>
              <w:rPr>
                <w:sz w:val="18"/>
              </w:rPr>
            </w:pPr>
            <w:r w:rsidRPr="005E2E96">
              <w:rPr>
                <w:sz w:val="18"/>
              </w:rPr>
              <w:t>Solvent</w:t>
            </w:r>
          </w:p>
        </w:tc>
        <w:tc>
          <w:tcPr>
            <w:tcW w:w="0" w:type="auto"/>
            <w:shd w:val="clear" w:color="auto" w:fill="auto"/>
          </w:tcPr>
          <w:p w14:paraId="4D311DCB" w14:textId="77777777" w:rsidR="000E0964" w:rsidRPr="005E2E96" w:rsidRDefault="000E0964" w:rsidP="009A3176">
            <w:pPr>
              <w:spacing w:after="60"/>
              <w:jc w:val="center"/>
              <w:rPr>
                <w:sz w:val="18"/>
              </w:rPr>
            </w:pPr>
            <w:r w:rsidRPr="005E2E96">
              <w:rPr>
                <w:sz w:val="18"/>
              </w:rPr>
              <w:t>Process agent</w:t>
            </w:r>
          </w:p>
        </w:tc>
        <w:tc>
          <w:tcPr>
            <w:tcW w:w="0" w:type="auto"/>
            <w:shd w:val="clear" w:color="auto" w:fill="auto"/>
          </w:tcPr>
          <w:p w14:paraId="7050D387" w14:textId="77777777" w:rsidR="000E0964" w:rsidRPr="005E2E96" w:rsidRDefault="000E0964" w:rsidP="009A3176">
            <w:pPr>
              <w:spacing w:after="60"/>
              <w:jc w:val="center"/>
              <w:rPr>
                <w:sz w:val="18"/>
              </w:rPr>
            </w:pPr>
            <w:r w:rsidRPr="005E2E96">
              <w:rPr>
                <w:sz w:val="18"/>
              </w:rPr>
              <w:t>Lab use</w:t>
            </w:r>
          </w:p>
        </w:tc>
        <w:tc>
          <w:tcPr>
            <w:tcW w:w="0" w:type="auto"/>
            <w:shd w:val="clear" w:color="auto" w:fill="auto"/>
          </w:tcPr>
          <w:p w14:paraId="67CFD9A0" w14:textId="77777777" w:rsidR="000E0964" w:rsidRPr="005E2E96" w:rsidRDefault="000E0964" w:rsidP="009A3176">
            <w:pPr>
              <w:spacing w:after="60"/>
              <w:jc w:val="center"/>
              <w:rPr>
                <w:sz w:val="18"/>
              </w:rPr>
            </w:pPr>
            <w:r w:rsidRPr="005E2E96">
              <w:rPr>
                <w:sz w:val="18"/>
              </w:rPr>
              <w:t>Total sector consumption</w:t>
            </w:r>
          </w:p>
        </w:tc>
      </w:tr>
      <w:tr w:rsidR="000E0964" w:rsidRPr="005E2E96" w14:paraId="2B5BFEA3" w14:textId="77777777" w:rsidTr="000E0964">
        <w:trPr>
          <w:trHeight w:val="240"/>
        </w:trPr>
        <w:tc>
          <w:tcPr>
            <w:tcW w:w="0" w:type="auto"/>
            <w:gridSpan w:val="4"/>
            <w:shd w:val="clear" w:color="auto" w:fill="auto"/>
          </w:tcPr>
          <w:p w14:paraId="507521E9" w14:textId="77777777" w:rsidR="000E0964" w:rsidRPr="005E2E96" w:rsidRDefault="000E0964" w:rsidP="009A3176">
            <w:pPr>
              <w:spacing w:after="60"/>
              <w:jc w:val="center"/>
              <w:rPr>
                <w:sz w:val="18"/>
              </w:rPr>
            </w:pPr>
          </w:p>
        </w:tc>
        <w:tc>
          <w:tcPr>
            <w:tcW w:w="0" w:type="auto"/>
            <w:shd w:val="clear" w:color="auto" w:fill="auto"/>
          </w:tcPr>
          <w:p w14:paraId="38A2D783" w14:textId="77777777" w:rsidR="000E0964" w:rsidRPr="005E2E96" w:rsidRDefault="000E0964" w:rsidP="009A3176">
            <w:pPr>
              <w:spacing w:after="60"/>
              <w:jc w:val="center"/>
              <w:rPr>
                <w:sz w:val="18"/>
              </w:rPr>
            </w:pPr>
            <w:r w:rsidRPr="005E2E96">
              <w:rPr>
                <w:sz w:val="18"/>
              </w:rPr>
              <w:t>Manufacturing</w:t>
            </w:r>
          </w:p>
        </w:tc>
        <w:tc>
          <w:tcPr>
            <w:tcW w:w="0" w:type="auto"/>
            <w:shd w:val="clear" w:color="auto" w:fill="auto"/>
          </w:tcPr>
          <w:p w14:paraId="5A329DB2" w14:textId="77777777" w:rsidR="000E0964" w:rsidRPr="005E2E96" w:rsidRDefault="000E0964" w:rsidP="009A3176">
            <w:pPr>
              <w:spacing w:after="60"/>
              <w:jc w:val="center"/>
              <w:rPr>
                <w:sz w:val="18"/>
              </w:rPr>
            </w:pPr>
            <w:r w:rsidRPr="005E2E96">
              <w:rPr>
                <w:sz w:val="18"/>
              </w:rPr>
              <w:t>Servicing</w:t>
            </w:r>
          </w:p>
        </w:tc>
        <w:tc>
          <w:tcPr>
            <w:tcW w:w="0" w:type="auto"/>
            <w:gridSpan w:val="4"/>
            <w:shd w:val="clear" w:color="auto" w:fill="auto"/>
          </w:tcPr>
          <w:p w14:paraId="62D89F16" w14:textId="77777777" w:rsidR="000E0964" w:rsidRPr="005E2E96" w:rsidRDefault="000E0964" w:rsidP="009A3176">
            <w:pPr>
              <w:spacing w:after="60"/>
              <w:jc w:val="center"/>
              <w:rPr>
                <w:sz w:val="18"/>
              </w:rPr>
            </w:pPr>
          </w:p>
        </w:tc>
      </w:tr>
      <w:tr w:rsidR="000E0964" w:rsidRPr="005E2E96" w14:paraId="33D92843" w14:textId="77777777" w:rsidTr="000E0964">
        <w:trPr>
          <w:trHeight w:val="240"/>
        </w:trPr>
        <w:tc>
          <w:tcPr>
            <w:tcW w:w="1200" w:type="dxa"/>
            <w:shd w:val="clear" w:color="auto" w:fill="auto"/>
          </w:tcPr>
          <w:p w14:paraId="03447F6C" w14:textId="77777777" w:rsidR="000E0964" w:rsidRPr="005E2E96" w:rsidRDefault="000E0964" w:rsidP="009A3176">
            <w:pPr>
              <w:spacing w:after="60"/>
              <w:jc w:val="left"/>
              <w:rPr>
                <w:sz w:val="18"/>
              </w:rPr>
            </w:pPr>
            <w:r w:rsidRPr="005E2E96">
              <w:rPr>
                <w:sz w:val="18"/>
              </w:rPr>
              <w:t>HCFC-22</w:t>
            </w:r>
          </w:p>
        </w:tc>
        <w:tc>
          <w:tcPr>
            <w:tcW w:w="0" w:type="auto"/>
            <w:shd w:val="clear" w:color="auto" w:fill="auto"/>
          </w:tcPr>
          <w:p w14:paraId="75D8FB4B" w14:textId="77777777" w:rsidR="000E0964" w:rsidRPr="005E2E96" w:rsidRDefault="000E0964" w:rsidP="009A3176">
            <w:pPr>
              <w:spacing w:after="60"/>
              <w:jc w:val="right"/>
              <w:rPr>
                <w:sz w:val="18"/>
              </w:rPr>
            </w:pPr>
          </w:p>
        </w:tc>
        <w:tc>
          <w:tcPr>
            <w:tcW w:w="0" w:type="auto"/>
            <w:shd w:val="clear" w:color="auto" w:fill="auto"/>
          </w:tcPr>
          <w:p w14:paraId="202D5AC5" w14:textId="77777777" w:rsidR="000E0964" w:rsidRPr="005E2E96" w:rsidRDefault="000E0964" w:rsidP="009A3176">
            <w:pPr>
              <w:spacing w:after="60"/>
              <w:jc w:val="right"/>
              <w:rPr>
                <w:sz w:val="18"/>
              </w:rPr>
            </w:pPr>
            <w:r w:rsidRPr="005E2E96">
              <w:rPr>
                <w:sz w:val="18"/>
              </w:rPr>
              <w:t>1.59</w:t>
            </w:r>
          </w:p>
        </w:tc>
        <w:tc>
          <w:tcPr>
            <w:tcW w:w="0" w:type="auto"/>
            <w:shd w:val="clear" w:color="auto" w:fill="auto"/>
          </w:tcPr>
          <w:p w14:paraId="06FFFEFA" w14:textId="77777777" w:rsidR="000E0964" w:rsidRPr="005E2E96" w:rsidRDefault="000E0964" w:rsidP="009A3176">
            <w:pPr>
              <w:spacing w:after="60"/>
              <w:jc w:val="right"/>
              <w:rPr>
                <w:sz w:val="18"/>
              </w:rPr>
            </w:pPr>
          </w:p>
        </w:tc>
        <w:tc>
          <w:tcPr>
            <w:tcW w:w="0" w:type="auto"/>
            <w:shd w:val="clear" w:color="auto" w:fill="auto"/>
          </w:tcPr>
          <w:p w14:paraId="25E57445" w14:textId="77777777" w:rsidR="000E0964" w:rsidRPr="005E2E96" w:rsidRDefault="000E0964" w:rsidP="009A3176">
            <w:pPr>
              <w:spacing w:after="60"/>
              <w:jc w:val="right"/>
              <w:rPr>
                <w:sz w:val="18"/>
              </w:rPr>
            </w:pPr>
            <w:r w:rsidRPr="005E2E96">
              <w:rPr>
                <w:sz w:val="18"/>
              </w:rPr>
              <w:t>38.04</w:t>
            </w:r>
          </w:p>
        </w:tc>
        <w:tc>
          <w:tcPr>
            <w:tcW w:w="0" w:type="auto"/>
            <w:shd w:val="clear" w:color="auto" w:fill="auto"/>
          </w:tcPr>
          <w:p w14:paraId="6EAA3E6D" w14:textId="77777777" w:rsidR="000E0964" w:rsidRPr="005E2E96" w:rsidRDefault="000E0964" w:rsidP="009A3176">
            <w:pPr>
              <w:spacing w:after="60"/>
              <w:jc w:val="right"/>
              <w:rPr>
                <w:sz w:val="18"/>
              </w:rPr>
            </w:pPr>
            <w:r w:rsidRPr="005E2E96">
              <w:rPr>
                <w:sz w:val="18"/>
              </w:rPr>
              <w:t>59.95</w:t>
            </w:r>
          </w:p>
        </w:tc>
        <w:tc>
          <w:tcPr>
            <w:tcW w:w="0" w:type="auto"/>
            <w:shd w:val="clear" w:color="auto" w:fill="auto"/>
          </w:tcPr>
          <w:p w14:paraId="1429C0C1" w14:textId="77777777" w:rsidR="000E0964" w:rsidRPr="005E2E96" w:rsidRDefault="000E0964" w:rsidP="009A3176">
            <w:pPr>
              <w:spacing w:after="60"/>
              <w:jc w:val="right"/>
              <w:rPr>
                <w:sz w:val="18"/>
              </w:rPr>
            </w:pPr>
          </w:p>
        </w:tc>
        <w:tc>
          <w:tcPr>
            <w:tcW w:w="0" w:type="auto"/>
            <w:shd w:val="clear" w:color="auto" w:fill="auto"/>
          </w:tcPr>
          <w:p w14:paraId="20D467FC" w14:textId="77777777" w:rsidR="000E0964" w:rsidRPr="005E2E96" w:rsidRDefault="000E0964" w:rsidP="009A3176">
            <w:pPr>
              <w:spacing w:after="60"/>
              <w:jc w:val="right"/>
              <w:rPr>
                <w:sz w:val="18"/>
              </w:rPr>
            </w:pPr>
          </w:p>
        </w:tc>
        <w:tc>
          <w:tcPr>
            <w:tcW w:w="0" w:type="auto"/>
            <w:shd w:val="clear" w:color="auto" w:fill="auto"/>
          </w:tcPr>
          <w:p w14:paraId="0FA5E70C" w14:textId="77777777" w:rsidR="000E0964" w:rsidRPr="005E2E96" w:rsidRDefault="000E0964" w:rsidP="009A3176">
            <w:pPr>
              <w:spacing w:after="60"/>
              <w:jc w:val="right"/>
              <w:rPr>
                <w:sz w:val="18"/>
              </w:rPr>
            </w:pPr>
          </w:p>
        </w:tc>
        <w:tc>
          <w:tcPr>
            <w:tcW w:w="0" w:type="auto"/>
            <w:shd w:val="clear" w:color="auto" w:fill="auto"/>
          </w:tcPr>
          <w:p w14:paraId="6A9D692F" w14:textId="77777777" w:rsidR="000E0964" w:rsidRPr="005E2E96" w:rsidRDefault="000E0964" w:rsidP="009A3176">
            <w:pPr>
              <w:spacing w:after="60"/>
              <w:jc w:val="right"/>
              <w:rPr>
                <w:sz w:val="18"/>
              </w:rPr>
            </w:pPr>
            <w:r w:rsidRPr="005E2E96">
              <w:rPr>
                <w:sz w:val="18"/>
              </w:rPr>
              <w:t>99.59</w:t>
            </w:r>
          </w:p>
        </w:tc>
      </w:tr>
      <w:tr w:rsidR="000E0964" w:rsidRPr="005E2E96" w14:paraId="2176745A" w14:textId="77777777" w:rsidTr="000E0964">
        <w:trPr>
          <w:trHeight w:val="180"/>
        </w:trPr>
        <w:tc>
          <w:tcPr>
            <w:tcW w:w="1200" w:type="dxa"/>
            <w:shd w:val="clear" w:color="auto" w:fill="auto"/>
          </w:tcPr>
          <w:p w14:paraId="2CEA534E" w14:textId="77777777" w:rsidR="000E0964" w:rsidRPr="005E2E96" w:rsidRDefault="000E0964" w:rsidP="009A3176">
            <w:pPr>
              <w:spacing w:after="60"/>
              <w:jc w:val="left"/>
              <w:rPr>
                <w:sz w:val="18"/>
              </w:rPr>
            </w:pPr>
            <w:r w:rsidRPr="005E2E96">
              <w:rPr>
                <w:sz w:val="18"/>
              </w:rPr>
              <w:t>HCFC-141b</w:t>
            </w:r>
          </w:p>
        </w:tc>
        <w:tc>
          <w:tcPr>
            <w:tcW w:w="0" w:type="auto"/>
            <w:shd w:val="clear" w:color="auto" w:fill="auto"/>
          </w:tcPr>
          <w:p w14:paraId="348A9D52" w14:textId="77777777" w:rsidR="000E0964" w:rsidRPr="005E2E96" w:rsidRDefault="000E0964" w:rsidP="009A3176">
            <w:pPr>
              <w:spacing w:after="60"/>
              <w:jc w:val="right"/>
              <w:rPr>
                <w:sz w:val="18"/>
              </w:rPr>
            </w:pPr>
          </w:p>
        </w:tc>
        <w:tc>
          <w:tcPr>
            <w:tcW w:w="0" w:type="auto"/>
            <w:shd w:val="clear" w:color="auto" w:fill="auto"/>
          </w:tcPr>
          <w:p w14:paraId="44C21F4A" w14:textId="77777777" w:rsidR="000E0964" w:rsidRPr="005E2E96" w:rsidRDefault="000E0964" w:rsidP="009A3176">
            <w:pPr>
              <w:spacing w:after="60"/>
              <w:jc w:val="right"/>
              <w:rPr>
                <w:sz w:val="18"/>
              </w:rPr>
            </w:pPr>
            <w:r w:rsidRPr="005E2E96">
              <w:rPr>
                <w:sz w:val="18"/>
              </w:rPr>
              <w:t>11.83</w:t>
            </w:r>
          </w:p>
        </w:tc>
        <w:tc>
          <w:tcPr>
            <w:tcW w:w="0" w:type="auto"/>
            <w:shd w:val="clear" w:color="auto" w:fill="auto"/>
          </w:tcPr>
          <w:p w14:paraId="6637452E" w14:textId="77777777" w:rsidR="000E0964" w:rsidRPr="005E2E96" w:rsidRDefault="000E0964" w:rsidP="009A3176">
            <w:pPr>
              <w:spacing w:after="60"/>
              <w:jc w:val="right"/>
              <w:rPr>
                <w:sz w:val="18"/>
              </w:rPr>
            </w:pPr>
          </w:p>
        </w:tc>
        <w:tc>
          <w:tcPr>
            <w:tcW w:w="0" w:type="auto"/>
            <w:shd w:val="clear" w:color="auto" w:fill="auto"/>
          </w:tcPr>
          <w:p w14:paraId="7165D3BE" w14:textId="77777777" w:rsidR="000E0964" w:rsidRPr="005E2E96" w:rsidRDefault="000E0964" w:rsidP="009A3176">
            <w:pPr>
              <w:spacing w:after="60"/>
              <w:jc w:val="right"/>
              <w:rPr>
                <w:sz w:val="18"/>
              </w:rPr>
            </w:pPr>
            <w:r w:rsidRPr="005E2E96">
              <w:rPr>
                <w:sz w:val="18"/>
              </w:rPr>
              <w:t>51.53</w:t>
            </w:r>
          </w:p>
        </w:tc>
        <w:tc>
          <w:tcPr>
            <w:tcW w:w="0" w:type="auto"/>
            <w:shd w:val="clear" w:color="auto" w:fill="auto"/>
          </w:tcPr>
          <w:p w14:paraId="6A791EA6" w14:textId="77777777" w:rsidR="000E0964" w:rsidRPr="005E2E96" w:rsidRDefault="000E0964" w:rsidP="009A3176">
            <w:pPr>
              <w:spacing w:after="60"/>
              <w:jc w:val="right"/>
              <w:rPr>
                <w:sz w:val="18"/>
              </w:rPr>
            </w:pPr>
          </w:p>
        </w:tc>
        <w:tc>
          <w:tcPr>
            <w:tcW w:w="0" w:type="auto"/>
            <w:shd w:val="clear" w:color="auto" w:fill="auto"/>
          </w:tcPr>
          <w:p w14:paraId="4399C59C" w14:textId="77777777" w:rsidR="000E0964" w:rsidRPr="005E2E96" w:rsidRDefault="000E0964" w:rsidP="009A3176">
            <w:pPr>
              <w:spacing w:after="60"/>
              <w:jc w:val="right"/>
              <w:rPr>
                <w:sz w:val="18"/>
              </w:rPr>
            </w:pPr>
          </w:p>
        </w:tc>
        <w:tc>
          <w:tcPr>
            <w:tcW w:w="0" w:type="auto"/>
            <w:shd w:val="clear" w:color="auto" w:fill="auto"/>
          </w:tcPr>
          <w:p w14:paraId="7D3EBC72" w14:textId="77777777" w:rsidR="000E0964" w:rsidRPr="005E2E96" w:rsidRDefault="000E0964" w:rsidP="009A3176">
            <w:pPr>
              <w:spacing w:after="60"/>
              <w:jc w:val="right"/>
              <w:rPr>
                <w:sz w:val="18"/>
              </w:rPr>
            </w:pPr>
          </w:p>
        </w:tc>
        <w:tc>
          <w:tcPr>
            <w:tcW w:w="0" w:type="auto"/>
            <w:shd w:val="clear" w:color="auto" w:fill="auto"/>
          </w:tcPr>
          <w:p w14:paraId="6AD06C41" w14:textId="77777777" w:rsidR="000E0964" w:rsidRPr="005E2E96" w:rsidRDefault="000E0964" w:rsidP="009A3176">
            <w:pPr>
              <w:spacing w:after="60"/>
              <w:jc w:val="right"/>
              <w:rPr>
                <w:sz w:val="18"/>
              </w:rPr>
            </w:pPr>
          </w:p>
        </w:tc>
        <w:tc>
          <w:tcPr>
            <w:tcW w:w="0" w:type="auto"/>
            <w:shd w:val="clear" w:color="auto" w:fill="auto"/>
          </w:tcPr>
          <w:p w14:paraId="58D5E9C8" w14:textId="77777777" w:rsidR="000E0964" w:rsidRPr="005E2E96" w:rsidRDefault="000E0964" w:rsidP="009A3176">
            <w:pPr>
              <w:spacing w:after="60"/>
              <w:jc w:val="right"/>
              <w:rPr>
                <w:sz w:val="18"/>
              </w:rPr>
            </w:pPr>
            <w:r w:rsidRPr="005E2E96">
              <w:rPr>
                <w:sz w:val="18"/>
              </w:rPr>
              <w:t>63.36</w:t>
            </w:r>
          </w:p>
        </w:tc>
      </w:tr>
    </w:tbl>
    <w:p w14:paraId="585A5A3D" w14:textId="77777777" w:rsidR="000E0964" w:rsidRPr="005E2E96" w:rsidRDefault="000E0964" w:rsidP="009A3176">
      <w:pPr>
        <w:spacing w:after="60"/>
        <w:contextualSpacing/>
        <w:rPr>
          <w:sz w:val="6"/>
          <w:szCs w:val="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8"/>
        <w:gridCol w:w="1022"/>
        <w:gridCol w:w="5408"/>
        <w:gridCol w:w="1022"/>
      </w:tblGrid>
      <w:tr w:rsidR="000E0964" w:rsidRPr="005E2E96" w14:paraId="7200A090" w14:textId="77777777" w:rsidTr="000E0964">
        <w:trPr>
          <w:trHeight w:val="240"/>
        </w:trPr>
        <w:tc>
          <w:tcPr>
            <w:tcW w:w="0" w:type="auto"/>
            <w:gridSpan w:val="4"/>
            <w:shd w:val="clear" w:color="auto" w:fill="auto"/>
          </w:tcPr>
          <w:p w14:paraId="1D44C32F" w14:textId="77777777" w:rsidR="000E0964" w:rsidRPr="005E2E96" w:rsidRDefault="000E0964" w:rsidP="009A3176">
            <w:pPr>
              <w:spacing w:after="60"/>
              <w:jc w:val="left"/>
              <w:rPr>
                <w:b/>
                <w:sz w:val="18"/>
              </w:rPr>
            </w:pPr>
            <w:r w:rsidRPr="005E2E96">
              <w:rPr>
                <w:b/>
                <w:sz w:val="18"/>
              </w:rPr>
              <w:t>(IV) CONSUMPTION DATA (ODP tonnes)</w:t>
            </w:r>
          </w:p>
        </w:tc>
      </w:tr>
      <w:tr w:rsidR="000E0964" w:rsidRPr="005E2E96" w14:paraId="5E94AFFD" w14:textId="77777777" w:rsidTr="000E0964">
        <w:trPr>
          <w:trHeight w:val="240"/>
        </w:trPr>
        <w:tc>
          <w:tcPr>
            <w:tcW w:w="0" w:type="auto"/>
            <w:shd w:val="clear" w:color="auto" w:fill="auto"/>
          </w:tcPr>
          <w:p w14:paraId="1D1CA0E3" w14:textId="77777777" w:rsidR="000E0964" w:rsidRPr="005E2E96" w:rsidRDefault="000E0964" w:rsidP="009A3176">
            <w:pPr>
              <w:spacing w:after="60"/>
              <w:rPr>
                <w:sz w:val="18"/>
              </w:rPr>
            </w:pPr>
            <w:r w:rsidRPr="005E2E96">
              <w:rPr>
                <w:sz w:val="18"/>
              </w:rPr>
              <w:t>2009 - 2010 baseline:</w:t>
            </w:r>
          </w:p>
        </w:tc>
        <w:tc>
          <w:tcPr>
            <w:tcW w:w="0" w:type="auto"/>
            <w:shd w:val="clear" w:color="auto" w:fill="auto"/>
          </w:tcPr>
          <w:p w14:paraId="6E54DF95" w14:textId="77777777" w:rsidR="000E0964" w:rsidRPr="005E2E96" w:rsidRDefault="000E0964" w:rsidP="009A3176">
            <w:pPr>
              <w:spacing w:after="60"/>
              <w:jc w:val="right"/>
              <w:rPr>
                <w:sz w:val="18"/>
              </w:rPr>
            </w:pPr>
            <w:r w:rsidRPr="005E2E96">
              <w:rPr>
                <w:sz w:val="18"/>
              </w:rPr>
              <w:t>380.50</w:t>
            </w:r>
          </w:p>
        </w:tc>
        <w:tc>
          <w:tcPr>
            <w:tcW w:w="0" w:type="auto"/>
            <w:shd w:val="clear" w:color="auto" w:fill="auto"/>
          </w:tcPr>
          <w:p w14:paraId="49123D08" w14:textId="77777777" w:rsidR="000E0964" w:rsidRPr="005E2E96" w:rsidRDefault="000E0964" w:rsidP="009A3176">
            <w:pPr>
              <w:spacing w:after="60"/>
              <w:rPr>
                <w:sz w:val="18"/>
              </w:rPr>
            </w:pPr>
            <w:r w:rsidRPr="005E2E96">
              <w:rPr>
                <w:sz w:val="18"/>
              </w:rPr>
              <w:t>Starting point for sustained aggregate reductions:</w:t>
            </w:r>
          </w:p>
        </w:tc>
        <w:tc>
          <w:tcPr>
            <w:tcW w:w="0" w:type="auto"/>
            <w:shd w:val="clear" w:color="auto" w:fill="auto"/>
          </w:tcPr>
          <w:p w14:paraId="5BBC36F1" w14:textId="77777777" w:rsidR="000E0964" w:rsidRPr="005E2E96" w:rsidRDefault="000E0964" w:rsidP="009A3176">
            <w:pPr>
              <w:spacing w:after="60"/>
              <w:jc w:val="right"/>
              <w:rPr>
                <w:sz w:val="18"/>
              </w:rPr>
            </w:pPr>
            <w:r w:rsidRPr="005E2E96">
              <w:rPr>
                <w:sz w:val="18"/>
              </w:rPr>
              <w:t>380.50</w:t>
            </w:r>
          </w:p>
        </w:tc>
      </w:tr>
      <w:tr w:rsidR="000E0964" w:rsidRPr="005E2E96" w14:paraId="20098394" w14:textId="77777777" w:rsidTr="000E0964">
        <w:trPr>
          <w:trHeight w:val="240"/>
        </w:trPr>
        <w:tc>
          <w:tcPr>
            <w:tcW w:w="0" w:type="auto"/>
            <w:gridSpan w:val="4"/>
            <w:shd w:val="clear" w:color="auto" w:fill="auto"/>
          </w:tcPr>
          <w:p w14:paraId="09306118" w14:textId="77777777" w:rsidR="000E0964" w:rsidRPr="005E2E96" w:rsidRDefault="000E0964" w:rsidP="009A3176">
            <w:pPr>
              <w:spacing w:after="60"/>
              <w:rPr>
                <w:b/>
                <w:sz w:val="18"/>
              </w:rPr>
            </w:pPr>
            <w:r w:rsidRPr="005E2E96">
              <w:rPr>
                <w:b/>
                <w:sz w:val="18"/>
              </w:rPr>
              <w:t>CONSUMPTION ELIGIBLE FOR FUNDING (ODP tonnes)</w:t>
            </w:r>
          </w:p>
        </w:tc>
      </w:tr>
      <w:tr w:rsidR="000E0964" w:rsidRPr="005E2E96" w14:paraId="42F71650" w14:textId="77777777" w:rsidTr="000E0964">
        <w:trPr>
          <w:trHeight w:val="156"/>
        </w:trPr>
        <w:tc>
          <w:tcPr>
            <w:tcW w:w="0" w:type="auto"/>
            <w:shd w:val="clear" w:color="auto" w:fill="auto"/>
          </w:tcPr>
          <w:p w14:paraId="28097E8A" w14:textId="77777777" w:rsidR="000E0964" w:rsidRPr="005E2E96" w:rsidRDefault="000E0964" w:rsidP="009A3176">
            <w:pPr>
              <w:spacing w:after="60"/>
              <w:rPr>
                <w:sz w:val="18"/>
              </w:rPr>
            </w:pPr>
            <w:r w:rsidRPr="005E2E96">
              <w:rPr>
                <w:sz w:val="18"/>
              </w:rPr>
              <w:t>Already approved:</w:t>
            </w:r>
          </w:p>
        </w:tc>
        <w:tc>
          <w:tcPr>
            <w:tcW w:w="0" w:type="auto"/>
            <w:shd w:val="clear" w:color="auto" w:fill="auto"/>
          </w:tcPr>
          <w:p w14:paraId="0F482956" w14:textId="77777777" w:rsidR="000E0964" w:rsidRPr="005E2E96" w:rsidRDefault="000E0964" w:rsidP="009A3176">
            <w:pPr>
              <w:spacing w:after="60"/>
              <w:jc w:val="right"/>
              <w:rPr>
                <w:sz w:val="18"/>
              </w:rPr>
            </w:pPr>
            <w:r w:rsidRPr="005E2E96">
              <w:rPr>
                <w:sz w:val="18"/>
              </w:rPr>
              <w:t>308.76</w:t>
            </w:r>
          </w:p>
        </w:tc>
        <w:tc>
          <w:tcPr>
            <w:tcW w:w="0" w:type="auto"/>
            <w:shd w:val="clear" w:color="auto" w:fill="auto"/>
          </w:tcPr>
          <w:p w14:paraId="5E667A5E" w14:textId="77777777" w:rsidR="000E0964" w:rsidRPr="005E2E96" w:rsidRDefault="000E0964" w:rsidP="009A3176">
            <w:pPr>
              <w:spacing w:after="60"/>
              <w:rPr>
                <w:sz w:val="18"/>
              </w:rPr>
            </w:pPr>
            <w:r w:rsidRPr="005E2E96">
              <w:rPr>
                <w:sz w:val="18"/>
              </w:rPr>
              <w:t>Remaining:</w:t>
            </w:r>
          </w:p>
        </w:tc>
        <w:tc>
          <w:tcPr>
            <w:tcW w:w="0" w:type="auto"/>
            <w:shd w:val="clear" w:color="auto" w:fill="auto"/>
          </w:tcPr>
          <w:p w14:paraId="1C7155D9" w14:textId="77777777" w:rsidR="000E0964" w:rsidRPr="005E2E96" w:rsidRDefault="000E0964" w:rsidP="009A3176">
            <w:pPr>
              <w:spacing w:after="60"/>
              <w:jc w:val="right"/>
              <w:rPr>
                <w:sz w:val="18"/>
              </w:rPr>
            </w:pPr>
            <w:r w:rsidRPr="005E2E96">
              <w:rPr>
                <w:sz w:val="18"/>
              </w:rPr>
              <w:t>71.74</w:t>
            </w:r>
          </w:p>
        </w:tc>
      </w:tr>
    </w:tbl>
    <w:p w14:paraId="1C1FC28C" w14:textId="77777777" w:rsidR="000E0964" w:rsidRPr="005E2E96" w:rsidRDefault="000E0964" w:rsidP="009A3176">
      <w:pPr>
        <w:spacing w:after="60"/>
        <w:contextualSpacing/>
        <w:rPr>
          <w:sz w:val="6"/>
          <w:szCs w:val="6"/>
        </w:rPr>
      </w:pPr>
    </w:p>
    <w:tbl>
      <w:tblPr>
        <w:tblStyle w:val="TableGrid"/>
        <w:tblW w:w="1008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04"/>
        <w:gridCol w:w="3474"/>
        <w:gridCol w:w="1327"/>
        <w:gridCol w:w="1327"/>
        <w:gridCol w:w="1327"/>
        <w:gridCol w:w="1328"/>
      </w:tblGrid>
      <w:tr w:rsidR="000E0964" w:rsidRPr="005E2E96" w14:paraId="2D119CF7" w14:textId="77777777" w:rsidTr="000E0964">
        <w:trPr>
          <w:trHeight w:val="240"/>
        </w:trPr>
        <w:tc>
          <w:tcPr>
            <w:tcW w:w="0" w:type="auto"/>
            <w:gridSpan w:val="2"/>
            <w:shd w:val="clear" w:color="auto" w:fill="auto"/>
          </w:tcPr>
          <w:p w14:paraId="09773347" w14:textId="77777777" w:rsidR="000E0964" w:rsidRPr="005E2E96" w:rsidRDefault="000E0964" w:rsidP="009A3176">
            <w:pPr>
              <w:spacing w:after="60"/>
              <w:jc w:val="left"/>
              <w:rPr>
                <w:b/>
                <w:sz w:val="18"/>
              </w:rPr>
            </w:pPr>
            <w:r w:rsidRPr="005E2E96">
              <w:rPr>
                <w:b/>
                <w:sz w:val="18"/>
              </w:rPr>
              <w:t>(V) BUSINESS PLAN</w:t>
            </w:r>
          </w:p>
        </w:tc>
        <w:tc>
          <w:tcPr>
            <w:tcW w:w="1327" w:type="dxa"/>
            <w:shd w:val="clear" w:color="auto" w:fill="auto"/>
          </w:tcPr>
          <w:p w14:paraId="3CF6EA08" w14:textId="77777777" w:rsidR="000E0964" w:rsidRPr="005E2E96" w:rsidRDefault="000E0964" w:rsidP="009A3176">
            <w:pPr>
              <w:spacing w:after="60"/>
              <w:jc w:val="center"/>
              <w:rPr>
                <w:b/>
                <w:sz w:val="18"/>
              </w:rPr>
            </w:pPr>
            <w:r w:rsidRPr="005E2E96">
              <w:rPr>
                <w:b/>
                <w:sz w:val="18"/>
              </w:rPr>
              <w:t>2019</w:t>
            </w:r>
          </w:p>
        </w:tc>
        <w:tc>
          <w:tcPr>
            <w:tcW w:w="1327" w:type="dxa"/>
            <w:shd w:val="clear" w:color="auto" w:fill="auto"/>
          </w:tcPr>
          <w:p w14:paraId="677D1A6F" w14:textId="77777777" w:rsidR="000E0964" w:rsidRPr="005E2E96" w:rsidRDefault="000E0964" w:rsidP="009A3176">
            <w:pPr>
              <w:spacing w:after="60"/>
              <w:jc w:val="center"/>
              <w:rPr>
                <w:b/>
                <w:sz w:val="18"/>
              </w:rPr>
            </w:pPr>
            <w:r w:rsidRPr="005E2E96">
              <w:rPr>
                <w:b/>
                <w:sz w:val="18"/>
              </w:rPr>
              <w:t>2020</w:t>
            </w:r>
          </w:p>
        </w:tc>
        <w:tc>
          <w:tcPr>
            <w:tcW w:w="1327" w:type="dxa"/>
            <w:shd w:val="clear" w:color="auto" w:fill="auto"/>
          </w:tcPr>
          <w:p w14:paraId="456BF2E2" w14:textId="77777777" w:rsidR="000E0964" w:rsidRPr="005E2E96" w:rsidRDefault="000E0964" w:rsidP="009A3176">
            <w:pPr>
              <w:spacing w:after="60"/>
              <w:jc w:val="center"/>
              <w:rPr>
                <w:b/>
                <w:sz w:val="18"/>
              </w:rPr>
            </w:pPr>
            <w:r w:rsidRPr="005E2E96">
              <w:rPr>
                <w:b/>
                <w:sz w:val="18"/>
              </w:rPr>
              <w:t>2021</w:t>
            </w:r>
          </w:p>
        </w:tc>
        <w:tc>
          <w:tcPr>
            <w:tcW w:w="1328" w:type="dxa"/>
            <w:shd w:val="clear" w:color="auto" w:fill="auto"/>
          </w:tcPr>
          <w:p w14:paraId="5951AAC8" w14:textId="77777777" w:rsidR="000E0964" w:rsidRPr="005E2E96" w:rsidRDefault="000E0964" w:rsidP="009A3176">
            <w:pPr>
              <w:spacing w:after="60"/>
              <w:jc w:val="center"/>
              <w:rPr>
                <w:b/>
                <w:sz w:val="18"/>
              </w:rPr>
            </w:pPr>
            <w:r w:rsidRPr="005E2E96">
              <w:rPr>
                <w:b/>
                <w:sz w:val="18"/>
              </w:rPr>
              <w:t>Total</w:t>
            </w:r>
          </w:p>
        </w:tc>
      </w:tr>
      <w:tr w:rsidR="000E0964" w:rsidRPr="005E2E96" w14:paraId="319FE123" w14:textId="77777777" w:rsidTr="000E0964">
        <w:trPr>
          <w:trHeight w:val="240"/>
        </w:trPr>
        <w:tc>
          <w:tcPr>
            <w:tcW w:w="0" w:type="auto"/>
            <w:vMerge w:val="restart"/>
            <w:shd w:val="clear" w:color="auto" w:fill="auto"/>
          </w:tcPr>
          <w:p w14:paraId="17BF6F33" w14:textId="77777777" w:rsidR="000E0964" w:rsidRPr="005E2E96" w:rsidRDefault="000E0964" w:rsidP="009A3176">
            <w:pPr>
              <w:spacing w:after="60"/>
              <w:rPr>
                <w:sz w:val="18"/>
              </w:rPr>
            </w:pPr>
            <w:r w:rsidRPr="005E2E96">
              <w:rPr>
                <w:sz w:val="18"/>
              </w:rPr>
              <w:t>UNDP</w:t>
            </w:r>
          </w:p>
        </w:tc>
        <w:tc>
          <w:tcPr>
            <w:tcW w:w="0" w:type="auto"/>
            <w:shd w:val="clear" w:color="auto" w:fill="auto"/>
          </w:tcPr>
          <w:p w14:paraId="2619A53C" w14:textId="77777777" w:rsidR="000E0964" w:rsidRPr="005E2E96" w:rsidRDefault="000E0964" w:rsidP="009A3176">
            <w:pPr>
              <w:spacing w:after="60"/>
              <w:jc w:val="left"/>
              <w:rPr>
                <w:sz w:val="18"/>
              </w:rPr>
            </w:pPr>
            <w:r w:rsidRPr="005E2E96">
              <w:rPr>
                <w:sz w:val="18"/>
              </w:rPr>
              <w:t>ODS phase-out (ODP tonnes)</w:t>
            </w:r>
          </w:p>
        </w:tc>
        <w:tc>
          <w:tcPr>
            <w:tcW w:w="1327" w:type="dxa"/>
            <w:shd w:val="clear" w:color="auto" w:fill="auto"/>
          </w:tcPr>
          <w:p w14:paraId="40E4C0FE" w14:textId="77777777" w:rsidR="000E0964" w:rsidRPr="005E2E96" w:rsidRDefault="000E0964" w:rsidP="009A3176">
            <w:pPr>
              <w:spacing w:after="60"/>
              <w:jc w:val="right"/>
              <w:rPr>
                <w:sz w:val="18"/>
              </w:rPr>
            </w:pPr>
            <w:r w:rsidRPr="005E2E96">
              <w:rPr>
                <w:sz w:val="18"/>
              </w:rPr>
              <w:t>22.93</w:t>
            </w:r>
          </w:p>
        </w:tc>
        <w:tc>
          <w:tcPr>
            <w:tcW w:w="1327" w:type="dxa"/>
            <w:shd w:val="clear" w:color="auto" w:fill="auto"/>
          </w:tcPr>
          <w:p w14:paraId="22CCB414" w14:textId="77777777" w:rsidR="000E0964" w:rsidRPr="005E2E96" w:rsidRDefault="000E0964" w:rsidP="009A3176">
            <w:pPr>
              <w:spacing w:after="60"/>
              <w:jc w:val="right"/>
              <w:rPr>
                <w:sz w:val="18"/>
              </w:rPr>
            </w:pPr>
            <w:r w:rsidRPr="005E2E96">
              <w:rPr>
                <w:sz w:val="18"/>
              </w:rPr>
              <w:t>18.81</w:t>
            </w:r>
          </w:p>
        </w:tc>
        <w:tc>
          <w:tcPr>
            <w:tcW w:w="1327" w:type="dxa"/>
            <w:shd w:val="clear" w:color="auto" w:fill="auto"/>
          </w:tcPr>
          <w:p w14:paraId="22253B02" w14:textId="77777777" w:rsidR="000E0964" w:rsidRPr="005E2E96" w:rsidRDefault="000E0964" w:rsidP="009A3176">
            <w:pPr>
              <w:spacing w:after="60"/>
              <w:jc w:val="right"/>
              <w:rPr>
                <w:sz w:val="18"/>
              </w:rPr>
            </w:pPr>
            <w:r w:rsidRPr="005E2E96">
              <w:rPr>
                <w:sz w:val="18"/>
              </w:rPr>
              <w:t>6.68</w:t>
            </w:r>
          </w:p>
        </w:tc>
        <w:tc>
          <w:tcPr>
            <w:tcW w:w="1328" w:type="dxa"/>
            <w:shd w:val="clear" w:color="auto" w:fill="auto"/>
          </w:tcPr>
          <w:p w14:paraId="09558A1B" w14:textId="77777777" w:rsidR="000E0964" w:rsidRPr="005E2E96" w:rsidRDefault="000E0964" w:rsidP="009A3176">
            <w:pPr>
              <w:spacing w:after="60"/>
              <w:jc w:val="right"/>
              <w:rPr>
                <w:sz w:val="18"/>
              </w:rPr>
            </w:pPr>
            <w:r w:rsidRPr="005E2E96">
              <w:rPr>
                <w:sz w:val="18"/>
              </w:rPr>
              <w:t>48.42</w:t>
            </w:r>
          </w:p>
        </w:tc>
      </w:tr>
      <w:tr w:rsidR="000E0964" w:rsidRPr="005E2E96" w14:paraId="088C75F5" w14:textId="77777777" w:rsidTr="000E0964">
        <w:trPr>
          <w:trHeight w:val="240"/>
        </w:trPr>
        <w:tc>
          <w:tcPr>
            <w:tcW w:w="0" w:type="auto"/>
            <w:vMerge/>
            <w:shd w:val="clear" w:color="auto" w:fill="auto"/>
          </w:tcPr>
          <w:p w14:paraId="5D8CBF73" w14:textId="77777777" w:rsidR="000E0964" w:rsidRPr="005E2E96" w:rsidRDefault="000E0964" w:rsidP="009A3176">
            <w:pPr>
              <w:spacing w:after="60"/>
              <w:rPr>
                <w:sz w:val="18"/>
              </w:rPr>
            </w:pPr>
          </w:p>
        </w:tc>
        <w:tc>
          <w:tcPr>
            <w:tcW w:w="0" w:type="auto"/>
            <w:shd w:val="clear" w:color="auto" w:fill="auto"/>
          </w:tcPr>
          <w:p w14:paraId="7B998068" w14:textId="6A4B38B3" w:rsidR="000E0964" w:rsidRPr="005E2E96" w:rsidRDefault="000E0964" w:rsidP="009A3176">
            <w:pPr>
              <w:spacing w:after="60"/>
              <w:jc w:val="left"/>
              <w:rPr>
                <w:sz w:val="18"/>
              </w:rPr>
            </w:pPr>
            <w:r w:rsidRPr="005E2E96">
              <w:rPr>
                <w:sz w:val="18"/>
              </w:rPr>
              <w:t>Funding (</w:t>
            </w:r>
            <w:r w:rsidR="00687BDF" w:rsidRPr="005E2E96">
              <w:rPr>
                <w:sz w:val="18"/>
              </w:rPr>
              <w:t>US $</w:t>
            </w:r>
            <w:r w:rsidRPr="005E2E96">
              <w:rPr>
                <w:sz w:val="18"/>
              </w:rPr>
              <w:t>)</w:t>
            </w:r>
          </w:p>
        </w:tc>
        <w:tc>
          <w:tcPr>
            <w:tcW w:w="1327" w:type="dxa"/>
            <w:shd w:val="clear" w:color="auto" w:fill="auto"/>
          </w:tcPr>
          <w:p w14:paraId="4AE0099F" w14:textId="77777777" w:rsidR="000E0964" w:rsidRPr="005E2E96" w:rsidRDefault="000E0964" w:rsidP="009A3176">
            <w:pPr>
              <w:spacing w:after="60"/>
              <w:jc w:val="right"/>
              <w:rPr>
                <w:sz w:val="18"/>
              </w:rPr>
            </w:pPr>
            <w:r w:rsidRPr="005E2E96">
              <w:rPr>
                <w:sz w:val="18"/>
              </w:rPr>
              <w:t>1,705,559</w:t>
            </w:r>
          </w:p>
        </w:tc>
        <w:tc>
          <w:tcPr>
            <w:tcW w:w="1327" w:type="dxa"/>
            <w:shd w:val="clear" w:color="auto" w:fill="auto"/>
          </w:tcPr>
          <w:p w14:paraId="0FDDEBB6" w14:textId="77777777" w:rsidR="000E0964" w:rsidRPr="005E2E96" w:rsidRDefault="000E0964" w:rsidP="009A3176">
            <w:pPr>
              <w:spacing w:after="60"/>
              <w:jc w:val="right"/>
              <w:rPr>
                <w:sz w:val="18"/>
              </w:rPr>
            </w:pPr>
            <w:r w:rsidRPr="005E2E96">
              <w:rPr>
                <w:sz w:val="18"/>
              </w:rPr>
              <w:t>1,399,539</w:t>
            </w:r>
          </w:p>
        </w:tc>
        <w:tc>
          <w:tcPr>
            <w:tcW w:w="1327" w:type="dxa"/>
            <w:shd w:val="clear" w:color="auto" w:fill="auto"/>
          </w:tcPr>
          <w:p w14:paraId="4FA85B84" w14:textId="77777777" w:rsidR="000E0964" w:rsidRPr="005E2E96" w:rsidRDefault="000E0964" w:rsidP="009A3176">
            <w:pPr>
              <w:spacing w:after="60"/>
              <w:jc w:val="right"/>
              <w:rPr>
                <w:sz w:val="18"/>
              </w:rPr>
            </w:pPr>
            <w:r w:rsidRPr="005E2E96">
              <w:rPr>
                <w:sz w:val="18"/>
              </w:rPr>
              <w:t>496,727</w:t>
            </w:r>
          </w:p>
        </w:tc>
        <w:tc>
          <w:tcPr>
            <w:tcW w:w="1328" w:type="dxa"/>
            <w:shd w:val="clear" w:color="auto" w:fill="auto"/>
          </w:tcPr>
          <w:p w14:paraId="08CBABDA" w14:textId="77777777" w:rsidR="000E0964" w:rsidRPr="005E2E96" w:rsidRDefault="000E0964" w:rsidP="009A3176">
            <w:pPr>
              <w:spacing w:after="60"/>
              <w:jc w:val="right"/>
              <w:rPr>
                <w:sz w:val="18"/>
              </w:rPr>
            </w:pPr>
            <w:r w:rsidRPr="005E2E96">
              <w:rPr>
                <w:sz w:val="18"/>
              </w:rPr>
              <w:t>3,601,825</w:t>
            </w:r>
          </w:p>
        </w:tc>
      </w:tr>
      <w:tr w:rsidR="000E0964" w:rsidRPr="005E2E96" w14:paraId="16EFFD70" w14:textId="77777777" w:rsidTr="000E0964">
        <w:trPr>
          <w:trHeight w:val="240"/>
        </w:trPr>
        <w:tc>
          <w:tcPr>
            <w:tcW w:w="0" w:type="auto"/>
            <w:vMerge w:val="restart"/>
            <w:shd w:val="clear" w:color="auto" w:fill="auto"/>
          </w:tcPr>
          <w:p w14:paraId="0F95EE7B" w14:textId="77777777" w:rsidR="000E0964" w:rsidRPr="005E2E96" w:rsidRDefault="000E0964" w:rsidP="009A3176">
            <w:pPr>
              <w:spacing w:after="60"/>
              <w:rPr>
                <w:sz w:val="18"/>
              </w:rPr>
            </w:pPr>
            <w:r w:rsidRPr="005E2E96">
              <w:rPr>
                <w:sz w:val="18"/>
              </w:rPr>
              <w:t>UNEP</w:t>
            </w:r>
          </w:p>
        </w:tc>
        <w:tc>
          <w:tcPr>
            <w:tcW w:w="0" w:type="auto"/>
            <w:shd w:val="clear" w:color="auto" w:fill="auto"/>
          </w:tcPr>
          <w:p w14:paraId="05EA9A30" w14:textId="77777777" w:rsidR="000E0964" w:rsidRPr="005E2E96" w:rsidRDefault="000E0964" w:rsidP="009A3176">
            <w:pPr>
              <w:spacing w:after="60"/>
              <w:jc w:val="left"/>
              <w:rPr>
                <w:sz w:val="18"/>
              </w:rPr>
            </w:pPr>
            <w:r w:rsidRPr="005E2E96">
              <w:rPr>
                <w:sz w:val="18"/>
              </w:rPr>
              <w:t>ODS phase-out (ODP tonnes)</w:t>
            </w:r>
          </w:p>
        </w:tc>
        <w:tc>
          <w:tcPr>
            <w:tcW w:w="1327" w:type="dxa"/>
            <w:shd w:val="clear" w:color="auto" w:fill="auto"/>
          </w:tcPr>
          <w:p w14:paraId="1429CB14" w14:textId="77777777" w:rsidR="000E0964" w:rsidRPr="005E2E96" w:rsidRDefault="000E0964" w:rsidP="009A3176">
            <w:pPr>
              <w:spacing w:after="60"/>
              <w:jc w:val="right"/>
              <w:rPr>
                <w:sz w:val="18"/>
              </w:rPr>
            </w:pPr>
            <w:r w:rsidRPr="005E2E96">
              <w:rPr>
                <w:sz w:val="18"/>
              </w:rPr>
              <w:t>2.73</w:t>
            </w:r>
          </w:p>
        </w:tc>
        <w:tc>
          <w:tcPr>
            <w:tcW w:w="1327" w:type="dxa"/>
            <w:shd w:val="clear" w:color="auto" w:fill="auto"/>
          </w:tcPr>
          <w:p w14:paraId="2260751E" w14:textId="77777777" w:rsidR="000E0964" w:rsidRPr="005E2E96" w:rsidRDefault="000E0964" w:rsidP="009A3176">
            <w:pPr>
              <w:spacing w:after="60"/>
              <w:jc w:val="right"/>
              <w:rPr>
                <w:sz w:val="18"/>
              </w:rPr>
            </w:pPr>
            <w:r w:rsidRPr="005E2E96">
              <w:rPr>
                <w:sz w:val="18"/>
              </w:rPr>
              <w:t>2.45</w:t>
            </w:r>
          </w:p>
        </w:tc>
        <w:tc>
          <w:tcPr>
            <w:tcW w:w="1327" w:type="dxa"/>
            <w:shd w:val="clear" w:color="auto" w:fill="auto"/>
          </w:tcPr>
          <w:p w14:paraId="6979B1E0" w14:textId="77777777" w:rsidR="000E0964" w:rsidRPr="005E2E96" w:rsidRDefault="000E0964" w:rsidP="009A3176">
            <w:pPr>
              <w:spacing w:after="60"/>
              <w:jc w:val="right"/>
              <w:rPr>
                <w:sz w:val="18"/>
              </w:rPr>
            </w:pPr>
            <w:r w:rsidRPr="005E2E96">
              <w:rPr>
                <w:sz w:val="18"/>
              </w:rPr>
              <w:t>0</w:t>
            </w:r>
          </w:p>
        </w:tc>
        <w:tc>
          <w:tcPr>
            <w:tcW w:w="1328" w:type="dxa"/>
            <w:shd w:val="clear" w:color="auto" w:fill="auto"/>
          </w:tcPr>
          <w:p w14:paraId="7CA9BE21" w14:textId="77777777" w:rsidR="000E0964" w:rsidRPr="005E2E96" w:rsidRDefault="000E0964" w:rsidP="009A3176">
            <w:pPr>
              <w:spacing w:after="60"/>
              <w:jc w:val="right"/>
              <w:rPr>
                <w:sz w:val="18"/>
              </w:rPr>
            </w:pPr>
            <w:r w:rsidRPr="005E2E96">
              <w:rPr>
                <w:sz w:val="18"/>
              </w:rPr>
              <w:t>5.18</w:t>
            </w:r>
          </w:p>
        </w:tc>
      </w:tr>
      <w:tr w:rsidR="000E0964" w:rsidRPr="005E2E96" w14:paraId="18A464DA" w14:textId="77777777" w:rsidTr="000E0964">
        <w:trPr>
          <w:trHeight w:val="240"/>
        </w:trPr>
        <w:tc>
          <w:tcPr>
            <w:tcW w:w="0" w:type="auto"/>
            <w:vMerge/>
            <w:shd w:val="clear" w:color="auto" w:fill="auto"/>
          </w:tcPr>
          <w:p w14:paraId="0FDA787F" w14:textId="77777777" w:rsidR="000E0964" w:rsidRPr="005E2E96" w:rsidRDefault="000E0964" w:rsidP="009A3176">
            <w:pPr>
              <w:spacing w:after="60"/>
              <w:rPr>
                <w:sz w:val="18"/>
              </w:rPr>
            </w:pPr>
          </w:p>
        </w:tc>
        <w:tc>
          <w:tcPr>
            <w:tcW w:w="0" w:type="auto"/>
            <w:shd w:val="clear" w:color="auto" w:fill="auto"/>
          </w:tcPr>
          <w:p w14:paraId="4B4D6C90" w14:textId="232477B3" w:rsidR="000E0964" w:rsidRPr="005E2E96" w:rsidRDefault="000E0964" w:rsidP="009A3176">
            <w:pPr>
              <w:spacing w:after="60"/>
              <w:jc w:val="left"/>
              <w:rPr>
                <w:sz w:val="18"/>
              </w:rPr>
            </w:pPr>
            <w:r w:rsidRPr="005E2E96">
              <w:rPr>
                <w:sz w:val="18"/>
              </w:rPr>
              <w:t>Funding (</w:t>
            </w:r>
            <w:r w:rsidR="00687BDF" w:rsidRPr="005E2E96">
              <w:rPr>
                <w:sz w:val="18"/>
              </w:rPr>
              <w:t>US $</w:t>
            </w:r>
            <w:r w:rsidRPr="005E2E96">
              <w:rPr>
                <w:sz w:val="18"/>
              </w:rPr>
              <w:t>)</w:t>
            </w:r>
          </w:p>
        </w:tc>
        <w:tc>
          <w:tcPr>
            <w:tcW w:w="1327" w:type="dxa"/>
            <w:shd w:val="clear" w:color="auto" w:fill="auto"/>
          </w:tcPr>
          <w:p w14:paraId="744AB4A3" w14:textId="77777777" w:rsidR="000E0964" w:rsidRPr="005E2E96" w:rsidRDefault="000E0964" w:rsidP="009A3176">
            <w:pPr>
              <w:spacing w:after="60"/>
              <w:jc w:val="right"/>
              <w:rPr>
                <w:sz w:val="18"/>
              </w:rPr>
            </w:pPr>
            <w:r w:rsidRPr="005E2E96">
              <w:rPr>
                <w:sz w:val="18"/>
              </w:rPr>
              <w:t>213,614</w:t>
            </w:r>
          </w:p>
        </w:tc>
        <w:tc>
          <w:tcPr>
            <w:tcW w:w="1327" w:type="dxa"/>
            <w:shd w:val="clear" w:color="auto" w:fill="auto"/>
          </w:tcPr>
          <w:p w14:paraId="7100D9BB" w14:textId="77777777" w:rsidR="000E0964" w:rsidRPr="005E2E96" w:rsidRDefault="000E0964" w:rsidP="009A3176">
            <w:pPr>
              <w:spacing w:after="60"/>
              <w:jc w:val="right"/>
              <w:rPr>
                <w:sz w:val="18"/>
              </w:rPr>
            </w:pPr>
            <w:r w:rsidRPr="005E2E96">
              <w:rPr>
                <w:sz w:val="18"/>
              </w:rPr>
              <w:t>191,129</w:t>
            </w:r>
          </w:p>
        </w:tc>
        <w:tc>
          <w:tcPr>
            <w:tcW w:w="1327" w:type="dxa"/>
            <w:shd w:val="clear" w:color="auto" w:fill="auto"/>
          </w:tcPr>
          <w:p w14:paraId="48ADD956" w14:textId="77777777" w:rsidR="000E0964" w:rsidRPr="005E2E96" w:rsidRDefault="000E0964" w:rsidP="009A3176">
            <w:pPr>
              <w:spacing w:after="60"/>
              <w:jc w:val="right"/>
              <w:rPr>
                <w:sz w:val="18"/>
              </w:rPr>
            </w:pPr>
            <w:r w:rsidRPr="005E2E96">
              <w:rPr>
                <w:sz w:val="18"/>
              </w:rPr>
              <w:t>0</w:t>
            </w:r>
          </w:p>
        </w:tc>
        <w:tc>
          <w:tcPr>
            <w:tcW w:w="1328" w:type="dxa"/>
            <w:shd w:val="clear" w:color="auto" w:fill="auto"/>
          </w:tcPr>
          <w:p w14:paraId="5077A291" w14:textId="77777777" w:rsidR="000E0964" w:rsidRPr="005E2E96" w:rsidRDefault="000E0964" w:rsidP="009A3176">
            <w:pPr>
              <w:spacing w:after="60"/>
              <w:jc w:val="right"/>
              <w:rPr>
                <w:sz w:val="18"/>
              </w:rPr>
            </w:pPr>
            <w:r w:rsidRPr="005E2E96">
              <w:rPr>
                <w:sz w:val="18"/>
              </w:rPr>
              <w:t>404,743</w:t>
            </w:r>
          </w:p>
        </w:tc>
      </w:tr>
      <w:tr w:rsidR="000E0964" w:rsidRPr="005E2E96" w14:paraId="30A1EE28" w14:textId="77777777" w:rsidTr="000E0964">
        <w:trPr>
          <w:trHeight w:val="240"/>
        </w:trPr>
        <w:tc>
          <w:tcPr>
            <w:tcW w:w="0" w:type="auto"/>
            <w:vMerge w:val="restart"/>
            <w:shd w:val="clear" w:color="auto" w:fill="auto"/>
          </w:tcPr>
          <w:p w14:paraId="75BDC04E" w14:textId="77777777" w:rsidR="000E0964" w:rsidRPr="005E2E96" w:rsidRDefault="000E0964" w:rsidP="009A3176">
            <w:pPr>
              <w:spacing w:after="60"/>
              <w:rPr>
                <w:sz w:val="18"/>
              </w:rPr>
            </w:pPr>
            <w:r w:rsidRPr="005E2E96">
              <w:rPr>
                <w:sz w:val="18"/>
              </w:rPr>
              <w:t>UNIDO</w:t>
            </w:r>
          </w:p>
        </w:tc>
        <w:tc>
          <w:tcPr>
            <w:tcW w:w="0" w:type="auto"/>
            <w:shd w:val="clear" w:color="auto" w:fill="auto"/>
          </w:tcPr>
          <w:p w14:paraId="0B876A9F" w14:textId="77777777" w:rsidR="000E0964" w:rsidRPr="005E2E96" w:rsidRDefault="000E0964" w:rsidP="009A3176">
            <w:pPr>
              <w:spacing w:after="60"/>
              <w:jc w:val="left"/>
              <w:rPr>
                <w:sz w:val="18"/>
              </w:rPr>
            </w:pPr>
            <w:r w:rsidRPr="005E2E96">
              <w:rPr>
                <w:sz w:val="18"/>
              </w:rPr>
              <w:t>ODS phase-out (ODP tonnes)</w:t>
            </w:r>
          </w:p>
        </w:tc>
        <w:tc>
          <w:tcPr>
            <w:tcW w:w="1327" w:type="dxa"/>
            <w:shd w:val="clear" w:color="auto" w:fill="auto"/>
          </w:tcPr>
          <w:p w14:paraId="65121A05" w14:textId="77777777" w:rsidR="000E0964" w:rsidRPr="005E2E96" w:rsidRDefault="000E0964" w:rsidP="009A3176">
            <w:pPr>
              <w:spacing w:after="60"/>
              <w:jc w:val="right"/>
              <w:rPr>
                <w:sz w:val="18"/>
              </w:rPr>
            </w:pPr>
            <w:r w:rsidRPr="005E2E96">
              <w:rPr>
                <w:sz w:val="18"/>
              </w:rPr>
              <w:t>8.40</w:t>
            </w:r>
          </w:p>
        </w:tc>
        <w:tc>
          <w:tcPr>
            <w:tcW w:w="1327" w:type="dxa"/>
            <w:shd w:val="clear" w:color="auto" w:fill="auto"/>
          </w:tcPr>
          <w:p w14:paraId="027D1DDE" w14:textId="77777777" w:rsidR="000E0964" w:rsidRPr="005E2E96" w:rsidRDefault="000E0964" w:rsidP="009A3176">
            <w:pPr>
              <w:spacing w:after="60"/>
              <w:jc w:val="right"/>
              <w:rPr>
                <w:sz w:val="18"/>
              </w:rPr>
            </w:pPr>
            <w:r w:rsidRPr="005E2E96">
              <w:rPr>
                <w:sz w:val="18"/>
              </w:rPr>
              <w:t>7.54</w:t>
            </w:r>
          </w:p>
        </w:tc>
        <w:tc>
          <w:tcPr>
            <w:tcW w:w="1327" w:type="dxa"/>
            <w:shd w:val="clear" w:color="auto" w:fill="auto"/>
          </w:tcPr>
          <w:p w14:paraId="14EF7E48" w14:textId="77777777" w:rsidR="000E0964" w:rsidRPr="005E2E96" w:rsidRDefault="000E0964" w:rsidP="009A3176">
            <w:pPr>
              <w:spacing w:after="60"/>
              <w:jc w:val="right"/>
              <w:rPr>
                <w:sz w:val="18"/>
              </w:rPr>
            </w:pPr>
            <w:r w:rsidRPr="005E2E96">
              <w:rPr>
                <w:sz w:val="18"/>
              </w:rPr>
              <w:t>6.44</w:t>
            </w:r>
          </w:p>
        </w:tc>
        <w:tc>
          <w:tcPr>
            <w:tcW w:w="1328" w:type="dxa"/>
            <w:shd w:val="clear" w:color="auto" w:fill="auto"/>
          </w:tcPr>
          <w:p w14:paraId="42CC3F37" w14:textId="77777777" w:rsidR="000E0964" w:rsidRPr="005E2E96" w:rsidRDefault="000E0964" w:rsidP="009A3176">
            <w:pPr>
              <w:spacing w:after="60"/>
              <w:jc w:val="right"/>
              <w:rPr>
                <w:sz w:val="18"/>
              </w:rPr>
            </w:pPr>
            <w:r w:rsidRPr="005E2E96">
              <w:rPr>
                <w:sz w:val="18"/>
              </w:rPr>
              <w:t>22.38</w:t>
            </w:r>
          </w:p>
        </w:tc>
      </w:tr>
      <w:tr w:rsidR="000E0964" w:rsidRPr="005E2E96" w14:paraId="514766A1" w14:textId="77777777" w:rsidTr="000E0964">
        <w:trPr>
          <w:trHeight w:val="35"/>
        </w:trPr>
        <w:tc>
          <w:tcPr>
            <w:tcW w:w="0" w:type="auto"/>
            <w:vMerge/>
            <w:shd w:val="clear" w:color="auto" w:fill="auto"/>
          </w:tcPr>
          <w:p w14:paraId="4F3A51D1" w14:textId="77777777" w:rsidR="000E0964" w:rsidRPr="005E2E96" w:rsidRDefault="000E0964" w:rsidP="009A3176">
            <w:pPr>
              <w:spacing w:after="60"/>
              <w:rPr>
                <w:sz w:val="18"/>
              </w:rPr>
            </w:pPr>
          </w:p>
        </w:tc>
        <w:tc>
          <w:tcPr>
            <w:tcW w:w="0" w:type="auto"/>
            <w:shd w:val="clear" w:color="auto" w:fill="auto"/>
          </w:tcPr>
          <w:p w14:paraId="0B619E3D" w14:textId="25D8E123" w:rsidR="000E0964" w:rsidRPr="005E2E96" w:rsidRDefault="000E0964" w:rsidP="009A3176">
            <w:pPr>
              <w:spacing w:after="60"/>
              <w:jc w:val="left"/>
              <w:rPr>
                <w:sz w:val="18"/>
              </w:rPr>
            </w:pPr>
            <w:r w:rsidRPr="005E2E96">
              <w:rPr>
                <w:sz w:val="18"/>
              </w:rPr>
              <w:t>Funding (</w:t>
            </w:r>
            <w:r w:rsidR="00687BDF" w:rsidRPr="005E2E96">
              <w:rPr>
                <w:sz w:val="18"/>
              </w:rPr>
              <w:t>US $</w:t>
            </w:r>
            <w:r w:rsidRPr="005E2E96">
              <w:rPr>
                <w:sz w:val="18"/>
              </w:rPr>
              <w:t>)</w:t>
            </w:r>
          </w:p>
        </w:tc>
        <w:tc>
          <w:tcPr>
            <w:tcW w:w="1327" w:type="dxa"/>
            <w:shd w:val="clear" w:color="auto" w:fill="auto"/>
          </w:tcPr>
          <w:p w14:paraId="3B003F6F" w14:textId="77777777" w:rsidR="000E0964" w:rsidRPr="005E2E96" w:rsidRDefault="000E0964" w:rsidP="009A3176">
            <w:pPr>
              <w:spacing w:after="60"/>
              <w:jc w:val="right"/>
              <w:rPr>
                <w:sz w:val="18"/>
              </w:rPr>
            </w:pPr>
            <w:r w:rsidRPr="005E2E96">
              <w:rPr>
                <w:sz w:val="18"/>
              </w:rPr>
              <w:t>624,880</w:t>
            </w:r>
          </w:p>
        </w:tc>
        <w:tc>
          <w:tcPr>
            <w:tcW w:w="1327" w:type="dxa"/>
            <w:shd w:val="clear" w:color="auto" w:fill="auto"/>
          </w:tcPr>
          <w:p w14:paraId="138E64C9" w14:textId="77777777" w:rsidR="000E0964" w:rsidRPr="005E2E96" w:rsidRDefault="000E0964" w:rsidP="009A3176">
            <w:pPr>
              <w:spacing w:after="60"/>
              <w:jc w:val="right"/>
              <w:rPr>
                <w:sz w:val="18"/>
              </w:rPr>
            </w:pPr>
            <w:r w:rsidRPr="005E2E96">
              <w:rPr>
                <w:sz w:val="18"/>
              </w:rPr>
              <w:t>560,680</w:t>
            </w:r>
          </w:p>
        </w:tc>
        <w:tc>
          <w:tcPr>
            <w:tcW w:w="1327" w:type="dxa"/>
            <w:shd w:val="clear" w:color="auto" w:fill="auto"/>
          </w:tcPr>
          <w:p w14:paraId="58BD363B" w14:textId="77777777" w:rsidR="000E0964" w:rsidRPr="005E2E96" w:rsidRDefault="000E0964" w:rsidP="009A3176">
            <w:pPr>
              <w:spacing w:after="60"/>
              <w:jc w:val="right"/>
              <w:rPr>
                <w:sz w:val="18"/>
              </w:rPr>
            </w:pPr>
            <w:r w:rsidRPr="005E2E96">
              <w:rPr>
                <w:sz w:val="18"/>
              </w:rPr>
              <w:t>478,973</w:t>
            </w:r>
          </w:p>
        </w:tc>
        <w:tc>
          <w:tcPr>
            <w:tcW w:w="1328" w:type="dxa"/>
            <w:shd w:val="clear" w:color="auto" w:fill="auto"/>
          </w:tcPr>
          <w:p w14:paraId="6DD64CA6" w14:textId="77777777" w:rsidR="000E0964" w:rsidRPr="005E2E96" w:rsidRDefault="000E0964" w:rsidP="009A3176">
            <w:pPr>
              <w:spacing w:after="60"/>
              <w:jc w:val="right"/>
              <w:rPr>
                <w:sz w:val="18"/>
              </w:rPr>
            </w:pPr>
            <w:r w:rsidRPr="005E2E96">
              <w:rPr>
                <w:sz w:val="18"/>
              </w:rPr>
              <w:t>1,664,533</w:t>
            </w:r>
          </w:p>
        </w:tc>
      </w:tr>
      <w:tr w:rsidR="000E0964" w:rsidRPr="005E2E96" w14:paraId="046D04AF" w14:textId="77777777" w:rsidTr="000E0964">
        <w:trPr>
          <w:trHeight w:val="240"/>
        </w:trPr>
        <w:tc>
          <w:tcPr>
            <w:tcW w:w="0" w:type="auto"/>
            <w:vMerge w:val="restart"/>
            <w:shd w:val="clear" w:color="auto" w:fill="auto"/>
          </w:tcPr>
          <w:p w14:paraId="3B38FEBD" w14:textId="77777777" w:rsidR="000E0964" w:rsidRPr="005E2E96" w:rsidRDefault="000E0964" w:rsidP="009A3176">
            <w:pPr>
              <w:spacing w:after="60"/>
              <w:rPr>
                <w:sz w:val="18"/>
              </w:rPr>
            </w:pPr>
            <w:r w:rsidRPr="005E2E96">
              <w:rPr>
                <w:sz w:val="18"/>
              </w:rPr>
              <w:t>Germany</w:t>
            </w:r>
          </w:p>
        </w:tc>
        <w:tc>
          <w:tcPr>
            <w:tcW w:w="0" w:type="auto"/>
            <w:shd w:val="clear" w:color="auto" w:fill="auto"/>
          </w:tcPr>
          <w:p w14:paraId="149160BF" w14:textId="77777777" w:rsidR="000E0964" w:rsidRPr="005E2E96" w:rsidRDefault="000E0964" w:rsidP="009A3176">
            <w:pPr>
              <w:spacing w:after="60"/>
              <w:jc w:val="left"/>
              <w:rPr>
                <w:sz w:val="18"/>
              </w:rPr>
            </w:pPr>
            <w:r w:rsidRPr="005E2E96">
              <w:rPr>
                <w:sz w:val="18"/>
              </w:rPr>
              <w:t>ODS phase-out (ODP tonnes)</w:t>
            </w:r>
          </w:p>
        </w:tc>
        <w:tc>
          <w:tcPr>
            <w:tcW w:w="1327" w:type="dxa"/>
            <w:shd w:val="clear" w:color="auto" w:fill="auto"/>
          </w:tcPr>
          <w:p w14:paraId="283928D3" w14:textId="77777777" w:rsidR="000E0964" w:rsidRPr="005E2E96" w:rsidRDefault="000E0964" w:rsidP="009A3176">
            <w:pPr>
              <w:spacing w:after="60"/>
              <w:jc w:val="right"/>
              <w:rPr>
                <w:sz w:val="18"/>
              </w:rPr>
            </w:pPr>
            <w:r w:rsidRPr="005E2E96">
              <w:rPr>
                <w:sz w:val="18"/>
              </w:rPr>
              <w:t>13.00</w:t>
            </w:r>
          </w:p>
        </w:tc>
        <w:tc>
          <w:tcPr>
            <w:tcW w:w="1327" w:type="dxa"/>
            <w:shd w:val="clear" w:color="auto" w:fill="auto"/>
          </w:tcPr>
          <w:p w14:paraId="33DFEB4A" w14:textId="77777777" w:rsidR="000E0964" w:rsidRPr="005E2E96" w:rsidRDefault="000E0964" w:rsidP="009A3176">
            <w:pPr>
              <w:spacing w:after="60"/>
              <w:jc w:val="right"/>
              <w:rPr>
                <w:sz w:val="18"/>
              </w:rPr>
            </w:pPr>
            <w:r w:rsidRPr="005E2E96">
              <w:rPr>
                <w:sz w:val="18"/>
              </w:rPr>
              <w:t>4.10</w:t>
            </w:r>
          </w:p>
        </w:tc>
        <w:tc>
          <w:tcPr>
            <w:tcW w:w="1327" w:type="dxa"/>
            <w:shd w:val="clear" w:color="auto" w:fill="auto"/>
          </w:tcPr>
          <w:p w14:paraId="3052380C" w14:textId="77777777" w:rsidR="000E0964" w:rsidRPr="005E2E96" w:rsidRDefault="000E0964" w:rsidP="009A3176">
            <w:pPr>
              <w:spacing w:after="60"/>
              <w:jc w:val="right"/>
              <w:rPr>
                <w:sz w:val="18"/>
              </w:rPr>
            </w:pPr>
            <w:r w:rsidRPr="005E2E96">
              <w:rPr>
                <w:sz w:val="18"/>
              </w:rPr>
              <w:t>8.60</w:t>
            </w:r>
          </w:p>
        </w:tc>
        <w:tc>
          <w:tcPr>
            <w:tcW w:w="1328" w:type="dxa"/>
            <w:shd w:val="clear" w:color="auto" w:fill="auto"/>
          </w:tcPr>
          <w:p w14:paraId="5D3CE6BF" w14:textId="77777777" w:rsidR="000E0964" w:rsidRPr="005E2E96" w:rsidRDefault="000E0964" w:rsidP="009A3176">
            <w:pPr>
              <w:spacing w:after="60"/>
              <w:jc w:val="right"/>
              <w:rPr>
                <w:sz w:val="18"/>
              </w:rPr>
            </w:pPr>
            <w:r w:rsidRPr="005E2E96">
              <w:rPr>
                <w:sz w:val="18"/>
              </w:rPr>
              <w:t>25.70</w:t>
            </w:r>
          </w:p>
        </w:tc>
      </w:tr>
      <w:tr w:rsidR="000E0964" w:rsidRPr="005E2E96" w14:paraId="4B07B3C7" w14:textId="77777777" w:rsidTr="000E0964">
        <w:trPr>
          <w:trHeight w:val="240"/>
        </w:trPr>
        <w:tc>
          <w:tcPr>
            <w:tcW w:w="0" w:type="auto"/>
            <w:vMerge/>
            <w:shd w:val="clear" w:color="auto" w:fill="auto"/>
          </w:tcPr>
          <w:p w14:paraId="65595223" w14:textId="77777777" w:rsidR="000E0964" w:rsidRPr="005E2E96" w:rsidRDefault="000E0964" w:rsidP="009A3176">
            <w:pPr>
              <w:spacing w:after="60"/>
              <w:rPr>
                <w:sz w:val="18"/>
              </w:rPr>
            </w:pPr>
          </w:p>
        </w:tc>
        <w:tc>
          <w:tcPr>
            <w:tcW w:w="0" w:type="auto"/>
            <w:shd w:val="clear" w:color="auto" w:fill="auto"/>
          </w:tcPr>
          <w:p w14:paraId="2EB0FB22" w14:textId="514C210E" w:rsidR="000E0964" w:rsidRPr="005E2E96" w:rsidRDefault="000E0964" w:rsidP="009A3176">
            <w:pPr>
              <w:spacing w:after="60"/>
              <w:jc w:val="left"/>
              <w:rPr>
                <w:sz w:val="18"/>
              </w:rPr>
            </w:pPr>
            <w:r w:rsidRPr="005E2E96">
              <w:rPr>
                <w:sz w:val="18"/>
              </w:rPr>
              <w:t>Funding (</w:t>
            </w:r>
            <w:r w:rsidR="00687BDF" w:rsidRPr="005E2E96">
              <w:rPr>
                <w:sz w:val="18"/>
              </w:rPr>
              <w:t>US $</w:t>
            </w:r>
            <w:r w:rsidRPr="005E2E96">
              <w:rPr>
                <w:sz w:val="18"/>
              </w:rPr>
              <w:t>)</w:t>
            </w:r>
          </w:p>
        </w:tc>
        <w:tc>
          <w:tcPr>
            <w:tcW w:w="1327" w:type="dxa"/>
            <w:shd w:val="clear" w:color="auto" w:fill="auto"/>
          </w:tcPr>
          <w:p w14:paraId="569F08D6" w14:textId="77777777" w:rsidR="000E0964" w:rsidRPr="005E2E96" w:rsidRDefault="000E0964" w:rsidP="009A3176">
            <w:pPr>
              <w:spacing w:after="60"/>
              <w:jc w:val="right"/>
              <w:rPr>
                <w:sz w:val="18"/>
              </w:rPr>
            </w:pPr>
            <w:r w:rsidRPr="005E2E96">
              <w:rPr>
                <w:sz w:val="18"/>
              </w:rPr>
              <w:t>1,025,189</w:t>
            </w:r>
          </w:p>
        </w:tc>
        <w:tc>
          <w:tcPr>
            <w:tcW w:w="1327" w:type="dxa"/>
            <w:shd w:val="clear" w:color="auto" w:fill="auto"/>
          </w:tcPr>
          <w:p w14:paraId="2E22F081" w14:textId="77777777" w:rsidR="000E0964" w:rsidRPr="005E2E96" w:rsidRDefault="000E0964" w:rsidP="009A3176">
            <w:pPr>
              <w:spacing w:after="60"/>
              <w:jc w:val="right"/>
              <w:rPr>
                <w:sz w:val="18"/>
              </w:rPr>
            </w:pPr>
            <w:r w:rsidRPr="005E2E96">
              <w:rPr>
                <w:sz w:val="18"/>
              </w:rPr>
              <w:t>317,426</w:t>
            </w:r>
          </w:p>
        </w:tc>
        <w:tc>
          <w:tcPr>
            <w:tcW w:w="1327" w:type="dxa"/>
            <w:shd w:val="clear" w:color="auto" w:fill="auto"/>
          </w:tcPr>
          <w:p w14:paraId="0D715AE2" w14:textId="77777777" w:rsidR="000E0964" w:rsidRPr="005E2E96" w:rsidRDefault="000E0964" w:rsidP="009A3176">
            <w:pPr>
              <w:spacing w:after="60"/>
              <w:jc w:val="right"/>
              <w:rPr>
                <w:sz w:val="18"/>
              </w:rPr>
            </w:pPr>
            <w:r w:rsidRPr="005E2E96">
              <w:rPr>
                <w:sz w:val="18"/>
              </w:rPr>
              <w:t>666,018</w:t>
            </w:r>
          </w:p>
        </w:tc>
        <w:tc>
          <w:tcPr>
            <w:tcW w:w="1328" w:type="dxa"/>
            <w:shd w:val="clear" w:color="auto" w:fill="auto"/>
          </w:tcPr>
          <w:p w14:paraId="50B857A8" w14:textId="77777777" w:rsidR="000E0964" w:rsidRPr="005E2E96" w:rsidRDefault="000E0964" w:rsidP="009A3176">
            <w:pPr>
              <w:spacing w:after="60"/>
              <w:jc w:val="right"/>
              <w:rPr>
                <w:sz w:val="18"/>
              </w:rPr>
            </w:pPr>
            <w:r w:rsidRPr="005E2E96">
              <w:rPr>
                <w:sz w:val="18"/>
              </w:rPr>
              <w:t>2,008,633</w:t>
            </w:r>
          </w:p>
        </w:tc>
      </w:tr>
      <w:tr w:rsidR="000E0964" w:rsidRPr="005E2E96" w14:paraId="15DB45C1" w14:textId="77777777" w:rsidTr="000E0964">
        <w:trPr>
          <w:trHeight w:val="240"/>
        </w:trPr>
        <w:tc>
          <w:tcPr>
            <w:tcW w:w="0" w:type="auto"/>
            <w:vMerge w:val="restart"/>
            <w:shd w:val="clear" w:color="auto" w:fill="auto"/>
          </w:tcPr>
          <w:p w14:paraId="0188BAC7" w14:textId="77777777" w:rsidR="000E0964" w:rsidRPr="005E2E96" w:rsidRDefault="000E0964" w:rsidP="009A3176">
            <w:pPr>
              <w:spacing w:after="60"/>
              <w:rPr>
                <w:sz w:val="18"/>
              </w:rPr>
            </w:pPr>
            <w:r w:rsidRPr="005E2E96">
              <w:rPr>
                <w:sz w:val="18"/>
              </w:rPr>
              <w:t>Italy</w:t>
            </w:r>
          </w:p>
        </w:tc>
        <w:tc>
          <w:tcPr>
            <w:tcW w:w="0" w:type="auto"/>
            <w:shd w:val="clear" w:color="auto" w:fill="auto"/>
          </w:tcPr>
          <w:p w14:paraId="757223D4" w14:textId="77777777" w:rsidR="000E0964" w:rsidRPr="005E2E96" w:rsidRDefault="000E0964" w:rsidP="009A3176">
            <w:pPr>
              <w:spacing w:after="60"/>
              <w:jc w:val="left"/>
              <w:rPr>
                <w:sz w:val="18"/>
              </w:rPr>
            </w:pPr>
            <w:r w:rsidRPr="005E2E96">
              <w:rPr>
                <w:sz w:val="18"/>
              </w:rPr>
              <w:t>ODS phase-out (ODP tonnes)</w:t>
            </w:r>
          </w:p>
        </w:tc>
        <w:tc>
          <w:tcPr>
            <w:tcW w:w="1327" w:type="dxa"/>
            <w:shd w:val="clear" w:color="auto" w:fill="auto"/>
          </w:tcPr>
          <w:p w14:paraId="36D57D6B" w14:textId="77777777" w:rsidR="000E0964" w:rsidRPr="005E2E96" w:rsidRDefault="000E0964" w:rsidP="009A3176">
            <w:pPr>
              <w:spacing w:after="60"/>
              <w:jc w:val="right"/>
              <w:rPr>
                <w:sz w:val="18"/>
              </w:rPr>
            </w:pPr>
            <w:r w:rsidRPr="005E2E96">
              <w:rPr>
                <w:sz w:val="18"/>
              </w:rPr>
              <w:t>7.25</w:t>
            </w:r>
          </w:p>
        </w:tc>
        <w:tc>
          <w:tcPr>
            <w:tcW w:w="1327" w:type="dxa"/>
            <w:shd w:val="clear" w:color="auto" w:fill="auto"/>
          </w:tcPr>
          <w:p w14:paraId="37394B90" w14:textId="77777777" w:rsidR="000E0964" w:rsidRPr="005E2E96" w:rsidRDefault="000E0964" w:rsidP="009A3176">
            <w:pPr>
              <w:spacing w:after="60"/>
              <w:jc w:val="right"/>
              <w:rPr>
                <w:sz w:val="18"/>
              </w:rPr>
            </w:pPr>
            <w:r w:rsidRPr="005E2E96">
              <w:rPr>
                <w:sz w:val="18"/>
              </w:rPr>
              <w:t>0</w:t>
            </w:r>
          </w:p>
        </w:tc>
        <w:tc>
          <w:tcPr>
            <w:tcW w:w="1327" w:type="dxa"/>
            <w:shd w:val="clear" w:color="auto" w:fill="auto"/>
          </w:tcPr>
          <w:p w14:paraId="2C14970D" w14:textId="77777777" w:rsidR="000E0964" w:rsidRPr="005E2E96" w:rsidRDefault="000E0964" w:rsidP="009A3176">
            <w:pPr>
              <w:spacing w:after="60"/>
              <w:jc w:val="right"/>
              <w:rPr>
                <w:sz w:val="18"/>
              </w:rPr>
            </w:pPr>
            <w:r w:rsidRPr="005E2E96">
              <w:rPr>
                <w:sz w:val="18"/>
              </w:rPr>
              <w:t>0</w:t>
            </w:r>
          </w:p>
        </w:tc>
        <w:tc>
          <w:tcPr>
            <w:tcW w:w="1328" w:type="dxa"/>
            <w:shd w:val="clear" w:color="auto" w:fill="auto"/>
          </w:tcPr>
          <w:p w14:paraId="2CF388FE" w14:textId="77777777" w:rsidR="000E0964" w:rsidRPr="005E2E96" w:rsidRDefault="000E0964" w:rsidP="009A3176">
            <w:pPr>
              <w:spacing w:after="60"/>
              <w:jc w:val="right"/>
              <w:rPr>
                <w:sz w:val="18"/>
              </w:rPr>
            </w:pPr>
            <w:r w:rsidRPr="005E2E96">
              <w:rPr>
                <w:sz w:val="18"/>
              </w:rPr>
              <w:t>7.25</w:t>
            </w:r>
          </w:p>
        </w:tc>
      </w:tr>
      <w:tr w:rsidR="000E0964" w:rsidRPr="005E2E96" w14:paraId="25AD4858" w14:textId="77777777" w:rsidTr="000E0964">
        <w:trPr>
          <w:trHeight w:val="240"/>
        </w:trPr>
        <w:tc>
          <w:tcPr>
            <w:tcW w:w="0" w:type="auto"/>
            <w:vMerge/>
            <w:shd w:val="clear" w:color="auto" w:fill="auto"/>
          </w:tcPr>
          <w:p w14:paraId="180FA98C" w14:textId="77777777" w:rsidR="000E0964" w:rsidRPr="005E2E96" w:rsidRDefault="000E0964" w:rsidP="009A3176">
            <w:pPr>
              <w:spacing w:after="60"/>
              <w:rPr>
                <w:sz w:val="18"/>
              </w:rPr>
            </w:pPr>
          </w:p>
        </w:tc>
        <w:tc>
          <w:tcPr>
            <w:tcW w:w="0" w:type="auto"/>
            <w:shd w:val="clear" w:color="auto" w:fill="auto"/>
          </w:tcPr>
          <w:p w14:paraId="2BE82EAF" w14:textId="50E95A8B" w:rsidR="000E0964" w:rsidRPr="005E2E96" w:rsidRDefault="000E0964" w:rsidP="009A3176">
            <w:pPr>
              <w:spacing w:after="60"/>
              <w:jc w:val="left"/>
              <w:rPr>
                <w:sz w:val="18"/>
              </w:rPr>
            </w:pPr>
            <w:r w:rsidRPr="005E2E96">
              <w:rPr>
                <w:sz w:val="18"/>
              </w:rPr>
              <w:t>Funding (</w:t>
            </w:r>
            <w:r w:rsidR="00687BDF" w:rsidRPr="005E2E96">
              <w:rPr>
                <w:sz w:val="18"/>
              </w:rPr>
              <w:t>US $</w:t>
            </w:r>
            <w:r w:rsidRPr="005E2E96">
              <w:rPr>
                <w:sz w:val="18"/>
              </w:rPr>
              <w:t>)</w:t>
            </w:r>
          </w:p>
        </w:tc>
        <w:tc>
          <w:tcPr>
            <w:tcW w:w="1327" w:type="dxa"/>
            <w:shd w:val="clear" w:color="auto" w:fill="auto"/>
          </w:tcPr>
          <w:p w14:paraId="0553CCB7" w14:textId="77777777" w:rsidR="000E0964" w:rsidRPr="005E2E96" w:rsidRDefault="000E0964" w:rsidP="009A3176">
            <w:pPr>
              <w:spacing w:after="60"/>
              <w:jc w:val="right"/>
              <w:rPr>
                <w:sz w:val="18"/>
              </w:rPr>
            </w:pPr>
            <w:r w:rsidRPr="005E2E96">
              <w:rPr>
                <w:sz w:val="18"/>
              </w:rPr>
              <w:t>565,000</w:t>
            </w:r>
          </w:p>
        </w:tc>
        <w:tc>
          <w:tcPr>
            <w:tcW w:w="1327" w:type="dxa"/>
            <w:shd w:val="clear" w:color="auto" w:fill="auto"/>
          </w:tcPr>
          <w:p w14:paraId="7AE1337C" w14:textId="77777777" w:rsidR="000E0964" w:rsidRPr="005E2E96" w:rsidRDefault="000E0964" w:rsidP="009A3176">
            <w:pPr>
              <w:spacing w:after="60"/>
              <w:jc w:val="right"/>
              <w:rPr>
                <w:sz w:val="18"/>
              </w:rPr>
            </w:pPr>
            <w:r w:rsidRPr="005E2E96">
              <w:rPr>
                <w:sz w:val="18"/>
              </w:rPr>
              <w:t>0</w:t>
            </w:r>
          </w:p>
        </w:tc>
        <w:tc>
          <w:tcPr>
            <w:tcW w:w="1327" w:type="dxa"/>
            <w:shd w:val="clear" w:color="auto" w:fill="auto"/>
          </w:tcPr>
          <w:p w14:paraId="2C81264B" w14:textId="77777777" w:rsidR="000E0964" w:rsidRPr="005E2E96" w:rsidRDefault="000E0964" w:rsidP="009A3176">
            <w:pPr>
              <w:spacing w:after="60"/>
              <w:jc w:val="right"/>
              <w:rPr>
                <w:sz w:val="18"/>
              </w:rPr>
            </w:pPr>
            <w:r w:rsidRPr="005E2E96">
              <w:rPr>
                <w:sz w:val="18"/>
              </w:rPr>
              <w:t>0</w:t>
            </w:r>
          </w:p>
        </w:tc>
        <w:tc>
          <w:tcPr>
            <w:tcW w:w="1328" w:type="dxa"/>
            <w:shd w:val="clear" w:color="auto" w:fill="auto"/>
          </w:tcPr>
          <w:p w14:paraId="71A6C3AA" w14:textId="77777777" w:rsidR="000E0964" w:rsidRPr="005E2E96" w:rsidRDefault="000E0964" w:rsidP="009A3176">
            <w:pPr>
              <w:spacing w:after="60"/>
              <w:jc w:val="right"/>
              <w:rPr>
                <w:sz w:val="18"/>
              </w:rPr>
            </w:pPr>
            <w:r w:rsidRPr="005E2E96">
              <w:rPr>
                <w:sz w:val="18"/>
              </w:rPr>
              <w:t>565,000</w:t>
            </w:r>
          </w:p>
        </w:tc>
      </w:tr>
    </w:tbl>
    <w:p w14:paraId="03BD2DEA" w14:textId="77777777" w:rsidR="000E0964" w:rsidRPr="005E2E96" w:rsidRDefault="000E0964" w:rsidP="009A3176">
      <w:pPr>
        <w:spacing w:after="60"/>
        <w:contextualSpacing/>
        <w:rPr>
          <w:sz w:val="6"/>
          <w:szCs w:val="6"/>
        </w:rPr>
      </w:pPr>
    </w:p>
    <w:tbl>
      <w:tblPr>
        <w:tblStyle w:val="TableGrid"/>
        <w:tblW w:w="11199"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28" w:type="dxa"/>
          <w:right w:w="28" w:type="dxa"/>
        </w:tblCellMar>
        <w:tblLook w:val="04A0" w:firstRow="1" w:lastRow="0" w:firstColumn="1" w:lastColumn="0" w:noHBand="0" w:noVBand="1"/>
      </w:tblPr>
      <w:tblGrid>
        <w:gridCol w:w="713"/>
        <w:gridCol w:w="2139"/>
        <w:gridCol w:w="1285"/>
        <w:gridCol w:w="856"/>
        <w:gridCol w:w="712"/>
        <w:gridCol w:w="958"/>
        <w:gridCol w:w="850"/>
        <w:gridCol w:w="851"/>
        <w:gridCol w:w="708"/>
        <w:gridCol w:w="709"/>
        <w:gridCol w:w="567"/>
        <w:gridCol w:w="851"/>
      </w:tblGrid>
      <w:tr w:rsidR="000E0964" w:rsidRPr="005E2E96" w14:paraId="17C24BF5" w14:textId="77777777" w:rsidTr="006D3008">
        <w:trPr>
          <w:trHeight w:val="256"/>
        </w:trPr>
        <w:tc>
          <w:tcPr>
            <w:tcW w:w="4137" w:type="dxa"/>
            <w:gridSpan w:val="3"/>
            <w:shd w:val="clear" w:color="auto" w:fill="auto"/>
          </w:tcPr>
          <w:p w14:paraId="0B972A99" w14:textId="77777777" w:rsidR="000E0964" w:rsidRPr="005E2E96" w:rsidRDefault="000E0964" w:rsidP="009A3176">
            <w:pPr>
              <w:spacing w:after="60"/>
              <w:jc w:val="left"/>
              <w:rPr>
                <w:b/>
                <w:sz w:val="18"/>
              </w:rPr>
            </w:pPr>
            <w:r w:rsidRPr="005E2E96">
              <w:rPr>
                <w:b/>
                <w:sz w:val="18"/>
              </w:rPr>
              <w:t>(VI) PROJECT DATA</w:t>
            </w:r>
          </w:p>
        </w:tc>
        <w:tc>
          <w:tcPr>
            <w:tcW w:w="856" w:type="dxa"/>
            <w:shd w:val="clear" w:color="auto" w:fill="auto"/>
          </w:tcPr>
          <w:p w14:paraId="4149F916" w14:textId="77777777" w:rsidR="000E0964" w:rsidRPr="005E2E96" w:rsidRDefault="000E0964" w:rsidP="009A3176">
            <w:pPr>
              <w:spacing w:after="60"/>
              <w:jc w:val="center"/>
              <w:rPr>
                <w:b/>
                <w:sz w:val="18"/>
              </w:rPr>
            </w:pPr>
            <w:r w:rsidRPr="005E2E96">
              <w:rPr>
                <w:b/>
                <w:sz w:val="18"/>
              </w:rPr>
              <w:t>2016</w:t>
            </w:r>
          </w:p>
        </w:tc>
        <w:tc>
          <w:tcPr>
            <w:tcW w:w="712" w:type="dxa"/>
            <w:shd w:val="clear" w:color="auto" w:fill="auto"/>
          </w:tcPr>
          <w:p w14:paraId="4DE5A219" w14:textId="77777777" w:rsidR="000E0964" w:rsidRPr="005E2E96" w:rsidRDefault="000E0964" w:rsidP="009A3176">
            <w:pPr>
              <w:spacing w:after="60"/>
              <w:jc w:val="center"/>
              <w:rPr>
                <w:b/>
                <w:sz w:val="18"/>
              </w:rPr>
            </w:pPr>
            <w:r w:rsidRPr="005E2E96">
              <w:rPr>
                <w:b/>
                <w:sz w:val="18"/>
              </w:rPr>
              <w:t>2017</w:t>
            </w:r>
          </w:p>
        </w:tc>
        <w:tc>
          <w:tcPr>
            <w:tcW w:w="958" w:type="dxa"/>
            <w:shd w:val="clear" w:color="auto" w:fill="auto"/>
          </w:tcPr>
          <w:p w14:paraId="7D888281" w14:textId="77777777" w:rsidR="000E0964" w:rsidRPr="005E2E96" w:rsidRDefault="000E0964" w:rsidP="009A3176">
            <w:pPr>
              <w:spacing w:after="60"/>
              <w:jc w:val="center"/>
              <w:rPr>
                <w:b/>
                <w:sz w:val="18"/>
              </w:rPr>
            </w:pPr>
            <w:r w:rsidRPr="005E2E96">
              <w:rPr>
                <w:b/>
                <w:sz w:val="18"/>
              </w:rPr>
              <w:t>2018</w:t>
            </w:r>
          </w:p>
        </w:tc>
        <w:tc>
          <w:tcPr>
            <w:tcW w:w="850" w:type="dxa"/>
            <w:shd w:val="clear" w:color="auto" w:fill="auto"/>
          </w:tcPr>
          <w:p w14:paraId="79037E81" w14:textId="77777777" w:rsidR="000E0964" w:rsidRPr="005E2E96" w:rsidRDefault="000E0964" w:rsidP="009A3176">
            <w:pPr>
              <w:spacing w:after="60"/>
              <w:jc w:val="center"/>
              <w:rPr>
                <w:b/>
                <w:sz w:val="18"/>
              </w:rPr>
            </w:pPr>
            <w:r w:rsidRPr="005E2E96">
              <w:rPr>
                <w:b/>
                <w:sz w:val="18"/>
              </w:rPr>
              <w:t>2019</w:t>
            </w:r>
          </w:p>
        </w:tc>
        <w:tc>
          <w:tcPr>
            <w:tcW w:w="851" w:type="dxa"/>
            <w:shd w:val="clear" w:color="auto" w:fill="auto"/>
          </w:tcPr>
          <w:p w14:paraId="16190D95" w14:textId="77777777" w:rsidR="000E0964" w:rsidRPr="005E2E96" w:rsidRDefault="000E0964" w:rsidP="009A3176">
            <w:pPr>
              <w:spacing w:after="60"/>
              <w:jc w:val="center"/>
              <w:rPr>
                <w:b/>
                <w:sz w:val="18"/>
              </w:rPr>
            </w:pPr>
            <w:r w:rsidRPr="005E2E96">
              <w:rPr>
                <w:b/>
                <w:sz w:val="18"/>
              </w:rPr>
              <w:t>2020</w:t>
            </w:r>
          </w:p>
        </w:tc>
        <w:tc>
          <w:tcPr>
            <w:tcW w:w="708" w:type="dxa"/>
            <w:shd w:val="clear" w:color="auto" w:fill="auto"/>
          </w:tcPr>
          <w:p w14:paraId="5A2AC433" w14:textId="77777777" w:rsidR="000E0964" w:rsidRPr="005E2E96" w:rsidRDefault="000E0964" w:rsidP="009A3176">
            <w:pPr>
              <w:spacing w:after="60"/>
              <w:jc w:val="center"/>
              <w:rPr>
                <w:b/>
                <w:sz w:val="18"/>
              </w:rPr>
            </w:pPr>
            <w:r w:rsidRPr="005E2E96">
              <w:rPr>
                <w:b/>
                <w:sz w:val="18"/>
              </w:rPr>
              <w:t>2021</w:t>
            </w:r>
          </w:p>
        </w:tc>
        <w:tc>
          <w:tcPr>
            <w:tcW w:w="709" w:type="dxa"/>
            <w:shd w:val="clear" w:color="auto" w:fill="auto"/>
          </w:tcPr>
          <w:p w14:paraId="35B5C5C6" w14:textId="77777777" w:rsidR="000E0964" w:rsidRPr="005E2E96" w:rsidRDefault="000E0964" w:rsidP="009A3176">
            <w:pPr>
              <w:spacing w:after="60"/>
              <w:jc w:val="center"/>
              <w:rPr>
                <w:b/>
                <w:sz w:val="18"/>
              </w:rPr>
            </w:pPr>
            <w:r w:rsidRPr="005E2E96">
              <w:rPr>
                <w:b/>
                <w:sz w:val="18"/>
              </w:rPr>
              <w:t>2022</w:t>
            </w:r>
          </w:p>
        </w:tc>
        <w:tc>
          <w:tcPr>
            <w:tcW w:w="567" w:type="dxa"/>
            <w:shd w:val="clear" w:color="auto" w:fill="auto"/>
          </w:tcPr>
          <w:p w14:paraId="19711054" w14:textId="77777777" w:rsidR="000E0964" w:rsidRPr="005E2E96" w:rsidRDefault="000E0964" w:rsidP="009A3176">
            <w:pPr>
              <w:spacing w:after="60"/>
              <w:jc w:val="center"/>
              <w:rPr>
                <w:b/>
                <w:sz w:val="18"/>
              </w:rPr>
            </w:pPr>
            <w:r w:rsidRPr="005E2E96">
              <w:rPr>
                <w:b/>
                <w:sz w:val="18"/>
              </w:rPr>
              <w:t>2023</w:t>
            </w:r>
          </w:p>
        </w:tc>
        <w:tc>
          <w:tcPr>
            <w:tcW w:w="851" w:type="dxa"/>
            <w:shd w:val="clear" w:color="auto" w:fill="auto"/>
          </w:tcPr>
          <w:p w14:paraId="218C205D" w14:textId="77777777" w:rsidR="000E0964" w:rsidRPr="005E2E96" w:rsidRDefault="000E0964" w:rsidP="009A3176">
            <w:pPr>
              <w:spacing w:after="60"/>
              <w:jc w:val="center"/>
              <w:rPr>
                <w:b/>
                <w:sz w:val="18"/>
              </w:rPr>
            </w:pPr>
            <w:r w:rsidRPr="005E2E96">
              <w:rPr>
                <w:b/>
                <w:sz w:val="18"/>
              </w:rPr>
              <w:t>Total</w:t>
            </w:r>
          </w:p>
        </w:tc>
      </w:tr>
      <w:tr w:rsidR="000E0964" w:rsidRPr="005E2E96" w14:paraId="3682C453" w14:textId="77777777" w:rsidTr="006D3008">
        <w:trPr>
          <w:trHeight w:val="104"/>
        </w:trPr>
        <w:tc>
          <w:tcPr>
            <w:tcW w:w="4137" w:type="dxa"/>
            <w:gridSpan w:val="3"/>
            <w:shd w:val="clear" w:color="auto" w:fill="auto"/>
          </w:tcPr>
          <w:p w14:paraId="13E8A403" w14:textId="77777777" w:rsidR="000E0964" w:rsidRPr="005E2E96" w:rsidRDefault="000E0964" w:rsidP="009A3176">
            <w:pPr>
              <w:spacing w:after="60"/>
              <w:jc w:val="left"/>
              <w:rPr>
                <w:sz w:val="18"/>
              </w:rPr>
            </w:pPr>
            <w:r w:rsidRPr="005E2E96">
              <w:rPr>
                <w:sz w:val="18"/>
              </w:rPr>
              <w:t>Montreal Protocol consumption limits</w:t>
            </w:r>
          </w:p>
        </w:tc>
        <w:tc>
          <w:tcPr>
            <w:tcW w:w="856" w:type="dxa"/>
            <w:tcBorders>
              <w:top w:val="single" w:sz="4" w:space="0" w:color="666699"/>
              <w:left w:val="single" w:sz="4" w:space="0" w:color="666699"/>
              <w:bottom w:val="single" w:sz="4" w:space="0" w:color="666699"/>
              <w:right w:val="single" w:sz="4" w:space="0" w:color="666699"/>
            </w:tcBorders>
            <w:vAlign w:val="center"/>
          </w:tcPr>
          <w:p w14:paraId="5EE8CECB" w14:textId="77777777" w:rsidR="000E0964" w:rsidRPr="005E2E96" w:rsidRDefault="000E0964" w:rsidP="009A3176">
            <w:pPr>
              <w:jc w:val="right"/>
              <w:rPr>
                <w:rFonts w:ascii="Calibri" w:eastAsiaTheme="minorHAnsi" w:hAnsi="Calibri"/>
                <w:sz w:val="18"/>
                <w:szCs w:val="18"/>
              </w:rPr>
            </w:pPr>
            <w:r w:rsidRPr="005E2E96">
              <w:rPr>
                <w:sz w:val="18"/>
                <w:szCs w:val="18"/>
              </w:rPr>
              <w:t>342.45</w:t>
            </w:r>
          </w:p>
        </w:tc>
        <w:tc>
          <w:tcPr>
            <w:tcW w:w="712" w:type="dxa"/>
            <w:tcBorders>
              <w:top w:val="single" w:sz="4" w:space="0" w:color="666699"/>
              <w:left w:val="single" w:sz="4" w:space="0" w:color="666699"/>
              <w:bottom w:val="single" w:sz="4" w:space="0" w:color="666699"/>
              <w:right w:val="single" w:sz="4" w:space="0" w:color="666699"/>
            </w:tcBorders>
            <w:vAlign w:val="center"/>
          </w:tcPr>
          <w:p w14:paraId="24523B6F" w14:textId="77777777" w:rsidR="000E0964" w:rsidRPr="005E2E96" w:rsidRDefault="000E0964" w:rsidP="009A3176">
            <w:pPr>
              <w:jc w:val="right"/>
              <w:rPr>
                <w:rFonts w:ascii="Calibri" w:eastAsiaTheme="minorHAnsi" w:hAnsi="Calibri"/>
                <w:sz w:val="18"/>
                <w:szCs w:val="18"/>
              </w:rPr>
            </w:pPr>
            <w:r w:rsidRPr="005E2E96">
              <w:rPr>
                <w:sz w:val="18"/>
                <w:szCs w:val="18"/>
              </w:rPr>
              <w:t>342.45</w:t>
            </w:r>
          </w:p>
        </w:tc>
        <w:tc>
          <w:tcPr>
            <w:tcW w:w="958" w:type="dxa"/>
            <w:tcBorders>
              <w:top w:val="single" w:sz="4" w:space="0" w:color="666699"/>
              <w:left w:val="single" w:sz="4" w:space="0" w:color="666699"/>
              <w:bottom w:val="single" w:sz="4" w:space="0" w:color="666699"/>
              <w:right w:val="single" w:sz="4" w:space="0" w:color="666699"/>
            </w:tcBorders>
            <w:vAlign w:val="center"/>
          </w:tcPr>
          <w:p w14:paraId="01BEC434" w14:textId="77777777" w:rsidR="000E0964" w:rsidRPr="005E2E96" w:rsidRDefault="000E0964" w:rsidP="009A3176">
            <w:pPr>
              <w:jc w:val="right"/>
              <w:rPr>
                <w:rFonts w:ascii="Calibri" w:eastAsiaTheme="minorHAnsi" w:hAnsi="Calibri"/>
                <w:sz w:val="18"/>
                <w:szCs w:val="18"/>
              </w:rPr>
            </w:pPr>
            <w:r w:rsidRPr="005E2E96">
              <w:rPr>
                <w:sz w:val="18"/>
                <w:szCs w:val="18"/>
              </w:rPr>
              <w:t>342.45</w:t>
            </w:r>
          </w:p>
        </w:tc>
        <w:tc>
          <w:tcPr>
            <w:tcW w:w="850" w:type="dxa"/>
            <w:tcBorders>
              <w:top w:val="single" w:sz="4" w:space="0" w:color="666699"/>
              <w:left w:val="single" w:sz="4" w:space="0" w:color="666699"/>
              <w:bottom w:val="single" w:sz="4" w:space="0" w:color="666699"/>
              <w:right w:val="single" w:sz="4" w:space="0" w:color="666699"/>
            </w:tcBorders>
            <w:vAlign w:val="center"/>
          </w:tcPr>
          <w:p w14:paraId="0E79BF2F" w14:textId="77777777" w:rsidR="000E0964" w:rsidRPr="005E2E96" w:rsidRDefault="000E0964" w:rsidP="009A3176">
            <w:pPr>
              <w:jc w:val="right"/>
              <w:rPr>
                <w:rFonts w:ascii="Calibri" w:eastAsiaTheme="minorHAnsi" w:hAnsi="Calibri"/>
                <w:sz w:val="18"/>
                <w:szCs w:val="18"/>
              </w:rPr>
            </w:pPr>
            <w:r w:rsidRPr="005E2E96">
              <w:rPr>
                <w:sz w:val="18"/>
                <w:szCs w:val="18"/>
              </w:rPr>
              <w:t>342.45</w:t>
            </w:r>
          </w:p>
        </w:tc>
        <w:tc>
          <w:tcPr>
            <w:tcW w:w="851" w:type="dxa"/>
            <w:tcBorders>
              <w:top w:val="single" w:sz="4" w:space="0" w:color="666699"/>
              <w:left w:val="single" w:sz="4" w:space="0" w:color="666699"/>
              <w:bottom w:val="single" w:sz="4" w:space="0" w:color="666699"/>
              <w:right w:val="single" w:sz="4" w:space="0" w:color="666699"/>
            </w:tcBorders>
            <w:vAlign w:val="center"/>
          </w:tcPr>
          <w:p w14:paraId="6FA81BB5" w14:textId="77777777" w:rsidR="000E0964" w:rsidRPr="005E2E96" w:rsidRDefault="000E0964" w:rsidP="009A3176">
            <w:pPr>
              <w:jc w:val="right"/>
              <w:rPr>
                <w:rFonts w:ascii="Calibri" w:eastAsiaTheme="minorHAnsi" w:hAnsi="Calibri"/>
                <w:sz w:val="18"/>
                <w:szCs w:val="18"/>
              </w:rPr>
            </w:pPr>
            <w:r w:rsidRPr="005E2E96">
              <w:rPr>
                <w:sz w:val="18"/>
                <w:szCs w:val="18"/>
              </w:rPr>
              <w:t>247.33</w:t>
            </w:r>
          </w:p>
        </w:tc>
        <w:tc>
          <w:tcPr>
            <w:tcW w:w="708" w:type="dxa"/>
            <w:tcBorders>
              <w:top w:val="single" w:sz="4" w:space="0" w:color="666699"/>
              <w:left w:val="single" w:sz="4" w:space="0" w:color="666699"/>
              <w:bottom w:val="single" w:sz="4" w:space="0" w:color="666699"/>
              <w:right w:val="single" w:sz="4" w:space="0" w:color="666699"/>
            </w:tcBorders>
            <w:vAlign w:val="center"/>
          </w:tcPr>
          <w:p w14:paraId="1F3BD0FD" w14:textId="77777777" w:rsidR="000E0964" w:rsidRPr="005E2E96" w:rsidRDefault="000E0964" w:rsidP="009A3176">
            <w:pPr>
              <w:jc w:val="right"/>
              <w:rPr>
                <w:rFonts w:ascii="Calibri" w:eastAsiaTheme="minorHAnsi" w:hAnsi="Calibri"/>
                <w:sz w:val="18"/>
                <w:szCs w:val="18"/>
              </w:rPr>
            </w:pPr>
            <w:r w:rsidRPr="005E2E96">
              <w:rPr>
                <w:sz w:val="18"/>
                <w:szCs w:val="18"/>
              </w:rPr>
              <w:t>247.33</w:t>
            </w:r>
          </w:p>
        </w:tc>
        <w:tc>
          <w:tcPr>
            <w:tcW w:w="709" w:type="dxa"/>
            <w:tcBorders>
              <w:top w:val="single" w:sz="4" w:space="0" w:color="666699"/>
              <w:left w:val="single" w:sz="4" w:space="0" w:color="666699"/>
              <w:bottom w:val="single" w:sz="4" w:space="0" w:color="666699"/>
              <w:right w:val="single" w:sz="4" w:space="0" w:color="666699"/>
            </w:tcBorders>
            <w:vAlign w:val="center"/>
          </w:tcPr>
          <w:p w14:paraId="54CD327B" w14:textId="77777777" w:rsidR="000E0964" w:rsidRPr="005E2E96" w:rsidRDefault="000E0964" w:rsidP="009A3176">
            <w:pPr>
              <w:jc w:val="right"/>
              <w:rPr>
                <w:rFonts w:ascii="Calibri" w:eastAsiaTheme="minorHAnsi" w:hAnsi="Calibri"/>
                <w:sz w:val="18"/>
                <w:szCs w:val="18"/>
              </w:rPr>
            </w:pPr>
            <w:r w:rsidRPr="005E2E96">
              <w:rPr>
                <w:sz w:val="18"/>
                <w:szCs w:val="18"/>
              </w:rPr>
              <w:t>247.33</w:t>
            </w:r>
          </w:p>
        </w:tc>
        <w:tc>
          <w:tcPr>
            <w:tcW w:w="567" w:type="dxa"/>
            <w:tcBorders>
              <w:top w:val="single" w:sz="4" w:space="0" w:color="666699"/>
              <w:left w:val="single" w:sz="4" w:space="0" w:color="666699"/>
              <w:bottom w:val="single" w:sz="4" w:space="0" w:color="666699"/>
              <w:right w:val="single" w:sz="4" w:space="0" w:color="666699"/>
            </w:tcBorders>
            <w:vAlign w:val="center"/>
          </w:tcPr>
          <w:p w14:paraId="5F1677D7" w14:textId="77777777" w:rsidR="000E0964" w:rsidRPr="005E2E96" w:rsidRDefault="000E0964" w:rsidP="009A3176">
            <w:pPr>
              <w:jc w:val="right"/>
              <w:rPr>
                <w:rFonts w:ascii="Calibri" w:eastAsiaTheme="minorHAnsi" w:hAnsi="Calibri"/>
                <w:sz w:val="18"/>
                <w:szCs w:val="18"/>
              </w:rPr>
            </w:pPr>
            <w:r w:rsidRPr="005E2E96">
              <w:rPr>
                <w:sz w:val="18"/>
                <w:szCs w:val="18"/>
              </w:rPr>
              <w:t>247.33</w:t>
            </w:r>
          </w:p>
        </w:tc>
        <w:tc>
          <w:tcPr>
            <w:tcW w:w="851" w:type="dxa"/>
            <w:tcBorders>
              <w:top w:val="single" w:sz="4" w:space="0" w:color="666699"/>
              <w:left w:val="single" w:sz="4" w:space="0" w:color="666699"/>
              <w:bottom w:val="single" w:sz="4" w:space="0" w:color="666699"/>
              <w:right w:val="single" w:sz="4" w:space="0" w:color="666699"/>
            </w:tcBorders>
            <w:vAlign w:val="center"/>
          </w:tcPr>
          <w:p w14:paraId="7C00672B" w14:textId="77777777" w:rsidR="000E0964" w:rsidRPr="005E2E96" w:rsidRDefault="000E0964" w:rsidP="009A3176">
            <w:pPr>
              <w:jc w:val="right"/>
              <w:rPr>
                <w:rFonts w:eastAsiaTheme="minorHAnsi"/>
                <w:sz w:val="18"/>
                <w:szCs w:val="18"/>
              </w:rPr>
            </w:pPr>
            <w:proofErr w:type="spellStart"/>
            <w:r w:rsidRPr="005E2E96">
              <w:rPr>
                <w:rFonts w:eastAsiaTheme="minorHAnsi"/>
                <w:sz w:val="18"/>
                <w:szCs w:val="18"/>
              </w:rPr>
              <w:t>n.a</w:t>
            </w:r>
            <w:proofErr w:type="spellEnd"/>
            <w:r w:rsidRPr="005E2E96">
              <w:rPr>
                <w:rFonts w:eastAsiaTheme="minorHAnsi"/>
                <w:sz w:val="18"/>
                <w:szCs w:val="18"/>
              </w:rPr>
              <w:t>.</w:t>
            </w:r>
          </w:p>
        </w:tc>
      </w:tr>
      <w:tr w:rsidR="000E0964" w:rsidRPr="005E2E96" w14:paraId="69F8E84D" w14:textId="77777777" w:rsidTr="006D3008">
        <w:trPr>
          <w:trHeight w:val="109"/>
        </w:trPr>
        <w:tc>
          <w:tcPr>
            <w:tcW w:w="4137" w:type="dxa"/>
            <w:gridSpan w:val="3"/>
            <w:shd w:val="clear" w:color="auto" w:fill="auto"/>
          </w:tcPr>
          <w:p w14:paraId="51B2669D" w14:textId="77777777" w:rsidR="000E0964" w:rsidRPr="005E2E96" w:rsidRDefault="000E0964" w:rsidP="009A3176">
            <w:pPr>
              <w:spacing w:after="60"/>
              <w:jc w:val="left"/>
              <w:rPr>
                <w:sz w:val="18"/>
              </w:rPr>
            </w:pPr>
            <w:r w:rsidRPr="005E2E96">
              <w:rPr>
                <w:sz w:val="18"/>
              </w:rPr>
              <w:t>Maximum allowable consumption (ODP tonnes)</w:t>
            </w:r>
          </w:p>
        </w:tc>
        <w:tc>
          <w:tcPr>
            <w:tcW w:w="856" w:type="dxa"/>
            <w:tcBorders>
              <w:top w:val="single" w:sz="4" w:space="0" w:color="666699"/>
              <w:left w:val="single" w:sz="4" w:space="0" w:color="666699"/>
              <w:bottom w:val="single" w:sz="4" w:space="0" w:color="666699"/>
              <w:right w:val="single" w:sz="4" w:space="0" w:color="666699"/>
            </w:tcBorders>
            <w:vAlign w:val="center"/>
          </w:tcPr>
          <w:p w14:paraId="4417734C" w14:textId="77777777" w:rsidR="000E0964" w:rsidRPr="005E2E96" w:rsidRDefault="000E0964" w:rsidP="009A3176">
            <w:pPr>
              <w:jc w:val="right"/>
              <w:rPr>
                <w:sz w:val="18"/>
                <w:szCs w:val="18"/>
              </w:rPr>
            </w:pPr>
            <w:r w:rsidRPr="005E2E96">
              <w:rPr>
                <w:sz w:val="18"/>
                <w:szCs w:val="18"/>
              </w:rPr>
              <w:t>342.45</w:t>
            </w:r>
          </w:p>
        </w:tc>
        <w:tc>
          <w:tcPr>
            <w:tcW w:w="712" w:type="dxa"/>
            <w:tcBorders>
              <w:top w:val="single" w:sz="4" w:space="0" w:color="666699"/>
              <w:left w:val="single" w:sz="4" w:space="0" w:color="666699"/>
              <w:bottom w:val="single" w:sz="4" w:space="0" w:color="666699"/>
              <w:right w:val="single" w:sz="4" w:space="0" w:color="666699"/>
            </w:tcBorders>
            <w:vAlign w:val="center"/>
          </w:tcPr>
          <w:p w14:paraId="52AEF16A" w14:textId="77777777" w:rsidR="000E0964" w:rsidRPr="005E2E96" w:rsidRDefault="000E0964" w:rsidP="009A3176">
            <w:pPr>
              <w:jc w:val="right"/>
              <w:rPr>
                <w:sz w:val="18"/>
                <w:szCs w:val="18"/>
              </w:rPr>
            </w:pPr>
            <w:r w:rsidRPr="005E2E96">
              <w:rPr>
                <w:sz w:val="18"/>
                <w:szCs w:val="18"/>
              </w:rPr>
              <w:t>342.45</w:t>
            </w:r>
          </w:p>
        </w:tc>
        <w:tc>
          <w:tcPr>
            <w:tcW w:w="958" w:type="dxa"/>
            <w:tcBorders>
              <w:top w:val="single" w:sz="4" w:space="0" w:color="666699"/>
              <w:left w:val="single" w:sz="4" w:space="0" w:color="666699"/>
              <w:bottom w:val="single" w:sz="4" w:space="0" w:color="666699"/>
              <w:right w:val="single" w:sz="4" w:space="0" w:color="666699"/>
            </w:tcBorders>
            <w:vAlign w:val="center"/>
          </w:tcPr>
          <w:p w14:paraId="1C70624D" w14:textId="77777777" w:rsidR="000E0964" w:rsidRPr="005E2E96" w:rsidRDefault="000E0964" w:rsidP="009A3176">
            <w:pPr>
              <w:jc w:val="right"/>
              <w:rPr>
                <w:sz w:val="18"/>
                <w:szCs w:val="18"/>
              </w:rPr>
            </w:pPr>
            <w:r w:rsidRPr="005E2E96">
              <w:rPr>
                <w:sz w:val="18"/>
                <w:szCs w:val="18"/>
              </w:rPr>
              <w:t>266.35</w:t>
            </w:r>
          </w:p>
        </w:tc>
        <w:tc>
          <w:tcPr>
            <w:tcW w:w="850" w:type="dxa"/>
            <w:tcBorders>
              <w:top w:val="single" w:sz="4" w:space="0" w:color="666699"/>
              <w:left w:val="single" w:sz="4" w:space="0" w:color="666699"/>
              <w:bottom w:val="single" w:sz="4" w:space="0" w:color="666699"/>
              <w:right w:val="single" w:sz="4" w:space="0" w:color="666699"/>
            </w:tcBorders>
            <w:vAlign w:val="center"/>
          </w:tcPr>
          <w:p w14:paraId="1E77E1F1" w14:textId="77777777" w:rsidR="000E0964" w:rsidRPr="005E2E96" w:rsidRDefault="000E0964" w:rsidP="009A3176">
            <w:pPr>
              <w:jc w:val="right"/>
              <w:rPr>
                <w:sz w:val="18"/>
                <w:szCs w:val="18"/>
              </w:rPr>
            </w:pPr>
            <w:r w:rsidRPr="005E2E96">
              <w:rPr>
                <w:sz w:val="18"/>
                <w:szCs w:val="18"/>
              </w:rPr>
              <w:t>266.35</w:t>
            </w:r>
          </w:p>
        </w:tc>
        <w:tc>
          <w:tcPr>
            <w:tcW w:w="851" w:type="dxa"/>
            <w:tcBorders>
              <w:top w:val="single" w:sz="4" w:space="0" w:color="666699"/>
              <w:left w:val="single" w:sz="4" w:space="0" w:color="666699"/>
              <w:bottom w:val="single" w:sz="4" w:space="0" w:color="666699"/>
              <w:right w:val="single" w:sz="4" w:space="0" w:color="666699"/>
            </w:tcBorders>
            <w:vAlign w:val="center"/>
          </w:tcPr>
          <w:p w14:paraId="78239657" w14:textId="77777777" w:rsidR="000E0964" w:rsidRPr="005E2E96" w:rsidRDefault="000E0964" w:rsidP="009A3176">
            <w:pPr>
              <w:jc w:val="right"/>
              <w:rPr>
                <w:sz w:val="18"/>
                <w:szCs w:val="18"/>
              </w:rPr>
            </w:pPr>
            <w:r w:rsidRPr="005E2E96">
              <w:rPr>
                <w:sz w:val="18"/>
                <w:szCs w:val="18"/>
              </w:rPr>
              <w:t>247.33</w:t>
            </w:r>
          </w:p>
        </w:tc>
        <w:tc>
          <w:tcPr>
            <w:tcW w:w="708" w:type="dxa"/>
            <w:tcBorders>
              <w:top w:val="single" w:sz="4" w:space="0" w:color="666699"/>
              <w:left w:val="single" w:sz="4" w:space="0" w:color="666699"/>
              <w:bottom w:val="single" w:sz="4" w:space="0" w:color="666699"/>
              <w:right w:val="single" w:sz="4" w:space="0" w:color="666699"/>
            </w:tcBorders>
            <w:vAlign w:val="center"/>
          </w:tcPr>
          <w:p w14:paraId="084B85DD" w14:textId="77777777" w:rsidR="000E0964" w:rsidRPr="005E2E96" w:rsidRDefault="000E0964" w:rsidP="009A3176">
            <w:pPr>
              <w:jc w:val="right"/>
              <w:rPr>
                <w:sz w:val="18"/>
                <w:szCs w:val="18"/>
              </w:rPr>
            </w:pPr>
            <w:r w:rsidRPr="005E2E96">
              <w:rPr>
                <w:sz w:val="18"/>
                <w:szCs w:val="18"/>
              </w:rPr>
              <w:t>247.33</w:t>
            </w:r>
          </w:p>
        </w:tc>
        <w:tc>
          <w:tcPr>
            <w:tcW w:w="709" w:type="dxa"/>
            <w:tcBorders>
              <w:top w:val="single" w:sz="4" w:space="0" w:color="666699"/>
              <w:left w:val="single" w:sz="4" w:space="0" w:color="666699"/>
              <w:bottom w:val="single" w:sz="4" w:space="0" w:color="666699"/>
              <w:right w:val="single" w:sz="4" w:space="0" w:color="666699"/>
            </w:tcBorders>
            <w:vAlign w:val="center"/>
          </w:tcPr>
          <w:p w14:paraId="545B254F" w14:textId="77777777" w:rsidR="000E0964" w:rsidRPr="005E2E96" w:rsidRDefault="000E0964" w:rsidP="009A3176">
            <w:pPr>
              <w:jc w:val="right"/>
              <w:rPr>
                <w:sz w:val="18"/>
                <w:szCs w:val="18"/>
              </w:rPr>
            </w:pPr>
            <w:r w:rsidRPr="005E2E96">
              <w:rPr>
                <w:sz w:val="18"/>
                <w:szCs w:val="18"/>
              </w:rPr>
              <w:t>247.33</w:t>
            </w:r>
          </w:p>
        </w:tc>
        <w:tc>
          <w:tcPr>
            <w:tcW w:w="567" w:type="dxa"/>
            <w:tcBorders>
              <w:top w:val="single" w:sz="4" w:space="0" w:color="666699"/>
              <w:left w:val="single" w:sz="4" w:space="0" w:color="666699"/>
              <w:bottom w:val="single" w:sz="4" w:space="0" w:color="666699"/>
              <w:right w:val="single" w:sz="4" w:space="0" w:color="666699"/>
            </w:tcBorders>
            <w:vAlign w:val="center"/>
          </w:tcPr>
          <w:p w14:paraId="47B3201D" w14:textId="77777777" w:rsidR="000E0964" w:rsidRPr="005E2E96" w:rsidRDefault="000E0964" w:rsidP="009A3176">
            <w:pPr>
              <w:jc w:val="right"/>
              <w:rPr>
                <w:sz w:val="18"/>
                <w:szCs w:val="18"/>
              </w:rPr>
            </w:pPr>
            <w:r w:rsidRPr="005E2E96">
              <w:rPr>
                <w:sz w:val="18"/>
                <w:szCs w:val="18"/>
              </w:rPr>
              <w:t>95.13</w:t>
            </w:r>
          </w:p>
        </w:tc>
        <w:tc>
          <w:tcPr>
            <w:tcW w:w="851" w:type="dxa"/>
            <w:tcBorders>
              <w:top w:val="single" w:sz="4" w:space="0" w:color="666699"/>
              <w:left w:val="single" w:sz="4" w:space="0" w:color="666699"/>
              <w:bottom w:val="single" w:sz="4" w:space="0" w:color="666699"/>
              <w:right w:val="single" w:sz="4" w:space="0" w:color="666699"/>
            </w:tcBorders>
            <w:vAlign w:val="center"/>
          </w:tcPr>
          <w:p w14:paraId="3DE3DF43" w14:textId="77777777" w:rsidR="000E0964" w:rsidRPr="005E2E96" w:rsidRDefault="000E0964" w:rsidP="009A3176">
            <w:pPr>
              <w:jc w:val="right"/>
              <w:rPr>
                <w:rFonts w:eastAsiaTheme="minorHAnsi"/>
                <w:sz w:val="18"/>
                <w:szCs w:val="18"/>
              </w:rPr>
            </w:pPr>
            <w:proofErr w:type="spellStart"/>
            <w:r w:rsidRPr="005E2E96">
              <w:rPr>
                <w:rFonts w:eastAsiaTheme="minorHAnsi"/>
                <w:sz w:val="18"/>
                <w:szCs w:val="18"/>
              </w:rPr>
              <w:t>n.a</w:t>
            </w:r>
            <w:proofErr w:type="spellEnd"/>
            <w:r w:rsidRPr="005E2E96">
              <w:rPr>
                <w:rFonts w:eastAsiaTheme="minorHAnsi"/>
                <w:sz w:val="18"/>
                <w:szCs w:val="18"/>
              </w:rPr>
              <w:t>.</w:t>
            </w:r>
          </w:p>
        </w:tc>
      </w:tr>
      <w:tr w:rsidR="006D3008" w:rsidRPr="005E2E96" w14:paraId="0FAC1277" w14:textId="77777777" w:rsidTr="006D3008">
        <w:trPr>
          <w:trHeight w:val="92"/>
        </w:trPr>
        <w:tc>
          <w:tcPr>
            <w:tcW w:w="713" w:type="dxa"/>
            <w:vMerge w:val="restart"/>
            <w:shd w:val="clear" w:color="auto" w:fill="auto"/>
          </w:tcPr>
          <w:p w14:paraId="0CF4BF72" w14:textId="6BD08988" w:rsidR="006D3008" w:rsidRPr="005E2E96" w:rsidRDefault="006D3008" w:rsidP="009A3176">
            <w:pPr>
              <w:spacing w:after="60"/>
              <w:jc w:val="left"/>
              <w:rPr>
                <w:sz w:val="18"/>
              </w:rPr>
            </w:pPr>
            <w:r w:rsidRPr="005E2E96">
              <w:rPr>
                <w:sz w:val="18"/>
              </w:rPr>
              <w:t>Agreed funding (</w:t>
            </w:r>
            <w:r w:rsidR="00687BDF" w:rsidRPr="005E2E96">
              <w:rPr>
                <w:sz w:val="18"/>
              </w:rPr>
              <w:t>US $</w:t>
            </w:r>
            <w:r w:rsidRPr="005E2E96">
              <w:rPr>
                <w:sz w:val="18"/>
              </w:rPr>
              <w:t>)</w:t>
            </w:r>
          </w:p>
        </w:tc>
        <w:tc>
          <w:tcPr>
            <w:tcW w:w="2139" w:type="dxa"/>
            <w:vMerge w:val="restart"/>
            <w:shd w:val="clear" w:color="auto" w:fill="auto"/>
          </w:tcPr>
          <w:p w14:paraId="24613A5A" w14:textId="77777777" w:rsidR="006D3008" w:rsidRPr="005E2E96" w:rsidRDefault="006D3008" w:rsidP="009A3176">
            <w:pPr>
              <w:spacing w:after="60"/>
              <w:rPr>
                <w:sz w:val="18"/>
              </w:rPr>
            </w:pPr>
            <w:r w:rsidRPr="005E2E96">
              <w:rPr>
                <w:sz w:val="18"/>
              </w:rPr>
              <w:t>UNDP</w:t>
            </w:r>
          </w:p>
        </w:tc>
        <w:tc>
          <w:tcPr>
            <w:tcW w:w="1285" w:type="dxa"/>
            <w:shd w:val="clear" w:color="auto" w:fill="auto"/>
          </w:tcPr>
          <w:p w14:paraId="4108628A" w14:textId="77777777" w:rsidR="006D3008" w:rsidRPr="005E2E96" w:rsidRDefault="006D3008" w:rsidP="009A3176">
            <w:pPr>
              <w:spacing w:after="60"/>
              <w:jc w:val="left"/>
              <w:rPr>
                <w:sz w:val="18"/>
              </w:rPr>
            </w:pPr>
            <w:r w:rsidRPr="005E2E96">
              <w:rPr>
                <w:sz w:val="18"/>
              </w:rPr>
              <w:t>Project costs</w:t>
            </w:r>
          </w:p>
        </w:tc>
        <w:tc>
          <w:tcPr>
            <w:tcW w:w="856" w:type="dxa"/>
            <w:shd w:val="clear" w:color="auto" w:fill="auto"/>
          </w:tcPr>
          <w:p w14:paraId="79B92BC9" w14:textId="77777777" w:rsidR="006D3008" w:rsidRPr="005E2E96" w:rsidRDefault="006D3008" w:rsidP="009A3176">
            <w:pPr>
              <w:spacing w:after="60"/>
              <w:jc w:val="right"/>
              <w:rPr>
                <w:sz w:val="18"/>
              </w:rPr>
            </w:pPr>
            <w:r w:rsidRPr="005E2E96">
              <w:rPr>
                <w:sz w:val="18"/>
              </w:rPr>
              <w:t>1,298,170</w:t>
            </w:r>
          </w:p>
        </w:tc>
        <w:tc>
          <w:tcPr>
            <w:tcW w:w="712" w:type="dxa"/>
            <w:shd w:val="clear" w:color="auto" w:fill="auto"/>
          </w:tcPr>
          <w:p w14:paraId="4FD1AE30"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3A143E21" w14:textId="457C5CAD" w:rsidR="006D3008" w:rsidRPr="005E2E96" w:rsidRDefault="006D3008" w:rsidP="009A3176">
            <w:pPr>
              <w:spacing w:after="60"/>
              <w:jc w:val="right"/>
              <w:rPr>
                <w:sz w:val="18"/>
              </w:rPr>
            </w:pPr>
            <w:r w:rsidRPr="005E2E96">
              <w:rPr>
                <w:sz w:val="18"/>
              </w:rPr>
              <w:t>1,593,980</w:t>
            </w:r>
          </w:p>
        </w:tc>
        <w:tc>
          <w:tcPr>
            <w:tcW w:w="850" w:type="dxa"/>
            <w:shd w:val="clear" w:color="auto" w:fill="auto"/>
          </w:tcPr>
          <w:p w14:paraId="35A057E6" w14:textId="63CCBD9D" w:rsidR="006D3008" w:rsidRPr="005E2E96" w:rsidRDefault="006D3008" w:rsidP="009A3176">
            <w:pPr>
              <w:spacing w:after="60"/>
              <w:jc w:val="right"/>
              <w:rPr>
                <w:sz w:val="18"/>
              </w:rPr>
            </w:pPr>
          </w:p>
        </w:tc>
        <w:tc>
          <w:tcPr>
            <w:tcW w:w="851" w:type="dxa"/>
            <w:shd w:val="clear" w:color="auto" w:fill="auto"/>
          </w:tcPr>
          <w:p w14:paraId="6358D936" w14:textId="77777777" w:rsidR="006D3008" w:rsidRPr="005E2E96" w:rsidRDefault="006D3008" w:rsidP="009A3176">
            <w:pPr>
              <w:spacing w:after="60"/>
              <w:jc w:val="right"/>
              <w:rPr>
                <w:sz w:val="18"/>
              </w:rPr>
            </w:pPr>
            <w:r w:rsidRPr="005E2E96">
              <w:rPr>
                <w:sz w:val="18"/>
              </w:rPr>
              <w:t>1,307,980</w:t>
            </w:r>
          </w:p>
        </w:tc>
        <w:tc>
          <w:tcPr>
            <w:tcW w:w="708" w:type="dxa"/>
            <w:shd w:val="clear" w:color="auto" w:fill="auto"/>
          </w:tcPr>
          <w:p w14:paraId="6291D178" w14:textId="77777777" w:rsidR="006D3008" w:rsidRPr="005E2E96" w:rsidRDefault="006D3008" w:rsidP="009A3176">
            <w:pPr>
              <w:spacing w:after="60"/>
              <w:jc w:val="right"/>
              <w:rPr>
                <w:sz w:val="18"/>
              </w:rPr>
            </w:pPr>
            <w:r w:rsidRPr="005E2E96">
              <w:rPr>
                <w:sz w:val="18"/>
              </w:rPr>
              <w:t>464,231</w:t>
            </w:r>
          </w:p>
        </w:tc>
        <w:tc>
          <w:tcPr>
            <w:tcW w:w="709" w:type="dxa"/>
            <w:shd w:val="clear" w:color="auto" w:fill="auto"/>
          </w:tcPr>
          <w:p w14:paraId="0F1DD52B" w14:textId="77777777" w:rsidR="006D3008" w:rsidRPr="005E2E96" w:rsidRDefault="006D3008" w:rsidP="009A3176">
            <w:pPr>
              <w:spacing w:after="60"/>
              <w:jc w:val="right"/>
              <w:rPr>
                <w:sz w:val="18"/>
              </w:rPr>
            </w:pPr>
            <w:r w:rsidRPr="005E2E96">
              <w:rPr>
                <w:sz w:val="18"/>
              </w:rPr>
              <w:t>241,000</w:t>
            </w:r>
          </w:p>
        </w:tc>
        <w:tc>
          <w:tcPr>
            <w:tcW w:w="567" w:type="dxa"/>
            <w:shd w:val="clear" w:color="auto" w:fill="auto"/>
          </w:tcPr>
          <w:p w14:paraId="06878DAB"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195291B2" w14:textId="77777777" w:rsidR="006D3008" w:rsidRPr="005E2E96" w:rsidRDefault="006D3008" w:rsidP="009A3176">
            <w:pPr>
              <w:spacing w:after="60"/>
              <w:jc w:val="right"/>
              <w:rPr>
                <w:sz w:val="18"/>
              </w:rPr>
            </w:pPr>
            <w:r w:rsidRPr="005E2E96">
              <w:rPr>
                <w:sz w:val="18"/>
              </w:rPr>
              <w:t>4,905,361</w:t>
            </w:r>
          </w:p>
        </w:tc>
      </w:tr>
      <w:tr w:rsidR="006D3008" w:rsidRPr="005E2E96" w14:paraId="6B301FA6" w14:textId="77777777" w:rsidTr="006D3008">
        <w:trPr>
          <w:trHeight w:val="186"/>
        </w:trPr>
        <w:tc>
          <w:tcPr>
            <w:tcW w:w="713" w:type="dxa"/>
            <w:vMerge/>
            <w:shd w:val="clear" w:color="auto" w:fill="auto"/>
          </w:tcPr>
          <w:p w14:paraId="574D0691" w14:textId="77777777" w:rsidR="006D3008" w:rsidRPr="005E2E96" w:rsidRDefault="006D3008" w:rsidP="009A3176">
            <w:pPr>
              <w:spacing w:after="60"/>
              <w:rPr>
                <w:sz w:val="18"/>
              </w:rPr>
            </w:pPr>
          </w:p>
        </w:tc>
        <w:tc>
          <w:tcPr>
            <w:tcW w:w="2139" w:type="dxa"/>
            <w:vMerge/>
            <w:shd w:val="clear" w:color="auto" w:fill="auto"/>
          </w:tcPr>
          <w:p w14:paraId="4101D060" w14:textId="77777777" w:rsidR="006D3008" w:rsidRPr="005E2E96" w:rsidRDefault="006D3008" w:rsidP="009A3176">
            <w:pPr>
              <w:spacing w:after="60"/>
              <w:rPr>
                <w:sz w:val="18"/>
              </w:rPr>
            </w:pPr>
          </w:p>
        </w:tc>
        <w:tc>
          <w:tcPr>
            <w:tcW w:w="1285" w:type="dxa"/>
            <w:shd w:val="clear" w:color="auto" w:fill="auto"/>
          </w:tcPr>
          <w:p w14:paraId="7DA3DBB2" w14:textId="77777777" w:rsidR="006D3008" w:rsidRPr="005E2E96" w:rsidRDefault="006D3008" w:rsidP="009A3176">
            <w:pPr>
              <w:spacing w:after="60"/>
              <w:jc w:val="left"/>
              <w:rPr>
                <w:sz w:val="18"/>
              </w:rPr>
            </w:pPr>
            <w:r w:rsidRPr="005E2E96">
              <w:rPr>
                <w:sz w:val="18"/>
              </w:rPr>
              <w:t>Support costs</w:t>
            </w:r>
          </w:p>
        </w:tc>
        <w:tc>
          <w:tcPr>
            <w:tcW w:w="856" w:type="dxa"/>
            <w:shd w:val="clear" w:color="auto" w:fill="auto"/>
          </w:tcPr>
          <w:p w14:paraId="1230404A" w14:textId="77777777" w:rsidR="006D3008" w:rsidRPr="005E2E96" w:rsidRDefault="006D3008" w:rsidP="009A3176">
            <w:pPr>
              <w:spacing w:after="60"/>
              <w:jc w:val="right"/>
              <w:rPr>
                <w:sz w:val="18"/>
              </w:rPr>
            </w:pPr>
            <w:r w:rsidRPr="005E2E96">
              <w:rPr>
                <w:sz w:val="18"/>
              </w:rPr>
              <w:t>90,872</w:t>
            </w:r>
          </w:p>
        </w:tc>
        <w:tc>
          <w:tcPr>
            <w:tcW w:w="712" w:type="dxa"/>
            <w:shd w:val="clear" w:color="auto" w:fill="auto"/>
          </w:tcPr>
          <w:p w14:paraId="601F1DD7"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24C89B79" w14:textId="39BBD7EF" w:rsidR="006D3008" w:rsidRPr="005E2E96" w:rsidRDefault="006D3008" w:rsidP="009A3176">
            <w:pPr>
              <w:spacing w:after="60"/>
              <w:jc w:val="right"/>
              <w:rPr>
                <w:sz w:val="18"/>
              </w:rPr>
            </w:pPr>
            <w:r w:rsidRPr="005E2E96">
              <w:rPr>
                <w:sz w:val="18"/>
              </w:rPr>
              <w:t>111,579</w:t>
            </w:r>
          </w:p>
        </w:tc>
        <w:tc>
          <w:tcPr>
            <w:tcW w:w="850" w:type="dxa"/>
            <w:shd w:val="clear" w:color="auto" w:fill="auto"/>
          </w:tcPr>
          <w:p w14:paraId="3F0126AE" w14:textId="40932D17" w:rsidR="006D3008" w:rsidRPr="005E2E96" w:rsidRDefault="006D3008" w:rsidP="009A3176">
            <w:pPr>
              <w:spacing w:after="60"/>
              <w:jc w:val="right"/>
              <w:rPr>
                <w:sz w:val="18"/>
              </w:rPr>
            </w:pPr>
          </w:p>
        </w:tc>
        <w:tc>
          <w:tcPr>
            <w:tcW w:w="851" w:type="dxa"/>
            <w:shd w:val="clear" w:color="auto" w:fill="auto"/>
          </w:tcPr>
          <w:p w14:paraId="2A35C41E" w14:textId="77777777" w:rsidR="006D3008" w:rsidRPr="005E2E96" w:rsidRDefault="006D3008" w:rsidP="009A3176">
            <w:pPr>
              <w:spacing w:after="60"/>
              <w:jc w:val="right"/>
              <w:rPr>
                <w:sz w:val="18"/>
              </w:rPr>
            </w:pPr>
            <w:r w:rsidRPr="005E2E96">
              <w:rPr>
                <w:sz w:val="18"/>
              </w:rPr>
              <w:t>91,559</w:t>
            </w:r>
          </w:p>
        </w:tc>
        <w:tc>
          <w:tcPr>
            <w:tcW w:w="708" w:type="dxa"/>
            <w:shd w:val="clear" w:color="auto" w:fill="auto"/>
          </w:tcPr>
          <w:p w14:paraId="6BB183BE" w14:textId="77777777" w:rsidR="006D3008" w:rsidRPr="005E2E96" w:rsidRDefault="006D3008" w:rsidP="009A3176">
            <w:pPr>
              <w:spacing w:after="60"/>
              <w:jc w:val="right"/>
              <w:rPr>
                <w:sz w:val="18"/>
              </w:rPr>
            </w:pPr>
            <w:r w:rsidRPr="005E2E96">
              <w:rPr>
                <w:sz w:val="18"/>
              </w:rPr>
              <w:t>32,496</w:t>
            </w:r>
          </w:p>
        </w:tc>
        <w:tc>
          <w:tcPr>
            <w:tcW w:w="709" w:type="dxa"/>
            <w:shd w:val="clear" w:color="auto" w:fill="auto"/>
          </w:tcPr>
          <w:p w14:paraId="14180FDB" w14:textId="77777777" w:rsidR="006D3008" w:rsidRPr="005E2E96" w:rsidRDefault="006D3008" w:rsidP="009A3176">
            <w:pPr>
              <w:spacing w:after="60"/>
              <w:jc w:val="right"/>
              <w:rPr>
                <w:sz w:val="18"/>
              </w:rPr>
            </w:pPr>
            <w:r w:rsidRPr="005E2E96">
              <w:rPr>
                <w:sz w:val="18"/>
              </w:rPr>
              <w:t>16,870</w:t>
            </w:r>
          </w:p>
        </w:tc>
        <w:tc>
          <w:tcPr>
            <w:tcW w:w="567" w:type="dxa"/>
            <w:shd w:val="clear" w:color="auto" w:fill="auto"/>
          </w:tcPr>
          <w:p w14:paraId="7A24F389"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769FCAB3" w14:textId="77777777" w:rsidR="006D3008" w:rsidRPr="005E2E96" w:rsidRDefault="006D3008" w:rsidP="009A3176">
            <w:pPr>
              <w:spacing w:after="60"/>
              <w:jc w:val="right"/>
              <w:rPr>
                <w:sz w:val="18"/>
              </w:rPr>
            </w:pPr>
            <w:r w:rsidRPr="005E2E96">
              <w:rPr>
                <w:sz w:val="18"/>
              </w:rPr>
              <w:t>343,375</w:t>
            </w:r>
          </w:p>
        </w:tc>
      </w:tr>
      <w:tr w:rsidR="006D3008" w:rsidRPr="005E2E96" w14:paraId="6E854D1A" w14:textId="77777777" w:rsidTr="006D3008">
        <w:trPr>
          <w:trHeight w:val="189"/>
        </w:trPr>
        <w:tc>
          <w:tcPr>
            <w:tcW w:w="713" w:type="dxa"/>
            <w:vMerge/>
            <w:shd w:val="clear" w:color="auto" w:fill="auto"/>
          </w:tcPr>
          <w:p w14:paraId="303B0F6D" w14:textId="77777777" w:rsidR="006D3008" w:rsidRPr="005E2E96" w:rsidRDefault="006D3008" w:rsidP="009A3176">
            <w:pPr>
              <w:spacing w:after="60"/>
              <w:rPr>
                <w:sz w:val="18"/>
              </w:rPr>
            </w:pPr>
          </w:p>
        </w:tc>
        <w:tc>
          <w:tcPr>
            <w:tcW w:w="2139" w:type="dxa"/>
            <w:vMerge w:val="restart"/>
            <w:shd w:val="clear" w:color="auto" w:fill="auto"/>
          </w:tcPr>
          <w:p w14:paraId="64CBA6A1" w14:textId="77777777" w:rsidR="006D3008" w:rsidRPr="005E2E96" w:rsidRDefault="006D3008" w:rsidP="009A3176">
            <w:pPr>
              <w:spacing w:after="60"/>
              <w:rPr>
                <w:sz w:val="18"/>
              </w:rPr>
            </w:pPr>
            <w:r w:rsidRPr="005E2E96">
              <w:rPr>
                <w:sz w:val="18"/>
              </w:rPr>
              <w:t>UNEP</w:t>
            </w:r>
          </w:p>
        </w:tc>
        <w:tc>
          <w:tcPr>
            <w:tcW w:w="1285" w:type="dxa"/>
            <w:shd w:val="clear" w:color="auto" w:fill="auto"/>
          </w:tcPr>
          <w:p w14:paraId="73C46D1D" w14:textId="77777777" w:rsidR="006D3008" w:rsidRPr="005E2E96" w:rsidRDefault="006D3008" w:rsidP="009A3176">
            <w:pPr>
              <w:spacing w:after="60"/>
              <w:jc w:val="left"/>
              <w:rPr>
                <w:sz w:val="18"/>
              </w:rPr>
            </w:pPr>
            <w:r w:rsidRPr="005E2E96">
              <w:rPr>
                <w:sz w:val="18"/>
              </w:rPr>
              <w:t>Project costs</w:t>
            </w:r>
          </w:p>
        </w:tc>
        <w:tc>
          <w:tcPr>
            <w:tcW w:w="856" w:type="dxa"/>
            <w:shd w:val="clear" w:color="auto" w:fill="auto"/>
          </w:tcPr>
          <w:p w14:paraId="519AF0B0" w14:textId="77777777" w:rsidR="006D3008" w:rsidRPr="005E2E96" w:rsidRDefault="006D3008" w:rsidP="009A3176">
            <w:pPr>
              <w:spacing w:after="60"/>
              <w:jc w:val="right"/>
              <w:rPr>
                <w:sz w:val="18"/>
              </w:rPr>
            </w:pPr>
            <w:r w:rsidRPr="005E2E96">
              <w:rPr>
                <w:sz w:val="18"/>
              </w:rPr>
              <w:t>200,000</w:t>
            </w:r>
          </w:p>
        </w:tc>
        <w:tc>
          <w:tcPr>
            <w:tcW w:w="712" w:type="dxa"/>
            <w:shd w:val="clear" w:color="auto" w:fill="auto"/>
          </w:tcPr>
          <w:p w14:paraId="40107338"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5220F8AB" w14:textId="1D7B1CA2" w:rsidR="006D3008" w:rsidRPr="005E2E96" w:rsidRDefault="006D3008" w:rsidP="009A3176">
            <w:pPr>
              <w:spacing w:after="60"/>
              <w:jc w:val="right"/>
              <w:rPr>
                <w:sz w:val="18"/>
              </w:rPr>
            </w:pPr>
            <w:r w:rsidRPr="005E2E96">
              <w:rPr>
                <w:sz w:val="18"/>
              </w:rPr>
              <w:t>190,000</w:t>
            </w:r>
          </w:p>
        </w:tc>
        <w:tc>
          <w:tcPr>
            <w:tcW w:w="850" w:type="dxa"/>
            <w:shd w:val="clear" w:color="auto" w:fill="auto"/>
          </w:tcPr>
          <w:p w14:paraId="55F0A358" w14:textId="6935AB43" w:rsidR="006D3008" w:rsidRPr="005E2E96" w:rsidRDefault="006D3008" w:rsidP="009A3176">
            <w:pPr>
              <w:spacing w:after="60"/>
              <w:jc w:val="right"/>
              <w:rPr>
                <w:sz w:val="18"/>
              </w:rPr>
            </w:pPr>
          </w:p>
        </w:tc>
        <w:tc>
          <w:tcPr>
            <w:tcW w:w="851" w:type="dxa"/>
            <w:shd w:val="clear" w:color="auto" w:fill="auto"/>
          </w:tcPr>
          <w:p w14:paraId="0BB73E0A" w14:textId="77777777" w:rsidR="006D3008" w:rsidRPr="005E2E96" w:rsidRDefault="006D3008" w:rsidP="009A3176">
            <w:pPr>
              <w:spacing w:after="60"/>
              <w:jc w:val="right"/>
              <w:rPr>
                <w:sz w:val="18"/>
              </w:rPr>
            </w:pPr>
            <w:r w:rsidRPr="005E2E96">
              <w:rPr>
                <w:sz w:val="18"/>
              </w:rPr>
              <w:t>170,000</w:t>
            </w:r>
          </w:p>
        </w:tc>
        <w:tc>
          <w:tcPr>
            <w:tcW w:w="708" w:type="dxa"/>
            <w:shd w:val="clear" w:color="auto" w:fill="auto"/>
          </w:tcPr>
          <w:p w14:paraId="0FD3BBA9" w14:textId="77777777" w:rsidR="006D3008" w:rsidRPr="005E2E96" w:rsidRDefault="006D3008" w:rsidP="009A3176">
            <w:pPr>
              <w:spacing w:after="60"/>
              <w:jc w:val="right"/>
              <w:rPr>
                <w:sz w:val="18"/>
              </w:rPr>
            </w:pPr>
            <w:r w:rsidRPr="005E2E96">
              <w:rPr>
                <w:sz w:val="18"/>
              </w:rPr>
              <w:t>0</w:t>
            </w:r>
          </w:p>
        </w:tc>
        <w:tc>
          <w:tcPr>
            <w:tcW w:w="709" w:type="dxa"/>
            <w:shd w:val="clear" w:color="auto" w:fill="auto"/>
          </w:tcPr>
          <w:p w14:paraId="48D2F472" w14:textId="77777777" w:rsidR="006D3008" w:rsidRPr="005E2E96" w:rsidRDefault="006D3008" w:rsidP="009A3176">
            <w:pPr>
              <w:spacing w:after="60"/>
              <w:jc w:val="right"/>
              <w:rPr>
                <w:sz w:val="18"/>
              </w:rPr>
            </w:pPr>
            <w:r w:rsidRPr="005E2E96">
              <w:rPr>
                <w:sz w:val="18"/>
              </w:rPr>
              <w:t>140,000</w:t>
            </w:r>
          </w:p>
        </w:tc>
        <w:tc>
          <w:tcPr>
            <w:tcW w:w="567" w:type="dxa"/>
            <w:shd w:val="clear" w:color="auto" w:fill="auto"/>
          </w:tcPr>
          <w:p w14:paraId="5FF8A024"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6024600A" w14:textId="77777777" w:rsidR="006D3008" w:rsidRPr="005E2E96" w:rsidRDefault="006D3008" w:rsidP="009A3176">
            <w:pPr>
              <w:spacing w:after="60"/>
              <w:jc w:val="right"/>
              <w:rPr>
                <w:sz w:val="18"/>
              </w:rPr>
            </w:pPr>
            <w:r w:rsidRPr="005E2E96">
              <w:rPr>
                <w:sz w:val="18"/>
              </w:rPr>
              <w:t>700,000</w:t>
            </w:r>
          </w:p>
        </w:tc>
      </w:tr>
      <w:tr w:rsidR="006D3008" w:rsidRPr="005E2E96" w14:paraId="49B66130" w14:textId="77777777" w:rsidTr="006D3008">
        <w:trPr>
          <w:trHeight w:val="55"/>
        </w:trPr>
        <w:tc>
          <w:tcPr>
            <w:tcW w:w="713" w:type="dxa"/>
            <w:vMerge/>
            <w:shd w:val="clear" w:color="auto" w:fill="auto"/>
          </w:tcPr>
          <w:p w14:paraId="0AEBC6C0" w14:textId="77777777" w:rsidR="006D3008" w:rsidRPr="005E2E96" w:rsidRDefault="006D3008" w:rsidP="009A3176">
            <w:pPr>
              <w:spacing w:after="60"/>
              <w:rPr>
                <w:sz w:val="18"/>
              </w:rPr>
            </w:pPr>
          </w:p>
        </w:tc>
        <w:tc>
          <w:tcPr>
            <w:tcW w:w="2139" w:type="dxa"/>
            <w:vMerge/>
            <w:shd w:val="clear" w:color="auto" w:fill="auto"/>
          </w:tcPr>
          <w:p w14:paraId="1234613C" w14:textId="77777777" w:rsidR="006D3008" w:rsidRPr="005E2E96" w:rsidRDefault="006D3008" w:rsidP="009A3176">
            <w:pPr>
              <w:spacing w:after="60"/>
              <w:rPr>
                <w:sz w:val="18"/>
              </w:rPr>
            </w:pPr>
          </w:p>
        </w:tc>
        <w:tc>
          <w:tcPr>
            <w:tcW w:w="1285" w:type="dxa"/>
            <w:shd w:val="clear" w:color="auto" w:fill="auto"/>
          </w:tcPr>
          <w:p w14:paraId="7E82F816" w14:textId="77777777" w:rsidR="006D3008" w:rsidRPr="005E2E96" w:rsidRDefault="006D3008" w:rsidP="009A3176">
            <w:pPr>
              <w:spacing w:after="60"/>
              <w:jc w:val="left"/>
              <w:rPr>
                <w:sz w:val="18"/>
              </w:rPr>
            </w:pPr>
            <w:r w:rsidRPr="005E2E96">
              <w:rPr>
                <w:sz w:val="18"/>
              </w:rPr>
              <w:t>Support costs</w:t>
            </w:r>
          </w:p>
        </w:tc>
        <w:tc>
          <w:tcPr>
            <w:tcW w:w="856" w:type="dxa"/>
            <w:shd w:val="clear" w:color="auto" w:fill="auto"/>
          </w:tcPr>
          <w:p w14:paraId="0174542A" w14:textId="77777777" w:rsidR="006D3008" w:rsidRPr="005E2E96" w:rsidRDefault="006D3008" w:rsidP="009A3176">
            <w:pPr>
              <w:spacing w:after="60"/>
              <w:jc w:val="right"/>
              <w:rPr>
                <w:sz w:val="18"/>
              </w:rPr>
            </w:pPr>
            <w:r w:rsidRPr="005E2E96">
              <w:rPr>
                <w:sz w:val="18"/>
              </w:rPr>
              <w:t>24,857</w:t>
            </w:r>
          </w:p>
        </w:tc>
        <w:tc>
          <w:tcPr>
            <w:tcW w:w="712" w:type="dxa"/>
            <w:shd w:val="clear" w:color="auto" w:fill="auto"/>
          </w:tcPr>
          <w:p w14:paraId="66CD7F96"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74A47D66" w14:textId="6637C54D" w:rsidR="006D3008" w:rsidRPr="005E2E96" w:rsidRDefault="006D3008" w:rsidP="009A3176">
            <w:pPr>
              <w:spacing w:after="60"/>
              <w:jc w:val="right"/>
              <w:rPr>
                <w:sz w:val="18"/>
              </w:rPr>
            </w:pPr>
            <w:r w:rsidRPr="005E2E96">
              <w:rPr>
                <w:sz w:val="18"/>
              </w:rPr>
              <w:t>23,614</w:t>
            </w:r>
          </w:p>
        </w:tc>
        <w:tc>
          <w:tcPr>
            <w:tcW w:w="850" w:type="dxa"/>
            <w:shd w:val="clear" w:color="auto" w:fill="auto"/>
          </w:tcPr>
          <w:p w14:paraId="656BAA8A" w14:textId="4AF8165C" w:rsidR="006D3008" w:rsidRPr="005E2E96" w:rsidRDefault="006D3008" w:rsidP="009A3176">
            <w:pPr>
              <w:spacing w:after="60"/>
              <w:jc w:val="right"/>
              <w:rPr>
                <w:sz w:val="18"/>
              </w:rPr>
            </w:pPr>
          </w:p>
        </w:tc>
        <w:tc>
          <w:tcPr>
            <w:tcW w:w="851" w:type="dxa"/>
            <w:shd w:val="clear" w:color="auto" w:fill="auto"/>
          </w:tcPr>
          <w:p w14:paraId="6E7A4CF7" w14:textId="77777777" w:rsidR="006D3008" w:rsidRPr="005E2E96" w:rsidRDefault="006D3008" w:rsidP="009A3176">
            <w:pPr>
              <w:spacing w:after="60"/>
              <w:jc w:val="right"/>
              <w:rPr>
                <w:sz w:val="18"/>
              </w:rPr>
            </w:pPr>
            <w:r w:rsidRPr="005E2E96">
              <w:rPr>
                <w:sz w:val="18"/>
              </w:rPr>
              <w:t>21,129</w:t>
            </w:r>
          </w:p>
        </w:tc>
        <w:tc>
          <w:tcPr>
            <w:tcW w:w="708" w:type="dxa"/>
            <w:shd w:val="clear" w:color="auto" w:fill="auto"/>
          </w:tcPr>
          <w:p w14:paraId="64E7A1F4" w14:textId="77777777" w:rsidR="006D3008" w:rsidRPr="005E2E96" w:rsidRDefault="006D3008" w:rsidP="009A3176">
            <w:pPr>
              <w:spacing w:after="60"/>
              <w:jc w:val="right"/>
              <w:rPr>
                <w:sz w:val="18"/>
              </w:rPr>
            </w:pPr>
            <w:r w:rsidRPr="005E2E96">
              <w:rPr>
                <w:sz w:val="18"/>
              </w:rPr>
              <w:t>0</w:t>
            </w:r>
          </w:p>
        </w:tc>
        <w:tc>
          <w:tcPr>
            <w:tcW w:w="709" w:type="dxa"/>
            <w:shd w:val="clear" w:color="auto" w:fill="auto"/>
          </w:tcPr>
          <w:p w14:paraId="253D0228" w14:textId="77777777" w:rsidR="006D3008" w:rsidRPr="005E2E96" w:rsidRDefault="006D3008" w:rsidP="009A3176">
            <w:pPr>
              <w:spacing w:after="60"/>
              <w:jc w:val="right"/>
              <w:rPr>
                <w:sz w:val="18"/>
              </w:rPr>
            </w:pPr>
            <w:r w:rsidRPr="005E2E96">
              <w:rPr>
                <w:sz w:val="18"/>
              </w:rPr>
              <w:t>17,400</w:t>
            </w:r>
          </w:p>
        </w:tc>
        <w:tc>
          <w:tcPr>
            <w:tcW w:w="567" w:type="dxa"/>
            <w:shd w:val="clear" w:color="auto" w:fill="auto"/>
          </w:tcPr>
          <w:p w14:paraId="30887D51"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7F3C5C85" w14:textId="77777777" w:rsidR="006D3008" w:rsidRPr="005E2E96" w:rsidRDefault="006D3008" w:rsidP="009A3176">
            <w:pPr>
              <w:spacing w:after="60"/>
              <w:jc w:val="right"/>
              <w:rPr>
                <w:sz w:val="18"/>
              </w:rPr>
            </w:pPr>
            <w:r w:rsidRPr="005E2E96">
              <w:rPr>
                <w:sz w:val="18"/>
              </w:rPr>
              <w:t>87,000</w:t>
            </w:r>
          </w:p>
        </w:tc>
      </w:tr>
      <w:tr w:rsidR="006D3008" w:rsidRPr="005E2E96" w14:paraId="73CB26C5" w14:textId="77777777" w:rsidTr="006D3008">
        <w:trPr>
          <w:trHeight w:val="71"/>
        </w:trPr>
        <w:tc>
          <w:tcPr>
            <w:tcW w:w="713" w:type="dxa"/>
            <w:vMerge/>
            <w:shd w:val="clear" w:color="auto" w:fill="auto"/>
          </w:tcPr>
          <w:p w14:paraId="74BB467A" w14:textId="77777777" w:rsidR="006D3008" w:rsidRPr="005E2E96" w:rsidRDefault="006D3008" w:rsidP="009A3176">
            <w:pPr>
              <w:spacing w:after="60"/>
              <w:rPr>
                <w:sz w:val="18"/>
              </w:rPr>
            </w:pPr>
          </w:p>
        </w:tc>
        <w:tc>
          <w:tcPr>
            <w:tcW w:w="2139" w:type="dxa"/>
            <w:vMerge w:val="restart"/>
            <w:shd w:val="clear" w:color="auto" w:fill="auto"/>
          </w:tcPr>
          <w:p w14:paraId="4F8BA091" w14:textId="77777777" w:rsidR="006D3008" w:rsidRPr="005E2E96" w:rsidRDefault="006D3008" w:rsidP="009A3176">
            <w:pPr>
              <w:spacing w:after="60"/>
              <w:rPr>
                <w:sz w:val="18"/>
              </w:rPr>
            </w:pPr>
            <w:r w:rsidRPr="005E2E96">
              <w:rPr>
                <w:sz w:val="18"/>
              </w:rPr>
              <w:t>UNIDO</w:t>
            </w:r>
          </w:p>
        </w:tc>
        <w:tc>
          <w:tcPr>
            <w:tcW w:w="1285" w:type="dxa"/>
            <w:shd w:val="clear" w:color="auto" w:fill="auto"/>
          </w:tcPr>
          <w:p w14:paraId="3A9BCA65" w14:textId="77777777" w:rsidR="006D3008" w:rsidRPr="005E2E96" w:rsidRDefault="006D3008" w:rsidP="009A3176">
            <w:pPr>
              <w:spacing w:after="60"/>
              <w:jc w:val="left"/>
              <w:rPr>
                <w:sz w:val="18"/>
              </w:rPr>
            </w:pPr>
            <w:r w:rsidRPr="005E2E96">
              <w:rPr>
                <w:sz w:val="18"/>
              </w:rPr>
              <w:t>Project costs</w:t>
            </w:r>
          </w:p>
        </w:tc>
        <w:tc>
          <w:tcPr>
            <w:tcW w:w="856" w:type="dxa"/>
            <w:shd w:val="clear" w:color="auto" w:fill="auto"/>
          </w:tcPr>
          <w:p w14:paraId="05B057DE" w14:textId="77777777" w:rsidR="006D3008" w:rsidRPr="005E2E96" w:rsidRDefault="006D3008" w:rsidP="009A3176">
            <w:pPr>
              <w:spacing w:after="60"/>
              <w:jc w:val="right"/>
              <w:rPr>
                <w:sz w:val="18"/>
              </w:rPr>
            </w:pPr>
            <w:r w:rsidRPr="005E2E96">
              <w:rPr>
                <w:sz w:val="18"/>
              </w:rPr>
              <w:t>473,567</w:t>
            </w:r>
          </w:p>
        </w:tc>
        <w:tc>
          <w:tcPr>
            <w:tcW w:w="712" w:type="dxa"/>
            <w:shd w:val="clear" w:color="auto" w:fill="auto"/>
          </w:tcPr>
          <w:p w14:paraId="59278496"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5C165D62" w14:textId="7D2807E2" w:rsidR="006D3008" w:rsidRPr="005E2E96" w:rsidRDefault="006D3008" w:rsidP="009A3176">
            <w:pPr>
              <w:spacing w:after="60"/>
              <w:jc w:val="right"/>
              <w:rPr>
                <w:sz w:val="18"/>
              </w:rPr>
            </w:pPr>
            <w:r w:rsidRPr="005E2E96">
              <w:rPr>
                <w:sz w:val="18"/>
              </w:rPr>
              <w:t>584,000</w:t>
            </w:r>
          </w:p>
        </w:tc>
        <w:tc>
          <w:tcPr>
            <w:tcW w:w="850" w:type="dxa"/>
            <w:shd w:val="clear" w:color="auto" w:fill="auto"/>
          </w:tcPr>
          <w:p w14:paraId="61097235" w14:textId="2A7EAC47" w:rsidR="006D3008" w:rsidRPr="005E2E96" w:rsidRDefault="006D3008" w:rsidP="009A3176">
            <w:pPr>
              <w:spacing w:after="60"/>
              <w:jc w:val="right"/>
              <w:rPr>
                <w:sz w:val="18"/>
              </w:rPr>
            </w:pPr>
          </w:p>
        </w:tc>
        <w:tc>
          <w:tcPr>
            <w:tcW w:w="851" w:type="dxa"/>
            <w:shd w:val="clear" w:color="auto" w:fill="auto"/>
          </w:tcPr>
          <w:p w14:paraId="426F53E3" w14:textId="77777777" w:rsidR="006D3008" w:rsidRPr="005E2E96" w:rsidRDefault="006D3008" w:rsidP="009A3176">
            <w:pPr>
              <w:spacing w:after="60"/>
              <w:jc w:val="right"/>
              <w:rPr>
                <w:sz w:val="18"/>
              </w:rPr>
            </w:pPr>
            <w:r w:rsidRPr="005E2E96">
              <w:rPr>
                <w:sz w:val="18"/>
              </w:rPr>
              <w:t>524,000</w:t>
            </w:r>
          </w:p>
        </w:tc>
        <w:tc>
          <w:tcPr>
            <w:tcW w:w="708" w:type="dxa"/>
            <w:shd w:val="clear" w:color="auto" w:fill="auto"/>
          </w:tcPr>
          <w:p w14:paraId="43F2163D" w14:textId="77777777" w:rsidR="006D3008" w:rsidRPr="005E2E96" w:rsidRDefault="006D3008" w:rsidP="009A3176">
            <w:pPr>
              <w:spacing w:after="60"/>
              <w:jc w:val="right"/>
              <w:rPr>
                <w:sz w:val="18"/>
              </w:rPr>
            </w:pPr>
            <w:r w:rsidRPr="005E2E96">
              <w:rPr>
                <w:sz w:val="18"/>
              </w:rPr>
              <w:t>447,638</w:t>
            </w:r>
          </w:p>
        </w:tc>
        <w:tc>
          <w:tcPr>
            <w:tcW w:w="709" w:type="dxa"/>
            <w:shd w:val="clear" w:color="auto" w:fill="auto"/>
          </w:tcPr>
          <w:p w14:paraId="394BF5C8" w14:textId="77777777" w:rsidR="006D3008" w:rsidRPr="005E2E96" w:rsidRDefault="006D3008" w:rsidP="009A3176">
            <w:pPr>
              <w:spacing w:after="60"/>
              <w:jc w:val="right"/>
              <w:rPr>
                <w:sz w:val="18"/>
              </w:rPr>
            </w:pPr>
            <w:r w:rsidRPr="005E2E96">
              <w:rPr>
                <w:sz w:val="18"/>
              </w:rPr>
              <w:t>74,000</w:t>
            </w:r>
          </w:p>
        </w:tc>
        <w:tc>
          <w:tcPr>
            <w:tcW w:w="567" w:type="dxa"/>
            <w:shd w:val="clear" w:color="auto" w:fill="auto"/>
          </w:tcPr>
          <w:p w14:paraId="3220C868"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2EB513F3" w14:textId="77777777" w:rsidR="006D3008" w:rsidRPr="005E2E96" w:rsidRDefault="006D3008" w:rsidP="009A3176">
            <w:pPr>
              <w:spacing w:after="60"/>
              <w:jc w:val="right"/>
              <w:rPr>
                <w:sz w:val="18"/>
              </w:rPr>
            </w:pPr>
            <w:r w:rsidRPr="005E2E96">
              <w:rPr>
                <w:sz w:val="18"/>
              </w:rPr>
              <w:t>2,103,205</w:t>
            </w:r>
          </w:p>
        </w:tc>
      </w:tr>
      <w:tr w:rsidR="006D3008" w:rsidRPr="005E2E96" w14:paraId="78DEA0B7" w14:textId="77777777" w:rsidTr="006D3008">
        <w:trPr>
          <w:trHeight w:val="55"/>
        </w:trPr>
        <w:tc>
          <w:tcPr>
            <w:tcW w:w="713" w:type="dxa"/>
            <w:vMerge/>
            <w:shd w:val="clear" w:color="auto" w:fill="auto"/>
          </w:tcPr>
          <w:p w14:paraId="539B3712" w14:textId="77777777" w:rsidR="006D3008" w:rsidRPr="005E2E96" w:rsidRDefault="006D3008" w:rsidP="009A3176">
            <w:pPr>
              <w:spacing w:after="60"/>
              <w:rPr>
                <w:sz w:val="18"/>
              </w:rPr>
            </w:pPr>
          </w:p>
        </w:tc>
        <w:tc>
          <w:tcPr>
            <w:tcW w:w="2139" w:type="dxa"/>
            <w:vMerge/>
            <w:shd w:val="clear" w:color="auto" w:fill="auto"/>
          </w:tcPr>
          <w:p w14:paraId="049C8FC6" w14:textId="77777777" w:rsidR="006D3008" w:rsidRPr="005E2E96" w:rsidRDefault="006D3008" w:rsidP="009A3176">
            <w:pPr>
              <w:spacing w:after="60"/>
              <w:rPr>
                <w:sz w:val="18"/>
              </w:rPr>
            </w:pPr>
          </w:p>
        </w:tc>
        <w:tc>
          <w:tcPr>
            <w:tcW w:w="1285" w:type="dxa"/>
            <w:shd w:val="clear" w:color="auto" w:fill="auto"/>
          </w:tcPr>
          <w:p w14:paraId="0544576E" w14:textId="77777777" w:rsidR="006D3008" w:rsidRPr="005E2E96" w:rsidRDefault="006D3008" w:rsidP="009A3176">
            <w:pPr>
              <w:spacing w:after="60"/>
              <w:jc w:val="left"/>
              <w:rPr>
                <w:sz w:val="18"/>
              </w:rPr>
            </w:pPr>
            <w:r w:rsidRPr="005E2E96">
              <w:rPr>
                <w:sz w:val="18"/>
              </w:rPr>
              <w:t>Support costs</w:t>
            </w:r>
          </w:p>
        </w:tc>
        <w:tc>
          <w:tcPr>
            <w:tcW w:w="856" w:type="dxa"/>
            <w:shd w:val="clear" w:color="auto" w:fill="auto"/>
          </w:tcPr>
          <w:p w14:paraId="29DAC8CA" w14:textId="77777777" w:rsidR="006D3008" w:rsidRPr="005E2E96" w:rsidRDefault="006D3008" w:rsidP="009A3176">
            <w:pPr>
              <w:spacing w:after="60"/>
              <w:jc w:val="right"/>
              <w:rPr>
                <w:sz w:val="18"/>
              </w:rPr>
            </w:pPr>
            <w:r w:rsidRPr="005E2E96">
              <w:rPr>
                <w:sz w:val="18"/>
              </w:rPr>
              <w:t>33,150</w:t>
            </w:r>
          </w:p>
        </w:tc>
        <w:tc>
          <w:tcPr>
            <w:tcW w:w="712" w:type="dxa"/>
            <w:shd w:val="clear" w:color="auto" w:fill="auto"/>
          </w:tcPr>
          <w:p w14:paraId="4955BF34"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79951537" w14:textId="7A49EB7A" w:rsidR="006D3008" w:rsidRPr="005E2E96" w:rsidRDefault="006D3008" w:rsidP="009A3176">
            <w:pPr>
              <w:spacing w:after="60"/>
              <w:jc w:val="right"/>
              <w:rPr>
                <w:sz w:val="18"/>
              </w:rPr>
            </w:pPr>
            <w:r w:rsidRPr="005E2E96">
              <w:rPr>
                <w:sz w:val="18"/>
              </w:rPr>
              <w:t>40,880</w:t>
            </w:r>
          </w:p>
        </w:tc>
        <w:tc>
          <w:tcPr>
            <w:tcW w:w="850" w:type="dxa"/>
            <w:shd w:val="clear" w:color="auto" w:fill="auto"/>
          </w:tcPr>
          <w:p w14:paraId="675BCB53" w14:textId="58A3E600" w:rsidR="006D3008" w:rsidRPr="005E2E96" w:rsidRDefault="006D3008" w:rsidP="009A3176">
            <w:pPr>
              <w:spacing w:after="60"/>
              <w:jc w:val="right"/>
              <w:rPr>
                <w:sz w:val="18"/>
              </w:rPr>
            </w:pPr>
          </w:p>
        </w:tc>
        <w:tc>
          <w:tcPr>
            <w:tcW w:w="851" w:type="dxa"/>
            <w:shd w:val="clear" w:color="auto" w:fill="auto"/>
          </w:tcPr>
          <w:p w14:paraId="4794222B" w14:textId="77777777" w:rsidR="006D3008" w:rsidRPr="005E2E96" w:rsidRDefault="006D3008" w:rsidP="009A3176">
            <w:pPr>
              <w:spacing w:after="60"/>
              <w:jc w:val="right"/>
              <w:rPr>
                <w:sz w:val="18"/>
              </w:rPr>
            </w:pPr>
            <w:r w:rsidRPr="005E2E96">
              <w:rPr>
                <w:sz w:val="18"/>
              </w:rPr>
              <w:t>36,680</w:t>
            </w:r>
          </w:p>
        </w:tc>
        <w:tc>
          <w:tcPr>
            <w:tcW w:w="708" w:type="dxa"/>
            <w:shd w:val="clear" w:color="auto" w:fill="auto"/>
          </w:tcPr>
          <w:p w14:paraId="18EF9E7F" w14:textId="77777777" w:rsidR="006D3008" w:rsidRPr="005E2E96" w:rsidRDefault="006D3008" w:rsidP="009A3176">
            <w:pPr>
              <w:spacing w:after="60"/>
              <w:jc w:val="right"/>
              <w:rPr>
                <w:sz w:val="18"/>
              </w:rPr>
            </w:pPr>
            <w:r w:rsidRPr="005E2E96">
              <w:rPr>
                <w:sz w:val="18"/>
              </w:rPr>
              <w:t>31,335</w:t>
            </w:r>
          </w:p>
        </w:tc>
        <w:tc>
          <w:tcPr>
            <w:tcW w:w="709" w:type="dxa"/>
            <w:shd w:val="clear" w:color="auto" w:fill="auto"/>
          </w:tcPr>
          <w:p w14:paraId="3BA01D91" w14:textId="77777777" w:rsidR="006D3008" w:rsidRPr="005E2E96" w:rsidRDefault="006D3008" w:rsidP="009A3176">
            <w:pPr>
              <w:spacing w:after="60"/>
              <w:jc w:val="right"/>
              <w:rPr>
                <w:sz w:val="18"/>
              </w:rPr>
            </w:pPr>
            <w:r w:rsidRPr="005E2E96">
              <w:rPr>
                <w:sz w:val="18"/>
              </w:rPr>
              <w:t>5,180</w:t>
            </w:r>
          </w:p>
        </w:tc>
        <w:tc>
          <w:tcPr>
            <w:tcW w:w="567" w:type="dxa"/>
            <w:shd w:val="clear" w:color="auto" w:fill="auto"/>
          </w:tcPr>
          <w:p w14:paraId="089B1CB2"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41A8840C" w14:textId="77777777" w:rsidR="006D3008" w:rsidRPr="005E2E96" w:rsidRDefault="006D3008" w:rsidP="009A3176">
            <w:pPr>
              <w:spacing w:after="60"/>
              <w:jc w:val="right"/>
              <w:rPr>
                <w:sz w:val="18"/>
              </w:rPr>
            </w:pPr>
            <w:r w:rsidRPr="005E2E96">
              <w:rPr>
                <w:sz w:val="18"/>
              </w:rPr>
              <w:t>147,224</w:t>
            </w:r>
          </w:p>
        </w:tc>
      </w:tr>
      <w:tr w:rsidR="006D3008" w:rsidRPr="005E2E96" w14:paraId="08F9DBD7" w14:textId="77777777" w:rsidTr="006D3008">
        <w:trPr>
          <w:trHeight w:val="204"/>
        </w:trPr>
        <w:tc>
          <w:tcPr>
            <w:tcW w:w="713" w:type="dxa"/>
            <w:vMerge/>
            <w:shd w:val="clear" w:color="auto" w:fill="auto"/>
          </w:tcPr>
          <w:p w14:paraId="0FC87CF3" w14:textId="77777777" w:rsidR="006D3008" w:rsidRPr="005E2E96" w:rsidRDefault="006D3008" w:rsidP="009A3176">
            <w:pPr>
              <w:spacing w:after="60"/>
              <w:rPr>
                <w:sz w:val="18"/>
              </w:rPr>
            </w:pPr>
          </w:p>
        </w:tc>
        <w:tc>
          <w:tcPr>
            <w:tcW w:w="2139" w:type="dxa"/>
            <w:vMerge w:val="restart"/>
            <w:shd w:val="clear" w:color="auto" w:fill="auto"/>
          </w:tcPr>
          <w:p w14:paraId="196E427B" w14:textId="77777777" w:rsidR="006D3008" w:rsidRPr="005E2E96" w:rsidRDefault="006D3008" w:rsidP="009A3176">
            <w:pPr>
              <w:spacing w:after="60"/>
              <w:rPr>
                <w:sz w:val="18"/>
              </w:rPr>
            </w:pPr>
            <w:r w:rsidRPr="005E2E96">
              <w:rPr>
                <w:sz w:val="18"/>
              </w:rPr>
              <w:t>Germany</w:t>
            </w:r>
          </w:p>
        </w:tc>
        <w:tc>
          <w:tcPr>
            <w:tcW w:w="1285" w:type="dxa"/>
            <w:shd w:val="clear" w:color="auto" w:fill="auto"/>
          </w:tcPr>
          <w:p w14:paraId="35F9381C" w14:textId="77777777" w:rsidR="006D3008" w:rsidRPr="005E2E96" w:rsidRDefault="006D3008" w:rsidP="009A3176">
            <w:pPr>
              <w:spacing w:after="60"/>
              <w:jc w:val="left"/>
              <w:rPr>
                <w:sz w:val="18"/>
              </w:rPr>
            </w:pPr>
            <w:r w:rsidRPr="005E2E96">
              <w:rPr>
                <w:sz w:val="18"/>
              </w:rPr>
              <w:t>Project costs</w:t>
            </w:r>
          </w:p>
        </w:tc>
        <w:tc>
          <w:tcPr>
            <w:tcW w:w="856" w:type="dxa"/>
            <w:shd w:val="clear" w:color="auto" w:fill="auto"/>
          </w:tcPr>
          <w:p w14:paraId="34EA5254" w14:textId="77777777" w:rsidR="006D3008" w:rsidRPr="005E2E96" w:rsidRDefault="006D3008" w:rsidP="009A3176">
            <w:pPr>
              <w:spacing w:after="60"/>
              <w:jc w:val="right"/>
              <w:rPr>
                <w:sz w:val="18"/>
              </w:rPr>
            </w:pPr>
            <w:r w:rsidRPr="005E2E96">
              <w:rPr>
                <w:sz w:val="18"/>
              </w:rPr>
              <w:t>645,500</w:t>
            </w:r>
          </w:p>
        </w:tc>
        <w:tc>
          <w:tcPr>
            <w:tcW w:w="712" w:type="dxa"/>
            <w:shd w:val="clear" w:color="auto" w:fill="auto"/>
          </w:tcPr>
          <w:p w14:paraId="1C653749"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7206AC08" w14:textId="04B0FD20" w:rsidR="006D3008" w:rsidRPr="005E2E96" w:rsidRDefault="006D3008" w:rsidP="009A3176">
            <w:pPr>
              <w:spacing w:after="60"/>
              <w:jc w:val="right"/>
              <w:rPr>
                <w:sz w:val="18"/>
              </w:rPr>
            </w:pPr>
            <w:r w:rsidRPr="005E2E96">
              <w:rPr>
                <w:b/>
                <w:sz w:val="18"/>
              </w:rPr>
              <w:t>*</w:t>
            </w:r>
            <w:r w:rsidRPr="005E2E96">
              <w:rPr>
                <w:sz w:val="18"/>
              </w:rPr>
              <w:t>1,047,035</w:t>
            </w:r>
          </w:p>
        </w:tc>
        <w:tc>
          <w:tcPr>
            <w:tcW w:w="850" w:type="dxa"/>
            <w:shd w:val="clear" w:color="auto" w:fill="auto"/>
          </w:tcPr>
          <w:p w14:paraId="050297CF" w14:textId="22BB6F69" w:rsidR="006D3008" w:rsidRPr="005E2E96" w:rsidRDefault="006D3008" w:rsidP="009A3176">
            <w:pPr>
              <w:spacing w:after="60"/>
              <w:jc w:val="right"/>
              <w:rPr>
                <w:sz w:val="18"/>
              </w:rPr>
            </w:pPr>
          </w:p>
        </w:tc>
        <w:tc>
          <w:tcPr>
            <w:tcW w:w="851" w:type="dxa"/>
            <w:shd w:val="clear" w:color="auto" w:fill="auto"/>
          </w:tcPr>
          <w:p w14:paraId="4F869F10" w14:textId="77777777" w:rsidR="006D3008" w:rsidRPr="005E2E96" w:rsidRDefault="006D3008" w:rsidP="009A3176">
            <w:pPr>
              <w:spacing w:after="60"/>
              <w:jc w:val="right"/>
              <w:rPr>
                <w:sz w:val="18"/>
              </w:rPr>
            </w:pPr>
            <w:r w:rsidRPr="005E2E96">
              <w:rPr>
                <w:sz w:val="18"/>
              </w:rPr>
              <w:t>285,009</w:t>
            </w:r>
          </w:p>
        </w:tc>
        <w:tc>
          <w:tcPr>
            <w:tcW w:w="708" w:type="dxa"/>
            <w:shd w:val="clear" w:color="auto" w:fill="auto"/>
          </w:tcPr>
          <w:p w14:paraId="7A9111DC" w14:textId="77777777" w:rsidR="006D3008" w:rsidRPr="005E2E96" w:rsidRDefault="006D3008" w:rsidP="009A3176">
            <w:pPr>
              <w:spacing w:after="60"/>
              <w:jc w:val="right"/>
              <w:rPr>
                <w:sz w:val="18"/>
              </w:rPr>
            </w:pPr>
            <w:r w:rsidRPr="005E2E96">
              <w:rPr>
                <w:sz w:val="18"/>
              </w:rPr>
              <w:t>598,000</w:t>
            </w:r>
          </w:p>
        </w:tc>
        <w:tc>
          <w:tcPr>
            <w:tcW w:w="709" w:type="dxa"/>
            <w:shd w:val="clear" w:color="auto" w:fill="auto"/>
          </w:tcPr>
          <w:p w14:paraId="2A671817" w14:textId="77777777" w:rsidR="006D3008" w:rsidRPr="005E2E96" w:rsidRDefault="006D3008" w:rsidP="009A3176">
            <w:pPr>
              <w:spacing w:after="60"/>
              <w:jc w:val="right"/>
              <w:rPr>
                <w:sz w:val="18"/>
              </w:rPr>
            </w:pPr>
            <w:r w:rsidRPr="005E2E96">
              <w:rPr>
                <w:sz w:val="18"/>
              </w:rPr>
              <w:t>96,860</w:t>
            </w:r>
          </w:p>
        </w:tc>
        <w:tc>
          <w:tcPr>
            <w:tcW w:w="567" w:type="dxa"/>
            <w:shd w:val="clear" w:color="auto" w:fill="auto"/>
          </w:tcPr>
          <w:p w14:paraId="5013E4E0"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264039E5" w14:textId="77777777" w:rsidR="006D3008" w:rsidRPr="005E2E96" w:rsidRDefault="006D3008" w:rsidP="009A3176">
            <w:pPr>
              <w:spacing w:after="60"/>
              <w:jc w:val="right"/>
              <w:rPr>
                <w:sz w:val="18"/>
              </w:rPr>
            </w:pPr>
            <w:r w:rsidRPr="005E2E96">
              <w:rPr>
                <w:sz w:val="18"/>
              </w:rPr>
              <w:t>2,672,404</w:t>
            </w:r>
          </w:p>
        </w:tc>
      </w:tr>
      <w:tr w:rsidR="006D3008" w:rsidRPr="005E2E96" w14:paraId="710E78B5" w14:textId="77777777" w:rsidTr="006D3008">
        <w:trPr>
          <w:trHeight w:val="209"/>
        </w:trPr>
        <w:tc>
          <w:tcPr>
            <w:tcW w:w="713" w:type="dxa"/>
            <w:vMerge/>
            <w:shd w:val="clear" w:color="auto" w:fill="auto"/>
          </w:tcPr>
          <w:p w14:paraId="74736BD1" w14:textId="77777777" w:rsidR="006D3008" w:rsidRPr="005E2E96" w:rsidRDefault="006D3008" w:rsidP="009A3176">
            <w:pPr>
              <w:spacing w:after="60"/>
              <w:rPr>
                <w:sz w:val="18"/>
              </w:rPr>
            </w:pPr>
          </w:p>
        </w:tc>
        <w:tc>
          <w:tcPr>
            <w:tcW w:w="2139" w:type="dxa"/>
            <w:vMerge/>
            <w:shd w:val="clear" w:color="auto" w:fill="auto"/>
          </w:tcPr>
          <w:p w14:paraId="0AFC3148" w14:textId="77777777" w:rsidR="006D3008" w:rsidRPr="005E2E96" w:rsidRDefault="006D3008" w:rsidP="009A3176">
            <w:pPr>
              <w:spacing w:after="60"/>
              <w:rPr>
                <w:sz w:val="18"/>
              </w:rPr>
            </w:pPr>
          </w:p>
        </w:tc>
        <w:tc>
          <w:tcPr>
            <w:tcW w:w="1285" w:type="dxa"/>
            <w:shd w:val="clear" w:color="auto" w:fill="auto"/>
          </w:tcPr>
          <w:p w14:paraId="07FB507B" w14:textId="77777777" w:rsidR="006D3008" w:rsidRPr="005E2E96" w:rsidRDefault="006D3008" w:rsidP="009A3176">
            <w:pPr>
              <w:spacing w:after="60"/>
              <w:jc w:val="left"/>
              <w:rPr>
                <w:sz w:val="18"/>
              </w:rPr>
            </w:pPr>
            <w:r w:rsidRPr="005E2E96">
              <w:rPr>
                <w:sz w:val="18"/>
              </w:rPr>
              <w:t>Support costs</w:t>
            </w:r>
          </w:p>
        </w:tc>
        <w:tc>
          <w:tcPr>
            <w:tcW w:w="856" w:type="dxa"/>
            <w:shd w:val="clear" w:color="auto" w:fill="auto"/>
          </w:tcPr>
          <w:p w14:paraId="4F4B306F" w14:textId="77777777" w:rsidR="006D3008" w:rsidRPr="005E2E96" w:rsidRDefault="006D3008" w:rsidP="009A3176">
            <w:pPr>
              <w:spacing w:after="60"/>
              <w:jc w:val="right"/>
              <w:rPr>
                <w:sz w:val="18"/>
              </w:rPr>
            </w:pPr>
            <w:r w:rsidRPr="005E2E96">
              <w:rPr>
                <w:sz w:val="18"/>
              </w:rPr>
              <w:t>73,420</w:t>
            </w:r>
          </w:p>
        </w:tc>
        <w:tc>
          <w:tcPr>
            <w:tcW w:w="712" w:type="dxa"/>
            <w:shd w:val="clear" w:color="auto" w:fill="auto"/>
          </w:tcPr>
          <w:p w14:paraId="128E038B"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6D2AB094" w14:textId="1F053DF4" w:rsidR="006D3008" w:rsidRPr="005E2E96" w:rsidRDefault="006D3008" w:rsidP="009A3176">
            <w:pPr>
              <w:spacing w:after="60"/>
              <w:jc w:val="right"/>
              <w:rPr>
                <w:sz w:val="18"/>
              </w:rPr>
            </w:pPr>
            <w:r w:rsidRPr="005E2E96">
              <w:rPr>
                <w:sz w:val="18"/>
              </w:rPr>
              <w:t>*119,092</w:t>
            </w:r>
          </w:p>
        </w:tc>
        <w:tc>
          <w:tcPr>
            <w:tcW w:w="850" w:type="dxa"/>
            <w:shd w:val="clear" w:color="auto" w:fill="auto"/>
          </w:tcPr>
          <w:p w14:paraId="19C509BD" w14:textId="0BADC7B8" w:rsidR="006D3008" w:rsidRPr="005E2E96" w:rsidRDefault="006D3008" w:rsidP="009A3176">
            <w:pPr>
              <w:spacing w:after="60"/>
              <w:jc w:val="right"/>
              <w:rPr>
                <w:sz w:val="18"/>
              </w:rPr>
            </w:pPr>
          </w:p>
        </w:tc>
        <w:tc>
          <w:tcPr>
            <w:tcW w:w="851" w:type="dxa"/>
            <w:shd w:val="clear" w:color="auto" w:fill="auto"/>
          </w:tcPr>
          <w:p w14:paraId="371367C2" w14:textId="77777777" w:rsidR="006D3008" w:rsidRPr="005E2E96" w:rsidRDefault="006D3008" w:rsidP="009A3176">
            <w:pPr>
              <w:spacing w:after="60"/>
              <w:jc w:val="right"/>
              <w:rPr>
                <w:sz w:val="18"/>
              </w:rPr>
            </w:pPr>
            <w:r w:rsidRPr="005E2E96">
              <w:rPr>
                <w:sz w:val="18"/>
              </w:rPr>
              <w:t>32,417</w:t>
            </w:r>
          </w:p>
        </w:tc>
        <w:tc>
          <w:tcPr>
            <w:tcW w:w="708" w:type="dxa"/>
            <w:shd w:val="clear" w:color="auto" w:fill="auto"/>
          </w:tcPr>
          <w:p w14:paraId="7E805DFB" w14:textId="77777777" w:rsidR="006D3008" w:rsidRPr="005E2E96" w:rsidRDefault="006D3008" w:rsidP="009A3176">
            <w:pPr>
              <w:spacing w:after="60"/>
              <w:jc w:val="right"/>
              <w:rPr>
                <w:sz w:val="18"/>
              </w:rPr>
            </w:pPr>
            <w:r w:rsidRPr="005E2E96">
              <w:rPr>
                <w:sz w:val="18"/>
              </w:rPr>
              <w:t>68,018</w:t>
            </w:r>
          </w:p>
        </w:tc>
        <w:tc>
          <w:tcPr>
            <w:tcW w:w="709" w:type="dxa"/>
            <w:shd w:val="clear" w:color="auto" w:fill="auto"/>
          </w:tcPr>
          <w:p w14:paraId="1DA26497" w14:textId="77777777" w:rsidR="006D3008" w:rsidRPr="005E2E96" w:rsidRDefault="006D3008" w:rsidP="009A3176">
            <w:pPr>
              <w:spacing w:after="60"/>
              <w:jc w:val="right"/>
              <w:rPr>
                <w:sz w:val="18"/>
              </w:rPr>
            </w:pPr>
            <w:r w:rsidRPr="005E2E96">
              <w:rPr>
                <w:sz w:val="18"/>
              </w:rPr>
              <w:t>11,017</w:t>
            </w:r>
          </w:p>
        </w:tc>
        <w:tc>
          <w:tcPr>
            <w:tcW w:w="567" w:type="dxa"/>
            <w:shd w:val="clear" w:color="auto" w:fill="auto"/>
          </w:tcPr>
          <w:p w14:paraId="79F9B8D0"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7C33FA19" w14:textId="77777777" w:rsidR="006D3008" w:rsidRPr="005E2E96" w:rsidRDefault="006D3008" w:rsidP="009A3176">
            <w:pPr>
              <w:spacing w:after="60"/>
              <w:jc w:val="right"/>
              <w:rPr>
                <w:sz w:val="18"/>
              </w:rPr>
            </w:pPr>
            <w:r w:rsidRPr="005E2E96">
              <w:rPr>
                <w:sz w:val="18"/>
              </w:rPr>
              <w:t>303,964</w:t>
            </w:r>
          </w:p>
        </w:tc>
      </w:tr>
      <w:tr w:rsidR="006D3008" w:rsidRPr="005E2E96" w14:paraId="0099E4B5" w14:textId="77777777" w:rsidTr="006D3008">
        <w:trPr>
          <w:trHeight w:val="177"/>
        </w:trPr>
        <w:tc>
          <w:tcPr>
            <w:tcW w:w="713" w:type="dxa"/>
            <w:vMerge/>
            <w:shd w:val="clear" w:color="auto" w:fill="auto"/>
          </w:tcPr>
          <w:p w14:paraId="533999AF" w14:textId="77777777" w:rsidR="006D3008" w:rsidRPr="005E2E96" w:rsidRDefault="006D3008" w:rsidP="009A3176">
            <w:pPr>
              <w:spacing w:after="60"/>
              <w:rPr>
                <w:sz w:val="18"/>
              </w:rPr>
            </w:pPr>
          </w:p>
        </w:tc>
        <w:tc>
          <w:tcPr>
            <w:tcW w:w="2139" w:type="dxa"/>
            <w:vMerge w:val="restart"/>
            <w:shd w:val="clear" w:color="auto" w:fill="auto"/>
          </w:tcPr>
          <w:p w14:paraId="63C9B7FF" w14:textId="77777777" w:rsidR="006D3008" w:rsidRPr="005E2E96" w:rsidRDefault="006D3008" w:rsidP="009A3176">
            <w:pPr>
              <w:spacing w:after="60"/>
              <w:rPr>
                <w:sz w:val="18"/>
              </w:rPr>
            </w:pPr>
            <w:r w:rsidRPr="005E2E96">
              <w:rPr>
                <w:sz w:val="18"/>
              </w:rPr>
              <w:t>Italy</w:t>
            </w:r>
          </w:p>
        </w:tc>
        <w:tc>
          <w:tcPr>
            <w:tcW w:w="1285" w:type="dxa"/>
            <w:shd w:val="clear" w:color="auto" w:fill="auto"/>
          </w:tcPr>
          <w:p w14:paraId="4CA4A148" w14:textId="77777777" w:rsidR="006D3008" w:rsidRPr="005E2E96" w:rsidRDefault="006D3008" w:rsidP="009A3176">
            <w:pPr>
              <w:spacing w:after="60"/>
              <w:jc w:val="left"/>
              <w:rPr>
                <w:sz w:val="18"/>
              </w:rPr>
            </w:pPr>
            <w:r w:rsidRPr="005E2E96">
              <w:rPr>
                <w:sz w:val="18"/>
              </w:rPr>
              <w:t>Project costs</w:t>
            </w:r>
          </w:p>
        </w:tc>
        <w:tc>
          <w:tcPr>
            <w:tcW w:w="856" w:type="dxa"/>
            <w:shd w:val="clear" w:color="auto" w:fill="auto"/>
          </w:tcPr>
          <w:p w14:paraId="62CC135B" w14:textId="77777777" w:rsidR="006D3008" w:rsidRPr="005E2E96" w:rsidRDefault="006D3008" w:rsidP="009A3176">
            <w:pPr>
              <w:spacing w:after="60"/>
              <w:jc w:val="right"/>
              <w:rPr>
                <w:sz w:val="18"/>
              </w:rPr>
            </w:pPr>
            <w:r w:rsidRPr="005E2E96">
              <w:rPr>
                <w:sz w:val="18"/>
              </w:rPr>
              <w:t>403,203</w:t>
            </w:r>
          </w:p>
        </w:tc>
        <w:tc>
          <w:tcPr>
            <w:tcW w:w="712" w:type="dxa"/>
            <w:shd w:val="clear" w:color="auto" w:fill="auto"/>
          </w:tcPr>
          <w:p w14:paraId="4A0F7FD8"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4FA86FFD" w14:textId="36CAF12F" w:rsidR="006D3008" w:rsidRPr="005E2E96" w:rsidRDefault="006D3008" w:rsidP="009A3176">
            <w:pPr>
              <w:spacing w:after="60"/>
              <w:jc w:val="right"/>
              <w:rPr>
                <w:sz w:val="18"/>
              </w:rPr>
            </w:pPr>
            <w:r w:rsidRPr="005E2E96">
              <w:rPr>
                <w:sz w:val="18"/>
              </w:rPr>
              <w:t>504,004</w:t>
            </w:r>
          </w:p>
        </w:tc>
        <w:tc>
          <w:tcPr>
            <w:tcW w:w="850" w:type="dxa"/>
            <w:shd w:val="clear" w:color="auto" w:fill="auto"/>
          </w:tcPr>
          <w:p w14:paraId="0BDD13AE" w14:textId="24D396A4" w:rsidR="006D3008" w:rsidRPr="005E2E96" w:rsidRDefault="006D3008" w:rsidP="009A3176">
            <w:pPr>
              <w:spacing w:after="60"/>
              <w:jc w:val="right"/>
              <w:rPr>
                <w:sz w:val="18"/>
              </w:rPr>
            </w:pPr>
          </w:p>
        </w:tc>
        <w:tc>
          <w:tcPr>
            <w:tcW w:w="851" w:type="dxa"/>
            <w:shd w:val="clear" w:color="auto" w:fill="auto"/>
          </w:tcPr>
          <w:p w14:paraId="3B48BABA" w14:textId="77777777" w:rsidR="006D3008" w:rsidRPr="005E2E96" w:rsidRDefault="006D3008" w:rsidP="009A3176">
            <w:pPr>
              <w:spacing w:after="60"/>
              <w:jc w:val="right"/>
              <w:rPr>
                <w:sz w:val="18"/>
              </w:rPr>
            </w:pPr>
            <w:r w:rsidRPr="005E2E96">
              <w:rPr>
                <w:sz w:val="18"/>
              </w:rPr>
              <w:t>0</w:t>
            </w:r>
          </w:p>
        </w:tc>
        <w:tc>
          <w:tcPr>
            <w:tcW w:w="708" w:type="dxa"/>
            <w:shd w:val="clear" w:color="auto" w:fill="auto"/>
          </w:tcPr>
          <w:p w14:paraId="7030341B" w14:textId="77777777" w:rsidR="006D3008" w:rsidRPr="005E2E96" w:rsidRDefault="006D3008" w:rsidP="009A3176">
            <w:pPr>
              <w:spacing w:after="60"/>
              <w:jc w:val="right"/>
              <w:rPr>
                <w:sz w:val="18"/>
              </w:rPr>
            </w:pPr>
            <w:r w:rsidRPr="005E2E96">
              <w:rPr>
                <w:sz w:val="18"/>
              </w:rPr>
              <w:t>0</w:t>
            </w:r>
          </w:p>
        </w:tc>
        <w:tc>
          <w:tcPr>
            <w:tcW w:w="709" w:type="dxa"/>
            <w:shd w:val="clear" w:color="auto" w:fill="auto"/>
          </w:tcPr>
          <w:p w14:paraId="044BD50A" w14:textId="77777777" w:rsidR="006D3008" w:rsidRPr="005E2E96" w:rsidRDefault="006D3008" w:rsidP="009A3176">
            <w:pPr>
              <w:spacing w:after="60"/>
              <w:jc w:val="right"/>
              <w:rPr>
                <w:sz w:val="18"/>
              </w:rPr>
            </w:pPr>
            <w:r w:rsidRPr="005E2E96">
              <w:rPr>
                <w:sz w:val="18"/>
              </w:rPr>
              <w:t>0</w:t>
            </w:r>
          </w:p>
        </w:tc>
        <w:tc>
          <w:tcPr>
            <w:tcW w:w="567" w:type="dxa"/>
            <w:shd w:val="clear" w:color="auto" w:fill="auto"/>
          </w:tcPr>
          <w:p w14:paraId="6C38A364"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53E12D76" w14:textId="77777777" w:rsidR="006D3008" w:rsidRPr="005E2E96" w:rsidRDefault="006D3008" w:rsidP="009A3176">
            <w:pPr>
              <w:spacing w:after="60"/>
              <w:jc w:val="right"/>
              <w:rPr>
                <w:sz w:val="18"/>
              </w:rPr>
            </w:pPr>
            <w:r w:rsidRPr="005E2E96">
              <w:rPr>
                <w:sz w:val="18"/>
              </w:rPr>
              <w:t>907,207</w:t>
            </w:r>
          </w:p>
        </w:tc>
      </w:tr>
      <w:tr w:rsidR="006D3008" w:rsidRPr="005E2E96" w14:paraId="241611E1" w14:textId="77777777" w:rsidTr="006D3008">
        <w:trPr>
          <w:trHeight w:val="76"/>
        </w:trPr>
        <w:tc>
          <w:tcPr>
            <w:tcW w:w="713" w:type="dxa"/>
            <w:vMerge/>
            <w:shd w:val="clear" w:color="auto" w:fill="auto"/>
          </w:tcPr>
          <w:p w14:paraId="2AE7A941" w14:textId="77777777" w:rsidR="006D3008" w:rsidRPr="005E2E96" w:rsidRDefault="006D3008" w:rsidP="009A3176">
            <w:pPr>
              <w:spacing w:after="60"/>
              <w:rPr>
                <w:sz w:val="18"/>
              </w:rPr>
            </w:pPr>
          </w:p>
        </w:tc>
        <w:tc>
          <w:tcPr>
            <w:tcW w:w="2139" w:type="dxa"/>
            <w:vMerge/>
            <w:shd w:val="clear" w:color="auto" w:fill="auto"/>
          </w:tcPr>
          <w:p w14:paraId="1454F09E" w14:textId="77777777" w:rsidR="006D3008" w:rsidRPr="005E2E96" w:rsidRDefault="006D3008" w:rsidP="009A3176">
            <w:pPr>
              <w:spacing w:after="60"/>
              <w:rPr>
                <w:sz w:val="18"/>
              </w:rPr>
            </w:pPr>
          </w:p>
        </w:tc>
        <w:tc>
          <w:tcPr>
            <w:tcW w:w="1285" w:type="dxa"/>
            <w:shd w:val="clear" w:color="auto" w:fill="auto"/>
          </w:tcPr>
          <w:p w14:paraId="199F9FC0" w14:textId="77777777" w:rsidR="006D3008" w:rsidRPr="005E2E96" w:rsidRDefault="006D3008" w:rsidP="009A3176">
            <w:pPr>
              <w:spacing w:after="60"/>
              <w:jc w:val="left"/>
              <w:rPr>
                <w:sz w:val="18"/>
              </w:rPr>
            </w:pPr>
            <w:r w:rsidRPr="005E2E96">
              <w:rPr>
                <w:sz w:val="18"/>
              </w:rPr>
              <w:t>Support costs</w:t>
            </w:r>
          </w:p>
        </w:tc>
        <w:tc>
          <w:tcPr>
            <w:tcW w:w="856" w:type="dxa"/>
            <w:shd w:val="clear" w:color="auto" w:fill="auto"/>
          </w:tcPr>
          <w:p w14:paraId="1BC04961" w14:textId="77777777" w:rsidR="006D3008" w:rsidRPr="005E2E96" w:rsidRDefault="006D3008" w:rsidP="009A3176">
            <w:pPr>
              <w:spacing w:after="60"/>
              <w:jc w:val="right"/>
              <w:rPr>
                <w:sz w:val="18"/>
              </w:rPr>
            </w:pPr>
            <w:r w:rsidRPr="005E2E96">
              <w:rPr>
                <w:sz w:val="18"/>
              </w:rPr>
              <w:t>48,797</w:t>
            </w:r>
          </w:p>
        </w:tc>
        <w:tc>
          <w:tcPr>
            <w:tcW w:w="712" w:type="dxa"/>
            <w:shd w:val="clear" w:color="auto" w:fill="auto"/>
          </w:tcPr>
          <w:p w14:paraId="3ACBC80C"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36C6403A" w14:textId="0BE24291" w:rsidR="006D3008" w:rsidRPr="005E2E96" w:rsidRDefault="006D3008" w:rsidP="009A3176">
            <w:pPr>
              <w:spacing w:after="60"/>
              <w:jc w:val="right"/>
              <w:rPr>
                <w:sz w:val="18"/>
              </w:rPr>
            </w:pPr>
            <w:r w:rsidRPr="005E2E96">
              <w:rPr>
                <w:sz w:val="18"/>
              </w:rPr>
              <w:t>60,996</w:t>
            </w:r>
          </w:p>
        </w:tc>
        <w:tc>
          <w:tcPr>
            <w:tcW w:w="850" w:type="dxa"/>
            <w:shd w:val="clear" w:color="auto" w:fill="auto"/>
          </w:tcPr>
          <w:p w14:paraId="6E9AB45A" w14:textId="6446DF47" w:rsidR="006D3008" w:rsidRPr="005E2E96" w:rsidRDefault="006D3008" w:rsidP="009A3176">
            <w:pPr>
              <w:spacing w:after="60"/>
              <w:jc w:val="right"/>
              <w:rPr>
                <w:sz w:val="18"/>
              </w:rPr>
            </w:pPr>
          </w:p>
        </w:tc>
        <w:tc>
          <w:tcPr>
            <w:tcW w:w="851" w:type="dxa"/>
            <w:shd w:val="clear" w:color="auto" w:fill="auto"/>
          </w:tcPr>
          <w:p w14:paraId="4005E53E" w14:textId="77777777" w:rsidR="006D3008" w:rsidRPr="005E2E96" w:rsidRDefault="006D3008" w:rsidP="009A3176">
            <w:pPr>
              <w:spacing w:after="60"/>
              <w:jc w:val="right"/>
              <w:rPr>
                <w:sz w:val="18"/>
              </w:rPr>
            </w:pPr>
            <w:r w:rsidRPr="005E2E96">
              <w:rPr>
                <w:sz w:val="18"/>
              </w:rPr>
              <w:t>0</w:t>
            </w:r>
          </w:p>
        </w:tc>
        <w:tc>
          <w:tcPr>
            <w:tcW w:w="708" w:type="dxa"/>
            <w:shd w:val="clear" w:color="auto" w:fill="auto"/>
          </w:tcPr>
          <w:p w14:paraId="3D3861CD" w14:textId="77777777" w:rsidR="006D3008" w:rsidRPr="005E2E96" w:rsidRDefault="006D3008" w:rsidP="009A3176">
            <w:pPr>
              <w:spacing w:after="60"/>
              <w:jc w:val="right"/>
              <w:rPr>
                <w:sz w:val="18"/>
              </w:rPr>
            </w:pPr>
            <w:r w:rsidRPr="005E2E96">
              <w:rPr>
                <w:sz w:val="18"/>
              </w:rPr>
              <w:t>0</w:t>
            </w:r>
          </w:p>
        </w:tc>
        <w:tc>
          <w:tcPr>
            <w:tcW w:w="709" w:type="dxa"/>
            <w:shd w:val="clear" w:color="auto" w:fill="auto"/>
          </w:tcPr>
          <w:p w14:paraId="370CCCFD" w14:textId="77777777" w:rsidR="006D3008" w:rsidRPr="005E2E96" w:rsidRDefault="006D3008" w:rsidP="009A3176">
            <w:pPr>
              <w:spacing w:after="60"/>
              <w:jc w:val="right"/>
              <w:rPr>
                <w:sz w:val="18"/>
              </w:rPr>
            </w:pPr>
            <w:r w:rsidRPr="005E2E96">
              <w:rPr>
                <w:sz w:val="18"/>
              </w:rPr>
              <w:t>0</w:t>
            </w:r>
          </w:p>
        </w:tc>
        <w:tc>
          <w:tcPr>
            <w:tcW w:w="567" w:type="dxa"/>
            <w:shd w:val="clear" w:color="auto" w:fill="auto"/>
          </w:tcPr>
          <w:p w14:paraId="0120E5BF" w14:textId="77777777" w:rsidR="006D3008" w:rsidRPr="005E2E96" w:rsidRDefault="006D3008" w:rsidP="009A3176">
            <w:pPr>
              <w:spacing w:after="60"/>
              <w:jc w:val="right"/>
              <w:rPr>
                <w:sz w:val="18"/>
              </w:rPr>
            </w:pPr>
            <w:r w:rsidRPr="005E2E96">
              <w:rPr>
                <w:sz w:val="18"/>
              </w:rPr>
              <w:t>0</w:t>
            </w:r>
          </w:p>
        </w:tc>
        <w:tc>
          <w:tcPr>
            <w:tcW w:w="851" w:type="dxa"/>
            <w:shd w:val="clear" w:color="auto" w:fill="auto"/>
          </w:tcPr>
          <w:p w14:paraId="661A9013" w14:textId="77777777" w:rsidR="006D3008" w:rsidRPr="005E2E96" w:rsidRDefault="006D3008" w:rsidP="009A3176">
            <w:pPr>
              <w:spacing w:after="60"/>
              <w:jc w:val="right"/>
              <w:rPr>
                <w:sz w:val="18"/>
              </w:rPr>
            </w:pPr>
            <w:r w:rsidRPr="005E2E96">
              <w:rPr>
                <w:sz w:val="18"/>
              </w:rPr>
              <w:t>109,793</w:t>
            </w:r>
          </w:p>
        </w:tc>
      </w:tr>
      <w:tr w:rsidR="006D3008" w:rsidRPr="005E2E96" w14:paraId="75A76492" w14:textId="77777777" w:rsidTr="006D3008">
        <w:trPr>
          <w:trHeight w:val="233"/>
        </w:trPr>
        <w:tc>
          <w:tcPr>
            <w:tcW w:w="2852" w:type="dxa"/>
            <w:gridSpan w:val="2"/>
            <w:vMerge w:val="restart"/>
            <w:shd w:val="clear" w:color="auto" w:fill="auto"/>
          </w:tcPr>
          <w:p w14:paraId="7DB8B608" w14:textId="3ADEDF33" w:rsidR="006D3008" w:rsidRPr="005E2E96" w:rsidRDefault="006D3008" w:rsidP="009A3176">
            <w:pPr>
              <w:spacing w:after="60"/>
              <w:jc w:val="left"/>
              <w:rPr>
                <w:sz w:val="18"/>
              </w:rPr>
            </w:pPr>
            <w:r w:rsidRPr="005E2E96">
              <w:rPr>
                <w:sz w:val="18"/>
              </w:rPr>
              <w:t>Funds approved by the ExCom (</w:t>
            </w:r>
            <w:r w:rsidR="00687BDF" w:rsidRPr="005E2E96">
              <w:rPr>
                <w:sz w:val="18"/>
              </w:rPr>
              <w:t>US $</w:t>
            </w:r>
            <w:r w:rsidRPr="005E2E96">
              <w:rPr>
                <w:sz w:val="18"/>
              </w:rPr>
              <w:t>)</w:t>
            </w:r>
          </w:p>
        </w:tc>
        <w:tc>
          <w:tcPr>
            <w:tcW w:w="1285" w:type="dxa"/>
            <w:shd w:val="clear" w:color="auto" w:fill="auto"/>
          </w:tcPr>
          <w:p w14:paraId="322C542F" w14:textId="77777777" w:rsidR="006D3008" w:rsidRPr="005E2E96" w:rsidRDefault="006D3008" w:rsidP="009A3176">
            <w:pPr>
              <w:spacing w:after="60"/>
              <w:jc w:val="left"/>
              <w:rPr>
                <w:sz w:val="18"/>
              </w:rPr>
            </w:pPr>
            <w:r w:rsidRPr="005E2E96">
              <w:rPr>
                <w:sz w:val="18"/>
              </w:rPr>
              <w:t>Project costs</w:t>
            </w:r>
          </w:p>
        </w:tc>
        <w:tc>
          <w:tcPr>
            <w:tcW w:w="856" w:type="dxa"/>
            <w:shd w:val="clear" w:color="auto" w:fill="auto"/>
          </w:tcPr>
          <w:p w14:paraId="69A64B8A" w14:textId="77777777" w:rsidR="006D3008" w:rsidRPr="005E2E96" w:rsidRDefault="006D3008" w:rsidP="009A3176">
            <w:pPr>
              <w:spacing w:after="60"/>
              <w:jc w:val="right"/>
              <w:rPr>
                <w:sz w:val="18"/>
              </w:rPr>
            </w:pPr>
            <w:r w:rsidRPr="005E2E96">
              <w:rPr>
                <w:sz w:val="18"/>
              </w:rPr>
              <w:t>3,020,440</w:t>
            </w:r>
          </w:p>
        </w:tc>
        <w:tc>
          <w:tcPr>
            <w:tcW w:w="712" w:type="dxa"/>
            <w:shd w:val="clear" w:color="auto" w:fill="auto"/>
          </w:tcPr>
          <w:p w14:paraId="2BACDD61"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21B58976" w14:textId="77777777" w:rsidR="006D3008" w:rsidRPr="005E2E96" w:rsidRDefault="006D3008" w:rsidP="009A3176">
            <w:pPr>
              <w:spacing w:after="60"/>
              <w:jc w:val="right"/>
              <w:rPr>
                <w:sz w:val="18"/>
              </w:rPr>
            </w:pPr>
            <w:r w:rsidRPr="005E2E96">
              <w:rPr>
                <w:sz w:val="18"/>
              </w:rPr>
              <w:t>0</w:t>
            </w:r>
          </w:p>
        </w:tc>
        <w:tc>
          <w:tcPr>
            <w:tcW w:w="850" w:type="dxa"/>
            <w:shd w:val="clear" w:color="auto" w:fill="auto"/>
          </w:tcPr>
          <w:p w14:paraId="4C6748B0" w14:textId="77777777" w:rsidR="006D3008" w:rsidRPr="005E2E96" w:rsidRDefault="006D3008" w:rsidP="009A3176">
            <w:pPr>
              <w:spacing w:after="60"/>
              <w:jc w:val="right"/>
              <w:rPr>
                <w:sz w:val="18"/>
              </w:rPr>
            </w:pPr>
          </w:p>
        </w:tc>
        <w:tc>
          <w:tcPr>
            <w:tcW w:w="851" w:type="dxa"/>
            <w:shd w:val="clear" w:color="auto" w:fill="auto"/>
          </w:tcPr>
          <w:p w14:paraId="315C5318" w14:textId="77777777" w:rsidR="006D3008" w:rsidRPr="005E2E96" w:rsidRDefault="006D3008" w:rsidP="009A3176">
            <w:pPr>
              <w:spacing w:after="60"/>
              <w:jc w:val="right"/>
              <w:rPr>
                <w:sz w:val="18"/>
              </w:rPr>
            </w:pPr>
          </w:p>
        </w:tc>
        <w:tc>
          <w:tcPr>
            <w:tcW w:w="708" w:type="dxa"/>
            <w:shd w:val="clear" w:color="auto" w:fill="auto"/>
          </w:tcPr>
          <w:p w14:paraId="3DEC7A50" w14:textId="77777777" w:rsidR="006D3008" w:rsidRPr="005E2E96" w:rsidRDefault="006D3008" w:rsidP="009A3176">
            <w:pPr>
              <w:spacing w:after="60"/>
              <w:jc w:val="right"/>
              <w:rPr>
                <w:sz w:val="18"/>
              </w:rPr>
            </w:pPr>
          </w:p>
        </w:tc>
        <w:tc>
          <w:tcPr>
            <w:tcW w:w="709" w:type="dxa"/>
            <w:shd w:val="clear" w:color="auto" w:fill="auto"/>
          </w:tcPr>
          <w:p w14:paraId="341D2A8D" w14:textId="77777777" w:rsidR="006D3008" w:rsidRPr="005E2E96" w:rsidRDefault="006D3008" w:rsidP="009A3176">
            <w:pPr>
              <w:spacing w:after="60"/>
              <w:jc w:val="right"/>
              <w:rPr>
                <w:sz w:val="18"/>
              </w:rPr>
            </w:pPr>
          </w:p>
        </w:tc>
        <w:tc>
          <w:tcPr>
            <w:tcW w:w="567" w:type="dxa"/>
            <w:shd w:val="clear" w:color="auto" w:fill="auto"/>
          </w:tcPr>
          <w:p w14:paraId="5DF634BE" w14:textId="77777777" w:rsidR="006D3008" w:rsidRPr="005E2E96" w:rsidRDefault="006D3008" w:rsidP="009A3176">
            <w:pPr>
              <w:spacing w:after="60"/>
              <w:jc w:val="right"/>
              <w:rPr>
                <w:sz w:val="18"/>
              </w:rPr>
            </w:pPr>
          </w:p>
        </w:tc>
        <w:tc>
          <w:tcPr>
            <w:tcW w:w="851" w:type="dxa"/>
            <w:shd w:val="clear" w:color="auto" w:fill="auto"/>
          </w:tcPr>
          <w:p w14:paraId="49524ED7" w14:textId="77777777" w:rsidR="006D3008" w:rsidRPr="005E2E96" w:rsidRDefault="006D3008" w:rsidP="009A3176">
            <w:pPr>
              <w:spacing w:after="60"/>
              <w:jc w:val="right"/>
              <w:rPr>
                <w:sz w:val="18"/>
              </w:rPr>
            </w:pPr>
            <w:r w:rsidRPr="005E2E96">
              <w:rPr>
                <w:sz w:val="18"/>
              </w:rPr>
              <w:t>3,020,440</w:t>
            </w:r>
          </w:p>
        </w:tc>
      </w:tr>
      <w:tr w:rsidR="006D3008" w:rsidRPr="005E2E96" w14:paraId="16BB0417" w14:textId="77777777" w:rsidTr="006D3008">
        <w:trPr>
          <w:trHeight w:val="97"/>
        </w:trPr>
        <w:tc>
          <w:tcPr>
            <w:tcW w:w="2852" w:type="dxa"/>
            <w:gridSpan w:val="2"/>
            <w:vMerge/>
            <w:shd w:val="clear" w:color="auto" w:fill="auto"/>
          </w:tcPr>
          <w:p w14:paraId="31CA2668" w14:textId="77777777" w:rsidR="006D3008" w:rsidRPr="005E2E96" w:rsidRDefault="006D3008" w:rsidP="009A3176">
            <w:pPr>
              <w:spacing w:after="60"/>
              <w:rPr>
                <w:sz w:val="18"/>
              </w:rPr>
            </w:pPr>
          </w:p>
        </w:tc>
        <w:tc>
          <w:tcPr>
            <w:tcW w:w="1285" w:type="dxa"/>
            <w:shd w:val="clear" w:color="auto" w:fill="auto"/>
          </w:tcPr>
          <w:p w14:paraId="333036E1" w14:textId="77777777" w:rsidR="006D3008" w:rsidRPr="005E2E96" w:rsidRDefault="006D3008" w:rsidP="009A3176">
            <w:pPr>
              <w:spacing w:after="60"/>
              <w:jc w:val="left"/>
              <w:rPr>
                <w:sz w:val="18"/>
              </w:rPr>
            </w:pPr>
            <w:r w:rsidRPr="005E2E96">
              <w:rPr>
                <w:sz w:val="18"/>
              </w:rPr>
              <w:t>Support costs</w:t>
            </w:r>
          </w:p>
        </w:tc>
        <w:tc>
          <w:tcPr>
            <w:tcW w:w="856" w:type="dxa"/>
            <w:shd w:val="clear" w:color="auto" w:fill="auto"/>
          </w:tcPr>
          <w:p w14:paraId="5BB61A12" w14:textId="77777777" w:rsidR="006D3008" w:rsidRPr="005E2E96" w:rsidRDefault="006D3008" w:rsidP="009A3176">
            <w:pPr>
              <w:spacing w:after="60"/>
              <w:jc w:val="right"/>
              <w:rPr>
                <w:sz w:val="18"/>
              </w:rPr>
            </w:pPr>
            <w:r w:rsidRPr="005E2E96">
              <w:rPr>
                <w:sz w:val="18"/>
              </w:rPr>
              <w:t>271,096</w:t>
            </w:r>
          </w:p>
        </w:tc>
        <w:tc>
          <w:tcPr>
            <w:tcW w:w="712" w:type="dxa"/>
            <w:shd w:val="clear" w:color="auto" w:fill="auto"/>
          </w:tcPr>
          <w:p w14:paraId="7413178D" w14:textId="77777777" w:rsidR="006D3008" w:rsidRPr="005E2E96" w:rsidRDefault="006D3008" w:rsidP="009A3176">
            <w:pPr>
              <w:spacing w:after="60"/>
              <w:jc w:val="right"/>
              <w:rPr>
                <w:sz w:val="18"/>
              </w:rPr>
            </w:pPr>
            <w:r w:rsidRPr="005E2E96">
              <w:rPr>
                <w:sz w:val="18"/>
              </w:rPr>
              <w:t>0</w:t>
            </w:r>
          </w:p>
        </w:tc>
        <w:tc>
          <w:tcPr>
            <w:tcW w:w="958" w:type="dxa"/>
            <w:shd w:val="clear" w:color="auto" w:fill="auto"/>
          </w:tcPr>
          <w:p w14:paraId="1B7B7576" w14:textId="77777777" w:rsidR="006D3008" w:rsidRPr="005E2E96" w:rsidRDefault="006D3008" w:rsidP="009A3176">
            <w:pPr>
              <w:spacing w:after="60"/>
              <w:jc w:val="right"/>
              <w:rPr>
                <w:sz w:val="18"/>
              </w:rPr>
            </w:pPr>
            <w:r w:rsidRPr="005E2E96">
              <w:rPr>
                <w:sz w:val="18"/>
              </w:rPr>
              <w:t>0</w:t>
            </w:r>
          </w:p>
        </w:tc>
        <w:tc>
          <w:tcPr>
            <w:tcW w:w="850" w:type="dxa"/>
            <w:shd w:val="clear" w:color="auto" w:fill="auto"/>
          </w:tcPr>
          <w:p w14:paraId="6A55DF72" w14:textId="77777777" w:rsidR="006D3008" w:rsidRPr="005E2E96" w:rsidRDefault="006D3008" w:rsidP="009A3176">
            <w:pPr>
              <w:spacing w:after="60"/>
              <w:jc w:val="right"/>
              <w:rPr>
                <w:sz w:val="18"/>
              </w:rPr>
            </w:pPr>
          </w:p>
        </w:tc>
        <w:tc>
          <w:tcPr>
            <w:tcW w:w="851" w:type="dxa"/>
            <w:shd w:val="clear" w:color="auto" w:fill="auto"/>
          </w:tcPr>
          <w:p w14:paraId="7B69FF5D" w14:textId="77777777" w:rsidR="006D3008" w:rsidRPr="005E2E96" w:rsidRDefault="006D3008" w:rsidP="009A3176">
            <w:pPr>
              <w:spacing w:after="60"/>
              <w:jc w:val="right"/>
              <w:rPr>
                <w:sz w:val="18"/>
              </w:rPr>
            </w:pPr>
          </w:p>
        </w:tc>
        <w:tc>
          <w:tcPr>
            <w:tcW w:w="708" w:type="dxa"/>
            <w:shd w:val="clear" w:color="auto" w:fill="auto"/>
          </w:tcPr>
          <w:p w14:paraId="2C7682A8" w14:textId="77777777" w:rsidR="006D3008" w:rsidRPr="005E2E96" w:rsidRDefault="006D3008" w:rsidP="009A3176">
            <w:pPr>
              <w:spacing w:after="60"/>
              <w:jc w:val="right"/>
              <w:rPr>
                <w:sz w:val="18"/>
              </w:rPr>
            </w:pPr>
          </w:p>
        </w:tc>
        <w:tc>
          <w:tcPr>
            <w:tcW w:w="709" w:type="dxa"/>
            <w:shd w:val="clear" w:color="auto" w:fill="auto"/>
          </w:tcPr>
          <w:p w14:paraId="597F21D9" w14:textId="77777777" w:rsidR="006D3008" w:rsidRPr="005E2E96" w:rsidRDefault="006D3008" w:rsidP="009A3176">
            <w:pPr>
              <w:spacing w:after="60"/>
              <w:jc w:val="right"/>
              <w:rPr>
                <w:sz w:val="18"/>
              </w:rPr>
            </w:pPr>
          </w:p>
        </w:tc>
        <w:tc>
          <w:tcPr>
            <w:tcW w:w="567" w:type="dxa"/>
            <w:shd w:val="clear" w:color="auto" w:fill="auto"/>
          </w:tcPr>
          <w:p w14:paraId="7D427239" w14:textId="77777777" w:rsidR="006D3008" w:rsidRPr="005E2E96" w:rsidRDefault="006D3008" w:rsidP="009A3176">
            <w:pPr>
              <w:spacing w:after="60"/>
              <w:jc w:val="right"/>
              <w:rPr>
                <w:sz w:val="18"/>
              </w:rPr>
            </w:pPr>
          </w:p>
        </w:tc>
        <w:tc>
          <w:tcPr>
            <w:tcW w:w="851" w:type="dxa"/>
            <w:shd w:val="clear" w:color="auto" w:fill="auto"/>
          </w:tcPr>
          <w:p w14:paraId="7924E03A" w14:textId="77777777" w:rsidR="006D3008" w:rsidRPr="005E2E96" w:rsidRDefault="006D3008" w:rsidP="009A3176">
            <w:pPr>
              <w:spacing w:after="60"/>
              <w:jc w:val="right"/>
              <w:rPr>
                <w:sz w:val="18"/>
              </w:rPr>
            </w:pPr>
            <w:r w:rsidRPr="005E2E96">
              <w:rPr>
                <w:sz w:val="18"/>
              </w:rPr>
              <w:t>271,096</w:t>
            </w:r>
          </w:p>
        </w:tc>
      </w:tr>
      <w:tr w:rsidR="006D3008" w:rsidRPr="005E2E96" w14:paraId="4ED054F2" w14:textId="77777777" w:rsidTr="006D3008">
        <w:trPr>
          <w:trHeight w:val="169"/>
        </w:trPr>
        <w:tc>
          <w:tcPr>
            <w:tcW w:w="2852" w:type="dxa"/>
            <w:gridSpan w:val="2"/>
            <w:vMerge w:val="restart"/>
            <w:shd w:val="clear" w:color="auto" w:fill="auto"/>
          </w:tcPr>
          <w:p w14:paraId="1F9892F1" w14:textId="1F5CB648" w:rsidR="006D3008" w:rsidRPr="005E2E96" w:rsidRDefault="006D3008" w:rsidP="009A3176">
            <w:pPr>
              <w:spacing w:after="60"/>
              <w:jc w:val="left"/>
              <w:rPr>
                <w:sz w:val="18"/>
              </w:rPr>
            </w:pPr>
            <w:r w:rsidRPr="005E2E96">
              <w:rPr>
                <w:sz w:val="18"/>
              </w:rPr>
              <w:t>Total funds requested for approval at this meeting (</w:t>
            </w:r>
            <w:r w:rsidR="00687BDF" w:rsidRPr="005E2E96">
              <w:rPr>
                <w:sz w:val="18"/>
              </w:rPr>
              <w:t>US $</w:t>
            </w:r>
            <w:r w:rsidRPr="005E2E96">
              <w:rPr>
                <w:sz w:val="18"/>
              </w:rPr>
              <w:t>)</w:t>
            </w:r>
          </w:p>
        </w:tc>
        <w:tc>
          <w:tcPr>
            <w:tcW w:w="1285" w:type="dxa"/>
            <w:shd w:val="clear" w:color="auto" w:fill="auto"/>
          </w:tcPr>
          <w:p w14:paraId="3B49DDF3" w14:textId="77777777" w:rsidR="006D3008" w:rsidRPr="005E2E96" w:rsidRDefault="006D3008" w:rsidP="009A3176">
            <w:pPr>
              <w:spacing w:after="60"/>
              <w:jc w:val="left"/>
              <w:rPr>
                <w:sz w:val="18"/>
              </w:rPr>
            </w:pPr>
            <w:r w:rsidRPr="005E2E96">
              <w:rPr>
                <w:sz w:val="18"/>
              </w:rPr>
              <w:t>Project costs</w:t>
            </w:r>
          </w:p>
        </w:tc>
        <w:tc>
          <w:tcPr>
            <w:tcW w:w="856" w:type="dxa"/>
            <w:shd w:val="clear" w:color="auto" w:fill="auto"/>
          </w:tcPr>
          <w:p w14:paraId="1BD4882C" w14:textId="77777777" w:rsidR="006D3008" w:rsidRPr="005E2E96" w:rsidRDefault="006D3008" w:rsidP="009A3176">
            <w:pPr>
              <w:spacing w:after="60"/>
              <w:jc w:val="right"/>
              <w:rPr>
                <w:sz w:val="18"/>
              </w:rPr>
            </w:pPr>
          </w:p>
        </w:tc>
        <w:tc>
          <w:tcPr>
            <w:tcW w:w="712" w:type="dxa"/>
            <w:shd w:val="clear" w:color="auto" w:fill="auto"/>
          </w:tcPr>
          <w:p w14:paraId="4378D21B" w14:textId="77777777" w:rsidR="006D3008" w:rsidRPr="005E2E96" w:rsidRDefault="006D3008" w:rsidP="009A3176">
            <w:pPr>
              <w:spacing w:after="60"/>
              <w:jc w:val="right"/>
              <w:rPr>
                <w:sz w:val="18"/>
              </w:rPr>
            </w:pPr>
          </w:p>
        </w:tc>
        <w:tc>
          <w:tcPr>
            <w:tcW w:w="958" w:type="dxa"/>
            <w:shd w:val="clear" w:color="auto" w:fill="auto"/>
          </w:tcPr>
          <w:p w14:paraId="0D2132A6" w14:textId="77777777" w:rsidR="006D3008" w:rsidRPr="005E2E96" w:rsidRDefault="006D3008" w:rsidP="009A3176">
            <w:pPr>
              <w:spacing w:after="60"/>
              <w:jc w:val="right"/>
              <w:rPr>
                <w:sz w:val="18"/>
              </w:rPr>
            </w:pPr>
          </w:p>
        </w:tc>
        <w:tc>
          <w:tcPr>
            <w:tcW w:w="850" w:type="dxa"/>
            <w:shd w:val="clear" w:color="auto" w:fill="auto"/>
          </w:tcPr>
          <w:p w14:paraId="4DA0BFCE" w14:textId="77777777" w:rsidR="006D3008" w:rsidRPr="005E2E96" w:rsidRDefault="006D3008" w:rsidP="009A3176">
            <w:pPr>
              <w:spacing w:after="60"/>
              <w:jc w:val="right"/>
              <w:rPr>
                <w:sz w:val="18"/>
              </w:rPr>
            </w:pPr>
            <w:r w:rsidRPr="005E2E96">
              <w:rPr>
                <w:sz w:val="18"/>
              </w:rPr>
              <w:t>3,919,019</w:t>
            </w:r>
          </w:p>
        </w:tc>
        <w:tc>
          <w:tcPr>
            <w:tcW w:w="851" w:type="dxa"/>
            <w:shd w:val="clear" w:color="auto" w:fill="auto"/>
          </w:tcPr>
          <w:p w14:paraId="2AEB0FD7" w14:textId="77777777" w:rsidR="006D3008" w:rsidRPr="005E2E96" w:rsidRDefault="006D3008" w:rsidP="009A3176">
            <w:pPr>
              <w:spacing w:after="60"/>
              <w:jc w:val="right"/>
              <w:rPr>
                <w:sz w:val="18"/>
              </w:rPr>
            </w:pPr>
          </w:p>
        </w:tc>
        <w:tc>
          <w:tcPr>
            <w:tcW w:w="708" w:type="dxa"/>
            <w:shd w:val="clear" w:color="auto" w:fill="auto"/>
          </w:tcPr>
          <w:p w14:paraId="16CB61F5" w14:textId="77777777" w:rsidR="006D3008" w:rsidRPr="005E2E96" w:rsidRDefault="006D3008" w:rsidP="009A3176">
            <w:pPr>
              <w:spacing w:after="60"/>
              <w:jc w:val="right"/>
              <w:rPr>
                <w:sz w:val="18"/>
              </w:rPr>
            </w:pPr>
          </w:p>
        </w:tc>
        <w:tc>
          <w:tcPr>
            <w:tcW w:w="709" w:type="dxa"/>
            <w:shd w:val="clear" w:color="auto" w:fill="auto"/>
          </w:tcPr>
          <w:p w14:paraId="1379A5FC" w14:textId="77777777" w:rsidR="006D3008" w:rsidRPr="005E2E96" w:rsidRDefault="006D3008" w:rsidP="009A3176">
            <w:pPr>
              <w:spacing w:after="60"/>
              <w:jc w:val="right"/>
              <w:rPr>
                <w:sz w:val="18"/>
              </w:rPr>
            </w:pPr>
          </w:p>
        </w:tc>
        <w:tc>
          <w:tcPr>
            <w:tcW w:w="567" w:type="dxa"/>
            <w:shd w:val="clear" w:color="auto" w:fill="auto"/>
          </w:tcPr>
          <w:p w14:paraId="3CE16DF1" w14:textId="77777777" w:rsidR="006D3008" w:rsidRPr="005E2E96" w:rsidRDefault="006D3008" w:rsidP="009A3176">
            <w:pPr>
              <w:spacing w:after="60"/>
              <w:jc w:val="right"/>
              <w:rPr>
                <w:sz w:val="18"/>
              </w:rPr>
            </w:pPr>
          </w:p>
        </w:tc>
        <w:tc>
          <w:tcPr>
            <w:tcW w:w="851" w:type="dxa"/>
            <w:shd w:val="clear" w:color="auto" w:fill="auto"/>
          </w:tcPr>
          <w:p w14:paraId="2F4395A3" w14:textId="77777777" w:rsidR="006D3008" w:rsidRPr="005E2E96" w:rsidRDefault="006D3008" w:rsidP="009A3176">
            <w:pPr>
              <w:spacing w:after="60"/>
              <w:jc w:val="right"/>
              <w:rPr>
                <w:sz w:val="18"/>
              </w:rPr>
            </w:pPr>
            <w:r w:rsidRPr="005E2E96">
              <w:rPr>
                <w:sz w:val="18"/>
              </w:rPr>
              <w:t>0</w:t>
            </w:r>
          </w:p>
        </w:tc>
      </w:tr>
      <w:tr w:rsidR="006D3008" w:rsidRPr="005E2E96" w14:paraId="5C3B1D47" w14:textId="77777777" w:rsidTr="006D3008">
        <w:trPr>
          <w:trHeight w:val="47"/>
        </w:trPr>
        <w:tc>
          <w:tcPr>
            <w:tcW w:w="2852" w:type="dxa"/>
            <w:gridSpan w:val="2"/>
            <w:vMerge/>
            <w:shd w:val="clear" w:color="auto" w:fill="auto"/>
          </w:tcPr>
          <w:p w14:paraId="2957B3BD" w14:textId="77777777" w:rsidR="006D3008" w:rsidRPr="005E2E96" w:rsidRDefault="006D3008" w:rsidP="009A3176">
            <w:pPr>
              <w:spacing w:after="60"/>
              <w:rPr>
                <w:sz w:val="18"/>
              </w:rPr>
            </w:pPr>
          </w:p>
        </w:tc>
        <w:tc>
          <w:tcPr>
            <w:tcW w:w="1285" w:type="dxa"/>
            <w:shd w:val="clear" w:color="auto" w:fill="auto"/>
          </w:tcPr>
          <w:p w14:paraId="24971BC0" w14:textId="77777777" w:rsidR="006D3008" w:rsidRPr="005E2E96" w:rsidRDefault="006D3008" w:rsidP="009A3176">
            <w:pPr>
              <w:spacing w:after="60"/>
              <w:jc w:val="left"/>
              <w:rPr>
                <w:sz w:val="18"/>
              </w:rPr>
            </w:pPr>
            <w:r w:rsidRPr="005E2E96">
              <w:rPr>
                <w:sz w:val="18"/>
              </w:rPr>
              <w:t>Support costs</w:t>
            </w:r>
          </w:p>
        </w:tc>
        <w:tc>
          <w:tcPr>
            <w:tcW w:w="856" w:type="dxa"/>
            <w:shd w:val="clear" w:color="auto" w:fill="auto"/>
          </w:tcPr>
          <w:p w14:paraId="5410502B" w14:textId="77777777" w:rsidR="006D3008" w:rsidRPr="005E2E96" w:rsidRDefault="006D3008" w:rsidP="009A3176">
            <w:pPr>
              <w:spacing w:after="60"/>
              <w:jc w:val="right"/>
              <w:rPr>
                <w:sz w:val="18"/>
              </w:rPr>
            </w:pPr>
          </w:p>
        </w:tc>
        <w:tc>
          <w:tcPr>
            <w:tcW w:w="712" w:type="dxa"/>
            <w:shd w:val="clear" w:color="auto" w:fill="auto"/>
          </w:tcPr>
          <w:p w14:paraId="10E05D09" w14:textId="77777777" w:rsidR="006D3008" w:rsidRPr="005E2E96" w:rsidRDefault="006D3008" w:rsidP="009A3176">
            <w:pPr>
              <w:spacing w:after="60"/>
              <w:jc w:val="right"/>
              <w:rPr>
                <w:sz w:val="18"/>
              </w:rPr>
            </w:pPr>
          </w:p>
        </w:tc>
        <w:tc>
          <w:tcPr>
            <w:tcW w:w="958" w:type="dxa"/>
            <w:shd w:val="clear" w:color="auto" w:fill="auto"/>
          </w:tcPr>
          <w:p w14:paraId="0A5DECD4" w14:textId="77777777" w:rsidR="006D3008" w:rsidRPr="005E2E96" w:rsidRDefault="006D3008" w:rsidP="009A3176">
            <w:pPr>
              <w:spacing w:after="60"/>
              <w:jc w:val="right"/>
              <w:rPr>
                <w:sz w:val="18"/>
              </w:rPr>
            </w:pPr>
          </w:p>
        </w:tc>
        <w:tc>
          <w:tcPr>
            <w:tcW w:w="850" w:type="dxa"/>
            <w:shd w:val="clear" w:color="auto" w:fill="auto"/>
          </w:tcPr>
          <w:p w14:paraId="50532A3A" w14:textId="77777777" w:rsidR="006D3008" w:rsidRPr="005E2E96" w:rsidRDefault="006D3008" w:rsidP="009A3176">
            <w:pPr>
              <w:spacing w:after="60"/>
              <w:jc w:val="right"/>
              <w:rPr>
                <w:sz w:val="18"/>
              </w:rPr>
            </w:pPr>
            <w:r w:rsidRPr="005E2E96">
              <w:rPr>
                <w:sz w:val="18"/>
              </w:rPr>
              <w:t>356,161</w:t>
            </w:r>
          </w:p>
        </w:tc>
        <w:tc>
          <w:tcPr>
            <w:tcW w:w="851" w:type="dxa"/>
            <w:shd w:val="clear" w:color="auto" w:fill="auto"/>
          </w:tcPr>
          <w:p w14:paraId="2187C92A" w14:textId="77777777" w:rsidR="006D3008" w:rsidRPr="005E2E96" w:rsidRDefault="006D3008" w:rsidP="009A3176">
            <w:pPr>
              <w:spacing w:after="60"/>
              <w:jc w:val="right"/>
              <w:rPr>
                <w:sz w:val="18"/>
              </w:rPr>
            </w:pPr>
          </w:p>
        </w:tc>
        <w:tc>
          <w:tcPr>
            <w:tcW w:w="708" w:type="dxa"/>
            <w:shd w:val="clear" w:color="auto" w:fill="auto"/>
          </w:tcPr>
          <w:p w14:paraId="713D1EC8" w14:textId="77777777" w:rsidR="006D3008" w:rsidRPr="005E2E96" w:rsidRDefault="006D3008" w:rsidP="009A3176">
            <w:pPr>
              <w:spacing w:after="60"/>
              <w:jc w:val="right"/>
              <w:rPr>
                <w:sz w:val="18"/>
              </w:rPr>
            </w:pPr>
          </w:p>
        </w:tc>
        <w:tc>
          <w:tcPr>
            <w:tcW w:w="709" w:type="dxa"/>
            <w:shd w:val="clear" w:color="auto" w:fill="auto"/>
          </w:tcPr>
          <w:p w14:paraId="50D2C648" w14:textId="77777777" w:rsidR="006D3008" w:rsidRPr="005E2E96" w:rsidRDefault="006D3008" w:rsidP="009A3176">
            <w:pPr>
              <w:spacing w:after="60"/>
              <w:jc w:val="right"/>
              <w:rPr>
                <w:sz w:val="18"/>
              </w:rPr>
            </w:pPr>
          </w:p>
        </w:tc>
        <w:tc>
          <w:tcPr>
            <w:tcW w:w="567" w:type="dxa"/>
            <w:shd w:val="clear" w:color="auto" w:fill="auto"/>
          </w:tcPr>
          <w:p w14:paraId="410D9A16" w14:textId="77777777" w:rsidR="006D3008" w:rsidRPr="005E2E96" w:rsidRDefault="006D3008" w:rsidP="009A3176">
            <w:pPr>
              <w:spacing w:after="60"/>
              <w:jc w:val="right"/>
              <w:rPr>
                <w:sz w:val="18"/>
              </w:rPr>
            </w:pPr>
          </w:p>
        </w:tc>
        <w:tc>
          <w:tcPr>
            <w:tcW w:w="851" w:type="dxa"/>
            <w:shd w:val="clear" w:color="auto" w:fill="auto"/>
          </w:tcPr>
          <w:p w14:paraId="41DD2757" w14:textId="77777777" w:rsidR="006D3008" w:rsidRPr="005E2E96" w:rsidRDefault="006D3008" w:rsidP="009A3176">
            <w:pPr>
              <w:spacing w:after="60"/>
              <w:jc w:val="right"/>
              <w:rPr>
                <w:sz w:val="18"/>
              </w:rPr>
            </w:pPr>
            <w:r w:rsidRPr="005E2E96">
              <w:rPr>
                <w:sz w:val="18"/>
              </w:rPr>
              <w:t>0</w:t>
            </w:r>
          </w:p>
        </w:tc>
      </w:tr>
    </w:tbl>
    <w:p w14:paraId="62DF237A" w14:textId="400C78A9" w:rsidR="000E0964" w:rsidRPr="005E2E96" w:rsidRDefault="000E0964" w:rsidP="009A3176">
      <w:pPr>
        <w:spacing w:after="60"/>
        <w:ind w:left="-567" w:right="-988"/>
        <w:rPr>
          <w:sz w:val="16"/>
          <w:szCs w:val="16"/>
        </w:rPr>
      </w:pPr>
      <w:r w:rsidRPr="005E2E96">
        <w:rPr>
          <w:sz w:val="16"/>
          <w:szCs w:val="16"/>
        </w:rPr>
        <w:t xml:space="preserve">* </w:t>
      </w:r>
      <w:r w:rsidR="00687BDF" w:rsidRPr="005E2E96">
        <w:rPr>
          <w:sz w:val="16"/>
          <w:szCs w:val="16"/>
        </w:rPr>
        <w:t>US $</w:t>
      </w:r>
      <w:r w:rsidRPr="005E2E96">
        <w:rPr>
          <w:sz w:val="16"/>
          <w:szCs w:val="16"/>
        </w:rPr>
        <w:t xml:space="preserve">126,545, plus agency support costs of </w:t>
      </w:r>
      <w:r w:rsidR="00687BDF" w:rsidRPr="005E2E96">
        <w:rPr>
          <w:sz w:val="16"/>
          <w:szCs w:val="16"/>
        </w:rPr>
        <w:t>US $</w:t>
      </w:r>
      <w:r w:rsidRPr="005E2E96">
        <w:rPr>
          <w:sz w:val="16"/>
          <w:szCs w:val="16"/>
        </w:rPr>
        <w:t xml:space="preserve">14,393 for the Government of Germany </w:t>
      </w:r>
      <w:r w:rsidR="006D3008" w:rsidRPr="005E2E96">
        <w:rPr>
          <w:sz w:val="16"/>
          <w:szCs w:val="16"/>
        </w:rPr>
        <w:t xml:space="preserve">will be </w:t>
      </w:r>
      <w:r w:rsidRPr="005E2E96">
        <w:rPr>
          <w:sz w:val="16"/>
          <w:szCs w:val="16"/>
        </w:rPr>
        <w:t>deducted from the second tranche, corresponding to 2.90</w:t>
      </w:r>
      <w:r w:rsidR="00E532B1" w:rsidRPr="005E2E96">
        <w:rPr>
          <w:sz w:val="16"/>
          <w:szCs w:val="16"/>
        </w:rPr>
        <w:t> ODP t</w:t>
      </w:r>
      <w:r w:rsidRPr="005E2E96">
        <w:rPr>
          <w:sz w:val="16"/>
          <w:szCs w:val="16"/>
        </w:rPr>
        <w:t>onnes of HCFC</w:t>
      </w:r>
      <w:r w:rsidRPr="005E2E96">
        <w:rPr>
          <w:sz w:val="16"/>
          <w:szCs w:val="16"/>
        </w:rPr>
        <w:noBreakHyphen/>
        <w:t xml:space="preserve">141b associated with the enterprise </w:t>
      </w:r>
      <w:proofErr w:type="spellStart"/>
      <w:r w:rsidRPr="005E2E96">
        <w:rPr>
          <w:sz w:val="16"/>
          <w:szCs w:val="16"/>
        </w:rPr>
        <w:t>Behdor</w:t>
      </w:r>
      <w:proofErr w:type="spellEnd"/>
      <w:r w:rsidRPr="005E2E96">
        <w:rPr>
          <w:sz w:val="16"/>
          <w:szCs w:val="16"/>
        </w:rPr>
        <w:t xml:space="preserve"> Ranging, which had ceased to be involved in the HPMP (decision 80/21(c)).</w:t>
      </w:r>
    </w:p>
    <w:tbl>
      <w:tblPr>
        <w:tblStyle w:val="TableGrid"/>
        <w:tblW w:w="10915"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72"/>
        <w:gridCol w:w="7343"/>
      </w:tblGrid>
      <w:tr w:rsidR="000E0964" w:rsidRPr="005E2E96" w14:paraId="07018AD5" w14:textId="77777777" w:rsidTr="000E0964">
        <w:trPr>
          <w:trHeight w:val="240"/>
        </w:trPr>
        <w:tc>
          <w:tcPr>
            <w:tcW w:w="3572" w:type="dxa"/>
            <w:shd w:val="clear" w:color="auto" w:fill="auto"/>
          </w:tcPr>
          <w:p w14:paraId="2560F4BC" w14:textId="77777777" w:rsidR="000E0964" w:rsidRPr="005E2E96" w:rsidRDefault="000E0964" w:rsidP="009A3176">
            <w:pPr>
              <w:spacing w:after="60"/>
              <w:jc w:val="left"/>
              <w:rPr>
                <w:b/>
                <w:sz w:val="18"/>
              </w:rPr>
            </w:pPr>
            <w:r w:rsidRPr="005E2E96">
              <w:rPr>
                <w:b/>
                <w:sz w:val="18"/>
              </w:rPr>
              <w:t>Secretariat's recommendation:</w:t>
            </w:r>
          </w:p>
        </w:tc>
        <w:tc>
          <w:tcPr>
            <w:tcW w:w="7343" w:type="dxa"/>
            <w:shd w:val="clear" w:color="auto" w:fill="auto"/>
          </w:tcPr>
          <w:p w14:paraId="13999BFA" w14:textId="77777777" w:rsidR="000E0964" w:rsidRPr="005E2E96" w:rsidRDefault="000E0964" w:rsidP="009A3176">
            <w:pPr>
              <w:spacing w:after="60"/>
              <w:jc w:val="center"/>
              <w:rPr>
                <w:sz w:val="18"/>
              </w:rPr>
            </w:pPr>
            <w:r w:rsidRPr="005E2E96">
              <w:rPr>
                <w:sz w:val="18"/>
              </w:rPr>
              <w:t>Individual consideration</w:t>
            </w:r>
          </w:p>
        </w:tc>
      </w:tr>
    </w:tbl>
    <w:p w14:paraId="6137CC04" w14:textId="77777777" w:rsidR="000E0964" w:rsidRPr="005E2E96" w:rsidRDefault="000E0964" w:rsidP="009A3176">
      <w:pPr>
        <w:rPr>
          <w:lang w:val="en-CA"/>
        </w:rPr>
        <w:sectPr w:rsidR="000E0964" w:rsidRPr="005E2E96"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p>
    <w:p w14:paraId="2D5D4989" w14:textId="77777777" w:rsidR="000E0964" w:rsidRPr="005E2E96" w:rsidRDefault="000E0964" w:rsidP="009A3176">
      <w:pPr>
        <w:jc w:val="center"/>
        <w:rPr>
          <w:b/>
          <w:lang w:val="en-CA"/>
        </w:rPr>
      </w:pPr>
      <w:r w:rsidRPr="005E2E96">
        <w:rPr>
          <w:b/>
          <w:lang w:val="en-CA"/>
        </w:rPr>
        <w:lastRenderedPageBreak/>
        <w:t>PROJECT DESCRIPTION</w:t>
      </w:r>
    </w:p>
    <w:p w14:paraId="6EDAC616" w14:textId="77777777" w:rsidR="000E0964" w:rsidRPr="005E2E96" w:rsidRDefault="000E0964" w:rsidP="009A3176">
      <w:pPr>
        <w:rPr>
          <w:lang w:val="en-CA"/>
        </w:rPr>
      </w:pPr>
    </w:p>
    <w:p w14:paraId="59EE3878" w14:textId="1DE04A2D" w:rsidR="000E0964" w:rsidRPr="005E2E96" w:rsidRDefault="000E0964" w:rsidP="009A3176">
      <w:pPr>
        <w:pStyle w:val="Heading1"/>
        <w:rPr>
          <w:lang w:val="en-CA"/>
        </w:rPr>
      </w:pPr>
      <w:r w:rsidRPr="005E2E96">
        <w:rPr>
          <w:lang w:val="en-CA"/>
        </w:rPr>
        <w:t xml:space="preserve">On behalf of the Government of </w:t>
      </w:r>
      <w:r w:rsidR="004C7F8F" w:rsidRPr="005E2E96">
        <w:rPr>
          <w:lang w:val="en-CA"/>
        </w:rPr>
        <w:t>t</w:t>
      </w:r>
      <w:r w:rsidR="0071695A" w:rsidRPr="005E2E96">
        <w:rPr>
          <w:lang w:val="en-CA"/>
        </w:rPr>
        <w:t>he Islamic Republic of Iran</w:t>
      </w:r>
      <w:r w:rsidRPr="005E2E96">
        <w:rPr>
          <w:lang w:val="en-CA"/>
        </w:rPr>
        <w:t xml:space="preserve">, UNDP as the lead implementing agency has submitted a request for funding for the second tranche of </w:t>
      </w:r>
      <w:r w:rsidR="00687BDF" w:rsidRPr="005E2E96">
        <w:rPr>
          <w:lang w:val="en-CA"/>
        </w:rPr>
        <w:t>stage I</w:t>
      </w:r>
      <w:r w:rsidRPr="005E2E96">
        <w:rPr>
          <w:lang w:val="en-CA"/>
        </w:rPr>
        <w:t>I of the HCFC phase-out management plan (HPMP)</w:t>
      </w:r>
      <w:r w:rsidR="003373D9" w:rsidRPr="005E2E96">
        <w:rPr>
          <w:lang w:val="en-CA"/>
        </w:rPr>
        <w:t>,</w:t>
      </w:r>
      <w:r w:rsidRPr="005E2E96">
        <w:rPr>
          <w:lang w:val="en-CA"/>
        </w:rPr>
        <w:t xml:space="preserve"> at a total cost of </w:t>
      </w:r>
      <w:r w:rsidR="00687BDF" w:rsidRPr="005E2E96">
        <w:rPr>
          <w:lang w:val="en-CA"/>
        </w:rPr>
        <w:t>US $</w:t>
      </w:r>
      <w:r w:rsidRPr="005E2E96">
        <w:rPr>
          <w:lang w:val="en-CA"/>
        </w:rPr>
        <w:t xml:space="preserve">4,275,180, consisting of </w:t>
      </w:r>
      <w:r w:rsidR="00687BDF" w:rsidRPr="005E2E96">
        <w:rPr>
          <w:lang w:val="en-CA"/>
        </w:rPr>
        <w:t>US $</w:t>
      </w:r>
      <w:r w:rsidRPr="005E2E96">
        <w:rPr>
          <w:lang w:val="en-CA"/>
        </w:rPr>
        <w:t>1,593,980</w:t>
      </w:r>
      <w:r w:rsidR="003373D9" w:rsidRPr="005E2E96">
        <w:rPr>
          <w:lang w:val="en-CA"/>
        </w:rPr>
        <w:t>,</w:t>
      </w:r>
      <w:r w:rsidRPr="005E2E96">
        <w:rPr>
          <w:lang w:val="en-CA"/>
        </w:rPr>
        <w:t xml:space="preserve"> plus agency support costs of </w:t>
      </w:r>
      <w:r w:rsidR="00687BDF" w:rsidRPr="005E2E96">
        <w:rPr>
          <w:lang w:val="en-CA"/>
        </w:rPr>
        <w:t>US $</w:t>
      </w:r>
      <w:r w:rsidRPr="005E2E96">
        <w:rPr>
          <w:lang w:val="en-CA"/>
        </w:rPr>
        <w:t>111,579 for UNDP</w:t>
      </w:r>
      <w:r w:rsidR="003373D9" w:rsidRPr="005E2E96">
        <w:rPr>
          <w:lang w:val="en-CA"/>
        </w:rPr>
        <w:t>;</w:t>
      </w:r>
      <w:r w:rsidRPr="005E2E96">
        <w:rPr>
          <w:lang w:val="en-CA"/>
        </w:rPr>
        <w:t xml:space="preserve"> </w:t>
      </w:r>
      <w:r w:rsidR="00687BDF" w:rsidRPr="005E2E96">
        <w:rPr>
          <w:lang w:val="en-CA"/>
        </w:rPr>
        <w:t>US $</w:t>
      </w:r>
      <w:r w:rsidRPr="005E2E96">
        <w:rPr>
          <w:lang w:val="en-CA"/>
        </w:rPr>
        <w:t>1,047,035</w:t>
      </w:r>
      <w:r w:rsidR="003373D9" w:rsidRPr="005E2E96">
        <w:rPr>
          <w:lang w:val="en-CA"/>
        </w:rPr>
        <w:t>,</w:t>
      </w:r>
      <w:r w:rsidRPr="005E2E96">
        <w:rPr>
          <w:lang w:val="en-CA"/>
        </w:rPr>
        <w:t xml:space="preserve"> plus agency support costs of </w:t>
      </w:r>
      <w:r w:rsidR="00687BDF" w:rsidRPr="005E2E96">
        <w:rPr>
          <w:lang w:val="en-CA"/>
        </w:rPr>
        <w:t>US $</w:t>
      </w:r>
      <w:r w:rsidRPr="005E2E96">
        <w:rPr>
          <w:lang w:val="en-CA"/>
        </w:rPr>
        <w:t>119,092 for the Government of Germany</w:t>
      </w:r>
      <w:r w:rsidR="003373D9" w:rsidRPr="005E2E96">
        <w:rPr>
          <w:lang w:val="en-CA"/>
        </w:rPr>
        <w:t>;</w:t>
      </w:r>
      <w:r w:rsidRPr="005E2E96">
        <w:rPr>
          <w:lang w:val="en-CA"/>
        </w:rPr>
        <w:t xml:space="preserve"> </w:t>
      </w:r>
      <w:r w:rsidR="00687BDF" w:rsidRPr="005E2E96">
        <w:rPr>
          <w:lang w:val="en-CA"/>
        </w:rPr>
        <w:t>US $</w:t>
      </w:r>
      <w:r w:rsidRPr="005E2E96">
        <w:rPr>
          <w:lang w:val="en-CA"/>
        </w:rPr>
        <w:t>584,000</w:t>
      </w:r>
      <w:r w:rsidR="003373D9" w:rsidRPr="005E2E96">
        <w:rPr>
          <w:lang w:val="en-CA"/>
        </w:rPr>
        <w:t>,</w:t>
      </w:r>
      <w:r w:rsidRPr="005E2E96">
        <w:rPr>
          <w:lang w:val="en-CA"/>
        </w:rPr>
        <w:t xml:space="preserve"> plus agency support costs of </w:t>
      </w:r>
      <w:r w:rsidR="00687BDF" w:rsidRPr="005E2E96">
        <w:rPr>
          <w:lang w:val="en-CA"/>
        </w:rPr>
        <w:t>US $</w:t>
      </w:r>
      <w:r w:rsidRPr="005E2E96">
        <w:rPr>
          <w:lang w:val="en-CA"/>
        </w:rPr>
        <w:t>40,880 for UNIDO</w:t>
      </w:r>
      <w:r w:rsidR="003373D9" w:rsidRPr="005E2E96">
        <w:rPr>
          <w:lang w:val="en-CA"/>
        </w:rPr>
        <w:t>;</w:t>
      </w:r>
      <w:r w:rsidRPr="005E2E96">
        <w:rPr>
          <w:lang w:val="en-CA"/>
        </w:rPr>
        <w:t xml:space="preserve"> </w:t>
      </w:r>
      <w:r w:rsidR="00687BDF" w:rsidRPr="005E2E96">
        <w:rPr>
          <w:lang w:val="en-CA"/>
        </w:rPr>
        <w:t>US $</w:t>
      </w:r>
      <w:r w:rsidRPr="005E2E96">
        <w:rPr>
          <w:lang w:val="en-CA"/>
        </w:rPr>
        <w:t>504,004</w:t>
      </w:r>
      <w:r w:rsidR="003373D9" w:rsidRPr="005E2E96">
        <w:rPr>
          <w:lang w:val="en-CA"/>
        </w:rPr>
        <w:t>,</w:t>
      </w:r>
      <w:r w:rsidRPr="005E2E96">
        <w:rPr>
          <w:lang w:val="en-CA"/>
        </w:rPr>
        <w:t xml:space="preserve"> plus agency support costs of </w:t>
      </w:r>
      <w:r w:rsidR="00687BDF" w:rsidRPr="005E2E96">
        <w:rPr>
          <w:lang w:val="en-CA"/>
        </w:rPr>
        <w:t>US $</w:t>
      </w:r>
      <w:r w:rsidRPr="005E2E96">
        <w:rPr>
          <w:lang w:val="en-CA"/>
        </w:rPr>
        <w:t xml:space="preserve">60,996 for the Government of Italy and </w:t>
      </w:r>
      <w:r w:rsidR="00687BDF" w:rsidRPr="005E2E96">
        <w:rPr>
          <w:lang w:val="en-CA"/>
        </w:rPr>
        <w:t>US $</w:t>
      </w:r>
      <w:r w:rsidRPr="005E2E96">
        <w:rPr>
          <w:lang w:val="en-CA"/>
        </w:rPr>
        <w:t xml:space="preserve">190,000 plus agency support costs of </w:t>
      </w:r>
      <w:r w:rsidR="00687BDF" w:rsidRPr="005E2E96">
        <w:rPr>
          <w:lang w:val="en-CA"/>
        </w:rPr>
        <w:t>US $</w:t>
      </w:r>
      <w:r w:rsidRPr="005E2E96">
        <w:rPr>
          <w:lang w:val="en-CA"/>
        </w:rPr>
        <w:t>2</w:t>
      </w:r>
      <w:r w:rsidR="003373D9" w:rsidRPr="005E2E96">
        <w:rPr>
          <w:lang w:val="en-CA"/>
        </w:rPr>
        <w:t>3</w:t>
      </w:r>
      <w:r w:rsidRPr="005E2E96">
        <w:rPr>
          <w:lang w:val="en-CA"/>
        </w:rPr>
        <w:t>,</w:t>
      </w:r>
      <w:r w:rsidR="003373D9" w:rsidRPr="005E2E96">
        <w:rPr>
          <w:lang w:val="en-CA"/>
        </w:rPr>
        <w:t>614</w:t>
      </w:r>
      <w:r w:rsidRPr="005E2E96">
        <w:rPr>
          <w:lang w:val="en-CA"/>
        </w:rPr>
        <w:t xml:space="preserve"> for UNEP.</w:t>
      </w:r>
      <w:r w:rsidRPr="005E2E96">
        <w:rPr>
          <w:rStyle w:val="FootnoteReference"/>
          <w:lang w:val="en-CA"/>
        </w:rPr>
        <w:footnoteReference w:id="6"/>
      </w:r>
      <w:r w:rsidRPr="005E2E96">
        <w:rPr>
          <w:lang w:val="en-CA"/>
        </w:rPr>
        <w:t xml:space="preserve"> The submission includes a progress report on the implementation of the first tranche of </w:t>
      </w:r>
      <w:r w:rsidR="00687BDF" w:rsidRPr="005E2E96">
        <w:rPr>
          <w:lang w:val="en-CA"/>
        </w:rPr>
        <w:t>stage I</w:t>
      </w:r>
      <w:r w:rsidRPr="005E2E96">
        <w:rPr>
          <w:lang w:val="en-CA"/>
        </w:rPr>
        <w:t>I, the verification report on HCFC consumption for 2016 to 2018 and the tranche implementation plan for 2020 to 2021.</w:t>
      </w:r>
    </w:p>
    <w:p w14:paraId="19749700" w14:textId="77777777" w:rsidR="000E0964" w:rsidRPr="005E2E96" w:rsidRDefault="000E0964" w:rsidP="009A3176">
      <w:pPr>
        <w:rPr>
          <w:u w:val="single"/>
          <w:lang w:val="en-CA"/>
        </w:rPr>
      </w:pPr>
      <w:r w:rsidRPr="005E2E96">
        <w:rPr>
          <w:u w:val="single"/>
          <w:lang w:val="en-CA"/>
        </w:rPr>
        <w:t>Verification report</w:t>
      </w:r>
    </w:p>
    <w:p w14:paraId="28D19299" w14:textId="77777777" w:rsidR="000E0964" w:rsidRPr="005E2E96" w:rsidRDefault="000E0964" w:rsidP="009A3176">
      <w:pPr>
        <w:rPr>
          <w:lang w:val="en-CA"/>
        </w:rPr>
      </w:pPr>
    </w:p>
    <w:p w14:paraId="0AF1C8E2" w14:textId="7198130E" w:rsidR="000E0964" w:rsidRPr="005E2E96" w:rsidRDefault="000E0964" w:rsidP="009A3176">
      <w:pPr>
        <w:pStyle w:val="Heading1"/>
        <w:rPr>
          <w:lang w:val="en-CA"/>
        </w:rPr>
      </w:pPr>
      <w:r w:rsidRPr="005E2E96">
        <w:rPr>
          <w:lang w:val="en-CA"/>
        </w:rPr>
        <w:t xml:space="preserve">The verification report confirmed that the Government is implementing a licensing and quota system for HCFC imports and exports and that the total consumption of HCFCs for 2016, 2017 and 2018 were </w:t>
      </w:r>
      <w:r w:rsidR="00C3667A" w:rsidRPr="005E2E96">
        <w:rPr>
          <w:lang w:val="en-CA"/>
        </w:rPr>
        <w:t xml:space="preserve">those reported under Article 7 of the Montreal Protocol. </w:t>
      </w:r>
      <w:r w:rsidRPr="005E2E96">
        <w:rPr>
          <w:lang w:val="en-CA"/>
        </w:rPr>
        <w:t xml:space="preserve">The verification concluded that </w:t>
      </w:r>
      <w:r w:rsidR="004C7F8F" w:rsidRPr="005E2E96">
        <w:rPr>
          <w:lang w:val="en-CA"/>
        </w:rPr>
        <w:t>t</w:t>
      </w:r>
      <w:r w:rsidR="0071695A" w:rsidRPr="005E2E96">
        <w:rPr>
          <w:lang w:val="en-CA"/>
        </w:rPr>
        <w:t>he Islamic Republic of Iran</w:t>
      </w:r>
      <w:r w:rsidRPr="005E2E96">
        <w:rPr>
          <w:lang w:val="en-CA"/>
        </w:rPr>
        <w:t xml:space="preserve"> has achieved the </w:t>
      </w:r>
      <w:r w:rsidR="00D47878" w:rsidRPr="005E2E96">
        <w:rPr>
          <w:lang w:val="en-CA"/>
        </w:rPr>
        <w:t xml:space="preserve">HCFC </w:t>
      </w:r>
      <w:r w:rsidRPr="005E2E96">
        <w:rPr>
          <w:lang w:val="en-CA"/>
        </w:rPr>
        <w:t xml:space="preserve">reduction targets </w:t>
      </w:r>
      <w:r w:rsidR="00D47878" w:rsidRPr="005E2E96">
        <w:rPr>
          <w:lang w:val="en-CA"/>
        </w:rPr>
        <w:t xml:space="preserve">in compliance with the Agreement between the Government and the Executive </w:t>
      </w:r>
      <w:r w:rsidR="00F363C4" w:rsidRPr="005E2E96">
        <w:rPr>
          <w:lang w:val="en-CA"/>
        </w:rPr>
        <w:t>Committee</w:t>
      </w:r>
      <w:r w:rsidRPr="005E2E96">
        <w:rPr>
          <w:lang w:val="en-CA"/>
        </w:rPr>
        <w:t>.</w:t>
      </w:r>
    </w:p>
    <w:p w14:paraId="7B0F6545" w14:textId="2BF4CADE" w:rsidR="000E0964" w:rsidRPr="005E2E96" w:rsidRDefault="000E0964" w:rsidP="009A3176">
      <w:pPr>
        <w:tabs>
          <w:tab w:val="num" w:pos="0"/>
        </w:tabs>
        <w:spacing w:after="240"/>
        <w:rPr>
          <w:u w:val="single"/>
        </w:rPr>
      </w:pPr>
      <w:r w:rsidRPr="005E2E96">
        <w:rPr>
          <w:u w:val="single"/>
        </w:rPr>
        <w:t xml:space="preserve">Activities in the </w:t>
      </w:r>
      <w:r w:rsidR="005E2240" w:rsidRPr="005E2E96">
        <w:rPr>
          <w:u w:val="single"/>
        </w:rPr>
        <w:t xml:space="preserve">foam </w:t>
      </w:r>
      <w:r w:rsidRPr="005E2E96">
        <w:rPr>
          <w:u w:val="single"/>
        </w:rPr>
        <w:t>manufacturing sector (UNDP, UNIDO, Governments of Germany and Italy)</w:t>
      </w:r>
    </w:p>
    <w:p w14:paraId="50F4B4A5" w14:textId="16DB2A86" w:rsidR="005E2240" w:rsidRPr="005E2E96" w:rsidRDefault="00687BDF" w:rsidP="009A3176">
      <w:pPr>
        <w:pStyle w:val="Heading1"/>
      </w:pPr>
      <w:r w:rsidRPr="005E2E96">
        <w:t>Stage I</w:t>
      </w:r>
      <w:r w:rsidR="00B32AE4" w:rsidRPr="005E2E96">
        <w:t>I of the HPMP include</w:t>
      </w:r>
      <w:r w:rsidR="0093115A" w:rsidRPr="005E2E96">
        <w:t>s</w:t>
      </w:r>
      <w:r w:rsidR="00B32AE4" w:rsidRPr="005E2E96">
        <w:t xml:space="preserve"> the conversion of all the HCFC-based </w:t>
      </w:r>
      <w:r w:rsidR="005A6AB7" w:rsidRPr="005E2E96">
        <w:t xml:space="preserve">foam </w:t>
      </w:r>
      <w:r w:rsidR="00B32AE4" w:rsidRPr="005E2E96">
        <w:t xml:space="preserve">manufacturing enterprises in the country. </w:t>
      </w:r>
      <w:r w:rsidR="000E0964" w:rsidRPr="005E2E96">
        <w:t xml:space="preserve">Cyclopentane and water-blown technology have been selected for the conversions in the foam manufacturing sector to reduce the demand for HCFC-141b until its complete phase-out in 2023. </w:t>
      </w:r>
      <w:r w:rsidR="005A6AB7" w:rsidRPr="005E2E96">
        <w:t>Table 3 presents a summary of the activities related to the foam sector.</w:t>
      </w:r>
    </w:p>
    <w:p w14:paraId="6BDCECA1" w14:textId="6BC9BACB" w:rsidR="005A6AB7" w:rsidRPr="005E2E96" w:rsidRDefault="005A6AB7" w:rsidP="005A6AB7">
      <w:pPr>
        <w:rPr>
          <w:b/>
          <w:sz w:val="21"/>
          <w:szCs w:val="21"/>
        </w:rPr>
      </w:pPr>
      <w:r w:rsidRPr="005E2E96">
        <w:rPr>
          <w:b/>
          <w:sz w:val="21"/>
          <w:szCs w:val="21"/>
        </w:rPr>
        <w:t xml:space="preserve">Table 3. Summary of phase-out activities in the foam sector included in </w:t>
      </w:r>
      <w:r w:rsidR="00687BDF" w:rsidRPr="005E2E96">
        <w:rPr>
          <w:b/>
          <w:sz w:val="21"/>
          <w:szCs w:val="21"/>
        </w:rPr>
        <w:t>stage I</w:t>
      </w:r>
      <w:r w:rsidRPr="005E2E96">
        <w:rPr>
          <w:b/>
          <w:sz w:val="21"/>
          <w:szCs w:val="21"/>
        </w:rPr>
        <w:t>I of the HPMP</w:t>
      </w:r>
    </w:p>
    <w:tbl>
      <w:tblPr>
        <w:tblW w:w="9362" w:type="dxa"/>
        <w:tblInd w:w="-5" w:type="dxa"/>
        <w:tblLayout w:type="fixed"/>
        <w:tblLook w:val="04A0" w:firstRow="1" w:lastRow="0" w:firstColumn="1" w:lastColumn="0" w:noHBand="0" w:noVBand="1"/>
      </w:tblPr>
      <w:tblGrid>
        <w:gridCol w:w="5490"/>
        <w:gridCol w:w="1290"/>
        <w:gridCol w:w="1291"/>
        <w:gridCol w:w="1291"/>
      </w:tblGrid>
      <w:tr w:rsidR="005E2240" w:rsidRPr="005E2E96" w14:paraId="5A784465" w14:textId="77777777" w:rsidTr="00001970">
        <w:trPr>
          <w:tblHead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B0E5" w14:textId="77777777" w:rsidR="005E2240" w:rsidRPr="005E2E96" w:rsidRDefault="005E2240" w:rsidP="00A957E7">
            <w:pPr>
              <w:jc w:val="left"/>
              <w:rPr>
                <w:b/>
                <w:bCs/>
                <w:color w:val="000000"/>
                <w:sz w:val="20"/>
                <w:szCs w:val="20"/>
                <w:lang w:val="en-CA" w:eastAsia="en-CA"/>
              </w:rPr>
            </w:pPr>
            <w:r w:rsidRPr="005E2E96">
              <w:rPr>
                <w:b/>
                <w:bCs/>
                <w:color w:val="000000"/>
                <w:sz w:val="20"/>
                <w:szCs w:val="20"/>
                <w:lang w:val="en-CA" w:eastAsia="en-CA"/>
              </w:rPr>
              <w:t>Activity</w:t>
            </w:r>
          </w:p>
        </w:tc>
        <w:tc>
          <w:tcPr>
            <w:tcW w:w="1290" w:type="dxa"/>
            <w:tcBorders>
              <w:top w:val="single" w:sz="4" w:space="0" w:color="auto"/>
              <w:left w:val="nil"/>
              <w:bottom w:val="single" w:sz="4" w:space="0" w:color="auto"/>
              <w:right w:val="single" w:sz="4" w:space="0" w:color="auto"/>
            </w:tcBorders>
            <w:shd w:val="clear" w:color="auto" w:fill="auto"/>
            <w:noWrap/>
            <w:hideMark/>
          </w:tcPr>
          <w:p w14:paraId="6021218C" w14:textId="77777777" w:rsidR="005E2240" w:rsidRPr="005E2E96" w:rsidRDefault="005E2240" w:rsidP="00A957E7">
            <w:pPr>
              <w:jc w:val="center"/>
              <w:rPr>
                <w:b/>
                <w:bCs/>
                <w:color w:val="000000"/>
                <w:sz w:val="20"/>
                <w:szCs w:val="20"/>
                <w:lang w:val="en-CA" w:eastAsia="en-CA"/>
              </w:rPr>
            </w:pPr>
            <w:r w:rsidRPr="005E2E96">
              <w:rPr>
                <w:b/>
                <w:bCs/>
                <w:color w:val="000000"/>
                <w:sz w:val="20"/>
                <w:szCs w:val="20"/>
                <w:lang w:val="en-CA" w:eastAsia="en-CA"/>
              </w:rPr>
              <w:t>mt</w:t>
            </w:r>
          </w:p>
        </w:tc>
        <w:tc>
          <w:tcPr>
            <w:tcW w:w="1291" w:type="dxa"/>
            <w:tcBorders>
              <w:top w:val="single" w:sz="4" w:space="0" w:color="auto"/>
              <w:left w:val="nil"/>
              <w:bottom w:val="single" w:sz="4" w:space="0" w:color="auto"/>
              <w:right w:val="single" w:sz="4" w:space="0" w:color="auto"/>
            </w:tcBorders>
            <w:shd w:val="clear" w:color="auto" w:fill="auto"/>
            <w:hideMark/>
          </w:tcPr>
          <w:p w14:paraId="7210E853" w14:textId="77777777" w:rsidR="005E2240" w:rsidRPr="005E2E96" w:rsidRDefault="005E2240" w:rsidP="00A957E7">
            <w:pPr>
              <w:jc w:val="center"/>
              <w:rPr>
                <w:b/>
                <w:bCs/>
                <w:color w:val="000000"/>
                <w:sz w:val="20"/>
                <w:szCs w:val="20"/>
                <w:lang w:val="en-CA" w:eastAsia="en-CA"/>
              </w:rPr>
            </w:pPr>
            <w:r w:rsidRPr="005E2E96">
              <w:rPr>
                <w:b/>
                <w:bCs/>
                <w:color w:val="000000"/>
                <w:sz w:val="20"/>
                <w:szCs w:val="20"/>
                <w:lang w:val="en-CA" w:eastAsia="en-CA"/>
              </w:rPr>
              <w:t>ODP tonnes</w:t>
            </w:r>
          </w:p>
        </w:tc>
        <w:tc>
          <w:tcPr>
            <w:tcW w:w="1291" w:type="dxa"/>
            <w:tcBorders>
              <w:top w:val="single" w:sz="4" w:space="0" w:color="auto"/>
              <w:left w:val="nil"/>
              <w:bottom w:val="single" w:sz="4" w:space="0" w:color="auto"/>
              <w:right w:val="single" w:sz="4" w:space="0" w:color="auto"/>
            </w:tcBorders>
            <w:shd w:val="clear" w:color="auto" w:fill="auto"/>
            <w:hideMark/>
          </w:tcPr>
          <w:p w14:paraId="0DADAAA5" w14:textId="5D6919BA" w:rsidR="005E2240" w:rsidRPr="005E2E96" w:rsidRDefault="005E2240" w:rsidP="00A957E7">
            <w:pPr>
              <w:jc w:val="center"/>
              <w:rPr>
                <w:b/>
                <w:bCs/>
                <w:color w:val="000000"/>
                <w:sz w:val="20"/>
                <w:szCs w:val="20"/>
                <w:lang w:val="en-CA" w:eastAsia="en-CA"/>
              </w:rPr>
            </w:pPr>
            <w:r w:rsidRPr="005E2E96">
              <w:rPr>
                <w:b/>
                <w:bCs/>
                <w:color w:val="000000"/>
                <w:sz w:val="20"/>
                <w:szCs w:val="20"/>
                <w:lang w:val="en-CA" w:eastAsia="en-CA"/>
              </w:rPr>
              <w:t>Cost (</w:t>
            </w:r>
            <w:r w:rsidR="00687BDF" w:rsidRPr="005E2E96">
              <w:rPr>
                <w:b/>
                <w:bCs/>
                <w:color w:val="000000"/>
                <w:sz w:val="20"/>
                <w:szCs w:val="20"/>
                <w:lang w:val="en-CA" w:eastAsia="en-CA"/>
              </w:rPr>
              <w:t>US $</w:t>
            </w:r>
            <w:r w:rsidRPr="005E2E96">
              <w:rPr>
                <w:b/>
                <w:bCs/>
                <w:color w:val="000000"/>
                <w:sz w:val="20"/>
                <w:szCs w:val="20"/>
                <w:lang w:val="en-CA" w:eastAsia="en-CA"/>
              </w:rPr>
              <w:t>)</w:t>
            </w:r>
          </w:p>
        </w:tc>
      </w:tr>
      <w:tr w:rsidR="005E2240" w:rsidRPr="005E2E96" w14:paraId="77059CDD"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52E4C955" w14:textId="77777777" w:rsidR="005E2240" w:rsidRPr="005E2E96" w:rsidRDefault="005E2240" w:rsidP="00A957E7">
            <w:pPr>
              <w:jc w:val="left"/>
              <w:rPr>
                <w:color w:val="000000"/>
                <w:sz w:val="20"/>
                <w:szCs w:val="20"/>
                <w:lang w:val="en-CA" w:eastAsia="en-CA"/>
              </w:rPr>
            </w:pPr>
            <w:r w:rsidRPr="005E2E96">
              <w:rPr>
                <w:color w:val="000000"/>
                <w:sz w:val="20"/>
                <w:szCs w:val="20"/>
                <w:lang w:val="en-CA" w:eastAsia="en-CA"/>
              </w:rPr>
              <w:t>Individual conversion of nine enterprises in domestic refrigeration and discontinuous panels (UNIDO/Italy)</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2E0C9846"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213.30</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343A7977"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23.46</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4252A15F"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1,612,002</w:t>
            </w:r>
          </w:p>
        </w:tc>
      </w:tr>
      <w:tr w:rsidR="005E2240" w:rsidRPr="005E2E96" w14:paraId="14EEF8A6"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2D5FC4F2" w14:textId="77777777" w:rsidR="005E2240" w:rsidRPr="005E2E96" w:rsidRDefault="005E2240" w:rsidP="00A957E7">
            <w:pPr>
              <w:jc w:val="left"/>
              <w:rPr>
                <w:color w:val="000000"/>
                <w:sz w:val="20"/>
                <w:szCs w:val="20"/>
                <w:lang w:val="en-CA" w:eastAsia="en-CA"/>
              </w:rPr>
            </w:pPr>
            <w:r w:rsidRPr="005E2E96">
              <w:rPr>
                <w:color w:val="000000"/>
                <w:sz w:val="20"/>
                <w:szCs w:val="20"/>
                <w:lang w:val="en-CA" w:eastAsia="en-CA"/>
              </w:rPr>
              <w:t>Group conversion of 42 enterprises manufacturing domestic refrigeration, sandwich panels, integral skin and spray foam (UNIDO/Italy)</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4E1338BA"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231.40</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527415FB"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25.45</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4A7C12ED"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1,158,410</w:t>
            </w:r>
          </w:p>
        </w:tc>
      </w:tr>
      <w:tr w:rsidR="005E2240" w:rsidRPr="005E2E96" w14:paraId="57141633"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2EC5B705" w14:textId="77777777" w:rsidR="005E2240" w:rsidRPr="005E2E96" w:rsidRDefault="005E2240" w:rsidP="00A957E7">
            <w:pPr>
              <w:jc w:val="left"/>
              <w:rPr>
                <w:color w:val="000000"/>
                <w:sz w:val="20"/>
                <w:szCs w:val="20"/>
                <w:lang w:val="en-CA" w:eastAsia="en-CA"/>
              </w:rPr>
            </w:pPr>
            <w:r w:rsidRPr="005E2E96">
              <w:rPr>
                <w:color w:val="000000"/>
                <w:sz w:val="20"/>
                <w:szCs w:val="20"/>
                <w:lang w:val="en-CA" w:eastAsia="en-CA"/>
              </w:rPr>
              <w:t>Individual conversion of three enterprises manufacturing panels for commercial refrigeration equipment (UNDP)</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720B15ED"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55.50</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2E552082"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6.11</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12CCD500"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541,771</w:t>
            </w:r>
          </w:p>
        </w:tc>
      </w:tr>
      <w:tr w:rsidR="005E2240" w:rsidRPr="005E2E96" w14:paraId="201884CD"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38A47B05" w14:textId="77777777" w:rsidR="005E2240" w:rsidRPr="005E2E96" w:rsidRDefault="005E2240" w:rsidP="00A957E7">
            <w:pPr>
              <w:jc w:val="left"/>
              <w:rPr>
                <w:color w:val="000000"/>
                <w:sz w:val="20"/>
                <w:szCs w:val="20"/>
                <w:lang w:val="en-CA" w:eastAsia="en-CA"/>
              </w:rPr>
            </w:pPr>
            <w:r w:rsidRPr="005E2E96">
              <w:rPr>
                <w:color w:val="000000"/>
                <w:sz w:val="20"/>
                <w:szCs w:val="20"/>
                <w:lang w:val="en-CA" w:eastAsia="en-CA"/>
              </w:rPr>
              <w:t>Group conversion of 40 enterprises manufacturing panels for commercial refrigeration equipment (UNDP)</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19103627"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260.20</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1DFA26A6"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28.62</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20A975CA"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1,129,130</w:t>
            </w:r>
          </w:p>
        </w:tc>
      </w:tr>
      <w:tr w:rsidR="005E2240" w:rsidRPr="005E2E96" w14:paraId="075C7E05"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67AB6BB6" w14:textId="77777777" w:rsidR="005E2240" w:rsidRPr="005E2E96" w:rsidRDefault="005E2240" w:rsidP="00A957E7">
            <w:pPr>
              <w:jc w:val="left"/>
              <w:rPr>
                <w:color w:val="000000"/>
                <w:sz w:val="20"/>
                <w:szCs w:val="20"/>
                <w:lang w:val="en-CA" w:eastAsia="en-CA"/>
              </w:rPr>
            </w:pPr>
            <w:r w:rsidRPr="005E2E96">
              <w:rPr>
                <w:color w:val="000000"/>
                <w:sz w:val="20"/>
                <w:szCs w:val="20"/>
                <w:lang w:val="en-CA" w:eastAsia="en-CA"/>
              </w:rPr>
              <w:t>Conversion of two enterprises manufacturing integral skin foam (Germany)</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36500AA5"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39.00</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37B53A80"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4.29</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3E92232E"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168,350</w:t>
            </w:r>
          </w:p>
        </w:tc>
      </w:tr>
      <w:tr w:rsidR="005E2240" w:rsidRPr="005E2E96" w14:paraId="3FB42742"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025B4549" w14:textId="77777777" w:rsidR="005E2240" w:rsidRPr="005E2E96" w:rsidRDefault="005E2240" w:rsidP="00A957E7">
            <w:pPr>
              <w:jc w:val="left"/>
              <w:rPr>
                <w:color w:val="000000"/>
                <w:sz w:val="20"/>
                <w:szCs w:val="20"/>
                <w:lang w:val="en-CA" w:eastAsia="en-CA"/>
              </w:rPr>
            </w:pPr>
            <w:r w:rsidRPr="005E2E96">
              <w:rPr>
                <w:color w:val="000000"/>
                <w:sz w:val="20"/>
                <w:szCs w:val="20"/>
                <w:lang w:val="en-CA" w:eastAsia="en-CA"/>
              </w:rPr>
              <w:t>Technical assistance for development of cyclopentane polyol systems to a systems house (UNDP)</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027DAF3B"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2AB81645"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733B2981"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225,500</w:t>
            </w:r>
          </w:p>
        </w:tc>
      </w:tr>
      <w:tr w:rsidR="005E2240" w:rsidRPr="005E2E96" w14:paraId="5AB44CE1"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7D52F04E" w14:textId="77777777" w:rsidR="005E2240" w:rsidRPr="005E2E96" w:rsidRDefault="005E2240" w:rsidP="00A957E7">
            <w:pPr>
              <w:jc w:val="left"/>
              <w:rPr>
                <w:color w:val="000000"/>
                <w:sz w:val="20"/>
                <w:szCs w:val="20"/>
                <w:lang w:val="en-CA" w:eastAsia="en-CA"/>
              </w:rPr>
            </w:pPr>
            <w:r w:rsidRPr="005E2E96">
              <w:rPr>
                <w:color w:val="000000"/>
                <w:sz w:val="20"/>
                <w:szCs w:val="20"/>
                <w:lang w:val="en-CA" w:eastAsia="en-CA"/>
              </w:rPr>
              <w:t>Technical assistance for development of water-blown polyol systems to a systems house (Germany)</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71D9DEAA"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4E400330"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08C723C7"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50,000</w:t>
            </w:r>
          </w:p>
        </w:tc>
      </w:tr>
      <w:tr w:rsidR="005E2240" w:rsidRPr="005E2E96" w14:paraId="53A3F424"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51F6276F" w14:textId="77777777" w:rsidR="005E2240" w:rsidRPr="005E2E96" w:rsidRDefault="005E2240" w:rsidP="00A957E7">
            <w:pPr>
              <w:jc w:val="left"/>
              <w:rPr>
                <w:color w:val="000000"/>
                <w:sz w:val="20"/>
                <w:szCs w:val="20"/>
                <w:lang w:val="en-CA" w:eastAsia="en-CA"/>
              </w:rPr>
            </w:pPr>
            <w:r w:rsidRPr="005E2E96">
              <w:rPr>
                <w:color w:val="000000"/>
                <w:sz w:val="20"/>
                <w:szCs w:val="20"/>
                <w:lang w:val="en-CA" w:eastAsia="en-CA"/>
              </w:rPr>
              <w:t>Technical assistance to 94 SMEs (Germany)</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6B53A30A"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02A2AF0C"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36220EF1" w14:textId="77777777" w:rsidR="005E2240" w:rsidRPr="005E2E96" w:rsidRDefault="005E2240" w:rsidP="00A957E7">
            <w:pPr>
              <w:jc w:val="right"/>
              <w:rPr>
                <w:color w:val="000000"/>
                <w:sz w:val="20"/>
                <w:szCs w:val="20"/>
                <w:lang w:val="en-CA" w:eastAsia="en-CA"/>
              </w:rPr>
            </w:pPr>
            <w:r w:rsidRPr="005E2E96">
              <w:rPr>
                <w:color w:val="000000"/>
                <w:sz w:val="20"/>
                <w:szCs w:val="20"/>
                <w:lang w:val="en-CA" w:eastAsia="en-CA"/>
              </w:rPr>
              <w:t>545,094</w:t>
            </w:r>
          </w:p>
        </w:tc>
      </w:tr>
      <w:tr w:rsidR="0063124E" w:rsidRPr="005E2E96" w14:paraId="684DFD64" w14:textId="77777777" w:rsidTr="00001970">
        <w:tc>
          <w:tcPr>
            <w:tcW w:w="5490" w:type="dxa"/>
            <w:tcBorders>
              <w:top w:val="nil"/>
              <w:left w:val="single" w:sz="4" w:space="0" w:color="auto"/>
              <w:bottom w:val="single" w:sz="4" w:space="0" w:color="auto"/>
              <w:right w:val="single" w:sz="4" w:space="0" w:color="auto"/>
            </w:tcBorders>
            <w:shd w:val="clear" w:color="auto" w:fill="auto"/>
            <w:noWrap/>
            <w:hideMark/>
          </w:tcPr>
          <w:p w14:paraId="53D9E996" w14:textId="77777777" w:rsidR="0063124E" w:rsidRPr="005E2E96" w:rsidRDefault="0063124E" w:rsidP="0063124E">
            <w:pPr>
              <w:jc w:val="left"/>
              <w:rPr>
                <w:b/>
                <w:bCs/>
                <w:color w:val="000000"/>
                <w:sz w:val="20"/>
                <w:szCs w:val="20"/>
                <w:lang w:val="en-CA" w:eastAsia="en-CA"/>
              </w:rPr>
            </w:pPr>
            <w:r w:rsidRPr="005E2E96">
              <w:rPr>
                <w:b/>
                <w:bCs/>
                <w:color w:val="000000"/>
                <w:sz w:val="20"/>
                <w:szCs w:val="20"/>
                <w:lang w:val="en-CA" w:eastAsia="en-CA"/>
              </w:rPr>
              <w:t>Total Germany</w:t>
            </w:r>
          </w:p>
        </w:tc>
        <w:tc>
          <w:tcPr>
            <w:tcW w:w="1290" w:type="dxa"/>
            <w:tcBorders>
              <w:top w:val="nil"/>
              <w:left w:val="nil"/>
              <w:bottom w:val="single" w:sz="4" w:space="0" w:color="auto"/>
              <w:right w:val="single" w:sz="4" w:space="0" w:color="auto"/>
            </w:tcBorders>
            <w:shd w:val="clear" w:color="auto" w:fill="auto"/>
            <w:noWrap/>
            <w:tcMar>
              <w:left w:w="115" w:type="dxa"/>
              <w:right w:w="173" w:type="dxa"/>
            </w:tcMar>
            <w:hideMark/>
          </w:tcPr>
          <w:p w14:paraId="69E2F788" w14:textId="5D4B4CEC" w:rsidR="0063124E" w:rsidRPr="005E2E96" w:rsidRDefault="0063124E" w:rsidP="0063124E">
            <w:pPr>
              <w:jc w:val="right"/>
              <w:rPr>
                <w:b/>
                <w:bCs/>
                <w:color w:val="000000"/>
                <w:sz w:val="20"/>
                <w:szCs w:val="20"/>
                <w:lang w:val="en-CA" w:eastAsia="en-CA"/>
              </w:rPr>
            </w:pPr>
            <w:r w:rsidRPr="005E2E96">
              <w:rPr>
                <w:b/>
                <w:sz w:val="20"/>
                <w:szCs w:val="20"/>
              </w:rPr>
              <w:t>799.40</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433F06A8" w14:textId="2F84461C" w:rsidR="0063124E" w:rsidRPr="005E2E96" w:rsidRDefault="0063124E" w:rsidP="0063124E">
            <w:pPr>
              <w:jc w:val="right"/>
              <w:rPr>
                <w:b/>
                <w:bCs/>
                <w:color w:val="000000"/>
                <w:sz w:val="20"/>
                <w:szCs w:val="20"/>
                <w:lang w:val="en-CA" w:eastAsia="en-CA"/>
              </w:rPr>
            </w:pPr>
            <w:r w:rsidRPr="005E2E96">
              <w:rPr>
                <w:b/>
                <w:sz w:val="20"/>
                <w:szCs w:val="20"/>
              </w:rPr>
              <w:t>87.93</w:t>
            </w:r>
          </w:p>
        </w:tc>
        <w:tc>
          <w:tcPr>
            <w:tcW w:w="1291" w:type="dxa"/>
            <w:tcBorders>
              <w:top w:val="nil"/>
              <w:left w:val="nil"/>
              <w:bottom w:val="single" w:sz="4" w:space="0" w:color="auto"/>
              <w:right w:val="single" w:sz="4" w:space="0" w:color="auto"/>
            </w:tcBorders>
            <w:shd w:val="clear" w:color="auto" w:fill="auto"/>
            <w:noWrap/>
            <w:tcMar>
              <w:left w:w="115" w:type="dxa"/>
              <w:right w:w="173" w:type="dxa"/>
            </w:tcMar>
            <w:hideMark/>
          </w:tcPr>
          <w:p w14:paraId="63EF243C" w14:textId="2459A743" w:rsidR="0063124E" w:rsidRPr="005E2E96" w:rsidRDefault="0063124E" w:rsidP="0063124E">
            <w:pPr>
              <w:jc w:val="right"/>
              <w:rPr>
                <w:b/>
                <w:bCs/>
                <w:color w:val="000000"/>
                <w:sz w:val="20"/>
                <w:szCs w:val="20"/>
                <w:lang w:val="en-CA" w:eastAsia="en-CA"/>
              </w:rPr>
            </w:pPr>
            <w:r w:rsidRPr="005E2E96">
              <w:rPr>
                <w:b/>
                <w:sz w:val="20"/>
                <w:szCs w:val="20"/>
              </w:rPr>
              <w:t>5,430,257</w:t>
            </w:r>
          </w:p>
        </w:tc>
      </w:tr>
    </w:tbl>
    <w:p w14:paraId="3987851C" w14:textId="27DD8BFD" w:rsidR="005E2240" w:rsidRPr="005E2E96" w:rsidRDefault="005E2240" w:rsidP="005E2240"/>
    <w:p w14:paraId="0A20156A" w14:textId="3F20E74D" w:rsidR="00451FCC" w:rsidRPr="005E2E96" w:rsidRDefault="00451FCC" w:rsidP="009A3176">
      <w:pPr>
        <w:pStyle w:val="Heading1"/>
        <w:rPr>
          <w:lang w:val="en-CA"/>
        </w:rPr>
      </w:pPr>
      <w:r w:rsidRPr="005E2E96">
        <w:rPr>
          <w:lang w:val="en-CA"/>
        </w:rPr>
        <w:t>The v</w:t>
      </w:r>
      <w:r w:rsidR="000E0964" w:rsidRPr="005E2E96">
        <w:rPr>
          <w:lang w:val="en-CA"/>
        </w:rPr>
        <w:t xml:space="preserve">erification of </w:t>
      </w:r>
      <w:r w:rsidRPr="005E2E96">
        <w:rPr>
          <w:lang w:val="en-CA"/>
        </w:rPr>
        <w:t xml:space="preserve">foam </w:t>
      </w:r>
      <w:r w:rsidR="000E0964" w:rsidRPr="005E2E96">
        <w:rPr>
          <w:lang w:val="en-CA"/>
        </w:rPr>
        <w:t>enterprise</w:t>
      </w:r>
      <w:r w:rsidR="00B77005" w:rsidRPr="005E2E96">
        <w:rPr>
          <w:lang w:val="en-CA"/>
        </w:rPr>
        <w:t>s</w:t>
      </w:r>
      <w:r w:rsidR="000E0964" w:rsidRPr="005E2E96">
        <w:rPr>
          <w:lang w:val="en-CA"/>
        </w:rPr>
        <w:t xml:space="preserve"> </w:t>
      </w:r>
      <w:r w:rsidRPr="005E2E96">
        <w:rPr>
          <w:lang w:val="en-CA"/>
        </w:rPr>
        <w:t xml:space="preserve">to determine the current baseline of HCFC consumption and equipment in operation, and thus their funding </w:t>
      </w:r>
      <w:r w:rsidR="000E0964" w:rsidRPr="005E2E96">
        <w:rPr>
          <w:lang w:val="en-CA"/>
        </w:rPr>
        <w:t xml:space="preserve">eligibility, </w:t>
      </w:r>
      <w:r w:rsidRPr="005E2E96">
        <w:rPr>
          <w:lang w:val="en-CA"/>
        </w:rPr>
        <w:t xml:space="preserve">has been undertaken. As a result, it was found </w:t>
      </w:r>
      <w:r w:rsidR="0021638F" w:rsidRPr="005E2E96">
        <w:rPr>
          <w:lang w:val="en-CA"/>
        </w:rPr>
        <w:t xml:space="preserve">that </w:t>
      </w:r>
      <w:r w:rsidRPr="005E2E96">
        <w:rPr>
          <w:lang w:val="en-CA"/>
        </w:rPr>
        <w:t xml:space="preserve">the </w:t>
      </w:r>
      <w:r w:rsidR="0021638F" w:rsidRPr="005E2E96">
        <w:rPr>
          <w:lang w:val="en-CA"/>
        </w:rPr>
        <w:t xml:space="preserve">current </w:t>
      </w:r>
      <w:r w:rsidRPr="005E2E96">
        <w:rPr>
          <w:lang w:val="en-CA"/>
        </w:rPr>
        <w:t xml:space="preserve">economic </w:t>
      </w:r>
      <w:r w:rsidR="0021638F" w:rsidRPr="005E2E96">
        <w:rPr>
          <w:lang w:val="en-CA"/>
        </w:rPr>
        <w:t xml:space="preserve">situation </w:t>
      </w:r>
      <w:r w:rsidRPr="005E2E96">
        <w:rPr>
          <w:lang w:val="en-CA"/>
        </w:rPr>
        <w:t xml:space="preserve">in the country has resulted in the closure of several enterprises, while </w:t>
      </w:r>
      <w:r w:rsidRPr="005E2E96">
        <w:rPr>
          <w:lang w:val="en-CA"/>
        </w:rPr>
        <w:lastRenderedPageBreak/>
        <w:t xml:space="preserve">the HCFC-141b consumption of other enterprises has increased as they </w:t>
      </w:r>
      <w:r w:rsidR="0021638F" w:rsidRPr="005E2E96">
        <w:rPr>
          <w:lang w:val="en-CA"/>
        </w:rPr>
        <w:t>had to fill the void created in</w:t>
      </w:r>
      <w:r w:rsidRPr="005E2E96">
        <w:rPr>
          <w:lang w:val="en-CA"/>
        </w:rPr>
        <w:t xml:space="preserve"> the market</w:t>
      </w:r>
      <w:r w:rsidR="00001970" w:rsidRPr="005E2E96">
        <w:rPr>
          <w:lang w:val="en-CA"/>
        </w:rPr>
        <w:t xml:space="preserve"> </w:t>
      </w:r>
      <w:r w:rsidR="0021638F" w:rsidRPr="005E2E96">
        <w:rPr>
          <w:lang w:val="en-CA"/>
        </w:rPr>
        <w:t>resulting from</w:t>
      </w:r>
      <w:r w:rsidRPr="005E2E96">
        <w:rPr>
          <w:lang w:val="en-CA"/>
        </w:rPr>
        <w:t xml:space="preserve"> the closed enterprises, as explained below. </w:t>
      </w:r>
    </w:p>
    <w:p w14:paraId="74EA8487" w14:textId="36CA11AE" w:rsidR="00CD2D4C" w:rsidRPr="005E2E96" w:rsidRDefault="00CD2D4C" w:rsidP="00CD2D4C">
      <w:pPr>
        <w:rPr>
          <w:i/>
          <w:lang w:val="en-CA"/>
        </w:rPr>
      </w:pPr>
      <w:r w:rsidRPr="005E2E96">
        <w:rPr>
          <w:i/>
          <w:lang w:val="en-CA"/>
        </w:rPr>
        <w:t>Individual conversion of nine enterprises in domestic refrigeration and discontinuous panels</w:t>
      </w:r>
      <w:r w:rsidR="009A0E86" w:rsidRPr="005E2E96">
        <w:rPr>
          <w:i/>
          <w:lang w:val="en-CA"/>
        </w:rPr>
        <w:t xml:space="preserve"> </w:t>
      </w:r>
      <w:r w:rsidR="008D2FC3" w:rsidRPr="005E2E96">
        <w:rPr>
          <w:i/>
          <w:lang w:val="en-CA"/>
        </w:rPr>
        <w:t xml:space="preserve">to cyclopentane </w:t>
      </w:r>
      <w:r w:rsidR="009A0E86" w:rsidRPr="005E2E96">
        <w:rPr>
          <w:i/>
          <w:lang w:val="en-CA"/>
        </w:rPr>
        <w:t>(UNIDO/Italy)</w:t>
      </w:r>
    </w:p>
    <w:p w14:paraId="77B58A03" w14:textId="77777777" w:rsidR="00CD2D4C" w:rsidRPr="005E2E96" w:rsidRDefault="00CD2D4C" w:rsidP="00CD2D4C">
      <w:pPr>
        <w:rPr>
          <w:i/>
          <w:lang w:val="en-CA"/>
        </w:rPr>
      </w:pPr>
    </w:p>
    <w:p w14:paraId="1E63A09A" w14:textId="0B1630B6" w:rsidR="00CD2D4C" w:rsidRPr="005E2E96" w:rsidRDefault="00CD2D4C" w:rsidP="00A957E7">
      <w:pPr>
        <w:pStyle w:val="Heading1"/>
        <w:rPr>
          <w:lang w:val="en-CA"/>
        </w:rPr>
      </w:pPr>
      <w:r w:rsidRPr="005E2E96">
        <w:rPr>
          <w:lang w:val="en-CA"/>
        </w:rPr>
        <w:t>The results of the verification indicate that:</w:t>
      </w:r>
      <w:r w:rsidR="000152A1" w:rsidRPr="005E2E96">
        <w:rPr>
          <w:lang w:val="en-CA"/>
        </w:rPr>
        <w:t xml:space="preserve"> </w:t>
      </w:r>
    </w:p>
    <w:p w14:paraId="03F41B06" w14:textId="32C93EC3" w:rsidR="00CD2D4C" w:rsidRPr="005E2E96" w:rsidRDefault="00CD2D4C" w:rsidP="00CD2D4C">
      <w:pPr>
        <w:pStyle w:val="Heading2"/>
        <w:rPr>
          <w:lang w:val="en-CA"/>
        </w:rPr>
      </w:pPr>
      <w:r w:rsidRPr="005E2E96">
        <w:rPr>
          <w:lang w:val="en-CA"/>
        </w:rPr>
        <w:t xml:space="preserve">Two enterprises </w:t>
      </w:r>
      <w:r w:rsidR="00EB0C52" w:rsidRPr="005E2E96">
        <w:rPr>
          <w:lang w:val="en-CA"/>
        </w:rPr>
        <w:t>with a consumption of 38</w:t>
      </w:r>
      <w:r w:rsidR="00AA7FD3" w:rsidRPr="005E2E96">
        <w:rPr>
          <w:lang w:val="en-CA"/>
        </w:rPr>
        <w:t> mt</w:t>
      </w:r>
      <w:r w:rsidR="00EB0C52" w:rsidRPr="005E2E96">
        <w:rPr>
          <w:lang w:val="en-CA"/>
        </w:rPr>
        <w:t xml:space="preserve"> (4.18</w:t>
      </w:r>
      <w:r w:rsidR="00E532B1" w:rsidRPr="005E2E96">
        <w:rPr>
          <w:lang w:val="en-CA"/>
        </w:rPr>
        <w:t> ODP t</w:t>
      </w:r>
      <w:r w:rsidR="00EB0C52" w:rsidRPr="005E2E96">
        <w:rPr>
          <w:lang w:val="en-CA"/>
        </w:rPr>
        <w:t xml:space="preserve">onnes) of HCFC-141b </w:t>
      </w:r>
      <w:r w:rsidRPr="005E2E96">
        <w:rPr>
          <w:lang w:val="en-CA"/>
        </w:rPr>
        <w:t>have started their conversions</w:t>
      </w:r>
      <w:r w:rsidR="00EB0C52" w:rsidRPr="005E2E96">
        <w:rPr>
          <w:lang w:val="en-CA"/>
        </w:rPr>
        <w:t xml:space="preserve"> and a third one (24.30</w:t>
      </w:r>
      <w:r w:rsidR="009A7275" w:rsidRPr="005E2E96">
        <w:rPr>
          <w:lang w:val="en-CA"/>
        </w:rPr>
        <w:t xml:space="preserve"> </w:t>
      </w:r>
      <w:r w:rsidR="00EB0C52" w:rsidRPr="005E2E96">
        <w:rPr>
          <w:lang w:val="en-CA"/>
        </w:rPr>
        <w:t>mt or 2.67</w:t>
      </w:r>
      <w:r w:rsidR="00E532B1" w:rsidRPr="005E2E96">
        <w:rPr>
          <w:lang w:val="en-CA"/>
        </w:rPr>
        <w:t> ODP t</w:t>
      </w:r>
      <w:r w:rsidR="00EB0C52" w:rsidRPr="005E2E96">
        <w:rPr>
          <w:lang w:val="en-CA"/>
        </w:rPr>
        <w:t>onnes) will start</w:t>
      </w:r>
      <w:r w:rsidR="009A7275" w:rsidRPr="005E2E96">
        <w:rPr>
          <w:lang w:val="en-CA"/>
        </w:rPr>
        <w:t xml:space="preserve"> by the </w:t>
      </w:r>
      <w:r w:rsidR="00EB0C52" w:rsidRPr="005E2E96">
        <w:rPr>
          <w:lang w:val="en-CA"/>
        </w:rPr>
        <w:t>end of 2019;</w:t>
      </w:r>
    </w:p>
    <w:p w14:paraId="0147E820" w14:textId="513D6352" w:rsidR="00691260" w:rsidRPr="005E2E96" w:rsidRDefault="00CD2D4C" w:rsidP="00CD2D4C">
      <w:pPr>
        <w:pStyle w:val="Heading2"/>
        <w:rPr>
          <w:lang w:val="en-CA"/>
        </w:rPr>
      </w:pPr>
      <w:r w:rsidRPr="005E2E96">
        <w:rPr>
          <w:lang w:val="en-CA"/>
        </w:rPr>
        <w:t xml:space="preserve">The consumption in </w:t>
      </w:r>
      <w:r w:rsidR="00EB0C52" w:rsidRPr="005E2E96">
        <w:rPr>
          <w:lang w:val="en-CA"/>
        </w:rPr>
        <w:t>two</w:t>
      </w:r>
      <w:r w:rsidR="00691260" w:rsidRPr="005E2E96">
        <w:rPr>
          <w:lang w:val="en-CA"/>
        </w:rPr>
        <w:t xml:space="preserve"> </w:t>
      </w:r>
      <w:r w:rsidRPr="005E2E96">
        <w:rPr>
          <w:lang w:val="en-CA"/>
        </w:rPr>
        <w:t xml:space="preserve">enterprises has </w:t>
      </w:r>
      <w:r w:rsidR="009A7275" w:rsidRPr="005E2E96">
        <w:rPr>
          <w:lang w:val="en-CA"/>
        </w:rPr>
        <w:t xml:space="preserve">been </w:t>
      </w:r>
      <w:r w:rsidRPr="005E2E96">
        <w:rPr>
          <w:lang w:val="en-CA"/>
        </w:rPr>
        <w:t xml:space="preserve">reduced </w:t>
      </w:r>
      <w:r w:rsidR="007F12F1" w:rsidRPr="005E2E96">
        <w:rPr>
          <w:lang w:val="en-CA"/>
        </w:rPr>
        <w:t>to less than 10.00</w:t>
      </w:r>
      <w:r w:rsidR="00AA7FD3" w:rsidRPr="005E2E96">
        <w:rPr>
          <w:lang w:val="en-CA"/>
        </w:rPr>
        <w:t> mt</w:t>
      </w:r>
      <w:r w:rsidR="007F12F1" w:rsidRPr="005E2E96">
        <w:rPr>
          <w:lang w:val="en-CA"/>
        </w:rPr>
        <w:t xml:space="preserve"> (1.10</w:t>
      </w:r>
      <w:r w:rsidR="00E532B1" w:rsidRPr="005E2E96">
        <w:rPr>
          <w:lang w:val="en-CA"/>
        </w:rPr>
        <w:t> ODP t</w:t>
      </w:r>
      <w:r w:rsidR="007F12F1" w:rsidRPr="005E2E96">
        <w:rPr>
          <w:lang w:val="en-CA"/>
        </w:rPr>
        <w:t xml:space="preserve">onnes) </w:t>
      </w:r>
      <w:r w:rsidR="009A7275" w:rsidRPr="005E2E96">
        <w:rPr>
          <w:lang w:val="en-CA"/>
        </w:rPr>
        <w:t xml:space="preserve">of HCFC-141b </w:t>
      </w:r>
      <w:r w:rsidRPr="005E2E96">
        <w:rPr>
          <w:lang w:val="en-CA"/>
        </w:rPr>
        <w:t xml:space="preserve">from the time </w:t>
      </w:r>
      <w:r w:rsidR="00691260" w:rsidRPr="005E2E96">
        <w:rPr>
          <w:lang w:val="en-CA"/>
        </w:rPr>
        <w:t xml:space="preserve">the survey for preparation of </w:t>
      </w:r>
      <w:r w:rsidR="00687BDF" w:rsidRPr="005E2E96">
        <w:rPr>
          <w:lang w:val="en-CA"/>
        </w:rPr>
        <w:t>stage I</w:t>
      </w:r>
      <w:r w:rsidR="00691260" w:rsidRPr="005E2E96">
        <w:rPr>
          <w:lang w:val="en-CA"/>
        </w:rPr>
        <w:t>I was conducted, and should be assisted under the group project</w:t>
      </w:r>
      <w:r w:rsidR="008D2FC3" w:rsidRPr="005E2E96">
        <w:rPr>
          <w:lang w:val="en-CA"/>
        </w:rPr>
        <w:t xml:space="preserve"> to convert to pre-blended cyclopentane</w:t>
      </w:r>
      <w:r w:rsidR="00691260" w:rsidRPr="005E2E96">
        <w:rPr>
          <w:lang w:val="en-CA"/>
        </w:rPr>
        <w:t>, rather than individually;</w:t>
      </w:r>
    </w:p>
    <w:p w14:paraId="4D40254E" w14:textId="69EA6390" w:rsidR="00CF02A0" w:rsidRPr="005E2E96" w:rsidRDefault="00CF02A0" w:rsidP="00CD2D4C">
      <w:pPr>
        <w:pStyle w:val="Heading2"/>
        <w:rPr>
          <w:lang w:val="en-CA"/>
        </w:rPr>
      </w:pPr>
      <w:r w:rsidRPr="005E2E96">
        <w:rPr>
          <w:lang w:val="en-CA"/>
        </w:rPr>
        <w:t>Two enterprises with a consumption of 61</w:t>
      </w:r>
      <w:r w:rsidR="009A7275" w:rsidRPr="005E2E96">
        <w:rPr>
          <w:lang w:val="en-CA"/>
        </w:rPr>
        <w:t>.00</w:t>
      </w:r>
      <w:r w:rsidR="00AA7FD3" w:rsidRPr="005E2E96">
        <w:rPr>
          <w:lang w:val="en-CA"/>
        </w:rPr>
        <w:t> mt</w:t>
      </w:r>
      <w:r w:rsidRPr="005E2E96">
        <w:rPr>
          <w:lang w:val="en-CA"/>
        </w:rPr>
        <w:t xml:space="preserve"> (6.71</w:t>
      </w:r>
      <w:r w:rsidR="00E532B1" w:rsidRPr="005E2E96">
        <w:rPr>
          <w:lang w:val="en-CA"/>
        </w:rPr>
        <w:t> ODP t</w:t>
      </w:r>
      <w:r w:rsidRPr="005E2E96">
        <w:rPr>
          <w:lang w:val="en-CA"/>
        </w:rPr>
        <w:t xml:space="preserve">onnes) of HCFC-141b and associated funding of </w:t>
      </w:r>
      <w:r w:rsidR="00687BDF" w:rsidRPr="005E2E96">
        <w:rPr>
          <w:lang w:val="en-CA"/>
        </w:rPr>
        <w:t>US $</w:t>
      </w:r>
      <w:r w:rsidRPr="005E2E96">
        <w:rPr>
          <w:lang w:val="en-CA"/>
        </w:rPr>
        <w:t>348,006</w:t>
      </w:r>
      <w:r w:rsidR="008D2FC3" w:rsidRPr="005E2E96">
        <w:rPr>
          <w:lang w:val="en-CA"/>
        </w:rPr>
        <w:t xml:space="preserve"> </w:t>
      </w:r>
      <w:r w:rsidR="0021638F" w:rsidRPr="005E2E96">
        <w:rPr>
          <w:lang w:val="en-CA"/>
        </w:rPr>
        <w:t xml:space="preserve">had converted </w:t>
      </w:r>
      <w:r w:rsidRPr="005E2E96">
        <w:rPr>
          <w:lang w:val="en-CA"/>
        </w:rPr>
        <w:t xml:space="preserve">with their own </w:t>
      </w:r>
      <w:r w:rsidR="009A7275" w:rsidRPr="005E2E96">
        <w:rPr>
          <w:lang w:val="en-CA"/>
        </w:rPr>
        <w:t xml:space="preserve">resources </w:t>
      </w:r>
      <w:r w:rsidRPr="005E2E96">
        <w:rPr>
          <w:lang w:val="en-CA"/>
        </w:rPr>
        <w:t>before the initiation of the project;</w:t>
      </w:r>
      <w:r w:rsidR="009A7275" w:rsidRPr="005E2E96">
        <w:rPr>
          <w:lang w:val="en-CA"/>
        </w:rPr>
        <w:t xml:space="preserve"> and</w:t>
      </w:r>
    </w:p>
    <w:p w14:paraId="43DB64D0" w14:textId="4F93D254" w:rsidR="00691260" w:rsidRPr="005E2E96" w:rsidRDefault="00691260" w:rsidP="00CD2D4C">
      <w:pPr>
        <w:pStyle w:val="Heading2"/>
        <w:rPr>
          <w:lang w:val="en-CA"/>
        </w:rPr>
      </w:pPr>
      <w:r w:rsidRPr="005E2E96">
        <w:rPr>
          <w:lang w:val="en-CA"/>
        </w:rPr>
        <w:t>For economic reasons, t</w:t>
      </w:r>
      <w:r w:rsidR="00CD2D4C" w:rsidRPr="005E2E96">
        <w:rPr>
          <w:lang w:val="en-CA"/>
        </w:rPr>
        <w:t>wo</w:t>
      </w:r>
      <w:r w:rsidRPr="005E2E96">
        <w:rPr>
          <w:lang w:val="en-CA"/>
        </w:rPr>
        <w:t xml:space="preserve"> enterprises </w:t>
      </w:r>
      <w:r w:rsidR="00390E54" w:rsidRPr="005E2E96">
        <w:rPr>
          <w:lang w:val="en-CA"/>
        </w:rPr>
        <w:t xml:space="preserve">with a consumption of </w:t>
      </w:r>
      <w:r w:rsidR="00CF02A0" w:rsidRPr="005E2E96">
        <w:rPr>
          <w:lang w:val="en-CA"/>
        </w:rPr>
        <w:t>39</w:t>
      </w:r>
      <w:r w:rsidR="009A7275" w:rsidRPr="005E2E96">
        <w:rPr>
          <w:lang w:val="en-CA"/>
        </w:rPr>
        <w:t>.00</w:t>
      </w:r>
      <w:r w:rsidR="00AA7FD3" w:rsidRPr="005E2E96">
        <w:rPr>
          <w:lang w:val="en-CA"/>
        </w:rPr>
        <w:t> mt</w:t>
      </w:r>
      <w:r w:rsidR="00390E54" w:rsidRPr="005E2E96">
        <w:rPr>
          <w:lang w:val="en-CA"/>
        </w:rPr>
        <w:t xml:space="preserve"> (</w:t>
      </w:r>
      <w:r w:rsidR="00CF02A0" w:rsidRPr="005E2E96">
        <w:rPr>
          <w:lang w:val="en-CA"/>
        </w:rPr>
        <w:t>4.29</w:t>
      </w:r>
      <w:r w:rsidR="00E532B1" w:rsidRPr="005E2E96">
        <w:rPr>
          <w:lang w:val="en-CA"/>
        </w:rPr>
        <w:t> ODP t</w:t>
      </w:r>
      <w:r w:rsidR="00390E54" w:rsidRPr="005E2E96">
        <w:rPr>
          <w:lang w:val="en-CA"/>
        </w:rPr>
        <w:t xml:space="preserve">onnes) of HCFC-141b and associated funding of </w:t>
      </w:r>
      <w:r w:rsidR="00687BDF" w:rsidRPr="005E2E96">
        <w:rPr>
          <w:lang w:val="en-CA"/>
        </w:rPr>
        <w:t>US $</w:t>
      </w:r>
      <w:r w:rsidR="00CF02A0" w:rsidRPr="005E2E96">
        <w:rPr>
          <w:lang w:val="en-CA"/>
        </w:rPr>
        <w:t>348,006</w:t>
      </w:r>
      <w:r w:rsidR="005053FA" w:rsidRPr="005E2E96">
        <w:rPr>
          <w:lang w:val="en-CA"/>
        </w:rPr>
        <w:t xml:space="preserve"> </w:t>
      </w:r>
      <w:r w:rsidRPr="005E2E96">
        <w:rPr>
          <w:lang w:val="en-CA"/>
        </w:rPr>
        <w:t>ha</w:t>
      </w:r>
      <w:r w:rsidR="009A0E86" w:rsidRPr="005E2E96">
        <w:rPr>
          <w:lang w:val="en-CA"/>
        </w:rPr>
        <w:t>ve</w:t>
      </w:r>
      <w:r w:rsidRPr="005E2E96">
        <w:rPr>
          <w:lang w:val="en-CA"/>
        </w:rPr>
        <w:t xml:space="preserve"> been closed. </w:t>
      </w:r>
    </w:p>
    <w:p w14:paraId="75EB5AFD" w14:textId="1F8DD217" w:rsidR="00691260" w:rsidRPr="005E2E96" w:rsidRDefault="00691260" w:rsidP="00691260">
      <w:pPr>
        <w:rPr>
          <w:i/>
          <w:lang w:val="en-CA"/>
        </w:rPr>
      </w:pPr>
      <w:r w:rsidRPr="005E2E96">
        <w:rPr>
          <w:i/>
          <w:lang w:val="en-CA"/>
        </w:rPr>
        <w:t>Group conversion of 42 enterprises manufacturing domestic refrigeration, sandwich panels, integral skin and spray foam</w:t>
      </w:r>
      <w:r w:rsidR="0021638F" w:rsidRPr="005E2E96">
        <w:rPr>
          <w:i/>
          <w:lang w:val="en-CA"/>
        </w:rPr>
        <w:t xml:space="preserve"> to water-based blowing agent</w:t>
      </w:r>
      <w:r w:rsidR="009A0E86" w:rsidRPr="005E2E96">
        <w:rPr>
          <w:i/>
          <w:lang w:val="en-CA"/>
        </w:rPr>
        <w:t xml:space="preserve"> (UNIDO/Italy)</w:t>
      </w:r>
    </w:p>
    <w:p w14:paraId="1B7B4A09" w14:textId="77777777" w:rsidR="00691260" w:rsidRPr="005E2E96" w:rsidRDefault="00691260" w:rsidP="00691260">
      <w:pPr>
        <w:rPr>
          <w:lang w:val="en-CA"/>
        </w:rPr>
      </w:pPr>
    </w:p>
    <w:p w14:paraId="101B0B07" w14:textId="0CA21A2D" w:rsidR="009A0E86" w:rsidRPr="005E2E96" w:rsidRDefault="009A0E86" w:rsidP="009A0E86">
      <w:pPr>
        <w:pStyle w:val="Heading1"/>
        <w:rPr>
          <w:lang w:val="en-CA"/>
        </w:rPr>
      </w:pPr>
      <w:r w:rsidRPr="005E2E96">
        <w:rPr>
          <w:lang w:val="en-CA"/>
        </w:rPr>
        <w:t>The results of the verification indicate</w:t>
      </w:r>
      <w:r w:rsidR="00795154" w:rsidRPr="005E2E96">
        <w:rPr>
          <w:lang w:val="en-CA"/>
        </w:rPr>
        <w:t>d</w:t>
      </w:r>
      <w:r w:rsidRPr="005E2E96">
        <w:rPr>
          <w:lang w:val="en-CA"/>
        </w:rPr>
        <w:t xml:space="preserve"> that:</w:t>
      </w:r>
    </w:p>
    <w:p w14:paraId="35A91F95" w14:textId="68BC8456" w:rsidR="00390E54" w:rsidRPr="005E2E96" w:rsidRDefault="00EB0C52" w:rsidP="00390E54">
      <w:pPr>
        <w:pStyle w:val="Heading2"/>
        <w:rPr>
          <w:lang w:val="en-CA"/>
        </w:rPr>
      </w:pPr>
      <w:r w:rsidRPr="005E2E96">
        <w:rPr>
          <w:lang w:val="en-CA"/>
        </w:rPr>
        <w:t>O</w:t>
      </w:r>
      <w:r w:rsidR="00390E54" w:rsidRPr="005E2E96">
        <w:rPr>
          <w:lang w:val="en-CA"/>
        </w:rPr>
        <w:t xml:space="preserve">ne enterprise with a consumption of </w:t>
      </w:r>
      <w:r w:rsidR="004C60FE" w:rsidRPr="005E2E96">
        <w:rPr>
          <w:lang w:val="en-CA"/>
        </w:rPr>
        <w:t>5.10</w:t>
      </w:r>
      <w:r w:rsidR="00AA7FD3" w:rsidRPr="005E2E96">
        <w:rPr>
          <w:lang w:val="en-CA"/>
        </w:rPr>
        <w:t> mt</w:t>
      </w:r>
      <w:r w:rsidR="00390E54" w:rsidRPr="005E2E96">
        <w:rPr>
          <w:lang w:val="en-CA"/>
        </w:rPr>
        <w:t xml:space="preserve"> (</w:t>
      </w:r>
      <w:r w:rsidR="004C60FE" w:rsidRPr="005E2E96">
        <w:rPr>
          <w:lang w:val="en-CA"/>
        </w:rPr>
        <w:t>0.56</w:t>
      </w:r>
      <w:r w:rsidR="00E532B1" w:rsidRPr="005E2E96">
        <w:rPr>
          <w:lang w:val="en-CA"/>
        </w:rPr>
        <w:t> ODP t</w:t>
      </w:r>
      <w:r w:rsidR="00390E54" w:rsidRPr="005E2E96">
        <w:rPr>
          <w:lang w:val="en-CA"/>
        </w:rPr>
        <w:t xml:space="preserve">onnes) of HCFC-141b and associated funding of </w:t>
      </w:r>
      <w:r w:rsidR="00687BDF" w:rsidRPr="005E2E96">
        <w:rPr>
          <w:lang w:val="en-CA"/>
        </w:rPr>
        <w:t>US $</w:t>
      </w:r>
      <w:r w:rsidR="004C60FE" w:rsidRPr="005E2E96">
        <w:rPr>
          <w:lang w:val="en-CA"/>
        </w:rPr>
        <w:t>27,695</w:t>
      </w:r>
      <w:r w:rsidRPr="005E2E96">
        <w:rPr>
          <w:lang w:val="en-CA"/>
        </w:rPr>
        <w:t xml:space="preserve">, was absorbed by one of the enterprises that </w:t>
      </w:r>
      <w:r w:rsidR="0021638F" w:rsidRPr="005E2E96">
        <w:rPr>
          <w:lang w:val="en-CA"/>
        </w:rPr>
        <w:t xml:space="preserve">had </w:t>
      </w:r>
      <w:r w:rsidRPr="005E2E96">
        <w:rPr>
          <w:lang w:val="en-CA"/>
        </w:rPr>
        <w:t>converted with their own funding</w:t>
      </w:r>
      <w:r w:rsidR="009A7275" w:rsidRPr="005E2E96">
        <w:rPr>
          <w:lang w:val="en-CA"/>
        </w:rPr>
        <w:t>,</w:t>
      </w:r>
      <w:r w:rsidRPr="005E2E96">
        <w:rPr>
          <w:lang w:val="en-CA"/>
        </w:rPr>
        <w:t xml:space="preserve"> and therefore no longer use</w:t>
      </w:r>
      <w:r w:rsidR="008D2FC3" w:rsidRPr="005E2E96">
        <w:rPr>
          <w:lang w:val="en-CA"/>
        </w:rPr>
        <w:t>s</w:t>
      </w:r>
      <w:r w:rsidRPr="005E2E96">
        <w:rPr>
          <w:lang w:val="en-CA"/>
        </w:rPr>
        <w:t xml:space="preserve"> HCFC-141b</w:t>
      </w:r>
      <w:r w:rsidR="00390E54" w:rsidRPr="005E2E96">
        <w:rPr>
          <w:lang w:val="en-CA"/>
        </w:rPr>
        <w:t xml:space="preserve">; </w:t>
      </w:r>
    </w:p>
    <w:p w14:paraId="184ABC2D" w14:textId="0FBF4EE2" w:rsidR="004D4E63" w:rsidRPr="005E2E96" w:rsidRDefault="004D4E63" w:rsidP="004D4E63">
      <w:pPr>
        <w:pStyle w:val="Heading2"/>
        <w:rPr>
          <w:lang w:val="en-CA"/>
        </w:rPr>
      </w:pPr>
      <w:r w:rsidRPr="005E2E96">
        <w:rPr>
          <w:lang w:val="en-CA"/>
        </w:rPr>
        <w:t>Fifteen enterprises manufacturing insulation foam for domestic refrigeration and sandwich panels, should convert to pre-blended cyclopentane rather than water</w:t>
      </w:r>
      <w:r w:rsidR="009A7275" w:rsidRPr="005E2E96">
        <w:rPr>
          <w:lang w:val="en-CA"/>
        </w:rPr>
        <w:t>-based</w:t>
      </w:r>
      <w:r w:rsidRPr="005E2E96">
        <w:rPr>
          <w:lang w:val="en-CA"/>
        </w:rPr>
        <w:t>, given the superior performance that is required for these applications; and</w:t>
      </w:r>
    </w:p>
    <w:p w14:paraId="734FEC66" w14:textId="7D38601A" w:rsidR="009A0E86" w:rsidRPr="005E2E96" w:rsidRDefault="009A0E86" w:rsidP="009A7275">
      <w:pPr>
        <w:pStyle w:val="Heading2"/>
        <w:rPr>
          <w:lang w:val="en-CA"/>
        </w:rPr>
      </w:pPr>
      <w:r w:rsidRPr="005E2E96">
        <w:rPr>
          <w:lang w:val="en-CA"/>
        </w:rPr>
        <w:t>The consumption of HCFC-141b in t</w:t>
      </w:r>
      <w:r w:rsidR="00691260" w:rsidRPr="005E2E96">
        <w:rPr>
          <w:lang w:val="en-CA"/>
        </w:rPr>
        <w:t xml:space="preserve">hree enterprises </w:t>
      </w:r>
      <w:r w:rsidRPr="005E2E96">
        <w:rPr>
          <w:lang w:val="en-CA"/>
        </w:rPr>
        <w:t>has increased</w:t>
      </w:r>
      <w:r w:rsidR="00EB0C52" w:rsidRPr="005E2E96">
        <w:rPr>
          <w:lang w:val="en-CA"/>
        </w:rPr>
        <w:t xml:space="preserve"> from 20.00</w:t>
      </w:r>
      <w:r w:rsidR="00AA7FD3" w:rsidRPr="005E2E96">
        <w:rPr>
          <w:lang w:val="en-CA"/>
        </w:rPr>
        <w:t> mt</w:t>
      </w:r>
      <w:r w:rsidR="00EB0C52" w:rsidRPr="005E2E96">
        <w:rPr>
          <w:lang w:val="en-CA"/>
        </w:rPr>
        <w:t xml:space="preserve"> (2.</w:t>
      </w:r>
      <w:r w:rsidR="00EB0C52" w:rsidRPr="005E2E96">
        <w:t>2</w:t>
      </w:r>
      <w:r w:rsidR="00E532B1" w:rsidRPr="005E2E96">
        <w:t> ODP </w:t>
      </w:r>
      <w:r w:rsidR="009A7275" w:rsidRPr="005E2E96">
        <w:t>tonnes)</w:t>
      </w:r>
      <w:r w:rsidR="007F12F1" w:rsidRPr="005E2E96">
        <w:rPr>
          <w:lang w:val="en-CA"/>
        </w:rPr>
        <w:t xml:space="preserve"> to 97.70</w:t>
      </w:r>
      <w:r w:rsidR="00AA7FD3" w:rsidRPr="005E2E96">
        <w:rPr>
          <w:lang w:val="en-CA"/>
        </w:rPr>
        <w:t> mt</w:t>
      </w:r>
      <w:r w:rsidR="007F12F1" w:rsidRPr="005E2E96">
        <w:rPr>
          <w:lang w:val="en-CA"/>
        </w:rPr>
        <w:t xml:space="preserve"> (10.75</w:t>
      </w:r>
      <w:r w:rsidR="00E532B1" w:rsidRPr="005E2E96">
        <w:rPr>
          <w:lang w:val="en-CA"/>
        </w:rPr>
        <w:t> ODP t</w:t>
      </w:r>
      <w:r w:rsidR="007F12F1" w:rsidRPr="005E2E96">
        <w:rPr>
          <w:lang w:val="en-CA"/>
        </w:rPr>
        <w:t xml:space="preserve">onnes), with </w:t>
      </w:r>
      <w:r w:rsidR="00EB0C52" w:rsidRPr="005E2E96">
        <w:rPr>
          <w:lang w:val="en-CA"/>
        </w:rPr>
        <w:t>an average consumption of 32.30</w:t>
      </w:r>
      <w:r w:rsidR="00AA7FD3" w:rsidRPr="005E2E96">
        <w:rPr>
          <w:lang w:val="en-CA"/>
        </w:rPr>
        <w:t> mt</w:t>
      </w:r>
      <w:r w:rsidR="007F12F1" w:rsidRPr="005E2E96">
        <w:rPr>
          <w:lang w:val="en-CA"/>
        </w:rPr>
        <w:t xml:space="preserve"> (3.55</w:t>
      </w:r>
      <w:r w:rsidR="00E532B1" w:rsidRPr="005E2E96">
        <w:rPr>
          <w:lang w:val="en-CA"/>
        </w:rPr>
        <w:t> ODP t</w:t>
      </w:r>
      <w:r w:rsidR="007F12F1" w:rsidRPr="005E2E96">
        <w:rPr>
          <w:lang w:val="en-CA"/>
        </w:rPr>
        <w:t>onnes)</w:t>
      </w:r>
      <w:r w:rsidRPr="005E2E96">
        <w:rPr>
          <w:lang w:val="en-CA"/>
        </w:rPr>
        <w:t>, and should be assisted individually</w:t>
      </w:r>
      <w:r w:rsidR="004D4E63" w:rsidRPr="005E2E96">
        <w:rPr>
          <w:lang w:val="en-CA"/>
        </w:rPr>
        <w:t xml:space="preserve"> to convert to cyclopentane</w:t>
      </w:r>
      <w:r w:rsidRPr="005E2E96">
        <w:rPr>
          <w:lang w:val="en-CA"/>
        </w:rPr>
        <w:t>, rath</w:t>
      </w:r>
      <w:r w:rsidR="004D4E63" w:rsidRPr="005E2E96">
        <w:rPr>
          <w:lang w:val="en-CA"/>
        </w:rPr>
        <w:t>er than under the group project.</w:t>
      </w:r>
    </w:p>
    <w:p w14:paraId="669776C8" w14:textId="18091539" w:rsidR="009A0E86" w:rsidRPr="005E2E96" w:rsidRDefault="009A0E86" w:rsidP="009A0E86">
      <w:pPr>
        <w:rPr>
          <w:i/>
          <w:lang w:val="en-CA"/>
        </w:rPr>
      </w:pPr>
      <w:r w:rsidRPr="005E2E96">
        <w:rPr>
          <w:i/>
          <w:lang w:val="en-CA"/>
        </w:rPr>
        <w:t>Individual conversion of three enterprises manufacturing panels for commercial refrigeration equipment (UNDP)</w:t>
      </w:r>
    </w:p>
    <w:p w14:paraId="2F7FEAB9" w14:textId="77777777" w:rsidR="009A0E86" w:rsidRPr="005E2E96" w:rsidRDefault="009A0E86" w:rsidP="009A0E86">
      <w:pPr>
        <w:rPr>
          <w:lang w:val="en-CA"/>
        </w:rPr>
      </w:pPr>
    </w:p>
    <w:p w14:paraId="2C36E867" w14:textId="6F46AA5C" w:rsidR="00CD2D4C" w:rsidRPr="005E2E96" w:rsidRDefault="00315188" w:rsidP="00315188">
      <w:pPr>
        <w:pStyle w:val="Heading1"/>
        <w:rPr>
          <w:lang w:val="en-CA"/>
        </w:rPr>
      </w:pPr>
      <w:r w:rsidRPr="005E2E96">
        <w:rPr>
          <w:lang w:val="en-CA"/>
        </w:rPr>
        <w:t>C</w:t>
      </w:r>
      <w:r w:rsidR="009A0E86" w:rsidRPr="005E2E96">
        <w:rPr>
          <w:lang w:val="en-CA"/>
        </w:rPr>
        <w:t>onversion of the</w:t>
      </w:r>
      <w:r w:rsidRPr="005E2E96">
        <w:rPr>
          <w:lang w:val="en-CA"/>
        </w:rPr>
        <w:t>se</w:t>
      </w:r>
      <w:r w:rsidR="009A0E86" w:rsidRPr="005E2E96">
        <w:rPr>
          <w:lang w:val="en-CA"/>
        </w:rPr>
        <w:t xml:space="preserve"> enterprises will start with funds from the second tranche.</w:t>
      </w:r>
    </w:p>
    <w:p w14:paraId="385D63E4" w14:textId="77777777" w:rsidR="00390E54" w:rsidRPr="005E2E96" w:rsidRDefault="00390E54" w:rsidP="00390E54">
      <w:pPr>
        <w:rPr>
          <w:i/>
          <w:lang w:val="en-CA"/>
        </w:rPr>
      </w:pPr>
      <w:r w:rsidRPr="005E2E96">
        <w:rPr>
          <w:i/>
          <w:lang w:val="en-CA"/>
        </w:rPr>
        <w:t>Group conversion of 40 enterprises manufacturing panels for commercial refrigeration equipment (UNDP)</w:t>
      </w:r>
    </w:p>
    <w:p w14:paraId="0B1FCC2D" w14:textId="77777777" w:rsidR="00390E54" w:rsidRPr="005E2E96" w:rsidRDefault="00390E54" w:rsidP="00390E54">
      <w:pPr>
        <w:rPr>
          <w:lang w:val="en-CA"/>
        </w:rPr>
      </w:pPr>
    </w:p>
    <w:p w14:paraId="665D0AB0" w14:textId="106DBB44" w:rsidR="00CD2D4C" w:rsidRPr="005E2E96" w:rsidRDefault="00390E54" w:rsidP="00390E54">
      <w:pPr>
        <w:pStyle w:val="Heading1"/>
        <w:rPr>
          <w:lang w:val="en-CA"/>
        </w:rPr>
      </w:pPr>
      <w:r w:rsidRPr="005E2E96">
        <w:rPr>
          <w:lang w:val="en-CA"/>
        </w:rPr>
        <w:t xml:space="preserve">UNDP </w:t>
      </w:r>
      <w:r w:rsidR="00177A6F" w:rsidRPr="005E2E96">
        <w:rPr>
          <w:lang w:val="en-CA"/>
        </w:rPr>
        <w:t xml:space="preserve">has </w:t>
      </w:r>
      <w:r w:rsidRPr="005E2E96">
        <w:rPr>
          <w:lang w:val="en-CA"/>
        </w:rPr>
        <w:t xml:space="preserve">provided foam kits </w:t>
      </w:r>
      <w:r w:rsidR="00177A6F" w:rsidRPr="005E2E96">
        <w:rPr>
          <w:lang w:val="en-CA"/>
        </w:rPr>
        <w:t xml:space="preserve">to 15 enterprises </w:t>
      </w:r>
      <w:r w:rsidRPr="005E2E96">
        <w:rPr>
          <w:lang w:val="en-CA"/>
        </w:rPr>
        <w:t xml:space="preserve">consisting of raw materials (polyol and isocyanate) for </w:t>
      </w:r>
      <w:r w:rsidR="00177A6F" w:rsidRPr="005E2E96">
        <w:rPr>
          <w:lang w:val="en-CA"/>
        </w:rPr>
        <w:t xml:space="preserve">tests and trials of </w:t>
      </w:r>
      <w:r w:rsidRPr="005E2E96">
        <w:rPr>
          <w:lang w:val="en-CA"/>
        </w:rPr>
        <w:t xml:space="preserve">water-blown </w:t>
      </w:r>
      <w:r w:rsidR="00177A6F" w:rsidRPr="005E2E96">
        <w:rPr>
          <w:lang w:val="en-CA"/>
        </w:rPr>
        <w:t xml:space="preserve">formulations using </w:t>
      </w:r>
      <w:r w:rsidRPr="005E2E96">
        <w:rPr>
          <w:lang w:val="en-CA"/>
        </w:rPr>
        <w:t>in their equipment. On the basis of the results</w:t>
      </w:r>
      <w:r w:rsidR="00177A6F" w:rsidRPr="005E2E96">
        <w:rPr>
          <w:lang w:val="en-CA"/>
        </w:rPr>
        <w:t xml:space="preserve"> of the tests</w:t>
      </w:r>
      <w:r w:rsidRPr="005E2E96">
        <w:rPr>
          <w:lang w:val="en-CA"/>
        </w:rPr>
        <w:t>, the enterprises’ equipment will be optimized and further raw material will be supplied to complete the conversions by December 2019.</w:t>
      </w:r>
    </w:p>
    <w:p w14:paraId="47C594C7" w14:textId="77777777" w:rsidR="00177A6F" w:rsidRPr="005E2E96" w:rsidRDefault="00177A6F" w:rsidP="00CD2D4C">
      <w:pPr>
        <w:rPr>
          <w:i/>
          <w:lang w:val="en-CA"/>
        </w:rPr>
      </w:pPr>
      <w:r w:rsidRPr="005E2E96">
        <w:rPr>
          <w:i/>
          <w:lang w:val="en-CA"/>
        </w:rPr>
        <w:lastRenderedPageBreak/>
        <w:t>Conversion of two enterprises manufacturing integral skin foam (Germany)</w:t>
      </w:r>
    </w:p>
    <w:p w14:paraId="2E1A9972" w14:textId="77777777" w:rsidR="00177A6F" w:rsidRPr="005E2E96" w:rsidRDefault="00177A6F" w:rsidP="00CD2D4C">
      <w:pPr>
        <w:rPr>
          <w:lang w:val="en-CA"/>
        </w:rPr>
      </w:pPr>
    </w:p>
    <w:p w14:paraId="4113882C" w14:textId="431AD5C4" w:rsidR="007C29E9" w:rsidRPr="005E2E96" w:rsidRDefault="003C02B7" w:rsidP="00177A6F">
      <w:pPr>
        <w:pStyle w:val="Heading1"/>
        <w:rPr>
          <w:lang w:val="en-CA"/>
        </w:rPr>
      </w:pPr>
      <w:r w:rsidRPr="005E2E96">
        <w:rPr>
          <w:lang w:val="en-CA"/>
        </w:rPr>
        <w:t>The Government of Germany has visited t</w:t>
      </w:r>
      <w:r w:rsidR="00177A6F" w:rsidRPr="005E2E96">
        <w:rPr>
          <w:lang w:val="en-CA"/>
        </w:rPr>
        <w:t xml:space="preserve">he two enterprises </w:t>
      </w:r>
      <w:r w:rsidRPr="005E2E96">
        <w:rPr>
          <w:lang w:val="en-CA"/>
        </w:rPr>
        <w:t xml:space="preserve">and </w:t>
      </w:r>
      <w:r w:rsidR="00177A6F" w:rsidRPr="005E2E96">
        <w:rPr>
          <w:lang w:val="en-CA"/>
        </w:rPr>
        <w:t xml:space="preserve">conversion plans have been prepared. </w:t>
      </w:r>
      <w:r w:rsidR="00795154" w:rsidRPr="005E2E96">
        <w:rPr>
          <w:lang w:val="en-CA"/>
        </w:rPr>
        <w:t>The equipment procurement process will commence after</w:t>
      </w:r>
      <w:r w:rsidRPr="005E2E96">
        <w:rPr>
          <w:lang w:val="en-CA"/>
        </w:rPr>
        <w:t xml:space="preserve"> the a</w:t>
      </w:r>
      <w:r w:rsidR="00177A6F" w:rsidRPr="005E2E96">
        <w:rPr>
          <w:lang w:val="en-CA"/>
        </w:rPr>
        <w:t>greements</w:t>
      </w:r>
      <w:r w:rsidR="00001970" w:rsidRPr="005E2E96">
        <w:rPr>
          <w:lang w:val="en-CA"/>
        </w:rPr>
        <w:t xml:space="preserve"> </w:t>
      </w:r>
      <w:r w:rsidR="00795154" w:rsidRPr="005E2E96">
        <w:rPr>
          <w:lang w:val="en-CA"/>
        </w:rPr>
        <w:t xml:space="preserve">are signed </w:t>
      </w:r>
      <w:r w:rsidR="00177A6F" w:rsidRPr="005E2E96">
        <w:rPr>
          <w:lang w:val="en-CA"/>
        </w:rPr>
        <w:t>with the enterprises</w:t>
      </w:r>
      <w:r w:rsidR="00795154" w:rsidRPr="005E2E96">
        <w:rPr>
          <w:lang w:val="en-CA"/>
        </w:rPr>
        <w:t>.</w:t>
      </w:r>
      <w:r w:rsidRPr="005E2E96">
        <w:rPr>
          <w:lang w:val="en-CA"/>
        </w:rPr>
        <w:t xml:space="preserve"> </w:t>
      </w:r>
    </w:p>
    <w:p w14:paraId="5A90F535" w14:textId="287E30E1" w:rsidR="00E147F9" w:rsidRPr="005E2E96" w:rsidRDefault="005E2240" w:rsidP="00E147F9">
      <w:pPr>
        <w:rPr>
          <w:i/>
          <w:lang w:val="en-CA"/>
        </w:rPr>
      </w:pPr>
      <w:r w:rsidRPr="005E2E96">
        <w:rPr>
          <w:i/>
          <w:lang w:val="en-CA"/>
        </w:rPr>
        <w:t xml:space="preserve">Technical assistance for development of cyclopentane polyol systems </w:t>
      </w:r>
      <w:r w:rsidR="00E147F9" w:rsidRPr="005E2E96">
        <w:rPr>
          <w:i/>
          <w:lang w:val="en-CA"/>
        </w:rPr>
        <w:t xml:space="preserve">to </w:t>
      </w:r>
      <w:r w:rsidRPr="005E2E96">
        <w:rPr>
          <w:i/>
          <w:lang w:val="en-CA"/>
        </w:rPr>
        <w:t xml:space="preserve">a </w:t>
      </w:r>
      <w:r w:rsidR="00E147F9" w:rsidRPr="005E2E96">
        <w:rPr>
          <w:i/>
          <w:lang w:val="en-CA"/>
        </w:rPr>
        <w:t>systems house</w:t>
      </w:r>
      <w:r w:rsidRPr="005E2E96">
        <w:rPr>
          <w:i/>
          <w:lang w:val="en-CA"/>
        </w:rPr>
        <w:t xml:space="preserve"> (UNDP)</w:t>
      </w:r>
    </w:p>
    <w:p w14:paraId="0C2600C2" w14:textId="77777777" w:rsidR="006A0111" w:rsidRPr="005E2E96" w:rsidRDefault="006A0111" w:rsidP="00E147F9">
      <w:pPr>
        <w:rPr>
          <w:i/>
          <w:lang w:val="en-CA"/>
        </w:rPr>
      </w:pPr>
    </w:p>
    <w:p w14:paraId="061BEB0B" w14:textId="145D6200" w:rsidR="00E147F9" w:rsidRPr="005E2E96" w:rsidRDefault="00E147F9" w:rsidP="0063124E">
      <w:pPr>
        <w:pStyle w:val="Heading1"/>
        <w:rPr>
          <w:lang w:val="en-CA"/>
        </w:rPr>
      </w:pPr>
      <w:r w:rsidRPr="005E2E96">
        <w:rPr>
          <w:lang w:val="en-CA"/>
        </w:rPr>
        <w:t xml:space="preserve">The Memorandum of Agreement with the systems house to develop pentane-based </w:t>
      </w:r>
      <w:r w:rsidR="0063124E" w:rsidRPr="005E2E96">
        <w:rPr>
          <w:lang w:val="en-CA"/>
        </w:rPr>
        <w:t xml:space="preserve">pre-blended polyol </w:t>
      </w:r>
      <w:r w:rsidRPr="005E2E96">
        <w:rPr>
          <w:lang w:val="en-CA"/>
        </w:rPr>
        <w:t xml:space="preserve">systems </w:t>
      </w:r>
      <w:r w:rsidR="0063124E" w:rsidRPr="005E2E96">
        <w:rPr>
          <w:lang w:val="en-CA"/>
        </w:rPr>
        <w:t xml:space="preserve">was </w:t>
      </w:r>
      <w:r w:rsidRPr="005E2E96">
        <w:rPr>
          <w:lang w:val="en-CA"/>
        </w:rPr>
        <w:t>signed</w:t>
      </w:r>
      <w:r w:rsidR="0063124E" w:rsidRPr="005E2E96">
        <w:rPr>
          <w:lang w:val="en-CA"/>
        </w:rPr>
        <w:t xml:space="preserve">. The </w:t>
      </w:r>
      <w:r w:rsidRPr="005E2E96">
        <w:rPr>
          <w:lang w:val="en-CA"/>
        </w:rPr>
        <w:t xml:space="preserve">purchase order </w:t>
      </w:r>
      <w:r w:rsidR="0063124E" w:rsidRPr="005E2E96">
        <w:rPr>
          <w:lang w:val="en-CA"/>
        </w:rPr>
        <w:t xml:space="preserve">for the equipment required, including pre-mix unit, </w:t>
      </w:r>
      <w:r w:rsidRPr="005E2E96">
        <w:rPr>
          <w:lang w:val="en-CA"/>
        </w:rPr>
        <w:t xml:space="preserve">reactor, pentane </w:t>
      </w:r>
      <w:r w:rsidR="0063124E" w:rsidRPr="005E2E96">
        <w:rPr>
          <w:lang w:val="en-CA"/>
        </w:rPr>
        <w:t xml:space="preserve">storage </w:t>
      </w:r>
      <w:r w:rsidRPr="005E2E96">
        <w:rPr>
          <w:lang w:val="en-CA"/>
        </w:rPr>
        <w:t xml:space="preserve">tank, premix pumping unit, buffer tank, drum refilling system, </w:t>
      </w:r>
      <w:r w:rsidR="0063124E" w:rsidRPr="005E2E96">
        <w:rPr>
          <w:lang w:val="en-CA"/>
        </w:rPr>
        <w:t xml:space="preserve">and </w:t>
      </w:r>
      <w:r w:rsidRPr="005E2E96">
        <w:rPr>
          <w:lang w:val="en-CA"/>
        </w:rPr>
        <w:t>safety</w:t>
      </w:r>
      <w:r w:rsidR="0063124E" w:rsidRPr="005E2E96">
        <w:rPr>
          <w:lang w:val="en-CA"/>
        </w:rPr>
        <w:t xml:space="preserve">-related </w:t>
      </w:r>
      <w:r w:rsidRPr="005E2E96">
        <w:rPr>
          <w:lang w:val="en-CA"/>
        </w:rPr>
        <w:t>system</w:t>
      </w:r>
      <w:r w:rsidR="0063124E" w:rsidRPr="005E2E96">
        <w:rPr>
          <w:lang w:val="en-CA"/>
        </w:rPr>
        <w:t>, was placed with equipment supplier, and the installation of the equipment is proposed by the end of 2019.</w:t>
      </w:r>
    </w:p>
    <w:p w14:paraId="0377E040" w14:textId="7B08E1EA" w:rsidR="005E2240" w:rsidRPr="005E2E96" w:rsidRDefault="005E2240" w:rsidP="005E2240">
      <w:pPr>
        <w:rPr>
          <w:i/>
          <w:lang w:val="en-CA"/>
        </w:rPr>
      </w:pPr>
      <w:r w:rsidRPr="005E2E96">
        <w:rPr>
          <w:i/>
          <w:lang w:val="en-CA"/>
        </w:rPr>
        <w:t>Technical assistance for development of water-blown polyol systems to a systems house (Germany)</w:t>
      </w:r>
    </w:p>
    <w:p w14:paraId="12454DAF" w14:textId="77777777" w:rsidR="0063124E" w:rsidRPr="005E2E96" w:rsidRDefault="0063124E" w:rsidP="00E147F9">
      <w:pPr>
        <w:rPr>
          <w:lang w:val="en-CA"/>
        </w:rPr>
      </w:pPr>
    </w:p>
    <w:p w14:paraId="20F4AF34" w14:textId="5F9041CE" w:rsidR="00CA5F85" w:rsidRPr="005E2E96" w:rsidRDefault="0063124E" w:rsidP="0063124E">
      <w:pPr>
        <w:pStyle w:val="Heading1"/>
        <w:rPr>
          <w:lang w:val="en-CA"/>
        </w:rPr>
      </w:pPr>
      <w:r w:rsidRPr="005E2E96">
        <w:rPr>
          <w:lang w:val="en-CA"/>
        </w:rPr>
        <w:t xml:space="preserve">Implementation of the technical assistance programme has been delayed </w:t>
      </w:r>
      <w:r w:rsidR="00E147F9" w:rsidRPr="005E2E96">
        <w:rPr>
          <w:lang w:val="en-CA"/>
        </w:rPr>
        <w:t xml:space="preserve">due to difficulties importing chemical additives </w:t>
      </w:r>
      <w:r w:rsidRPr="005E2E96">
        <w:rPr>
          <w:lang w:val="en-CA"/>
        </w:rPr>
        <w:t>required for the development of water-blown pre-blended polyol systems.</w:t>
      </w:r>
    </w:p>
    <w:p w14:paraId="010BF843" w14:textId="77777777" w:rsidR="005E2240" w:rsidRPr="005E2E96" w:rsidRDefault="005E2240" w:rsidP="005E2240">
      <w:pPr>
        <w:rPr>
          <w:i/>
          <w:lang w:val="en-CA"/>
        </w:rPr>
      </w:pPr>
      <w:r w:rsidRPr="005E2E96">
        <w:rPr>
          <w:i/>
          <w:lang w:val="en-CA"/>
        </w:rPr>
        <w:t>Technical assistance to 94 SMEs (Germany)</w:t>
      </w:r>
    </w:p>
    <w:p w14:paraId="433FC389" w14:textId="77777777" w:rsidR="005E2240" w:rsidRPr="005E2E96" w:rsidRDefault="005E2240" w:rsidP="005E2240">
      <w:pPr>
        <w:rPr>
          <w:lang w:val="en-CA"/>
        </w:rPr>
      </w:pPr>
    </w:p>
    <w:p w14:paraId="003D2429" w14:textId="26B75DEF" w:rsidR="005E2240" w:rsidRPr="005E2E96" w:rsidRDefault="0063124E" w:rsidP="005E2240">
      <w:pPr>
        <w:pStyle w:val="Heading1"/>
        <w:rPr>
          <w:lang w:val="en-CA"/>
        </w:rPr>
      </w:pPr>
      <w:r w:rsidRPr="005E2E96">
        <w:rPr>
          <w:lang w:val="en-CA"/>
        </w:rPr>
        <w:t>The Government of Germany organized a</w:t>
      </w:r>
      <w:r w:rsidR="005E2240" w:rsidRPr="005E2E96">
        <w:rPr>
          <w:lang w:val="en-CA"/>
        </w:rPr>
        <w:t xml:space="preserve"> workshop </w:t>
      </w:r>
      <w:r w:rsidRPr="005E2E96">
        <w:rPr>
          <w:lang w:val="en-CA"/>
        </w:rPr>
        <w:t xml:space="preserve">for SMEs </w:t>
      </w:r>
      <w:r w:rsidR="005E2240" w:rsidRPr="005E2E96">
        <w:rPr>
          <w:lang w:val="en-CA"/>
        </w:rPr>
        <w:t>on technical aspects of low-GWP alternative foam systems</w:t>
      </w:r>
      <w:r w:rsidRPr="005E2E96">
        <w:rPr>
          <w:lang w:val="en-CA"/>
        </w:rPr>
        <w:t xml:space="preserve">, and visited </w:t>
      </w:r>
      <w:r w:rsidR="005E2240" w:rsidRPr="005E2E96">
        <w:rPr>
          <w:lang w:val="en-CA"/>
        </w:rPr>
        <w:t>30 SME</w:t>
      </w:r>
      <w:r w:rsidRPr="005E2E96">
        <w:rPr>
          <w:lang w:val="en-CA"/>
        </w:rPr>
        <w:t>s</w:t>
      </w:r>
      <w:r w:rsidR="005E2240" w:rsidRPr="005E2E96">
        <w:rPr>
          <w:lang w:val="en-CA"/>
        </w:rPr>
        <w:t xml:space="preserve">. Technical assistance to support the conversions is being provided in the form of visits by experts when required. </w:t>
      </w:r>
    </w:p>
    <w:p w14:paraId="65AEB1C4" w14:textId="3CBDF33A" w:rsidR="005E2240" w:rsidRPr="005E2E96" w:rsidRDefault="005E2240" w:rsidP="005E2240">
      <w:pPr>
        <w:tabs>
          <w:tab w:val="num" w:pos="0"/>
        </w:tabs>
        <w:spacing w:after="240"/>
        <w:rPr>
          <w:u w:val="single"/>
        </w:rPr>
      </w:pPr>
      <w:r w:rsidRPr="005E2E96">
        <w:rPr>
          <w:u w:val="single"/>
        </w:rPr>
        <w:t>Activities in the commercial refrigeration manufacturing sector (UNDP</w:t>
      </w:r>
      <w:r w:rsidR="0093115A" w:rsidRPr="005E2E96">
        <w:rPr>
          <w:u w:val="single"/>
        </w:rPr>
        <w:t>, Germany</w:t>
      </w:r>
      <w:r w:rsidRPr="005E2E96">
        <w:rPr>
          <w:u w:val="single"/>
        </w:rPr>
        <w:t>)</w:t>
      </w:r>
    </w:p>
    <w:p w14:paraId="77218BB8" w14:textId="264A7F66" w:rsidR="005E2240" w:rsidRPr="005E2E96" w:rsidRDefault="00687BDF" w:rsidP="00A957E7">
      <w:pPr>
        <w:pStyle w:val="Heading1"/>
      </w:pPr>
      <w:r w:rsidRPr="005E2E96">
        <w:t>Stage I</w:t>
      </w:r>
      <w:r w:rsidR="005E2240" w:rsidRPr="005E2E96">
        <w:t>I of the HPMP include</w:t>
      </w:r>
      <w:r w:rsidR="00795154" w:rsidRPr="005E2E96">
        <w:t>d</w:t>
      </w:r>
      <w:r w:rsidR="005E2240" w:rsidRPr="005E2E96">
        <w:t xml:space="preserve"> the conversion of all the HCFC-based </w:t>
      </w:r>
      <w:r w:rsidR="00795154" w:rsidRPr="005E2E96">
        <w:t xml:space="preserve">small and medium sized (SME) </w:t>
      </w:r>
      <w:r w:rsidR="0093115A" w:rsidRPr="005E2E96">
        <w:t xml:space="preserve">commercial refrigeration manufacturing </w:t>
      </w:r>
      <w:r w:rsidR="005E2240" w:rsidRPr="005E2E96">
        <w:t>enterprises in the country</w:t>
      </w:r>
      <w:r w:rsidR="00795154" w:rsidRPr="005E2E96">
        <w:t xml:space="preserve"> with</w:t>
      </w:r>
      <w:r w:rsidR="005E2240" w:rsidRPr="005E2E96">
        <w:t xml:space="preserve"> R-290</w:t>
      </w:r>
      <w:r w:rsidR="00001970" w:rsidRPr="005E2E96">
        <w:t xml:space="preserve"> </w:t>
      </w:r>
      <w:r w:rsidR="00795154" w:rsidRPr="005E2E96">
        <w:t>as the</w:t>
      </w:r>
      <w:r w:rsidR="005E2240" w:rsidRPr="005E2E96">
        <w:t xml:space="preserve"> selected alternative technology.</w:t>
      </w:r>
    </w:p>
    <w:p w14:paraId="266B1E01" w14:textId="73C6B80B" w:rsidR="000E0964" w:rsidRPr="005E2E96" w:rsidRDefault="000E0964" w:rsidP="00795154">
      <w:pPr>
        <w:pStyle w:val="Heading1"/>
        <w:rPr>
          <w:lang w:val="en-CA"/>
        </w:rPr>
      </w:pPr>
      <w:r w:rsidRPr="005E2E96">
        <w:rPr>
          <w:lang w:val="en-CA"/>
        </w:rPr>
        <w:t>UNDP verified the eligibility of 15 SMEs</w:t>
      </w:r>
      <w:r w:rsidR="00DE5FF4" w:rsidRPr="005E2E96">
        <w:rPr>
          <w:lang w:val="en-CA"/>
        </w:rPr>
        <w:t xml:space="preserve"> </w:t>
      </w:r>
      <w:r w:rsidR="0093115A" w:rsidRPr="005E2E96">
        <w:rPr>
          <w:lang w:val="en-CA"/>
        </w:rPr>
        <w:t xml:space="preserve">(out of the 48 included in </w:t>
      </w:r>
      <w:r w:rsidR="00687BDF" w:rsidRPr="005E2E96">
        <w:rPr>
          <w:lang w:val="en-CA"/>
        </w:rPr>
        <w:t>stage I</w:t>
      </w:r>
      <w:r w:rsidR="0093115A" w:rsidRPr="005E2E96">
        <w:rPr>
          <w:lang w:val="en-CA"/>
        </w:rPr>
        <w:t xml:space="preserve">I) </w:t>
      </w:r>
      <w:r w:rsidR="00795154" w:rsidRPr="005E2E96">
        <w:rPr>
          <w:lang w:val="en-CA"/>
        </w:rPr>
        <w:t xml:space="preserve">with a consumption of </w:t>
      </w:r>
      <w:r w:rsidR="00DE5FF4" w:rsidRPr="005E2E96">
        <w:rPr>
          <w:lang w:val="en-CA"/>
        </w:rPr>
        <w:t>136.5</w:t>
      </w:r>
      <w:r w:rsidR="00AA7FD3" w:rsidRPr="005E2E96">
        <w:rPr>
          <w:lang w:val="en-CA"/>
        </w:rPr>
        <w:t> mt</w:t>
      </w:r>
      <w:r w:rsidR="00DE5FF4" w:rsidRPr="005E2E96">
        <w:rPr>
          <w:lang w:val="en-CA"/>
        </w:rPr>
        <w:t xml:space="preserve"> </w:t>
      </w:r>
      <w:r w:rsidR="0093115A" w:rsidRPr="005E2E96">
        <w:rPr>
          <w:lang w:val="en-CA"/>
        </w:rPr>
        <w:t>(7.51</w:t>
      </w:r>
      <w:r w:rsidR="00E532B1" w:rsidRPr="005E2E96">
        <w:rPr>
          <w:lang w:val="en-CA"/>
        </w:rPr>
        <w:t> ODP t</w:t>
      </w:r>
      <w:r w:rsidR="0093115A" w:rsidRPr="005E2E96">
        <w:rPr>
          <w:lang w:val="en-CA"/>
        </w:rPr>
        <w:t>onnes)</w:t>
      </w:r>
      <w:r w:rsidRPr="005E2E96">
        <w:rPr>
          <w:lang w:val="en-CA"/>
        </w:rPr>
        <w:t xml:space="preserve">. The 15 enterprises were provided with commercial refrigeration conversion kits </w:t>
      </w:r>
      <w:r w:rsidR="00DE5FF4" w:rsidRPr="005E2E96">
        <w:rPr>
          <w:lang w:val="en-CA"/>
        </w:rPr>
        <w:t xml:space="preserve">(e.g., compact condensers, evaporators, compressors, expansion valves, liquid and moisture indicators, ventilators, thermostat controllers, temperature sensors, refrigerant, and tools) </w:t>
      </w:r>
      <w:r w:rsidRPr="005E2E96">
        <w:rPr>
          <w:lang w:val="en-CA"/>
        </w:rPr>
        <w:t xml:space="preserve">to </w:t>
      </w:r>
      <w:r w:rsidR="00795154" w:rsidRPr="005E2E96">
        <w:rPr>
          <w:lang w:val="en-CA"/>
        </w:rPr>
        <w:t>convert their</w:t>
      </w:r>
      <w:r w:rsidRPr="005E2E96">
        <w:rPr>
          <w:lang w:val="en-CA"/>
        </w:rPr>
        <w:t xml:space="preserve"> manufacturing </w:t>
      </w:r>
      <w:r w:rsidR="00795154" w:rsidRPr="005E2E96">
        <w:rPr>
          <w:lang w:val="en-CA"/>
        </w:rPr>
        <w:t xml:space="preserve">operations </w:t>
      </w:r>
      <w:r w:rsidRPr="005E2E96">
        <w:rPr>
          <w:lang w:val="en-CA"/>
        </w:rPr>
        <w:t xml:space="preserve">of HCFC-22-based commercial refrigeration </w:t>
      </w:r>
      <w:r w:rsidR="00A3047A" w:rsidRPr="005E2E96">
        <w:rPr>
          <w:lang w:val="en-CA"/>
        </w:rPr>
        <w:t xml:space="preserve">stand-alone </w:t>
      </w:r>
      <w:r w:rsidRPr="005E2E96">
        <w:rPr>
          <w:lang w:val="en-CA"/>
        </w:rPr>
        <w:t xml:space="preserve">equipment </w:t>
      </w:r>
      <w:r w:rsidR="00795154" w:rsidRPr="005E2E96">
        <w:rPr>
          <w:lang w:val="en-CA"/>
        </w:rPr>
        <w:t xml:space="preserve">to </w:t>
      </w:r>
      <w:r w:rsidRPr="005E2E96">
        <w:rPr>
          <w:lang w:val="en-CA"/>
        </w:rPr>
        <w:t>R</w:t>
      </w:r>
      <w:r w:rsidR="00743742" w:rsidRPr="005E2E96">
        <w:rPr>
          <w:lang w:val="en-CA"/>
        </w:rPr>
        <w:noBreakHyphen/>
      </w:r>
      <w:r w:rsidRPr="005E2E96">
        <w:rPr>
          <w:lang w:val="en-CA"/>
        </w:rPr>
        <w:t>290</w:t>
      </w:r>
      <w:r w:rsidR="00743742" w:rsidRPr="005E2E96">
        <w:rPr>
          <w:lang w:val="en-CA"/>
        </w:rPr>
        <w:noBreakHyphen/>
      </w:r>
      <w:r w:rsidRPr="005E2E96">
        <w:rPr>
          <w:lang w:val="en-CA"/>
        </w:rPr>
        <w:t>based equipment (i</w:t>
      </w:r>
      <w:r w:rsidR="00A3047A" w:rsidRPr="005E2E96">
        <w:rPr>
          <w:lang w:val="en-CA"/>
        </w:rPr>
        <w:t>.e., display cabinets</w:t>
      </w:r>
      <w:r w:rsidR="007C367B" w:rsidRPr="005E2E96">
        <w:rPr>
          <w:lang w:val="en-CA"/>
        </w:rPr>
        <w:t>, island cases, refrigerators</w:t>
      </w:r>
      <w:r w:rsidRPr="005E2E96">
        <w:rPr>
          <w:lang w:val="en-CA"/>
        </w:rPr>
        <w:t xml:space="preserve">). After delivery, the kits were installed </w:t>
      </w:r>
      <w:r w:rsidR="00DE5FF4" w:rsidRPr="005E2E96">
        <w:rPr>
          <w:lang w:val="en-CA"/>
        </w:rPr>
        <w:t>with</w:t>
      </w:r>
      <w:r w:rsidRPr="005E2E96">
        <w:rPr>
          <w:lang w:val="en-CA"/>
        </w:rPr>
        <w:t xml:space="preserve"> assistance </w:t>
      </w:r>
      <w:r w:rsidR="00DE5FF4" w:rsidRPr="005E2E96">
        <w:rPr>
          <w:lang w:val="en-CA"/>
        </w:rPr>
        <w:t>from</w:t>
      </w:r>
      <w:r w:rsidRPr="005E2E96">
        <w:rPr>
          <w:lang w:val="en-CA"/>
        </w:rPr>
        <w:t xml:space="preserve"> UNDP and </w:t>
      </w:r>
      <w:r w:rsidR="00DE5FF4" w:rsidRPr="005E2E96">
        <w:rPr>
          <w:lang w:val="en-CA"/>
        </w:rPr>
        <w:t>the Government of Germany</w:t>
      </w:r>
      <w:r w:rsidRPr="005E2E96">
        <w:rPr>
          <w:lang w:val="en-CA"/>
        </w:rPr>
        <w:t xml:space="preserve">. The applicability of these </w:t>
      </w:r>
      <w:r w:rsidR="00795154" w:rsidRPr="005E2E96">
        <w:rPr>
          <w:lang w:val="en-CA"/>
        </w:rPr>
        <w:t xml:space="preserve">conversion </w:t>
      </w:r>
      <w:r w:rsidRPr="005E2E96">
        <w:rPr>
          <w:lang w:val="en-CA"/>
        </w:rPr>
        <w:t xml:space="preserve">kits </w:t>
      </w:r>
      <w:r w:rsidR="0093115A" w:rsidRPr="005E2E96">
        <w:rPr>
          <w:lang w:val="en-CA"/>
        </w:rPr>
        <w:t xml:space="preserve">was </w:t>
      </w:r>
      <w:r w:rsidRPr="005E2E96">
        <w:rPr>
          <w:lang w:val="en-CA"/>
        </w:rPr>
        <w:t xml:space="preserve">validated at each enterprise, focusing on the mechanical and electrical testing of the equipment as well as an evaluation of equipment performance. </w:t>
      </w:r>
    </w:p>
    <w:p w14:paraId="4F62EFCA" w14:textId="64F18122" w:rsidR="000E0964" w:rsidRPr="005E2E96" w:rsidRDefault="000E0964" w:rsidP="00A957E7">
      <w:pPr>
        <w:pStyle w:val="Heading1"/>
        <w:rPr>
          <w:lang w:val="en-CA"/>
        </w:rPr>
      </w:pPr>
      <w:r w:rsidRPr="005E2E96">
        <w:rPr>
          <w:lang w:val="en-CA"/>
        </w:rPr>
        <w:t>In line with decision 77/44(d)</w:t>
      </w:r>
      <w:r w:rsidR="00756761" w:rsidRPr="005E2E96">
        <w:rPr>
          <w:lang w:val="en-CA"/>
        </w:rPr>
        <w:t>,</w:t>
      </w:r>
      <w:r w:rsidRPr="005E2E96">
        <w:rPr>
          <w:rStyle w:val="FootnoteReference"/>
          <w:lang w:val="en-CA"/>
        </w:rPr>
        <w:footnoteReference w:id="7"/>
      </w:r>
      <w:r w:rsidRPr="005E2E96">
        <w:rPr>
          <w:lang w:val="en-CA"/>
        </w:rPr>
        <w:t xml:space="preserve"> a detailed progress report on the use of these conversion kits was provided</w:t>
      </w:r>
      <w:r w:rsidR="0093115A" w:rsidRPr="005E2E96">
        <w:rPr>
          <w:lang w:val="en-CA"/>
        </w:rPr>
        <w:t>. It concluded that t</w:t>
      </w:r>
      <w:r w:rsidRPr="005E2E96">
        <w:rPr>
          <w:lang w:val="en-CA"/>
        </w:rPr>
        <w:t>he use of the conversion kits was successful, and provides opportunities for the remaining enterprises to be assisted in a cost-effective manner</w:t>
      </w:r>
      <w:r w:rsidR="0093115A" w:rsidRPr="005E2E96">
        <w:rPr>
          <w:lang w:val="en-CA"/>
        </w:rPr>
        <w:t xml:space="preserve">. </w:t>
      </w:r>
      <w:r w:rsidRPr="005E2E96">
        <w:rPr>
          <w:lang w:val="en-CA"/>
        </w:rPr>
        <w:t xml:space="preserve">The beneficiary enterprises assisted have committed to stop manufacturing </w:t>
      </w:r>
      <w:r w:rsidR="0093115A" w:rsidRPr="005E2E96">
        <w:rPr>
          <w:lang w:val="en-CA"/>
        </w:rPr>
        <w:t xml:space="preserve">HCFC-22 based </w:t>
      </w:r>
      <w:r w:rsidRPr="005E2E96">
        <w:rPr>
          <w:lang w:val="en-CA"/>
        </w:rPr>
        <w:t>commercial refrigeration products six months after their initial production</w:t>
      </w:r>
      <w:r w:rsidR="00DE5FF4" w:rsidRPr="005E2E96">
        <w:rPr>
          <w:lang w:val="en-CA"/>
        </w:rPr>
        <w:t xml:space="preserve"> with the alternative refrigerant</w:t>
      </w:r>
      <w:r w:rsidRPr="005E2E96">
        <w:rPr>
          <w:lang w:val="en-CA"/>
        </w:rPr>
        <w:t>; other enterprises to be provided with kits in the second and third tranches</w:t>
      </w:r>
      <w:r w:rsidR="0093115A" w:rsidRPr="005E2E96">
        <w:rPr>
          <w:lang w:val="en-CA"/>
        </w:rPr>
        <w:t>,</w:t>
      </w:r>
      <w:r w:rsidRPr="005E2E96">
        <w:rPr>
          <w:lang w:val="en-CA"/>
        </w:rPr>
        <w:t xml:space="preserve"> have also committed to stopping the use of HCFC-22 six months after receipt of the conversion kits.</w:t>
      </w:r>
    </w:p>
    <w:p w14:paraId="2195FF69" w14:textId="401F4D26" w:rsidR="000E0964" w:rsidRPr="005E2E96" w:rsidRDefault="000E0964" w:rsidP="00743742">
      <w:pPr>
        <w:pStyle w:val="Heading1"/>
        <w:keepNext/>
        <w:numPr>
          <w:ilvl w:val="0"/>
          <w:numId w:val="0"/>
        </w:numPr>
        <w:rPr>
          <w:u w:val="single"/>
          <w:lang w:val="en-CA"/>
        </w:rPr>
      </w:pPr>
      <w:r w:rsidRPr="005E2E96">
        <w:rPr>
          <w:u w:val="single"/>
          <w:lang w:val="en-CA"/>
        </w:rPr>
        <w:lastRenderedPageBreak/>
        <w:t xml:space="preserve">Refrigeration servicing sector (UNEP, UNIDO and </w:t>
      </w:r>
      <w:r w:rsidR="003F31C1" w:rsidRPr="005E2E96">
        <w:rPr>
          <w:u w:val="single"/>
          <w:lang w:val="en-CA"/>
        </w:rPr>
        <w:t>the Government of Germany</w:t>
      </w:r>
      <w:r w:rsidRPr="005E2E96">
        <w:rPr>
          <w:u w:val="single"/>
          <w:lang w:val="en-CA"/>
        </w:rPr>
        <w:t>)</w:t>
      </w:r>
    </w:p>
    <w:p w14:paraId="12742F9F" w14:textId="14CCE2CD" w:rsidR="000E0964" w:rsidRPr="005E2E96" w:rsidRDefault="000E0964" w:rsidP="00743742">
      <w:pPr>
        <w:pStyle w:val="Heading1"/>
        <w:keepNext/>
        <w:rPr>
          <w:lang w:val="en-CA"/>
        </w:rPr>
      </w:pPr>
      <w:r w:rsidRPr="005E2E96">
        <w:rPr>
          <w:lang w:val="en-CA"/>
        </w:rPr>
        <w:t>The following activities were implemented in the refrigeration servicing sector:</w:t>
      </w:r>
    </w:p>
    <w:p w14:paraId="0E539D63" w14:textId="221F54C6" w:rsidR="000E0964" w:rsidRPr="005E2E96" w:rsidRDefault="000E0964" w:rsidP="009A3176">
      <w:pPr>
        <w:pStyle w:val="Heading2"/>
        <w:rPr>
          <w:lang w:eastAsia="zh-CN"/>
        </w:rPr>
      </w:pPr>
      <w:r w:rsidRPr="005E2E96">
        <w:rPr>
          <w:lang w:val="en-CA"/>
        </w:rPr>
        <w:t xml:space="preserve">The signature of </w:t>
      </w:r>
      <w:r w:rsidR="003F31C1" w:rsidRPr="005E2E96">
        <w:rPr>
          <w:lang w:val="en-CA"/>
        </w:rPr>
        <w:t xml:space="preserve">an </w:t>
      </w:r>
      <w:r w:rsidRPr="005E2E96">
        <w:rPr>
          <w:lang w:val="en-CA"/>
        </w:rPr>
        <w:t xml:space="preserve">agreement with the technical vocational training organization for the implementation of the </w:t>
      </w:r>
      <w:r w:rsidRPr="005E2E96">
        <w:rPr>
          <w:lang w:eastAsia="zh-CN"/>
        </w:rPr>
        <w:t xml:space="preserve">good-practice training for </w:t>
      </w:r>
      <w:r w:rsidR="003F31C1" w:rsidRPr="005E2E96">
        <w:rPr>
          <w:lang w:eastAsia="zh-CN"/>
        </w:rPr>
        <w:t>technicians;</w:t>
      </w:r>
      <w:r w:rsidRPr="005E2E96">
        <w:rPr>
          <w:lang w:eastAsia="zh-CN"/>
        </w:rPr>
        <w:t xml:space="preserve"> the updating of the curriculum for training and certification systems to integrate go</w:t>
      </w:r>
      <w:r w:rsidR="003F31C1" w:rsidRPr="005E2E96">
        <w:rPr>
          <w:lang w:eastAsia="zh-CN"/>
        </w:rPr>
        <w:t>od servicing practice for HCFCs;</w:t>
      </w:r>
      <w:r w:rsidRPr="005E2E96">
        <w:rPr>
          <w:lang w:eastAsia="zh-CN"/>
        </w:rPr>
        <w:t xml:space="preserve"> and the procurement of training equipment (</w:t>
      </w:r>
      <w:r w:rsidR="003F31C1" w:rsidRPr="005E2E96">
        <w:rPr>
          <w:lang w:eastAsia="zh-CN"/>
        </w:rPr>
        <w:t>e.g.,</w:t>
      </w:r>
      <w:r w:rsidRPr="005E2E96">
        <w:rPr>
          <w:lang w:eastAsia="zh-CN"/>
        </w:rPr>
        <w:t xml:space="preserve"> </w:t>
      </w:r>
      <w:r w:rsidR="00C05548" w:rsidRPr="005E2E96">
        <w:rPr>
          <w:lang w:eastAsia="zh-CN"/>
        </w:rPr>
        <w:t xml:space="preserve">recovery units, cylinders, manifolds, leak detectors, tube cutters, </w:t>
      </w:r>
      <w:proofErr w:type="spellStart"/>
      <w:r w:rsidR="00C05548" w:rsidRPr="005E2E96">
        <w:rPr>
          <w:lang w:eastAsia="zh-CN"/>
        </w:rPr>
        <w:t>lokrings</w:t>
      </w:r>
      <w:proofErr w:type="spellEnd"/>
      <w:r w:rsidRPr="005E2E96">
        <w:rPr>
          <w:lang w:eastAsia="zh-CN"/>
        </w:rPr>
        <w:t xml:space="preserve">); and </w:t>
      </w:r>
      <w:r w:rsidR="003F31C1" w:rsidRPr="005E2E96">
        <w:rPr>
          <w:lang w:eastAsia="zh-CN"/>
        </w:rPr>
        <w:t xml:space="preserve">the signature of an agreement </w:t>
      </w:r>
      <w:r w:rsidRPr="005E2E96">
        <w:rPr>
          <w:lang w:eastAsia="zh-CN"/>
        </w:rPr>
        <w:t>with the Iran Standards and Industrial Research Institute (ISIRI) for the development and review of standards;</w:t>
      </w:r>
    </w:p>
    <w:p w14:paraId="38C9A267" w14:textId="06F74BC3" w:rsidR="000E0964" w:rsidRPr="005E2E96" w:rsidRDefault="000E0964" w:rsidP="009A3176">
      <w:pPr>
        <w:pStyle w:val="Heading2"/>
        <w:rPr>
          <w:lang w:eastAsia="zh-CN"/>
        </w:rPr>
      </w:pPr>
      <w:r w:rsidRPr="005E2E96">
        <w:rPr>
          <w:lang w:eastAsia="zh-CN"/>
        </w:rPr>
        <w:t xml:space="preserve">The training of 20 master trainers from various training centres in </w:t>
      </w:r>
      <w:r w:rsidR="002B3F5C" w:rsidRPr="005E2E96">
        <w:rPr>
          <w:lang w:eastAsia="zh-CN"/>
        </w:rPr>
        <w:t xml:space="preserve">the Islamic Republic of </w:t>
      </w:r>
      <w:r w:rsidRPr="005E2E96">
        <w:rPr>
          <w:lang w:eastAsia="zh-CN"/>
        </w:rPr>
        <w:t>Iran in a refresher course for good practices in refrigeration; one master trainer participated in a regional workshop on good service practice and the handling of flammable refrigerants organized by UNEP; the</w:t>
      </w:r>
      <w:r w:rsidR="002B3F5C" w:rsidRPr="005E2E96">
        <w:rPr>
          <w:lang w:eastAsia="zh-CN"/>
        </w:rPr>
        <w:t xml:space="preserve"> NOU and one other master trainer</w:t>
      </w:r>
      <w:r w:rsidRPr="005E2E96">
        <w:rPr>
          <w:lang w:eastAsia="zh-CN"/>
        </w:rPr>
        <w:t xml:space="preserve"> participated in the twinning workshop organized by UNEP on the integration of good servicing practice into the vocational training and educational system of the country including the issue of certification;</w:t>
      </w:r>
    </w:p>
    <w:p w14:paraId="2A680F2E" w14:textId="035A71C2" w:rsidR="000E0964" w:rsidRPr="005E2E96" w:rsidRDefault="000E0964" w:rsidP="009A3176">
      <w:pPr>
        <w:pStyle w:val="Heading2"/>
        <w:rPr>
          <w:lang w:eastAsia="zh-CN"/>
        </w:rPr>
      </w:pPr>
      <w:r w:rsidRPr="005E2E96">
        <w:rPr>
          <w:lang w:eastAsia="zh-CN"/>
        </w:rPr>
        <w:t>The purchase and distribution of four refrigerant identifiers to key ports to support the moni</w:t>
      </w:r>
      <w:r w:rsidR="002B3F5C" w:rsidRPr="005E2E96">
        <w:rPr>
          <w:lang w:eastAsia="zh-CN"/>
        </w:rPr>
        <w:t>toring of ODS import and export</w:t>
      </w:r>
      <w:r w:rsidRPr="005E2E96">
        <w:rPr>
          <w:lang w:eastAsia="zh-CN"/>
        </w:rPr>
        <w:t>;</w:t>
      </w:r>
    </w:p>
    <w:p w14:paraId="751B0F4E" w14:textId="77777777" w:rsidR="000E0964" w:rsidRPr="005E2E96" w:rsidRDefault="000E0964" w:rsidP="009A3176">
      <w:pPr>
        <w:pStyle w:val="Heading2"/>
        <w:rPr>
          <w:lang w:eastAsia="zh-CN"/>
        </w:rPr>
      </w:pPr>
      <w:r w:rsidRPr="005E2E96">
        <w:rPr>
          <w:lang w:eastAsia="zh-CN"/>
        </w:rPr>
        <w:t>Participation (NOU and two customs officers) in a border dialogue with officials from Afghanistan and Pakistan on ODS trade, organised by UNEP;</w:t>
      </w:r>
    </w:p>
    <w:p w14:paraId="2A271B00" w14:textId="12A5C5D4" w:rsidR="000E0964" w:rsidRPr="005E2E96" w:rsidRDefault="000E0964" w:rsidP="009A3176">
      <w:pPr>
        <w:pStyle w:val="Heading2"/>
        <w:rPr>
          <w:lang w:eastAsia="zh-CN"/>
        </w:rPr>
      </w:pPr>
      <w:r w:rsidRPr="005E2E96">
        <w:rPr>
          <w:lang w:eastAsia="zh-CN"/>
        </w:rPr>
        <w:t xml:space="preserve">Completion of a workshop on the </w:t>
      </w:r>
      <w:r w:rsidR="00DB6250" w:rsidRPr="005E2E96">
        <w:rPr>
          <w:lang w:eastAsia="zh-CN"/>
        </w:rPr>
        <w:t>r</w:t>
      </w:r>
      <w:r w:rsidRPr="005E2E96">
        <w:rPr>
          <w:lang w:eastAsia="zh-CN"/>
        </w:rPr>
        <w:t xml:space="preserve">ole of </w:t>
      </w:r>
      <w:r w:rsidR="002B3F5C" w:rsidRPr="005E2E96">
        <w:rPr>
          <w:lang w:eastAsia="zh-CN"/>
        </w:rPr>
        <w:t>g</w:t>
      </w:r>
      <w:r w:rsidRPr="005E2E96">
        <w:rPr>
          <w:lang w:eastAsia="zh-CN"/>
        </w:rPr>
        <w:t xml:space="preserve">reen </w:t>
      </w:r>
      <w:r w:rsidR="002B3F5C" w:rsidRPr="005E2E96">
        <w:rPr>
          <w:lang w:eastAsia="zh-CN"/>
        </w:rPr>
        <w:t>p</w:t>
      </w:r>
      <w:r w:rsidRPr="005E2E96">
        <w:rPr>
          <w:lang w:eastAsia="zh-CN"/>
        </w:rPr>
        <w:t xml:space="preserve">rocurement and the </w:t>
      </w:r>
      <w:r w:rsidR="002B3F5C" w:rsidRPr="005E2E96">
        <w:rPr>
          <w:lang w:eastAsia="zh-CN"/>
        </w:rPr>
        <w:t>b</w:t>
      </w:r>
      <w:r w:rsidRPr="005E2E96">
        <w:rPr>
          <w:lang w:eastAsia="zh-CN"/>
        </w:rPr>
        <w:t xml:space="preserve">uilding and </w:t>
      </w:r>
      <w:r w:rsidR="002B3F5C" w:rsidRPr="005E2E96">
        <w:rPr>
          <w:lang w:eastAsia="zh-CN"/>
        </w:rPr>
        <w:t>c</w:t>
      </w:r>
      <w:r w:rsidRPr="005E2E96">
        <w:rPr>
          <w:lang w:eastAsia="zh-CN"/>
        </w:rPr>
        <w:t xml:space="preserve">onstruction </w:t>
      </w:r>
      <w:r w:rsidR="002B3F5C" w:rsidRPr="005E2E96">
        <w:rPr>
          <w:lang w:eastAsia="zh-CN"/>
        </w:rPr>
        <w:t>s</w:t>
      </w:r>
      <w:r w:rsidRPr="005E2E96">
        <w:rPr>
          <w:lang w:eastAsia="zh-CN"/>
        </w:rPr>
        <w:t xml:space="preserve">ector in HCFC </w:t>
      </w:r>
      <w:r w:rsidR="002B3F5C" w:rsidRPr="005E2E96">
        <w:rPr>
          <w:lang w:eastAsia="zh-CN"/>
        </w:rPr>
        <w:t>p</w:t>
      </w:r>
      <w:r w:rsidRPr="005E2E96">
        <w:rPr>
          <w:lang w:eastAsia="zh-CN"/>
        </w:rPr>
        <w:t>hase-</w:t>
      </w:r>
      <w:r w:rsidR="002B3F5C" w:rsidRPr="005E2E96">
        <w:rPr>
          <w:lang w:eastAsia="zh-CN"/>
        </w:rPr>
        <w:t>o</w:t>
      </w:r>
      <w:r w:rsidRPr="005E2E96">
        <w:rPr>
          <w:lang w:eastAsia="zh-CN"/>
        </w:rPr>
        <w:t xml:space="preserve">ut </w:t>
      </w:r>
      <w:r w:rsidR="002B3F5C" w:rsidRPr="005E2E96">
        <w:rPr>
          <w:lang w:eastAsia="zh-CN"/>
        </w:rPr>
        <w:t>(</w:t>
      </w:r>
      <w:r w:rsidRPr="005E2E96">
        <w:rPr>
          <w:lang w:eastAsia="zh-CN"/>
        </w:rPr>
        <w:t xml:space="preserve">attended by </w:t>
      </w:r>
      <w:r w:rsidR="002B3F5C" w:rsidRPr="005E2E96">
        <w:rPr>
          <w:lang w:eastAsia="zh-CN"/>
        </w:rPr>
        <w:t>200</w:t>
      </w:r>
      <w:r w:rsidRPr="005E2E96">
        <w:rPr>
          <w:lang w:eastAsia="zh-CN"/>
        </w:rPr>
        <w:t xml:space="preserve"> stakeholders</w:t>
      </w:r>
      <w:r w:rsidR="002B3F5C" w:rsidRPr="005E2E96">
        <w:rPr>
          <w:lang w:eastAsia="zh-CN"/>
        </w:rPr>
        <w:t>)</w:t>
      </w:r>
      <w:r w:rsidRPr="005E2E96">
        <w:rPr>
          <w:lang w:eastAsia="zh-CN"/>
        </w:rPr>
        <w:t xml:space="preserve"> to strengthen cooperation among the Chamber of Commerce, the Refrigerants Industry Union, the Energy Efficiency Organization, the National Standard Organization and the National Ozone Layer Protection Office to support HCFC phase-out; and</w:t>
      </w:r>
    </w:p>
    <w:p w14:paraId="394385A0" w14:textId="509E7EDB" w:rsidR="000E0964" w:rsidRPr="005E2E96" w:rsidRDefault="000E0964" w:rsidP="009A3176">
      <w:pPr>
        <w:pStyle w:val="Heading2"/>
        <w:rPr>
          <w:lang w:eastAsia="zh-CN"/>
        </w:rPr>
      </w:pPr>
      <w:r w:rsidRPr="005E2E96">
        <w:rPr>
          <w:lang w:eastAsia="zh-CN"/>
        </w:rPr>
        <w:t>Translation of publications into Farsi (</w:t>
      </w:r>
      <w:r w:rsidR="002B3F5C" w:rsidRPr="005E2E96">
        <w:rPr>
          <w:lang w:eastAsia="zh-CN"/>
        </w:rPr>
        <w:t>g</w:t>
      </w:r>
      <w:r w:rsidRPr="005E2E96">
        <w:rPr>
          <w:lang w:eastAsia="zh-CN"/>
        </w:rPr>
        <w:t xml:space="preserve">reen </w:t>
      </w:r>
      <w:r w:rsidR="002B3F5C" w:rsidRPr="005E2E96">
        <w:rPr>
          <w:lang w:eastAsia="zh-CN"/>
        </w:rPr>
        <w:t>c</w:t>
      </w:r>
      <w:r w:rsidRPr="005E2E96">
        <w:rPr>
          <w:lang w:eastAsia="zh-CN"/>
        </w:rPr>
        <w:t xml:space="preserve">ustoms guide, </w:t>
      </w:r>
      <w:r w:rsidR="002B3F5C" w:rsidRPr="005E2E96">
        <w:rPr>
          <w:lang w:eastAsia="zh-CN"/>
        </w:rPr>
        <w:t>q</w:t>
      </w:r>
      <w:r w:rsidRPr="005E2E96">
        <w:rPr>
          <w:lang w:eastAsia="zh-CN"/>
        </w:rPr>
        <w:t xml:space="preserve">uick guide on </w:t>
      </w:r>
      <w:r w:rsidR="002B3F5C" w:rsidRPr="005E2E96">
        <w:rPr>
          <w:lang w:eastAsia="zh-CN"/>
        </w:rPr>
        <w:t>g</w:t>
      </w:r>
      <w:r w:rsidRPr="005E2E96">
        <w:rPr>
          <w:lang w:eastAsia="zh-CN"/>
        </w:rPr>
        <w:t xml:space="preserve">ood </w:t>
      </w:r>
      <w:r w:rsidR="002B3F5C" w:rsidRPr="005E2E96">
        <w:rPr>
          <w:lang w:eastAsia="zh-CN"/>
        </w:rPr>
        <w:t>s</w:t>
      </w:r>
      <w:r w:rsidRPr="005E2E96">
        <w:rPr>
          <w:lang w:eastAsia="zh-CN"/>
        </w:rPr>
        <w:t xml:space="preserve">ervicing </w:t>
      </w:r>
      <w:r w:rsidR="002B3F5C" w:rsidRPr="005E2E96">
        <w:rPr>
          <w:lang w:eastAsia="zh-CN"/>
        </w:rPr>
        <w:t>p</w:t>
      </w:r>
      <w:r w:rsidRPr="005E2E96">
        <w:rPr>
          <w:lang w:eastAsia="zh-CN"/>
        </w:rPr>
        <w:t xml:space="preserve">ractices for </w:t>
      </w:r>
      <w:r w:rsidR="002B3F5C" w:rsidRPr="005E2E96">
        <w:rPr>
          <w:lang w:eastAsia="zh-CN"/>
        </w:rPr>
        <w:t>f</w:t>
      </w:r>
      <w:r w:rsidRPr="005E2E96">
        <w:rPr>
          <w:lang w:eastAsia="zh-CN"/>
        </w:rPr>
        <w:t xml:space="preserve">lammable </w:t>
      </w:r>
      <w:r w:rsidR="002B3F5C" w:rsidRPr="005E2E96">
        <w:rPr>
          <w:lang w:eastAsia="zh-CN"/>
        </w:rPr>
        <w:t>r</w:t>
      </w:r>
      <w:r w:rsidRPr="005E2E96">
        <w:rPr>
          <w:lang w:eastAsia="zh-CN"/>
        </w:rPr>
        <w:t>efrigerants) and distribution to stakeholders.</w:t>
      </w:r>
    </w:p>
    <w:p w14:paraId="6E6A0E8F" w14:textId="799BD189" w:rsidR="000E0964" w:rsidRPr="005E2E96" w:rsidRDefault="000E0964" w:rsidP="00A957E7">
      <w:pPr>
        <w:pStyle w:val="Heading1"/>
        <w:rPr>
          <w:lang w:eastAsia="zh-CN"/>
        </w:rPr>
      </w:pPr>
      <w:r w:rsidRPr="005E2E96">
        <w:rPr>
          <w:lang w:eastAsia="zh-CN"/>
        </w:rPr>
        <w:t xml:space="preserve">The NOU and </w:t>
      </w:r>
      <w:r w:rsidR="00BF620D" w:rsidRPr="005E2E96">
        <w:rPr>
          <w:lang w:eastAsia="zh-CN"/>
        </w:rPr>
        <w:t xml:space="preserve">the </w:t>
      </w:r>
      <w:r w:rsidRPr="005E2E96">
        <w:rPr>
          <w:lang w:eastAsia="zh-CN"/>
        </w:rPr>
        <w:t xml:space="preserve">Iran Customs Administration received </w:t>
      </w:r>
      <w:r w:rsidR="00DB6250" w:rsidRPr="005E2E96">
        <w:rPr>
          <w:lang w:eastAsia="zh-CN"/>
        </w:rPr>
        <w:t xml:space="preserve">the </w:t>
      </w:r>
      <w:r w:rsidRPr="005E2E96">
        <w:rPr>
          <w:lang w:eastAsia="zh-CN"/>
        </w:rPr>
        <w:t xml:space="preserve">Global Montreal Protocol Award for Customs and Enforcement Officers in September 2019 for active use of </w:t>
      </w:r>
      <w:r w:rsidR="00BF620D" w:rsidRPr="005E2E96">
        <w:rPr>
          <w:lang w:eastAsia="zh-CN"/>
        </w:rPr>
        <w:t>informal Prior Informed Consent (</w:t>
      </w:r>
      <w:r w:rsidRPr="005E2E96">
        <w:rPr>
          <w:lang w:eastAsia="zh-CN"/>
        </w:rPr>
        <w:t>iPIC</w:t>
      </w:r>
      <w:r w:rsidR="00BF620D" w:rsidRPr="005E2E96">
        <w:rPr>
          <w:lang w:eastAsia="zh-CN"/>
        </w:rPr>
        <w:t>)</w:t>
      </w:r>
      <w:r w:rsidRPr="005E2E96">
        <w:rPr>
          <w:lang w:eastAsia="zh-CN"/>
        </w:rPr>
        <w:t>, prevention of illegal trade and seizure of illegal trade.</w:t>
      </w:r>
    </w:p>
    <w:p w14:paraId="75BD7011" w14:textId="03EA0A2F" w:rsidR="000E0964" w:rsidRPr="005E2E96" w:rsidRDefault="000E0964" w:rsidP="009A3176">
      <w:pPr>
        <w:pStyle w:val="ListParagraph"/>
        <w:ind w:left="0"/>
        <w:rPr>
          <w:u w:val="single"/>
          <w:lang w:val="en-CA"/>
        </w:rPr>
      </w:pPr>
      <w:r w:rsidRPr="005E2E96">
        <w:rPr>
          <w:u w:val="single"/>
          <w:lang w:val="en-CA"/>
        </w:rPr>
        <w:t>Project</w:t>
      </w:r>
      <w:r w:rsidR="007701FC" w:rsidRPr="005E2E96">
        <w:rPr>
          <w:u w:val="single"/>
          <w:lang w:val="en-CA"/>
        </w:rPr>
        <w:t xml:space="preserve"> implementation and monitoring u</w:t>
      </w:r>
      <w:r w:rsidRPr="005E2E96">
        <w:rPr>
          <w:u w:val="single"/>
          <w:lang w:val="en-CA"/>
        </w:rPr>
        <w:t>nit (PMU)</w:t>
      </w:r>
    </w:p>
    <w:p w14:paraId="7F814092" w14:textId="77777777" w:rsidR="000E0964" w:rsidRPr="005E2E96" w:rsidRDefault="000E0964" w:rsidP="009A3176">
      <w:pPr>
        <w:pStyle w:val="ListParagraph"/>
        <w:ind w:left="0"/>
        <w:rPr>
          <w:lang w:val="en-CA"/>
        </w:rPr>
      </w:pPr>
    </w:p>
    <w:p w14:paraId="1C971FBF" w14:textId="0C5CCBFA" w:rsidR="000E0964" w:rsidRPr="005E2E96" w:rsidRDefault="000E0964" w:rsidP="009A3176">
      <w:pPr>
        <w:pStyle w:val="Heading1"/>
        <w:rPr>
          <w:lang w:val="en-CA"/>
        </w:rPr>
      </w:pPr>
      <w:r w:rsidRPr="005E2E96">
        <w:rPr>
          <w:lang w:val="en-CA"/>
        </w:rPr>
        <w:t xml:space="preserve">The PMU established under the NOU during </w:t>
      </w:r>
      <w:r w:rsidR="00687BDF" w:rsidRPr="005E2E96">
        <w:rPr>
          <w:lang w:val="en-CA"/>
        </w:rPr>
        <w:t>stage I</w:t>
      </w:r>
      <w:r w:rsidRPr="005E2E96">
        <w:rPr>
          <w:lang w:val="en-CA"/>
        </w:rPr>
        <w:t xml:space="preserve"> will continue to assist in the implementation and monitoring of </w:t>
      </w:r>
      <w:r w:rsidR="00687BDF" w:rsidRPr="005E2E96">
        <w:rPr>
          <w:lang w:val="en-CA"/>
        </w:rPr>
        <w:t>stage I</w:t>
      </w:r>
      <w:r w:rsidRPr="005E2E96">
        <w:rPr>
          <w:lang w:val="en-CA"/>
        </w:rPr>
        <w:t>I. Activities by the PMU included the recruitment of staff/consultants; the preparation of annual work plans and progress reports; site visits for ongoing projects; the preparation of specifications and the coordination of equipment procurement and liaison with implementing partners; the safe delivery and verification of equipment procured; administrative and financial affairs related to project implementation; coordination and implementation of the non-investment activities; conducting steering committee meetings; and cooperation with the bilateral and implementing agencies involved in the project. The PMU costs incurred under the first tranche</w:t>
      </w:r>
      <w:r w:rsidR="00344A2D" w:rsidRPr="005E2E96">
        <w:rPr>
          <w:lang w:val="en-CA"/>
        </w:rPr>
        <w:t xml:space="preserve"> are </w:t>
      </w:r>
      <w:r w:rsidRPr="005E2E96">
        <w:rPr>
          <w:lang w:val="en-CA"/>
        </w:rPr>
        <w:t xml:space="preserve">presented in Table </w:t>
      </w:r>
      <w:r w:rsidR="00756761" w:rsidRPr="005E2E96">
        <w:rPr>
          <w:lang w:val="en-CA"/>
        </w:rPr>
        <w:t>4</w:t>
      </w:r>
      <w:r w:rsidRPr="005E2E96">
        <w:rPr>
          <w:lang w:val="en-CA"/>
        </w:rPr>
        <w:t>.</w:t>
      </w:r>
    </w:p>
    <w:p w14:paraId="2253BD0B" w14:textId="49ACD530" w:rsidR="006E04AC" w:rsidRPr="005E2E96" w:rsidRDefault="006E04AC" w:rsidP="00743742">
      <w:pPr>
        <w:keepNext/>
        <w:rPr>
          <w:b/>
          <w:lang w:val="en-CA"/>
        </w:rPr>
      </w:pPr>
      <w:r w:rsidRPr="005E2E96">
        <w:rPr>
          <w:b/>
          <w:lang w:val="en-CA"/>
        </w:rPr>
        <w:lastRenderedPageBreak/>
        <w:t>Table 4. PMU cost</w:t>
      </w:r>
      <w:r w:rsidR="00E41638" w:rsidRPr="005E2E96">
        <w:rPr>
          <w:b/>
          <w:lang w:val="en-CA"/>
        </w:rPr>
        <w:t>s</w:t>
      </w:r>
      <w:r w:rsidRPr="005E2E96">
        <w:rPr>
          <w:b/>
          <w:lang w:val="en-CA"/>
        </w:rPr>
        <w:t xml:space="preserve"> (</w:t>
      </w:r>
      <w:r w:rsidR="00687BDF" w:rsidRPr="005E2E96">
        <w:rPr>
          <w:b/>
          <w:lang w:val="en-CA"/>
        </w:rPr>
        <w:t>US $</w:t>
      </w:r>
      <w:r w:rsidRPr="005E2E96">
        <w:rPr>
          <w:b/>
          <w:lang w:val="en-CA"/>
        </w:rPr>
        <w:t>)</w:t>
      </w:r>
    </w:p>
    <w:tbl>
      <w:tblPr>
        <w:tblStyle w:val="TableGrid"/>
        <w:tblW w:w="9441" w:type="dxa"/>
        <w:tblInd w:w="-5" w:type="dxa"/>
        <w:tblLayout w:type="fixed"/>
        <w:tblCellMar>
          <w:left w:w="57" w:type="dxa"/>
          <w:right w:w="57" w:type="dxa"/>
        </w:tblCellMar>
        <w:tblLook w:val="04A0" w:firstRow="1" w:lastRow="0" w:firstColumn="1" w:lastColumn="0" w:noHBand="0" w:noVBand="1"/>
      </w:tblPr>
      <w:tblGrid>
        <w:gridCol w:w="5940"/>
        <w:gridCol w:w="1750"/>
        <w:gridCol w:w="1751"/>
      </w:tblGrid>
      <w:tr w:rsidR="003F56FC" w:rsidRPr="005E2E96" w14:paraId="521218B8" w14:textId="77777777" w:rsidTr="00BF620D">
        <w:trPr>
          <w:trHeight w:val="354"/>
          <w:tblHeader/>
        </w:trPr>
        <w:tc>
          <w:tcPr>
            <w:tcW w:w="5940" w:type="dxa"/>
            <w:vAlign w:val="center"/>
            <w:hideMark/>
          </w:tcPr>
          <w:p w14:paraId="01881356" w14:textId="77777777" w:rsidR="003F56FC" w:rsidRPr="005E2E96" w:rsidRDefault="003F56FC" w:rsidP="00743742">
            <w:pPr>
              <w:keepNext/>
              <w:jc w:val="center"/>
              <w:rPr>
                <w:b/>
                <w:bCs/>
                <w:sz w:val="21"/>
                <w:szCs w:val="21"/>
                <w:lang w:val="en-CA"/>
              </w:rPr>
            </w:pPr>
            <w:r w:rsidRPr="005E2E96">
              <w:rPr>
                <w:b/>
                <w:bCs/>
                <w:sz w:val="21"/>
                <w:szCs w:val="21"/>
              </w:rPr>
              <w:t>Particulars</w:t>
            </w:r>
          </w:p>
        </w:tc>
        <w:tc>
          <w:tcPr>
            <w:tcW w:w="1750" w:type="dxa"/>
            <w:vAlign w:val="center"/>
            <w:hideMark/>
          </w:tcPr>
          <w:p w14:paraId="5C5A7087" w14:textId="7F16A4B3" w:rsidR="003F56FC" w:rsidRPr="005E2E96" w:rsidRDefault="003F56FC" w:rsidP="00743742">
            <w:pPr>
              <w:keepNext/>
              <w:jc w:val="center"/>
              <w:rPr>
                <w:b/>
                <w:bCs/>
                <w:sz w:val="21"/>
                <w:szCs w:val="21"/>
              </w:rPr>
            </w:pPr>
            <w:r w:rsidRPr="005E2E96">
              <w:rPr>
                <w:b/>
                <w:bCs/>
                <w:sz w:val="21"/>
                <w:szCs w:val="21"/>
              </w:rPr>
              <w:t>Approved in principle</w:t>
            </w:r>
          </w:p>
        </w:tc>
        <w:tc>
          <w:tcPr>
            <w:tcW w:w="1751" w:type="dxa"/>
            <w:vAlign w:val="center"/>
            <w:hideMark/>
          </w:tcPr>
          <w:p w14:paraId="149BE448" w14:textId="2CFEC776" w:rsidR="003F56FC" w:rsidRPr="005E2E96" w:rsidRDefault="003F56FC" w:rsidP="00743742">
            <w:pPr>
              <w:keepNext/>
              <w:jc w:val="center"/>
              <w:rPr>
                <w:b/>
                <w:bCs/>
                <w:sz w:val="21"/>
                <w:szCs w:val="21"/>
              </w:rPr>
            </w:pPr>
            <w:r w:rsidRPr="005E2E96">
              <w:rPr>
                <w:b/>
                <w:bCs/>
                <w:sz w:val="21"/>
                <w:szCs w:val="21"/>
              </w:rPr>
              <w:t>Disbursed</w:t>
            </w:r>
          </w:p>
        </w:tc>
      </w:tr>
      <w:tr w:rsidR="003F56FC" w:rsidRPr="005E2E96" w14:paraId="208CDF09" w14:textId="77777777" w:rsidTr="00BF620D">
        <w:trPr>
          <w:trHeight w:val="210"/>
          <w:tblHeader/>
        </w:trPr>
        <w:tc>
          <w:tcPr>
            <w:tcW w:w="5940" w:type="dxa"/>
            <w:vAlign w:val="center"/>
          </w:tcPr>
          <w:p w14:paraId="261393D4" w14:textId="6F5CCF82" w:rsidR="003F56FC" w:rsidRPr="005E2E96" w:rsidRDefault="003F56FC" w:rsidP="00BF620D">
            <w:pPr>
              <w:jc w:val="left"/>
              <w:rPr>
                <w:b/>
                <w:bCs/>
                <w:sz w:val="21"/>
                <w:szCs w:val="21"/>
              </w:rPr>
            </w:pPr>
            <w:r w:rsidRPr="005E2E96">
              <w:rPr>
                <w:b/>
                <w:bCs/>
                <w:sz w:val="21"/>
                <w:szCs w:val="21"/>
              </w:rPr>
              <w:t>Project implementation and coordination</w:t>
            </w:r>
          </w:p>
        </w:tc>
        <w:tc>
          <w:tcPr>
            <w:tcW w:w="1750" w:type="dxa"/>
            <w:vAlign w:val="center"/>
          </w:tcPr>
          <w:p w14:paraId="581AFF43" w14:textId="77777777" w:rsidR="003F56FC" w:rsidRPr="005E2E96" w:rsidRDefault="003F56FC" w:rsidP="009A3176">
            <w:pPr>
              <w:jc w:val="center"/>
              <w:rPr>
                <w:b/>
                <w:bCs/>
                <w:sz w:val="21"/>
                <w:szCs w:val="21"/>
              </w:rPr>
            </w:pPr>
          </w:p>
        </w:tc>
        <w:tc>
          <w:tcPr>
            <w:tcW w:w="1751" w:type="dxa"/>
            <w:vAlign w:val="center"/>
          </w:tcPr>
          <w:p w14:paraId="1EBF7F9D" w14:textId="77777777" w:rsidR="003F56FC" w:rsidRPr="005E2E96" w:rsidRDefault="003F56FC" w:rsidP="009A3176">
            <w:pPr>
              <w:jc w:val="center"/>
              <w:rPr>
                <w:b/>
                <w:bCs/>
                <w:sz w:val="21"/>
                <w:szCs w:val="21"/>
              </w:rPr>
            </w:pPr>
          </w:p>
        </w:tc>
      </w:tr>
      <w:tr w:rsidR="003F56FC" w:rsidRPr="005E2E96" w14:paraId="5AD5132E" w14:textId="77777777" w:rsidTr="00BF620D">
        <w:trPr>
          <w:trHeight w:val="194"/>
        </w:trPr>
        <w:tc>
          <w:tcPr>
            <w:tcW w:w="5940" w:type="dxa"/>
            <w:noWrap/>
            <w:hideMark/>
          </w:tcPr>
          <w:p w14:paraId="7F436B7C" w14:textId="77777777" w:rsidR="003F56FC" w:rsidRPr="005E2E96" w:rsidRDefault="003F56FC" w:rsidP="00BF620D">
            <w:pPr>
              <w:jc w:val="left"/>
              <w:rPr>
                <w:sz w:val="21"/>
                <w:szCs w:val="21"/>
              </w:rPr>
            </w:pPr>
            <w:r w:rsidRPr="005E2E96">
              <w:rPr>
                <w:sz w:val="21"/>
                <w:szCs w:val="21"/>
              </w:rPr>
              <w:t>Staff costs (four staff members equivalent)</w:t>
            </w:r>
          </w:p>
        </w:tc>
        <w:tc>
          <w:tcPr>
            <w:tcW w:w="1750" w:type="dxa"/>
            <w:noWrap/>
            <w:tcMar>
              <w:right w:w="173" w:type="dxa"/>
            </w:tcMar>
            <w:hideMark/>
          </w:tcPr>
          <w:p w14:paraId="587F5FB8" w14:textId="77777777" w:rsidR="003F56FC" w:rsidRPr="005E2E96" w:rsidRDefault="003F56FC" w:rsidP="009A3176">
            <w:pPr>
              <w:jc w:val="right"/>
              <w:rPr>
                <w:sz w:val="21"/>
                <w:szCs w:val="21"/>
              </w:rPr>
            </w:pPr>
            <w:r w:rsidRPr="005E2E96">
              <w:rPr>
                <w:sz w:val="21"/>
                <w:szCs w:val="21"/>
              </w:rPr>
              <w:t>420,000</w:t>
            </w:r>
          </w:p>
        </w:tc>
        <w:tc>
          <w:tcPr>
            <w:tcW w:w="1751" w:type="dxa"/>
            <w:noWrap/>
            <w:tcMar>
              <w:right w:w="173" w:type="dxa"/>
            </w:tcMar>
            <w:hideMark/>
          </w:tcPr>
          <w:p w14:paraId="2987F06F" w14:textId="77777777" w:rsidR="003F56FC" w:rsidRPr="005E2E96" w:rsidRDefault="003F56FC" w:rsidP="009A3176">
            <w:pPr>
              <w:jc w:val="right"/>
              <w:rPr>
                <w:sz w:val="21"/>
                <w:szCs w:val="21"/>
              </w:rPr>
            </w:pPr>
            <w:r w:rsidRPr="005E2E96">
              <w:rPr>
                <w:sz w:val="21"/>
                <w:szCs w:val="21"/>
              </w:rPr>
              <w:t>66,668</w:t>
            </w:r>
          </w:p>
        </w:tc>
      </w:tr>
      <w:tr w:rsidR="003F56FC" w:rsidRPr="005E2E96" w14:paraId="022A98FF" w14:textId="77777777" w:rsidTr="00BF620D">
        <w:trPr>
          <w:trHeight w:val="99"/>
        </w:trPr>
        <w:tc>
          <w:tcPr>
            <w:tcW w:w="5940" w:type="dxa"/>
            <w:noWrap/>
            <w:hideMark/>
          </w:tcPr>
          <w:p w14:paraId="3B4DC40C" w14:textId="730B54E7" w:rsidR="003F56FC" w:rsidRPr="005E2E96" w:rsidRDefault="003F56FC" w:rsidP="00BF620D">
            <w:pPr>
              <w:jc w:val="left"/>
              <w:rPr>
                <w:sz w:val="21"/>
                <w:szCs w:val="21"/>
              </w:rPr>
            </w:pPr>
            <w:r w:rsidRPr="005E2E96">
              <w:rPr>
                <w:sz w:val="21"/>
                <w:szCs w:val="21"/>
              </w:rPr>
              <w:t>National stakeholder meetings (twice a year</w:t>
            </w:r>
            <w:r w:rsidR="00E41638" w:rsidRPr="005E2E96">
              <w:rPr>
                <w:sz w:val="21"/>
                <w:szCs w:val="21"/>
              </w:rPr>
              <w:t>)</w:t>
            </w:r>
          </w:p>
        </w:tc>
        <w:tc>
          <w:tcPr>
            <w:tcW w:w="1750" w:type="dxa"/>
            <w:noWrap/>
            <w:tcMar>
              <w:right w:w="173" w:type="dxa"/>
            </w:tcMar>
            <w:hideMark/>
          </w:tcPr>
          <w:p w14:paraId="3166CF43" w14:textId="77777777" w:rsidR="003F56FC" w:rsidRPr="005E2E96" w:rsidRDefault="003F56FC" w:rsidP="009A3176">
            <w:pPr>
              <w:jc w:val="right"/>
              <w:rPr>
                <w:sz w:val="21"/>
                <w:szCs w:val="21"/>
              </w:rPr>
            </w:pPr>
            <w:r w:rsidRPr="005E2E96">
              <w:rPr>
                <w:sz w:val="21"/>
                <w:szCs w:val="21"/>
              </w:rPr>
              <w:t>30,000</w:t>
            </w:r>
          </w:p>
        </w:tc>
        <w:tc>
          <w:tcPr>
            <w:tcW w:w="1751" w:type="dxa"/>
            <w:noWrap/>
            <w:tcMar>
              <w:right w:w="173" w:type="dxa"/>
            </w:tcMar>
            <w:hideMark/>
          </w:tcPr>
          <w:p w14:paraId="5029FB15" w14:textId="77777777" w:rsidR="003F56FC" w:rsidRPr="005E2E96" w:rsidRDefault="003F56FC" w:rsidP="009A3176">
            <w:pPr>
              <w:jc w:val="right"/>
              <w:rPr>
                <w:sz w:val="21"/>
                <w:szCs w:val="21"/>
              </w:rPr>
            </w:pPr>
            <w:r w:rsidRPr="005E2E96">
              <w:rPr>
                <w:sz w:val="21"/>
                <w:szCs w:val="21"/>
              </w:rPr>
              <w:t>-</w:t>
            </w:r>
          </w:p>
        </w:tc>
      </w:tr>
      <w:tr w:rsidR="003F56FC" w:rsidRPr="005E2E96" w14:paraId="3747A330" w14:textId="77777777" w:rsidTr="00BF620D">
        <w:trPr>
          <w:trHeight w:val="50"/>
        </w:trPr>
        <w:tc>
          <w:tcPr>
            <w:tcW w:w="5940" w:type="dxa"/>
            <w:noWrap/>
            <w:hideMark/>
          </w:tcPr>
          <w:p w14:paraId="373C239D" w14:textId="77777777" w:rsidR="003F56FC" w:rsidRPr="005E2E96" w:rsidRDefault="003F56FC" w:rsidP="00BF620D">
            <w:pPr>
              <w:jc w:val="left"/>
              <w:rPr>
                <w:sz w:val="21"/>
                <w:szCs w:val="21"/>
              </w:rPr>
            </w:pPr>
            <w:r w:rsidRPr="005E2E96">
              <w:rPr>
                <w:sz w:val="21"/>
                <w:szCs w:val="21"/>
              </w:rPr>
              <w:t>Computers and office electronic equipment</w:t>
            </w:r>
          </w:p>
        </w:tc>
        <w:tc>
          <w:tcPr>
            <w:tcW w:w="1750" w:type="dxa"/>
            <w:noWrap/>
            <w:tcMar>
              <w:right w:w="173" w:type="dxa"/>
            </w:tcMar>
            <w:hideMark/>
          </w:tcPr>
          <w:p w14:paraId="192F01A0" w14:textId="77777777" w:rsidR="003F56FC" w:rsidRPr="005E2E96" w:rsidRDefault="003F56FC" w:rsidP="009A3176">
            <w:pPr>
              <w:jc w:val="right"/>
              <w:rPr>
                <w:sz w:val="21"/>
                <w:szCs w:val="21"/>
              </w:rPr>
            </w:pPr>
            <w:r w:rsidRPr="005E2E96">
              <w:rPr>
                <w:sz w:val="21"/>
                <w:szCs w:val="21"/>
              </w:rPr>
              <w:t>10,000</w:t>
            </w:r>
          </w:p>
        </w:tc>
        <w:tc>
          <w:tcPr>
            <w:tcW w:w="1751" w:type="dxa"/>
            <w:noWrap/>
            <w:tcMar>
              <w:right w:w="173" w:type="dxa"/>
            </w:tcMar>
            <w:hideMark/>
          </w:tcPr>
          <w:p w14:paraId="3B5E1B76" w14:textId="77777777" w:rsidR="003F56FC" w:rsidRPr="005E2E96" w:rsidRDefault="003F56FC" w:rsidP="009A3176">
            <w:pPr>
              <w:jc w:val="right"/>
              <w:rPr>
                <w:sz w:val="21"/>
                <w:szCs w:val="21"/>
              </w:rPr>
            </w:pPr>
            <w:r w:rsidRPr="005E2E96">
              <w:rPr>
                <w:sz w:val="21"/>
                <w:szCs w:val="21"/>
              </w:rPr>
              <w:t>3,244</w:t>
            </w:r>
          </w:p>
        </w:tc>
      </w:tr>
      <w:tr w:rsidR="003F56FC" w:rsidRPr="005E2E96" w14:paraId="2DB38DBD" w14:textId="77777777" w:rsidTr="00BF620D">
        <w:trPr>
          <w:trHeight w:val="176"/>
        </w:trPr>
        <w:tc>
          <w:tcPr>
            <w:tcW w:w="5940" w:type="dxa"/>
            <w:noWrap/>
            <w:hideMark/>
          </w:tcPr>
          <w:p w14:paraId="524C3E3B" w14:textId="77777777" w:rsidR="003F56FC" w:rsidRPr="005E2E96" w:rsidRDefault="003F56FC" w:rsidP="00BF620D">
            <w:pPr>
              <w:jc w:val="left"/>
              <w:rPr>
                <w:sz w:val="21"/>
                <w:szCs w:val="21"/>
              </w:rPr>
            </w:pPr>
            <w:r w:rsidRPr="005E2E96">
              <w:rPr>
                <w:sz w:val="21"/>
                <w:szCs w:val="21"/>
              </w:rPr>
              <w:t>Furniture and equipment</w:t>
            </w:r>
          </w:p>
        </w:tc>
        <w:tc>
          <w:tcPr>
            <w:tcW w:w="1750" w:type="dxa"/>
            <w:noWrap/>
            <w:tcMar>
              <w:right w:w="173" w:type="dxa"/>
            </w:tcMar>
            <w:hideMark/>
          </w:tcPr>
          <w:p w14:paraId="51FC3673" w14:textId="77777777" w:rsidR="003F56FC" w:rsidRPr="005E2E96" w:rsidRDefault="003F56FC" w:rsidP="009A3176">
            <w:pPr>
              <w:jc w:val="right"/>
              <w:rPr>
                <w:sz w:val="21"/>
                <w:szCs w:val="21"/>
              </w:rPr>
            </w:pPr>
            <w:r w:rsidRPr="005E2E96">
              <w:rPr>
                <w:sz w:val="21"/>
                <w:szCs w:val="21"/>
              </w:rPr>
              <w:t>2,000</w:t>
            </w:r>
          </w:p>
        </w:tc>
        <w:tc>
          <w:tcPr>
            <w:tcW w:w="1751" w:type="dxa"/>
            <w:noWrap/>
            <w:tcMar>
              <w:right w:w="173" w:type="dxa"/>
            </w:tcMar>
            <w:hideMark/>
          </w:tcPr>
          <w:p w14:paraId="53C1AB86" w14:textId="77777777" w:rsidR="003F56FC" w:rsidRPr="005E2E96" w:rsidRDefault="003F56FC" w:rsidP="009A3176">
            <w:pPr>
              <w:jc w:val="right"/>
              <w:rPr>
                <w:sz w:val="21"/>
                <w:szCs w:val="21"/>
              </w:rPr>
            </w:pPr>
            <w:r w:rsidRPr="005E2E96">
              <w:rPr>
                <w:sz w:val="21"/>
                <w:szCs w:val="21"/>
              </w:rPr>
              <w:t>-</w:t>
            </w:r>
          </w:p>
        </w:tc>
      </w:tr>
      <w:tr w:rsidR="003F56FC" w:rsidRPr="005E2E96" w14:paraId="71A4B7AB" w14:textId="77777777" w:rsidTr="00BF620D">
        <w:trPr>
          <w:trHeight w:val="50"/>
        </w:trPr>
        <w:tc>
          <w:tcPr>
            <w:tcW w:w="5940" w:type="dxa"/>
            <w:noWrap/>
            <w:hideMark/>
          </w:tcPr>
          <w:p w14:paraId="5C5157C9" w14:textId="77777777" w:rsidR="003F56FC" w:rsidRPr="005E2E96" w:rsidRDefault="003F56FC" w:rsidP="00BF620D">
            <w:pPr>
              <w:jc w:val="left"/>
              <w:rPr>
                <w:sz w:val="21"/>
                <w:szCs w:val="21"/>
              </w:rPr>
            </w:pPr>
            <w:r w:rsidRPr="005E2E96">
              <w:rPr>
                <w:sz w:val="21"/>
                <w:szCs w:val="21"/>
              </w:rPr>
              <w:t>Stationery and printing</w:t>
            </w:r>
          </w:p>
        </w:tc>
        <w:tc>
          <w:tcPr>
            <w:tcW w:w="1750" w:type="dxa"/>
            <w:noWrap/>
            <w:tcMar>
              <w:right w:w="173" w:type="dxa"/>
            </w:tcMar>
            <w:hideMark/>
          </w:tcPr>
          <w:p w14:paraId="37A1A8D7" w14:textId="77777777" w:rsidR="003F56FC" w:rsidRPr="005E2E96" w:rsidRDefault="003F56FC" w:rsidP="009A3176">
            <w:pPr>
              <w:jc w:val="right"/>
              <w:rPr>
                <w:sz w:val="21"/>
                <w:szCs w:val="21"/>
              </w:rPr>
            </w:pPr>
            <w:r w:rsidRPr="005E2E96">
              <w:rPr>
                <w:sz w:val="21"/>
                <w:szCs w:val="21"/>
              </w:rPr>
              <w:t>10,000</w:t>
            </w:r>
          </w:p>
        </w:tc>
        <w:tc>
          <w:tcPr>
            <w:tcW w:w="1751" w:type="dxa"/>
            <w:noWrap/>
            <w:tcMar>
              <w:right w:w="173" w:type="dxa"/>
            </w:tcMar>
            <w:hideMark/>
          </w:tcPr>
          <w:p w14:paraId="4FD70C62" w14:textId="77777777" w:rsidR="003F56FC" w:rsidRPr="005E2E96" w:rsidRDefault="003F56FC" w:rsidP="009A3176">
            <w:pPr>
              <w:jc w:val="right"/>
              <w:rPr>
                <w:sz w:val="21"/>
                <w:szCs w:val="21"/>
              </w:rPr>
            </w:pPr>
            <w:r w:rsidRPr="005E2E96">
              <w:rPr>
                <w:sz w:val="21"/>
                <w:szCs w:val="21"/>
              </w:rPr>
              <w:t>69</w:t>
            </w:r>
          </w:p>
        </w:tc>
      </w:tr>
      <w:tr w:rsidR="003F56FC" w:rsidRPr="005E2E96" w14:paraId="73CE0960" w14:textId="77777777" w:rsidTr="00BF620D">
        <w:trPr>
          <w:trHeight w:val="50"/>
        </w:trPr>
        <w:tc>
          <w:tcPr>
            <w:tcW w:w="5940" w:type="dxa"/>
            <w:noWrap/>
            <w:hideMark/>
          </w:tcPr>
          <w:p w14:paraId="572718A0" w14:textId="77777777" w:rsidR="003F56FC" w:rsidRPr="005E2E96" w:rsidRDefault="003F56FC" w:rsidP="00BF620D">
            <w:pPr>
              <w:jc w:val="left"/>
              <w:rPr>
                <w:sz w:val="21"/>
                <w:szCs w:val="21"/>
              </w:rPr>
            </w:pPr>
            <w:r w:rsidRPr="005E2E96">
              <w:rPr>
                <w:sz w:val="21"/>
                <w:szCs w:val="21"/>
              </w:rPr>
              <w:t>Communication costs</w:t>
            </w:r>
          </w:p>
        </w:tc>
        <w:tc>
          <w:tcPr>
            <w:tcW w:w="1750" w:type="dxa"/>
            <w:noWrap/>
            <w:tcMar>
              <w:right w:w="173" w:type="dxa"/>
            </w:tcMar>
            <w:hideMark/>
          </w:tcPr>
          <w:p w14:paraId="11E8958F" w14:textId="77777777" w:rsidR="003F56FC" w:rsidRPr="005E2E96" w:rsidRDefault="003F56FC" w:rsidP="009A3176">
            <w:pPr>
              <w:jc w:val="right"/>
              <w:rPr>
                <w:sz w:val="21"/>
                <w:szCs w:val="21"/>
              </w:rPr>
            </w:pPr>
            <w:r w:rsidRPr="005E2E96">
              <w:rPr>
                <w:sz w:val="21"/>
                <w:szCs w:val="21"/>
              </w:rPr>
              <w:t>6,000</w:t>
            </w:r>
          </w:p>
        </w:tc>
        <w:tc>
          <w:tcPr>
            <w:tcW w:w="1751" w:type="dxa"/>
            <w:noWrap/>
            <w:tcMar>
              <w:right w:w="173" w:type="dxa"/>
            </w:tcMar>
            <w:hideMark/>
          </w:tcPr>
          <w:p w14:paraId="22BE43DA" w14:textId="77777777" w:rsidR="003F56FC" w:rsidRPr="005E2E96" w:rsidRDefault="003F56FC" w:rsidP="009A3176">
            <w:pPr>
              <w:jc w:val="right"/>
              <w:rPr>
                <w:sz w:val="21"/>
                <w:szCs w:val="21"/>
              </w:rPr>
            </w:pPr>
            <w:r w:rsidRPr="005E2E96">
              <w:rPr>
                <w:sz w:val="21"/>
                <w:szCs w:val="21"/>
              </w:rPr>
              <w:t>358</w:t>
            </w:r>
          </w:p>
        </w:tc>
      </w:tr>
      <w:tr w:rsidR="003F56FC" w:rsidRPr="005E2E96" w14:paraId="2B01692A" w14:textId="77777777" w:rsidTr="00BF620D">
        <w:trPr>
          <w:trHeight w:val="173"/>
        </w:trPr>
        <w:tc>
          <w:tcPr>
            <w:tcW w:w="5940" w:type="dxa"/>
            <w:noWrap/>
            <w:hideMark/>
          </w:tcPr>
          <w:p w14:paraId="424AA395" w14:textId="77777777" w:rsidR="003F56FC" w:rsidRPr="005E2E96" w:rsidRDefault="003F56FC" w:rsidP="00BF620D">
            <w:pPr>
              <w:jc w:val="left"/>
              <w:rPr>
                <w:sz w:val="21"/>
                <w:szCs w:val="21"/>
              </w:rPr>
            </w:pPr>
            <w:r w:rsidRPr="005E2E96">
              <w:rPr>
                <w:sz w:val="21"/>
                <w:szCs w:val="21"/>
              </w:rPr>
              <w:t>Operational costs and overheads</w:t>
            </w:r>
          </w:p>
        </w:tc>
        <w:tc>
          <w:tcPr>
            <w:tcW w:w="1750" w:type="dxa"/>
            <w:noWrap/>
            <w:tcMar>
              <w:right w:w="173" w:type="dxa"/>
            </w:tcMar>
            <w:hideMark/>
          </w:tcPr>
          <w:p w14:paraId="447260C6" w14:textId="77777777" w:rsidR="003F56FC" w:rsidRPr="005E2E96" w:rsidRDefault="003F56FC" w:rsidP="009A3176">
            <w:pPr>
              <w:jc w:val="right"/>
              <w:rPr>
                <w:sz w:val="21"/>
                <w:szCs w:val="21"/>
              </w:rPr>
            </w:pPr>
            <w:r w:rsidRPr="005E2E96">
              <w:rPr>
                <w:sz w:val="21"/>
                <w:szCs w:val="21"/>
              </w:rPr>
              <w:t>22,000</w:t>
            </w:r>
          </w:p>
        </w:tc>
        <w:tc>
          <w:tcPr>
            <w:tcW w:w="1751" w:type="dxa"/>
            <w:noWrap/>
            <w:tcMar>
              <w:right w:w="173" w:type="dxa"/>
            </w:tcMar>
            <w:hideMark/>
          </w:tcPr>
          <w:p w14:paraId="72F75701" w14:textId="77777777" w:rsidR="003F56FC" w:rsidRPr="005E2E96" w:rsidRDefault="003F56FC" w:rsidP="009A3176">
            <w:pPr>
              <w:jc w:val="right"/>
              <w:rPr>
                <w:sz w:val="21"/>
                <w:szCs w:val="21"/>
              </w:rPr>
            </w:pPr>
            <w:r w:rsidRPr="005E2E96">
              <w:rPr>
                <w:sz w:val="21"/>
                <w:szCs w:val="21"/>
              </w:rPr>
              <w:t>5,397</w:t>
            </w:r>
          </w:p>
        </w:tc>
      </w:tr>
      <w:tr w:rsidR="003F56FC" w:rsidRPr="005E2E96" w14:paraId="446E0CA2" w14:textId="77777777" w:rsidTr="00BF620D">
        <w:trPr>
          <w:trHeight w:val="173"/>
        </w:trPr>
        <w:tc>
          <w:tcPr>
            <w:tcW w:w="5940" w:type="dxa"/>
            <w:noWrap/>
          </w:tcPr>
          <w:p w14:paraId="76ACC2EE" w14:textId="7E2886FF" w:rsidR="003F56FC" w:rsidRPr="005E2E96" w:rsidRDefault="003F56FC" w:rsidP="00BF620D">
            <w:pPr>
              <w:jc w:val="left"/>
              <w:rPr>
                <w:sz w:val="21"/>
                <w:szCs w:val="21"/>
              </w:rPr>
            </w:pPr>
            <w:r w:rsidRPr="005E2E96">
              <w:rPr>
                <w:b/>
                <w:bCs/>
                <w:sz w:val="21"/>
                <w:szCs w:val="21"/>
              </w:rPr>
              <w:t>Project monitoring</w:t>
            </w:r>
            <w:r w:rsidRPr="005E2E96">
              <w:rPr>
                <w:sz w:val="21"/>
                <w:szCs w:val="21"/>
              </w:rPr>
              <w:t> </w:t>
            </w:r>
          </w:p>
        </w:tc>
        <w:tc>
          <w:tcPr>
            <w:tcW w:w="1750" w:type="dxa"/>
            <w:noWrap/>
            <w:tcMar>
              <w:right w:w="173" w:type="dxa"/>
            </w:tcMar>
          </w:tcPr>
          <w:p w14:paraId="5CBF2257" w14:textId="77777777" w:rsidR="003F56FC" w:rsidRPr="005E2E96" w:rsidRDefault="003F56FC" w:rsidP="009A3176">
            <w:pPr>
              <w:jc w:val="right"/>
              <w:rPr>
                <w:sz w:val="21"/>
                <w:szCs w:val="21"/>
              </w:rPr>
            </w:pPr>
          </w:p>
        </w:tc>
        <w:tc>
          <w:tcPr>
            <w:tcW w:w="1751" w:type="dxa"/>
            <w:noWrap/>
            <w:tcMar>
              <w:right w:w="173" w:type="dxa"/>
            </w:tcMar>
          </w:tcPr>
          <w:p w14:paraId="2B954371" w14:textId="77777777" w:rsidR="003F56FC" w:rsidRPr="005E2E96" w:rsidRDefault="003F56FC" w:rsidP="009A3176">
            <w:pPr>
              <w:jc w:val="right"/>
              <w:rPr>
                <w:sz w:val="21"/>
                <w:szCs w:val="21"/>
              </w:rPr>
            </w:pPr>
          </w:p>
        </w:tc>
      </w:tr>
      <w:tr w:rsidR="003F56FC" w:rsidRPr="005E2E96" w14:paraId="70ADE298" w14:textId="77777777" w:rsidTr="00BF620D">
        <w:trPr>
          <w:trHeight w:val="67"/>
        </w:trPr>
        <w:tc>
          <w:tcPr>
            <w:tcW w:w="5940" w:type="dxa"/>
            <w:noWrap/>
            <w:hideMark/>
          </w:tcPr>
          <w:p w14:paraId="78A2AC17" w14:textId="25A6B4AD" w:rsidR="003F56FC" w:rsidRPr="005E2E96" w:rsidRDefault="003F56FC" w:rsidP="00BF620D">
            <w:pPr>
              <w:jc w:val="left"/>
              <w:rPr>
                <w:sz w:val="21"/>
                <w:szCs w:val="21"/>
              </w:rPr>
            </w:pPr>
            <w:r w:rsidRPr="005E2E96">
              <w:rPr>
                <w:sz w:val="21"/>
                <w:szCs w:val="21"/>
              </w:rPr>
              <w:t>Periodic site visits to enterprises to monitor progress</w:t>
            </w:r>
          </w:p>
        </w:tc>
        <w:tc>
          <w:tcPr>
            <w:tcW w:w="1750" w:type="dxa"/>
            <w:noWrap/>
            <w:tcMar>
              <w:right w:w="173" w:type="dxa"/>
            </w:tcMar>
            <w:hideMark/>
          </w:tcPr>
          <w:p w14:paraId="13B0E160" w14:textId="77777777" w:rsidR="003F56FC" w:rsidRPr="005E2E96" w:rsidRDefault="003F56FC" w:rsidP="009A3176">
            <w:pPr>
              <w:jc w:val="right"/>
              <w:rPr>
                <w:sz w:val="21"/>
                <w:szCs w:val="21"/>
              </w:rPr>
            </w:pPr>
            <w:r w:rsidRPr="005E2E96">
              <w:rPr>
                <w:sz w:val="21"/>
                <w:szCs w:val="21"/>
              </w:rPr>
              <w:t>50,000</w:t>
            </w:r>
          </w:p>
        </w:tc>
        <w:tc>
          <w:tcPr>
            <w:tcW w:w="1751" w:type="dxa"/>
            <w:noWrap/>
            <w:tcMar>
              <w:right w:w="173" w:type="dxa"/>
            </w:tcMar>
            <w:hideMark/>
          </w:tcPr>
          <w:p w14:paraId="03C2CC76" w14:textId="77777777" w:rsidR="003F56FC" w:rsidRPr="005E2E96" w:rsidRDefault="003F56FC" w:rsidP="009A3176">
            <w:pPr>
              <w:jc w:val="right"/>
              <w:rPr>
                <w:sz w:val="21"/>
                <w:szCs w:val="21"/>
              </w:rPr>
            </w:pPr>
            <w:r w:rsidRPr="005E2E96">
              <w:rPr>
                <w:sz w:val="21"/>
                <w:szCs w:val="21"/>
              </w:rPr>
              <w:t>848</w:t>
            </w:r>
          </w:p>
        </w:tc>
      </w:tr>
      <w:tr w:rsidR="003F56FC" w:rsidRPr="005E2E96" w14:paraId="658224DC" w14:textId="77777777" w:rsidTr="00BF620D">
        <w:trPr>
          <w:trHeight w:val="396"/>
        </w:trPr>
        <w:tc>
          <w:tcPr>
            <w:tcW w:w="5940" w:type="dxa"/>
            <w:noWrap/>
            <w:hideMark/>
          </w:tcPr>
          <w:p w14:paraId="59DAD9B4" w14:textId="114FE75E" w:rsidR="003F56FC" w:rsidRPr="005E2E96" w:rsidRDefault="003F56FC" w:rsidP="00BF620D">
            <w:pPr>
              <w:jc w:val="left"/>
              <w:rPr>
                <w:sz w:val="21"/>
                <w:szCs w:val="21"/>
              </w:rPr>
            </w:pPr>
            <w:r w:rsidRPr="005E2E96">
              <w:rPr>
                <w:sz w:val="21"/>
                <w:szCs w:val="21"/>
              </w:rPr>
              <w:t>Preparation and submission of annual work plans and progress reports; preparation of reports on project progress</w:t>
            </w:r>
          </w:p>
        </w:tc>
        <w:tc>
          <w:tcPr>
            <w:tcW w:w="1750" w:type="dxa"/>
            <w:noWrap/>
            <w:tcMar>
              <w:right w:w="173" w:type="dxa"/>
            </w:tcMar>
            <w:hideMark/>
          </w:tcPr>
          <w:p w14:paraId="3BDEAB3A" w14:textId="77777777" w:rsidR="003F56FC" w:rsidRPr="005E2E96" w:rsidRDefault="003F56FC" w:rsidP="009A3176">
            <w:pPr>
              <w:jc w:val="right"/>
              <w:rPr>
                <w:sz w:val="21"/>
                <w:szCs w:val="21"/>
              </w:rPr>
            </w:pPr>
            <w:r w:rsidRPr="005E2E96">
              <w:rPr>
                <w:sz w:val="21"/>
                <w:szCs w:val="21"/>
              </w:rPr>
              <w:t>30,000</w:t>
            </w:r>
          </w:p>
        </w:tc>
        <w:tc>
          <w:tcPr>
            <w:tcW w:w="1751" w:type="dxa"/>
            <w:noWrap/>
            <w:tcMar>
              <w:right w:w="173" w:type="dxa"/>
            </w:tcMar>
            <w:hideMark/>
          </w:tcPr>
          <w:p w14:paraId="685BABEE" w14:textId="77777777" w:rsidR="003F56FC" w:rsidRPr="005E2E96" w:rsidRDefault="003F56FC" w:rsidP="009A3176">
            <w:pPr>
              <w:jc w:val="right"/>
              <w:rPr>
                <w:sz w:val="21"/>
                <w:szCs w:val="21"/>
              </w:rPr>
            </w:pPr>
            <w:r w:rsidRPr="005E2E96">
              <w:rPr>
                <w:sz w:val="21"/>
                <w:szCs w:val="21"/>
              </w:rPr>
              <w:t>5,341</w:t>
            </w:r>
          </w:p>
        </w:tc>
      </w:tr>
      <w:tr w:rsidR="003F56FC" w:rsidRPr="005E2E96" w14:paraId="5E676D88" w14:textId="77777777" w:rsidTr="00BF620D">
        <w:trPr>
          <w:trHeight w:val="180"/>
        </w:trPr>
        <w:tc>
          <w:tcPr>
            <w:tcW w:w="5940" w:type="dxa"/>
            <w:noWrap/>
          </w:tcPr>
          <w:p w14:paraId="5C46205A" w14:textId="3B6B1E08" w:rsidR="003F56FC" w:rsidRPr="005E2E96" w:rsidRDefault="003F56FC" w:rsidP="00BF620D">
            <w:pPr>
              <w:jc w:val="left"/>
              <w:rPr>
                <w:sz w:val="21"/>
                <w:szCs w:val="21"/>
              </w:rPr>
            </w:pPr>
            <w:r w:rsidRPr="005E2E96">
              <w:rPr>
                <w:b/>
                <w:bCs/>
                <w:sz w:val="21"/>
                <w:szCs w:val="21"/>
              </w:rPr>
              <w:t>Policies and regulations implementation</w:t>
            </w:r>
            <w:r w:rsidRPr="005E2E96">
              <w:rPr>
                <w:sz w:val="21"/>
                <w:szCs w:val="21"/>
              </w:rPr>
              <w:t> </w:t>
            </w:r>
          </w:p>
        </w:tc>
        <w:tc>
          <w:tcPr>
            <w:tcW w:w="1750" w:type="dxa"/>
            <w:noWrap/>
            <w:tcMar>
              <w:right w:w="173" w:type="dxa"/>
            </w:tcMar>
          </w:tcPr>
          <w:p w14:paraId="09540BAB" w14:textId="77777777" w:rsidR="003F56FC" w:rsidRPr="005E2E96" w:rsidRDefault="003F56FC" w:rsidP="009A3176">
            <w:pPr>
              <w:jc w:val="right"/>
              <w:rPr>
                <w:sz w:val="21"/>
                <w:szCs w:val="21"/>
              </w:rPr>
            </w:pPr>
          </w:p>
        </w:tc>
        <w:tc>
          <w:tcPr>
            <w:tcW w:w="1751" w:type="dxa"/>
            <w:noWrap/>
            <w:tcMar>
              <w:right w:w="173" w:type="dxa"/>
            </w:tcMar>
          </w:tcPr>
          <w:p w14:paraId="785052F8" w14:textId="77777777" w:rsidR="003F56FC" w:rsidRPr="005E2E96" w:rsidRDefault="003F56FC" w:rsidP="009A3176">
            <w:pPr>
              <w:jc w:val="right"/>
              <w:rPr>
                <w:sz w:val="21"/>
                <w:szCs w:val="21"/>
              </w:rPr>
            </w:pPr>
          </w:p>
        </w:tc>
      </w:tr>
      <w:tr w:rsidR="003F56FC" w:rsidRPr="005E2E96" w14:paraId="7800847B" w14:textId="77777777" w:rsidTr="00BF620D">
        <w:trPr>
          <w:trHeight w:val="472"/>
        </w:trPr>
        <w:tc>
          <w:tcPr>
            <w:tcW w:w="5940" w:type="dxa"/>
            <w:noWrap/>
            <w:hideMark/>
          </w:tcPr>
          <w:p w14:paraId="13266C30" w14:textId="603A4F2A" w:rsidR="003F56FC" w:rsidRPr="005E2E96" w:rsidRDefault="003F56FC" w:rsidP="00BF620D">
            <w:pPr>
              <w:jc w:val="left"/>
              <w:rPr>
                <w:sz w:val="21"/>
                <w:szCs w:val="21"/>
              </w:rPr>
            </w:pPr>
            <w:r w:rsidRPr="005E2E96">
              <w:rPr>
                <w:sz w:val="21"/>
                <w:szCs w:val="21"/>
              </w:rPr>
              <w:t>Stakeholder meetings (for project progress assessment and project planning</w:t>
            </w:r>
            <w:r w:rsidR="00E41638" w:rsidRPr="005E2E96">
              <w:rPr>
                <w:sz w:val="21"/>
                <w:szCs w:val="21"/>
              </w:rPr>
              <w:t xml:space="preserve"> and</w:t>
            </w:r>
            <w:r w:rsidRPr="005E2E96">
              <w:rPr>
                <w:sz w:val="21"/>
                <w:szCs w:val="21"/>
              </w:rPr>
              <w:t xml:space="preserve"> implementation)</w:t>
            </w:r>
          </w:p>
        </w:tc>
        <w:tc>
          <w:tcPr>
            <w:tcW w:w="1750" w:type="dxa"/>
            <w:noWrap/>
            <w:tcMar>
              <w:right w:w="173" w:type="dxa"/>
            </w:tcMar>
            <w:hideMark/>
          </w:tcPr>
          <w:p w14:paraId="4411343F" w14:textId="77777777" w:rsidR="003F56FC" w:rsidRPr="005E2E96" w:rsidRDefault="003F56FC" w:rsidP="009A3176">
            <w:pPr>
              <w:jc w:val="right"/>
              <w:rPr>
                <w:sz w:val="21"/>
                <w:szCs w:val="21"/>
              </w:rPr>
            </w:pPr>
            <w:r w:rsidRPr="005E2E96">
              <w:rPr>
                <w:sz w:val="21"/>
                <w:szCs w:val="21"/>
              </w:rPr>
              <w:t>30,000</w:t>
            </w:r>
          </w:p>
        </w:tc>
        <w:tc>
          <w:tcPr>
            <w:tcW w:w="1751" w:type="dxa"/>
            <w:noWrap/>
            <w:tcMar>
              <w:right w:w="173" w:type="dxa"/>
            </w:tcMar>
            <w:hideMark/>
          </w:tcPr>
          <w:p w14:paraId="630E2150" w14:textId="77777777" w:rsidR="003F56FC" w:rsidRPr="005E2E96" w:rsidRDefault="003F56FC" w:rsidP="009A3176">
            <w:pPr>
              <w:jc w:val="right"/>
              <w:rPr>
                <w:sz w:val="21"/>
                <w:szCs w:val="21"/>
              </w:rPr>
            </w:pPr>
            <w:r w:rsidRPr="005E2E96">
              <w:rPr>
                <w:sz w:val="21"/>
                <w:szCs w:val="21"/>
              </w:rPr>
              <w:t>1,341</w:t>
            </w:r>
          </w:p>
        </w:tc>
      </w:tr>
      <w:tr w:rsidR="003F56FC" w:rsidRPr="005E2E96" w14:paraId="1336086E" w14:textId="77777777" w:rsidTr="00BF620D">
        <w:trPr>
          <w:trHeight w:val="176"/>
        </w:trPr>
        <w:tc>
          <w:tcPr>
            <w:tcW w:w="5940" w:type="dxa"/>
            <w:noWrap/>
          </w:tcPr>
          <w:p w14:paraId="7161C161" w14:textId="40CB836D" w:rsidR="003F56FC" w:rsidRPr="005E2E96" w:rsidRDefault="003F56FC" w:rsidP="00BF620D">
            <w:pPr>
              <w:jc w:val="left"/>
              <w:rPr>
                <w:sz w:val="21"/>
                <w:szCs w:val="21"/>
              </w:rPr>
            </w:pPr>
            <w:r w:rsidRPr="005E2E96">
              <w:rPr>
                <w:b/>
                <w:bCs/>
                <w:sz w:val="21"/>
                <w:szCs w:val="21"/>
              </w:rPr>
              <w:t>Capacity building</w:t>
            </w:r>
          </w:p>
        </w:tc>
        <w:tc>
          <w:tcPr>
            <w:tcW w:w="1750" w:type="dxa"/>
            <w:noWrap/>
            <w:tcMar>
              <w:right w:w="173" w:type="dxa"/>
            </w:tcMar>
          </w:tcPr>
          <w:p w14:paraId="4E44A47E" w14:textId="77777777" w:rsidR="003F56FC" w:rsidRPr="005E2E96" w:rsidRDefault="003F56FC" w:rsidP="009A3176">
            <w:pPr>
              <w:jc w:val="right"/>
              <w:rPr>
                <w:sz w:val="21"/>
                <w:szCs w:val="21"/>
              </w:rPr>
            </w:pPr>
          </w:p>
        </w:tc>
        <w:tc>
          <w:tcPr>
            <w:tcW w:w="1751" w:type="dxa"/>
            <w:noWrap/>
            <w:tcMar>
              <w:right w:w="173" w:type="dxa"/>
            </w:tcMar>
          </w:tcPr>
          <w:p w14:paraId="3A675229" w14:textId="77777777" w:rsidR="003F56FC" w:rsidRPr="005E2E96" w:rsidRDefault="003F56FC" w:rsidP="009A3176">
            <w:pPr>
              <w:jc w:val="right"/>
              <w:rPr>
                <w:sz w:val="21"/>
                <w:szCs w:val="21"/>
              </w:rPr>
            </w:pPr>
          </w:p>
        </w:tc>
      </w:tr>
      <w:tr w:rsidR="003F56FC" w:rsidRPr="005E2E96" w14:paraId="24FDDF4E" w14:textId="77777777" w:rsidTr="00BF620D">
        <w:trPr>
          <w:trHeight w:val="121"/>
        </w:trPr>
        <w:tc>
          <w:tcPr>
            <w:tcW w:w="5940" w:type="dxa"/>
            <w:noWrap/>
            <w:hideMark/>
          </w:tcPr>
          <w:p w14:paraId="58BBE6D1" w14:textId="77777777" w:rsidR="003F56FC" w:rsidRPr="005E2E96" w:rsidRDefault="003F56FC" w:rsidP="00BF620D">
            <w:pPr>
              <w:jc w:val="left"/>
              <w:rPr>
                <w:sz w:val="21"/>
                <w:szCs w:val="21"/>
              </w:rPr>
            </w:pPr>
            <w:r w:rsidRPr="005E2E96">
              <w:rPr>
                <w:sz w:val="21"/>
                <w:szCs w:val="21"/>
              </w:rPr>
              <w:t>Government stakeholder training workshops</w:t>
            </w:r>
          </w:p>
        </w:tc>
        <w:tc>
          <w:tcPr>
            <w:tcW w:w="1750" w:type="dxa"/>
            <w:noWrap/>
            <w:tcMar>
              <w:right w:w="173" w:type="dxa"/>
            </w:tcMar>
            <w:hideMark/>
          </w:tcPr>
          <w:p w14:paraId="3B92C6A7" w14:textId="53D2C220" w:rsidR="003F56FC" w:rsidRPr="005E2E96" w:rsidRDefault="00E41638" w:rsidP="009A3176">
            <w:pPr>
              <w:jc w:val="right"/>
              <w:rPr>
                <w:sz w:val="21"/>
                <w:szCs w:val="21"/>
              </w:rPr>
            </w:pPr>
            <w:r w:rsidRPr="005E2E96">
              <w:rPr>
                <w:sz w:val="21"/>
                <w:szCs w:val="21"/>
              </w:rPr>
              <w:t>10,</w:t>
            </w:r>
            <w:r w:rsidR="003F56FC" w:rsidRPr="005E2E96">
              <w:rPr>
                <w:sz w:val="21"/>
                <w:szCs w:val="21"/>
              </w:rPr>
              <w:t>000</w:t>
            </w:r>
          </w:p>
        </w:tc>
        <w:tc>
          <w:tcPr>
            <w:tcW w:w="1751" w:type="dxa"/>
            <w:noWrap/>
            <w:tcMar>
              <w:right w:w="173" w:type="dxa"/>
            </w:tcMar>
            <w:hideMark/>
          </w:tcPr>
          <w:p w14:paraId="08DBCFA2" w14:textId="77777777" w:rsidR="003F56FC" w:rsidRPr="005E2E96" w:rsidRDefault="003F56FC" w:rsidP="009A3176">
            <w:pPr>
              <w:jc w:val="right"/>
              <w:rPr>
                <w:sz w:val="21"/>
                <w:szCs w:val="21"/>
              </w:rPr>
            </w:pPr>
            <w:r w:rsidRPr="005E2E96">
              <w:rPr>
                <w:sz w:val="21"/>
                <w:szCs w:val="21"/>
              </w:rPr>
              <w:t>1,140</w:t>
            </w:r>
          </w:p>
        </w:tc>
      </w:tr>
      <w:tr w:rsidR="003F56FC" w:rsidRPr="005E2E96" w14:paraId="61A03DC9" w14:textId="77777777" w:rsidTr="00BF620D">
        <w:trPr>
          <w:trHeight w:val="207"/>
        </w:trPr>
        <w:tc>
          <w:tcPr>
            <w:tcW w:w="5940" w:type="dxa"/>
            <w:noWrap/>
            <w:hideMark/>
          </w:tcPr>
          <w:p w14:paraId="3A6C872E" w14:textId="77777777" w:rsidR="003F56FC" w:rsidRPr="005E2E96" w:rsidRDefault="003F56FC" w:rsidP="00BF620D">
            <w:pPr>
              <w:jc w:val="left"/>
              <w:rPr>
                <w:sz w:val="21"/>
                <w:szCs w:val="21"/>
              </w:rPr>
            </w:pPr>
            <w:r w:rsidRPr="005E2E96">
              <w:rPr>
                <w:sz w:val="21"/>
                <w:szCs w:val="21"/>
              </w:rPr>
              <w:t>Gain and loss</w:t>
            </w:r>
          </w:p>
        </w:tc>
        <w:tc>
          <w:tcPr>
            <w:tcW w:w="1750" w:type="dxa"/>
            <w:noWrap/>
            <w:tcMar>
              <w:right w:w="173" w:type="dxa"/>
            </w:tcMar>
            <w:hideMark/>
          </w:tcPr>
          <w:p w14:paraId="708AD35D" w14:textId="77777777" w:rsidR="003F56FC" w:rsidRPr="005E2E96" w:rsidRDefault="003F56FC" w:rsidP="009A3176">
            <w:pPr>
              <w:jc w:val="right"/>
              <w:rPr>
                <w:sz w:val="21"/>
                <w:szCs w:val="21"/>
              </w:rPr>
            </w:pPr>
            <w:r w:rsidRPr="005E2E96">
              <w:rPr>
                <w:sz w:val="21"/>
                <w:szCs w:val="21"/>
              </w:rPr>
              <w:t> </w:t>
            </w:r>
          </w:p>
        </w:tc>
        <w:tc>
          <w:tcPr>
            <w:tcW w:w="1751" w:type="dxa"/>
            <w:noWrap/>
            <w:tcMar>
              <w:right w:w="173" w:type="dxa"/>
            </w:tcMar>
            <w:hideMark/>
          </w:tcPr>
          <w:p w14:paraId="18DB86F5" w14:textId="77777777" w:rsidR="003F56FC" w:rsidRPr="005E2E96" w:rsidRDefault="003F56FC" w:rsidP="009A3176">
            <w:pPr>
              <w:jc w:val="right"/>
              <w:rPr>
                <w:sz w:val="21"/>
                <w:szCs w:val="21"/>
              </w:rPr>
            </w:pPr>
            <w:r w:rsidRPr="005E2E96">
              <w:rPr>
                <w:sz w:val="21"/>
                <w:szCs w:val="21"/>
              </w:rPr>
              <w:t>(587)</w:t>
            </w:r>
          </w:p>
        </w:tc>
      </w:tr>
      <w:tr w:rsidR="003F56FC" w:rsidRPr="005E2E96" w14:paraId="6705D5C5" w14:textId="77777777" w:rsidTr="00BF620D">
        <w:trPr>
          <w:trHeight w:val="110"/>
        </w:trPr>
        <w:tc>
          <w:tcPr>
            <w:tcW w:w="5940" w:type="dxa"/>
            <w:noWrap/>
            <w:hideMark/>
          </w:tcPr>
          <w:p w14:paraId="5B6F350A" w14:textId="77777777" w:rsidR="003F56FC" w:rsidRPr="005E2E96" w:rsidRDefault="003F56FC" w:rsidP="00BF620D">
            <w:pPr>
              <w:jc w:val="left"/>
              <w:rPr>
                <w:b/>
                <w:bCs/>
                <w:sz w:val="21"/>
                <w:szCs w:val="21"/>
              </w:rPr>
            </w:pPr>
            <w:r w:rsidRPr="005E2E96">
              <w:rPr>
                <w:b/>
                <w:bCs/>
                <w:sz w:val="21"/>
                <w:szCs w:val="21"/>
              </w:rPr>
              <w:t>Total</w:t>
            </w:r>
          </w:p>
        </w:tc>
        <w:tc>
          <w:tcPr>
            <w:tcW w:w="1750" w:type="dxa"/>
            <w:noWrap/>
            <w:tcMar>
              <w:right w:w="173" w:type="dxa"/>
            </w:tcMar>
            <w:hideMark/>
          </w:tcPr>
          <w:p w14:paraId="5452A57C" w14:textId="77777777" w:rsidR="003F56FC" w:rsidRPr="005E2E96" w:rsidRDefault="003F56FC" w:rsidP="009A3176">
            <w:pPr>
              <w:jc w:val="right"/>
              <w:rPr>
                <w:b/>
                <w:bCs/>
                <w:sz w:val="21"/>
                <w:szCs w:val="21"/>
              </w:rPr>
            </w:pPr>
            <w:r w:rsidRPr="005E2E96">
              <w:rPr>
                <w:b/>
                <w:bCs/>
                <w:sz w:val="21"/>
                <w:szCs w:val="21"/>
              </w:rPr>
              <w:t>620,000</w:t>
            </w:r>
          </w:p>
        </w:tc>
        <w:tc>
          <w:tcPr>
            <w:tcW w:w="1751" w:type="dxa"/>
            <w:noWrap/>
            <w:tcMar>
              <w:right w:w="173" w:type="dxa"/>
            </w:tcMar>
            <w:hideMark/>
          </w:tcPr>
          <w:p w14:paraId="01A3729F" w14:textId="77777777" w:rsidR="003F56FC" w:rsidRPr="005E2E96" w:rsidRDefault="003F56FC" w:rsidP="009A3176">
            <w:pPr>
              <w:jc w:val="right"/>
              <w:rPr>
                <w:b/>
                <w:bCs/>
                <w:sz w:val="21"/>
                <w:szCs w:val="21"/>
              </w:rPr>
            </w:pPr>
            <w:r w:rsidRPr="005E2E96">
              <w:rPr>
                <w:b/>
                <w:bCs/>
                <w:sz w:val="21"/>
                <w:szCs w:val="21"/>
              </w:rPr>
              <w:t>83,820</w:t>
            </w:r>
          </w:p>
        </w:tc>
      </w:tr>
    </w:tbl>
    <w:p w14:paraId="65E6D156" w14:textId="56111FC9" w:rsidR="006E04AC" w:rsidRPr="005E2E96" w:rsidRDefault="006E04AC" w:rsidP="009A3176">
      <w:pPr>
        <w:rPr>
          <w:lang w:val="en-CA"/>
        </w:rPr>
      </w:pPr>
    </w:p>
    <w:p w14:paraId="27553D22" w14:textId="77777777" w:rsidR="00A8017F" w:rsidRPr="005E2E96" w:rsidRDefault="00A8017F" w:rsidP="009A3176">
      <w:pPr>
        <w:keepNext/>
        <w:keepLines/>
        <w:rPr>
          <w:u w:val="single"/>
          <w:lang w:val="en-CA"/>
        </w:rPr>
      </w:pPr>
      <w:r w:rsidRPr="005E2E96">
        <w:rPr>
          <w:u w:val="single"/>
          <w:lang w:val="en-CA"/>
        </w:rPr>
        <w:t>Level of fund disbursement</w:t>
      </w:r>
    </w:p>
    <w:p w14:paraId="0C170DC8" w14:textId="77777777" w:rsidR="00A8017F" w:rsidRPr="005E2E96" w:rsidRDefault="00A8017F" w:rsidP="009A3176">
      <w:pPr>
        <w:keepNext/>
        <w:keepLines/>
        <w:rPr>
          <w:lang w:val="en-CA"/>
        </w:rPr>
      </w:pPr>
    </w:p>
    <w:p w14:paraId="6B786F9F" w14:textId="718FCDD7" w:rsidR="00A8017F" w:rsidRPr="005E2E96" w:rsidRDefault="00A8017F" w:rsidP="009A3176">
      <w:pPr>
        <w:pStyle w:val="Heading1"/>
        <w:keepNext/>
        <w:keepLines/>
        <w:rPr>
          <w:lang w:val="en-CA"/>
        </w:rPr>
      </w:pPr>
      <w:r w:rsidRPr="005E2E96">
        <w:rPr>
          <w:lang w:val="en-CA"/>
        </w:rPr>
        <w:t xml:space="preserve">As of September 2019, of the </w:t>
      </w:r>
      <w:r w:rsidR="00687BDF" w:rsidRPr="005E2E96">
        <w:rPr>
          <w:lang w:val="en-CA"/>
        </w:rPr>
        <w:t>US $</w:t>
      </w:r>
      <w:r w:rsidRPr="005E2E96">
        <w:rPr>
          <w:lang w:val="en-CA"/>
        </w:rPr>
        <w:t>3,020,440 approved so far</w:t>
      </w:r>
      <w:r w:rsidR="00D45BB7" w:rsidRPr="005E2E96">
        <w:rPr>
          <w:lang w:val="en-CA"/>
        </w:rPr>
        <w:t>,</w:t>
      </w:r>
      <w:r w:rsidRPr="005E2E96">
        <w:rPr>
          <w:lang w:val="en-CA"/>
        </w:rPr>
        <w:t xml:space="preserve"> </w:t>
      </w:r>
      <w:r w:rsidR="00687BDF" w:rsidRPr="005E2E96">
        <w:rPr>
          <w:lang w:val="en-CA"/>
        </w:rPr>
        <w:t>US $</w:t>
      </w:r>
      <w:r w:rsidRPr="005E2E96">
        <w:rPr>
          <w:lang w:val="en-CA"/>
        </w:rPr>
        <w:t xml:space="preserve">1,243,495 (41.16 per cent) had been disbursed as shown in Table 5. The balance of </w:t>
      </w:r>
      <w:r w:rsidR="00687BDF" w:rsidRPr="005E2E96">
        <w:rPr>
          <w:lang w:val="en-CA"/>
        </w:rPr>
        <w:t>US $</w:t>
      </w:r>
      <w:r w:rsidRPr="005E2E96">
        <w:rPr>
          <w:lang w:val="en-CA"/>
        </w:rPr>
        <w:t>1,776,945 will be disbursed in 2020 and 2021.</w:t>
      </w:r>
    </w:p>
    <w:p w14:paraId="065F08EC" w14:textId="1922A77A" w:rsidR="00A8017F" w:rsidRPr="005E2E96" w:rsidRDefault="00A8017F" w:rsidP="009A3176">
      <w:pPr>
        <w:rPr>
          <w:lang w:val="en-CA"/>
        </w:rPr>
      </w:pPr>
      <w:r w:rsidRPr="005E2E96">
        <w:rPr>
          <w:b/>
          <w:lang w:val="en-CA"/>
        </w:rPr>
        <w:t xml:space="preserve">Table 5. Financial report first tranche of </w:t>
      </w:r>
      <w:r w:rsidR="00687BDF" w:rsidRPr="005E2E96">
        <w:rPr>
          <w:b/>
          <w:lang w:val="en-CA"/>
        </w:rPr>
        <w:t>stage I</w:t>
      </w:r>
      <w:r w:rsidRPr="005E2E96">
        <w:rPr>
          <w:b/>
          <w:lang w:val="en-CA"/>
        </w:rPr>
        <w:t>I of the HPMP for the Islamic Republic of Iran</w:t>
      </w:r>
    </w:p>
    <w:tbl>
      <w:tblPr>
        <w:tblW w:w="5000" w:type="pct"/>
        <w:tblLook w:val="04A0" w:firstRow="1" w:lastRow="0" w:firstColumn="1" w:lastColumn="0" w:noHBand="0" w:noVBand="1"/>
      </w:tblPr>
      <w:tblGrid>
        <w:gridCol w:w="2337"/>
        <w:gridCol w:w="2337"/>
        <w:gridCol w:w="2338"/>
        <w:gridCol w:w="2338"/>
      </w:tblGrid>
      <w:tr w:rsidR="00A8017F" w:rsidRPr="005E2E96" w14:paraId="7C054CED" w14:textId="77777777" w:rsidTr="001C2670">
        <w:trPr>
          <w:tblHeader/>
        </w:trPr>
        <w:tc>
          <w:tcPr>
            <w:tcW w:w="1250" w:type="pct"/>
            <w:tcBorders>
              <w:top w:val="single" w:sz="4" w:space="0" w:color="auto"/>
              <w:left w:val="single" w:sz="4" w:space="0" w:color="auto"/>
              <w:bottom w:val="single" w:sz="4" w:space="0" w:color="auto"/>
              <w:right w:val="single" w:sz="4" w:space="0" w:color="000000"/>
            </w:tcBorders>
            <w:noWrap/>
            <w:vAlign w:val="center"/>
            <w:hideMark/>
          </w:tcPr>
          <w:p w14:paraId="06E5F76A" w14:textId="77777777" w:rsidR="00A8017F" w:rsidRPr="005E2E96" w:rsidRDefault="00A8017F" w:rsidP="009A3176">
            <w:pPr>
              <w:jc w:val="left"/>
              <w:rPr>
                <w:b/>
                <w:bCs/>
                <w:color w:val="000000"/>
                <w:sz w:val="21"/>
                <w:szCs w:val="21"/>
                <w:lang w:val="en-CA" w:eastAsia="en-CA"/>
              </w:rPr>
            </w:pPr>
            <w:r w:rsidRPr="005E2E96">
              <w:rPr>
                <w:b/>
                <w:bCs/>
                <w:color w:val="000000"/>
                <w:sz w:val="21"/>
                <w:szCs w:val="21"/>
                <w:lang w:val="en-CA" w:eastAsia="en-CA"/>
              </w:rPr>
              <w:t>Agency</w:t>
            </w:r>
          </w:p>
        </w:tc>
        <w:tc>
          <w:tcPr>
            <w:tcW w:w="1250" w:type="pct"/>
            <w:tcBorders>
              <w:top w:val="single" w:sz="4" w:space="0" w:color="auto"/>
              <w:left w:val="single" w:sz="4" w:space="0" w:color="auto"/>
              <w:right w:val="single" w:sz="4" w:space="0" w:color="auto"/>
            </w:tcBorders>
            <w:noWrap/>
            <w:vAlign w:val="center"/>
            <w:hideMark/>
          </w:tcPr>
          <w:p w14:paraId="3F516165" w14:textId="73D58662" w:rsidR="00A8017F" w:rsidRPr="005E2E96" w:rsidRDefault="00A8017F" w:rsidP="009A3176">
            <w:pPr>
              <w:jc w:val="center"/>
              <w:rPr>
                <w:b/>
                <w:color w:val="000000"/>
                <w:sz w:val="21"/>
                <w:szCs w:val="21"/>
                <w:lang w:val="en-CA" w:eastAsia="en-CA"/>
              </w:rPr>
            </w:pPr>
            <w:r w:rsidRPr="005E2E96">
              <w:rPr>
                <w:b/>
                <w:color w:val="000000"/>
                <w:sz w:val="21"/>
                <w:szCs w:val="21"/>
                <w:lang w:val="en-CA" w:eastAsia="en-CA"/>
              </w:rPr>
              <w:t>Approved (</w:t>
            </w:r>
            <w:r w:rsidR="00687BDF" w:rsidRPr="005E2E96">
              <w:rPr>
                <w:b/>
                <w:color w:val="000000"/>
                <w:sz w:val="21"/>
                <w:szCs w:val="21"/>
                <w:lang w:val="en-CA" w:eastAsia="en-CA"/>
              </w:rPr>
              <w:t>US $</w:t>
            </w:r>
            <w:r w:rsidRPr="005E2E96">
              <w:rPr>
                <w:b/>
                <w:color w:val="000000"/>
                <w:sz w:val="21"/>
                <w:szCs w:val="21"/>
                <w:lang w:val="en-CA" w:eastAsia="en-CA"/>
              </w:rPr>
              <w:t>)</w:t>
            </w:r>
          </w:p>
        </w:tc>
        <w:tc>
          <w:tcPr>
            <w:tcW w:w="1250" w:type="pct"/>
            <w:tcBorders>
              <w:top w:val="single" w:sz="4" w:space="0" w:color="auto"/>
              <w:left w:val="single" w:sz="4" w:space="0" w:color="auto"/>
              <w:bottom w:val="single" w:sz="4" w:space="0" w:color="auto"/>
              <w:right w:val="single" w:sz="4" w:space="0" w:color="auto"/>
            </w:tcBorders>
            <w:vAlign w:val="center"/>
          </w:tcPr>
          <w:p w14:paraId="301228E6" w14:textId="1F10AD72" w:rsidR="00A8017F" w:rsidRPr="005E2E96" w:rsidRDefault="00A8017F" w:rsidP="009A3176">
            <w:pPr>
              <w:jc w:val="center"/>
              <w:rPr>
                <w:b/>
                <w:color w:val="000000"/>
                <w:sz w:val="21"/>
                <w:szCs w:val="21"/>
                <w:lang w:val="en-CA" w:eastAsia="en-CA"/>
              </w:rPr>
            </w:pPr>
            <w:r w:rsidRPr="005E2E96">
              <w:rPr>
                <w:b/>
                <w:color w:val="000000"/>
                <w:sz w:val="21"/>
                <w:szCs w:val="21"/>
                <w:lang w:val="en-CA" w:eastAsia="en-CA"/>
              </w:rPr>
              <w:t>Disbursed (</w:t>
            </w:r>
            <w:r w:rsidR="00687BDF" w:rsidRPr="005E2E96">
              <w:rPr>
                <w:b/>
                <w:color w:val="000000"/>
                <w:sz w:val="21"/>
                <w:szCs w:val="21"/>
                <w:lang w:val="en-CA" w:eastAsia="en-CA"/>
              </w:rPr>
              <w:t>US $</w:t>
            </w:r>
            <w:r w:rsidRPr="005E2E96">
              <w:rPr>
                <w:b/>
                <w:color w:val="000000"/>
                <w:sz w:val="21"/>
                <w:szCs w:val="21"/>
                <w:lang w:val="en-CA" w:eastAsia="en-CA"/>
              </w:rPr>
              <w:t>)</w:t>
            </w:r>
          </w:p>
        </w:tc>
        <w:tc>
          <w:tcPr>
            <w:tcW w:w="1250" w:type="pct"/>
            <w:tcBorders>
              <w:top w:val="single" w:sz="4" w:space="0" w:color="auto"/>
              <w:left w:val="single" w:sz="4" w:space="0" w:color="auto"/>
              <w:bottom w:val="single" w:sz="4" w:space="0" w:color="auto"/>
              <w:right w:val="single" w:sz="4" w:space="0" w:color="auto"/>
            </w:tcBorders>
          </w:tcPr>
          <w:p w14:paraId="43B7C4CA" w14:textId="77777777" w:rsidR="00A8017F" w:rsidRPr="005E2E96" w:rsidRDefault="00A8017F" w:rsidP="009A3176">
            <w:pPr>
              <w:jc w:val="center"/>
              <w:rPr>
                <w:b/>
                <w:color w:val="000000"/>
                <w:sz w:val="21"/>
                <w:szCs w:val="21"/>
                <w:lang w:val="en-CA" w:eastAsia="en-CA"/>
              </w:rPr>
            </w:pPr>
            <w:r w:rsidRPr="005E2E96">
              <w:rPr>
                <w:b/>
                <w:color w:val="000000"/>
                <w:sz w:val="21"/>
                <w:szCs w:val="21"/>
                <w:lang w:val="en-CA" w:eastAsia="en-CA"/>
              </w:rPr>
              <w:t>Disbursement rate (%)</w:t>
            </w:r>
          </w:p>
        </w:tc>
      </w:tr>
      <w:tr w:rsidR="00A8017F" w:rsidRPr="005E2E96" w14:paraId="5476F2EE" w14:textId="77777777" w:rsidTr="001C2670">
        <w:tc>
          <w:tcPr>
            <w:tcW w:w="1250" w:type="pct"/>
            <w:tcBorders>
              <w:top w:val="nil"/>
              <w:left w:val="single" w:sz="4" w:space="0" w:color="auto"/>
              <w:bottom w:val="single" w:sz="4" w:space="0" w:color="auto"/>
              <w:right w:val="single" w:sz="4" w:space="0" w:color="auto"/>
            </w:tcBorders>
            <w:noWrap/>
            <w:vAlign w:val="center"/>
            <w:hideMark/>
          </w:tcPr>
          <w:p w14:paraId="72650E3D" w14:textId="77777777" w:rsidR="00A8017F" w:rsidRPr="005E2E96" w:rsidRDefault="00A8017F" w:rsidP="009A3176">
            <w:pPr>
              <w:jc w:val="left"/>
              <w:rPr>
                <w:bCs/>
                <w:color w:val="000000"/>
                <w:sz w:val="20"/>
                <w:szCs w:val="20"/>
                <w:lang w:val="en-CA" w:eastAsia="en-CA"/>
              </w:rPr>
            </w:pPr>
            <w:r w:rsidRPr="005E2E96">
              <w:rPr>
                <w:bCs/>
                <w:color w:val="000000"/>
                <w:sz w:val="20"/>
                <w:szCs w:val="20"/>
                <w:lang w:val="en-CA" w:eastAsia="en-CA"/>
              </w:rPr>
              <w:t>UNDP</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14:paraId="29E03AF7" w14:textId="77777777" w:rsidR="00A8017F" w:rsidRPr="005E2E96" w:rsidRDefault="00A8017F" w:rsidP="009A3176">
            <w:pPr>
              <w:jc w:val="right"/>
              <w:rPr>
                <w:color w:val="000000"/>
                <w:sz w:val="20"/>
                <w:szCs w:val="20"/>
                <w:lang w:val="en-CA"/>
              </w:rPr>
            </w:pPr>
            <w:r w:rsidRPr="005E2E96">
              <w:rPr>
                <w:sz w:val="20"/>
                <w:szCs w:val="20"/>
              </w:rPr>
              <w:t>1,298,170</w:t>
            </w:r>
          </w:p>
        </w:tc>
        <w:tc>
          <w:tcPr>
            <w:tcW w:w="1250" w:type="pct"/>
            <w:tcBorders>
              <w:top w:val="single" w:sz="4" w:space="0" w:color="auto"/>
              <w:left w:val="single" w:sz="4" w:space="0" w:color="auto"/>
              <w:bottom w:val="single" w:sz="4" w:space="0" w:color="auto"/>
              <w:right w:val="single" w:sz="4" w:space="0" w:color="auto"/>
            </w:tcBorders>
            <w:noWrap/>
            <w:tcMar>
              <w:left w:w="115" w:type="dxa"/>
              <w:right w:w="432" w:type="dxa"/>
            </w:tcMar>
          </w:tcPr>
          <w:p w14:paraId="1A42D280" w14:textId="77777777" w:rsidR="00A8017F" w:rsidRPr="005E2E96" w:rsidRDefault="00A8017F" w:rsidP="009A3176">
            <w:pPr>
              <w:jc w:val="right"/>
              <w:rPr>
                <w:color w:val="000000"/>
                <w:sz w:val="20"/>
                <w:szCs w:val="20"/>
                <w:lang w:val="en-CA"/>
              </w:rPr>
            </w:pPr>
            <w:r w:rsidRPr="005E2E96">
              <w:rPr>
                <w:sz w:val="20"/>
                <w:szCs w:val="20"/>
              </w:rPr>
              <w:t>664,051</w:t>
            </w:r>
          </w:p>
        </w:tc>
        <w:tc>
          <w:tcPr>
            <w:tcW w:w="1250" w:type="pct"/>
            <w:tcBorders>
              <w:top w:val="single" w:sz="4" w:space="0" w:color="auto"/>
              <w:left w:val="single" w:sz="4" w:space="0" w:color="auto"/>
              <w:bottom w:val="single" w:sz="4" w:space="0" w:color="auto"/>
              <w:right w:val="single" w:sz="4" w:space="0" w:color="auto"/>
            </w:tcBorders>
            <w:tcMar>
              <w:left w:w="115" w:type="dxa"/>
              <w:right w:w="864" w:type="dxa"/>
            </w:tcMar>
          </w:tcPr>
          <w:p w14:paraId="109237E4" w14:textId="513AEE48" w:rsidR="00A8017F" w:rsidRPr="005E2E96" w:rsidRDefault="00A8017F" w:rsidP="009A3176">
            <w:pPr>
              <w:jc w:val="right"/>
              <w:rPr>
                <w:color w:val="000000"/>
                <w:sz w:val="20"/>
                <w:szCs w:val="20"/>
                <w:lang w:val="en-CA"/>
              </w:rPr>
            </w:pPr>
            <w:r w:rsidRPr="005E2E96">
              <w:rPr>
                <w:sz w:val="20"/>
                <w:szCs w:val="20"/>
              </w:rPr>
              <w:t>51</w:t>
            </w:r>
          </w:p>
        </w:tc>
      </w:tr>
      <w:tr w:rsidR="00A8017F" w:rsidRPr="005E2E96" w14:paraId="7EE0361B" w14:textId="77777777" w:rsidTr="001C2670">
        <w:tc>
          <w:tcPr>
            <w:tcW w:w="1250" w:type="pct"/>
            <w:tcBorders>
              <w:top w:val="nil"/>
              <w:left w:val="single" w:sz="4" w:space="0" w:color="auto"/>
              <w:bottom w:val="single" w:sz="4" w:space="0" w:color="auto"/>
              <w:right w:val="single" w:sz="4" w:space="0" w:color="auto"/>
            </w:tcBorders>
            <w:noWrap/>
            <w:vAlign w:val="center"/>
            <w:hideMark/>
          </w:tcPr>
          <w:p w14:paraId="72526AC7" w14:textId="77777777" w:rsidR="00A8017F" w:rsidRPr="005E2E96" w:rsidRDefault="00A8017F" w:rsidP="009A3176">
            <w:pPr>
              <w:jc w:val="left"/>
              <w:rPr>
                <w:bCs/>
                <w:color w:val="000000"/>
                <w:sz w:val="20"/>
                <w:szCs w:val="20"/>
                <w:lang w:val="en-CA" w:eastAsia="en-CA"/>
              </w:rPr>
            </w:pPr>
            <w:r w:rsidRPr="005E2E96">
              <w:rPr>
                <w:bCs/>
                <w:color w:val="000000"/>
                <w:sz w:val="20"/>
                <w:szCs w:val="20"/>
                <w:lang w:val="en-CA" w:eastAsia="en-CA"/>
              </w:rPr>
              <w:t>UNIDO</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14:paraId="5ED737B9" w14:textId="77777777" w:rsidR="00A8017F" w:rsidRPr="005E2E96" w:rsidRDefault="00A8017F" w:rsidP="009A3176">
            <w:pPr>
              <w:jc w:val="right"/>
              <w:rPr>
                <w:color w:val="000000"/>
                <w:sz w:val="20"/>
                <w:szCs w:val="20"/>
                <w:lang w:val="en-CA"/>
              </w:rPr>
            </w:pPr>
            <w:r w:rsidRPr="005E2E96">
              <w:rPr>
                <w:sz w:val="20"/>
                <w:szCs w:val="20"/>
              </w:rPr>
              <w:t>473,567</w:t>
            </w:r>
          </w:p>
        </w:tc>
        <w:tc>
          <w:tcPr>
            <w:tcW w:w="1250" w:type="pct"/>
            <w:tcBorders>
              <w:top w:val="nil"/>
              <w:left w:val="single" w:sz="4" w:space="0" w:color="auto"/>
              <w:bottom w:val="single" w:sz="4" w:space="0" w:color="auto"/>
              <w:right w:val="single" w:sz="4" w:space="0" w:color="auto"/>
            </w:tcBorders>
            <w:noWrap/>
            <w:tcMar>
              <w:left w:w="115" w:type="dxa"/>
              <w:right w:w="432" w:type="dxa"/>
            </w:tcMar>
          </w:tcPr>
          <w:p w14:paraId="01818F8C" w14:textId="77777777" w:rsidR="00A8017F" w:rsidRPr="005E2E96" w:rsidRDefault="00A8017F" w:rsidP="009A3176">
            <w:pPr>
              <w:jc w:val="right"/>
              <w:rPr>
                <w:color w:val="000000"/>
                <w:sz w:val="20"/>
                <w:szCs w:val="20"/>
                <w:lang w:val="en-CA"/>
              </w:rPr>
            </w:pPr>
            <w:r w:rsidRPr="005E2E96">
              <w:rPr>
                <w:sz w:val="20"/>
                <w:szCs w:val="20"/>
              </w:rPr>
              <w:t>120,415</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626CB171" w14:textId="7F4E4819" w:rsidR="00A8017F" w:rsidRPr="005E2E96" w:rsidRDefault="00A8017F" w:rsidP="009A3176">
            <w:pPr>
              <w:jc w:val="right"/>
              <w:rPr>
                <w:sz w:val="20"/>
                <w:szCs w:val="20"/>
                <w:lang w:val="en-CA"/>
              </w:rPr>
            </w:pPr>
            <w:r w:rsidRPr="005E2E96">
              <w:rPr>
                <w:sz w:val="20"/>
                <w:szCs w:val="20"/>
              </w:rPr>
              <w:t>25</w:t>
            </w:r>
          </w:p>
        </w:tc>
      </w:tr>
      <w:tr w:rsidR="00A8017F" w:rsidRPr="005E2E96" w14:paraId="2B537C67" w14:textId="77777777" w:rsidTr="001C2670">
        <w:tc>
          <w:tcPr>
            <w:tcW w:w="1250" w:type="pct"/>
            <w:tcBorders>
              <w:top w:val="nil"/>
              <w:left w:val="single" w:sz="4" w:space="0" w:color="auto"/>
              <w:bottom w:val="single" w:sz="4" w:space="0" w:color="auto"/>
              <w:right w:val="single" w:sz="4" w:space="0" w:color="auto"/>
            </w:tcBorders>
            <w:noWrap/>
            <w:vAlign w:val="center"/>
            <w:hideMark/>
          </w:tcPr>
          <w:p w14:paraId="7A88B15A" w14:textId="77777777" w:rsidR="00A8017F" w:rsidRPr="005E2E96" w:rsidRDefault="00A8017F" w:rsidP="009A3176">
            <w:pPr>
              <w:jc w:val="left"/>
              <w:rPr>
                <w:bCs/>
                <w:color w:val="000000"/>
                <w:sz w:val="20"/>
                <w:szCs w:val="20"/>
                <w:lang w:val="en-CA" w:eastAsia="en-CA"/>
              </w:rPr>
            </w:pPr>
            <w:r w:rsidRPr="005E2E96">
              <w:rPr>
                <w:bCs/>
                <w:color w:val="000000"/>
                <w:sz w:val="20"/>
                <w:szCs w:val="20"/>
                <w:lang w:val="en-CA" w:eastAsia="en-CA"/>
              </w:rPr>
              <w:t xml:space="preserve">UNEP </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14:paraId="6908BA29" w14:textId="77777777" w:rsidR="00A8017F" w:rsidRPr="005E2E96" w:rsidRDefault="00A8017F" w:rsidP="009A3176">
            <w:pPr>
              <w:jc w:val="right"/>
              <w:rPr>
                <w:color w:val="000000"/>
                <w:sz w:val="20"/>
                <w:szCs w:val="20"/>
                <w:lang w:val="en-CA"/>
              </w:rPr>
            </w:pPr>
            <w:r w:rsidRPr="005E2E96">
              <w:rPr>
                <w:sz w:val="20"/>
                <w:szCs w:val="20"/>
              </w:rPr>
              <w:t>200,000</w:t>
            </w:r>
          </w:p>
        </w:tc>
        <w:tc>
          <w:tcPr>
            <w:tcW w:w="1250" w:type="pct"/>
            <w:tcBorders>
              <w:top w:val="nil"/>
              <w:left w:val="single" w:sz="4" w:space="0" w:color="auto"/>
              <w:bottom w:val="single" w:sz="4" w:space="0" w:color="auto"/>
              <w:right w:val="single" w:sz="4" w:space="0" w:color="auto"/>
            </w:tcBorders>
            <w:noWrap/>
            <w:tcMar>
              <w:left w:w="115" w:type="dxa"/>
              <w:right w:w="432" w:type="dxa"/>
            </w:tcMar>
          </w:tcPr>
          <w:p w14:paraId="0EDAA977" w14:textId="77777777" w:rsidR="00A8017F" w:rsidRPr="005E2E96" w:rsidRDefault="00A8017F" w:rsidP="009A3176">
            <w:pPr>
              <w:jc w:val="right"/>
              <w:rPr>
                <w:color w:val="000000"/>
                <w:sz w:val="20"/>
                <w:szCs w:val="20"/>
                <w:lang w:val="en-CA"/>
              </w:rPr>
            </w:pPr>
            <w:r w:rsidRPr="005E2E96">
              <w:rPr>
                <w:sz w:val="20"/>
                <w:szCs w:val="20"/>
              </w:rPr>
              <w:t>72,956</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75A3E34A" w14:textId="74257444" w:rsidR="00A8017F" w:rsidRPr="005E2E96" w:rsidRDefault="00A8017F" w:rsidP="009A3176">
            <w:pPr>
              <w:jc w:val="right"/>
              <w:rPr>
                <w:color w:val="000000"/>
                <w:sz w:val="20"/>
                <w:szCs w:val="20"/>
                <w:lang w:val="en-CA"/>
              </w:rPr>
            </w:pPr>
            <w:r w:rsidRPr="005E2E96">
              <w:rPr>
                <w:sz w:val="20"/>
                <w:szCs w:val="20"/>
              </w:rPr>
              <w:t>36</w:t>
            </w:r>
          </w:p>
        </w:tc>
      </w:tr>
      <w:tr w:rsidR="00A8017F" w:rsidRPr="005E2E96" w14:paraId="475DD0D2" w14:textId="77777777" w:rsidTr="001C2670">
        <w:tc>
          <w:tcPr>
            <w:tcW w:w="1250" w:type="pct"/>
            <w:tcBorders>
              <w:top w:val="nil"/>
              <w:left w:val="single" w:sz="4" w:space="0" w:color="auto"/>
              <w:bottom w:val="single" w:sz="4" w:space="0" w:color="auto"/>
              <w:right w:val="single" w:sz="4" w:space="0" w:color="auto"/>
            </w:tcBorders>
            <w:noWrap/>
            <w:vAlign w:val="center"/>
            <w:hideMark/>
          </w:tcPr>
          <w:p w14:paraId="3CD85243" w14:textId="77777777" w:rsidR="00A8017F" w:rsidRPr="005E2E96" w:rsidRDefault="00A8017F" w:rsidP="009A3176">
            <w:pPr>
              <w:jc w:val="left"/>
              <w:rPr>
                <w:bCs/>
                <w:color w:val="000000"/>
                <w:sz w:val="20"/>
                <w:szCs w:val="20"/>
                <w:lang w:val="en-CA" w:eastAsia="en-CA"/>
              </w:rPr>
            </w:pPr>
            <w:r w:rsidRPr="005E2E96">
              <w:rPr>
                <w:bCs/>
                <w:color w:val="000000"/>
                <w:sz w:val="20"/>
                <w:szCs w:val="20"/>
                <w:lang w:val="en-CA" w:eastAsia="en-CA"/>
              </w:rPr>
              <w:t>Government of Germany</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14:paraId="51D89BD2" w14:textId="77777777" w:rsidR="00A8017F" w:rsidRPr="005E2E96" w:rsidRDefault="00A8017F" w:rsidP="009A3176">
            <w:pPr>
              <w:jc w:val="right"/>
              <w:rPr>
                <w:color w:val="000000"/>
                <w:sz w:val="20"/>
                <w:szCs w:val="20"/>
                <w:lang w:val="en-CA"/>
              </w:rPr>
            </w:pPr>
            <w:r w:rsidRPr="005E2E96">
              <w:rPr>
                <w:sz w:val="20"/>
                <w:szCs w:val="20"/>
              </w:rPr>
              <w:t>645,500</w:t>
            </w:r>
          </w:p>
        </w:tc>
        <w:tc>
          <w:tcPr>
            <w:tcW w:w="1250" w:type="pct"/>
            <w:tcBorders>
              <w:top w:val="nil"/>
              <w:left w:val="single" w:sz="4" w:space="0" w:color="auto"/>
              <w:bottom w:val="single" w:sz="4" w:space="0" w:color="auto"/>
              <w:right w:val="single" w:sz="4" w:space="0" w:color="auto"/>
            </w:tcBorders>
            <w:noWrap/>
            <w:tcMar>
              <w:left w:w="115" w:type="dxa"/>
              <w:right w:w="432" w:type="dxa"/>
            </w:tcMar>
          </w:tcPr>
          <w:p w14:paraId="7DDEAC10" w14:textId="77777777" w:rsidR="00A8017F" w:rsidRPr="005E2E96" w:rsidRDefault="00A8017F" w:rsidP="009A3176">
            <w:pPr>
              <w:jc w:val="right"/>
              <w:rPr>
                <w:color w:val="000000"/>
                <w:sz w:val="20"/>
                <w:szCs w:val="20"/>
                <w:lang w:val="en-CA"/>
              </w:rPr>
            </w:pPr>
            <w:r w:rsidRPr="005E2E96">
              <w:rPr>
                <w:sz w:val="20"/>
                <w:szCs w:val="20"/>
              </w:rPr>
              <w:t>369,556</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627BEDC7" w14:textId="114DD5F3" w:rsidR="00A8017F" w:rsidRPr="005E2E96" w:rsidRDefault="00A8017F" w:rsidP="009A3176">
            <w:pPr>
              <w:jc w:val="right"/>
              <w:rPr>
                <w:sz w:val="20"/>
                <w:szCs w:val="20"/>
                <w:lang w:val="en-CA"/>
              </w:rPr>
            </w:pPr>
            <w:r w:rsidRPr="005E2E96">
              <w:rPr>
                <w:sz w:val="20"/>
                <w:szCs w:val="20"/>
              </w:rPr>
              <w:t>57</w:t>
            </w:r>
          </w:p>
        </w:tc>
      </w:tr>
      <w:tr w:rsidR="00A8017F" w:rsidRPr="005E2E96" w14:paraId="77A39CC6" w14:textId="77777777" w:rsidTr="001C2670">
        <w:tc>
          <w:tcPr>
            <w:tcW w:w="1250" w:type="pct"/>
            <w:tcBorders>
              <w:top w:val="nil"/>
              <w:left w:val="single" w:sz="4" w:space="0" w:color="auto"/>
              <w:bottom w:val="single" w:sz="4" w:space="0" w:color="auto"/>
              <w:right w:val="single" w:sz="4" w:space="0" w:color="auto"/>
            </w:tcBorders>
            <w:noWrap/>
            <w:vAlign w:val="center"/>
          </w:tcPr>
          <w:p w14:paraId="7520E6D8" w14:textId="77777777" w:rsidR="00A8017F" w:rsidRPr="005E2E96" w:rsidRDefault="00A8017F" w:rsidP="009A3176">
            <w:pPr>
              <w:jc w:val="left"/>
              <w:rPr>
                <w:bCs/>
                <w:color w:val="000000"/>
                <w:sz w:val="20"/>
                <w:szCs w:val="20"/>
                <w:lang w:val="en-CA" w:eastAsia="en-CA"/>
              </w:rPr>
            </w:pPr>
            <w:r w:rsidRPr="005E2E96">
              <w:rPr>
                <w:bCs/>
                <w:color w:val="000000"/>
                <w:sz w:val="20"/>
                <w:szCs w:val="20"/>
                <w:lang w:val="en-CA" w:eastAsia="en-CA"/>
              </w:rPr>
              <w:t>Government of Italy</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14:paraId="0A44F584" w14:textId="77777777" w:rsidR="00A8017F" w:rsidRPr="005E2E96" w:rsidRDefault="00A8017F" w:rsidP="009A3176">
            <w:pPr>
              <w:jc w:val="right"/>
              <w:rPr>
                <w:color w:val="000000"/>
                <w:sz w:val="20"/>
                <w:szCs w:val="20"/>
                <w:lang w:val="en-CA"/>
              </w:rPr>
            </w:pPr>
            <w:r w:rsidRPr="005E2E96">
              <w:rPr>
                <w:sz w:val="20"/>
                <w:szCs w:val="20"/>
              </w:rPr>
              <w:t>403,203</w:t>
            </w:r>
          </w:p>
        </w:tc>
        <w:tc>
          <w:tcPr>
            <w:tcW w:w="1250" w:type="pct"/>
            <w:tcBorders>
              <w:top w:val="nil"/>
              <w:left w:val="single" w:sz="4" w:space="0" w:color="auto"/>
              <w:bottom w:val="single" w:sz="4" w:space="0" w:color="auto"/>
              <w:right w:val="single" w:sz="4" w:space="0" w:color="auto"/>
            </w:tcBorders>
            <w:noWrap/>
            <w:tcMar>
              <w:left w:w="115" w:type="dxa"/>
              <w:right w:w="432" w:type="dxa"/>
            </w:tcMar>
          </w:tcPr>
          <w:p w14:paraId="128B84F9" w14:textId="77777777" w:rsidR="00A8017F" w:rsidRPr="005E2E96" w:rsidRDefault="00A8017F" w:rsidP="009A3176">
            <w:pPr>
              <w:jc w:val="right"/>
              <w:rPr>
                <w:sz w:val="20"/>
                <w:szCs w:val="20"/>
                <w:lang w:val="en-CA"/>
              </w:rPr>
            </w:pPr>
            <w:r w:rsidRPr="005E2E96">
              <w:rPr>
                <w:sz w:val="20"/>
                <w:szCs w:val="20"/>
              </w:rPr>
              <w:t>16,517</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0D790AE5" w14:textId="6B824C34" w:rsidR="00A8017F" w:rsidRPr="005E2E96" w:rsidRDefault="00A8017F" w:rsidP="009A3176">
            <w:pPr>
              <w:jc w:val="right"/>
              <w:rPr>
                <w:sz w:val="20"/>
                <w:szCs w:val="20"/>
                <w:lang w:val="en-CA"/>
              </w:rPr>
            </w:pPr>
            <w:r w:rsidRPr="005E2E96">
              <w:rPr>
                <w:sz w:val="20"/>
                <w:szCs w:val="20"/>
              </w:rPr>
              <w:t>4</w:t>
            </w:r>
          </w:p>
        </w:tc>
      </w:tr>
      <w:tr w:rsidR="00A8017F" w:rsidRPr="005E2E96" w14:paraId="3360B5D0" w14:textId="77777777" w:rsidTr="001C2670">
        <w:tc>
          <w:tcPr>
            <w:tcW w:w="1250" w:type="pct"/>
            <w:tcBorders>
              <w:top w:val="nil"/>
              <w:left w:val="single" w:sz="4" w:space="0" w:color="auto"/>
              <w:bottom w:val="single" w:sz="4" w:space="0" w:color="auto"/>
              <w:right w:val="single" w:sz="4" w:space="0" w:color="auto"/>
            </w:tcBorders>
            <w:noWrap/>
            <w:vAlign w:val="center"/>
            <w:hideMark/>
          </w:tcPr>
          <w:p w14:paraId="5AC250DD" w14:textId="77777777" w:rsidR="00A8017F" w:rsidRPr="005E2E96" w:rsidRDefault="00A8017F" w:rsidP="009A3176">
            <w:pPr>
              <w:jc w:val="left"/>
              <w:rPr>
                <w:b/>
                <w:bCs/>
                <w:color w:val="000000"/>
                <w:sz w:val="20"/>
                <w:szCs w:val="20"/>
                <w:lang w:val="en-CA" w:eastAsia="en-CA"/>
              </w:rPr>
            </w:pPr>
            <w:r w:rsidRPr="005E2E96">
              <w:rPr>
                <w:b/>
                <w:bCs/>
                <w:color w:val="000000"/>
                <w:sz w:val="20"/>
                <w:szCs w:val="20"/>
                <w:lang w:val="en-CA" w:eastAsia="en-CA"/>
              </w:rPr>
              <w:t>Total</w:t>
            </w:r>
          </w:p>
        </w:tc>
        <w:tc>
          <w:tcPr>
            <w:tcW w:w="1250" w:type="pct"/>
            <w:tcBorders>
              <w:top w:val="single" w:sz="4" w:space="0" w:color="auto"/>
              <w:left w:val="single" w:sz="4" w:space="0" w:color="auto"/>
              <w:bottom w:val="single" w:sz="4" w:space="0" w:color="auto"/>
              <w:right w:val="single" w:sz="4" w:space="0" w:color="auto"/>
            </w:tcBorders>
            <w:tcMar>
              <w:left w:w="115" w:type="dxa"/>
              <w:right w:w="432" w:type="dxa"/>
            </w:tcMar>
          </w:tcPr>
          <w:p w14:paraId="6BA50EB7" w14:textId="77777777" w:rsidR="00A8017F" w:rsidRPr="005E2E96" w:rsidRDefault="00A8017F" w:rsidP="009A3176">
            <w:pPr>
              <w:jc w:val="right"/>
              <w:rPr>
                <w:b/>
                <w:bCs/>
                <w:color w:val="000000"/>
                <w:sz w:val="20"/>
                <w:szCs w:val="20"/>
                <w:lang w:val="en-CA"/>
              </w:rPr>
            </w:pPr>
            <w:r w:rsidRPr="005E2E96">
              <w:rPr>
                <w:b/>
                <w:sz w:val="20"/>
                <w:szCs w:val="20"/>
              </w:rPr>
              <w:t>3,020,440</w:t>
            </w:r>
          </w:p>
        </w:tc>
        <w:tc>
          <w:tcPr>
            <w:tcW w:w="1250" w:type="pct"/>
            <w:tcBorders>
              <w:top w:val="nil"/>
              <w:left w:val="single" w:sz="4" w:space="0" w:color="auto"/>
              <w:bottom w:val="single" w:sz="4" w:space="0" w:color="auto"/>
              <w:right w:val="single" w:sz="4" w:space="0" w:color="auto"/>
            </w:tcBorders>
            <w:noWrap/>
            <w:tcMar>
              <w:left w:w="115" w:type="dxa"/>
              <w:right w:w="432" w:type="dxa"/>
            </w:tcMar>
          </w:tcPr>
          <w:p w14:paraId="363279EB" w14:textId="77777777" w:rsidR="00A8017F" w:rsidRPr="005E2E96" w:rsidRDefault="00A8017F" w:rsidP="009A3176">
            <w:pPr>
              <w:jc w:val="right"/>
              <w:rPr>
                <w:b/>
                <w:color w:val="000000"/>
                <w:sz w:val="20"/>
                <w:szCs w:val="20"/>
                <w:lang w:val="en-CA"/>
              </w:rPr>
            </w:pPr>
            <w:r w:rsidRPr="005E2E96">
              <w:rPr>
                <w:b/>
                <w:sz w:val="20"/>
                <w:szCs w:val="20"/>
              </w:rPr>
              <w:t>1,243,495</w:t>
            </w:r>
          </w:p>
        </w:tc>
        <w:tc>
          <w:tcPr>
            <w:tcW w:w="1250" w:type="pct"/>
            <w:tcBorders>
              <w:top w:val="nil"/>
              <w:left w:val="single" w:sz="4" w:space="0" w:color="auto"/>
              <w:bottom w:val="single" w:sz="4" w:space="0" w:color="auto"/>
              <w:right w:val="single" w:sz="4" w:space="0" w:color="auto"/>
            </w:tcBorders>
            <w:tcMar>
              <w:left w:w="115" w:type="dxa"/>
              <w:right w:w="864" w:type="dxa"/>
            </w:tcMar>
          </w:tcPr>
          <w:p w14:paraId="497BF487" w14:textId="0EF17309" w:rsidR="00A8017F" w:rsidRPr="005E2E96" w:rsidRDefault="00A8017F" w:rsidP="009A3176">
            <w:pPr>
              <w:jc w:val="right"/>
              <w:rPr>
                <w:b/>
                <w:color w:val="000000"/>
                <w:sz w:val="20"/>
                <w:szCs w:val="20"/>
                <w:lang w:val="en-CA"/>
              </w:rPr>
            </w:pPr>
            <w:r w:rsidRPr="005E2E96">
              <w:rPr>
                <w:b/>
                <w:sz w:val="20"/>
                <w:szCs w:val="20"/>
              </w:rPr>
              <w:t>41</w:t>
            </w:r>
          </w:p>
        </w:tc>
      </w:tr>
    </w:tbl>
    <w:p w14:paraId="202BAD14" w14:textId="77777777" w:rsidR="00A8017F" w:rsidRPr="005E2E96" w:rsidRDefault="00A8017F" w:rsidP="009A3176">
      <w:pPr>
        <w:rPr>
          <w:b/>
          <w:sz w:val="20"/>
          <w:szCs w:val="20"/>
          <w:lang w:val="en-CA"/>
        </w:rPr>
      </w:pPr>
    </w:p>
    <w:p w14:paraId="31EC2346" w14:textId="77777777" w:rsidR="000E0964" w:rsidRPr="005E2E96" w:rsidRDefault="000E0964" w:rsidP="009A3176">
      <w:pPr>
        <w:rPr>
          <w:u w:val="single"/>
          <w:lang w:val="en-CA"/>
        </w:rPr>
      </w:pPr>
      <w:r w:rsidRPr="005E2E96">
        <w:rPr>
          <w:u w:val="single"/>
          <w:lang w:val="en-CA"/>
        </w:rPr>
        <w:t>Implementation plan for the second tranche of the HPMP</w:t>
      </w:r>
    </w:p>
    <w:p w14:paraId="4B11EFC6" w14:textId="77777777" w:rsidR="000E0964" w:rsidRPr="005E2E96" w:rsidRDefault="000E0964" w:rsidP="009A3176">
      <w:pPr>
        <w:rPr>
          <w:lang w:val="en-CA"/>
        </w:rPr>
      </w:pPr>
    </w:p>
    <w:p w14:paraId="0A285361" w14:textId="77777777" w:rsidR="000E0964" w:rsidRPr="005E2E96" w:rsidRDefault="000E0964" w:rsidP="009A3176">
      <w:pPr>
        <w:pStyle w:val="Heading1"/>
        <w:rPr>
          <w:lang w:val="en-CA"/>
        </w:rPr>
      </w:pPr>
      <w:r w:rsidRPr="005E2E96">
        <w:rPr>
          <w:lang w:val="en-CA"/>
        </w:rPr>
        <w:t>The following activities will be implemented between January 2020 and December 2021:</w:t>
      </w:r>
    </w:p>
    <w:p w14:paraId="4813588D" w14:textId="77777777" w:rsidR="000E0964" w:rsidRPr="005E2E96" w:rsidRDefault="000E0964" w:rsidP="009A3176">
      <w:pPr>
        <w:pStyle w:val="Heading2"/>
        <w:numPr>
          <w:ilvl w:val="0"/>
          <w:numId w:val="0"/>
        </w:numPr>
        <w:ind w:left="1440" w:hanging="720"/>
        <w:rPr>
          <w:i/>
          <w:lang w:val="en-CA"/>
        </w:rPr>
      </w:pPr>
      <w:r w:rsidRPr="005E2E96">
        <w:rPr>
          <w:i/>
          <w:lang w:val="en-CA"/>
        </w:rPr>
        <w:t xml:space="preserve">PU foam </w:t>
      </w:r>
    </w:p>
    <w:p w14:paraId="2938E86C" w14:textId="509A1368" w:rsidR="000E0964" w:rsidRPr="005E2E96" w:rsidRDefault="00E679DF" w:rsidP="009A3176">
      <w:pPr>
        <w:pStyle w:val="Heading2"/>
        <w:rPr>
          <w:lang w:val="en-CA"/>
        </w:rPr>
      </w:pPr>
      <w:r w:rsidRPr="005E2E96">
        <w:rPr>
          <w:lang w:val="en-CA"/>
        </w:rPr>
        <w:t>Complete the</w:t>
      </w:r>
      <w:r w:rsidR="000E0964" w:rsidRPr="005E2E96">
        <w:rPr>
          <w:lang w:val="en-CA"/>
        </w:rPr>
        <w:t xml:space="preserve"> conversion of three individual </w:t>
      </w:r>
      <w:r w:rsidR="00BF620D" w:rsidRPr="005E2E96">
        <w:rPr>
          <w:lang w:val="en-CA"/>
        </w:rPr>
        <w:t xml:space="preserve">foam </w:t>
      </w:r>
      <w:r w:rsidR="000E0964" w:rsidRPr="005E2E96">
        <w:rPr>
          <w:lang w:val="en-CA"/>
        </w:rPr>
        <w:t xml:space="preserve">enterprises </w:t>
      </w:r>
      <w:r w:rsidR="00D461FF" w:rsidRPr="005E2E96">
        <w:rPr>
          <w:lang w:val="en-CA"/>
        </w:rPr>
        <w:t>(6.85</w:t>
      </w:r>
      <w:r w:rsidR="00E532B1" w:rsidRPr="005E2E96">
        <w:rPr>
          <w:lang w:val="en-CA"/>
        </w:rPr>
        <w:t> ODP t</w:t>
      </w:r>
      <w:r w:rsidR="00D461FF" w:rsidRPr="005E2E96">
        <w:rPr>
          <w:lang w:val="en-CA"/>
        </w:rPr>
        <w:t>onnes)</w:t>
      </w:r>
      <w:r w:rsidR="00BF620D" w:rsidRPr="005E2E96">
        <w:rPr>
          <w:lang w:val="en-CA"/>
        </w:rPr>
        <w:t>;</w:t>
      </w:r>
      <w:r w:rsidR="000E0964" w:rsidRPr="005E2E96">
        <w:rPr>
          <w:lang w:val="en-CA"/>
        </w:rPr>
        <w:t xml:space="preserve"> </w:t>
      </w:r>
      <w:r w:rsidRPr="005E2E96">
        <w:rPr>
          <w:lang w:val="en-CA"/>
        </w:rPr>
        <w:t xml:space="preserve">initiate </w:t>
      </w:r>
      <w:r w:rsidR="000E0964" w:rsidRPr="005E2E96">
        <w:rPr>
          <w:lang w:val="en-CA"/>
        </w:rPr>
        <w:t>of the conversion of another three</w:t>
      </w:r>
      <w:r w:rsidR="00D461FF" w:rsidRPr="005E2E96">
        <w:rPr>
          <w:lang w:val="en-CA"/>
        </w:rPr>
        <w:t xml:space="preserve"> (10.75</w:t>
      </w:r>
      <w:r w:rsidR="00E532B1" w:rsidRPr="005E2E96">
        <w:rPr>
          <w:lang w:val="en-CA"/>
        </w:rPr>
        <w:t> ODP t</w:t>
      </w:r>
      <w:r w:rsidR="00D461FF" w:rsidRPr="005E2E96">
        <w:rPr>
          <w:lang w:val="en-CA"/>
        </w:rPr>
        <w:t>onnes)</w:t>
      </w:r>
      <w:r w:rsidR="00BF620D" w:rsidRPr="005E2E96">
        <w:rPr>
          <w:lang w:val="en-CA"/>
        </w:rPr>
        <w:t>; and</w:t>
      </w:r>
      <w:r w:rsidR="000E0964" w:rsidRPr="005E2E96">
        <w:rPr>
          <w:lang w:val="en-CA"/>
        </w:rPr>
        <w:t xml:space="preserve"> </w:t>
      </w:r>
      <w:r w:rsidRPr="005E2E96">
        <w:rPr>
          <w:lang w:val="en-CA"/>
        </w:rPr>
        <w:t xml:space="preserve">procure </w:t>
      </w:r>
      <w:r w:rsidR="000E0964" w:rsidRPr="005E2E96">
        <w:rPr>
          <w:lang w:val="en-CA"/>
        </w:rPr>
        <w:t>equipment</w:t>
      </w:r>
      <w:r w:rsidR="00001970" w:rsidRPr="005E2E96">
        <w:rPr>
          <w:lang w:val="en-CA"/>
        </w:rPr>
        <w:t xml:space="preserve"> </w:t>
      </w:r>
      <w:r w:rsidRPr="005E2E96">
        <w:rPr>
          <w:lang w:val="en-CA"/>
        </w:rPr>
        <w:t>to complete</w:t>
      </w:r>
      <w:r w:rsidR="000E0964" w:rsidRPr="005E2E96">
        <w:rPr>
          <w:lang w:val="en-CA"/>
        </w:rPr>
        <w:t xml:space="preserve"> the conversion of 26 enterprises in the group project (UNIDO)</w:t>
      </w:r>
      <w:r w:rsidR="00756761" w:rsidRPr="005E2E96">
        <w:rPr>
          <w:lang w:val="en-CA"/>
        </w:rPr>
        <w:t xml:space="preserve"> </w:t>
      </w:r>
      <w:r w:rsidR="000E0964" w:rsidRPr="005E2E96">
        <w:rPr>
          <w:lang w:val="en-CA"/>
        </w:rPr>
        <w:t>(</w:t>
      </w:r>
      <w:r w:rsidR="00687BDF" w:rsidRPr="005E2E96">
        <w:rPr>
          <w:lang w:val="en-CA"/>
        </w:rPr>
        <w:t>US $</w:t>
      </w:r>
      <w:r w:rsidR="000E0964" w:rsidRPr="005E2E96">
        <w:rPr>
          <w:lang w:val="en-CA"/>
        </w:rPr>
        <w:t>428,000), (Government of Italy)</w:t>
      </w:r>
      <w:r w:rsidR="00756761" w:rsidRPr="005E2E96">
        <w:rPr>
          <w:lang w:val="en-CA"/>
        </w:rPr>
        <w:t xml:space="preserve"> </w:t>
      </w:r>
      <w:r w:rsidR="000E0964" w:rsidRPr="005E2E96">
        <w:rPr>
          <w:lang w:val="en-CA"/>
        </w:rPr>
        <w:t>(</w:t>
      </w:r>
      <w:r w:rsidR="00687BDF" w:rsidRPr="005E2E96">
        <w:rPr>
          <w:lang w:val="en-CA"/>
        </w:rPr>
        <w:t>US $</w:t>
      </w:r>
      <w:r w:rsidR="000E0964" w:rsidRPr="005E2E96">
        <w:rPr>
          <w:lang w:val="en-CA"/>
        </w:rPr>
        <w:t>504,004);</w:t>
      </w:r>
    </w:p>
    <w:p w14:paraId="073950DA" w14:textId="359A9861" w:rsidR="000E0964" w:rsidRPr="005E2E96" w:rsidRDefault="00E679DF" w:rsidP="009A3176">
      <w:pPr>
        <w:pStyle w:val="Heading2"/>
        <w:rPr>
          <w:lang w:val="en-CA"/>
        </w:rPr>
      </w:pPr>
      <w:r w:rsidRPr="005E2E96">
        <w:rPr>
          <w:lang w:val="en-CA"/>
        </w:rPr>
        <w:t xml:space="preserve"> Complete the</w:t>
      </w:r>
      <w:r w:rsidR="000E0964" w:rsidRPr="005E2E96">
        <w:rPr>
          <w:lang w:val="en-CA"/>
        </w:rPr>
        <w:t xml:space="preserve"> conversion of 15 enterprises in the</w:t>
      </w:r>
      <w:r w:rsidR="00821DEF" w:rsidRPr="005E2E96">
        <w:rPr>
          <w:lang w:val="en-CA"/>
        </w:rPr>
        <w:t xml:space="preserve"> group project;</w:t>
      </w:r>
      <w:r w:rsidR="000E0964" w:rsidRPr="005E2E96">
        <w:rPr>
          <w:lang w:val="en-CA"/>
        </w:rPr>
        <w:t xml:space="preserve"> procure</w:t>
      </w:r>
      <w:r w:rsidR="00821DEF" w:rsidRPr="005E2E96">
        <w:rPr>
          <w:lang w:val="en-CA"/>
        </w:rPr>
        <w:t xml:space="preserve"> </w:t>
      </w:r>
      <w:r w:rsidR="00365809" w:rsidRPr="005E2E96">
        <w:rPr>
          <w:lang w:val="en-CA"/>
        </w:rPr>
        <w:t xml:space="preserve">and install the equipment </w:t>
      </w:r>
      <w:r w:rsidRPr="005E2E96">
        <w:rPr>
          <w:lang w:val="en-CA"/>
        </w:rPr>
        <w:t xml:space="preserve">in </w:t>
      </w:r>
      <w:r w:rsidR="00821DEF" w:rsidRPr="005E2E96">
        <w:rPr>
          <w:lang w:val="en-CA"/>
        </w:rPr>
        <w:t>the systems house;</w:t>
      </w:r>
      <w:r w:rsidR="000E0964" w:rsidRPr="005E2E96">
        <w:rPr>
          <w:lang w:val="en-CA"/>
        </w:rPr>
        <w:t xml:space="preserve"> </w:t>
      </w:r>
      <w:r w:rsidR="00D461FF" w:rsidRPr="005E2E96">
        <w:rPr>
          <w:lang w:val="en-CA"/>
        </w:rPr>
        <w:t xml:space="preserve">and </w:t>
      </w:r>
      <w:r w:rsidR="000E0964" w:rsidRPr="005E2E96">
        <w:rPr>
          <w:lang w:val="en-CA"/>
        </w:rPr>
        <w:t>procure</w:t>
      </w:r>
      <w:r w:rsidR="00743742" w:rsidRPr="005E2E96">
        <w:rPr>
          <w:lang w:val="en-CA"/>
        </w:rPr>
        <w:t xml:space="preserve"> </w:t>
      </w:r>
      <w:r w:rsidR="00365809" w:rsidRPr="005E2E96">
        <w:rPr>
          <w:lang w:val="en-CA"/>
        </w:rPr>
        <w:t xml:space="preserve">and </w:t>
      </w:r>
      <w:r w:rsidRPr="005E2E96">
        <w:rPr>
          <w:lang w:val="en-CA"/>
        </w:rPr>
        <w:t>install</w:t>
      </w:r>
      <w:r w:rsidR="00365809" w:rsidRPr="005E2E96">
        <w:rPr>
          <w:lang w:val="en-CA"/>
        </w:rPr>
        <w:t xml:space="preserve"> equipment </w:t>
      </w:r>
      <w:r w:rsidR="000E0964" w:rsidRPr="005E2E96">
        <w:rPr>
          <w:lang w:val="en-CA"/>
        </w:rPr>
        <w:t>for three individual enterprises</w:t>
      </w:r>
      <w:r w:rsidR="00D461FF" w:rsidRPr="005E2E96">
        <w:rPr>
          <w:lang w:val="en-CA"/>
        </w:rPr>
        <w:t xml:space="preserve"> (6.11</w:t>
      </w:r>
      <w:r w:rsidR="00E532B1" w:rsidRPr="005E2E96">
        <w:rPr>
          <w:lang w:val="en-CA"/>
        </w:rPr>
        <w:t> ODP t</w:t>
      </w:r>
      <w:r w:rsidR="00D461FF" w:rsidRPr="005E2E96">
        <w:rPr>
          <w:lang w:val="en-CA"/>
        </w:rPr>
        <w:t>onnes)</w:t>
      </w:r>
      <w:r w:rsidR="000E0964" w:rsidRPr="005E2E96">
        <w:rPr>
          <w:lang w:val="en-CA"/>
        </w:rPr>
        <w:t xml:space="preserve"> (UNDP)</w:t>
      </w:r>
      <w:r w:rsidR="00756761" w:rsidRPr="005E2E96">
        <w:rPr>
          <w:lang w:val="en-CA"/>
        </w:rPr>
        <w:t xml:space="preserve"> </w:t>
      </w:r>
      <w:r w:rsidR="000E0964" w:rsidRPr="005E2E96">
        <w:rPr>
          <w:lang w:val="en-CA"/>
        </w:rPr>
        <w:t>(</w:t>
      </w:r>
      <w:r w:rsidR="00687BDF" w:rsidRPr="005E2E96">
        <w:rPr>
          <w:lang w:val="en-CA"/>
        </w:rPr>
        <w:t>US $</w:t>
      </w:r>
      <w:r w:rsidR="00820440" w:rsidRPr="005E2E96">
        <w:rPr>
          <w:lang w:val="en-CA"/>
        </w:rPr>
        <w:t>541,771</w:t>
      </w:r>
      <w:r w:rsidR="000E0964" w:rsidRPr="005E2E96">
        <w:rPr>
          <w:lang w:val="en-CA"/>
        </w:rPr>
        <w:t xml:space="preserve">); </w:t>
      </w:r>
    </w:p>
    <w:p w14:paraId="3CDF77F6" w14:textId="2482091F" w:rsidR="000E0964" w:rsidRPr="005E2E96" w:rsidRDefault="00E679DF" w:rsidP="009A3176">
      <w:pPr>
        <w:pStyle w:val="Heading2"/>
        <w:rPr>
          <w:lang w:val="en-CA"/>
        </w:rPr>
      </w:pPr>
      <w:r w:rsidRPr="005E2E96">
        <w:rPr>
          <w:lang w:val="en-CA"/>
        </w:rPr>
        <w:t>Complete</w:t>
      </w:r>
      <w:r w:rsidR="000E0964" w:rsidRPr="005E2E96">
        <w:rPr>
          <w:lang w:val="en-CA"/>
        </w:rPr>
        <w:t xml:space="preserve"> the conversion of two integral skin </w:t>
      </w:r>
      <w:r w:rsidR="00365809" w:rsidRPr="005E2E96">
        <w:rPr>
          <w:lang w:val="en-CA"/>
        </w:rPr>
        <w:t xml:space="preserve">foam </w:t>
      </w:r>
      <w:r w:rsidR="000E0964" w:rsidRPr="005E2E96">
        <w:rPr>
          <w:lang w:val="en-CA"/>
        </w:rPr>
        <w:t>enterprises</w:t>
      </w:r>
      <w:r w:rsidR="00821DEF" w:rsidRPr="005E2E96">
        <w:rPr>
          <w:lang w:val="en-CA"/>
        </w:rPr>
        <w:t xml:space="preserve"> (4.29</w:t>
      </w:r>
      <w:r w:rsidR="00E532B1" w:rsidRPr="005E2E96">
        <w:rPr>
          <w:lang w:val="en-CA"/>
        </w:rPr>
        <w:t> ODP t</w:t>
      </w:r>
      <w:r w:rsidR="00821DEF" w:rsidRPr="005E2E96">
        <w:rPr>
          <w:lang w:val="en-CA"/>
        </w:rPr>
        <w:t>onnes)</w:t>
      </w:r>
      <w:r w:rsidR="000E0964" w:rsidRPr="005E2E96">
        <w:rPr>
          <w:lang w:val="en-CA"/>
        </w:rPr>
        <w:t xml:space="preserve"> (</w:t>
      </w:r>
      <w:r w:rsidR="00756761" w:rsidRPr="005E2E96">
        <w:rPr>
          <w:lang w:val="en-CA"/>
        </w:rPr>
        <w:t xml:space="preserve">Government of </w:t>
      </w:r>
      <w:r w:rsidR="000E0964" w:rsidRPr="005E2E96">
        <w:rPr>
          <w:lang w:val="en-CA"/>
        </w:rPr>
        <w:t>Germany)</w:t>
      </w:r>
      <w:r w:rsidR="00756761" w:rsidRPr="005E2E96">
        <w:rPr>
          <w:lang w:val="en-CA"/>
        </w:rPr>
        <w:t xml:space="preserve"> </w:t>
      </w:r>
      <w:r w:rsidR="000E0964" w:rsidRPr="005E2E96">
        <w:rPr>
          <w:lang w:val="en-CA"/>
        </w:rPr>
        <w:t>(</w:t>
      </w:r>
      <w:r w:rsidR="00687BDF" w:rsidRPr="005E2E96">
        <w:rPr>
          <w:lang w:val="en-CA"/>
        </w:rPr>
        <w:t>US $</w:t>
      </w:r>
      <w:r w:rsidR="000E0964" w:rsidRPr="005E2E96">
        <w:rPr>
          <w:lang w:val="en-CA"/>
        </w:rPr>
        <w:t>84,175)</w:t>
      </w:r>
      <w:r w:rsidR="00756761" w:rsidRPr="005E2E96">
        <w:rPr>
          <w:lang w:val="en-CA"/>
        </w:rPr>
        <w:t>;</w:t>
      </w:r>
    </w:p>
    <w:p w14:paraId="6409FE1E" w14:textId="77777777" w:rsidR="000E0964" w:rsidRPr="005E2E96" w:rsidRDefault="000E0964" w:rsidP="009A3176">
      <w:pPr>
        <w:ind w:left="720"/>
        <w:rPr>
          <w:i/>
          <w:lang w:val="en-CA"/>
        </w:rPr>
      </w:pPr>
      <w:r w:rsidRPr="005E2E96">
        <w:rPr>
          <w:i/>
          <w:lang w:val="en-CA"/>
        </w:rPr>
        <w:lastRenderedPageBreak/>
        <w:t xml:space="preserve">Commercial refrigeration </w:t>
      </w:r>
    </w:p>
    <w:p w14:paraId="6E66B85C" w14:textId="77777777" w:rsidR="000E0964" w:rsidRPr="005E2E96" w:rsidRDefault="000E0964" w:rsidP="009A3176">
      <w:pPr>
        <w:ind w:left="720"/>
        <w:rPr>
          <w:lang w:val="en-CA"/>
        </w:rPr>
      </w:pPr>
    </w:p>
    <w:p w14:paraId="75BB9E19" w14:textId="68CDA498" w:rsidR="000E0964" w:rsidRPr="005E2E96" w:rsidRDefault="00E679DF" w:rsidP="00365809">
      <w:pPr>
        <w:pStyle w:val="Heading2"/>
        <w:rPr>
          <w:lang w:val="en-CA"/>
        </w:rPr>
      </w:pPr>
      <w:r w:rsidRPr="005E2E96">
        <w:rPr>
          <w:lang w:val="en-CA"/>
        </w:rPr>
        <w:t xml:space="preserve">Provide commercial refrigeration conversions kits to an </w:t>
      </w:r>
      <w:r w:rsidR="000E0964" w:rsidRPr="005E2E96">
        <w:rPr>
          <w:lang w:val="en-CA"/>
        </w:rPr>
        <w:t>additional 10 enterprises</w:t>
      </w:r>
      <w:r w:rsidR="00365809" w:rsidRPr="005E2E96">
        <w:rPr>
          <w:lang w:val="en-CA"/>
        </w:rPr>
        <w:t xml:space="preserve"> </w:t>
      </w:r>
      <w:r w:rsidRPr="005E2E96">
        <w:rPr>
          <w:lang w:val="en-CA"/>
        </w:rPr>
        <w:t xml:space="preserve">with an associated phase out of 4.89 ODP tonnes of HCFC-22 to complete their conversion </w:t>
      </w:r>
      <w:r w:rsidR="000E0964" w:rsidRPr="005E2E96">
        <w:rPr>
          <w:lang w:val="en-CA"/>
        </w:rPr>
        <w:t>to R</w:t>
      </w:r>
      <w:r w:rsidR="00756761" w:rsidRPr="005E2E96">
        <w:rPr>
          <w:lang w:val="en-CA"/>
        </w:rPr>
        <w:noBreakHyphen/>
        <w:t>290</w:t>
      </w:r>
      <w:r w:rsidR="00756761" w:rsidRPr="005E2E96">
        <w:rPr>
          <w:lang w:val="en-CA"/>
        </w:rPr>
        <w:noBreakHyphen/>
      </w:r>
      <w:r w:rsidR="000E0964" w:rsidRPr="005E2E96">
        <w:rPr>
          <w:lang w:val="en-CA"/>
        </w:rPr>
        <w:t>based technology (UNDP)</w:t>
      </w:r>
      <w:r w:rsidR="00756761" w:rsidRPr="005E2E96">
        <w:rPr>
          <w:lang w:val="en-CA"/>
        </w:rPr>
        <w:t xml:space="preserve"> </w:t>
      </w:r>
      <w:r w:rsidR="000E0964" w:rsidRPr="005E2E96">
        <w:rPr>
          <w:lang w:val="en-CA"/>
        </w:rPr>
        <w:t>(</w:t>
      </w:r>
      <w:r w:rsidR="00687BDF" w:rsidRPr="005E2E96">
        <w:rPr>
          <w:lang w:val="en-CA"/>
        </w:rPr>
        <w:t>US $</w:t>
      </w:r>
      <w:r w:rsidR="000E0964" w:rsidRPr="005E2E96">
        <w:rPr>
          <w:lang w:val="en-CA"/>
        </w:rPr>
        <w:t>636,320);</w:t>
      </w:r>
    </w:p>
    <w:p w14:paraId="39AD2EE0" w14:textId="394DA82A" w:rsidR="000E0964" w:rsidRPr="005E2E96" w:rsidRDefault="00E679DF" w:rsidP="009A3176">
      <w:pPr>
        <w:pStyle w:val="Heading2"/>
        <w:rPr>
          <w:lang w:val="en-CA"/>
        </w:rPr>
      </w:pPr>
      <w:r w:rsidRPr="005E2E96">
        <w:rPr>
          <w:lang w:val="en-CA"/>
        </w:rPr>
        <w:t>Provide t</w:t>
      </w:r>
      <w:r w:rsidR="000E0964" w:rsidRPr="005E2E96">
        <w:rPr>
          <w:lang w:val="en-CA"/>
        </w:rPr>
        <w:t>echnical assistance to the 40 commercial refrigeration enterprises</w:t>
      </w:r>
      <w:r w:rsidR="00821DEF" w:rsidRPr="005E2E96">
        <w:rPr>
          <w:lang w:val="en-CA"/>
        </w:rPr>
        <w:t xml:space="preserve"> with an associated phase out of 43.74</w:t>
      </w:r>
      <w:r w:rsidR="00E532B1" w:rsidRPr="005E2E96">
        <w:rPr>
          <w:lang w:val="en-CA"/>
        </w:rPr>
        <w:t> ODP t</w:t>
      </w:r>
      <w:r w:rsidR="00821DEF" w:rsidRPr="005E2E96">
        <w:rPr>
          <w:lang w:val="en-CA"/>
        </w:rPr>
        <w:t>onnes of HCFC-22</w:t>
      </w:r>
      <w:r w:rsidR="000E0964" w:rsidRPr="005E2E96">
        <w:rPr>
          <w:lang w:val="en-CA"/>
        </w:rPr>
        <w:t xml:space="preserve"> being converted to R</w:t>
      </w:r>
      <w:r w:rsidR="00756761" w:rsidRPr="005E2E96">
        <w:rPr>
          <w:lang w:val="en-CA"/>
        </w:rPr>
        <w:noBreakHyphen/>
      </w:r>
      <w:r w:rsidR="000E0964" w:rsidRPr="005E2E96">
        <w:rPr>
          <w:lang w:val="en-CA"/>
        </w:rPr>
        <w:t>290</w:t>
      </w:r>
      <w:r w:rsidR="00756761" w:rsidRPr="005E2E96">
        <w:rPr>
          <w:lang w:val="en-CA"/>
        </w:rPr>
        <w:noBreakHyphen/>
      </w:r>
      <w:r w:rsidR="000E0964" w:rsidRPr="005E2E96">
        <w:rPr>
          <w:lang w:val="en-CA"/>
        </w:rPr>
        <w:t>based technology (</w:t>
      </w:r>
      <w:r w:rsidR="00756761" w:rsidRPr="005E2E96">
        <w:rPr>
          <w:lang w:val="en-CA"/>
        </w:rPr>
        <w:t xml:space="preserve">Government of </w:t>
      </w:r>
      <w:r w:rsidR="000E0964" w:rsidRPr="005E2E96">
        <w:rPr>
          <w:lang w:val="en-CA"/>
        </w:rPr>
        <w:t>Germany)</w:t>
      </w:r>
      <w:r w:rsidR="00756761" w:rsidRPr="005E2E96">
        <w:rPr>
          <w:lang w:val="en-CA"/>
        </w:rPr>
        <w:t xml:space="preserve"> </w:t>
      </w:r>
      <w:r w:rsidR="000E0964" w:rsidRPr="005E2E96">
        <w:rPr>
          <w:lang w:val="en-CA"/>
        </w:rPr>
        <w:t>(</w:t>
      </w:r>
      <w:r w:rsidR="00687BDF" w:rsidRPr="005E2E96">
        <w:rPr>
          <w:lang w:val="en-CA"/>
        </w:rPr>
        <w:t>US $</w:t>
      </w:r>
      <w:r w:rsidR="000E0964" w:rsidRPr="005E2E96">
        <w:rPr>
          <w:lang w:val="en-CA"/>
        </w:rPr>
        <w:t xml:space="preserve">962,860); </w:t>
      </w:r>
    </w:p>
    <w:p w14:paraId="43EC22B6" w14:textId="77777777" w:rsidR="000E0964" w:rsidRPr="005E2E96" w:rsidRDefault="000E0964" w:rsidP="009A3176">
      <w:pPr>
        <w:ind w:left="720"/>
        <w:rPr>
          <w:i/>
          <w:lang w:val="en-CA"/>
        </w:rPr>
      </w:pPr>
      <w:r w:rsidRPr="005E2E96">
        <w:rPr>
          <w:i/>
          <w:lang w:val="en-CA"/>
        </w:rPr>
        <w:t>Refrigeration servicing sector</w:t>
      </w:r>
    </w:p>
    <w:p w14:paraId="54FC8A11" w14:textId="77777777" w:rsidR="000E0964" w:rsidRPr="005E2E96" w:rsidRDefault="000E0964" w:rsidP="009A3176">
      <w:pPr>
        <w:ind w:left="720"/>
        <w:rPr>
          <w:lang w:val="en-CA"/>
        </w:rPr>
      </w:pPr>
    </w:p>
    <w:p w14:paraId="774981DE" w14:textId="71E31C81" w:rsidR="000E0964" w:rsidRPr="005E2E96" w:rsidRDefault="000E0964" w:rsidP="009A3176">
      <w:pPr>
        <w:pStyle w:val="Heading2"/>
        <w:rPr>
          <w:lang w:val="en-CA"/>
        </w:rPr>
      </w:pPr>
      <w:r w:rsidRPr="005E2E96">
        <w:rPr>
          <w:lang w:val="en-CA"/>
        </w:rPr>
        <w:t>Setup a refrigerant distribution system</w:t>
      </w:r>
      <w:r w:rsidR="00821DEF" w:rsidRPr="005E2E96">
        <w:rPr>
          <w:lang w:val="en-CA"/>
        </w:rPr>
        <w:t xml:space="preserve"> </w:t>
      </w:r>
      <w:r w:rsidR="00E679DF" w:rsidRPr="005E2E96">
        <w:rPr>
          <w:lang w:val="en-CA"/>
        </w:rPr>
        <w:t xml:space="preserve">by providing </w:t>
      </w:r>
      <w:r w:rsidR="00821DEF" w:rsidRPr="005E2E96">
        <w:rPr>
          <w:lang w:val="en-CA"/>
        </w:rPr>
        <w:t>industrial recovery and recycling equipment, multiuse refrigerant bottles, storage cylinders, laboratory equipme</w:t>
      </w:r>
      <w:r w:rsidR="00D723CB" w:rsidRPr="005E2E96">
        <w:rPr>
          <w:lang w:val="en-CA"/>
        </w:rPr>
        <w:t>nt, cylinder charging equipment and</w:t>
      </w:r>
      <w:r w:rsidR="00821DEF" w:rsidRPr="005E2E96">
        <w:rPr>
          <w:lang w:val="en-CA"/>
        </w:rPr>
        <w:t xml:space="preserve"> cylinder cleaning</w:t>
      </w:r>
      <w:r w:rsidRPr="005E2E96">
        <w:rPr>
          <w:lang w:val="en-CA"/>
        </w:rPr>
        <w:t xml:space="preserve"> (UNDP)</w:t>
      </w:r>
      <w:r w:rsidR="00756761" w:rsidRPr="005E2E96">
        <w:rPr>
          <w:lang w:val="en-CA"/>
        </w:rPr>
        <w:t xml:space="preserve"> </w:t>
      </w:r>
      <w:r w:rsidRPr="005E2E96">
        <w:rPr>
          <w:lang w:val="en-CA"/>
        </w:rPr>
        <w:t>(</w:t>
      </w:r>
      <w:r w:rsidR="00687BDF" w:rsidRPr="005E2E96">
        <w:rPr>
          <w:lang w:val="en-CA"/>
        </w:rPr>
        <w:t>US $</w:t>
      </w:r>
      <w:r w:rsidRPr="005E2E96">
        <w:rPr>
          <w:lang w:val="en-CA"/>
        </w:rPr>
        <w:t>240,000);</w:t>
      </w:r>
    </w:p>
    <w:p w14:paraId="5A081DBA" w14:textId="3AEB17A2" w:rsidR="000E0964" w:rsidRPr="005E2E96" w:rsidRDefault="00365809" w:rsidP="009A3176">
      <w:pPr>
        <w:pStyle w:val="Heading2"/>
        <w:rPr>
          <w:lang w:val="en-CA"/>
        </w:rPr>
      </w:pPr>
      <w:r w:rsidRPr="005E2E96">
        <w:rPr>
          <w:lang w:val="en-CA"/>
        </w:rPr>
        <w:t>Implementation of t</w:t>
      </w:r>
      <w:r w:rsidR="000E0964" w:rsidRPr="005E2E96">
        <w:rPr>
          <w:lang w:val="en-CA"/>
        </w:rPr>
        <w:t>wo training sessions on policy and enforcement</w:t>
      </w:r>
      <w:r w:rsidR="00542B1B" w:rsidRPr="005E2E96">
        <w:rPr>
          <w:lang w:val="en-CA"/>
        </w:rPr>
        <w:t>;</w:t>
      </w:r>
      <w:r w:rsidR="000E0964" w:rsidRPr="005E2E96">
        <w:rPr>
          <w:lang w:val="en-CA"/>
        </w:rPr>
        <w:t xml:space="preserve"> one train-the-</w:t>
      </w:r>
      <w:proofErr w:type="gramStart"/>
      <w:r w:rsidR="000E0964" w:rsidRPr="005E2E96">
        <w:rPr>
          <w:lang w:val="en-CA"/>
        </w:rPr>
        <w:t>trainers</w:t>
      </w:r>
      <w:proofErr w:type="gramEnd"/>
      <w:r w:rsidR="000E0964" w:rsidRPr="005E2E96">
        <w:rPr>
          <w:lang w:val="en-CA"/>
        </w:rPr>
        <w:t xml:space="preserve"> session for master technicians and 20 training sessions for refrigeration servicing</w:t>
      </w:r>
      <w:r w:rsidR="00542B1B" w:rsidRPr="005E2E96">
        <w:rPr>
          <w:lang w:val="en-CA"/>
        </w:rPr>
        <w:t xml:space="preserve"> technicians;</w:t>
      </w:r>
      <w:r w:rsidR="000E0964" w:rsidRPr="005E2E96">
        <w:rPr>
          <w:lang w:val="en-CA"/>
        </w:rPr>
        <w:t xml:space="preserve"> the promotion of alternative technologies</w:t>
      </w:r>
      <w:r w:rsidR="00542B1B" w:rsidRPr="005E2E96">
        <w:rPr>
          <w:lang w:val="en-CA"/>
        </w:rPr>
        <w:t>;</w:t>
      </w:r>
      <w:r w:rsidR="000E0964" w:rsidRPr="005E2E96">
        <w:rPr>
          <w:lang w:val="en-CA"/>
        </w:rPr>
        <w:t xml:space="preserve"> and the drafting of standards and operational procedures for RAC products</w:t>
      </w:r>
      <w:r w:rsidR="007C739B" w:rsidRPr="005E2E96">
        <w:rPr>
          <w:lang w:val="en-CA"/>
        </w:rPr>
        <w:t xml:space="preserve"> </w:t>
      </w:r>
      <w:r w:rsidR="000E0964" w:rsidRPr="005E2E96">
        <w:rPr>
          <w:lang w:val="en-CA"/>
        </w:rPr>
        <w:t>(UNEP)</w:t>
      </w:r>
      <w:r w:rsidR="007C739B" w:rsidRPr="005E2E96">
        <w:rPr>
          <w:lang w:val="en-CA"/>
        </w:rPr>
        <w:t xml:space="preserve"> </w:t>
      </w:r>
      <w:r w:rsidR="000E0964" w:rsidRPr="005E2E96">
        <w:rPr>
          <w:lang w:val="en-CA"/>
        </w:rPr>
        <w:t>(</w:t>
      </w:r>
      <w:r w:rsidR="00687BDF" w:rsidRPr="005E2E96">
        <w:rPr>
          <w:lang w:val="en-CA"/>
        </w:rPr>
        <w:t>US $</w:t>
      </w:r>
      <w:r w:rsidR="000E0964" w:rsidRPr="005E2E96">
        <w:rPr>
          <w:lang w:val="en-CA"/>
        </w:rPr>
        <w:t>190,000);</w:t>
      </w:r>
    </w:p>
    <w:p w14:paraId="046960FC" w14:textId="760DE5CE" w:rsidR="000E0964" w:rsidRPr="005E2E96" w:rsidRDefault="000E0964" w:rsidP="009A3176">
      <w:pPr>
        <w:pStyle w:val="Heading2"/>
        <w:rPr>
          <w:lang w:val="en-CA"/>
        </w:rPr>
      </w:pPr>
      <w:r w:rsidRPr="005E2E96">
        <w:rPr>
          <w:lang w:val="en-CA"/>
        </w:rPr>
        <w:t>Procurement and delivery of training tools to vocational centr</w:t>
      </w:r>
      <w:r w:rsidR="00542B1B" w:rsidRPr="005E2E96">
        <w:rPr>
          <w:lang w:val="en-CA"/>
        </w:rPr>
        <w:t>e</w:t>
      </w:r>
      <w:r w:rsidRPr="005E2E96">
        <w:rPr>
          <w:lang w:val="en-CA"/>
        </w:rPr>
        <w:t>s (UNIDO)</w:t>
      </w:r>
      <w:r w:rsidR="007C739B" w:rsidRPr="005E2E96">
        <w:rPr>
          <w:lang w:val="en-CA"/>
        </w:rPr>
        <w:t xml:space="preserve"> </w:t>
      </w:r>
      <w:r w:rsidRPr="005E2E96">
        <w:rPr>
          <w:lang w:val="en-CA"/>
        </w:rPr>
        <w:t>(</w:t>
      </w:r>
      <w:r w:rsidR="00687BDF" w:rsidRPr="005E2E96">
        <w:rPr>
          <w:lang w:val="en-CA"/>
        </w:rPr>
        <w:t>US $</w:t>
      </w:r>
      <w:r w:rsidRPr="005E2E96">
        <w:rPr>
          <w:lang w:val="en-CA"/>
        </w:rPr>
        <w:t>156,000);</w:t>
      </w:r>
    </w:p>
    <w:p w14:paraId="59BA530D" w14:textId="77777777" w:rsidR="000E0964" w:rsidRPr="005E2E96" w:rsidRDefault="000E0964" w:rsidP="009A3176">
      <w:pPr>
        <w:ind w:left="720"/>
        <w:rPr>
          <w:i/>
          <w:lang w:val="en-CA"/>
        </w:rPr>
      </w:pPr>
      <w:r w:rsidRPr="005E2E96">
        <w:rPr>
          <w:i/>
          <w:lang w:val="en-CA"/>
        </w:rPr>
        <w:t>PMU</w:t>
      </w:r>
    </w:p>
    <w:p w14:paraId="5C10F9B4" w14:textId="77777777" w:rsidR="000E0964" w:rsidRPr="005E2E96" w:rsidRDefault="000E0964" w:rsidP="009A3176">
      <w:pPr>
        <w:ind w:left="720"/>
        <w:rPr>
          <w:lang w:val="en-CA"/>
        </w:rPr>
      </w:pPr>
    </w:p>
    <w:p w14:paraId="5C948E9C" w14:textId="78DE3566" w:rsidR="00327920" w:rsidRPr="005E2E96" w:rsidRDefault="009D0177" w:rsidP="009D0177">
      <w:pPr>
        <w:pStyle w:val="Heading2"/>
        <w:rPr>
          <w:lang w:val="en-CA"/>
        </w:rPr>
      </w:pPr>
      <w:r w:rsidRPr="005E2E96">
        <w:rPr>
          <w:lang w:val="en-CA"/>
        </w:rPr>
        <w:t xml:space="preserve">The PMU will continue to assist in the implementation and monitoring of </w:t>
      </w:r>
      <w:r w:rsidR="00687BDF" w:rsidRPr="005E2E96">
        <w:rPr>
          <w:lang w:val="en-CA"/>
        </w:rPr>
        <w:t>stage I</w:t>
      </w:r>
      <w:r w:rsidRPr="005E2E96">
        <w:rPr>
          <w:lang w:val="en-CA"/>
        </w:rPr>
        <w:t xml:space="preserve">I, at a total cost of </w:t>
      </w:r>
      <w:r w:rsidR="00687BDF" w:rsidRPr="005E2E96">
        <w:rPr>
          <w:lang w:val="en-CA"/>
        </w:rPr>
        <w:t>US $</w:t>
      </w:r>
      <w:r w:rsidRPr="005E2E96">
        <w:rPr>
          <w:lang w:val="en-CA"/>
        </w:rPr>
        <w:t>175,889, for s</w:t>
      </w:r>
      <w:r w:rsidR="003F597E" w:rsidRPr="005E2E96">
        <w:rPr>
          <w:lang w:val="en-CA"/>
        </w:rPr>
        <w:t>taff costs (</w:t>
      </w:r>
      <w:r w:rsidR="00687BDF" w:rsidRPr="005E2E96">
        <w:rPr>
          <w:lang w:val="en-CA"/>
        </w:rPr>
        <w:t>US $</w:t>
      </w:r>
      <w:r w:rsidR="003F597E" w:rsidRPr="005E2E96">
        <w:rPr>
          <w:lang w:val="en-CA"/>
        </w:rPr>
        <w:t>99,000); stakeholder meetings (</w:t>
      </w:r>
      <w:r w:rsidR="00687BDF" w:rsidRPr="005E2E96">
        <w:rPr>
          <w:lang w:val="en-CA"/>
        </w:rPr>
        <w:t>US $</w:t>
      </w:r>
      <w:r w:rsidR="003F597E" w:rsidRPr="005E2E96">
        <w:rPr>
          <w:lang w:val="en-CA"/>
        </w:rPr>
        <w:t>15,900); office equipment and furniture (</w:t>
      </w:r>
      <w:r w:rsidR="00687BDF" w:rsidRPr="005E2E96">
        <w:rPr>
          <w:lang w:val="en-CA"/>
        </w:rPr>
        <w:t>US $</w:t>
      </w:r>
      <w:r w:rsidR="003F597E" w:rsidRPr="005E2E96">
        <w:rPr>
          <w:lang w:val="en-CA"/>
        </w:rPr>
        <w:t>11,000); database maintenance (</w:t>
      </w:r>
      <w:r w:rsidR="00687BDF" w:rsidRPr="005E2E96">
        <w:rPr>
          <w:lang w:val="en-CA"/>
        </w:rPr>
        <w:t>US $</w:t>
      </w:r>
      <w:r w:rsidR="003F597E" w:rsidRPr="005E2E96">
        <w:rPr>
          <w:lang w:val="en-CA"/>
        </w:rPr>
        <w:t>5,000); site visits and performance verification (</w:t>
      </w:r>
      <w:r w:rsidR="00687BDF" w:rsidRPr="005E2E96">
        <w:rPr>
          <w:lang w:val="en-CA"/>
        </w:rPr>
        <w:t>US $</w:t>
      </w:r>
      <w:r w:rsidR="003F597E" w:rsidRPr="005E2E96">
        <w:rPr>
          <w:lang w:val="en-CA"/>
        </w:rPr>
        <w:t>21,000); training workshops (</w:t>
      </w:r>
      <w:r w:rsidR="00687BDF" w:rsidRPr="005E2E96">
        <w:rPr>
          <w:lang w:val="en-CA"/>
        </w:rPr>
        <w:t>US $</w:t>
      </w:r>
      <w:r w:rsidR="003F597E" w:rsidRPr="005E2E96">
        <w:rPr>
          <w:lang w:val="en-CA"/>
        </w:rPr>
        <w:t>8,500); operational costs (</w:t>
      </w:r>
      <w:r w:rsidR="00687BDF" w:rsidRPr="005E2E96">
        <w:rPr>
          <w:lang w:val="en-CA"/>
        </w:rPr>
        <w:t>US $</w:t>
      </w:r>
      <w:r w:rsidR="003F597E" w:rsidRPr="005E2E96">
        <w:rPr>
          <w:lang w:val="en-CA"/>
        </w:rPr>
        <w:t>15,489) (UNDP).</w:t>
      </w:r>
    </w:p>
    <w:p w14:paraId="1B5D3686" w14:textId="77777777" w:rsidR="00036994" w:rsidRPr="005E2E96" w:rsidRDefault="00036994" w:rsidP="009A3176">
      <w:pPr>
        <w:jc w:val="center"/>
        <w:rPr>
          <w:b/>
          <w:lang w:val="en-CA"/>
        </w:rPr>
      </w:pPr>
      <w:r w:rsidRPr="005E2E96">
        <w:rPr>
          <w:b/>
          <w:lang w:val="en-CA"/>
        </w:rPr>
        <w:t>SECRETARIAT’S COMMENTS AND RECOMMENDATION</w:t>
      </w:r>
    </w:p>
    <w:p w14:paraId="620183D3" w14:textId="77777777" w:rsidR="00036994" w:rsidRPr="005E2E96" w:rsidRDefault="00036994" w:rsidP="009A3176">
      <w:pPr>
        <w:rPr>
          <w:lang w:val="en-CA"/>
        </w:rPr>
      </w:pPr>
      <w:bookmarkStart w:id="0" w:name="_GoBack"/>
      <w:bookmarkEnd w:id="0"/>
    </w:p>
    <w:p w14:paraId="6F2B2AFD" w14:textId="77777777" w:rsidR="00036994" w:rsidRPr="005E2E96" w:rsidRDefault="00036994" w:rsidP="009A3176">
      <w:pPr>
        <w:rPr>
          <w:b/>
          <w:lang w:val="en-CA"/>
        </w:rPr>
      </w:pPr>
      <w:r w:rsidRPr="005E2E96">
        <w:rPr>
          <w:b/>
          <w:lang w:val="en-CA"/>
        </w:rPr>
        <w:t>COMMENTS</w:t>
      </w:r>
    </w:p>
    <w:p w14:paraId="661D16FB" w14:textId="77777777" w:rsidR="00036994" w:rsidRPr="005E2E96" w:rsidRDefault="00036994" w:rsidP="009A3176">
      <w:pPr>
        <w:rPr>
          <w:lang w:val="en-CA"/>
        </w:rPr>
      </w:pPr>
    </w:p>
    <w:p w14:paraId="2352D0E1" w14:textId="77777777" w:rsidR="00036994" w:rsidRPr="005E2E96" w:rsidRDefault="00036994" w:rsidP="009A3176">
      <w:pPr>
        <w:rPr>
          <w:u w:val="single"/>
          <w:lang w:val="en-CA"/>
        </w:rPr>
      </w:pPr>
      <w:r w:rsidRPr="005E2E96">
        <w:rPr>
          <w:u w:val="single"/>
          <w:lang w:val="en-CA"/>
        </w:rPr>
        <w:t>Legal framework</w:t>
      </w:r>
    </w:p>
    <w:p w14:paraId="3B240F85" w14:textId="77777777" w:rsidR="00036994" w:rsidRPr="005E2E96" w:rsidRDefault="00036994" w:rsidP="009A3176">
      <w:pPr>
        <w:rPr>
          <w:lang w:val="en-CA"/>
        </w:rPr>
      </w:pPr>
    </w:p>
    <w:p w14:paraId="78DAD4B6" w14:textId="77777777" w:rsidR="005E2E96" w:rsidRDefault="005E2E96" w:rsidP="005E2E96">
      <w:pPr>
        <w:pStyle w:val="Heading1"/>
        <w:rPr>
          <w:i/>
          <w:iCs/>
          <w:lang w:val="en-CA"/>
        </w:rPr>
      </w:pPr>
      <w:r>
        <w:t>The Government of the Islamic Republic of Iran has already issued HCFC import quotas for 2019 at 3,213 </w:t>
      </w:r>
      <w:proofErr w:type="spellStart"/>
      <w:r>
        <w:t>mt</w:t>
      </w:r>
      <w:proofErr w:type="spellEnd"/>
      <w:r>
        <w:t xml:space="preserve"> (247.4 ODP tonnes), including 1,927.8 </w:t>
      </w:r>
      <w:proofErr w:type="spellStart"/>
      <w:r>
        <w:t>mt</w:t>
      </w:r>
      <w:proofErr w:type="spellEnd"/>
      <w:r>
        <w:t xml:space="preserve"> (106.03 ODP tonnes) of HCFC-22 and 1,285.2 </w:t>
      </w:r>
      <w:proofErr w:type="spellStart"/>
      <w:r>
        <w:t>mt</w:t>
      </w:r>
      <w:proofErr w:type="spellEnd"/>
      <w:r>
        <w:t xml:space="preserve"> (141.37 ODP tonnes) of HCFC-141b, which are below the target in the Agreement between the Government and the Executive Committee and the target allowed under the Montreal Protocol.</w:t>
      </w:r>
    </w:p>
    <w:p w14:paraId="032AEC01" w14:textId="184208BF" w:rsidR="00E90EC3" w:rsidRPr="005E2E96" w:rsidRDefault="00E90EC3" w:rsidP="009A3176">
      <w:pPr>
        <w:spacing w:after="240"/>
        <w:outlineLvl w:val="0"/>
        <w:rPr>
          <w:u w:val="single"/>
          <w:lang w:val="en-CA"/>
        </w:rPr>
      </w:pPr>
      <w:r w:rsidRPr="005E2E96">
        <w:rPr>
          <w:u w:val="single"/>
          <w:lang w:val="en-CA"/>
        </w:rPr>
        <w:t xml:space="preserve">Progress in the </w:t>
      </w:r>
      <w:r w:rsidR="001B005C" w:rsidRPr="005E2E96">
        <w:rPr>
          <w:u w:val="single"/>
          <w:lang w:val="en-CA"/>
        </w:rPr>
        <w:t xml:space="preserve">foam </w:t>
      </w:r>
      <w:r w:rsidRPr="005E2E96">
        <w:rPr>
          <w:u w:val="single"/>
          <w:lang w:val="en-CA"/>
        </w:rPr>
        <w:t>manufacturing sector</w:t>
      </w:r>
    </w:p>
    <w:p w14:paraId="60C6A86B" w14:textId="25C617FC" w:rsidR="00891B20" w:rsidRPr="005E2E96" w:rsidRDefault="00E90EC3" w:rsidP="009A3176">
      <w:pPr>
        <w:pStyle w:val="Heading1"/>
        <w:rPr>
          <w:lang w:val="en-CA"/>
        </w:rPr>
      </w:pPr>
      <w:r w:rsidRPr="005E2E96">
        <w:rPr>
          <w:lang w:val="en-CA"/>
        </w:rPr>
        <w:t>The Secretariat noted the progress in the impl</w:t>
      </w:r>
      <w:r w:rsidR="004E2A48" w:rsidRPr="005E2E96">
        <w:rPr>
          <w:lang w:val="en-CA"/>
        </w:rPr>
        <w:t xml:space="preserve">ementation of activities in </w:t>
      </w:r>
      <w:r w:rsidR="001B005C" w:rsidRPr="005E2E96">
        <w:rPr>
          <w:lang w:val="en-CA"/>
        </w:rPr>
        <w:t xml:space="preserve">the </w:t>
      </w:r>
      <w:r w:rsidR="004E2A48" w:rsidRPr="005E2E96">
        <w:rPr>
          <w:lang w:val="en-CA"/>
        </w:rPr>
        <w:t xml:space="preserve">PU foam </w:t>
      </w:r>
      <w:r w:rsidR="001B005C" w:rsidRPr="005E2E96">
        <w:rPr>
          <w:lang w:val="en-CA"/>
        </w:rPr>
        <w:t>manufacturing sector;</w:t>
      </w:r>
      <w:r w:rsidR="004E2A48" w:rsidRPr="005E2E96">
        <w:rPr>
          <w:lang w:val="en-CA"/>
        </w:rPr>
        <w:t xml:space="preserve"> </w:t>
      </w:r>
      <w:r w:rsidR="00E679DF" w:rsidRPr="005E2E96">
        <w:rPr>
          <w:lang w:val="en-CA"/>
        </w:rPr>
        <w:t xml:space="preserve">that </w:t>
      </w:r>
      <w:r w:rsidR="004E2A48" w:rsidRPr="005E2E96">
        <w:rPr>
          <w:lang w:val="en-CA"/>
        </w:rPr>
        <w:t xml:space="preserve">equipment </w:t>
      </w:r>
      <w:r w:rsidR="001B005C" w:rsidRPr="005E2E96">
        <w:rPr>
          <w:lang w:val="en-CA"/>
        </w:rPr>
        <w:t xml:space="preserve">required for the conversions </w:t>
      </w:r>
      <w:r w:rsidR="004E2A48" w:rsidRPr="005E2E96">
        <w:rPr>
          <w:lang w:val="en-CA"/>
        </w:rPr>
        <w:t xml:space="preserve">has been procured and distributed </w:t>
      </w:r>
      <w:r w:rsidR="001C2670" w:rsidRPr="005E2E96">
        <w:rPr>
          <w:lang w:val="en-CA"/>
        </w:rPr>
        <w:t xml:space="preserve">to several enterprises </w:t>
      </w:r>
      <w:r w:rsidRPr="005E2E96">
        <w:rPr>
          <w:lang w:val="en-CA"/>
        </w:rPr>
        <w:t xml:space="preserve">despite </w:t>
      </w:r>
      <w:r w:rsidR="00F363C4" w:rsidRPr="005E2E96">
        <w:rPr>
          <w:lang w:val="en-CA"/>
        </w:rPr>
        <w:t>the</w:t>
      </w:r>
      <w:r w:rsidRPr="005E2E96">
        <w:rPr>
          <w:lang w:val="en-CA"/>
        </w:rPr>
        <w:t xml:space="preserve"> slow start </w:t>
      </w:r>
      <w:r w:rsidR="001C2670" w:rsidRPr="005E2E96">
        <w:rPr>
          <w:lang w:val="en-CA"/>
        </w:rPr>
        <w:t xml:space="preserve">in the implementation of </w:t>
      </w:r>
      <w:r w:rsidR="00687BDF" w:rsidRPr="005E2E96">
        <w:rPr>
          <w:lang w:val="en-CA"/>
        </w:rPr>
        <w:t>stage I</w:t>
      </w:r>
      <w:r w:rsidR="00851C4B" w:rsidRPr="005E2E96">
        <w:rPr>
          <w:lang w:val="en-CA"/>
        </w:rPr>
        <w:t>I</w:t>
      </w:r>
      <w:r w:rsidR="001C2670" w:rsidRPr="005E2E96">
        <w:rPr>
          <w:lang w:val="en-CA"/>
        </w:rPr>
        <w:t xml:space="preserve"> </w:t>
      </w:r>
      <w:r w:rsidRPr="005E2E96">
        <w:rPr>
          <w:lang w:val="en-CA"/>
        </w:rPr>
        <w:t>due to equipment suppliers</w:t>
      </w:r>
      <w:r w:rsidR="00D575D3" w:rsidRPr="005E2E96">
        <w:rPr>
          <w:lang w:val="en-CA"/>
        </w:rPr>
        <w:t xml:space="preserve">’ </w:t>
      </w:r>
      <w:r w:rsidR="00E679DF" w:rsidRPr="005E2E96">
        <w:rPr>
          <w:lang w:val="en-CA"/>
        </w:rPr>
        <w:t xml:space="preserve">hesitation to participate </w:t>
      </w:r>
      <w:r w:rsidRPr="005E2E96">
        <w:rPr>
          <w:lang w:val="en-CA"/>
        </w:rPr>
        <w:t>in the bidding processes given</w:t>
      </w:r>
      <w:r w:rsidR="00F363C4" w:rsidRPr="005E2E96">
        <w:rPr>
          <w:lang w:val="en-CA"/>
        </w:rPr>
        <w:t xml:space="preserve"> </w:t>
      </w:r>
      <w:r w:rsidR="00E679DF" w:rsidRPr="005E2E96">
        <w:rPr>
          <w:lang w:val="en-CA"/>
        </w:rPr>
        <w:t xml:space="preserve">the </w:t>
      </w:r>
      <w:r w:rsidR="00F363C4" w:rsidRPr="005E2E96">
        <w:rPr>
          <w:lang w:val="en-CA"/>
        </w:rPr>
        <w:t>economic</w:t>
      </w:r>
      <w:r w:rsidRPr="005E2E96">
        <w:rPr>
          <w:lang w:val="en-CA"/>
        </w:rPr>
        <w:t xml:space="preserve"> uncertainties in the </w:t>
      </w:r>
      <w:r w:rsidR="00F363C4" w:rsidRPr="005E2E96">
        <w:rPr>
          <w:lang w:val="en-CA"/>
        </w:rPr>
        <w:t>country</w:t>
      </w:r>
      <w:r w:rsidR="00EC79D6" w:rsidRPr="005E2E96">
        <w:rPr>
          <w:lang w:val="en-CA"/>
        </w:rPr>
        <w:t>.</w:t>
      </w:r>
    </w:p>
    <w:p w14:paraId="3C0906AD" w14:textId="03893FA9" w:rsidR="0099705E" w:rsidRPr="005E2E96" w:rsidRDefault="0099705E" w:rsidP="009A3176">
      <w:pPr>
        <w:pStyle w:val="Heading1"/>
        <w:rPr>
          <w:lang w:val="en-CA"/>
        </w:rPr>
      </w:pPr>
      <w:r w:rsidRPr="005E2E96">
        <w:rPr>
          <w:lang w:val="en-CA"/>
        </w:rPr>
        <w:t xml:space="preserve">Noting the </w:t>
      </w:r>
      <w:r w:rsidR="001B005C" w:rsidRPr="005E2E96">
        <w:rPr>
          <w:lang w:val="en-CA"/>
        </w:rPr>
        <w:t xml:space="preserve">steep </w:t>
      </w:r>
      <w:r w:rsidRPr="005E2E96">
        <w:rPr>
          <w:lang w:val="en-CA"/>
        </w:rPr>
        <w:t>reduction in consumption of HCFC-141b</w:t>
      </w:r>
      <w:r w:rsidR="00851C4B" w:rsidRPr="005E2E96">
        <w:rPr>
          <w:lang w:val="en-CA"/>
        </w:rPr>
        <w:t xml:space="preserve"> from 112</w:t>
      </w:r>
      <w:r w:rsidR="001B005C" w:rsidRPr="005E2E96">
        <w:rPr>
          <w:lang w:val="en-CA"/>
        </w:rPr>
        <w:t>.0</w:t>
      </w:r>
      <w:r w:rsidR="00E532B1" w:rsidRPr="005E2E96">
        <w:rPr>
          <w:lang w:val="en-CA"/>
        </w:rPr>
        <w:t> ODP t</w:t>
      </w:r>
      <w:r w:rsidR="00851C4B" w:rsidRPr="005E2E96">
        <w:rPr>
          <w:lang w:val="en-CA"/>
        </w:rPr>
        <w:t xml:space="preserve">onnes </w:t>
      </w:r>
      <w:r w:rsidR="001B005C" w:rsidRPr="005E2E96">
        <w:rPr>
          <w:lang w:val="en-CA"/>
        </w:rPr>
        <w:t xml:space="preserve">in 2016 (when </w:t>
      </w:r>
      <w:r w:rsidR="00687BDF" w:rsidRPr="005E2E96">
        <w:rPr>
          <w:lang w:val="en-CA"/>
        </w:rPr>
        <w:t>stage I</w:t>
      </w:r>
      <w:r w:rsidR="001B005C" w:rsidRPr="005E2E96">
        <w:rPr>
          <w:lang w:val="en-CA"/>
        </w:rPr>
        <w:t xml:space="preserve">I was approved) </w:t>
      </w:r>
      <w:r w:rsidR="00851C4B" w:rsidRPr="005E2E96">
        <w:rPr>
          <w:lang w:val="en-CA"/>
        </w:rPr>
        <w:t>to 63.37</w:t>
      </w:r>
      <w:r w:rsidR="00E532B1" w:rsidRPr="005E2E96">
        <w:rPr>
          <w:lang w:val="en-CA"/>
        </w:rPr>
        <w:t> ODP t</w:t>
      </w:r>
      <w:r w:rsidR="00851C4B" w:rsidRPr="005E2E96">
        <w:rPr>
          <w:lang w:val="en-CA"/>
        </w:rPr>
        <w:t xml:space="preserve">onnes </w:t>
      </w:r>
      <w:r w:rsidR="001B005C" w:rsidRPr="005E2E96">
        <w:rPr>
          <w:lang w:val="en-CA"/>
        </w:rPr>
        <w:t xml:space="preserve">in </w:t>
      </w:r>
      <w:r w:rsidR="00851C4B" w:rsidRPr="005E2E96">
        <w:rPr>
          <w:lang w:val="en-CA"/>
        </w:rPr>
        <w:t>2018,</w:t>
      </w:r>
      <w:r w:rsidRPr="005E2E96">
        <w:rPr>
          <w:lang w:val="en-CA"/>
        </w:rPr>
        <w:t xml:space="preserve"> the Secretariat requested </w:t>
      </w:r>
      <w:r w:rsidR="001C2670" w:rsidRPr="005E2E96">
        <w:rPr>
          <w:lang w:val="en-CA"/>
        </w:rPr>
        <w:t>an update</w:t>
      </w:r>
      <w:r w:rsidRPr="005E2E96">
        <w:rPr>
          <w:lang w:val="en-CA"/>
        </w:rPr>
        <w:t xml:space="preserve"> on the current situation in the</w:t>
      </w:r>
      <w:r w:rsidR="009445A4" w:rsidRPr="005E2E96">
        <w:rPr>
          <w:lang w:val="en-CA"/>
        </w:rPr>
        <w:t xml:space="preserve"> PU foam</w:t>
      </w:r>
      <w:r w:rsidRPr="005E2E96">
        <w:rPr>
          <w:lang w:val="en-CA"/>
        </w:rPr>
        <w:t xml:space="preserve"> sector</w:t>
      </w:r>
      <w:r w:rsidR="001B005C" w:rsidRPr="005E2E96">
        <w:rPr>
          <w:lang w:val="en-CA"/>
        </w:rPr>
        <w:t xml:space="preserve">. It also requested </w:t>
      </w:r>
      <w:r w:rsidRPr="005E2E96">
        <w:rPr>
          <w:lang w:val="en-CA"/>
        </w:rPr>
        <w:t xml:space="preserve">information on whether, in addition to the </w:t>
      </w:r>
      <w:r w:rsidR="007A7EFE" w:rsidRPr="005E2E96">
        <w:rPr>
          <w:lang w:val="en-CA"/>
        </w:rPr>
        <w:t xml:space="preserve">five </w:t>
      </w:r>
      <w:r w:rsidRPr="005E2E96">
        <w:rPr>
          <w:lang w:val="en-CA"/>
        </w:rPr>
        <w:t xml:space="preserve">enterprises </w:t>
      </w:r>
      <w:r w:rsidR="001B005C" w:rsidRPr="005E2E96">
        <w:rPr>
          <w:lang w:val="en-CA"/>
        </w:rPr>
        <w:t xml:space="preserve">included in </w:t>
      </w:r>
      <w:r w:rsidR="00687BDF" w:rsidRPr="005E2E96">
        <w:rPr>
          <w:lang w:val="en-CA"/>
        </w:rPr>
        <w:t>stage I</w:t>
      </w:r>
      <w:r w:rsidR="001B005C" w:rsidRPr="005E2E96">
        <w:rPr>
          <w:lang w:val="en-CA"/>
        </w:rPr>
        <w:t xml:space="preserve">I that had </w:t>
      </w:r>
      <w:r w:rsidR="00427BF9" w:rsidRPr="005E2E96">
        <w:rPr>
          <w:lang w:val="en-CA"/>
        </w:rPr>
        <w:t>converted</w:t>
      </w:r>
      <w:r w:rsidR="00E679DF" w:rsidRPr="005E2E96">
        <w:rPr>
          <w:lang w:val="en-CA"/>
        </w:rPr>
        <w:t xml:space="preserve"> </w:t>
      </w:r>
      <w:r w:rsidR="005B7DDD" w:rsidRPr="005E2E96">
        <w:rPr>
          <w:lang w:val="en-CA"/>
        </w:rPr>
        <w:t xml:space="preserve">with </w:t>
      </w:r>
      <w:r w:rsidR="00743742" w:rsidRPr="005E2E96">
        <w:rPr>
          <w:lang w:val="en-CA"/>
        </w:rPr>
        <w:t>their</w:t>
      </w:r>
      <w:r w:rsidR="00E679DF" w:rsidRPr="005E2E96">
        <w:rPr>
          <w:lang w:val="en-CA"/>
        </w:rPr>
        <w:t xml:space="preserve"> own</w:t>
      </w:r>
      <w:r w:rsidR="00427BF9" w:rsidRPr="005E2E96">
        <w:rPr>
          <w:lang w:val="en-CA"/>
        </w:rPr>
        <w:t xml:space="preserve"> </w:t>
      </w:r>
      <w:r w:rsidR="005B7DDD" w:rsidRPr="005E2E96">
        <w:rPr>
          <w:lang w:val="en-CA"/>
        </w:rPr>
        <w:t xml:space="preserve">resources </w:t>
      </w:r>
      <w:r w:rsidR="00427BF9" w:rsidRPr="005E2E96">
        <w:rPr>
          <w:lang w:val="en-CA"/>
        </w:rPr>
        <w:t>or</w:t>
      </w:r>
      <w:r w:rsidR="001B005C" w:rsidRPr="005E2E96">
        <w:rPr>
          <w:lang w:val="en-CA"/>
        </w:rPr>
        <w:t xml:space="preserve"> </w:t>
      </w:r>
      <w:r w:rsidR="00E679DF" w:rsidRPr="005E2E96">
        <w:rPr>
          <w:lang w:val="en-CA"/>
        </w:rPr>
        <w:t xml:space="preserve">had </w:t>
      </w:r>
      <w:r w:rsidR="001B005C" w:rsidRPr="005E2E96">
        <w:rPr>
          <w:lang w:val="en-CA"/>
        </w:rPr>
        <w:t>closed</w:t>
      </w:r>
      <w:r w:rsidR="00E679DF" w:rsidRPr="005E2E96">
        <w:rPr>
          <w:lang w:val="en-CA"/>
        </w:rPr>
        <w:t xml:space="preserve"> down</w:t>
      </w:r>
      <w:r w:rsidRPr="005E2E96">
        <w:rPr>
          <w:lang w:val="en-CA"/>
        </w:rPr>
        <w:t xml:space="preserve">, </w:t>
      </w:r>
      <w:r w:rsidR="001B005C" w:rsidRPr="005E2E96">
        <w:rPr>
          <w:lang w:val="en-CA"/>
        </w:rPr>
        <w:t xml:space="preserve">any </w:t>
      </w:r>
      <w:r w:rsidRPr="005E2E96">
        <w:rPr>
          <w:lang w:val="en-CA"/>
        </w:rPr>
        <w:t>other enterprises</w:t>
      </w:r>
      <w:r w:rsidR="00415D9D" w:rsidRPr="005E2E96">
        <w:rPr>
          <w:lang w:val="en-CA"/>
        </w:rPr>
        <w:t xml:space="preserve"> </w:t>
      </w:r>
      <w:r w:rsidR="00415D9D" w:rsidRPr="005E2E96">
        <w:rPr>
          <w:lang w:val="en-CA"/>
        </w:rPr>
        <w:lastRenderedPageBreak/>
        <w:t>fall in the same situation</w:t>
      </w:r>
      <w:r w:rsidR="001C2670" w:rsidRPr="005E2E96">
        <w:rPr>
          <w:lang w:val="en-CA"/>
        </w:rPr>
        <w:t xml:space="preserve">. </w:t>
      </w:r>
      <w:r w:rsidRPr="005E2E96">
        <w:rPr>
          <w:lang w:val="en-CA"/>
        </w:rPr>
        <w:t xml:space="preserve">UNIDO </w:t>
      </w:r>
      <w:r w:rsidR="00EC2F35" w:rsidRPr="005E2E96">
        <w:rPr>
          <w:lang w:val="en-CA"/>
        </w:rPr>
        <w:t>reported</w:t>
      </w:r>
      <w:r w:rsidRPr="005E2E96">
        <w:rPr>
          <w:lang w:val="en-CA"/>
        </w:rPr>
        <w:t xml:space="preserve"> that </w:t>
      </w:r>
      <w:r w:rsidR="00415D9D" w:rsidRPr="005E2E96">
        <w:rPr>
          <w:lang w:val="en-CA"/>
        </w:rPr>
        <w:t xml:space="preserve">after </w:t>
      </w:r>
      <w:r w:rsidRPr="005E2E96">
        <w:rPr>
          <w:lang w:val="en-CA"/>
        </w:rPr>
        <w:t>verification of the PU foam enterprises it was found that</w:t>
      </w:r>
      <w:r w:rsidR="00415D9D" w:rsidRPr="005E2E96">
        <w:rPr>
          <w:lang w:val="en-CA"/>
        </w:rPr>
        <w:t xml:space="preserve"> except for those indicated,</w:t>
      </w:r>
      <w:r w:rsidRPr="005E2E96">
        <w:rPr>
          <w:lang w:val="en-CA"/>
        </w:rPr>
        <w:t xml:space="preserve"> </w:t>
      </w:r>
      <w:r w:rsidR="001B005C" w:rsidRPr="005E2E96">
        <w:rPr>
          <w:lang w:val="en-CA"/>
        </w:rPr>
        <w:t xml:space="preserve">all of the enterprises </w:t>
      </w:r>
      <w:r w:rsidRPr="005E2E96">
        <w:rPr>
          <w:lang w:val="en-CA"/>
        </w:rPr>
        <w:t xml:space="preserve">were still </w:t>
      </w:r>
      <w:r w:rsidR="00851C4B" w:rsidRPr="005E2E96">
        <w:rPr>
          <w:lang w:val="en-CA"/>
        </w:rPr>
        <w:t>operating</w:t>
      </w:r>
      <w:r w:rsidRPr="005E2E96">
        <w:rPr>
          <w:lang w:val="en-CA"/>
        </w:rPr>
        <w:t xml:space="preserve">, although </w:t>
      </w:r>
      <w:r w:rsidR="00851C4B" w:rsidRPr="005E2E96">
        <w:rPr>
          <w:lang w:val="en-CA"/>
        </w:rPr>
        <w:t>production wa</w:t>
      </w:r>
      <w:r w:rsidRPr="005E2E96">
        <w:rPr>
          <w:lang w:val="en-CA"/>
        </w:rPr>
        <w:t xml:space="preserve">s lower in many of them </w:t>
      </w:r>
      <w:r w:rsidR="00415D9D" w:rsidRPr="005E2E96">
        <w:rPr>
          <w:lang w:val="en-CA"/>
        </w:rPr>
        <w:t>due to difficulties in the</w:t>
      </w:r>
      <w:r w:rsidRPr="005E2E96">
        <w:rPr>
          <w:lang w:val="en-CA"/>
        </w:rPr>
        <w:t xml:space="preserve"> procurement of raw materials </w:t>
      </w:r>
      <w:r w:rsidR="00415D9D" w:rsidRPr="005E2E96">
        <w:rPr>
          <w:lang w:val="en-CA"/>
        </w:rPr>
        <w:t>because of the</w:t>
      </w:r>
      <w:r w:rsidRPr="005E2E96">
        <w:rPr>
          <w:lang w:val="en-CA"/>
        </w:rPr>
        <w:t xml:space="preserve"> existing</w:t>
      </w:r>
      <w:r w:rsidR="00415D9D" w:rsidRPr="005E2E96">
        <w:rPr>
          <w:lang w:val="en-CA"/>
        </w:rPr>
        <w:t xml:space="preserve"> economic sanctions</w:t>
      </w:r>
      <w:r w:rsidRPr="005E2E96">
        <w:rPr>
          <w:lang w:val="en-CA"/>
        </w:rPr>
        <w:t xml:space="preserve">. However, it is expected that these enterprises will continue operating and </w:t>
      </w:r>
      <w:r w:rsidR="00415D9D" w:rsidRPr="005E2E96">
        <w:rPr>
          <w:lang w:val="en-CA"/>
        </w:rPr>
        <w:t xml:space="preserve">could potentially </w:t>
      </w:r>
      <w:r w:rsidRPr="005E2E96">
        <w:rPr>
          <w:lang w:val="en-CA"/>
        </w:rPr>
        <w:t xml:space="preserve">increase consumption when </w:t>
      </w:r>
      <w:r w:rsidR="00415D9D" w:rsidRPr="005E2E96">
        <w:rPr>
          <w:lang w:val="en-CA"/>
        </w:rPr>
        <w:t>the economic situation improves</w:t>
      </w:r>
      <w:r w:rsidRPr="005E2E96">
        <w:rPr>
          <w:lang w:val="en-CA"/>
        </w:rPr>
        <w:t xml:space="preserve">. </w:t>
      </w:r>
      <w:r w:rsidR="001C2670" w:rsidRPr="005E2E96">
        <w:rPr>
          <w:lang w:val="en-CA"/>
        </w:rPr>
        <w:t>The adjustments needed in the PU foam component are those discussed below.</w:t>
      </w:r>
    </w:p>
    <w:p w14:paraId="058149F7" w14:textId="3609E462" w:rsidR="00CA4357" w:rsidRPr="005E2E96" w:rsidRDefault="00CA4357" w:rsidP="009A3176">
      <w:pPr>
        <w:rPr>
          <w:i/>
          <w:u w:val="single"/>
          <w:lang w:val="en-CA"/>
        </w:rPr>
      </w:pPr>
      <w:r w:rsidRPr="005E2E96">
        <w:rPr>
          <w:i/>
          <w:u w:val="single"/>
          <w:lang w:val="en-CA"/>
        </w:rPr>
        <w:t>Flexibility to reallocate funding among eligible</w:t>
      </w:r>
      <w:r w:rsidR="00E90EC3" w:rsidRPr="005E2E96">
        <w:rPr>
          <w:i/>
          <w:u w:val="single"/>
          <w:lang w:val="en-CA"/>
        </w:rPr>
        <w:t xml:space="preserve"> PU foam </w:t>
      </w:r>
      <w:r w:rsidRPr="005E2E96">
        <w:rPr>
          <w:i/>
          <w:u w:val="single"/>
          <w:lang w:val="en-CA"/>
        </w:rPr>
        <w:t>enterprises</w:t>
      </w:r>
      <w:r w:rsidR="001C2670" w:rsidRPr="005E2E96">
        <w:rPr>
          <w:i/>
          <w:u w:val="single"/>
          <w:lang w:val="en-CA"/>
        </w:rPr>
        <w:t xml:space="preserve"> (UNIDO/Italy component</w:t>
      </w:r>
      <w:r w:rsidRPr="005E2E96">
        <w:rPr>
          <w:i/>
          <w:u w:val="single"/>
          <w:lang w:val="en-CA"/>
        </w:rPr>
        <w:t>)</w:t>
      </w:r>
    </w:p>
    <w:p w14:paraId="22971A7E" w14:textId="77777777" w:rsidR="00CA4357" w:rsidRPr="005E2E96" w:rsidRDefault="00CA4357" w:rsidP="009A3176">
      <w:pPr>
        <w:rPr>
          <w:lang w:val="en-CA"/>
        </w:rPr>
      </w:pPr>
    </w:p>
    <w:p w14:paraId="7EAAB1D3" w14:textId="77777777" w:rsidR="00697A5E" w:rsidRPr="005E2E96" w:rsidRDefault="001C2670" w:rsidP="00A957E7">
      <w:pPr>
        <w:pStyle w:val="Heading1"/>
        <w:rPr>
          <w:lang w:val="en-CA"/>
        </w:rPr>
      </w:pPr>
      <w:r w:rsidRPr="005E2E96">
        <w:rPr>
          <w:lang w:val="en-CA"/>
        </w:rPr>
        <w:t xml:space="preserve">Upon verification of the enterprises included in the PU foam component being implemented by UNIDO and the Government of Italy, </w:t>
      </w:r>
      <w:r w:rsidR="00A957E7" w:rsidRPr="005E2E96">
        <w:rPr>
          <w:lang w:val="en-CA"/>
        </w:rPr>
        <w:t>UNIDO reported that</w:t>
      </w:r>
      <w:r w:rsidR="00697A5E" w:rsidRPr="005E2E96">
        <w:rPr>
          <w:lang w:val="en-CA"/>
        </w:rPr>
        <w:t>:</w:t>
      </w:r>
    </w:p>
    <w:p w14:paraId="3FCB42A0" w14:textId="16A7494B" w:rsidR="00E532B1" w:rsidRPr="005E2E96" w:rsidRDefault="00E532B1" w:rsidP="0021638F">
      <w:pPr>
        <w:pStyle w:val="Heading2"/>
        <w:rPr>
          <w:lang w:val="en-CA"/>
        </w:rPr>
      </w:pPr>
      <w:r w:rsidRPr="005E2E96">
        <w:rPr>
          <w:lang w:val="en-CA"/>
        </w:rPr>
        <w:t xml:space="preserve">Two enterprises </w:t>
      </w:r>
      <w:r w:rsidR="00415D9D" w:rsidRPr="005E2E96">
        <w:rPr>
          <w:lang w:val="en-CA"/>
        </w:rPr>
        <w:t xml:space="preserve">included for individual conversions </w:t>
      </w:r>
      <w:r w:rsidR="003636E0" w:rsidRPr="005E2E96">
        <w:rPr>
          <w:lang w:val="en-CA"/>
        </w:rPr>
        <w:t>(</w:t>
      </w:r>
      <w:proofErr w:type="spellStart"/>
      <w:r w:rsidR="003636E0" w:rsidRPr="005E2E96">
        <w:rPr>
          <w:lang w:val="en-CA"/>
        </w:rPr>
        <w:t>Aysan</w:t>
      </w:r>
      <w:proofErr w:type="spellEnd"/>
      <w:r w:rsidR="003636E0" w:rsidRPr="005E2E96">
        <w:rPr>
          <w:lang w:val="en-CA"/>
        </w:rPr>
        <w:t xml:space="preserve"> </w:t>
      </w:r>
      <w:proofErr w:type="spellStart"/>
      <w:r w:rsidR="003636E0" w:rsidRPr="005E2E96">
        <w:rPr>
          <w:lang w:val="en-CA"/>
        </w:rPr>
        <w:t>Sanat</w:t>
      </w:r>
      <w:proofErr w:type="spellEnd"/>
      <w:r w:rsidR="003636E0" w:rsidRPr="005E2E96">
        <w:rPr>
          <w:lang w:val="en-CA"/>
        </w:rPr>
        <w:t xml:space="preserve"> and </w:t>
      </w:r>
      <w:proofErr w:type="spellStart"/>
      <w:r w:rsidR="003636E0" w:rsidRPr="005E2E96">
        <w:rPr>
          <w:lang w:val="en-CA"/>
        </w:rPr>
        <w:t>Forouzan</w:t>
      </w:r>
      <w:proofErr w:type="spellEnd"/>
      <w:r w:rsidR="003636E0" w:rsidRPr="005E2E96">
        <w:rPr>
          <w:lang w:val="en-CA"/>
        </w:rPr>
        <w:t xml:space="preserve">) </w:t>
      </w:r>
      <w:r w:rsidRPr="005E2E96">
        <w:rPr>
          <w:lang w:val="en-CA"/>
        </w:rPr>
        <w:t>with a consumption of 61</w:t>
      </w:r>
      <w:r w:rsidR="00F15EDA" w:rsidRPr="005E2E96">
        <w:rPr>
          <w:lang w:val="en-CA"/>
        </w:rPr>
        <w:t>.00</w:t>
      </w:r>
      <w:r w:rsidR="00AA7FD3" w:rsidRPr="005E2E96">
        <w:rPr>
          <w:lang w:val="en-CA"/>
        </w:rPr>
        <w:t> mt</w:t>
      </w:r>
      <w:r w:rsidRPr="005E2E96">
        <w:rPr>
          <w:lang w:val="en-CA"/>
        </w:rPr>
        <w:t xml:space="preserve"> (6.71 ODP tonnes) of HCFC-141b and associated funding of </w:t>
      </w:r>
      <w:r w:rsidR="00687BDF" w:rsidRPr="005E2E96">
        <w:rPr>
          <w:lang w:val="en-CA"/>
        </w:rPr>
        <w:t>US $</w:t>
      </w:r>
      <w:r w:rsidRPr="005E2E96">
        <w:rPr>
          <w:lang w:val="en-CA"/>
        </w:rPr>
        <w:t>3</w:t>
      </w:r>
      <w:r w:rsidR="00837BFB" w:rsidRPr="005E2E96">
        <w:rPr>
          <w:lang w:val="en-CA"/>
        </w:rPr>
        <w:t>48,006</w:t>
      </w:r>
      <w:r w:rsidR="00F15EDA" w:rsidRPr="005E2E96">
        <w:rPr>
          <w:lang w:val="en-CA"/>
        </w:rPr>
        <w:t>,</w:t>
      </w:r>
      <w:r w:rsidRPr="005E2E96">
        <w:rPr>
          <w:lang w:val="en-CA"/>
        </w:rPr>
        <w:t xml:space="preserve"> and one SME </w:t>
      </w:r>
      <w:r w:rsidR="00F15EDA" w:rsidRPr="005E2E96">
        <w:rPr>
          <w:lang w:val="en-CA"/>
        </w:rPr>
        <w:t xml:space="preserve">which was included in the group project </w:t>
      </w:r>
      <w:r w:rsidR="003636E0" w:rsidRPr="005E2E96">
        <w:rPr>
          <w:lang w:val="en-CA"/>
        </w:rPr>
        <w:t>(</w:t>
      </w:r>
      <w:proofErr w:type="spellStart"/>
      <w:r w:rsidR="003636E0" w:rsidRPr="005E2E96">
        <w:rPr>
          <w:lang w:val="en-CA"/>
        </w:rPr>
        <w:t>Yoosh</w:t>
      </w:r>
      <w:proofErr w:type="spellEnd"/>
      <w:r w:rsidR="003636E0" w:rsidRPr="005E2E96">
        <w:rPr>
          <w:lang w:val="en-CA"/>
        </w:rPr>
        <w:t xml:space="preserve"> Electric) </w:t>
      </w:r>
      <w:r w:rsidRPr="005E2E96">
        <w:rPr>
          <w:lang w:val="en-CA"/>
        </w:rPr>
        <w:t>with a consumption of 5.10</w:t>
      </w:r>
      <w:r w:rsidR="00AA7FD3" w:rsidRPr="005E2E96">
        <w:rPr>
          <w:lang w:val="en-CA"/>
        </w:rPr>
        <w:t> mt</w:t>
      </w:r>
      <w:r w:rsidRPr="005E2E96">
        <w:rPr>
          <w:lang w:val="en-CA"/>
        </w:rPr>
        <w:t xml:space="preserve"> (0.56 ODP tonnes) of HCFC-141b and associated funding of </w:t>
      </w:r>
      <w:r w:rsidR="00687BDF" w:rsidRPr="005E2E96">
        <w:rPr>
          <w:lang w:val="en-CA"/>
        </w:rPr>
        <w:t>US $</w:t>
      </w:r>
      <w:r w:rsidRPr="005E2E96">
        <w:rPr>
          <w:lang w:val="en-CA"/>
        </w:rPr>
        <w:t>27,695, converted with their own funds before the initiation of the project</w:t>
      </w:r>
      <w:r w:rsidR="00F15EDA" w:rsidRPr="005E2E96">
        <w:rPr>
          <w:lang w:val="en-CA"/>
        </w:rPr>
        <w:t>,</w:t>
      </w:r>
      <w:r w:rsidR="00415D9D" w:rsidRPr="005E2E96">
        <w:rPr>
          <w:lang w:val="en-CA"/>
        </w:rPr>
        <w:t xml:space="preserve"> potentially resulting in savings of </w:t>
      </w:r>
      <w:r w:rsidR="00687BDF" w:rsidRPr="005E2E96">
        <w:rPr>
          <w:lang w:val="en-CA"/>
        </w:rPr>
        <w:t>US $</w:t>
      </w:r>
      <w:r w:rsidR="00325DD0" w:rsidRPr="005E2E96">
        <w:rPr>
          <w:lang w:val="en-CA"/>
        </w:rPr>
        <w:t>375,70</w:t>
      </w:r>
      <w:r w:rsidR="00837BFB" w:rsidRPr="005E2E96">
        <w:rPr>
          <w:lang w:val="en-CA"/>
        </w:rPr>
        <w:t>1</w:t>
      </w:r>
      <w:r w:rsidR="00415D9D" w:rsidRPr="005E2E96">
        <w:rPr>
          <w:lang w:val="en-CA"/>
        </w:rPr>
        <w:t xml:space="preserve"> from </w:t>
      </w:r>
      <w:r w:rsidR="00687BDF" w:rsidRPr="005E2E96">
        <w:rPr>
          <w:lang w:val="en-CA"/>
        </w:rPr>
        <w:t>stage I</w:t>
      </w:r>
      <w:r w:rsidR="00415D9D" w:rsidRPr="005E2E96">
        <w:rPr>
          <w:lang w:val="en-CA"/>
        </w:rPr>
        <w:t>I</w:t>
      </w:r>
      <w:r w:rsidRPr="005E2E96">
        <w:rPr>
          <w:lang w:val="en-CA"/>
        </w:rPr>
        <w:t>;</w:t>
      </w:r>
    </w:p>
    <w:p w14:paraId="632C6FEA" w14:textId="15A42B7E" w:rsidR="00E532B1" w:rsidRPr="005E2E96" w:rsidRDefault="00E532B1" w:rsidP="00E532B1">
      <w:pPr>
        <w:pStyle w:val="Heading2"/>
        <w:rPr>
          <w:lang w:val="en-CA"/>
        </w:rPr>
      </w:pPr>
      <w:r w:rsidRPr="005E2E96">
        <w:rPr>
          <w:lang w:val="en-CA"/>
        </w:rPr>
        <w:t xml:space="preserve">For economic reasons, two individual enterprises </w:t>
      </w:r>
      <w:r w:rsidR="003636E0" w:rsidRPr="005E2E96">
        <w:rPr>
          <w:lang w:val="en-CA"/>
        </w:rPr>
        <w:t>(</w:t>
      </w:r>
      <w:proofErr w:type="spellStart"/>
      <w:r w:rsidR="003636E0" w:rsidRPr="005E2E96">
        <w:rPr>
          <w:lang w:val="en-CA"/>
        </w:rPr>
        <w:t>Hanzad</w:t>
      </w:r>
      <w:proofErr w:type="spellEnd"/>
      <w:r w:rsidR="003636E0" w:rsidRPr="005E2E96">
        <w:rPr>
          <w:lang w:val="en-CA"/>
        </w:rPr>
        <w:t xml:space="preserve"> and Tara </w:t>
      </w:r>
      <w:proofErr w:type="spellStart"/>
      <w:r w:rsidR="003636E0" w:rsidRPr="005E2E96">
        <w:rPr>
          <w:lang w:val="en-CA"/>
        </w:rPr>
        <w:t>Sanat</w:t>
      </w:r>
      <w:proofErr w:type="spellEnd"/>
      <w:r w:rsidR="003636E0" w:rsidRPr="005E2E96">
        <w:rPr>
          <w:lang w:val="en-CA"/>
        </w:rPr>
        <w:t xml:space="preserve"> </w:t>
      </w:r>
      <w:proofErr w:type="spellStart"/>
      <w:r w:rsidR="003636E0" w:rsidRPr="005E2E96">
        <w:rPr>
          <w:lang w:val="en-CA"/>
        </w:rPr>
        <w:t>Barfin</w:t>
      </w:r>
      <w:proofErr w:type="spellEnd"/>
      <w:r w:rsidR="003636E0" w:rsidRPr="005E2E96">
        <w:rPr>
          <w:lang w:val="en-CA"/>
        </w:rPr>
        <w:t xml:space="preserve">) </w:t>
      </w:r>
      <w:r w:rsidRPr="005E2E96">
        <w:rPr>
          <w:lang w:val="en-CA"/>
        </w:rPr>
        <w:t>with a consumption of 39</w:t>
      </w:r>
      <w:r w:rsidR="00F15EDA" w:rsidRPr="005E2E96">
        <w:rPr>
          <w:lang w:val="en-CA"/>
        </w:rPr>
        <w:t>.00</w:t>
      </w:r>
      <w:r w:rsidR="00AA7FD3" w:rsidRPr="005E2E96">
        <w:rPr>
          <w:lang w:val="en-CA"/>
        </w:rPr>
        <w:t> mt</w:t>
      </w:r>
      <w:r w:rsidRPr="005E2E96">
        <w:rPr>
          <w:lang w:val="en-CA"/>
        </w:rPr>
        <w:t xml:space="preserve"> (4.29 ODP tonnes) of HCFC-141b and associated funding of </w:t>
      </w:r>
      <w:r w:rsidR="00687BDF" w:rsidRPr="005E2E96">
        <w:rPr>
          <w:lang w:val="en-CA"/>
        </w:rPr>
        <w:t>US $</w:t>
      </w:r>
      <w:r w:rsidRPr="005E2E96">
        <w:rPr>
          <w:lang w:val="en-CA"/>
        </w:rPr>
        <w:t>348,00</w:t>
      </w:r>
      <w:r w:rsidR="00837BFB" w:rsidRPr="005E2E96">
        <w:rPr>
          <w:lang w:val="en-CA"/>
        </w:rPr>
        <w:t>6</w:t>
      </w:r>
      <w:r w:rsidR="00325DD0" w:rsidRPr="005E2E96">
        <w:rPr>
          <w:lang w:val="en-CA"/>
        </w:rPr>
        <w:t xml:space="preserve">, </w:t>
      </w:r>
      <w:r w:rsidR="00415D9D" w:rsidRPr="005E2E96">
        <w:rPr>
          <w:lang w:val="en-CA"/>
        </w:rPr>
        <w:t>had</w:t>
      </w:r>
      <w:r w:rsidRPr="005E2E96">
        <w:rPr>
          <w:lang w:val="en-CA"/>
        </w:rPr>
        <w:t xml:space="preserve"> closed</w:t>
      </w:r>
      <w:r w:rsidR="00415D9D" w:rsidRPr="005E2E96">
        <w:rPr>
          <w:lang w:val="en-CA"/>
        </w:rPr>
        <w:t xml:space="preserve"> down</w:t>
      </w:r>
      <w:r w:rsidRPr="005E2E96">
        <w:rPr>
          <w:lang w:val="en-CA"/>
        </w:rPr>
        <w:t>;</w:t>
      </w:r>
    </w:p>
    <w:p w14:paraId="6AE62561" w14:textId="5C84B4CB" w:rsidR="00206763" w:rsidRPr="005E2E96" w:rsidRDefault="00697A5E" w:rsidP="009A3176">
      <w:pPr>
        <w:pStyle w:val="Heading2"/>
        <w:rPr>
          <w:lang w:val="en-CA"/>
        </w:rPr>
      </w:pPr>
      <w:r w:rsidRPr="005E2E96">
        <w:rPr>
          <w:lang w:val="en-CA"/>
        </w:rPr>
        <w:t>T</w:t>
      </w:r>
      <w:r w:rsidR="00206763" w:rsidRPr="005E2E96">
        <w:rPr>
          <w:lang w:val="en-CA"/>
        </w:rPr>
        <w:t xml:space="preserve">wo </w:t>
      </w:r>
      <w:r w:rsidRPr="005E2E96">
        <w:rPr>
          <w:lang w:val="en-CA"/>
        </w:rPr>
        <w:t xml:space="preserve">individual </w:t>
      </w:r>
      <w:r w:rsidR="00206763" w:rsidRPr="005E2E96">
        <w:rPr>
          <w:lang w:val="en-CA"/>
        </w:rPr>
        <w:t xml:space="preserve">enterprises </w:t>
      </w:r>
      <w:r w:rsidR="003636E0" w:rsidRPr="005E2E96">
        <w:rPr>
          <w:lang w:val="en-CA"/>
        </w:rPr>
        <w:t>(</w:t>
      </w:r>
      <w:proofErr w:type="spellStart"/>
      <w:r w:rsidR="003636E0" w:rsidRPr="005E2E96">
        <w:rPr>
          <w:lang w:val="en-CA"/>
        </w:rPr>
        <w:t>Novin</w:t>
      </w:r>
      <w:proofErr w:type="spellEnd"/>
      <w:r w:rsidR="003636E0" w:rsidRPr="005E2E96">
        <w:rPr>
          <w:lang w:val="en-CA"/>
        </w:rPr>
        <w:t xml:space="preserve"> </w:t>
      </w:r>
      <w:proofErr w:type="spellStart"/>
      <w:r w:rsidR="003636E0" w:rsidRPr="005E2E96">
        <w:rPr>
          <w:lang w:val="en-CA"/>
        </w:rPr>
        <w:t>Boroodat</w:t>
      </w:r>
      <w:proofErr w:type="spellEnd"/>
      <w:r w:rsidR="003636E0" w:rsidRPr="005E2E96">
        <w:rPr>
          <w:lang w:val="en-CA"/>
        </w:rPr>
        <w:t xml:space="preserve"> </w:t>
      </w:r>
      <w:proofErr w:type="spellStart"/>
      <w:r w:rsidR="003636E0" w:rsidRPr="005E2E96">
        <w:rPr>
          <w:lang w:val="en-CA"/>
        </w:rPr>
        <w:t>Enjemad</w:t>
      </w:r>
      <w:proofErr w:type="spellEnd"/>
      <w:r w:rsidR="003636E0" w:rsidRPr="005E2E96">
        <w:rPr>
          <w:lang w:val="en-CA"/>
        </w:rPr>
        <w:t xml:space="preserve"> and </w:t>
      </w:r>
      <w:proofErr w:type="spellStart"/>
      <w:r w:rsidR="003636E0" w:rsidRPr="005E2E96">
        <w:rPr>
          <w:lang w:val="en-CA"/>
        </w:rPr>
        <w:t>JAvad</w:t>
      </w:r>
      <w:proofErr w:type="spellEnd"/>
      <w:r w:rsidR="003636E0" w:rsidRPr="005E2E96">
        <w:rPr>
          <w:lang w:val="en-CA"/>
        </w:rPr>
        <w:t xml:space="preserve"> </w:t>
      </w:r>
      <w:proofErr w:type="spellStart"/>
      <w:r w:rsidR="003636E0" w:rsidRPr="005E2E96">
        <w:rPr>
          <w:lang w:val="en-CA"/>
        </w:rPr>
        <w:t>Hasani</w:t>
      </w:r>
      <w:proofErr w:type="spellEnd"/>
      <w:r w:rsidR="003636E0" w:rsidRPr="005E2E96">
        <w:rPr>
          <w:lang w:val="en-CA"/>
        </w:rPr>
        <w:t xml:space="preserve">) </w:t>
      </w:r>
      <w:r w:rsidRPr="005E2E96">
        <w:rPr>
          <w:lang w:val="en-CA"/>
        </w:rPr>
        <w:t>with a total consumption of 51.00</w:t>
      </w:r>
      <w:r w:rsidR="00AA7FD3" w:rsidRPr="005E2E96">
        <w:rPr>
          <w:lang w:val="en-CA"/>
        </w:rPr>
        <w:t> mt</w:t>
      </w:r>
      <w:r w:rsidRPr="005E2E96">
        <w:rPr>
          <w:lang w:val="en-CA"/>
        </w:rPr>
        <w:t xml:space="preserve"> (5.61</w:t>
      </w:r>
      <w:r w:rsidR="00E532B1" w:rsidRPr="005E2E96">
        <w:rPr>
          <w:lang w:val="en-CA"/>
        </w:rPr>
        <w:t> ODP t</w:t>
      </w:r>
      <w:r w:rsidRPr="005E2E96">
        <w:rPr>
          <w:lang w:val="en-CA"/>
        </w:rPr>
        <w:t xml:space="preserve">onnes) of HCFC-141b at the time of the approval of </w:t>
      </w:r>
      <w:r w:rsidR="00687BDF" w:rsidRPr="005E2E96">
        <w:rPr>
          <w:lang w:val="en-CA"/>
        </w:rPr>
        <w:t>stage I</w:t>
      </w:r>
      <w:r w:rsidRPr="005E2E96">
        <w:rPr>
          <w:lang w:val="en-CA"/>
        </w:rPr>
        <w:t xml:space="preserve">I, received </w:t>
      </w:r>
      <w:r w:rsidR="00687BDF" w:rsidRPr="005E2E96">
        <w:rPr>
          <w:lang w:val="en-CA"/>
        </w:rPr>
        <w:t>US $</w:t>
      </w:r>
      <w:r w:rsidRPr="005E2E96">
        <w:rPr>
          <w:lang w:val="en-CA"/>
        </w:rPr>
        <w:t xml:space="preserve">370,994 for their </w:t>
      </w:r>
      <w:r w:rsidR="00250662" w:rsidRPr="005E2E96">
        <w:rPr>
          <w:lang w:val="en-CA"/>
        </w:rPr>
        <w:t xml:space="preserve">conversion to cyclopentane </w:t>
      </w:r>
      <w:r w:rsidRPr="005E2E96">
        <w:rPr>
          <w:lang w:val="en-CA"/>
        </w:rPr>
        <w:t>technology; however, the current consumption of each one of these enterprises is less than 10.00</w:t>
      </w:r>
      <w:r w:rsidR="00AA7FD3" w:rsidRPr="005E2E96">
        <w:rPr>
          <w:lang w:val="en-CA"/>
        </w:rPr>
        <w:t> mt</w:t>
      </w:r>
      <w:r w:rsidRPr="005E2E96">
        <w:rPr>
          <w:lang w:val="en-CA"/>
        </w:rPr>
        <w:t xml:space="preserve"> (1.10</w:t>
      </w:r>
      <w:r w:rsidR="00E532B1" w:rsidRPr="005E2E96">
        <w:rPr>
          <w:lang w:val="en-CA"/>
        </w:rPr>
        <w:t> ODP t</w:t>
      </w:r>
      <w:r w:rsidRPr="005E2E96">
        <w:rPr>
          <w:lang w:val="en-CA"/>
        </w:rPr>
        <w:t xml:space="preserve">onnes), </w:t>
      </w:r>
      <w:r w:rsidR="00415D9D" w:rsidRPr="005E2E96">
        <w:rPr>
          <w:lang w:val="en-CA"/>
        </w:rPr>
        <w:t xml:space="preserve">therefore </w:t>
      </w:r>
      <w:r w:rsidRPr="005E2E96">
        <w:rPr>
          <w:lang w:val="en-CA"/>
        </w:rPr>
        <w:t>should</w:t>
      </w:r>
      <w:r w:rsidR="00541308" w:rsidRPr="005E2E96">
        <w:rPr>
          <w:lang w:val="en-CA"/>
        </w:rPr>
        <w:t xml:space="preserve"> be assisted </w:t>
      </w:r>
      <w:r w:rsidR="00415D9D" w:rsidRPr="005E2E96">
        <w:rPr>
          <w:lang w:val="en-CA"/>
        </w:rPr>
        <w:t xml:space="preserve">as part of </w:t>
      </w:r>
      <w:r w:rsidR="00541308" w:rsidRPr="005E2E96">
        <w:rPr>
          <w:lang w:val="en-CA"/>
        </w:rPr>
        <w:t xml:space="preserve">the group project </w:t>
      </w:r>
      <w:r w:rsidR="00374770" w:rsidRPr="005E2E96">
        <w:rPr>
          <w:lang w:val="en-CA"/>
        </w:rPr>
        <w:t>to adopt pre-blended cyclopentane</w:t>
      </w:r>
      <w:r w:rsidR="00325DD0" w:rsidRPr="005E2E96">
        <w:rPr>
          <w:lang w:val="en-CA"/>
        </w:rPr>
        <w:t>,</w:t>
      </w:r>
      <w:r w:rsidR="00206763" w:rsidRPr="005E2E96">
        <w:rPr>
          <w:lang w:val="en-CA"/>
        </w:rPr>
        <w:t xml:space="preserve"> </w:t>
      </w:r>
      <w:r w:rsidR="00543982" w:rsidRPr="005E2E96">
        <w:rPr>
          <w:lang w:val="en-CA"/>
        </w:rPr>
        <w:t xml:space="preserve">and </w:t>
      </w:r>
      <w:r w:rsidR="00B25683" w:rsidRPr="005E2E96">
        <w:rPr>
          <w:lang w:val="en-CA"/>
        </w:rPr>
        <w:t xml:space="preserve">thereby reducing the funding </w:t>
      </w:r>
      <w:r w:rsidR="00325DD0" w:rsidRPr="005E2E96">
        <w:rPr>
          <w:lang w:val="en-CA"/>
        </w:rPr>
        <w:t xml:space="preserve">for these two enterprises to </w:t>
      </w:r>
      <w:r w:rsidR="00687BDF" w:rsidRPr="005E2E96">
        <w:rPr>
          <w:lang w:val="en-CA"/>
        </w:rPr>
        <w:t>US $</w:t>
      </w:r>
      <w:r w:rsidR="00325DD0" w:rsidRPr="005E2E96">
        <w:rPr>
          <w:lang w:val="en-CA"/>
        </w:rPr>
        <w:t>102,300</w:t>
      </w:r>
      <w:r w:rsidR="00B25683" w:rsidRPr="005E2E96">
        <w:rPr>
          <w:lang w:val="en-CA"/>
        </w:rPr>
        <w:t xml:space="preserve"> per enterprise, potentially result</w:t>
      </w:r>
      <w:r w:rsidR="00325DD0" w:rsidRPr="005E2E96">
        <w:rPr>
          <w:lang w:val="en-CA"/>
        </w:rPr>
        <w:t xml:space="preserve">ing in additional savings of </w:t>
      </w:r>
      <w:r w:rsidR="00687BDF" w:rsidRPr="005E2E96">
        <w:rPr>
          <w:lang w:val="en-CA"/>
        </w:rPr>
        <w:t>US $</w:t>
      </w:r>
      <w:r w:rsidR="00325DD0" w:rsidRPr="005E2E96">
        <w:rPr>
          <w:lang w:val="en-CA"/>
        </w:rPr>
        <w:t>166,394</w:t>
      </w:r>
      <w:r w:rsidR="00B25683" w:rsidRPr="005E2E96">
        <w:rPr>
          <w:lang w:val="en-CA"/>
        </w:rPr>
        <w:t xml:space="preserve"> for </w:t>
      </w:r>
      <w:r w:rsidR="00687BDF" w:rsidRPr="005E2E96">
        <w:rPr>
          <w:lang w:val="en-CA"/>
        </w:rPr>
        <w:t>stage I</w:t>
      </w:r>
      <w:r w:rsidR="00B25683" w:rsidRPr="005E2E96">
        <w:rPr>
          <w:lang w:val="en-CA"/>
        </w:rPr>
        <w:t>I;</w:t>
      </w:r>
    </w:p>
    <w:p w14:paraId="0CB18CB9" w14:textId="4141DC14" w:rsidR="00541308" w:rsidRPr="005E2E96" w:rsidRDefault="00697A5E" w:rsidP="009D383A">
      <w:pPr>
        <w:pStyle w:val="Heading2"/>
        <w:rPr>
          <w:lang w:val="en-CA"/>
        </w:rPr>
      </w:pPr>
      <w:r w:rsidRPr="005E2E96">
        <w:rPr>
          <w:lang w:val="en-CA"/>
        </w:rPr>
        <w:t>Th</w:t>
      </w:r>
      <w:r w:rsidR="00541308" w:rsidRPr="005E2E96">
        <w:rPr>
          <w:lang w:val="en-CA"/>
        </w:rPr>
        <w:t xml:space="preserve">ree </w:t>
      </w:r>
      <w:r w:rsidR="00E532B1" w:rsidRPr="005E2E96">
        <w:rPr>
          <w:lang w:val="en-CA"/>
        </w:rPr>
        <w:t xml:space="preserve">enterprises </w:t>
      </w:r>
      <w:r w:rsidR="00541308" w:rsidRPr="005E2E96">
        <w:rPr>
          <w:lang w:val="en-CA"/>
        </w:rPr>
        <w:t xml:space="preserve">initially </w:t>
      </w:r>
      <w:r w:rsidR="00B25683" w:rsidRPr="005E2E96">
        <w:rPr>
          <w:lang w:val="en-CA"/>
        </w:rPr>
        <w:t xml:space="preserve">identified as SMEs and </w:t>
      </w:r>
      <w:r w:rsidR="00541308" w:rsidRPr="005E2E96">
        <w:rPr>
          <w:lang w:val="en-CA"/>
        </w:rPr>
        <w:t xml:space="preserve">included in the group </w:t>
      </w:r>
      <w:r w:rsidR="007031D6" w:rsidRPr="005E2E96">
        <w:rPr>
          <w:lang w:val="en-CA"/>
        </w:rPr>
        <w:t>project</w:t>
      </w:r>
      <w:r w:rsidR="003636E0" w:rsidRPr="005E2E96">
        <w:rPr>
          <w:lang w:val="en-CA"/>
        </w:rPr>
        <w:t xml:space="preserve"> (</w:t>
      </w:r>
      <w:proofErr w:type="spellStart"/>
      <w:r w:rsidR="003636E0" w:rsidRPr="005E2E96">
        <w:rPr>
          <w:lang w:val="en-CA"/>
        </w:rPr>
        <w:t>Charmahali</w:t>
      </w:r>
      <w:proofErr w:type="spellEnd"/>
      <w:r w:rsidR="003636E0" w:rsidRPr="005E2E96">
        <w:rPr>
          <w:lang w:val="en-CA"/>
        </w:rPr>
        <w:t xml:space="preserve">, </w:t>
      </w:r>
      <w:proofErr w:type="spellStart"/>
      <w:r w:rsidR="003636E0" w:rsidRPr="005E2E96">
        <w:rPr>
          <w:lang w:val="en-CA"/>
        </w:rPr>
        <w:t>Takran</w:t>
      </w:r>
      <w:proofErr w:type="spellEnd"/>
      <w:r w:rsidR="003636E0" w:rsidRPr="005E2E96">
        <w:rPr>
          <w:lang w:val="en-CA"/>
        </w:rPr>
        <w:t xml:space="preserve"> </w:t>
      </w:r>
      <w:proofErr w:type="spellStart"/>
      <w:r w:rsidR="003636E0" w:rsidRPr="005E2E96">
        <w:rPr>
          <w:lang w:val="en-CA"/>
        </w:rPr>
        <w:t>Mobared</w:t>
      </w:r>
      <w:proofErr w:type="spellEnd"/>
      <w:r w:rsidR="003636E0" w:rsidRPr="005E2E96">
        <w:rPr>
          <w:lang w:val="en-CA"/>
        </w:rPr>
        <w:t xml:space="preserve"> and Evans)</w:t>
      </w:r>
      <w:r w:rsidRPr="005E2E96">
        <w:rPr>
          <w:lang w:val="en-CA"/>
        </w:rPr>
        <w:t xml:space="preserve"> had reported a total consumption of 20.80</w:t>
      </w:r>
      <w:r w:rsidR="00AA7FD3" w:rsidRPr="005E2E96">
        <w:rPr>
          <w:lang w:val="en-CA"/>
        </w:rPr>
        <w:t> mt</w:t>
      </w:r>
      <w:r w:rsidRPr="005E2E96">
        <w:rPr>
          <w:lang w:val="en-CA"/>
        </w:rPr>
        <w:t xml:space="preserve"> (2.29</w:t>
      </w:r>
      <w:r w:rsidR="00E532B1" w:rsidRPr="005E2E96">
        <w:rPr>
          <w:lang w:val="en-CA"/>
        </w:rPr>
        <w:t> ODP t</w:t>
      </w:r>
      <w:r w:rsidRPr="005E2E96">
        <w:rPr>
          <w:lang w:val="en-CA"/>
        </w:rPr>
        <w:t xml:space="preserve">onnes) </w:t>
      </w:r>
      <w:r w:rsidR="00F15EDA" w:rsidRPr="005E2E96">
        <w:rPr>
          <w:lang w:val="en-CA"/>
        </w:rPr>
        <w:t xml:space="preserve">of HCFC-141b </w:t>
      </w:r>
      <w:r w:rsidRPr="005E2E96">
        <w:rPr>
          <w:lang w:val="en-CA"/>
        </w:rPr>
        <w:t xml:space="preserve">at the time of approval of </w:t>
      </w:r>
      <w:r w:rsidR="00687BDF" w:rsidRPr="005E2E96">
        <w:rPr>
          <w:lang w:val="en-CA"/>
        </w:rPr>
        <w:t>stage I</w:t>
      </w:r>
      <w:r w:rsidRPr="005E2E96">
        <w:rPr>
          <w:lang w:val="en-CA"/>
        </w:rPr>
        <w:t>I</w:t>
      </w:r>
      <w:r w:rsidR="00F15EDA" w:rsidRPr="005E2E96">
        <w:rPr>
          <w:lang w:val="en-CA"/>
        </w:rPr>
        <w:t>; however,</w:t>
      </w:r>
      <w:r w:rsidRPr="005E2E96">
        <w:rPr>
          <w:lang w:val="en-CA"/>
        </w:rPr>
        <w:t xml:space="preserve"> </w:t>
      </w:r>
      <w:r w:rsidR="00F15EDA" w:rsidRPr="005E2E96">
        <w:rPr>
          <w:lang w:val="en-CA"/>
        </w:rPr>
        <w:t xml:space="preserve">the consumption has </w:t>
      </w:r>
      <w:r w:rsidRPr="005E2E96">
        <w:rPr>
          <w:lang w:val="en-CA"/>
        </w:rPr>
        <w:t>increased to 97.70</w:t>
      </w:r>
      <w:r w:rsidR="00AA7FD3" w:rsidRPr="005E2E96">
        <w:rPr>
          <w:lang w:val="en-CA"/>
        </w:rPr>
        <w:t> mt</w:t>
      </w:r>
      <w:r w:rsidRPr="005E2E96">
        <w:rPr>
          <w:lang w:val="en-CA"/>
        </w:rPr>
        <w:t xml:space="preserve"> (10.75</w:t>
      </w:r>
      <w:r w:rsidR="00E532B1" w:rsidRPr="005E2E96">
        <w:rPr>
          <w:lang w:val="en-CA"/>
        </w:rPr>
        <w:t> ODP t</w:t>
      </w:r>
      <w:r w:rsidRPr="005E2E96">
        <w:rPr>
          <w:lang w:val="en-CA"/>
        </w:rPr>
        <w:t>onnes) in 2018</w:t>
      </w:r>
      <w:r w:rsidR="009D383A" w:rsidRPr="005E2E96">
        <w:rPr>
          <w:lang w:val="en-CA"/>
        </w:rPr>
        <w:t xml:space="preserve">, </w:t>
      </w:r>
      <w:r w:rsidR="00B25683" w:rsidRPr="005E2E96">
        <w:rPr>
          <w:lang w:val="en-CA"/>
        </w:rPr>
        <w:t xml:space="preserve">therefore </w:t>
      </w:r>
      <w:r w:rsidR="00F15EDA" w:rsidRPr="005E2E96">
        <w:rPr>
          <w:lang w:val="en-CA"/>
        </w:rPr>
        <w:t xml:space="preserve">should </w:t>
      </w:r>
      <w:r w:rsidR="00B25683" w:rsidRPr="005E2E96">
        <w:rPr>
          <w:lang w:val="en-CA"/>
        </w:rPr>
        <w:t>be considered as part of the individual conversions</w:t>
      </w:r>
      <w:r w:rsidR="008B2E22" w:rsidRPr="005E2E96">
        <w:rPr>
          <w:lang w:val="en-CA"/>
        </w:rPr>
        <w:t xml:space="preserve"> to cyclopentane</w:t>
      </w:r>
      <w:r w:rsidR="009D383A" w:rsidRPr="005E2E96">
        <w:rPr>
          <w:lang w:val="en-CA"/>
        </w:rPr>
        <w:t>, rather than under the group project.</w:t>
      </w:r>
      <w:r w:rsidR="008B2E22" w:rsidRPr="005E2E96">
        <w:rPr>
          <w:lang w:val="en-CA"/>
        </w:rPr>
        <w:t xml:space="preserve"> The cost of these conversions will increase by </w:t>
      </w:r>
      <w:r w:rsidR="00687BDF" w:rsidRPr="005E2E96">
        <w:rPr>
          <w:lang w:val="en-CA"/>
        </w:rPr>
        <w:t>US $</w:t>
      </w:r>
      <w:r w:rsidR="008B2E22" w:rsidRPr="005E2E96">
        <w:rPr>
          <w:lang w:val="en-CA"/>
        </w:rPr>
        <w:t xml:space="preserve">438,924 (from </w:t>
      </w:r>
      <w:r w:rsidR="00687BDF" w:rsidRPr="005E2E96">
        <w:rPr>
          <w:lang w:val="en-CA"/>
        </w:rPr>
        <w:t>US $</w:t>
      </w:r>
      <w:r w:rsidR="008B2E22" w:rsidRPr="005E2E96">
        <w:rPr>
          <w:lang w:val="en-CA"/>
        </w:rPr>
        <w:t xml:space="preserve">27,695 to </w:t>
      </w:r>
      <w:r w:rsidR="00687BDF" w:rsidRPr="005E2E96">
        <w:rPr>
          <w:lang w:val="en-CA"/>
        </w:rPr>
        <w:t>US $</w:t>
      </w:r>
      <w:r w:rsidR="008B2E22" w:rsidRPr="005E2E96">
        <w:rPr>
          <w:lang w:val="en-CA"/>
        </w:rPr>
        <w:t>174,003 per enterprise).</w:t>
      </w:r>
    </w:p>
    <w:p w14:paraId="78BCDF6D" w14:textId="456BD725" w:rsidR="00250662" w:rsidRPr="005E2E96" w:rsidRDefault="00036994" w:rsidP="009A3176">
      <w:pPr>
        <w:pStyle w:val="Heading1"/>
        <w:rPr>
          <w:lang w:val="en-CA"/>
        </w:rPr>
      </w:pPr>
      <w:r w:rsidRPr="005E2E96">
        <w:rPr>
          <w:lang w:val="en-CA"/>
        </w:rPr>
        <w:t xml:space="preserve">UNIDO </w:t>
      </w:r>
      <w:r w:rsidR="00B25683" w:rsidRPr="005E2E96">
        <w:rPr>
          <w:lang w:val="en-CA"/>
        </w:rPr>
        <w:t xml:space="preserve">noted that the main reason for the closure of the two foam enterprises and the reduction in HCFC consumption by two enterprises, is the economic situation in the country. They also </w:t>
      </w:r>
      <w:r w:rsidR="009445A4" w:rsidRPr="005E2E96">
        <w:rPr>
          <w:lang w:val="en-CA"/>
        </w:rPr>
        <w:t>confirmed</w:t>
      </w:r>
      <w:r w:rsidR="00250662" w:rsidRPr="005E2E96">
        <w:rPr>
          <w:lang w:val="en-CA"/>
        </w:rPr>
        <w:t xml:space="preserve"> that </w:t>
      </w:r>
      <w:r w:rsidR="00B25683" w:rsidRPr="005E2E96">
        <w:rPr>
          <w:lang w:val="en-CA"/>
        </w:rPr>
        <w:t>those</w:t>
      </w:r>
      <w:r w:rsidR="00543982" w:rsidRPr="005E2E96">
        <w:rPr>
          <w:lang w:val="en-CA"/>
        </w:rPr>
        <w:t xml:space="preserve"> foam</w:t>
      </w:r>
      <w:r w:rsidR="00250662" w:rsidRPr="005E2E96">
        <w:rPr>
          <w:lang w:val="en-CA"/>
        </w:rPr>
        <w:t xml:space="preserve"> enterprises </w:t>
      </w:r>
      <w:r w:rsidR="00543982" w:rsidRPr="005E2E96">
        <w:rPr>
          <w:lang w:val="en-CA"/>
        </w:rPr>
        <w:t xml:space="preserve">that had </w:t>
      </w:r>
      <w:r w:rsidR="00250662" w:rsidRPr="005E2E96">
        <w:rPr>
          <w:lang w:val="en-CA"/>
        </w:rPr>
        <w:t xml:space="preserve">increased </w:t>
      </w:r>
      <w:r w:rsidR="00543982" w:rsidRPr="005E2E96">
        <w:rPr>
          <w:lang w:val="en-CA"/>
        </w:rPr>
        <w:t xml:space="preserve">their HCFC consumption since the approval of </w:t>
      </w:r>
      <w:r w:rsidR="00687BDF" w:rsidRPr="005E2E96">
        <w:rPr>
          <w:lang w:val="en-CA"/>
        </w:rPr>
        <w:t>stage I</w:t>
      </w:r>
      <w:r w:rsidR="00543982" w:rsidRPr="005E2E96">
        <w:rPr>
          <w:lang w:val="en-CA"/>
        </w:rPr>
        <w:t>I</w:t>
      </w:r>
      <w:r w:rsidR="008334D1" w:rsidRPr="005E2E96">
        <w:rPr>
          <w:lang w:val="en-CA"/>
        </w:rPr>
        <w:t>,</w:t>
      </w:r>
      <w:r w:rsidR="00543982" w:rsidRPr="005E2E96">
        <w:rPr>
          <w:lang w:val="en-CA"/>
        </w:rPr>
        <w:t xml:space="preserve"> had </w:t>
      </w:r>
      <w:r w:rsidR="00B25683" w:rsidRPr="005E2E96">
        <w:rPr>
          <w:lang w:val="en-CA"/>
        </w:rPr>
        <w:t xml:space="preserve">not </w:t>
      </w:r>
      <w:r w:rsidR="00543982" w:rsidRPr="005E2E96">
        <w:rPr>
          <w:lang w:val="en-CA"/>
        </w:rPr>
        <w:t xml:space="preserve">increased </w:t>
      </w:r>
      <w:r w:rsidR="00250662" w:rsidRPr="005E2E96">
        <w:rPr>
          <w:lang w:val="en-CA"/>
        </w:rPr>
        <w:t xml:space="preserve">their production capacity </w:t>
      </w:r>
      <w:r w:rsidR="00543982" w:rsidRPr="005E2E96">
        <w:rPr>
          <w:lang w:val="en-CA"/>
        </w:rPr>
        <w:t xml:space="preserve">or </w:t>
      </w:r>
      <w:r w:rsidR="00250662" w:rsidRPr="005E2E96">
        <w:rPr>
          <w:lang w:val="en-CA"/>
        </w:rPr>
        <w:t>after 21 September 2007</w:t>
      </w:r>
      <w:r w:rsidR="00543982" w:rsidRPr="005E2E96">
        <w:rPr>
          <w:lang w:val="en-CA"/>
        </w:rPr>
        <w:t xml:space="preserve">. </w:t>
      </w:r>
    </w:p>
    <w:p w14:paraId="3F8CD1D2" w14:textId="3225B31C" w:rsidR="00F20836" w:rsidRPr="005E2E96" w:rsidRDefault="00F20836" w:rsidP="00543982">
      <w:pPr>
        <w:pStyle w:val="Heading1"/>
        <w:rPr>
          <w:lang w:val="en-CA"/>
        </w:rPr>
      </w:pPr>
      <w:r w:rsidRPr="005E2E96">
        <w:rPr>
          <w:lang w:val="en-CA"/>
        </w:rPr>
        <w:t>Currently</w:t>
      </w:r>
      <w:r w:rsidR="007F12F1" w:rsidRPr="005E2E96">
        <w:rPr>
          <w:lang w:val="en-CA"/>
        </w:rPr>
        <w:t>,</w:t>
      </w:r>
      <w:r w:rsidRPr="005E2E96">
        <w:rPr>
          <w:lang w:val="en-CA"/>
        </w:rPr>
        <w:t xml:space="preserve"> the 42 </w:t>
      </w:r>
      <w:r w:rsidR="007F12F1" w:rsidRPr="005E2E96">
        <w:rPr>
          <w:lang w:val="en-CA"/>
        </w:rPr>
        <w:t xml:space="preserve">SMEs </w:t>
      </w:r>
      <w:r w:rsidRPr="005E2E96">
        <w:rPr>
          <w:lang w:val="en-CA"/>
        </w:rPr>
        <w:t>included in the group conversion project received approval for conversion to water</w:t>
      </w:r>
      <w:r w:rsidRPr="005E2E96">
        <w:rPr>
          <w:lang w:val="en-CA"/>
        </w:rPr>
        <w:noBreakHyphen/>
        <w:t xml:space="preserve">blown </w:t>
      </w:r>
      <w:r w:rsidR="00543982" w:rsidRPr="005E2E96">
        <w:rPr>
          <w:lang w:val="en-CA"/>
        </w:rPr>
        <w:t>technology</w:t>
      </w:r>
      <w:r w:rsidRPr="005E2E96">
        <w:rPr>
          <w:lang w:val="en-CA"/>
        </w:rPr>
        <w:t xml:space="preserve">. </w:t>
      </w:r>
      <w:r w:rsidR="00CD470D" w:rsidRPr="005E2E96">
        <w:rPr>
          <w:lang w:val="en-CA"/>
        </w:rPr>
        <w:t>In addition to the findings described above, a</w:t>
      </w:r>
      <w:r w:rsidR="007F12F1" w:rsidRPr="005E2E96">
        <w:rPr>
          <w:lang w:val="en-CA"/>
        </w:rPr>
        <w:t xml:space="preserve">fter a further technical assessment of the proposed technology, </w:t>
      </w:r>
      <w:r w:rsidR="00036994" w:rsidRPr="005E2E96">
        <w:rPr>
          <w:lang w:val="en-CA"/>
        </w:rPr>
        <w:t xml:space="preserve">UNIDO </w:t>
      </w:r>
      <w:r w:rsidR="007F12F1" w:rsidRPr="005E2E96">
        <w:rPr>
          <w:lang w:val="en-CA"/>
        </w:rPr>
        <w:t xml:space="preserve">noted that </w:t>
      </w:r>
      <w:r w:rsidRPr="005E2E96">
        <w:rPr>
          <w:lang w:val="en-CA"/>
        </w:rPr>
        <w:t xml:space="preserve">for </w:t>
      </w:r>
      <w:r w:rsidR="00543982" w:rsidRPr="005E2E96">
        <w:rPr>
          <w:lang w:val="en-CA"/>
        </w:rPr>
        <w:t xml:space="preserve">15 </w:t>
      </w:r>
      <w:r w:rsidRPr="005E2E96">
        <w:rPr>
          <w:lang w:val="en-CA"/>
        </w:rPr>
        <w:t>enterprises</w:t>
      </w:r>
      <w:r w:rsidR="00543982" w:rsidRPr="005E2E96">
        <w:rPr>
          <w:rStyle w:val="FootnoteReference"/>
          <w:lang w:val="en-CA"/>
        </w:rPr>
        <w:footnoteReference w:id="8"/>
      </w:r>
      <w:r w:rsidR="00543982" w:rsidRPr="005E2E96">
        <w:rPr>
          <w:lang w:val="en-CA"/>
        </w:rPr>
        <w:t xml:space="preserve"> </w:t>
      </w:r>
      <w:r w:rsidRPr="005E2E96">
        <w:rPr>
          <w:lang w:val="en-CA"/>
        </w:rPr>
        <w:t xml:space="preserve">producing </w:t>
      </w:r>
      <w:r w:rsidR="00A957E7" w:rsidRPr="005E2E96">
        <w:rPr>
          <w:lang w:val="en-CA"/>
        </w:rPr>
        <w:t xml:space="preserve">insulation foam for </w:t>
      </w:r>
      <w:r w:rsidRPr="005E2E96">
        <w:rPr>
          <w:lang w:val="en-CA"/>
        </w:rPr>
        <w:t>domestic refrigerat</w:t>
      </w:r>
      <w:r w:rsidR="00A957E7" w:rsidRPr="005E2E96">
        <w:rPr>
          <w:lang w:val="en-CA"/>
        </w:rPr>
        <w:t>ors</w:t>
      </w:r>
      <w:r w:rsidRPr="005E2E96">
        <w:rPr>
          <w:lang w:val="en-CA"/>
        </w:rPr>
        <w:t xml:space="preserve"> and discontinuous sandwich panel</w:t>
      </w:r>
      <w:r w:rsidR="00A957E7" w:rsidRPr="005E2E96">
        <w:rPr>
          <w:lang w:val="en-CA"/>
        </w:rPr>
        <w:t>,</w:t>
      </w:r>
      <w:r w:rsidRPr="005E2E96">
        <w:rPr>
          <w:lang w:val="en-CA"/>
        </w:rPr>
        <w:t xml:space="preserve"> pre</w:t>
      </w:r>
      <w:r w:rsidRPr="005E2E96">
        <w:rPr>
          <w:lang w:val="en-CA"/>
        </w:rPr>
        <w:noBreakHyphen/>
        <w:t xml:space="preserve">blended cyclopentane </w:t>
      </w:r>
      <w:r w:rsidR="00A957E7" w:rsidRPr="005E2E96">
        <w:rPr>
          <w:lang w:val="en-CA"/>
        </w:rPr>
        <w:t xml:space="preserve">would be </w:t>
      </w:r>
      <w:r w:rsidRPr="005E2E96">
        <w:rPr>
          <w:lang w:val="en-CA"/>
        </w:rPr>
        <w:t>a better technical option to maintain the required density and insulation properties.</w:t>
      </w:r>
      <w:r w:rsidR="009465D2" w:rsidRPr="005E2E96">
        <w:rPr>
          <w:lang w:val="en-CA"/>
        </w:rPr>
        <w:t xml:space="preserve"> The technology will be supplied by the systems house being assisted by UNDP under </w:t>
      </w:r>
      <w:r w:rsidR="00687BDF" w:rsidRPr="005E2E96">
        <w:rPr>
          <w:lang w:val="en-CA"/>
        </w:rPr>
        <w:t>stage I</w:t>
      </w:r>
      <w:r w:rsidR="009465D2" w:rsidRPr="005E2E96">
        <w:rPr>
          <w:lang w:val="en-CA"/>
        </w:rPr>
        <w:t>I.</w:t>
      </w:r>
      <w:r w:rsidRPr="005E2E96">
        <w:rPr>
          <w:lang w:val="en-CA"/>
        </w:rPr>
        <w:t xml:space="preserve"> </w:t>
      </w:r>
      <w:r w:rsidR="00543982" w:rsidRPr="005E2E96">
        <w:rPr>
          <w:lang w:val="en-CA"/>
        </w:rPr>
        <w:t xml:space="preserve">The 15 enterprises are suited to operating with </w:t>
      </w:r>
      <w:r w:rsidR="00543982" w:rsidRPr="005E2E96">
        <w:rPr>
          <w:lang w:val="en-CA"/>
        </w:rPr>
        <w:lastRenderedPageBreak/>
        <w:t>flammable blowing agent, are located in areas where these substances are allowed, and capable of co</w:t>
      </w:r>
      <w:r w:rsidR="00543982" w:rsidRPr="005E2E96">
        <w:rPr>
          <w:lang w:val="en-CA"/>
        </w:rPr>
        <w:noBreakHyphen/>
        <w:t>financing part of the conversion.</w:t>
      </w:r>
    </w:p>
    <w:p w14:paraId="383BFD55" w14:textId="2D731B3A" w:rsidR="004A7F0C" w:rsidRPr="005E2E96" w:rsidRDefault="00F20836" w:rsidP="00543982">
      <w:pPr>
        <w:numPr>
          <w:ilvl w:val="0"/>
          <w:numId w:val="1"/>
        </w:numPr>
        <w:spacing w:after="240"/>
        <w:outlineLvl w:val="0"/>
        <w:rPr>
          <w:lang w:val="en-CA"/>
        </w:rPr>
      </w:pPr>
      <w:r w:rsidRPr="005E2E96">
        <w:rPr>
          <w:lang w:val="en-CA"/>
        </w:rPr>
        <w:t xml:space="preserve">The cost of the conversion </w:t>
      </w:r>
      <w:r w:rsidR="00543982" w:rsidRPr="005E2E96">
        <w:rPr>
          <w:lang w:val="en-CA"/>
        </w:rPr>
        <w:t xml:space="preserve">to cyclopentane technology </w:t>
      </w:r>
      <w:r w:rsidRPr="005E2E96">
        <w:rPr>
          <w:lang w:val="en-CA"/>
        </w:rPr>
        <w:t>is higher (</w:t>
      </w:r>
      <w:r w:rsidR="00687BDF" w:rsidRPr="005E2E96">
        <w:rPr>
          <w:lang w:val="en-CA"/>
        </w:rPr>
        <w:t>US $</w:t>
      </w:r>
      <w:r w:rsidR="00C05548" w:rsidRPr="005E2E96">
        <w:rPr>
          <w:lang w:val="en-CA"/>
        </w:rPr>
        <w:t>102,300</w:t>
      </w:r>
      <w:r w:rsidRPr="005E2E96">
        <w:rPr>
          <w:lang w:val="en-CA"/>
        </w:rPr>
        <w:t xml:space="preserve"> per enterprise) than</w:t>
      </w:r>
      <w:r w:rsidR="00CC1CD1" w:rsidRPr="005E2E96">
        <w:rPr>
          <w:lang w:val="en-CA"/>
        </w:rPr>
        <w:t xml:space="preserve"> the funding approved for water-based technology (</w:t>
      </w:r>
      <w:r w:rsidR="00687BDF" w:rsidRPr="005E2E96">
        <w:rPr>
          <w:lang w:val="en-CA"/>
        </w:rPr>
        <w:t>US $</w:t>
      </w:r>
      <w:r w:rsidR="00CC1CD1" w:rsidRPr="005E2E96">
        <w:rPr>
          <w:lang w:val="en-CA"/>
        </w:rPr>
        <w:t>27,695 per enterprise)</w:t>
      </w:r>
      <w:r w:rsidR="00C05548" w:rsidRPr="005E2E96">
        <w:rPr>
          <w:lang w:val="en-CA"/>
        </w:rPr>
        <w:t xml:space="preserve"> as it includes </w:t>
      </w:r>
      <w:r w:rsidR="00543982" w:rsidRPr="005E2E96">
        <w:rPr>
          <w:lang w:val="en-CA"/>
        </w:rPr>
        <w:t>retrofit or replacement of the foam dispenser and electrostatic grounding</w:t>
      </w:r>
      <w:r w:rsidR="004A7F0C" w:rsidRPr="005E2E96">
        <w:rPr>
          <w:lang w:val="en-CA"/>
        </w:rPr>
        <w:t xml:space="preserve">, installation of </w:t>
      </w:r>
      <w:r w:rsidR="00C05548" w:rsidRPr="005E2E96">
        <w:rPr>
          <w:lang w:val="en-CA"/>
        </w:rPr>
        <w:t>gas detection systems</w:t>
      </w:r>
      <w:r w:rsidR="004A7F0C" w:rsidRPr="005E2E96">
        <w:rPr>
          <w:lang w:val="en-CA"/>
        </w:rPr>
        <w:t xml:space="preserve"> and </w:t>
      </w:r>
      <w:r w:rsidR="00C05548" w:rsidRPr="005E2E96">
        <w:rPr>
          <w:lang w:val="en-CA"/>
        </w:rPr>
        <w:t>ventilation</w:t>
      </w:r>
      <w:r w:rsidR="008D10EC" w:rsidRPr="005E2E96">
        <w:rPr>
          <w:lang w:val="en-CA"/>
        </w:rPr>
        <w:t>.</w:t>
      </w:r>
      <w:r w:rsidR="00CC1CD1" w:rsidRPr="005E2E96">
        <w:rPr>
          <w:lang w:val="en-CA"/>
        </w:rPr>
        <w:t xml:space="preserve"> </w:t>
      </w:r>
      <w:r w:rsidR="00036994" w:rsidRPr="005E2E96">
        <w:rPr>
          <w:lang w:val="en-CA"/>
        </w:rPr>
        <w:t xml:space="preserve">The </w:t>
      </w:r>
      <w:r w:rsidR="009465D2" w:rsidRPr="005E2E96">
        <w:rPr>
          <w:lang w:val="en-CA"/>
        </w:rPr>
        <w:t xml:space="preserve">overall </w:t>
      </w:r>
      <w:r w:rsidR="00036994" w:rsidRPr="005E2E96">
        <w:rPr>
          <w:lang w:val="en-CA"/>
        </w:rPr>
        <w:t xml:space="preserve">difference in the cost between the earlier approved technology vis-à-vis shifting to pre-blended cyclopentane would be over </w:t>
      </w:r>
      <w:r w:rsidR="00687BDF" w:rsidRPr="005E2E96">
        <w:rPr>
          <w:lang w:val="en-CA"/>
        </w:rPr>
        <w:t>US $</w:t>
      </w:r>
      <w:r w:rsidR="00036994" w:rsidRPr="005E2E96">
        <w:rPr>
          <w:lang w:val="en-CA"/>
        </w:rPr>
        <w:t>1</w:t>
      </w:r>
      <w:r w:rsidR="00B316E0" w:rsidRPr="005E2E96">
        <w:rPr>
          <w:lang w:val="en-CA"/>
        </w:rPr>
        <w:t> </w:t>
      </w:r>
      <w:r w:rsidR="00036994" w:rsidRPr="005E2E96">
        <w:rPr>
          <w:lang w:val="en-CA"/>
        </w:rPr>
        <w:t>million.</w:t>
      </w:r>
      <w:r w:rsidR="00CC1CD1" w:rsidRPr="005E2E96">
        <w:rPr>
          <w:lang w:val="en-CA"/>
        </w:rPr>
        <w:t xml:space="preserve"> </w:t>
      </w:r>
    </w:p>
    <w:p w14:paraId="1C9ACBD5" w14:textId="292181F2" w:rsidR="00D866D0" w:rsidRPr="005E2E96" w:rsidRDefault="004A7F0C" w:rsidP="006A0111">
      <w:pPr>
        <w:pStyle w:val="Heading1"/>
        <w:rPr>
          <w:lang w:val="en-CA"/>
        </w:rPr>
      </w:pPr>
      <w:r w:rsidRPr="005E2E96">
        <w:rPr>
          <w:lang w:val="en-CA"/>
        </w:rPr>
        <w:t>In line with relevant decisions, UNIDO is requesting flexibility in the use of the funds so far approved</w:t>
      </w:r>
      <w:r w:rsidR="00850639" w:rsidRPr="005E2E96">
        <w:rPr>
          <w:lang w:val="en-CA"/>
        </w:rPr>
        <w:t xml:space="preserve"> for the PU foam sector. UNIDO </w:t>
      </w:r>
      <w:r w:rsidRPr="005E2E96">
        <w:rPr>
          <w:lang w:val="en-CA"/>
        </w:rPr>
        <w:t xml:space="preserve">has submitted </w:t>
      </w:r>
      <w:r w:rsidR="00CC1CD1" w:rsidRPr="005E2E96">
        <w:rPr>
          <w:lang w:val="en-CA"/>
        </w:rPr>
        <w:t>a proposal that s</w:t>
      </w:r>
      <w:r w:rsidR="00036994" w:rsidRPr="005E2E96">
        <w:rPr>
          <w:lang w:val="en-CA"/>
        </w:rPr>
        <w:t>tay</w:t>
      </w:r>
      <w:r w:rsidR="00CC1CD1" w:rsidRPr="005E2E96">
        <w:rPr>
          <w:lang w:val="en-CA"/>
        </w:rPr>
        <w:t>s</w:t>
      </w:r>
      <w:r w:rsidR="00036994" w:rsidRPr="005E2E96">
        <w:rPr>
          <w:lang w:val="en-CA"/>
        </w:rPr>
        <w:t xml:space="preserve"> within the </w:t>
      </w:r>
      <w:r w:rsidR="00B25683" w:rsidRPr="005E2E96">
        <w:rPr>
          <w:lang w:val="en-CA"/>
        </w:rPr>
        <w:t xml:space="preserve">overall </w:t>
      </w:r>
      <w:r w:rsidR="00036994" w:rsidRPr="005E2E96">
        <w:rPr>
          <w:lang w:val="en-CA"/>
        </w:rPr>
        <w:t xml:space="preserve">funding approved by the Executive Committee for this sector by reallocating </w:t>
      </w:r>
      <w:r w:rsidR="00850639" w:rsidRPr="005E2E96">
        <w:rPr>
          <w:lang w:val="en-CA"/>
        </w:rPr>
        <w:t>funding from those individual enterprises that had closed or already converted (</w:t>
      </w:r>
      <w:r w:rsidR="00687BDF" w:rsidRPr="005E2E96">
        <w:rPr>
          <w:lang w:val="en-CA"/>
        </w:rPr>
        <w:t>US $</w:t>
      </w:r>
      <w:r w:rsidR="00850639" w:rsidRPr="005E2E96">
        <w:rPr>
          <w:lang w:val="en-CA"/>
        </w:rPr>
        <w:t>696,010), and the one enterprise (</w:t>
      </w:r>
      <w:r w:rsidR="00687BDF" w:rsidRPr="005E2E96">
        <w:rPr>
          <w:lang w:val="en-CA"/>
        </w:rPr>
        <w:t>US $</w:t>
      </w:r>
      <w:r w:rsidR="00850639" w:rsidRPr="005E2E96">
        <w:rPr>
          <w:lang w:val="en-CA"/>
        </w:rPr>
        <w:t>27,695) from the group project, to</w:t>
      </w:r>
      <w:r w:rsidR="00D65285" w:rsidRPr="005E2E96">
        <w:rPr>
          <w:lang w:val="en-CA"/>
        </w:rPr>
        <w:t xml:space="preserve"> fund the additional cost of the three enterprises moved to individual conversion and to partially fund</w:t>
      </w:r>
      <w:r w:rsidR="00850639" w:rsidRPr="005E2E96">
        <w:rPr>
          <w:lang w:val="en-CA"/>
        </w:rPr>
        <w:t xml:space="preserve"> the</w:t>
      </w:r>
      <w:r w:rsidR="00AD072A" w:rsidRPr="005E2E96">
        <w:rPr>
          <w:lang w:val="en-CA"/>
        </w:rPr>
        <w:t xml:space="preserve"> conversions</w:t>
      </w:r>
      <w:r w:rsidR="00D65285" w:rsidRPr="005E2E96">
        <w:rPr>
          <w:lang w:val="en-CA"/>
        </w:rPr>
        <w:t xml:space="preserve"> in the group project</w:t>
      </w:r>
      <w:r w:rsidR="00AD072A" w:rsidRPr="005E2E96">
        <w:rPr>
          <w:lang w:val="en-CA"/>
        </w:rPr>
        <w:t xml:space="preserve"> to pre-blended cyclopentane</w:t>
      </w:r>
      <w:r w:rsidR="00D65285" w:rsidRPr="005E2E96">
        <w:rPr>
          <w:lang w:val="en-CA"/>
        </w:rPr>
        <w:t>, noting that they will provide co-funding.</w:t>
      </w:r>
      <w:r w:rsidR="00036994" w:rsidRPr="005E2E96">
        <w:rPr>
          <w:lang w:val="en-CA"/>
        </w:rPr>
        <w:t xml:space="preserve"> </w:t>
      </w:r>
    </w:p>
    <w:p w14:paraId="697ED35A" w14:textId="5F719F33" w:rsidR="00D866D0" w:rsidRPr="005E2E96" w:rsidRDefault="00CC1CD1" w:rsidP="009A3176">
      <w:pPr>
        <w:pStyle w:val="Heading1"/>
        <w:rPr>
          <w:color w:val="000000" w:themeColor="text1"/>
          <w:lang w:val="en-CA"/>
        </w:rPr>
      </w:pPr>
      <w:r w:rsidRPr="005E2E96">
        <w:rPr>
          <w:color w:val="000000" w:themeColor="text1"/>
          <w:lang w:val="en-CA"/>
        </w:rPr>
        <w:t xml:space="preserve">The Secretariat </w:t>
      </w:r>
      <w:r w:rsidR="00850639" w:rsidRPr="005E2E96">
        <w:rPr>
          <w:color w:val="000000" w:themeColor="text1"/>
          <w:lang w:val="en-CA"/>
        </w:rPr>
        <w:t xml:space="preserve">had extensive discussions </w:t>
      </w:r>
      <w:r w:rsidRPr="005E2E96">
        <w:rPr>
          <w:color w:val="000000" w:themeColor="text1"/>
          <w:lang w:val="en-CA"/>
        </w:rPr>
        <w:t xml:space="preserve">with UNIDO </w:t>
      </w:r>
      <w:r w:rsidR="00850639" w:rsidRPr="005E2E96">
        <w:rPr>
          <w:color w:val="000000" w:themeColor="text1"/>
          <w:lang w:val="en-CA"/>
        </w:rPr>
        <w:t xml:space="preserve">on </w:t>
      </w:r>
      <w:r w:rsidRPr="005E2E96">
        <w:rPr>
          <w:color w:val="000000" w:themeColor="text1"/>
          <w:lang w:val="en-CA"/>
        </w:rPr>
        <w:t>the proposal to allow the change of technology for the enterprises in the group project</w:t>
      </w:r>
      <w:r w:rsidR="00850639" w:rsidRPr="005E2E96">
        <w:rPr>
          <w:color w:val="000000" w:themeColor="text1"/>
          <w:lang w:val="en-CA"/>
        </w:rPr>
        <w:t>,</w:t>
      </w:r>
      <w:r w:rsidRPr="005E2E96">
        <w:rPr>
          <w:color w:val="000000" w:themeColor="text1"/>
          <w:lang w:val="en-CA"/>
        </w:rPr>
        <w:t xml:space="preserve"> and the </w:t>
      </w:r>
      <w:r w:rsidR="00850639" w:rsidRPr="005E2E96">
        <w:rPr>
          <w:color w:val="000000" w:themeColor="text1"/>
          <w:lang w:val="en-CA"/>
        </w:rPr>
        <w:t xml:space="preserve">possible </w:t>
      </w:r>
      <w:r w:rsidRPr="005E2E96">
        <w:rPr>
          <w:color w:val="000000" w:themeColor="text1"/>
          <w:lang w:val="en-CA"/>
        </w:rPr>
        <w:t xml:space="preserve">use of the </w:t>
      </w:r>
      <w:r w:rsidR="00850639" w:rsidRPr="005E2E96">
        <w:rPr>
          <w:color w:val="000000" w:themeColor="text1"/>
          <w:lang w:val="en-CA"/>
        </w:rPr>
        <w:t>savings associated with those</w:t>
      </w:r>
      <w:r w:rsidR="00001970" w:rsidRPr="005E2E96">
        <w:rPr>
          <w:color w:val="000000" w:themeColor="text1"/>
          <w:lang w:val="en-CA"/>
        </w:rPr>
        <w:t xml:space="preserve"> </w:t>
      </w:r>
      <w:r w:rsidR="00AA7FD3" w:rsidRPr="005E2E96">
        <w:rPr>
          <w:color w:val="000000" w:themeColor="text1"/>
          <w:lang w:val="en-CA"/>
        </w:rPr>
        <w:t xml:space="preserve">enterprises that have converted with their own funding and the two enterprises that </w:t>
      </w:r>
      <w:r w:rsidR="00D866D0" w:rsidRPr="005E2E96">
        <w:rPr>
          <w:color w:val="000000" w:themeColor="text1"/>
          <w:lang w:val="en-CA"/>
        </w:rPr>
        <w:t>have closed</w:t>
      </w:r>
      <w:r w:rsidR="00D65285" w:rsidRPr="005E2E96">
        <w:rPr>
          <w:color w:val="000000" w:themeColor="text1"/>
          <w:lang w:val="en-CA"/>
        </w:rPr>
        <w:t xml:space="preserve"> down</w:t>
      </w:r>
      <w:r w:rsidR="00D866D0" w:rsidRPr="005E2E96">
        <w:rPr>
          <w:color w:val="000000" w:themeColor="text1"/>
          <w:lang w:val="en-CA"/>
        </w:rPr>
        <w:t xml:space="preserve"> (and thus </w:t>
      </w:r>
      <w:r w:rsidRPr="005E2E96">
        <w:rPr>
          <w:color w:val="000000" w:themeColor="text1"/>
          <w:lang w:val="en-CA"/>
        </w:rPr>
        <w:t xml:space="preserve">removed from </w:t>
      </w:r>
      <w:r w:rsidR="00687BDF" w:rsidRPr="005E2E96">
        <w:rPr>
          <w:color w:val="000000" w:themeColor="text1"/>
          <w:lang w:val="en-CA"/>
        </w:rPr>
        <w:t>stage I</w:t>
      </w:r>
      <w:r w:rsidRPr="005E2E96">
        <w:rPr>
          <w:color w:val="000000" w:themeColor="text1"/>
          <w:lang w:val="en-CA"/>
        </w:rPr>
        <w:t>I</w:t>
      </w:r>
      <w:r w:rsidR="00D866D0" w:rsidRPr="005E2E96">
        <w:rPr>
          <w:color w:val="000000" w:themeColor="text1"/>
          <w:lang w:val="en-CA"/>
        </w:rPr>
        <w:t>)</w:t>
      </w:r>
      <w:r w:rsidR="00850639" w:rsidRPr="005E2E96">
        <w:rPr>
          <w:color w:val="000000" w:themeColor="text1"/>
          <w:lang w:val="en-CA"/>
        </w:rPr>
        <w:t>,</w:t>
      </w:r>
      <w:r w:rsidRPr="005E2E96">
        <w:rPr>
          <w:color w:val="000000" w:themeColor="text1"/>
          <w:lang w:val="en-CA"/>
        </w:rPr>
        <w:t xml:space="preserve"> </w:t>
      </w:r>
      <w:r w:rsidR="00C501BB" w:rsidRPr="005E2E96">
        <w:rPr>
          <w:color w:val="000000" w:themeColor="text1"/>
          <w:lang w:val="en-CA"/>
        </w:rPr>
        <w:t xml:space="preserve">to assist </w:t>
      </w:r>
      <w:r w:rsidR="00850639" w:rsidRPr="005E2E96">
        <w:rPr>
          <w:color w:val="000000" w:themeColor="text1"/>
          <w:lang w:val="en-CA"/>
        </w:rPr>
        <w:t>in funding this change in technology and eventual conversion</w:t>
      </w:r>
      <w:r w:rsidR="00C501BB" w:rsidRPr="005E2E96">
        <w:rPr>
          <w:color w:val="000000" w:themeColor="text1"/>
          <w:lang w:val="en-CA"/>
        </w:rPr>
        <w:t xml:space="preserve">. </w:t>
      </w:r>
      <w:r w:rsidR="00765210" w:rsidRPr="005E2E96">
        <w:rPr>
          <w:color w:val="000000" w:themeColor="text1"/>
          <w:lang w:val="en-CA"/>
        </w:rPr>
        <w:t xml:space="preserve">The Secretariat also noted that water-blown technology has not been used </w:t>
      </w:r>
      <w:r w:rsidR="00850639" w:rsidRPr="005E2E96">
        <w:rPr>
          <w:color w:val="000000" w:themeColor="text1"/>
          <w:lang w:val="en-CA"/>
        </w:rPr>
        <w:t xml:space="preserve">in previously approved projects </w:t>
      </w:r>
      <w:r w:rsidR="00765210" w:rsidRPr="005E2E96">
        <w:rPr>
          <w:color w:val="000000" w:themeColor="text1"/>
          <w:lang w:val="en-CA"/>
        </w:rPr>
        <w:t>for insulation foam for domestic refrigerators due to the lower insulation properties in those applications</w:t>
      </w:r>
      <w:r w:rsidR="00850639" w:rsidRPr="005E2E96">
        <w:rPr>
          <w:color w:val="000000" w:themeColor="text1"/>
          <w:lang w:val="en-CA"/>
        </w:rPr>
        <w:t xml:space="preserve">, </w:t>
      </w:r>
      <w:r w:rsidR="00A11005" w:rsidRPr="005E2E96">
        <w:rPr>
          <w:color w:val="000000" w:themeColor="text1"/>
          <w:lang w:val="en-CA"/>
        </w:rPr>
        <w:t xml:space="preserve">and </w:t>
      </w:r>
      <w:r w:rsidR="00850639" w:rsidRPr="005E2E96">
        <w:rPr>
          <w:color w:val="000000" w:themeColor="text1"/>
          <w:lang w:val="en-CA"/>
        </w:rPr>
        <w:t>therefore agree</w:t>
      </w:r>
      <w:r w:rsidR="00A11005" w:rsidRPr="005E2E96">
        <w:rPr>
          <w:color w:val="000000" w:themeColor="text1"/>
          <w:lang w:val="en-CA"/>
        </w:rPr>
        <w:t>d</w:t>
      </w:r>
      <w:r w:rsidR="00850639" w:rsidRPr="005E2E96">
        <w:rPr>
          <w:color w:val="000000" w:themeColor="text1"/>
          <w:lang w:val="en-CA"/>
        </w:rPr>
        <w:t xml:space="preserve"> that the </w:t>
      </w:r>
      <w:r w:rsidR="00A11005" w:rsidRPr="005E2E96">
        <w:rPr>
          <w:color w:val="000000" w:themeColor="text1"/>
          <w:lang w:val="en-CA"/>
        </w:rPr>
        <w:t xml:space="preserve">request to </w:t>
      </w:r>
      <w:r w:rsidR="00850639" w:rsidRPr="005E2E96">
        <w:rPr>
          <w:color w:val="000000" w:themeColor="text1"/>
          <w:lang w:val="en-CA"/>
        </w:rPr>
        <w:t>change to pre-bended cyclopentane is technically sound</w:t>
      </w:r>
      <w:r w:rsidR="00765210" w:rsidRPr="005E2E96">
        <w:rPr>
          <w:color w:val="000000" w:themeColor="text1"/>
          <w:lang w:val="en-CA"/>
        </w:rPr>
        <w:t xml:space="preserve">. </w:t>
      </w:r>
      <w:r w:rsidR="00D866D0" w:rsidRPr="005E2E96">
        <w:rPr>
          <w:color w:val="000000" w:themeColor="text1"/>
          <w:lang w:val="en-CA"/>
        </w:rPr>
        <w:t xml:space="preserve">The Secretariat has </w:t>
      </w:r>
      <w:r w:rsidR="00A11005" w:rsidRPr="005E2E96">
        <w:rPr>
          <w:color w:val="000000" w:themeColor="text1"/>
          <w:lang w:val="en-CA"/>
        </w:rPr>
        <w:t xml:space="preserve">also conducted a thorough review of the requested funding, and concurred that due to additional safety features required in the enterprise, </w:t>
      </w:r>
      <w:r w:rsidR="00765210" w:rsidRPr="005E2E96">
        <w:rPr>
          <w:color w:val="000000" w:themeColor="text1"/>
          <w:lang w:val="en-CA"/>
        </w:rPr>
        <w:t xml:space="preserve">the introduction of cyclopentane technology is more expensive that the water-blown technology. </w:t>
      </w:r>
      <w:r w:rsidR="00A11005" w:rsidRPr="005E2E96">
        <w:rPr>
          <w:color w:val="000000" w:themeColor="text1"/>
          <w:lang w:val="en-CA"/>
        </w:rPr>
        <w:t>UNIDO confirmed that the enterprises will provide the required co-financing to enable these conversions.</w:t>
      </w:r>
    </w:p>
    <w:p w14:paraId="20882132" w14:textId="66BAE163" w:rsidR="00AA7FD3" w:rsidRPr="005E2E96" w:rsidRDefault="00AA7FD3" w:rsidP="0021638F">
      <w:pPr>
        <w:pStyle w:val="Heading1"/>
        <w:rPr>
          <w:lang w:val="en-CA"/>
        </w:rPr>
      </w:pPr>
      <w:r w:rsidRPr="005E2E96">
        <w:rPr>
          <w:lang w:val="en-CA"/>
        </w:rPr>
        <w:t xml:space="preserve">The Secretariat </w:t>
      </w:r>
      <w:r w:rsidR="00A11005" w:rsidRPr="005E2E96">
        <w:rPr>
          <w:lang w:val="en-CA"/>
        </w:rPr>
        <w:t xml:space="preserve">noted </w:t>
      </w:r>
      <w:r w:rsidRPr="005E2E96">
        <w:rPr>
          <w:lang w:val="en-CA"/>
        </w:rPr>
        <w:t xml:space="preserve">that </w:t>
      </w:r>
      <w:r w:rsidR="000144C7" w:rsidRPr="005E2E96">
        <w:rPr>
          <w:lang w:val="en-CA"/>
        </w:rPr>
        <w:t xml:space="preserve">given the current circumstances </w:t>
      </w:r>
      <w:r w:rsidRPr="005E2E96">
        <w:rPr>
          <w:lang w:val="en-CA"/>
        </w:rPr>
        <w:t xml:space="preserve">in </w:t>
      </w:r>
      <w:r w:rsidR="00DD7EE4" w:rsidRPr="005E2E96">
        <w:rPr>
          <w:lang w:val="en-CA"/>
        </w:rPr>
        <w:t xml:space="preserve">the Islamic Republic of Iran, </w:t>
      </w:r>
      <w:r w:rsidR="00F81F6C" w:rsidRPr="005E2E96">
        <w:rPr>
          <w:lang w:val="en-CA"/>
        </w:rPr>
        <w:t xml:space="preserve">it appears </w:t>
      </w:r>
      <w:r w:rsidR="00D65285" w:rsidRPr="005E2E96">
        <w:rPr>
          <w:lang w:val="en-CA"/>
        </w:rPr>
        <w:t>reasonable</w:t>
      </w:r>
      <w:r w:rsidR="00F81F6C" w:rsidRPr="005E2E96">
        <w:rPr>
          <w:lang w:val="en-CA"/>
        </w:rPr>
        <w:t xml:space="preserve"> that </w:t>
      </w:r>
      <w:r w:rsidR="00A11005" w:rsidRPr="005E2E96">
        <w:rPr>
          <w:lang w:val="en-CA"/>
        </w:rPr>
        <w:t xml:space="preserve">the savings associated with the two enterprises that had closed down </w:t>
      </w:r>
      <w:r w:rsidR="009D383A" w:rsidRPr="005E2E96">
        <w:rPr>
          <w:lang w:val="en-CA"/>
        </w:rPr>
        <w:t>(</w:t>
      </w:r>
      <w:proofErr w:type="spellStart"/>
      <w:r w:rsidR="009D383A" w:rsidRPr="005E2E96">
        <w:rPr>
          <w:lang w:val="en-CA"/>
        </w:rPr>
        <w:t>Hanzad</w:t>
      </w:r>
      <w:proofErr w:type="spellEnd"/>
      <w:r w:rsidR="009D383A" w:rsidRPr="005E2E96">
        <w:rPr>
          <w:lang w:val="en-CA"/>
        </w:rPr>
        <w:t xml:space="preserve"> and Tara </w:t>
      </w:r>
      <w:proofErr w:type="spellStart"/>
      <w:r w:rsidR="009D383A" w:rsidRPr="005E2E96">
        <w:rPr>
          <w:lang w:val="en-CA"/>
        </w:rPr>
        <w:t>Sanat</w:t>
      </w:r>
      <w:proofErr w:type="spellEnd"/>
      <w:r w:rsidR="009D383A" w:rsidRPr="005E2E96">
        <w:rPr>
          <w:lang w:val="en-CA"/>
        </w:rPr>
        <w:t xml:space="preserve"> </w:t>
      </w:r>
      <w:proofErr w:type="spellStart"/>
      <w:r w:rsidR="009D383A" w:rsidRPr="005E2E96">
        <w:rPr>
          <w:lang w:val="en-CA"/>
        </w:rPr>
        <w:t>Barfin</w:t>
      </w:r>
      <w:proofErr w:type="spellEnd"/>
      <w:r w:rsidR="009D383A" w:rsidRPr="005E2E96">
        <w:rPr>
          <w:lang w:val="en-CA"/>
        </w:rPr>
        <w:t xml:space="preserve"> with </w:t>
      </w:r>
      <w:r w:rsidR="000144C7" w:rsidRPr="005E2E96">
        <w:rPr>
          <w:lang w:val="en-CA"/>
        </w:rPr>
        <w:t xml:space="preserve">associated </w:t>
      </w:r>
      <w:r w:rsidR="009D383A" w:rsidRPr="005E2E96">
        <w:rPr>
          <w:lang w:val="en-CA"/>
        </w:rPr>
        <w:t>fund</w:t>
      </w:r>
      <w:r w:rsidR="00F81F6C" w:rsidRPr="005E2E96">
        <w:rPr>
          <w:lang w:val="en-CA"/>
        </w:rPr>
        <w:t>ing</w:t>
      </w:r>
      <w:r w:rsidR="009D383A" w:rsidRPr="005E2E96">
        <w:rPr>
          <w:lang w:val="en-CA"/>
        </w:rPr>
        <w:t xml:space="preserve"> </w:t>
      </w:r>
      <w:r w:rsidR="000144C7" w:rsidRPr="005E2E96">
        <w:rPr>
          <w:lang w:val="en-CA"/>
        </w:rPr>
        <w:t xml:space="preserve">of </w:t>
      </w:r>
      <w:r w:rsidR="00687BDF" w:rsidRPr="005E2E96">
        <w:rPr>
          <w:lang w:val="en-CA"/>
        </w:rPr>
        <w:t>US $</w:t>
      </w:r>
      <w:r w:rsidR="009D383A" w:rsidRPr="005E2E96">
        <w:rPr>
          <w:lang w:val="en-CA"/>
        </w:rPr>
        <w:t>348,00</w:t>
      </w:r>
      <w:r w:rsidR="00837BFB" w:rsidRPr="005E2E96">
        <w:rPr>
          <w:lang w:val="en-CA"/>
        </w:rPr>
        <w:t>6</w:t>
      </w:r>
      <w:r w:rsidR="000144C7" w:rsidRPr="005E2E96">
        <w:rPr>
          <w:lang w:val="en-CA"/>
        </w:rPr>
        <w:t>)</w:t>
      </w:r>
      <w:r w:rsidR="009D383A" w:rsidRPr="005E2E96">
        <w:rPr>
          <w:lang w:val="en-CA"/>
        </w:rPr>
        <w:t xml:space="preserve"> </w:t>
      </w:r>
      <w:r w:rsidRPr="005E2E96">
        <w:rPr>
          <w:lang w:val="en-CA"/>
        </w:rPr>
        <w:t xml:space="preserve">may </w:t>
      </w:r>
      <w:r w:rsidR="00DD7EE4" w:rsidRPr="005E2E96">
        <w:rPr>
          <w:lang w:val="en-CA"/>
        </w:rPr>
        <w:t>be</w:t>
      </w:r>
      <w:r w:rsidRPr="005E2E96">
        <w:rPr>
          <w:lang w:val="en-CA"/>
        </w:rPr>
        <w:t xml:space="preserve"> </w:t>
      </w:r>
      <w:r w:rsidR="00F81F6C" w:rsidRPr="005E2E96">
        <w:rPr>
          <w:lang w:val="en-CA"/>
        </w:rPr>
        <w:t>reallocated to other</w:t>
      </w:r>
      <w:r w:rsidRPr="005E2E96">
        <w:rPr>
          <w:lang w:val="en-CA"/>
        </w:rPr>
        <w:t xml:space="preserve"> enterprises</w:t>
      </w:r>
      <w:r w:rsidR="00DD7EE4" w:rsidRPr="005E2E96">
        <w:rPr>
          <w:lang w:val="en-CA"/>
        </w:rPr>
        <w:t xml:space="preserve"> </w:t>
      </w:r>
      <w:r w:rsidR="00F81F6C" w:rsidRPr="005E2E96">
        <w:rPr>
          <w:lang w:val="en-CA"/>
        </w:rPr>
        <w:t>that</w:t>
      </w:r>
      <w:r w:rsidR="00DD7EE4" w:rsidRPr="005E2E96">
        <w:rPr>
          <w:lang w:val="en-CA"/>
        </w:rPr>
        <w:t xml:space="preserve"> </w:t>
      </w:r>
      <w:r w:rsidR="00F81F6C" w:rsidRPr="005E2E96">
        <w:rPr>
          <w:lang w:val="en-CA"/>
        </w:rPr>
        <w:t>still need to address the phase out of HCFC-141b</w:t>
      </w:r>
      <w:r w:rsidR="00DD7EE4" w:rsidRPr="005E2E96">
        <w:rPr>
          <w:lang w:val="en-CA"/>
        </w:rPr>
        <w:t xml:space="preserve">. </w:t>
      </w:r>
      <w:r w:rsidR="00E35027" w:rsidRPr="005E2E96">
        <w:rPr>
          <w:lang w:val="en-CA"/>
        </w:rPr>
        <w:t>In contrast</w:t>
      </w:r>
      <w:r w:rsidRPr="005E2E96">
        <w:rPr>
          <w:lang w:val="en-CA"/>
        </w:rPr>
        <w:t xml:space="preserve">, </w:t>
      </w:r>
      <w:r w:rsidR="00F81F6C" w:rsidRPr="005E2E96">
        <w:rPr>
          <w:lang w:val="en-CA"/>
        </w:rPr>
        <w:t>those</w:t>
      </w:r>
      <w:r w:rsidRPr="005E2E96">
        <w:rPr>
          <w:lang w:val="en-CA"/>
        </w:rPr>
        <w:t xml:space="preserve"> three enterprises that converted with their own funds</w:t>
      </w:r>
      <w:r w:rsidR="009D383A" w:rsidRPr="005E2E96">
        <w:rPr>
          <w:lang w:val="en-CA"/>
        </w:rPr>
        <w:t xml:space="preserve"> (</w:t>
      </w:r>
      <w:proofErr w:type="spellStart"/>
      <w:r w:rsidR="009D383A" w:rsidRPr="005E2E96">
        <w:rPr>
          <w:lang w:val="en-CA"/>
        </w:rPr>
        <w:t>Aysan</w:t>
      </w:r>
      <w:proofErr w:type="spellEnd"/>
      <w:r w:rsidR="009D383A" w:rsidRPr="005E2E96">
        <w:rPr>
          <w:lang w:val="en-CA"/>
        </w:rPr>
        <w:t xml:space="preserve"> </w:t>
      </w:r>
      <w:proofErr w:type="spellStart"/>
      <w:r w:rsidR="009D383A" w:rsidRPr="005E2E96">
        <w:rPr>
          <w:lang w:val="en-CA"/>
        </w:rPr>
        <w:t>Sanat</w:t>
      </w:r>
      <w:proofErr w:type="spellEnd"/>
      <w:r w:rsidR="009D383A" w:rsidRPr="005E2E96">
        <w:rPr>
          <w:lang w:val="en-CA"/>
        </w:rPr>
        <w:t xml:space="preserve">, </w:t>
      </w:r>
      <w:proofErr w:type="spellStart"/>
      <w:r w:rsidR="009D383A" w:rsidRPr="005E2E96">
        <w:rPr>
          <w:lang w:val="en-CA"/>
        </w:rPr>
        <w:t>Forouzan</w:t>
      </w:r>
      <w:proofErr w:type="spellEnd"/>
      <w:r w:rsidR="009D383A" w:rsidRPr="005E2E96">
        <w:rPr>
          <w:lang w:val="en-CA"/>
        </w:rPr>
        <w:t xml:space="preserve"> and </w:t>
      </w:r>
      <w:proofErr w:type="spellStart"/>
      <w:r w:rsidR="009D383A" w:rsidRPr="005E2E96">
        <w:rPr>
          <w:lang w:val="en-CA"/>
        </w:rPr>
        <w:t>Yoosh</w:t>
      </w:r>
      <w:proofErr w:type="spellEnd"/>
      <w:r w:rsidR="009D383A" w:rsidRPr="005E2E96">
        <w:rPr>
          <w:lang w:val="en-CA"/>
        </w:rPr>
        <w:t xml:space="preserve"> Electric)</w:t>
      </w:r>
      <w:r w:rsidR="00DD7EE4" w:rsidRPr="005E2E96">
        <w:rPr>
          <w:lang w:val="en-CA"/>
        </w:rPr>
        <w:t xml:space="preserve">, </w:t>
      </w:r>
      <w:r w:rsidR="00F81F6C" w:rsidRPr="005E2E96">
        <w:rPr>
          <w:lang w:val="en-CA"/>
        </w:rPr>
        <w:t xml:space="preserve">had already phased out the </w:t>
      </w:r>
      <w:r w:rsidR="006B3780" w:rsidRPr="005E2E96">
        <w:rPr>
          <w:lang w:val="en-CA"/>
        </w:rPr>
        <w:t>consumption of HCFC</w:t>
      </w:r>
      <w:r w:rsidR="006B3780" w:rsidRPr="005E2E96">
        <w:rPr>
          <w:lang w:val="en-CA"/>
        </w:rPr>
        <w:noBreakHyphen/>
      </w:r>
      <w:r w:rsidR="00DD7EE4" w:rsidRPr="005E2E96">
        <w:rPr>
          <w:lang w:val="en-CA"/>
        </w:rPr>
        <w:t>141b</w:t>
      </w:r>
      <w:r w:rsidR="0049425F" w:rsidRPr="005E2E96">
        <w:rPr>
          <w:lang w:val="en-CA"/>
        </w:rPr>
        <w:t>,</w:t>
      </w:r>
      <w:r w:rsidR="00DD7EE4" w:rsidRPr="005E2E96">
        <w:rPr>
          <w:lang w:val="en-CA"/>
        </w:rPr>
        <w:t xml:space="preserve"> </w:t>
      </w:r>
      <w:r w:rsidR="00F81F6C" w:rsidRPr="005E2E96">
        <w:rPr>
          <w:lang w:val="en-CA"/>
        </w:rPr>
        <w:t>therefore the</w:t>
      </w:r>
      <w:r w:rsidR="006B4548" w:rsidRPr="005E2E96">
        <w:rPr>
          <w:lang w:val="en-CA"/>
        </w:rPr>
        <w:t xml:space="preserve"> associated fund</w:t>
      </w:r>
      <w:r w:rsidR="00F81F6C" w:rsidRPr="005E2E96">
        <w:rPr>
          <w:lang w:val="en-CA"/>
        </w:rPr>
        <w:t>ing</w:t>
      </w:r>
      <w:r w:rsidR="009D383A" w:rsidRPr="005E2E96">
        <w:rPr>
          <w:lang w:val="en-CA"/>
        </w:rPr>
        <w:t xml:space="preserve"> of</w:t>
      </w:r>
      <w:r w:rsidR="006B4548" w:rsidRPr="005E2E96">
        <w:rPr>
          <w:lang w:val="en-CA"/>
        </w:rPr>
        <w:t xml:space="preserve"> </w:t>
      </w:r>
      <w:r w:rsidR="00687BDF" w:rsidRPr="005E2E96">
        <w:rPr>
          <w:lang w:val="en-CA"/>
        </w:rPr>
        <w:t>US $</w:t>
      </w:r>
      <w:r w:rsidR="00D65285" w:rsidRPr="005E2E96">
        <w:rPr>
          <w:lang w:val="en-CA"/>
        </w:rPr>
        <w:t>375,70</w:t>
      </w:r>
      <w:r w:rsidR="00837BFB" w:rsidRPr="005E2E96">
        <w:rPr>
          <w:lang w:val="en-CA"/>
        </w:rPr>
        <w:t>1</w:t>
      </w:r>
      <w:r w:rsidR="009D383A" w:rsidRPr="005E2E96">
        <w:rPr>
          <w:lang w:val="en-CA"/>
        </w:rPr>
        <w:t xml:space="preserve"> should be returned to the Fund</w:t>
      </w:r>
      <w:r w:rsidR="003636E0" w:rsidRPr="005E2E96">
        <w:rPr>
          <w:lang w:val="en-CA"/>
        </w:rPr>
        <w:t>.</w:t>
      </w:r>
    </w:p>
    <w:p w14:paraId="5187C481" w14:textId="1F9F3A1D" w:rsidR="00313F71" w:rsidRPr="005E2E96" w:rsidRDefault="00313F71" w:rsidP="003A579B">
      <w:pPr>
        <w:pStyle w:val="Heading1"/>
        <w:rPr>
          <w:lang w:val="en-CA"/>
        </w:rPr>
      </w:pPr>
      <w:r w:rsidRPr="005E2E96">
        <w:rPr>
          <w:lang w:val="en-CA"/>
        </w:rPr>
        <w:t>UNIDO indicated that the return of funds from enterprises that converted with their own funding would disincentive early action as</w:t>
      </w:r>
      <w:r w:rsidR="003A579B" w:rsidRPr="005E2E96">
        <w:rPr>
          <w:lang w:val="en-CA"/>
        </w:rPr>
        <w:t xml:space="preserve"> other enterprises </w:t>
      </w:r>
      <w:r w:rsidRPr="005E2E96">
        <w:rPr>
          <w:lang w:val="en-CA"/>
        </w:rPr>
        <w:t xml:space="preserve">would </w:t>
      </w:r>
      <w:r w:rsidR="003A579B" w:rsidRPr="005E2E96">
        <w:rPr>
          <w:lang w:val="en-CA"/>
        </w:rPr>
        <w:t>prefer to wait</w:t>
      </w:r>
      <w:r w:rsidR="00E047BE" w:rsidRPr="005E2E96">
        <w:rPr>
          <w:lang w:val="en-CA"/>
        </w:rPr>
        <w:t xml:space="preserve"> until their </w:t>
      </w:r>
      <w:r w:rsidRPr="005E2E96">
        <w:rPr>
          <w:lang w:val="en-CA"/>
        </w:rPr>
        <w:t>project</w:t>
      </w:r>
      <w:r w:rsidR="003A579B" w:rsidRPr="005E2E96">
        <w:rPr>
          <w:lang w:val="en-CA"/>
        </w:rPr>
        <w:t>s</w:t>
      </w:r>
      <w:r w:rsidRPr="005E2E96">
        <w:rPr>
          <w:lang w:val="en-CA"/>
        </w:rPr>
        <w:t xml:space="preserve"> start in order to </w:t>
      </w:r>
      <w:r w:rsidR="00E047BE" w:rsidRPr="005E2E96">
        <w:rPr>
          <w:lang w:val="en-CA"/>
        </w:rPr>
        <w:t>secure the</w:t>
      </w:r>
      <w:r w:rsidRPr="005E2E96">
        <w:rPr>
          <w:lang w:val="en-CA"/>
        </w:rPr>
        <w:t xml:space="preserve"> assistance</w:t>
      </w:r>
      <w:r w:rsidR="00156618" w:rsidRPr="005E2E96">
        <w:rPr>
          <w:lang w:val="en-CA"/>
        </w:rPr>
        <w:t>, and this issue should be considered in future cases</w:t>
      </w:r>
      <w:r w:rsidRPr="005E2E96">
        <w:rPr>
          <w:lang w:val="en-CA"/>
        </w:rPr>
        <w:t xml:space="preserve">. Particularly in the case </w:t>
      </w:r>
      <w:r w:rsidR="003A579B" w:rsidRPr="005E2E96">
        <w:rPr>
          <w:lang w:val="en-CA"/>
        </w:rPr>
        <w:t>of</w:t>
      </w:r>
      <w:r w:rsidRPr="005E2E96">
        <w:rPr>
          <w:lang w:val="en-CA"/>
        </w:rPr>
        <w:t xml:space="preserve"> the Islamic </w:t>
      </w:r>
      <w:r w:rsidR="003A579B" w:rsidRPr="005E2E96">
        <w:rPr>
          <w:lang w:val="en-CA"/>
        </w:rPr>
        <w:t xml:space="preserve">republic </w:t>
      </w:r>
      <w:r w:rsidR="00156618" w:rsidRPr="005E2E96">
        <w:rPr>
          <w:lang w:val="en-CA"/>
        </w:rPr>
        <w:t>o</w:t>
      </w:r>
      <w:r w:rsidR="003A579B" w:rsidRPr="005E2E96">
        <w:rPr>
          <w:lang w:val="en-CA"/>
        </w:rPr>
        <w:t>f I</w:t>
      </w:r>
      <w:r w:rsidRPr="005E2E96">
        <w:rPr>
          <w:lang w:val="en-CA"/>
        </w:rPr>
        <w:t>ran</w:t>
      </w:r>
      <w:r w:rsidR="003A579B" w:rsidRPr="005E2E96">
        <w:rPr>
          <w:lang w:val="en-CA"/>
        </w:rPr>
        <w:t>,</w:t>
      </w:r>
      <w:r w:rsidRPr="005E2E96">
        <w:rPr>
          <w:lang w:val="en-CA"/>
        </w:rPr>
        <w:t xml:space="preserve"> those funds </w:t>
      </w:r>
      <w:r w:rsidR="003A579B" w:rsidRPr="005E2E96">
        <w:rPr>
          <w:lang w:val="en-CA"/>
        </w:rPr>
        <w:t>c</w:t>
      </w:r>
      <w:r w:rsidRPr="005E2E96">
        <w:rPr>
          <w:lang w:val="en-CA"/>
        </w:rPr>
        <w:t>ould have been useful to as</w:t>
      </w:r>
      <w:r w:rsidR="00E047BE" w:rsidRPr="005E2E96">
        <w:rPr>
          <w:lang w:val="en-CA"/>
        </w:rPr>
        <w:t>s</w:t>
      </w:r>
      <w:r w:rsidRPr="005E2E96">
        <w:rPr>
          <w:lang w:val="en-CA"/>
        </w:rPr>
        <w:t>is</w:t>
      </w:r>
      <w:r w:rsidR="00E047BE" w:rsidRPr="005E2E96">
        <w:rPr>
          <w:lang w:val="en-CA"/>
        </w:rPr>
        <w:t>t</w:t>
      </w:r>
      <w:r w:rsidRPr="005E2E96">
        <w:rPr>
          <w:lang w:val="en-CA"/>
        </w:rPr>
        <w:t xml:space="preserve"> other enterprises. UNIDO also requested that the US</w:t>
      </w:r>
      <w:r w:rsidR="000144C7" w:rsidRPr="005E2E96">
        <w:rPr>
          <w:lang w:val="en-CA"/>
        </w:rPr>
        <w:t> </w:t>
      </w:r>
      <w:r w:rsidRPr="005E2E96">
        <w:rPr>
          <w:lang w:val="en-CA"/>
        </w:rPr>
        <w:t>$375,70</w:t>
      </w:r>
      <w:r w:rsidR="006C580F" w:rsidRPr="005E2E96">
        <w:rPr>
          <w:lang w:val="en-CA"/>
        </w:rPr>
        <w:t>1</w:t>
      </w:r>
      <w:r w:rsidRPr="005E2E96">
        <w:rPr>
          <w:lang w:val="en-CA"/>
        </w:rPr>
        <w:t xml:space="preserve"> be </w:t>
      </w:r>
      <w:r w:rsidR="000144C7" w:rsidRPr="005E2E96">
        <w:rPr>
          <w:lang w:val="en-CA"/>
        </w:rPr>
        <w:t xml:space="preserve">deducted </w:t>
      </w:r>
      <w:r w:rsidRPr="005E2E96">
        <w:rPr>
          <w:lang w:val="en-CA"/>
        </w:rPr>
        <w:t xml:space="preserve">from the third tranche rather than the second tranche as major procurement processes will need to start, for which funding is required. </w:t>
      </w:r>
      <w:r w:rsidR="000144C7" w:rsidRPr="005E2E96">
        <w:rPr>
          <w:lang w:val="en-CA"/>
        </w:rPr>
        <w:t>T</w:t>
      </w:r>
      <w:r w:rsidR="00E047BE" w:rsidRPr="005E2E96">
        <w:rPr>
          <w:lang w:val="en-CA"/>
        </w:rPr>
        <w:t>he Secretariat finds reasonable the request from UNIDO to</w:t>
      </w:r>
      <w:r w:rsidR="00531FAE" w:rsidRPr="005E2E96">
        <w:rPr>
          <w:lang w:val="en-CA"/>
        </w:rPr>
        <w:t xml:space="preserve"> deduct the </w:t>
      </w:r>
      <w:r w:rsidR="000144C7" w:rsidRPr="005E2E96">
        <w:rPr>
          <w:lang w:val="en-CA"/>
        </w:rPr>
        <w:t xml:space="preserve">funding </w:t>
      </w:r>
      <w:r w:rsidR="00531FAE" w:rsidRPr="005E2E96">
        <w:rPr>
          <w:lang w:val="en-CA"/>
        </w:rPr>
        <w:t>from the third tranche, to</w:t>
      </w:r>
      <w:r w:rsidR="00E047BE" w:rsidRPr="005E2E96">
        <w:rPr>
          <w:lang w:val="en-CA"/>
        </w:rPr>
        <w:t xml:space="preserve"> allow continue implementation</w:t>
      </w:r>
      <w:r w:rsidR="000144C7" w:rsidRPr="005E2E96">
        <w:rPr>
          <w:lang w:val="en-CA"/>
        </w:rPr>
        <w:t xml:space="preserve"> of the conversions</w:t>
      </w:r>
      <w:r w:rsidR="00E047BE" w:rsidRPr="005E2E96">
        <w:rPr>
          <w:lang w:val="en-CA"/>
        </w:rPr>
        <w:t>.</w:t>
      </w:r>
    </w:p>
    <w:p w14:paraId="489F5C52" w14:textId="7218F241" w:rsidR="00210868" w:rsidRPr="005E2E96" w:rsidRDefault="002F7400" w:rsidP="009A3176">
      <w:pPr>
        <w:pStyle w:val="Heading1"/>
        <w:rPr>
          <w:color w:val="000000" w:themeColor="text1"/>
          <w:lang w:val="en-CA"/>
        </w:rPr>
      </w:pPr>
      <w:r w:rsidRPr="005E2E96">
        <w:rPr>
          <w:color w:val="000000" w:themeColor="text1"/>
          <w:lang w:val="en-CA"/>
        </w:rPr>
        <w:t xml:space="preserve">As reported during implementation of the completed </w:t>
      </w:r>
      <w:r w:rsidR="00687BDF" w:rsidRPr="005E2E96">
        <w:rPr>
          <w:color w:val="000000" w:themeColor="text1"/>
          <w:lang w:val="en-CA"/>
        </w:rPr>
        <w:t>stage I</w:t>
      </w:r>
      <w:r w:rsidRPr="005E2E96">
        <w:rPr>
          <w:color w:val="000000" w:themeColor="text1"/>
          <w:lang w:val="en-CA"/>
        </w:rPr>
        <w:t xml:space="preserve"> and the ongoing implementation of </w:t>
      </w:r>
      <w:r w:rsidR="00687BDF" w:rsidRPr="005E2E96">
        <w:rPr>
          <w:color w:val="000000" w:themeColor="text1"/>
          <w:lang w:val="en-CA"/>
        </w:rPr>
        <w:t>stage I</w:t>
      </w:r>
      <w:r w:rsidRPr="005E2E96">
        <w:rPr>
          <w:color w:val="000000" w:themeColor="text1"/>
          <w:lang w:val="en-CA"/>
        </w:rPr>
        <w:t xml:space="preserve">I, the particular economic circumstances in the country has </w:t>
      </w:r>
      <w:r w:rsidR="00C501BB" w:rsidRPr="005E2E96">
        <w:rPr>
          <w:color w:val="000000" w:themeColor="text1"/>
          <w:lang w:val="en-CA"/>
        </w:rPr>
        <w:t>result</w:t>
      </w:r>
      <w:r w:rsidR="002A13F5" w:rsidRPr="005E2E96">
        <w:rPr>
          <w:color w:val="000000" w:themeColor="text1"/>
          <w:lang w:val="en-CA"/>
        </w:rPr>
        <w:t>ed</w:t>
      </w:r>
      <w:r w:rsidR="00C501BB" w:rsidRPr="005E2E96">
        <w:rPr>
          <w:color w:val="000000" w:themeColor="text1"/>
          <w:lang w:val="en-CA"/>
        </w:rPr>
        <w:t xml:space="preserve"> in the reduction of consumption </w:t>
      </w:r>
      <w:r w:rsidR="002A13F5" w:rsidRPr="005E2E96">
        <w:rPr>
          <w:color w:val="000000" w:themeColor="text1"/>
          <w:lang w:val="en-CA"/>
        </w:rPr>
        <w:t>in</w:t>
      </w:r>
      <w:r w:rsidR="00C501BB" w:rsidRPr="005E2E96">
        <w:rPr>
          <w:color w:val="000000" w:themeColor="text1"/>
          <w:lang w:val="en-CA"/>
        </w:rPr>
        <w:t xml:space="preserve"> some enterprises </w:t>
      </w:r>
      <w:r w:rsidRPr="005E2E96">
        <w:rPr>
          <w:color w:val="000000" w:themeColor="text1"/>
          <w:lang w:val="en-CA"/>
        </w:rPr>
        <w:t xml:space="preserve">(including closure) </w:t>
      </w:r>
      <w:r w:rsidR="00C501BB" w:rsidRPr="005E2E96">
        <w:rPr>
          <w:color w:val="000000" w:themeColor="text1"/>
          <w:lang w:val="en-CA"/>
        </w:rPr>
        <w:t xml:space="preserve">and </w:t>
      </w:r>
      <w:r w:rsidR="00B31904" w:rsidRPr="005E2E96">
        <w:rPr>
          <w:color w:val="000000" w:themeColor="text1"/>
          <w:lang w:val="en-CA"/>
        </w:rPr>
        <w:t xml:space="preserve">an </w:t>
      </w:r>
      <w:r w:rsidR="00C501BB" w:rsidRPr="005E2E96">
        <w:rPr>
          <w:color w:val="000000" w:themeColor="text1"/>
          <w:lang w:val="en-CA"/>
        </w:rPr>
        <w:t>increase in others</w:t>
      </w:r>
      <w:r w:rsidRPr="005E2E96">
        <w:rPr>
          <w:color w:val="000000" w:themeColor="text1"/>
          <w:lang w:val="en-CA"/>
        </w:rPr>
        <w:t>. Bilateral and implementing agencies have been able to (accurately) report these changes</w:t>
      </w:r>
      <w:r w:rsidR="00C501BB" w:rsidRPr="005E2E96">
        <w:rPr>
          <w:color w:val="000000" w:themeColor="text1"/>
          <w:lang w:val="en-CA"/>
        </w:rPr>
        <w:t xml:space="preserve">, </w:t>
      </w:r>
      <w:r w:rsidRPr="005E2E96">
        <w:rPr>
          <w:color w:val="000000" w:themeColor="text1"/>
          <w:lang w:val="en-CA"/>
        </w:rPr>
        <w:t xml:space="preserve">as all foam enterprises eligible for assistance from the Fund have been identified. </w:t>
      </w:r>
      <w:r w:rsidR="00210868" w:rsidRPr="005E2E96">
        <w:rPr>
          <w:color w:val="000000" w:themeColor="text1"/>
          <w:lang w:val="en-CA"/>
        </w:rPr>
        <w:t xml:space="preserve">Given </w:t>
      </w:r>
      <w:r w:rsidR="00635904" w:rsidRPr="005E2E96">
        <w:rPr>
          <w:color w:val="000000" w:themeColor="text1"/>
          <w:lang w:val="en-CA"/>
        </w:rPr>
        <w:t xml:space="preserve">that </w:t>
      </w:r>
      <w:r w:rsidR="00210868" w:rsidRPr="005E2E96">
        <w:rPr>
          <w:color w:val="000000" w:themeColor="text1"/>
          <w:lang w:val="en-CA"/>
        </w:rPr>
        <w:t xml:space="preserve">this unique situation might continue until 2023 when all the foam enterprises would </w:t>
      </w:r>
      <w:r w:rsidR="00635904" w:rsidRPr="005E2E96">
        <w:rPr>
          <w:color w:val="000000" w:themeColor="text1"/>
          <w:lang w:val="en-CA"/>
        </w:rPr>
        <w:t xml:space="preserve">have been </w:t>
      </w:r>
      <w:r w:rsidR="00210868" w:rsidRPr="005E2E96">
        <w:rPr>
          <w:color w:val="000000" w:themeColor="text1"/>
          <w:lang w:val="en-CA"/>
        </w:rPr>
        <w:t xml:space="preserve">converted, </w:t>
      </w:r>
      <w:r w:rsidR="00C501BB" w:rsidRPr="005E2E96">
        <w:rPr>
          <w:color w:val="000000" w:themeColor="text1"/>
          <w:lang w:val="en-CA"/>
        </w:rPr>
        <w:t xml:space="preserve">the Secretariat </w:t>
      </w:r>
      <w:r w:rsidR="00210868" w:rsidRPr="005E2E96">
        <w:rPr>
          <w:color w:val="000000" w:themeColor="text1"/>
          <w:lang w:val="en-CA"/>
        </w:rPr>
        <w:t>cons</w:t>
      </w:r>
      <w:r w:rsidR="002A13F5" w:rsidRPr="005E2E96">
        <w:rPr>
          <w:color w:val="000000" w:themeColor="text1"/>
          <w:lang w:val="en-CA"/>
        </w:rPr>
        <w:t>i</w:t>
      </w:r>
      <w:r w:rsidR="00210868" w:rsidRPr="005E2E96">
        <w:rPr>
          <w:color w:val="000000" w:themeColor="text1"/>
          <w:lang w:val="en-CA"/>
        </w:rPr>
        <w:t xml:space="preserve">ders relevant the </w:t>
      </w:r>
      <w:r w:rsidR="002A13F5" w:rsidRPr="005E2E96">
        <w:rPr>
          <w:color w:val="000000" w:themeColor="text1"/>
          <w:lang w:val="en-CA"/>
        </w:rPr>
        <w:t xml:space="preserve">request </w:t>
      </w:r>
      <w:r w:rsidR="00210868" w:rsidRPr="005E2E96">
        <w:rPr>
          <w:color w:val="000000" w:themeColor="text1"/>
          <w:lang w:val="en-CA"/>
        </w:rPr>
        <w:t xml:space="preserve">from UNIDO </w:t>
      </w:r>
      <w:r w:rsidR="00874C72" w:rsidRPr="005E2E96">
        <w:rPr>
          <w:color w:val="000000" w:themeColor="text1"/>
          <w:lang w:val="en-CA"/>
        </w:rPr>
        <w:t>for</w:t>
      </w:r>
      <w:r w:rsidR="002A13F5" w:rsidRPr="005E2E96">
        <w:rPr>
          <w:color w:val="000000" w:themeColor="text1"/>
          <w:lang w:val="en-CA"/>
        </w:rPr>
        <w:t xml:space="preserve"> flexibility </w:t>
      </w:r>
      <w:r w:rsidR="00210868" w:rsidRPr="005E2E96">
        <w:rPr>
          <w:color w:val="000000" w:themeColor="text1"/>
          <w:lang w:val="en-CA"/>
        </w:rPr>
        <w:t xml:space="preserve">in the implementation of </w:t>
      </w:r>
      <w:r w:rsidR="00687BDF" w:rsidRPr="005E2E96">
        <w:rPr>
          <w:color w:val="000000" w:themeColor="text1"/>
          <w:lang w:val="en-CA"/>
        </w:rPr>
        <w:t>stage I</w:t>
      </w:r>
      <w:r w:rsidR="00210868" w:rsidRPr="005E2E96">
        <w:rPr>
          <w:color w:val="000000" w:themeColor="text1"/>
          <w:lang w:val="en-CA"/>
        </w:rPr>
        <w:t xml:space="preserve">I </w:t>
      </w:r>
      <w:r w:rsidR="00635904" w:rsidRPr="005E2E96">
        <w:rPr>
          <w:color w:val="000000" w:themeColor="text1"/>
          <w:lang w:val="en-CA"/>
        </w:rPr>
        <w:t xml:space="preserve">may be considered </w:t>
      </w:r>
      <w:r w:rsidR="00210868" w:rsidRPr="005E2E96">
        <w:rPr>
          <w:color w:val="000000" w:themeColor="text1"/>
          <w:lang w:val="en-CA"/>
        </w:rPr>
        <w:t>under the following conditions:</w:t>
      </w:r>
    </w:p>
    <w:p w14:paraId="7A415E0B" w14:textId="614108B9" w:rsidR="00210868" w:rsidRPr="005E2E96" w:rsidRDefault="00210868" w:rsidP="00210868">
      <w:pPr>
        <w:pStyle w:val="Heading2"/>
        <w:rPr>
          <w:lang w:val="en-CA"/>
        </w:rPr>
      </w:pPr>
      <w:r w:rsidRPr="005E2E96">
        <w:rPr>
          <w:lang w:val="en-CA"/>
        </w:rPr>
        <w:lastRenderedPageBreak/>
        <w:t>A detailed report on the status of the conversion of each of the</w:t>
      </w:r>
      <w:r w:rsidR="0049425F" w:rsidRPr="005E2E96">
        <w:rPr>
          <w:lang w:val="en-CA"/>
        </w:rPr>
        <w:t xml:space="preserve"> </w:t>
      </w:r>
      <w:r w:rsidRPr="005E2E96">
        <w:rPr>
          <w:lang w:val="en-CA"/>
        </w:rPr>
        <w:t xml:space="preserve">foam </w:t>
      </w:r>
      <w:r w:rsidR="00635904" w:rsidRPr="005E2E96">
        <w:rPr>
          <w:lang w:val="en-CA"/>
        </w:rPr>
        <w:t>enterprises included in</w:t>
      </w:r>
      <w:r w:rsidRPr="005E2E96">
        <w:rPr>
          <w:lang w:val="en-CA"/>
        </w:rPr>
        <w:t xml:space="preserve"> </w:t>
      </w:r>
      <w:r w:rsidR="00687BDF" w:rsidRPr="005E2E96">
        <w:rPr>
          <w:lang w:val="en-CA"/>
        </w:rPr>
        <w:t>stage I</w:t>
      </w:r>
      <w:r w:rsidRPr="005E2E96">
        <w:rPr>
          <w:lang w:val="en-CA"/>
        </w:rPr>
        <w:t xml:space="preserve">I would be submitted with each funding tranche request, and would include </w:t>
      </w:r>
      <w:r w:rsidR="00635904" w:rsidRPr="005E2E96">
        <w:rPr>
          <w:lang w:val="en-CA"/>
        </w:rPr>
        <w:t xml:space="preserve">information on </w:t>
      </w:r>
      <w:r w:rsidRPr="005E2E96">
        <w:rPr>
          <w:lang w:val="en-CA"/>
        </w:rPr>
        <w:t xml:space="preserve">the </w:t>
      </w:r>
      <w:r w:rsidR="00635904" w:rsidRPr="005E2E96">
        <w:rPr>
          <w:lang w:val="en-CA"/>
        </w:rPr>
        <w:t xml:space="preserve">continued </w:t>
      </w:r>
      <w:r w:rsidR="00CD7C55" w:rsidRPr="005E2E96">
        <w:rPr>
          <w:lang w:val="en-CA"/>
        </w:rPr>
        <w:t>financial viability</w:t>
      </w:r>
      <w:r w:rsidR="00635904" w:rsidRPr="005E2E96">
        <w:rPr>
          <w:lang w:val="en-CA"/>
        </w:rPr>
        <w:t xml:space="preserve"> of the enterprise</w:t>
      </w:r>
      <w:r w:rsidR="00CD7C55" w:rsidRPr="005E2E96">
        <w:rPr>
          <w:lang w:val="en-CA"/>
        </w:rPr>
        <w:t xml:space="preserve">, the </w:t>
      </w:r>
      <w:r w:rsidRPr="005E2E96">
        <w:rPr>
          <w:lang w:val="en-CA"/>
        </w:rPr>
        <w:t>level of HCFC-141b consumption</w:t>
      </w:r>
      <w:r w:rsidR="00635904" w:rsidRPr="005E2E96">
        <w:rPr>
          <w:lang w:val="en-CA"/>
        </w:rPr>
        <w:t xml:space="preserve"> for that year</w:t>
      </w:r>
      <w:r w:rsidRPr="005E2E96">
        <w:rPr>
          <w:lang w:val="en-CA"/>
        </w:rPr>
        <w:t xml:space="preserve">, the </w:t>
      </w:r>
      <w:r w:rsidR="00CD7C55" w:rsidRPr="005E2E96">
        <w:rPr>
          <w:lang w:val="en-CA"/>
        </w:rPr>
        <w:t>alternative technology selected, the total cost from the Multilateral Fund and the level of co-financing, as applicable</w:t>
      </w:r>
      <w:r w:rsidR="00E35027" w:rsidRPr="005E2E96">
        <w:rPr>
          <w:lang w:val="en-CA"/>
        </w:rPr>
        <w:t>;</w:t>
      </w:r>
    </w:p>
    <w:p w14:paraId="67EDD39F" w14:textId="5CF80925" w:rsidR="000152A1" w:rsidRPr="005E2E96" w:rsidRDefault="000152A1" w:rsidP="00210868">
      <w:pPr>
        <w:pStyle w:val="Heading2"/>
        <w:rPr>
          <w:lang w:val="en-CA"/>
        </w:rPr>
      </w:pPr>
      <w:r w:rsidRPr="005E2E96">
        <w:rPr>
          <w:lang w:val="en-CA"/>
        </w:rPr>
        <w:t xml:space="preserve">Any change of technology </w:t>
      </w:r>
      <w:r w:rsidR="00E35027" w:rsidRPr="005E2E96">
        <w:rPr>
          <w:lang w:val="en-CA"/>
        </w:rPr>
        <w:t xml:space="preserve">would be </w:t>
      </w:r>
      <w:r w:rsidRPr="005E2E96">
        <w:rPr>
          <w:lang w:val="en-CA"/>
        </w:rPr>
        <w:t xml:space="preserve">submitted for </w:t>
      </w:r>
      <w:r w:rsidR="00E35027" w:rsidRPr="005E2E96">
        <w:rPr>
          <w:lang w:val="en-CA"/>
        </w:rPr>
        <w:t>consideration by the Executive Committee in line with paragraph 7 (</w:t>
      </w:r>
      <w:r w:rsidR="00106606" w:rsidRPr="005E2E96">
        <w:rPr>
          <w:lang w:val="en-CA"/>
        </w:rPr>
        <w:t>a</w:t>
      </w:r>
      <w:r w:rsidR="00E35027" w:rsidRPr="005E2E96">
        <w:rPr>
          <w:lang w:val="en-CA"/>
        </w:rPr>
        <w:t>)</w:t>
      </w:r>
      <w:r w:rsidR="00106606" w:rsidRPr="005E2E96">
        <w:rPr>
          <w:lang w:val="en-CA"/>
        </w:rPr>
        <w:t>(v)</w:t>
      </w:r>
      <w:r w:rsidR="00E35027" w:rsidRPr="005E2E96">
        <w:rPr>
          <w:lang w:val="en-CA"/>
        </w:rPr>
        <w:t xml:space="preserve"> of the Agreement between the Islamic </w:t>
      </w:r>
      <w:r w:rsidR="0041115E" w:rsidRPr="005E2E96">
        <w:rPr>
          <w:lang w:val="en-CA"/>
        </w:rPr>
        <w:t>Republic</w:t>
      </w:r>
      <w:r w:rsidR="00E35027" w:rsidRPr="005E2E96">
        <w:rPr>
          <w:lang w:val="en-CA"/>
        </w:rPr>
        <w:t xml:space="preserve"> of Iran and the Executive Committee;</w:t>
      </w:r>
    </w:p>
    <w:p w14:paraId="6D1643AE" w14:textId="0A06815D" w:rsidR="00CD7C55" w:rsidRPr="005E2E96" w:rsidRDefault="008E5852" w:rsidP="00210868">
      <w:pPr>
        <w:pStyle w:val="Heading2"/>
        <w:rPr>
          <w:lang w:val="en-CA"/>
        </w:rPr>
      </w:pPr>
      <w:r w:rsidRPr="005E2E96">
        <w:rPr>
          <w:lang w:val="en-CA"/>
        </w:rPr>
        <w:t xml:space="preserve">For </w:t>
      </w:r>
      <w:r w:rsidR="00CD7C55" w:rsidRPr="005E2E96">
        <w:rPr>
          <w:lang w:val="en-CA"/>
        </w:rPr>
        <w:t>enterprise</w:t>
      </w:r>
      <w:r w:rsidRPr="005E2E96">
        <w:rPr>
          <w:lang w:val="en-CA"/>
        </w:rPr>
        <w:t>s</w:t>
      </w:r>
      <w:r w:rsidR="00CD7C55" w:rsidRPr="005E2E96">
        <w:rPr>
          <w:lang w:val="en-CA"/>
        </w:rPr>
        <w:t xml:space="preserve"> that </w:t>
      </w:r>
      <w:r w:rsidRPr="005E2E96">
        <w:rPr>
          <w:lang w:val="en-CA"/>
        </w:rPr>
        <w:t xml:space="preserve">had </w:t>
      </w:r>
      <w:r w:rsidR="00635904" w:rsidRPr="005E2E96">
        <w:rPr>
          <w:lang w:val="en-CA"/>
        </w:rPr>
        <w:t>received funding for conversion</w:t>
      </w:r>
      <w:r w:rsidR="00CD7C55" w:rsidRPr="005E2E96">
        <w:rPr>
          <w:lang w:val="en-CA"/>
        </w:rPr>
        <w:t xml:space="preserve"> during </w:t>
      </w:r>
      <w:r w:rsidR="00687BDF" w:rsidRPr="005E2E96">
        <w:rPr>
          <w:lang w:val="en-CA"/>
        </w:rPr>
        <w:t>stage I</w:t>
      </w:r>
      <w:r w:rsidR="00CD7C55" w:rsidRPr="005E2E96">
        <w:rPr>
          <w:lang w:val="en-CA"/>
        </w:rPr>
        <w:t xml:space="preserve">I and close </w:t>
      </w:r>
      <w:r w:rsidRPr="005E2E96">
        <w:rPr>
          <w:lang w:val="en-CA"/>
        </w:rPr>
        <w:t>down before the conversion is completed</w:t>
      </w:r>
      <w:r w:rsidR="00CD7C55" w:rsidRPr="005E2E96">
        <w:rPr>
          <w:lang w:val="en-CA"/>
        </w:rPr>
        <w:t xml:space="preserve">, the </w:t>
      </w:r>
      <w:r w:rsidRPr="005E2E96">
        <w:rPr>
          <w:lang w:val="en-CA"/>
        </w:rPr>
        <w:t xml:space="preserve">corresponding </w:t>
      </w:r>
      <w:r w:rsidR="00CD7C55" w:rsidRPr="005E2E96">
        <w:rPr>
          <w:lang w:val="en-CA"/>
        </w:rPr>
        <w:t xml:space="preserve">equipment would be </w:t>
      </w:r>
      <w:r w:rsidRPr="005E2E96">
        <w:rPr>
          <w:lang w:val="en-CA"/>
        </w:rPr>
        <w:t xml:space="preserve">transferred for the use of </w:t>
      </w:r>
      <w:r w:rsidR="00CD7C55" w:rsidRPr="005E2E96">
        <w:rPr>
          <w:lang w:val="en-CA"/>
        </w:rPr>
        <w:t>other enterprises eligible to receive assistance</w:t>
      </w:r>
      <w:r w:rsidRPr="005E2E96">
        <w:rPr>
          <w:lang w:val="en-CA"/>
        </w:rPr>
        <w:t>, and any unspent balances should be returned to the Fund without prejudice to other eligible enterprises</w:t>
      </w:r>
      <w:r w:rsidR="000144C7" w:rsidRPr="005E2E96">
        <w:rPr>
          <w:lang w:val="en-CA"/>
        </w:rPr>
        <w:t>; and</w:t>
      </w:r>
    </w:p>
    <w:p w14:paraId="60882D94" w14:textId="200C4E33" w:rsidR="001516A4" w:rsidRPr="005E2E96" w:rsidRDefault="008E5852" w:rsidP="00210868">
      <w:pPr>
        <w:pStyle w:val="Heading2"/>
        <w:rPr>
          <w:lang w:val="en-CA"/>
        </w:rPr>
      </w:pPr>
      <w:r w:rsidRPr="005E2E96">
        <w:rPr>
          <w:lang w:val="en-CA"/>
        </w:rPr>
        <w:t xml:space="preserve">Once all </w:t>
      </w:r>
      <w:r w:rsidR="000144C7" w:rsidRPr="005E2E96">
        <w:rPr>
          <w:lang w:val="en-CA"/>
        </w:rPr>
        <w:t xml:space="preserve">the foam </w:t>
      </w:r>
      <w:r w:rsidRPr="005E2E96">
        <w:rPr>
          <w:lang w:val="en-CA"/>
        </w:rPr>
        <w:t>enterprises are verified and funds allocated</w:t>
      </w:r>
      <w:r w:rsidR="000144C7" w:rsidRPr="005E2E96">
        <w:rPr>
          <w:lang w:val="en-CA"/>
        </w:rPr>
        <w:t xml:space="preserve"> for their conversion</w:t>
      </w:r>
      <w:r w:rsidRPr="005E2E96">
        <w:rPr>
          <w:lang w:val="en-CA"/>
        </w:rPr>
        <w:t xml:space="preserve">, any deviation from the approved cost-effectiveness of the PU foam sector for </w:t>
      </w:r>
      <w:r w:rsidR="00687BDF" w:rsidRPr="005E2E96">
        <w:rPr>
          <w:lang w:val="en-CA"/>
        </w:rPr>
        <w:t>stage I</w:t>
      </w:r>
      <w:r w:rsidRPr="005E2E96">
        <w:rPr>
          <w:lang w:val="en-CA"/>
        </w:rPr>
        <w:t>I (</w:t>
      </w:r>
      <w:r w:rsidR="000144C7" w:rsidRPr="005E2E96">
        <w:rPr>
          <w:lang w:val="en-CA"/>
        </w:rPr>
        <w:t xml:space="preserve">i.e., </w:t>
      </w:r>
      <w:r w:rsidR="00687BDF" w:rsidRPr="005E2E96">
        <w:rPr>
          <w:lang w:val="en-CA"/>
        </w:rPr>
        <w:t>US $</w:t>
      </w:r>
      <w:r w:rsidRPr="005E2E96">
        <w:rPr>
          <w:lang w:val="en-CA"/>
        </w:rPr>
        <w:t>6.79/kg) would be recovered</w:t>
      </w:r>
      <w:r w:rsidR="0064481A" w:rsidRPr="005E2E96">
        <w:rPr>
          <w:lang w:val="en-CA"/>
        </w:rPr>
        <w:t xml:space="preserve"> from remaining funds for </w:t>
      </w:r>
      <w:r w:rsidR="00687BDF" w:rsidRPr="005E2E96">
        <w:rPr>
          <w:lang w:val="en-CA"/>
        </w:rPr>
        <w:t>stage I</w:t>
      </w:r>
      <w:r w:rsidR="0064481A" w:rsidRPr="005E2E96">
        <w:rPr>
          <w:lang w:val="en-CA"/>
        </w:rPr>
        <w:t>I of the HPMP</w:t>
      </w:r>
      <w:r w:rsidR="000144C7" w:rsidRPr="005E2E96">
        <w:rPr>
          <w:lang w:val="en-CA"/>
        </w:rPr>
        <w:t>; and a</w:t>
      </w:r>
      <w:r w:rsidR="0064481A" w:rsidRPr="005E2E96">
        <w:rPr>
          <w:lang w:val="en-CA"/>
        </w:rPr>
        <w:t xml:space="preserve">ny other unspent balances remaining should be returned to the </w:t>
      </w:r>
      <w:r w:rsidR="000144C7" w:rsidRPr="005E2E96">
        <w:rPr>
          <w:lang w:val="en-CA"/>
        </w:rPr>
        <w:t xml:space="preserve">Multilateral </w:t>
      </w:r>
      <w:r w:rsidR="0064481A" w:rsidRPr="005E2E96">
        <w:rPr>
          <w:lang w:val="en-CA"/>
        </w:rPr>
        <w:t>Fund.</w:t>
      </w:r>
      <w:r w:rsidR="00001970" w:rsidRPr="005E2E96">
        <w:rPr>
          <w:lang w:val="en-CA"/>
        </w:rPr>
        <w:t xml:space="preserve"> </w:t>
      </w:r>
    </w:p>
    <w:p w14:paraId="49DD1394" w14:textId="3814D411" w:rsidR="00036994" w:rsidRPr="005E2E96" w:rsidRDefault="00036994" w:rsidP="009A3176">
      <w:pPr>
        <w:pStyle w:val="Heading1"/>
        <w:widowControl w:val="0"/>
        <w:numPr>
          <w:ilvl w:val="0"/>
          <w:numId w:val="0"/>
        </w:numPr>
        <w:rPr>
          <w:u w:val="single"/>
          <w:lang w:val="en-CA"/>
        </w:rPr>
      </w:pPr>
      <w:r w:rsidRPr="005E2E96">
        <w:rPr>
          <w:u w:val="single"/>
          <w:lang w:val="en-CA"/>
        </w:rPr>
        <w:t xml:space="preserve">Commercial refrigeration manufacturing sector (UNDP and </w:t>
      </w:r>
      <w:r w:rsidR="00801456" w:rsidRPr="005E2E96">
        <w:rPr>
          <w:u w:val="single"/>
          <w:lang w:val="en-CA"/>
        </w:rPr>
        <w:t>the Government of Germany</w:t>
      </w:r>
      <w:r w:rsidRPr="005E2E96">
        <w:rPr>
          <w:u w:val="single"/>
          <w:lang w:val="en-CA"/>
        </w:rPr>
        <w:t>)</w:t>
      </w:r>
    </w:p>
    <w:p w14:paraId="55B4ED0E" w14:textId="7093168B" w:rsidR="003A7D1C" w:rsidRPr="005E2E96" w:rsidRDefault="0094030E" w:rsidP="009A3176">
      <w:pPr>
        <w:pStyle w:val="Heading1"/>
        <w:rPr>
          <w:lang w:val="en-CA"/>
        </w:rPr>
      </w:pPr>
      <w:r w:rsidRPr="005E2E96">
        <w:rPr>
          <w:lang w:val="en-CA"/>
        </w:rPr>
        <w:t>T</w:t>
      </w:r>
      <w:r w:rsidR="00036994" w:rsidRPr="005E2E96">
        <w:rPr>
          <w:lang w:val="en-CA"/>
        </w:rPr>
        <w:t xml:space="preserve">he report </w:t>
      </w:r>
      <w:r w:rsidRPr="005E2E96">
        <w:rPr>
          <w:lang w:val="en-CA"/>
        </w:rPr>
        <w:t xml:space="preserve">submitted by UNDP </w:t>
      </w:r>
      <w:r w:rsidR="00036994" w:rsidRPr="005E2E96">
        <w:rPr>
          <w:lang w:val="en-CA"/>
        </w:rPr>
        <w:t xml:space="preserve">on the results of the conversion of the first 15 </w:t>
      </w:r>
      <w:r w:rsidRPr="005E2E96">
        <w:rPr>
          <w:lang w:val="en-CA"/>
        </w:rPr>
        <w:t xml:space="preserve">SMEs </w:t>
      </w:r>
      <w:r w:rsidR="00036994" w:rsidRPr="005E2E96">
        <w:rPr>
          <w:lang w:val="en-CA"/>
        </w:rPr>
        <w:t xml:space="preserve">in the </w:t>
      </w:r>
      <w:r w:rsidRPr="005E2E96">
        <w:rPr>
          <w:lang w:val="en-CA"/>
        </w:rPr>
        <w:t xml:space="preserve">RAC </w:t>
      </w:r>
      <w:r w:rsidR="00036994" w:rsidRPr="005E2E96">
        <w:rPr>
          <w:lang w:val="en-CA"/>
        </w:rPr>
        <w:t>manufacturing sector to low-</w:t>
      </w:r>
      <w:r w:rsidR="00891178" w:rsidRPr="005E2E96">
        <w:rPr>
          <w:lang w:val="en-CA"/>
        </w:rPr>
        <w:t>GWP</w:t>
      </w:r>
      <w:r w:rsidR="00036994" w:rsidRPr="005E2E96">
        <w:rPr>
          <w:lang w:val="en-CA"/>
        </w:rPr>
        <w:t xml:space="preserve"> alternatives</w:t>
      </w:r>
      <w:r w:rsidRPr="005E2E96">
        <w:rPr>
          <w:lang w:val="en-CA"/>
        </w:rPr>
        <w:t>,</w:t>
      </w:r>
      <w:r w:rsidR="00036994" w:rsidRPr="005E2E96">
        <w:rPr>
          <w:lang w:val="en-CA"/>
        </w:rPr>
        <w:t xml:space="preserve"> summarized the lessons learned </w:t>
      </w:r>
      <w:r w:rsidRPr="005E2E96">
        <w:rPr>
          <w:lang w:val="en-CA"/>
        </w:rPr>
        <w:t xml:space="preserve">on the </w:t>
      </w:r>
      <w:r w:rsidR="00036994" w:rsidRPr="005E2E96">
        <w:rPr>
          <w:lang w:val="en-CA"/>
        </w:rPr>
        <w:t xml:space="preserve">use of </w:t>
      </w:r>
      <w:r w:rsidRPr="005E2E96">
        <w:rPr>
          <w:lang w:val="en-CA"/>
        </w:rPr>
        <w:t xml:space="preserve">the </w:t>
      </w:r>
      <w:r w:rsidR="00036994" w:rsidRPr="005E2E96">
        <w:rPr>
          <w:lang w:val="en-CA"/>
        </w:rPr>
        <w:t>commercial refrigeration conversion kits</w:t>
      </w:r>
      <w:r w:rsidRPr="005E2E96">
        <w:rPr>
          <w:lang w:val="en-CA"/>
        </w:rPr>
        <w:t xml:space="preserve"> that were provided</w:t>
      </w:r>
      <w:r w:rsidR="00036994" w:rsidRPr="005E2E96">
        <w:rPr>
          <w:lang w:val="en-CA"/>
        </w:rPr>
        <w:t>.</w:t>
      </w:r>
      <w:r w:rsidR="009A3176" w:rsidRPr="005E2E96">
        <w:rPr>
          <w:lang w:val="en-CA"/>
        </w:rPr>
        <w:t xml:space="preserve"> </w:t>
      </w:r>
      <w:r w:rsidR="00036994" w:rsidRPr="005E2E96">
        <w:rPr>
          <w:lang w:val="en-CA"/>
        </w:rPr>
        <w:t xml:space="preserve">After the initial challenges related to shipment of the kits and </w:t>
      </w:r>
      <w:r w:rsidR="008F2681" w:rsidRPr="005E2E96">
        <w:rPr>
          <w:lang w:val="en-CA"/>
        </w:rPr>
        <w:t xml:space="preserve">their </w:t>
      </w:r>
      <w:r w:rsidR="00036994" w:rsidRPr="005E2E96">
        <w:rPr>
          <w:lang w:val="en-CA"/>
        </w:rPr>
        <w:t>corresponding parts, th</w:t>
      </w:r>
      <w:r w:rsidR="007C3C91" w:rsidRPr="005E2E96">
        <w:rPr>
          <w:lang w:val="en-CA"/>
        </w:rPr>
        <w:t>e</w:t>
      </w:r>
      <w:r w:rsidR="00036994" w:rsidRPr="005E2E96">
        <w:rPr>
          <w:lang w:val="en-CA"/>
        </w:rPr>
        <w:t xml:space="preserve"> </w:t>
      </w:r>
      <w:r w:rsidRPr="005E2E96">
        <w:rPr>
          <w:lang w:val="en-CA"/>
        </w:rPr>
        <w:t xml:space="preserve">assisted SMEs </w:t>
      </w:r>
      <w:r w:rsidR="00036994" w:rsidRPr="005E2E96">
        <w:rPr>
          <w:lang w:val="en-CA"/>
        </w:rPr>
        <w:t>have demonstrated their potential for use with other</w:t>
      </w:r>
      <w:r w:rsidR="003C4763" w:rsidRPr="005E2E96">
        <w:rPr>
          <w:lang w:val="en-CA"/>
        </w:rPr>
        <w:t xml:space="preserve"> enterprises that have</w:t>
      </w:r>
      <w:r w:rsidR="00036994" w:rsidRPr="005E2E96">
        <w:rPr>
          <w:lang w:val="en-CA"/>
        </w:rPr>
        <w:t xml:space="preserve"> similar products and consumption levels. </w:t>
      </w:r>
      <w:r w:rsidRPr="005E2E96">
        <w:rPr>
          <w:lang w:val="en-CA"/>
        </w:rPr>
        <w:t>The conversions have been made following refrigeration standard EN-378 and the actual charges of the products being converted to R-290 are between 140 and 200 grams, which are well below international standards adopted by the Islamic Republic of Iran.</w:t>
      </w:r>
    </w:p>
    <w:p w14:paraId="0F066504" w14:textId="6618890A" w:rsidR="00036994" w:rsidRPr="005E2E96" w:rsidRDefault="00891178" w:rsidP="009A3176">
      <w:pPr>
        <w:pStyle w:val="Heading1"/>
        <w:rPr>
          <w:lang w:val="en-CA"/>
        </w:rPr>
      </w:pPr>
      <w:r w:rsidRPr="005E2E96">
        <w:rPr>
          <w:lang w:val="en-CA"/>
        </w:rPr>
        <w:t>UNDP explained that</w:t>
      </w:r>
      <w:r w:rsidR="00DD469C" w:rsidRPr="005E2E96">
        <w:rPr>
          <w:lang w:val="en-CA"/>
        </w:rPr>
        <w:t xml:space="preserve"> the strategy being implemented to ensure a</w:t>
      </w:r>
      <w:r w:rsidR="00A068B8" w:rsidRPr="005E2E96">
        <w:rPr>
          <w:lang w:val="en-CA"/>
        </w:rPr>
        <w:t>n</w:t>
      </w:r>
      <w:r w:rsidR="00DD469C" w:rsidRPr="005E2E96">
        <w:rPr>
          <w:lang w:val="en-CA"/>
        </w:rPr>
        <w:t xml:space="preserve"> orderly transition to R-290 is to provide the technology</w:t>
      </w:r>
      <w:r w:rsidR="00C96BF2" w:rsidRPr="005E2E96">
        <w:rPr>
          <w:lang w:val="en-CA"/>
        </w:rPr>
        <w:t xml:space="preserve"> and</w:t>
      </w:r>
      <w:r w:rsidR="00DD469C" w:rsidRPr="005E2E96">
        <w:rPr>
          <w:lang w:val="en-CA"/>
        </w:rPr>
        <w:t xml:space="preserve"> training, supply tools and components</w:t>
      </w:r>
      <w:r w:rsidR="00C96BF2" w:rsidRPr="005E2E96">
        <w:rPr>
          <w:lang w:val="en-CA"/>
        </w:rPr>
        <w:t xml:space="preserve">, </w:t>
      </w:r>
      <w:r w:rsidR="00DD469C" w:rsidRPr="005E2E96">
        <w:rPr>
          <w:lang w:val="en-CA"/>
        </w:rPr>
        <w:t>build</w:t>
      </w:r>
      <w:r w:rsidR="00302948" w:rsidRPr="005E2E96">
        <w:rPr>
          <w:lang w:val="en-CA"/>
        </w:rPr>
        <w:t xml:space="preserve"> the capacity of</w:t>
      </w:r>
      <w:r w:rsidR="00DD469C" w:rsidRPr="005E2E96">
        <w:rPr>
          <w:lang w:val="en-CA"/>
        </w:rPr>
        <w:t xml:space="preserve"> the sector </w:t>
      </w:r>
      <w:r w:rsidR="00302948" w:rsidRPr="005E2E96">
        <w:rPr>
          <w:lang w:val="en-CA"/>
        </w:rPr>
        <w:t>and</w:t>
      </w:r>
      <w:r w:rsidR="00DD469C" w:rsidRPr="005E2E96">
        <w:rPr>
          <w:lang w:val="en-CA"/>
        </w:rPr>
        <w:t xml:space="preserve"> the end-users of the </w:t>
      </w:r>
      <w:r w:rsidR="0094030E" w:rsidRPr="005E2E96">
        <w:rPr>
          <w:lang w:val="en-CA"/>
        </w:rPr>
        <w:t>R-290-based equipment</w:t>
      </w:r>
      <w:r w:rsidR="00DD469C" w:rsidRPr="005E2E96">
        <w:rPr>
          <w:lang w:val="en-CA"/>
        </w:rPr>
        <w:t xml:space="preserve"> (supermarkets and retailers). I</w:t>
      </w:r>
      <w:r w:rsidRPr="005E2E96">
        <w:rPr>
          <w:lang w:val="en-CA"/>
        </w:rPr>
        <w:t>t is early to provide data on the market acceptance of the R-290</w:t>
      </w:r>
      <w:r w:rsidR="0094030E" w:rsidRPr="005E2E96">
        <w:rPr>
          <w:lang w:val="en-CA"/>
        </w:rPr>
        <w:t xml:space="preserve">-based equipment; however, it </w:t>
      </w:r>
      <w:r w:rsidRPr="005E2E96">
        <w:rPr>
          <w:lang w:val="en-CA"/>
        </w:rPr>
        <w:t>is not</w:t>
      </w:r>
      <w:r w:rsidR="00AF3F2B" w:rsidRPr="005E2E96">
        <w:rPr>
          <w:lang w:val="en-CA"/>
        </w:rPr>
        <w:t xml:space="preserve"> considered to be</w:t>
      </w:r>
      <w:r w:rsidRPr="005E2E96">
        <w:rPr>
          <w:lang w:val="en-CA"/>
        </w:rPr>
        <w:t xml:space="preserve"> an issue as the beneficiary enterprises are being prepared to provide the complete range of services including installation and maintenance of the </w:t>
      </w:r>
      <w:r w:rsidR="0094030E" w:rsidRPr="005E2E96">
        <w:rPr>
          <w:lang w:val="en-CA"/>
        </w:rPr>
        <w:t xml:space="preserve">converted </w:t>
      </w:r>
      <w:r w:rsidRPr="005E2E96">
        <w:rPr>
          <w:lang w:val="en-CA"/>
        </w:rPr>
        <w:t xml:space="preserve">equipment. </w:t>
      </w:r>
    </w:p>
    <w:p w14:paraId="035DFB16" w14:textId="535469D7" w:rsidR="00036994" w:rsidRPr="005E2E96" w:rsidRDefault="00036994" w:rsidP="009A3176">
      <w:pPr>
        <w:pStyle w:val="Heading1"/>
        <w:rPr>
          <w:lang w:val="en-CA"/>
        </w:rPr>
      </w:pPr>
      <w:r w:rsidRPr="005E2E96">
        <w:rPr>
          <w:lang w:val="en-CA"/>
        </w:rPr>
        <w:t xml:space="preserve">The Government of </w:t>
      </w:r>
      <w:r w:rsidR="006A62DB" w:rsidRPr="005E2E96">
        <w:rPr>
          <w:lang w:val="en-CA"/>
        </w:rPr>
        <w:t xml:space="preserve">the Islamic Republic of </w:t>
      </w:r>
      <w:r w:rsidRPr="005E2E96">
        <w:rPr>
          <w:lang w:val="en-CA"/>
        </w:rPr>
        <w:t>Iran</w:t>
      </w:r>
      <w:r w:rsidR="00E26073" w:rsidRPr="005E2E96">
        <w:rPr>
          <w:lang w:val="en-CA"/>
        </w:rPr>
        <w:t xml:space="preserve">, </w:t>
      </w:r>
      <w:r w:rsidRPr="005E2E96">
        <w:rPr>
          <w:lang w:val="en-CA"/>
        </w:rPr>
        <w:t>with the assistance of UNDP</w:t>
      </w:r>
      <w:r w:rsidR="00E26073" w:rsidRPr="005E2E96">
        <w:rPr>
          <w:lang w:val="en-CA"/>
        </w:rPr>
        <w:t xml:space="preserve">, </w:t>
      </w:r>
      <w:r w:rsidRPr="005E2E96">
        <w:rPr>
          <w:lang w:val="en-CA"/>
        </w:rPr>
        <w:t xml:space="preserve">will continue to provide these kits to the identified beneficiary enterprises after the release of the second tranche. It is expected that this will support the Government in its efforts to ban new manufacturing capacity based on HCFC-22 from </w:t>
      </w:r>
      <w:r w:rsidR="0094030E" w:rsidRPr="005E2E96">
        <w:rPr>
          <w:lang w:val="en-CA"/>
        </w:rPr>
        <w:t xml:space="preserve">1 </w:t>
      </w:r>
      <w:r w:rsidRPr="005E2E96">
        <w:rPr>
          <w:lang w:val="en-CA"/>
        </w:rPr>
        <w:t>January 2020.</w:t>
      </w:r>
    </w:p>
    <w:p w14:paraId="1FC1B2BA" w14:textId="02712A36" w:rsidR="004A7F0C" w:rsidRPr="005E2E96" w:rsidRDefault="004A7F0C" w:rsidP="004A7F0C">
      <w:pPr>
        <w:spacing w:after="240"/>
        <w:outlineLvl w:val="0"/>
        <w:rPr>
          <w:u w:val="single"/>
          <w:lang w:val="en-CA"/>
        </w:rPr>
      </w:pPr>
      <w:r w:rsidRPr="005E2E96">
        <w:rPr>
          <w:u w:val="single"/>
          <w:lang w:val="en-CA"/>
        </w:rPr>
        <w:t xml:space="preserve">Return of funds from ineligible enterprise in </w:t>
      </w:r>
      <w:r w:rsidR="00687BDF" w:rsidRPr="005E2E96">
        <w:rPr>
          <w:u w:val="single"/>
          <w:lang w:val="en-CA"/>
        </w:rPr>
        <w:t>stage I</w:t>
      </w:r>
      <w:r w:rsidRPr="005E2E96">
        <w:rPr>
          <w:u w:val="single"/>
          <w:lang w:val="en-CA"/>
        </w:rPr>
        <w:t xml:space="preserve"> (Germany component)</w:t>
      </w:r>
    </w:p>
    <w:p w14:paraId="64F24FBD" w14:textId="52491E2A" w:rsidR="004A7F0C" w:rsidRPr="005E2E96" w:rsidRDefault="004A7F0C" w:rsidP="004A7F0C">
      <w:pPr>
        <w:pStyle w:val="Heading1"/>
        <w:widowControl w:val="0"/>
        <w:rPr>
          <w:lang w:val="en-CA"/>
        </w:rPr>
      </w:pPr>
      <w:r w:rsidRPr="005E2E96">
        <w:rPr>
          <w:lang w:val="en-CA"/>
        </w:rPr>
        <w:t>At the 80</w:t>
      </w:r>
      <w:r w:rsidRPr="005E2E96">
        <w:rPr>
          <w:vertAlign w:val="superscript"/>
          <w:lang w:val="en-CA"/>
        </w:rPr>
        <w:t>th</w:t>
      </w:r>
      <w:r w:rsidRPr="005E2E96">
        <w:rPr>
          <w:lang w:val="en-CA"/>
        </w:rPr>
        <w:t xml:space="preserve"> meeting, the annual progress report submitted for </w:t>
      </w:r>
      <w:r w:rsidR="00687BDF" w:rsidRPr="005E2E96">
        <w:rPr>
          <w:lang w:val="en-CA"/>
        </w:rPr>
        <w:t>stage I</w:t>
      </w:r>
      <w:r w:rsidRPr="005E2E96">
        <w:rPr>
          <w:lang w:val="en-CA"/>
        </w:rPr>
        <w:t xml:space="preserve"> of the HPMP showed that the enterprise </w:t>
      </w:r>
      <w:proofErr w:type="spellStart"/>
      <w:r w:rsidRPr="005E2E96">
        <w:rPr>
          <w:lang w:val="en-CA"/>
        </w:rPr>
        <w:t>Behdor</w:t>
      </w:r>
      <w:proofErr w:type="spellEnd"/>
      <w:r w:rsidRPr="005E2E96">
        <w:rPr>
          <w:lang w:val="en-CA"/>
        </w:rPr>
        <w:t xml:space="preserve"> Ranging, had stopped manufacturing with the use of HCFCs, and the funding allocated for its conversion had already been fully spent in assisting other enterprises without having consulted the Executive Committee in advance. In considering the issue, the Committee decided to deduct </w:t>
      </w:r>
      <w:r w:rsidR="00687BDF" w:rsidRPr="005E2E96">
        <w:rPr>
          <w:lang w:val="en-CA"/>
        </w:rPr>
        <w:t>US $</w:t>
      </w:r>
      <w:r w:rsidRPr="005E2E96">
        <w:rPr>
          <w:lang w:val="en-CA"/>
        </w:rPr>
        <w:t xml:space="preserve">126,545, plus agency support costs of </w:t>
      </w:r>
      <w:r w:rsidR="00687BDF" w:rsidRPr="005E2E96">
        <w:rPr>
          <w:lang w:val="en-CA"/>
        </w:rPr>
        <w:t>US $</w:t>
      </w:r>
      <w:r w:rsidRPr="005E2E96">
        <w:rPr>
          <w:lang w:val="en-CA"/>
        </w:rPr>
        <w:t>14,393 from the second-tranche approval of funds for the Government of Germany when submitted</w:t>
      </w:r>
      <w:r w:rsidR="0041115E" w:rsidRPr="005E2E96">
        <w:rPr>
          <w:lang w:val="en-CA"/>
        </w:rPr>
        <w:t xml:space="preserve"> (</w:t>
      </w:r>
      <w:r w:rsidRPr="005E2E96">
        <w:rPr>
          <w:lang w:val="en-CA"/>
        </w:rPr>
        <w:t xml:space="preserve">decision 80/21). </w:t>
      </w:r>
    </w:p>
    <w:p w14:paraId="6B7FE3CE" w14:textId="658FD928" w:rsidR="008334D1" w:rsidRPr="005E2E96" w:rsidRDefault="008334D1" w:rsidP="00963720">
      <w:pPr>
        <w:pStyle w:val="Heading1"/>
        <w:keepNext/>
        <w:rPr>
          <w:i/>
          <w:u w:val="single"/>
          <w:lang w:val="en-CA"/>
        </w:rPr>
      </w:pPr>
      <w:r w:rsidRPr="005E2E96">
        <w:rPr>
          <w:lang w:val="en-CA"/>
        </w:rPr>
        <w:lastRenderedPageBreak/>
        <w:t xml:space="preserve">In line with decision 80/21, the Secretariat’s recommendation has included </w:t>
      </w:r>
      <w:r w:rsidR="0064481A" w:rsidRPr="005E2E96">
        <w:rPr>
          <w:lang w:val="en-CA"/>
        </w:rPr>
        <w:t xml:space="preserve">this </w:t>
      </w:r>
      <w:r w:rsidRPr="005E2E96">
        <w:rPr>
          <w:lang w:val="en-CA"/>
        </w:rPr>
        <w:t>deduction from the funds to be approved for the Government of Germany.</w:t>
      </w:r>
    </w:p>
    <w:p w14:paraId="0387468A" w14:textId="7C2B50B5" w:rsidR="00DB6250" w:rsidRPr="005E2E96" w:rsidRDefault="00DB6250" w:rsidP="009A3176">
      <w:pPr>
        <w:rPr>
          <w:u w:val="single"/>
          <w:lang w:val="en-CA"/>
        </w:rPr>
      </w:pPr>
      <w:r w:rsidRPr="005E2E96">
        <w:rPr>
          <w:u w:val="single"/>
          <w:lang w:val="en-CA"/>
        </w:rPr>
        <w:t>Transfer of funds related to UNEP activities in the refrigeration servicing sector</w:t>
      </w:r>
    </w:p>
    <w:p w14:paraId="3D8D3873" w14:textId="77777777" w:rsidR="00DB6250" w:rsidRPr="005E2E96" w:rsidRDefault="00DB6250" w:rsidP="009A3176">
      <w:pPr>
        <w:rPr>
          <w:lang w:val="en-CA"/>
        </w:rPr>
      </w:pPr>
    </w:p>
    <w:p w14:paraId="661892B5" w14:textId="3108518C" w:rsidR="00DB6250" w:rsidRPr="005E2E96" w:rsidRDefault="00DB6250" w:rsidP="009A3176">
      <w:pPr>
        <w:pStyle w:val="Heading1"/>
        <w:rPr>
          <w:lang w:eastAsia="zh-CN"/>
        </w:rPr>
      </w:pPr>
      <w:r w:rsidRPr="005E2E96">
        <w:rPr>
          <w:lang w:eastAsia="zh-CN"/>
        </w:rPr>
        <w:t xml:space="preserve">Since January 2019, UNEP had been experiencing problems with the transfer of funds due to sanctions imposed in the country, which affected the local banking system. To address this issue, the UN Resident Coordination Office in the Islamic Republic of Iran facilitated the establishment of a UN account at one of the regional banks, capable of transferring funds directly from United Nations Headquarters to the </w:t>
      </w:r>
      <w:r w:rsidR="0094030E" w:rsidRPr="005E2E96">
        <w:rPr>
          <w:lang w:eastAsia="zh-CN"/>
        </w:rPr>
        <w:t xml:space="preserve">country. </w:t>
      </w:r>
      <w:r w:rsidRPr="005E2E96">
        <w:rPr>
          <w:lang w:eastAsia="zh-CN"/>
        </w:rPr>
        <w:t>This was considered to be the most suitable option, and it will be used from now on for UNEP’s projects in the country. The disbursement for the first tranche had been completed. Currently, amendments to the earlier agreements are being done to facilitate a</w:t>
      </w:r>
      <w:r w:rsidR="0094030E" w:rsidRPr="005E2E96">
        <w:rPr>
          <w:lang w:eastAsia="zh-CN"/>
        </w:rPr>
        <w:t>n</w:t>
      </w:r>
      <w:r w:rsidRPr="005E2E96">
        <w:rPr>
          <w:lang w:eastAsia="zh-CN"/>
        </w:rPr>
        <w:t xml:space="preserve"> efficient transfer </w:t>
      </w:r>
      <w:r w:rsidR="0094030E" w:rsidRPr="005E2E96">
        <w:rPr>
          <w:lang w:eastAsia="zh-CN"/>
        </w:rPr>
        <w:t xml:space="preserve">of </w:t>
      </w:r>
      <w:r w:rsidRPr="005E2E96">
        <w:rPr>
          <w:lang w:eastAsia="zh-CN"/>
        </w:rPr>
        <w:t>funds.</w:t>
      </w:r>
    </w:p>
    <w:p w14:paraId="4B3B398B" w14:textId="77777777" w:rsidR="00036994" w:rsidRPr="005E2E96" w:rsidRDefault="00036994" w:rsidP="009A3176">
      <w:pPr>
        <w:keepNext/>
        <w:keepLines/>
        <w:spacing w:after="240"/>
        <w:outlineLvl w:val="0"/>
        <w:rPr>
          <w:u w:val="single"/>
          <w:lang w:val="en-CA"/>
        </w:rPr>
      </w:pPr>
      <w:r w:rsidRPr="005E2E96">
        <w:rPr>
          <w:u w:val="single"/>
          <w:lang w:val="en-CA"/>
        </w:rPr>
        <w:t xml:space="preserve">Sustainability of the HCFC phase-out </w:t>
      </w:r>
    </w:p>
    <w:p w14:paraId="3A1B67FB" w14:textId="400EDB65" w:rsidR="00036994" w:rsidRPr="005E2E96" w:rsidRDefault="00036994" w:rsidP="009A3176">
      <w:pPr>
        <w:pStyle w:val="Heading1"/>
        <w:rPr>
          <w:u w:val="single"/>
          <w:lang w:val="en-CA"/>
        </w:rPr>
      </w:pPr>
      <w:r w:rsidRPr="005E2E96">
        <w:rPr>
          <w:lang w:val="en-CA"/>
        </w:rPr>
        <w:t>The Government of</w:t>
      </w:r>
      <w:r w:rsidR="006A62DB" w:rsidRPr="005E2E96">
        <w:rPr>
          <w:lang w:val="en-CA"/>
        </w:rPr>
        <w:t xml:space="preserve"> the Islamic Republic of</w:t>
      </w:r>
      <w:r w:rsidRPr="005E2E96">
        <w:rPr>
          <w:lang w:val="en-CA"/>
        </w:rPr>
        <w:t xml:space="preserve"> Iran has promulgated regulations that support the conversions in the foam and AC manufacturing sector</w:t>
      </w:r>
      <w:r w:rsidR="00203854" w:rsidRPr="005E2E96">
        <w:rPr>
          <w:lang w:val="en-CA"/>
        </w:rPr>
        <w:t>s</w:t>
      </w:r>
      <w:r w:rsidRPr="005E2E96">
        <w:rPr>
          <w:lang w:val="en-CA"/>
        </w:rPr>
        <w:t xml:space="preserve">. Upon completion of the conversion of the room AC manufacturing sector during </w:t>
      </w:r>
      <w:r w:rsidR="00687BDF" w:rsidRPr="005E2E96">
        <w:rPr>
          <w:lang w:val="en-CA"/>
        </w:rPr>
        <w:t>stage I</w:t>
      </w:r>
      <w:r w:rsidRPr="005E2E96">
        <w:rPr>
          <w:lang w:val="en-CA"/>
        </w:rPr>
        <w:t>, the Government will establish a ban on new manufacturing capacity based on HCFC</w:t>
      </w:r>
      <w:r w:rsidR="00B316E0" w:rsidRPr="005E2E96">
        <w:rPr>
          <w:lang w:val="en-CA"/>
        </w:rPr>
        <w:noBreakHyphen/>
      </w:r>
      <w:r w:rsidRPr="005E2E96">
        <w:rPr>
          <w:lang w:val="en-CA"/>
        </w:rPr>
        <w:t xml:space="preserve">22 from </w:t>
      </w:r>
      <w:r w:rsidR="001C6225" w:rsidRPr="005E2E96">
        <w:rPr>
          <w:lang w:val="en-CA"/>
        </w:rPr>
        <w:t xml:space="preserve">1 </w:t>
      </w:r>
      <w:r w:rsidRPr="005E2E96">
        <w:rPr>
          <w:lang w:val="en-CA"/>
        </w:rPr>
        <w:t>January 2020; and a ban on the import and use of HCFC</w:t>
      </w:r>
      <w:r w:rsidRPr="005E2E96">
        <w:rPr>
          <w:lang w:val="en-CA"/>
        </w:rPr>
        <w:noBreakHyphen/>
        <w:t>141b pure or contained in pre</w:t>
      </w:r>
      <w:r w:rsidRPr="005E2E96">
        <w:rPr>
          <w:lang w:val="en-CA"/>
        </w:rPr>
        <w:noBreakHyphen/>
        <w:t xml:space="preserve">blended polyols for the manufacture of PU foam when the </w:t>
      </w:r>
      <w:r w:rsidR="005E0D47" w:rsidRPr="005E2E96">
        <w:rPr>
          <w:lang w:val="en-CA"/>
        </w:rPr>
        <w:t xml:space="preserve">conversion of the foam </w:t>
      </w:r>
      <w:r w:rsidRPr="005E2E96">
        <w:rPr>
          <w:lang w:val="en-CA"/>
        </w:rPr>
        <w:t xml:space="preserve">projects </w:t>
      </w:r>
      <w:r w:rsidR="005E0D47" w:rsidRPr="005E2E96">
        <w:rPr>
          <w:lang w:val="en-CA"/>
        </w:rPr>
        <w:t xml:space="preserve">has been </w:t>
      </w:r>
      <w:r w:rsidRPr="005E2E96">
        <w:rPr>
          <w:lang w:val="en-CA"/>
        </w:rPr>
        <w:t xml:space="preserve">completed. Enterprises </w:t>
      </w:r>
      <w:r w:rsidR="00F95B5E" w:rsidRPr="005E2E96">
        <w:rPr>
          <w:lang w:val="en-CA"/>
        </w:rPr>
        <w:t>that</w:t>
      </w:r>
      <w:r w:rsidRPr="005E2E96">
        <w:rPr>
          <w:lang w:val="en-CA"/>
        </w:rPr>
        <w:t xml:space="preserve"> have received assistance for the commercial refrigeration conversion kits have committed to stop manufacturing commercial refrigeration products using HCFC-22 six months after their initial production</w:t>
      </w:r>
      <w:r w:rsidR="007A7EFE" w:rsidRPr="005E2E96">
        <w:rPr>
          <w:lang w:val="en-CA"/>
        </w:rPr>
        <w:t xml:space="preserve"> of R-290 products using the kits</w:t>
      </w:r>
      <w:r w:rsidRPr="005E2E96">
        <w:rPr>
          <w:lang w:val="en-CA"/>
        </w:rPr>
        <w:t>; other enterprises to be provided with kits in the second and third tranches have also committed to stopping the use of HCFC</w:t>
      </w:r>
      <w:r w:rsidR="00B316E0" w:rsidRPr="005E2E96">
        <w:rPr>
          <w:lang w:val="en-CA"/>
        </w:rPr>
        <w:noBreakHyphen/>
      </w:r>
      <w:r w:rsidRPr="005E2E96">
        <w:rPr>
          <w:lang w:val="en-CA"/>
        </w:rPr>
        <w:t>22 six months after receipt of the conversion kits.</w:t>
      </w:r>
    </w:p>
    <w:p w14:paraId="2DE3AE9F" w14:textId="7582A102" w:rsidR="00036994" w:rsidRPr="005E2E96" w:rsidRDefault="00036994" w:rsidP="009A3176">
      <w:pPr>
        <w:spacing w:after="240"/>
        <w:outlineLvl w:val="0"/>
        <w:rPr>
          <w:u w:val="single"/>
          <w:lang w:val="en-CA"/>
        </w:rPr>
      </w:pPr>
      <w:r w:rsidRPr="005E2E96">
        <w:rPr>
          <w:u w:val="single"/>
          <w:lang w:val="en-CA"/>
        </w:rPr>
        <w:t xml:space="preserve">Conclusion </w:t>
      </w:r>
    </w:p>
    <w:p w14:paraId="12AEC8DB" w14:textId="485D7B46" w:rsidR="00036994" w:rsidRPr="005E2E96" w:rsidRDefault="00036994" w:rsidP="009A3176">
      <w:pPr>
        <w:pStyle w:val="Heading1"/>
        <w:rPr>
          <w:lang w:val="en-CA"/>
        </w:rPr>
      </w:pPr>
      <w:r w:rsidRPr="005E2E96">
        <w:rPr>
          <w:lang w:val="en-CA"/>
        </w:rPr>
        <w:t xml:space="preserve">The Government of </w:t>
      </w:r>
      <w:r w:rsidR="007C367B" w:rsidRPr="005E2E96">
        <w:rPr>
          <w:lang w:val="en-CA"/>
        </w:rPr>
        <w:t xml:space="preserve">the Islamic Republic of </w:t>
      </w:r>
      <w:r w:rsidRPr="005E2E96">
        <w:rPr>
          <w:lang w:val="en-CA"/>
        </w:rPr>
        <w:t xml:space="preserve">Iran continued to effectively implement its HCFC import and export licensing and quota system, achieving compliance with its HCFC consumption targets for 2017 and 2018, as corroborated by the independent verification report. </w:t>
      </w:r>
      <w:r w:rsidR="007C367B" w:rsidRPr="005E2E96">
        <w:rPr>
          <w:lang w:val="en-CA"/>
        </w:rPr>
        <w:t>Notwithstanding a slow start due to currency fluctuations</w:t>
      </w:r>
      <w:r w:rsidR="00262AAB" w:rsidRPr="005E2E96">
        <w:rPr>
          <w:lang w:val="en-CA"/>
        </w:rPr>
        <w:t xml:space="preserve"> and </w:t>
      </w:r>
      <w:r w:rsidR="009113BE" w:rsidRPr="005E2E96">
        <w:rPr>
          <w:lang w:val="en-CA"/>
        </w:rPr>
        <w:t xml:space="preserve">difficulties </w:t>
      </w:r>
      <w:r w:rsidR="0089218C" w:rsidRPr="005E2E96">
        <w:rPr>
          <w:lang w:val="en-CA"/>
        </w:rPr>
        <w:t>with the</w:t>
      </w:r>
      <w:r w:rsidR="009113BE" w:rsidRPr="005E2E96">
        <w:rPr>
          <w:lang w:val="en-CA"/>
        </w:rPr>
        <w:t xml:space="preserve"> supply </w:t>
      </w:r>
      <w:r w:rsidR="0089218C" w:rsidRPr="005E2E96">
        <w:rPr>
          <w:lang w:val="en-CA"/>
        </w:rPr>
        <w:t xml:space="preserve">of </w:t>
      </w:r>
      <w:r w:rsidR="009113BE" w:rsidRPr="005E2E96">
        <w:rPr>
          <w:lang w:val="en-CA"/>
        </w:rPr>
        <w:t>raw materials and equipment, substanti</w:t>
      </w:r>
      <w:r w:rsidR="0089218C" w:rsidRPr="005E2E96">
        <w:rPr>
          <w:lang w:val="en-CA"/>
        </w:rPr>
        <w:t>al</w:t>
      </w:r>
      <w:r w:rsidR="009113BE" w:rsidRPr="005E2E96">
        <w:rPr>
          <w:lang w:val="en-CA"/>
        </w:rPr>
        <w:t xml:space="preserve"> progress has been achieved with the conversion of the first 15 commercial refrigeration enterprises and the start of the conversions in the PU foam sector. UNIDO is requesting the use of flexibility to allow enterprises </w:t>
      </w:r>
      <w:r w:rsidR="00183DE1" w:rsidRPr="005E2E96">
        <w:rPr>
          <w:lang w:val="en-CA"/>
        </w:rPr>
        <w:t xml:space="preserve">in the group project </w:t>
      </w:r>
      <w:r w:rsidR="009113BE" w:rsidRPr="005E2E96">
        <w:rPr>
          <w:lang w:val="en-CA"/>
        </w:rPr>
        <w:t xml:space="preserve">to change technology from water-based to pre-blended </w:t>
      </w:r>
      <w:r w:rsidR="001B005C" w:rsidRPr="005E2E96">
        <w:rPr>
          <w:lang w:val="en-CA"/>
        </w:rPr>
        <w:t>cyclopentane</w:t>
      </w:r>
      <w:r w:rsidR="00183DE1" w:rsidRPr="005E2E96">
        <w:rPr>
          <w:lang w:val="en-CA"/>
        </w:rPr>
        <w:t>,</w:t>
      </w:r>
      <w:r w:rsidR="009113BE" w:rsidRPr="005E2E96">
        <w:rPr>
          <w:lang w:val="en-CA"/>
        </w:rPr>
        <w:t xml:space="preserve"> and to reallocate </w:t>
      </w:r>
      <w:r w:rsidR="00183DE1" w:rsidRPr="005E2E96">
        <w:rPr>
          <w:lang w:val="en-CA"/>
        </w:rPr>
        <w:t>the unused funding from f</w:t>
      </w:r>
      <w:r w:rsidR="009113BE" w:rsidRPr="005E2E96">
        <w:rPr>
          <w:lang w:val="en-CA"/>
        </w:rPr>
        <w:t xml:space="preserve">ive enterprises that stopped using HCFC-141b (four individual and one in the group project) to </w:t>
      </w:r>
      <w:r w:rsidR="001B005C" w:rsidRPr="005E2E96">
        <w:rPr>
          <w:lang w:val="en-CA"/>
        </w:rPr>
        <w:t xml:space="preserve">cover part </w:t>
      </w:r>
      <w:r w:rsidR="00183DE1" w:rsidRPr="005E2E96">
        <w:rPr>
          <w:lang w:val="en-CA"/>
        </w:rPr>
        <w:t xml:space="preserve">of the additional incremental cost </w:t>
      </w:r>
      <w:r w:rsidR="001B005C" w:rsidRPr="005E2E96">
        <w:rPr>
          <w:lang w:val="en-CA"/>
        </w:rPr>
        <w:t xml:space="preserve">associated with </w:t>
      </w:r>
      <w:r w:rsidR="00183DE1" w:rsidRPr="005E2E96">
        <w:rPr>
          <w:lang w:val="en-CA"/>
        </w:rPr>
        <w:t xml:space="preserve">the change of technology, noting that the assisted enterprises will co-fund the </w:t>
      </w:r>
      <w:r w:rsidR="004D7B05" w:rsidRPr="005E2E96">
        <w:rPr>
          <w:lang w:val="en-CA"/>
        </w:rPr>
        <w:t>remaining cost</w:t>
      </w:r>
      <w:r w:rsidR="009113BE" w:rsidRPr="005E2E96">
        <w:rPr>
          <w:lang w:val="en-CA"/>
        </w:rPr>
        <w:t xml:space="preserve">. </w:t>
      </w:r>
      <w:r w:rsidR="00556E3E" w:rsidRPr="005E2E96">
        <w:rPr>
          <w:lang w:val="en-CA"/>
        </w:rPr>
        <w:t xml:space="preserve">The Islamic Republic of </w:t>
      </w:r>
      <w:r w:rsidRPr="005E2E96">
        <w:rPr>
          <w:lang w:val="en-CA"/>
        </w:rPr>
        <w:t xml:space="preserve">Iran also advanced in the implementation of activities in the refrigeration servicing sector, including technician training and the development of a technician certification system for the safe management of flammable refrigerants. </w:t>
      </w:r>
      <w:r w:rsidR="007C367B" w:rsidRPr="005E2E96">
        <w:rPr>
          <w:lang w:val="en-CA"/>
        </w:rPr>
        <w:t>The bilateral and implementing agencies disbursed 41</w:t>
      </w:r>
      <w:r w:rsidRPr="005E2E96">
        <w:rPr>
          <w:lang w:val="en-CA"/>
        </w:rPr>
        <w:t> per cent of the approved funds.</w:t>
      </w:r>
    </w:p>
    <w:p w14:paraId="454F140E" w14:textId="774CCF47" w:rsidR="00D866D0" w:rsidRPr="005E2E96" w:rsidRDefault="007C78AA" w:rsidP="006A0111">
      <w:pPr>
        <w:pStyle w:val="Heading1"/>
        <w:rPr>
          <w:lang w:val="en-CA"/>
        </w:rPr>
      </w:pPr>
      <w:r w:rsidRPr="007C78AA">
        <w:rPr>
          <w:lang w:val="en-CA"/>
        </w:rPr>
        <w:t>With regard to the flexibility requested by UNIDO to reallocate funds from five enterprises in the PU foam sector, the Secretariat noted that the consumption of HCFC</w:t>
      </w:r>
      <w:r w:rsidRPr="007C78AA">
        <w:rPr>
          <w:lang w:val="en-CA"/>
        </w:rPr>
        <w:noBreakHyphen/>
        <w:t xml:space="preserve">141b by the three enterprises that converted with their own funds was already phased out, and therefore the associated funding of US $375,701 should be returned to the Fund. In contrast, the Secretariat is presenting for the Committee’s consideration the reallocation of US $348,006 from two enterprises that had closed down, given the particular economic circumstances in the country that has resulted in the reduction of consumption in some enterprises (including closure) and an increase in others. The Secretariat considers relevant that the request from UNIDO for flexibility may be considered under several conditions specified in the document. Furthermore, noting that the change of technology being proposed is a major change in the Agreement </w:t>
      </w:r>
      <w:r w:rsidRPr="007C78AA">
        <w:rPr>
          <w:lang w:val="en-CA"/>
        </w:rPr>
        <w:lastRenderedPageBreak/>
        <w:t>between the Government and the Executive Committee, the Secretariat is submitting it for the Committee’s consideration.</w:t>
      </w:r>
    </w:p>
    <w:p w14:paraId="73E9E502" w14:textId="77777777" w:rsidR="00431B5D" w:rsidRPr="005E2E96" w:rsidRDefault="00431B5D" w:rsidP="005E2E96">
      <w:pPr>
        <w:keepNext/>
        <w:rPr>
          <w:b/>
          <w:lang w:val="en-CA"/>
        </w:rPr>
      </w:pPr>
      <w:r w:rsidRPr="005E2E96">
        <w:rPr>
          <w:b/>
          <w:lang w:val="en-CA"/>
        </w:rPr>
        <w:t xml:space="preserve">RECOMMENDATION </w:t>
      </w:r>
    </w:p>
    <w:p w14:paraId="6F038379" w14:textId="4DE45DB1" w:rsidR="00431B5D" w:rsidRPr="005E2E96" w:rsidRDefault="00431B5D" w:rsidP="005E2E96">
      <w:pPr>
        <w:keepNext/>
        <w:rPr>
          <w:lang w:val="en-CA"/>
        </w:rPr>
      </w:pPr>
    </w:p>
    <w:p w14:paraId="74D79BA2" w14:textId="22291728" w:rsidR="00431B5D" w:rsidRPr="005E2E96" w:rsidRDefault="00431B5D" w:rsidP="009A3176">
      <w:pPr>
        <w:pStyle w:val="Heading1"/>
        <w:rPr>
          <w:lang w:val="en-CA"/>
        </w:rPr>
      </w:pPr>
      <w:r w:rsidRPr="005E2E96">
        <w:rPr>
          <w:lang w:val="en-CA"/>
        </w:rPr>
        <w:t>The Executive Committee may wish</w:t>
      </w:r>
      <w:r w:rsidR="007C78AA">
        <w:rPr>
          <w:lang w:val="en-CA"/>
        </w:rPr>
        <w:t xml:space="preserve"> to consider</w:t>
      </w:r>
      <w:r w:rsidRPr="005E2E96">
        <w:rPr>
          <w:lang w:val="en-CA"/>
        </w:rPr>
        <w:t>:</w:t>
      </w:r>
    </w:p>
    <w:p w14:paraId="01E70506" w14:textId="20ECB2B2" w:rsidR="00E837CC" w:rsidRPr="005E2E96" w:rsidRDefault="007C78AA" w:rsidP="009A3176">
      <w:pPr>
        <w:pStyle w:val="Heading2"/>
        <w:rPr>
          <w:lang w:val="en-CA"/>
        </w:rPr>
      </w:pPr>
      <w:r>
        <w:rPr>
          <w:lang w:val="en-CA"/>
        </w:rPr>
        <w:t>Noting</w:t>
      </w:r>
      <w:r w:rsidR="00E837CC" w:rsidRPr="005E2E96">
        <w:rPr>
          <w:lang w:val="en-CA"/>
        </w:rPr>
        <w:t xml:space="preserve">: </w:t>
      </w:r>
    </w:p>
    <w:p w14:paraId="0E7A9E99" w14:textId="4212C8D7" w:rsidR="00431B5D" w:rsidRPr="005E2E96" w:rsidRDefault="00E837CC" w:rsidP="009A3176">
      <w:pPr>
        <w:pStyle w:val="Heading3"/>
        <w:rPr>
          <w:lang w:val="en-CA"/>
        </w:rPr>
      </w:pPr>
      <w:r w:rsidRPr="005E2E96">
        <w:rPr>
          <w:lang w:val="en-CA"/>
        </w:rPr>
        <w:t>T</w:t>
      </w:r>
      <w:r w:rsidR="00431B5D" w:rsidRPr="005E2E96">
        <w:rPr>
          <w:lang w:val="en-CA"/>
        </w:rPr>
        <w:t xml:space="preserve">he progress report on the implementation of the first tranche of </w:t>
      </w:r>
      <w:r w:rsidR="00687BDF" w:rsidRPr="005E2E96">
        <w:rPr>
          <w:lang w:val="en-CA"/>
        </w:rPr>
        <w:t>stage I</w:t>
      </w:r>
      <w:r w:rsidR="00431B5D" w:rsidRPr="005E2E96">
        <w:rPr>
          <w:lang w:val="en-CA"/>
        </w:rPr>
        <w:t>I</w:t>
      </w:r>
      <w:r w:rsidR="00BE31BF" w:rsidRPr="005E2E96">
        <w:rPr>
          <w:lang w:val="en-CA"/>
        </w:rPr>
        <w:t xml:space="preserve"> of</w:t>
      </w:r>
      <w:r w:rsidR="00431B5D" w:rsidRPr="005E2E96">
        <w:rPr>
          <w:lang w:val="en-CA"/>
        </w:rPr>
        <w:t xml:space="preserve"> the HCFC phase-out management plan (HPMP) in the Islamic Republic of Iran;</w:t>
      </w:r>
    </w:p>
    <w:p w14:paraId="0E0F4028" w14:textId="32FC95A6" w:rsidR="00BF041C" w:rsidRPr="005E2E96" w:rsidRDefault="00BF041C" w:rsidP="00BF041C">
      <w:pPr>
        <w:pStyle w:val="Heading3"/>
        <w:rPr>
          <w:lang w:val="en-CA"/>
        </w:rPr>
      </w:pPr>
      <w:r w:rsidRPr="005E2E96">
        <w:rPr>
          <w:lang w:val="en-CA"/>
        </w:rPr>
        <w:t xml:space="preserve">That two individual enterprises </w:t>
      </w:r>
      <w:proofErr w:type="spellStart"/>
      <w:r w:rsidRPr="005E2E96">
        <w:rPr>
          <w:lang w:val="en-CA"/>
        </w:rPr>
        <w:t>Hanzad</w:t>
      </w:r>
      <w:proofErr w:type="spellEnd"/>
      <w:r w:rsidRPr="005E2E96">
        <w:rPr>
          <w:lang w:val="en-CA"/>
        </w:rPr>
        <w:t xml:space="preserve"> and Tara </w:t>
      </w:r>
      <w:proofErr w:type="spellStart"/>
      <w:r w:rsidRPr="005E2E96">
        <w:rPr>
          <w:lang w:val="en-CA"/>
        </w:rPr>
        <w:t>Sanat</w:t>
      </w:r>
      <w:proofErr w:type="spellEnd"/>
      <w:r w:rsidRPr="005E2E96">
        <w:rPr>
          <w:lang w:val="en-CA"/>
        </w:rPr>
        <w:t xml:space="preserve"> </w:t>
      </w:r>
      <w:proofErr w:type="spellStart"/>
      <w:r w:rsidRPr="005E2E96">
        <w:rPr>
          <w:lang w:val="en-CA"/>
        </w:rPr>
        <w:t>Barfin</w:t>
      </w:r>
      <w:proofErr w:type="spellEnd"/>
      <w:r w:rsidR="000144C7" w:rsidRPr="005E2E96">
        <w:rPr>
          <w:lang w:val="en-CA"/>
        </w:rPr>
        <w:t>,</w:t>
      </w:r>
      <w:r w:rsidRPr="005E2E96">
        <w:rPr>
          <w:lang w:val="en-CA"/>
        </w:rPr>
        <w:t xml:space="preserve"> with a consumption of 39</w:t>
      </w:r>
      <w:r w:rsidR="000144C7" w:rsidRPr="005E2E96">
        <w:rPr>
          <w:lang w:val="en-CA"/>
        </w:rPr>
        <w:t xml:space="preserve">.00 </w:t>
      </w:r>
      <w:r w:rsidRPr="005E2E96">
        <w:rPr>
          <w:lang w:val="en-CA"/>
        </w:rPr>
        <w:t xml:space="preserve">mt (4.29 ODP tonnes) of HCFC-141b and associated funding of </w:t>
      </w:r>
      <w:r w:rsidR="00687BDF" w:rsidRPr="005E2E96">
        <w:rPr>
          <w:lang w:val="en-CA"/>
        </w:rPr>
        <w:t>US $</w:t>
      </w:r>
      <w:r w:rsidRPr="005E2E96">
        <w:rPr>
          <w:lang w:val="en-CA"/>
        </w:rPr>
        <w:t>348,00</w:t>
      </w:r>
      <w:r w:rsidR="00837BFB" w:rsidRPr="005E2E96">
        <w:rPr>
          <w:lang w:val="en-CA"/>
        </w:rPr>
        <w:t>6</w:t>
      </w:r>
      <w:r w:rsidRPr="005E2E96">
        <w:rPr>
          <w:lang w:val="en-CA"/>
        </w:rPr>
        <w:t xml:space="preserve">, have been closed and removed from </w:t>
      </w:r>
      <w:r w:rsidR="00687BDF" w:rsidRPr="005E2E96">
        <w:rPr>
          <w:lang w:val="en-CA"/>
        </w:rPr>
        <w:t>stage I</w:t>
      </w:r>
      <w:r w:rsidRPr="005E2E96">
        <w:rPr>
          <w:lang w:val="en-CA"/>
        </w:rPr>
        <w:t>I;</w:t>
      </w:r>
    </w:p>
    <w:p w14:paraId="2A3966AC" w14:textId="6BC86419" w:rsidR="00A068B8" w:rsidRPr="005E2E96" w:rsidRDefault="00A068B8" w:rsidP="009A3176">
      <w:pPr>
        <w:pStyle w:val="Heading3"/>
        <w:rPr>
          <w:lang w:val="en-CA"/>
        </w:rPr>
      </w:pPr>
      <w:r w:rsidRPr="005E2E96">
        <w:rPr>
          <w:lang w:val="en-CA"/>
        </w:rPr>
        <w:t xml:space="preserve">That UNIDO will move two </w:t>
      </w:r>
      <w:r w:rsidR="005B2599" w:rsidRPr="005E2E96">
        <w:rPr>
          <w:lang w:val="en-CA"/>
        </w:rPr>
        <w:t xml:space="preserve">enterprises for </w:t>
      </w:r>
      <w:r w:rsidRPr="005E2E96">
        <w:rPr>
          <w:lang w:val="en-CA"/>
        </w:rPr>
        <w:t>individual conversion</w:t>
      </w:r>
      <w:r w:rsidR="005B2599" w:rsidRPr="005E2E96">
        <w:rPr>
          <w:lang w:val="en-CA"/>
        </w:rPr>
        <w:t xml:space="preserve"> with consumption of</w:t>
      </w:r>
      <w:r w:rsidR="00547A3E" w:rsidRPr="005E2E96">
        <w:rPr>
          <w:lang w:val="en-CA"/>
        </w:rPr>
        <w:t xml:space="preserve"> 51</w:t>
      </w:r>
      <w:r w:rsidR="00AA7FD3" w:rsidRPr="005E2E96">
        <w:rPr>
          <w:lang w:val="en-CA"/>
        </w:rPr>
        <w:t> </w:t>
      </w:r>
      <w:proofErr w:type="spellStart"/>
      <w:r w:rsidR="00AA7FD3" w:rsidRPr="005E2E96">
        <w:rPr>
          <w:lang w:val="en-CA"/>
        </w:rPr>
        <w:t>mt</w:t>
      </w:r>
      <w:proofErr w:type="spellEnd"/>
      <w:r w:rsidR="00547A3E" w:rsidRPr="005E2E96">
        <w:rPr>
          <w:lang w:val="en-CA"/>
        </w:rPr>
        <w:t xml:space="preserve"> </w:t>
      </w:r>
      <w:r w:rsidR="005E2E96">
        <w:rPr>
          <w:lang w:val="en-CA"/>
        </w:rPr>
        <w:t xml:space="preserve">(5.61 ODP tonnes) </w:t>
      </w:r>
      <w:r w:rsidR="00547A3E" w:rsidRPr="005E2E96">
        <w:rPr>
          <w:lang w:val="en-CA"/>
        </w:rPr>
        <w:t>of HCFC</w:t>
      </w:r>
      <w:r w:rsidR="005B2599" w:rsidRPr="005E2E96">
        <w:rPr>
          <w:lang w:val="en-CA"/>
        </w:rPr>
        <w:noBreakHyphen/>
      </w:r>
      <w:r w:rsidR="00547A3E" w:rsidRPr="005E2E96">
        <w:rPr>
          <w:lang w:val="en-CA"/>
        </w:rPr>
        <w:t>141b</w:t>
      </w:r>
      <w:r w:rsidRPr="005E2E96">
        <w:rPr>
          <w:lang w:val="en-CA"/>
        </w:rPr>
        <w:t xml:space="preserve"> to the group </w:t>
      </w:r>
      <w:r w:rsidR="009E1674" w:rsidRPr="005E2E96">
        <w:rPr>
          <w:lang w:val="en-CA"/>
        </w:rPr>
        <w:t xml:space="preserve">conversion </w:t>
      </w:r>
      <w:r w:rsidRPr="005E2E96">
        <w:rPr>
          <w:lang w:val="en-CA"/>
        </w:rPr>
        <w:t>project</w:t>
      </w:r>
      <w:r w:rsidR="005B2599" w:rsidRPr="005E2E96">
        <w:rPr>
          <w:lang w:val="en-CA"/>
        </w:rPr>
        <w:t>,</w:t>
      </w:r>
      <w:r w:rsidRPr="005E2E96">
        <w:rPr>
          <w:lang w:val="en-CA"/>
        </w:rPr>
        <w:t xml:space="preserve"> and three enterprises in the group</w:t>
      </w:r>
      <w:r w:rsidR="00233724" w:rsidRPr="005E2E96">
        <w:rPr>
          <w:lang w:val="en-CA"/>
        </w:rPr>
        <w:t xml:space="preserve"> conversion</w:t>
      </w:r>
      <w:r w:rsidRPr="005E2E96">
        <w:rPr>
          <w:lang w:val="en-CA"/>
        </w:rPr>
        <w:t xml:space="preserve"> project </w:t>
      </w:r>
      <w:r w:rsidR="005B2599" w:rsidRPr="005E2E96">
        <w:rPr>
          <w:lang w:val="en-CA"/>
        </w:rPr>
        <w:t>with consumption of</w:t>
      </w:r>
      <w:r w:rsidR="00547A3E" w:rsidRPr="005E2E96">
        <w:rPr>
          <w:lang w:val="en-CA"/>
        </w:rPr>
        <w:t xml:space="preserve"> 97.7</w:t>
      </w:r>
      <w:r w:rsidR="00AA7FD3" w:rsidRPr="005E2E96">
        <w:rPr>
          <w:lang w:val="en-CA"/>
        </w:rPr>
        <w:t> </w:t>
      </w:r>
      <w:proofErr w:type="spellStart"/>
      <w:r w:rsidR="00AA7FD3" w:rsidRPr="005E2E96">
        <w:rPr>
          <w:lang w:val="en-CA"/>
        </w:rPr>
        <w:t>mt</w:t>
      </w:r>
      <w:proofErr w:type="spellEnd"/>
      <w:r w:rsidR="00547A3E" w:rsidRPr="005E2E96">
        <w:rPr>
          <w:lang w:val="en-CA"/>
        </w:rPr>
        <w:t xml:space="preserve"> </w:t>
      </w:r>
      <w:r w:rsidR="005E2E96">
        <w:rPr>
          <w:lang w:val="en-CA"/>
        </w:rPr>
        <w:t xml:space="preserve">(10.75 ODP tonnes) </w:t>
      </w:r>
      <w:r w:rsidR="00547A3E" w:rsidRPr="005E2E96">
        <w:rPr>
          <w:lang w:val="en-CA"/>
        </w:rPr>
        <w:t xml:space="preserve">of HCFC-141b </w:t>
      </w:r>
      <w:r w:rsidR="009E1674" w:rsidRPr="005E2E96">
        <w:rPr>
          <w:lang w:val="en-CA"/>
        </w:rPr>
        <w:t xml:space="preserve">to </w:t>
      </w:r>
      <w:r w:rsidR="005B2599" w:rsidRPr="005E2E96">
        <w:rPr>
          <w:lang w:val="en-CA"/>
        </w:rPr>
        <w:t>individual conversion</w:t>
      </w:r>
      <w:r w:rsidR="00547A3E" w:rsidRPr="005E2E96">
        <w:rPr>
          <w:lang w:val="en-CA"/>
        </w:rPr>
        <w:t>;</w:t>
      </w:r>
    </w:p>
    <w:p w14:paraId="3B10A217" w14:textId="4B432543" w:rsidR="00373BAD" w:rsidRPr="005E2E96" w:rsidRDefault="00373BAD" w:rsidP="00373BAD">
      <w:pPr>
        <w:pStyle w:val="Heading3"/>
        <w:rPr>
          <w:lang w:val="en-CA"/>
        </w:rPr>
      </w:pPr>
      <w:r w:rsidRPr="005E2E96">
        <w:rPr>
          <w:lang w:val="en-CA"/>
        </w:rPr>
        <w:t xml:space="preserve">That the enterprises </w:t>
      </w:r>
      <w:proofErr w:type="spellStart"/>
      <w:r w:rsidRPr="005E2E96">
        <w:rPr>
          <w:lang w:val="en-CA"/>
        </w:rPr>
        <w:t>Aysan</w:t>
      </w:r>
      <w:proofErr w:type="spellEnd"/>
      <w:r w:rsidRPr="005E2E96">
        <w:rPr>
          <w:lang w:val="en-CA"/>
        </w:rPr>
        <w:t xml:space="preserve"> </w:t>
      </w:r>
      <w:proofErr w:type="spellStart"/>
      <w:r w:rsidRPr="005E2E96">
        <w:rPr>
          <w:lang w:val="en-CA"/>
        </w:rPr>
        <w:t>Sanat</w:t>
      </w:r>
      <w:proofErr w:type="spellEnd"/>
      <w:r w:rsidRPr="005E2E96">
        <w:rPr>
          <w:lang w:val="en-CA"/>
        </w:rPr>
        <w:t xml:space="preserve">, </w:t>
      </w:r>
      <w:proofErr w:type="spellStart"/>
      <w:r w:rsidRPr="005E2E96">
        <w:rPr>
          <w:lang w:val="en-CA"/>
        </w:rPr>
        <w:t>Forouzan</w:t>
      </w:r>
      <w:proofErr w:type="spellEnd"/>
      <w:r w:rsidRPr="005E2E96">
        <w:rPr>
          <w:lang w:val="en-CA"/>
        </w:rPr>
        <w:t xml:space="preserve"> and </w:t>
      </w:r>
      <w:proofErr w:type="spellStart"/>
      <w:r w:rsidRPr="005E2E96">
        <w:rPr>
          <w:lang w:val="en-CA"/>
        </w:rPr>
        <w:t>Yoosh</w:t>
      </w:r>
      <w:proofErr w:type="spellEnd"/>
      <w:r w:rsidRPr="005E2E96">
        <w:rPr>
          <w:lang w:val="en-CA"/>
        </w:rPr>
        <w:t xml:space="preserve"> Electric, with a consumption of 66 mt (7.27 ODP tonnes) of HCFC-141b converted with their own </w:t>
      </w:r>
      <w:r w:rsidR="004F4719">
        <w:rPr>
          <w:lang w:val="en-CA"/>
        </w:rPr>
        <w:t>resources</w:t>
      </w:r>
      <w:r w:rsidRPr="005E2E96">
        <w:rPr>
          <w:lang w:val="en-CA"/>
        </w:rPr>
        <w:t xml:space="preserve"> before the initiation of the project</w:t>
      </w:r>
      <w:r w:rsidR="000144C7" w:rsidRPr="005E2E96">
        <w:rPr>
          <w:lang w:val="en-CA"/>
        </w:rPr>
        <w:t>,</w:t>
      </w:r>
      <w:r w:rsidRPr="005E2E96">
        <w:rPr>
          <w:lang w:val="en-CA"/>
        </w:rPr>
        <w:t xml:space="preserve"> and have been removed from </w:t>
      </w:r>
      <w:r w:rsidR="00687BDF" w:rsidRPr="005E2E96">
        <w:rPr>
          <w:lang w:val="en-CA"/>
        </w:rPr>
        <w:t>stage I</w:t>
      </w:r>
      <w:r w:rsidRPr="005E2E96">
        <w:rPr>
          <w:lang w:val="en-CA"/>
        </w:rPr>
        <w:t xml:space="preserve">I, and their associated funding of </w:t>
      </w:r>
      <w:r w:rsidR="00687BDF" w:rsidRPr="005E2E96">
        <w:rPr>
          <w:lang w:val="en-CA"/>
        </w:rPr>
        <w:t>US $</w:t>
      </w:r>
      <w:r w:rsidRPr="005E2E96">
        <w:rPr>
          <w:lang w:val="en-CA"/>
        </w:rPr>
        <w:t>375,70</w:t>
      </w:r>
      <w:r w:rsidR="00837BFB" w:rsidRPr="005E2E96">
        <w:rPr>
          <w:lang w:val="en-CA"/>
        </w:rPr>
        <w:t>1</w:t>
      </w:r>
      <w:r w:rsidR="000144C7" w:rsidRPr="005E2E96">
        <w:rPr>
          <w:lang w:val="en-CA"/>
        </w:rPr>
        <w:t>,</w:t>
      </w:r>
      <w:r w:rsidRPr="005E2E96">
        <w:rPr>
          <w:lang w:val="en-CA"/>
        </w:rPr>
        <w:t xml:space="preserve"> plus agency support cost of </w:t>
      </w:r>
      <w:r w:rsidR="00687BDF" w:rsidRPr="005E2E96">
        <w:rPr>
          <w:lang w:val="en-CA"/>
        </w:rPr>
        <w:t>US $</w:t>
      </w:r>
      <w:r w:rsidRPr="005E2E96">
        <w:rPr>
          <w:lang w:val="en-CA"/>
        </w:rPr>
        <w:t xml:space="preserve">26,299 would be deducted from the </w:t>
      </w:r>
      <w:r w:rsidR="00170081" w:rsidRPr="005E2E96">
        <w:rPr>
          <w:lang w:val="en-CA"/>
        </w:rPr>
        <w:t>third tranche approval</w:t>
      </w:r>
      <w:r w:rsidRPr="005E2E96">
        <w:rPr>
          <w:lang w:val="en-CA"/>
        </w:rPr>
        <w:t xml:space="preserve"> for UNIDO;</w:t>
      </w:r>
    </w:p>
    <w:p w14:paraId="073E052B" w14:textId="71440C18" w:rsidR="00BE31BF" w:rsidRPr="005E2E96" w:rsidRDefault="009D0177" w:rsidP="009A3176">
      <w:pPr>
        <w:pStyle w:val="Heading3"/>
      </w:pPr>
      <w:r w:rsidRPr="005E2E96">
        <w:t xml:space="preserve">That </w:t>
      </w:r>
      <w:r w:rsidR="00687BDF" w:rsidRPr="005E2E96">
        <w:t>US $</w:t>
      </w:r>
      <w:r w:rsidR="00BE31BF" w:rsidRPr="005E2E96">
        <w:t xml:space="preserve">126,545, plus agency support costs of </w:t>
      </w:r>
      <w:r w:rsidR="00687BDF" w:rsidRPr="005E2E96">
        <w:t>US $</w:t>
      </w:r>
      <w:r w:rsidR="00BE31BF" w:rsidRPr="005E2E96">
        <w:t>14,393</w:t>
      </w:r>
      <w:r w:rsidRPr="005E2E96">
        <w:t xml:space="preserve"> would be deducted </w:t>
      </w:r>
      <w:r w:rsidR="00BE31BF" w:rsidRPr="005E2E96">
        <w:t xml:space="preserve">from the </w:t>
      </w:r>
      <w:r w:rsidRPr="005E2E96">
        <w:t xml:space="preserve">approval for </w:t>
      </w:r>
      <w:r w:rsidR="00BE31BF" w:rsidRPr="005E2E96">
        <w:t xml:space="preserve">the Government of Germany, </w:t>
      </w:r>
      <w:r w:rsidR="00842894" w:rsidRPr="005E2E96">
        <w:t>in line with decision 80/21(c)</w:t>
      </w:r>
      <w:r w:rsidR="00BE31BF" w:rsidRPr="005E2E96">
        <w:t xml:space="preserve">; </w:t>
      </w:r>
    </w:p>
    <w:p w14:paraId="0786CB78" w14:textId="3E0698CE" w:rsidR="00E837CC" w:rsidRPr="005E2E96" w:rsidRDefault="007C78AA" w:rsidP="009A3176">
      <w:pPr>
        <w:pStyle w:val="Heading2"/>
        <w:rPr>
          <w:lang w:val="en-CA"/>
        </w:rPr>
      </w:pPr>
      <w:r>
        <w:rPr>
          <w:lang w:val="en-CA"/>
        </w:rPr>
        <w:t>A</w:t>
      </w:r>
      <w:r w:rsidR="00351652" w:rsidRPr="005E2E96">
        <w:rPr>
          <w:lang w:val="en-CA"/>
        </w:rPr>
        <w:t>pprov</w:t>
      </w:r>
      <w:r>
        <w:rPr>
          <w:lang w:val="en-CA"/>
        </w:rPr>
        <w:t>ing</w:t>
      </w:r>
      <w:r w:rsidR="00E837CC" w:rsidRPr="005E2E96">
        <w:rPr>
          <w:lang w:val="en-CA"/>
        </w:rPr>
        <w:t>:</w:t>
      </w:r>
    </w:p>
    <w:p w14:paraId="502283CA" w14:textId="6422329F" w:rsidR="00547A3E" w:rsidRPr="005E2E96" w:rsidRDefault="00547A3E" w:rsidP="009A3176">
      <w:pPr>
        <w:pStyle w:val="Heading3"/>
        <w:rPr>
          <w:lang w:val="en-CA"/>
        </w:rPr>
      </w:pPr>
      <w:r w:rsidRPr="005E2E96">
        <w:rPr>
          <w:lang w:val="en-CA"/>
        </w:rPr>
        <w:t>The change in technology from water-based to pre-blended cyclopentane for the small and medium</w:t>
      </w:r>
      <w:r w:rsidR="004F4719">
        <w:rPr>
          <w:lang w:val="en-CA"/>
        </w:rPr>
        <w:t>-</w:t>
      </w:r>
      <w:r w:rsidRPr="005E2E96">
        <w:rPr>
          <w:lang w:val="en-CA"/>
        </w:rPr>
        <w:t xml:space="preserve">sized foam enterprises being assisted in </w:t>
      </w:r>
      <w:r w:rsidR="0029338A" w:rsidRPr="005E2E96">
        <w:rPr>
          <w:lang w:val="en-CA"/>
        </w:rPr>
        <w:t xml:space="preserve">the </w:t>
      </w:r>
      <w:r w:rsidRPr="005E2E96">
        <w:rPr>
          <w:lang w:val="en-CA"/>
        </w:rPr>
        <w:t>group project, without any additional cost to the Multilateral Fund;</w:t>
      </w:r>
    </w:p>
    <w:p w14:paraId="286EB57E" w14:textId="7E6C999D" w:rsidR="00E837CC" w:rsidRPr="005E2E96" w:rsidRDefault="00E837CC" w:rsidP="009A3176">
      <w:pPr>
        <w:pStyle w:val="Heading3"/>
        <w:rPr>
          <w:lang w:val="en-CA"/>
        </w:rPr>
      </w:pPr>
      <w:r w:rsidRPr="005E2E96">
        <w:rPr>
          <w:lang w:val="en-CA"/>
        </w:rPr>
        <w:t>The reallocation of</w:t>
      </w:r>
      <w:r w:rsidR="005B2599" w:rsidRPr="005E2E96">
        <w:rPr>
          <w:lang w:val="en-CA"/>
        </w:rPr>
        <w:t xml:space="preserve"> the balance of</w:t>
      </w:r>
      <w:r w:rsidRPr="005E2E96">
        <w:rPr>
          <w:lang w:val="en-CA"/>
        </w:rPr>
        <w:t xml:space="preserve"> </w:t>
      </w:r>
      <w:r w:rsidR="00687BDF" w:rsidRPr="005E2E96">
        <w:rPr>
          <w:lang w:val="en-CA"/>
        </w:rPr>
        <w:t>US $</w:t>
      </w:r>
      <w:r w:rsidR="00BF041C" w:rsidRPr="005E2E96">
        <w:rPr>
          <w:lang w:val="en-CA"/>
        </w:rPr>
        <w:t>348,00</w:t>
      </w:r>
      <w:r w:rsidR="00837BFB" w:rsidRPr="005E2E96">
        <w:rPr>
          <w:lang w:val="en-CA"/>
        </w:rPr>
        <w:t>6</w:t>
      </w:r>
      <w:r w:rsidR="00BF041C" w:rsidRPr="005E2E96">
        <w:rPr>
          <w:lang w:val="en-CA"/>
        </w:rPr>
        <w:t xml:space="preserve"> </w:t>
      </w:r>
      <w:r w:rsidRPr="005E2E96">
        <w:rPr>
          <w:lang w:val="en-CA"/>
        </w:rPr>
        <w:t xml:space="preserve">from the </w:t>
      </w:r>
      <w:r w:rsidR="00BF041C" w:rsidRPr="005E2E96">
        <w:rPr>
          <w:lang w:val="en-CA"/>
        </w:rPr>
        <w:t xml:space="preserve">two </w:t>
      </w:r>
      <w:r w:rsidR="00547A3E" w:rsidRPr="005E2E96">
        <w:rPr>
          <w:lang w:val="en-CA"/>
        </w:rPr>
        <w:t>enterprises</w:t>
      </w:r>
      <w:r w:rsidRPr="005E2E96">
        <w:rPr>
          <w:lang w:val="en-CA"/>
        </w:rPr>
        <w:t xml:space="preserve"> </w:t>
      </w:r>
      <w:r w:rsidR="00547A3E" w:rsidRPr="005E2E96">
        <w:rPr>
          <w:lang w:val="en-CA"/>
        </w:rPr>
        <w:t>referred</w:t>
      </w:r>
      <w:r w:rsidRPr="005E2E96">
        <w:rPr>
          <w:lang w:val="en-CA"/>
        </w:rPr>
        <w:t xml:space="preserve"> to in </w:t>
      </w:r>
      <w:r w:rsidR="00842894" w:rsidRPr="005E2E96">
        <w:rPr>
          <w:lang w:val="en-CA"/>
        </w:rPr>
        <w:t xml:space="preserve">sub-paragraph </w:t>
      </w:r>
      <w:r w:rsidRPr="005E2E96">
        <w:rPr>
          <w:lang w:val="en-CA"/>
        </w:rPr>
        <w:t>(a)(</w:t>
      </w:r>
      <w:r w:rsidR="00BF041C" w:rsidRPr="005E2E96">
        <w:rPr>
          <w:lang w:val="en-CA"/>
        </w:rPr>
        <w:t>i</w:t>
      </w:r>
      <w:r w:rsidRPr="005E2E96">
        <w:rPr>
          <w:lang w:val="en-CA"/>
        </w:rPr>
        <w:t xml:space="preserve">i) to </w:t>
      </w:r>
      <w:r w:rsidR="005B2599" w:rsidRPr="005E2E96">
        <w:rPr>
          <w:lang w:val="en-CA"/>
        </w:rPr>
        <w:t xml:space="preserve">cover </w:t>
      </w:r>
      <w:r w:rsidRPr="005E2E96">
        <w:rPr>
          <w:lang w:val="en-CA"/>
        </w:rPr>
        <w:t xml:space="preserve">additional costs incurred by the changes in </w:t>
      </w:r>
      <w:r w:rsidR="004F4719">
        <w:rPr>
          <w:lang w:val="en-CA"/>
        </w:rPr>
        <w:t>sub</w:t>
      </w:r>
      <w:r w:rsidR="004F4719">
        <w:rPr>
          <w:lang w:val="en-CA"/>
        </w:rPr>
        <w:noBreakHyphen/>
      </w:r>
      <w:r w:rsidRPr="005E2E96">
        <w:rPr>
          <w:lang w:val="en-CA"/>
        </w:rPr>
        <w:t>paragraph</w:t>
      </w:r>
      <w:r w:rsidR="00547A3E" w:rsidRPr="005E2E96">
        <w:rPr>
          <w:lang w:val="en-CA"/>
        </w:rPr>
        <w:t>s</w:t>
      </w:r>
      <w:r w:rsidRPr="005E2E96">
        <w:rPr>
          <w:lang w:val="en-CA"/>
        </w:rPr>
        <w:t xml:space="preserve"> </w:t>
      </w:r>
      <w:r w:rsidR="004F4719">
        <w:rPr>
          <w:lang w:val="en-CA"/>
        </w:rPr>
        <w:t>(</w:t>
      </w:r>
      <w:r w:rsidR="00547A3E" w:rsidRPr="005E2E96">
        <w:rPr>
          <w:lang w:val="en-CA"/>
        </w:rPr>
        <w:t>a</w:t>
      </w:r>
      <w:r w:rsidR="004F4719">
        <w:rPr>
          <w:lang w:val="en-CA"/>
        </w:rPr>
        <w:t>)</w:t>
      </w:r>
      <w:r w:rsidR="00547A3E" w:rsidRPr="005E2E96">
        <w:rPr>
          <w:lang w:val="en-CA"/>
        </w:rPr>
        <w:t>(</w:t>
      </w:r>
      <w:r w:rsidR="00BF041C" w:rsidRPr="005E2E96">
        <w:rPr>
          <w:lang w:val="en-CA"/>
        </w:rPr>
        <w:t>i</w:t>
      </w:r>
      <w:r w:rsidR="004F4719">
        <w:rPr>
          <w:lang w:val="en-CA"/>
        </w:rPr>
        <w:t>ii</w:t>
      </w:r>
      <w:r w:rsidR="00547A3E" w:rsidRPr="005E2E96">
        <w:rPr>
          <w:lang w:val="en-CA"/>
        </w:rPr>
        <w:t xml:space="preserve">) and </w:t>
      </w:r>
      <w:r w:rsidRPr="005E2E96">
        <w:rPr>
          <w:lang w:val="en-CA"/>
        </w:rPr>
        <w:t>(b)(</w:t>
      </w:r>
      <w:proofErr w:type="spellStart"/>
      <w:r w:rsidRPr="005E2E96">
        <w:rPr>
          <w:lang w:val="en-CA"/>
        </w:rPr>
        <w:t>i</w:t>
      </w:r>
      <w:proofErr w:type="spellEnd"/>
      <w:r w:rsidRPr="005E2E96">
        <w:rPr>
          <w:lang w:val="en-CA"/>
        </w:rPr>
        <w:t xml:space="preserve">); </w:t>
      </w:r>
    </w:p>
    <w:p w14:paraId="1F993AE2" w14:textId="637CF77C" w:rsidR="00431B5D" w:rsidRPr="005E2E96" w:rsidRDefault="007C78AA" w:rsidP="009A3176">
      <w:pPr>
        <w:pStyle w:val="Heading2"/>
        <w:rPr>
          <w:lang w:val="en-CA"/>
        </w:rPr>
      </w:pPr>
      <w:r>
        <w:rPr>
          <w:lang w:val="en-CA"/>
        </w:rPr>
        <w:t>R</w:t>
      </w:r>
      <w:r w:rsidR="00316A84" w:rsidRPr="005E2E96">
        <w:rPr>
          <w:lang w:val="en-CA"/>
        </w:rPr>
        <w:t>equest</w:t>
      </w:r>
      <w:r>
        <w:rPr>
          <w:lang w:val="en-CA"/>
        </w:rPr>
        <w:t>ing</w:t>
      </w:r>
      <w:r w:rsidR="00E837CC" w:rsidRPr="005E2E96">
        <w:rPr>
          <w:lang w:val="en-CA"/>
        </w:rPr>
        <w:t xml:space="preserve"> </w:t>
      </w:r>
      <w:r w:rsidR="00431B5D" w:rsidRPr="005E2E96">
        <w:rPr>
          <w:lang w:val="en-CA"/>
        </w:rPr>
        <w:t>UNIDO</w:t>
      </w:r>
      <w:r w:rsidR="003F5B3F" w:rsidRPr="005E2E96">
        <w:rPr>
          <w:lang w:val="en-CA"/>
        </w:rPr>
        <w:t xml:space="preserve">, UNDP and </w:t>
      </w:r>
      <w:r w:rsidR="00E837CC" w:rsidRPr="005E2E96">
        <w:rPr>
          <w:lang w:val="en-CA"/>
        </w:rPr>
        <w:t xml:space="preserve">the Governments of </w:t>
      </w:r>
      <w:r w:rsidR="003F5B3F" w:rsidRPr="005E2E96">
        <w:rPr>
          <w:lang w:val="en-CA"/>
        </w:rPr>
        <w:t>Germany</w:t>
      </w:r>
      <w:r w:rsidR="00E837CC" w:rsidRPr="005E2E96">
        <w:rPr>
          <w:lang w:val="en-CA"/>
        </w:rPr>
        <w:t xml:space="preserve"> and Italy</w:t>
      </w:r>
      <w:r w:rsidR="00431B5D" w:rsidRPr="005E2E96">
        <w:rPr>
          <w:lang w:val="en-CA"/>
        </w:rPr>
        <w:t>:</w:t>
      </w:r>
    </w:p>
    <w:p w14:paraId="5474AA65" w14:textId="2AACA223" w:rsidR="00431B5D" w:rsidRPr="005E2E96" w:rsidRDefault="00431B5D" w:rsidP="009A3176">
      <w:pPr>
        <w:pStyle w:val="Heading3"/>
        <w:rPr>
          <w:lang w:val="en-CA"/>
        </w:rPr>
      </w:pPr>
      <w:r w:rsidRPr="005E2E96">
        <w:rPr>
          <w:lang w:val="en-CA"/>
        </w:rPr>
        <w:t>To submit, with</w:t>
      </w:r>
      <w:r w:rsidR="00316A84" w:rsidRPr="005E2E96">
        <w:rPr>
          <w:lang w:val="en-CA"/>
        </w:rPr>
        <w:t xml:space="preserve"> each funding tranche request</w:t>
      </w:r>
      <w:r w:rsidRPr="005E2E96">
        <w:rPr>
          <w:lang w:val="en-CA"/>
        </w:rPr>
        <w:t xml:space="preserve">, </w:t>
      </w:r>
      <w:r w:rsidR="00316A84" w:rsidRPr="005E2E96">
        <w:rPr>
          <w:lang w:val="en-CA"/>
        </w:rPr>
        <w:t xml:space="preserve">a detailed report on the status of the conversion of each of the foam projects covered under </w:t>
      </w:r>
      <w:r w:rsidR="00687BDF" w:rsidRPr="005E2E96">
        <w:rPr>
          <w:lang w:val="en-CA"/>
        </w:rPr>
        <w:t>stage I</w:t>
      </w:r>
      <w:r w:rsidR="00316A84" w:rsidRPr="005E2E96">
        <w:rPr>
          <w:lang w:val="en-CA"/>
        </w:rPr>
        <w:t>I including the financial viability, the current level of HCFC-141b consumption, the alternative technology selected, the total cost from the Multil</w:t>
      </w:r>
      <w:r w:rsidR="001F4935">
        <w:rPr>
          <w:lang w:val="en-CA"/>
        </w:rPr>
        <w:t>ateral Fund and the level of co</w:t>
      </w:r>
      <w:r w:rsidR="001F4935">
        <w:rPr>
          <w:lang w:val="en-CA"/>
        </w:rPr>
        <w:noBreakHyphen/>
      </w:r>
      <w:r w:rsidR="00316A84" w:rsidRPr="005E2E96">
        <w:rPr>
          <w:lang w:val="en-CA"/>
        </w:rPr>
        <w:t>financing, as applicable;</w:t>
      </w:r>
      <w:r w:rsidRPr="005E2E96">
        <w:rPr>
          <w:lang w:val="en-CA"/>
        </w:rPr>
        <w:t xml:space="preserve"> </w:t>
      </w:r>
    </w:p>
    <w:p w14:paraId="18167D5E" w14:textId="16E05F5F" w:rsidR="00755494" w:rsidRPr="005E2E96" w:rsidRDefault="00431B5D" w:rsidP="009A3176">
      <w:pPr>
        <w:pStyle w:val="Heading3"/>
        <w:rPr>
          <w:lang w:val="en-CA"/>
        </w:rPr>
      </w:pPr>
      <w:r w:rsidRPr="005E2E96">
        <w:rPr>
          <w:lang w:val="en-CA"/>
        </w:rPr>
        <w:t xml:space="preserve">To </w:t>
      </w:r>
      <w:r w:rsidR="00FA12E1" w:rsidRPr="005E2E96">
        <w:rPr>
          <w:lang w:val="en-CA"/>
        </w:rPr>
        <w:t xml:space="preserve">continue </w:t>
      </w:r>
      <w:r w:rsidR="0064481A" w:rsidRPr="005E2E96">
        <w:rPr>
          <w:lang w:val="en-CA"/>
        </w:rPr>
        <w:t xml:space="preserve">providing information </w:t>
      </w:r>
      <w:r w:rsidR="0068224C" w:rsidRPr="005E2E96">
        <w:rPr>
          <w:lang w:val="en-CA"/>
        </w:rPr>
        <w:t>a</w:t>
      </w:r>
      <w:r w:rsidR="0064481A" w:rsidRPr="005E2E96">
        <w:rPr>
          <w:lang w:val="en-CA"/>
        </w:rPr>
        <w:t xml:space="preserve">s soon as it is known </w:t>
      </w:r>
      <w:r w:rsidR="00FA12E1" w:rsidRPr="005E2E96">
        <w:rPr>
          <w:lang w:val="en-CA"/>
        </w:rPr>
        <w:t xml:space="preserve">about </w:t>
      </w:r>
      <w:r w:rsidR="00755494" w:rsidRPr="005E2E96">
        <w:rPr>
          <w:lang w:val="en-CA"/>
        </w:rPr>
        <w:t xml:space="preserve">foam enterprises found to be ineligible </w:t>
      </w:r>
      <w:r w:rsidR="000144C7" w:rsidRPr="005E2E96">
        <w:rPr>
          <w:lang w:val="en-CA"/>
        </w:rPr>
        <w:t xml:space="preserve">for funding </w:t>
      </w:r>
      <w:r w:rsidR="00755494" w:rsidRPr="005E2E96">
        <w:rPr>
          <w:lang w:val="en-CA"/>
        </w:rPr>
        <w:t xml:space="preserve">or </w:t>
      </w:r>
      <w:r w:rsidR="0064481A" w:rsidRPr="005E2E96">
        <w:rPr>
          <w:lang w:val="en-CA"/>
        </w:rPr>
        <w:t xml:space="preserve">had </w:t>
      </w:r>
      <w:r w:rsidR="00755494" w:rsidRPr="005E2E96">
        <w:rPr>
          <w:lang w:val="en-CA"/>
        </w:rPr>
        <w:t>phased out HCFC</w:t>
      </w:r>
      <w:r w:rsidR="0064481A" w:rsidRPr="005E2E96">
        <w:rPr>
          <w:lang w:val="en-CA"/>
        </w:rPr>
        <w:t>-</w:t>
      </w:r>
      <w:r w:rsidR="00755494" w:rsidRPr="005E2E96">
        <w:rPr>
          <w:lang w:val="en-CA"/>
        </w:rPr>
        <w:t>141b without Multilateral Fund assistance</w:t>
      </w:r>
      <w:r w:rsidR="0064481A" w:rsidRPr="005E2E96">
        <w:rPr>
          <w:lang w:val="en-CA"/>
        </w:rPr>
        <w:t>,</w:t>
      </w:r>
      <w:r w:rsidR="00755494" w:rsidRPr="005E2E96">
        <w:rPr>
          <w:lang w:val="en-CA"/>
        </w:rPr>
        <w:t xml:space="preserve"> or withdrew from </w:t>
      </w:r>
      <w:r w:rsidR="00687BDF" w:rsidRPr="005E2E96">
        <w:rPr>
          <w:lang w:val="en-CA"/>
        </w:rPr>
        <w:t>stage I</w:t>
      </w:r>
      <w:r w:rsidR="00755494" w:rsidRPr="005E2E96">
        <w:rPr>
          <w:lang w:val="en-CA"/>
        </w:rPr>
        <w:t xml:space="preserve">I </w:t>
      </w:r>
      <w:r w:rsidR="000144C7" w:rsidRPr="005E2E96">
        <w:rPr>
          <w:lang w:val="en-CA"/>
        </w:rPr>
        <w:t xml:space="preserve">of the HPMP </w:t>
      </w:r>
      <w:r w:rsidR="00755494" w:rsidRPr="005E2E96">
        <w:rPr>
          <w:lang w:val="en-CA"/>
        </w:rPr>
        <w:t>along with their associated consumption and approved funding</w:t>
      </w:r>
      <w:r w:rsidR="0068224C" w:rsidRPr="005E2E96">
        <w:rPr>
          <w:lang w:val="en-CA"/>
        </w:rPr>
        <w:t>;</w:t>
      </w:r>
      <w:r w:rsidR="0064481A" w:rsidRPr="005E2E96">
        <w:rPr>
          <w:lang w:val="en-CA"/>
        </w:rPr>
        <w:t xml:space="preserve"> </w:t>
      </w:r>
    </w:p>
    <w:p w14:paraId="62195395" w14:textId="3F6EE148" w:rsidR="00BF041C" w:rsidRPr="005E2E96" w:rsidRDefault="00316A84" w:rsidP="00662874">
      <w:pPr>
        <w:pStyle w:val="Heading3"/>
        <w:keepNext/>
        <w:widowControl/>
        <w:rPr>
          <w:lang w:val="en-CA"/>
        </w:rPr>
      </w:pPr>
      <w:r w:rsidRPr="005E2E96">
        <w:rPr>
          <w:lang w:val="en-CA"/>
        </w:rPr>
        <w:lastRenderedPageBreak/>
        <w:t>To report in advance a</w:t>
      </w:r>
      <w:r w:rsidR="00BF041C" w:rsidRPr="005E2E96">
        <w:rPr>
          <w:lang w:val="en-CA"/>
        </w:rPr>
        <w:t>ny change of technology for consideration by the Executive Committee in line with paragraph 7 (a)(v) of the Agreement between the Islamic Republic of Iran and the Executive Committee;</w:t>
      </w:r>
    </w:p>
    <w:p w14:paraId="00A86E73" w14:textId="3FA4F140" w:rsidR="00BF041C" w:rsidRPr="005E2E96" w:rsidRDefault="00014838" w:rsidP="0068224C">
      <w:pPr>
        <w:pStyle w:val="Heading3"/>
        <w:rPr>
          <w:lang w:val="en-CA"/>
        </w:rPr>
      </w:pPr>
      <w:r w:rsidRPr="005E2E96">
        <w:rPr>
          <w:lang w:val="en-CA"/>
        </w:rPr>
        <w:t xml:space="preserve">To ensure that for enterprises that had received funding for conversion during </w:t>
      </w:r>
      <w:r w:rsidR="00687BDF" w:rsidRPr="005E2E96">
        <w:rPr>
          <w:lang w:val="en-CA"/>
        </w:rPr>
        <w:t>stage I</w:t>
      </w:r>
      <w:r w:rsidRPr="005E2E96">
        <w:rPr>
          <w:lang w:val="en-CA"/>
        </w:rPr>
        <w:t>I and close</w:t>
      </w:r>
      <w:r w:rsidR="00FA78FB">
        <w:rPr>
          <w:lang w:val="en-CA"/>
        </w:rPr>
        <w:t>d</w:t>
      </w:r>
      <w:r w:rsidRPr="005E2E96">
        <w:rPr>
          <w:lang w:val="en-CA"/>
        </w:rPr>
        <w:t xml:space="preserve"> down before the conversion is completed, the corresponding equipment would be transferred for the use of other enterprises eligible to receive assistance, and any unspent balances should be returned to the</w:t>
      </w:r>
      <w:r w:rsidR="00B60578" w:rsidRPr="005E2E96">
        <w:rPr>
          <w:lang w:val="en-CA"/>
        </w:rPr>
        <w:t xml:space="preserve"> Multilateral</w:t>
      </w:r>
      <w:r w:rsidRPr="005E2E96">
        <w:rPr>
          <w:lang w:val="en-CA"/>
        </w:rPr>
        <w:t xml:space="preserve"> Fund without prejudice to other eligible enterprises</w:t>
      </w:r>
      <w:r w:rsidR="0068224C" w:rsidRPr="005E2E96">
        <w:rPr>
          <w:lang w:val="en-CA"/>
        </w:rPr>
        <w:t>;</w:t>
      </w:r>
    </w:p>
    <w:p w14:paraId="58A1D3CB" w14:textId="3BFFD0B4" w:rsidR="00BF041C" w:rsidRPr="005E2E96" w:rsidRDefault="001F4935" w:rsidP="001F4935">
      <w:pPr>
        <w:pStyle w:val="Heading3"/>
        <w:rPr>
          <w:lang w:val="en-CA"/>
        </w:rPr>
      </w:pPr>
      <w:r w:rsidRPr="001F4935">
        <w:rPr>
          <w:lang w:val="en-CA"/>
        </w:rPr>
        <w:t xml:space="preserve">To ensure that once all enterprises are verified and funds allocated, any deviation from the approved cost-effectiveness of the </w:t>
      </w:r>
      <w:r w:rsidR="009451F1">
        <w:rPr>
          <w:lang w:val="en-CA"/>
        </w:rPr>
        <w:t xml:space="preserve">polyurethane </w:t>
      </w:r>
      <w:r>
        <w:rPr>
          <w:lang w:val="en-CA"/>
        </w:rPr>
        <w:t>foam sector for stage II (US </w:t>
      </w:r>
      <w:r w:rsidRPr="001F4935">
        <w:rPr>
          <w:lang w:val="en-CA"/>
        </w:rPr>
        <w:t>$6.79/kg) should be reporte</w:t>
      </w:r>
      <w:r w:rsidR="009451F1">
        <w:rPr>
          <w:lang w:val="en-CA"/>
        </w:rPr>
        <w:t>d to the Executive C</w:t>
      </w:r>
      <w:r w:rsidRPr="001F4935">
        <w:rPr>
          <w:lang w:val="en-CA"/>
        </w:rPr>
        <w:t xml:space="preserve">ommittee and would be recovered from remaining funds </w:t>
      </w:r>
      <w:r w:rsidR="009451F1">
        <w:rPr>
          <w:lang w:val="en-CA"/>
        </w:rPr>
        <w:t>of</w:t>
      </w:r>
      <w:r w:rsidRPr="001F4935">
        <w:rPr>
          <w:lang w:val="en-CA"/>
        </w:rPr>
        <w:t xml:space="preserve"> stage II of the HPMP; </w:t>
      </w:r>
      <w:r>
        <w:rPr>
          <w:lang w:val="en-CA"/>
        </w:rPr>
        <w:t xml:space="preserve">and </w:t>
      </w:r>
    </w:p>
    <w:p w14:paraId="0B5C8FF2" w14:textId="5C3AE01C" w:rsidR="00431B5D" w:rsidRPr="005E2E96" w:rsidRDefault="007C78AA" w:rsidP="009A3176">
      <w:pPr>
        <w:pStyle w:val="Heading2"/>
      </w:pPr>
      <w:r>
        <w:rPr>
          <w:lang w:val="en-CA"/>
        </w:rPr>
        <w:t>F</w:t>
      </w:r>
      <w:r w:rsidR="00755494" w:rsidRPr="005E2E96">
        <w:rPr>
          <w:lang w:val="en-CA"/>
        </w:rPr>
        <w:t>urther a</w:t>
      </w:r>
      <w:r w:rsidR="00431B5D" w:rsidRPr="005E2E96">
        <w:rPr>
          <w:lang w:val="en-CA"/>
        </w:rPr>
        <w:t>pprov</w:t>
      </w:r>
      <w:r w:rsidR="00842894" w:rsidRPr="005E2E96">
        <w:rPr>
          <w:lang w:val="en-CA"/>
        </w:rPr>
        <w:t>ing</w:t>
      </w:r>
      <w:r w:rsidR="00755494" w:rsidRPr="005E2E96">
        <w:rPr>
          <w:lang w:val="en-CA"/>
        </w:rPr>
        <w:t xml:space="preserve"> </w:t>
      </w:r>
      <w:r w:rsidR="00431B5D" w:rsidRPr="005E2E96">
        <w:rPr>
          <w:lang w:val="en-CA"/>
        </w:rPr>
        <w:t xml:space="preserve">the second tranche of </w:t>
      </w:r>
      <w:r w:rsidR="00687BDF" w:rsidRPr="005E2E96">
        <w:rPr>
          <w:lang w:val="en-CA"/>
        </w:rPr>
        <w:t>stage I</w:t>
      </w:r>
      <w:r w:rsidR="00431B5D" w:rsidRPr="005E2E96">
        <w:rPr>
          <w:lang w:val="en-CA"/>
        </w:rPr>
        <w:t xml:space="preserve">I of the HPMP for </w:t>
      </w:r>
      <w:r w:rsidR="00123111" w:rsidRPr="005E2E96">
        <w:rPr>
          <w:lang w:val="en-CA"/>
        </w:rPr>
        <w:t>the Islamic Republic of Iran</w:t>
      </w:r>
      <w:r w:rsidR="00431B5D" w:rsidRPr="005E2E96">
        <w:rPr>
          <w:lang w:val="en-CA"/>
        </w:rPr>
        <w:t>,</w:t>
      </w:r>
      <w:r w:rsidR="00251BFA" w:rsidRPr="005E2E96">
        <w:rPr>
          <w:lang w:val="en-CA"/>
        </w:rPr>
        <w:t xml:space="preserve"> </w:t>
      </w:r>
      <w:r w:rsidR="00431B5D" w:rsidRPr="005E2E96">
        <w:rPr>
          <w:lang w:val="en-CA"/>
        </w:rPr>
        <w:t xml:space="preserve">and the corresponding 2020-2022 tranche implementation plan, at the amount of </w:t>
      </w:r>
      <w:r w:rsidR="00687BDF" w:rsidRPr="005E2E96">
        <w:rPr>
          <w:lang w:val="en-CA"/>
        </w:rPr>
        <w:t>US $</w:t>
      </w:r>
      <w:r w:rsidR="008935AC" w:rsidRPr="005E2E96">
        <w:rPr>
          <w:lang w:val="en-CA"/>
        </w:rPr>
        <w:t>4,</w:t>
      </w:r>
      <w:r w:rsidR="009D0177" w:rsidRPr="005E2E96">
        <w:rPr>
          <w:lang w:val="en-CA"/>
        </w:rPr>
        <w:t>275,180</w:t>
      </w:r>
      <w:r w:rsidR="008935AC" w:rsidRPr="005E2E96">
        <w:rPr>
          <w:lang w:val="en-CA"/>
        </w:rPr>
        <w:t xml:space="preserve">, consisting of </w:t>
      </w:r>
      <w:r w:rsidR="00687BDF" w:rsidRPr="005E2E96">
        <w:rPr>
          <w:lang w:val="en-CA"/>
        </w:rPr>
        <w:t>US $</w:t>
      </w:r>
      <w:r w:rsidR="00123111" w:rsidRPr="005E2E96">
        <w:rPr>
          <w:lang w:val="en-CA"/>
        </w:rPr>
        <w:t>1,593,980</w:t>
      </w:r>
      <w:r w:rsidR="009D0177" w:rsidRPr="005E2E96">
        <w:rPr>
          <w:lang w:val="en-CA"/>
        </w:rPr>
        <w:t>,</w:t>
      </w:r>
      <w:r w:rsidR="00123111" w:rsidRPr="005E2E96">
        <w:rPr>
          <w:lang w:val="en-CA"/>
        </w:rPr>
        <w:t xml:space="preserve"> plus agency support costs of </w:t>
      </w:r>
      <w:r w:rsidR="00687BDF" w:rsidRPr="005E2E96">
        <w:rPr>
          <w:lang w:val="en-CA"/>
        </w:rPr>
        <w:t>US $</w:t>
      </w:r>
      <w:r w:rsidR="00123111" w:rsidRPr="005E2E96">
        <w:rPr>
          <w:lang w:val="en-CA"/>
        </w:rPr>
        <w:t xml:space="preserve">111,579 for UNDP, </w:t>
      </w:r>
      <w:r w:rsidR="00687BDF" w:rsidRPr="005E2E96">
        <w:rPr>
          <w:lang w:val="en-CA"/>
        </w:rPr>
        <w:t>US $</w:t>
      </w:r>
      <w:r w:rsidR="009D0177" w:rsidRPr="005E2E96">
        <w:rPr>
          <w:lang w:val="en-CA"/>
        </w:rPr>
        <w:t>1,047,035,</w:t>
      </w:r>
      <w:r w:rsidR="00123111" w:rsidRPr="005E2E96">
        <w:rPr>
          <w:lang w:val="en-CA"/>
        </w:rPr>
        <w:t xml:space="preserve"> plus agency support costs of </w:t>
      </w:r>
      <w:r w:rsidR="00687BDF" w:rsidRPr="005E2E96">
        <w:rPr>
          <w:lang w:val="en-CA"/>
        </w:rPr>
        <w:t>US $</w:t>
      </w:r>
      <w:r w:rsidR="00310506" w:rsidRPr="005E2E96">
        <w:rPr>
          <w:lang w:val="en-CA"/>
        </w:rPr>
        <w:t>1</w:t>
      </w:r>
      <w:r w:rsidR="009D0177" w:rsidRPr="005E2E96">
        <w:rPr>
          <w:lang w:val="en-CA"/>
        </w:rPr>
        <w:t xml:space="preserve">19,092 </w:t>
      </w:r>
      <w:r w:rsidR="00123111" w:rsidRPr="005E2E96">
        <w:rPr>
          <w:lang w:val="en-CA"/>
        </w:rPr>
        <w:t>for the Government of Germany</w:t>
      </w:r>
      <w:r w:rsidR="009D0177" w:rsidRPr="005E2E96">
        <w:rPr>
          <w:lang w:val="en-CA"/>
        </w:rPr>
        <w:t>,</w:t>
      </w:r>
      <w:r w:rsidR="008935AC" w:rsidRPr="005E2E96">
        <w:rPr>
          <w:lang w:val="en-CA"/>
        </w:rPr>
        <w:t xml:space="preserve"> </w:t>
      </w:r>
      <w:r w:rsidR="00687BDF" w:rsidRPr="005E2E96">
        <w:rPr>
          <w:lang w:val="en-CA"/>
        </w:rPr>
        <w:t>US $</w:t>
      </w:r>
      <w:r w:rsidR="00C90EFF" w:rsidRPr="005E2E96">
        <w:rPr>
          <w:lang w:val="en-CA"/>
        </w:rPr>
        <w:t>584,000</w:t>
      </w:r>
      <w:r w:rsidR="009D0177" w:rsidRPr="005E2E96">
        <w:rPr>
          <w:lang w:val="en-CA"/>
        </w:rPr>
        <w:t>,</w:t>
      </w:r>
      <w:r w:rsidR="00123111" w:rsidRPr="005E2E96">
        <w:rPr>
          <w:lang w:val="en-CA"/>
        </w:rPr>
        <w:t xml:space="preserve"> plus agency support costs of </w:t>
      </w:r>
      <w:r w:rsidR="00687BDF" w:rsidRPr="005E2E96">
        <w:rPr>
          <w:lang w:val="en-CA"/>
        </w:rPr>
        <w:t>US $</w:t>
      </w:r>
      <w:r w:rsidR="00C90EFF" w:rsidRPr="005E2E96">
        <w:rPr>
          <w:lang w:val="en-CA"/>
        </w:rPr>
        <w:t>40,880</w:t>
      </w:r>
      <w:r w:rsidR="00123111" w:rsidRPr="005E2E96">
        <w:rPr>
          <w:lang w:val="en-CA"/>
        </w:rPr>
        <w:t xml:space="preserve"> for UNIDO, </w:t>
      </w:r>
      <w:r w:rsidR="00687BDF" w:rsidRPr="005E2E96">
        <w:rPr>
          <w:lang w:val="en-CA"/>
        </w:rPr>
        <w:t>US $</w:t>
      </w:r>
      <w:r w:rsidR="00123111" w:rsidRPr="005E2E96">
        <w:rPr>
          <w:lang w:val="en-CA"/>
        </w:rPr>
        <w:t>504,004</w:t>
      </w:r>
      <w:r w:rsidR="009D0177" w:rsidRPr="005E2E96">
        <w:rPr>
          <w:lang w:val="en-CA"/>
        </w:rPr>
        <w:t>,</w:t>
      </w:r>
      <w:r w:rsidR="00123111" w:rsidRPr="005E2E96">
        <w:rPr>
          <w:lang w:val="en-CA"/>
        </w:rPr>
        <w:t xml:space="preserve"> plus agency support costs of </w:t>
      </w:r>
      <w:r w:rsidR="00687BDF" w:rsidRPr="005E2E96">
        <w:rPr>
          <w:lang w:val="en-CA"/>
        </w:rPr>
        <w:t>US $</w:t>
      </w:r>
      <w:r w:rsidR="00123111" w:rsidRPr="005E2E96">
        <w:rPr>
          <w:lang w:val="en-CA"/>
        </w:rPr>
        <w:t xml:space="preserve">60,996 for the Government of Italy and </w:t>
      </w:r>
      <w:r w:rsidR="00687BDF" w:rsidRPr="005E2E96">
        <w:rPr>
          <w:lang w:val="en-CA"/>
        </w:rPr>
        <w:t>US $</w:t>
      </w:r>
      <w:r w:rsidR="00123111" w:rsidRPr="005E2E96">
        <w:rPr>
          <w:lang w:val="en-CA"/>
        </w:rPr>
        <w:t>190,000</w:t>
      </w:r>
      <w:r w:rsidR="009D0177" w:rsidRPr="005E2E96">
        <w:rPr>
          <w:lang w:val="en-CA"/>
        </w:rPr>
        <w:t>,</w:t>
      </w:r>
      <w:r w:rsidR="00123111" w:rsidRPr="005E2E96">
        <w:rPr>
          <w:lang w:val="en-CA"/>
        </w:rPr>
        <w:t xml:space="preserve"> plus agency support costs of </w:t>
      </w:r>
      <w:r w:rsidR="00687BDF" w:rsidRPr="005E2E96">
        <w:rPr>
          <w:lang w:val="en-CA"/>
        </w:rPr>
        <w:t>US $</w:t>
      </w:r>
      <w:r w:rsidR="00123111" w:rsidRPr="005E2E96">
        <w:rPr>
          <w:lang w:val="en-CA"/>
        </w:rPr>
        <w:t>24,857 for UNEP</w:t>
      </w:r>
      <w:r w:rsidR="00431B5D" w:rsidRPr="005E2E96">
        <w:rPr>
          <w:lang w:val="en-CA"/>
        </w:rPr>
        <w:t>.</w:t>
      </w:r>
    </w:p>
    <w:p w14:paraId="38EDE335" w14:textId="77777777" w:rsidR="00036994" w:rsidRDefault="00036994" w:rsidP="009A3176">
      <w:pPr>
        <w:rPr>
          <w:lang w:val="en-CA"/>
        </w:rPr>
      </w:pPr>
    </w:p>
    <w:p w14:paraId="1932447E" w14:textId="77777777" w:rsidR="00036994" w:rsidRDefault="00036994" w:rsidP="009A317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36994" w14:paraId="507F0188" w14:textId="77777777" w:rsidTr="001C2670">
        <w:tc>
          <w:tcPr>
            <w:tcW w:w="1915" w:type="dxa"/>
          </w:tcPr>
          <w:p w14:paraId="387A6041" w14:textId="77777777" w:rsidR="00036994" w:rsidRDefault="00036994" w:rsidP="009A3176"/>
        </w:tc>
        <w:tc>
          <w:tcPr>
            <w:tcW w:w="1915" w:type="dxa"/>
          </w:tcPr>
          <w:p w14:paraId="49CB6638" w14:textId="77777777" w:rsidR="00036994" w:rsidRDefault="00036994" w:rsidP="009A3176"/>
        </w:tc>
        <w:tc>
          <w:tcPr>
            <w:tcW w:w="1915" w:type="dxa"/>
            <w:tcBorders>
              <w:bottom w:val="single" w:sz="4" w:space="0" w:color="auto"/>
            </w:tcBorders>
          </w:tcPr>
          <w:p w14:paraId="1B1D4C8F" w14:textId="77777777" w:rsidR="00036994" w:rsidRDefault="00036994" w:rsidP="009A3176"/>
        </w:tc>
        <w:tc>
          <w:tcPr>
            <w:tcW w:w="1915" w:type="dxa"/>
          </w:tcPr>
          <w:p w14:paraId="4E0ED819" w14:textId="77777777" w:rsidR="00036994" w:rsidRDefault="00036994" w:rsidP="009A3176"/>
        </w:tc>
        <w:tc>
          <w:tcPr>
            <w:tcW w:w="1916" w:type="dxa"/>
          </w:tcPr>
          <w:p w14:paraId="2A85223B" w14:textId="77777777" w:rsidR="00036994" w:rsidRDefault="00036994" w:rsidP="009A3176"/>
        </w:tc>
      </w:tr>
    </w:tbl>
    <w:p w14:paraId="3D433745" w14:textId="77777777" w:rsidR="000E0964" w:rsidRPr="00856798" w:rsidRDefault="000E0964" w:rsidP="00B60578">
      <w:pPr>
        <w:rPr>
          <w:i/>
          <w:lang w:val="en-CA"/>
        </w:rPr>
      </w:pPr>
    </w:p>
    <w:sectPr w:rsidR="000E0964" w:rsidRPr="00856798" w:rsidSect="00896234">
      <w:headerReference w:type="first" r:id="rId14"/>
      <w:footerReference w:type="first" r:id="rId15"/>
      <w:pgSz w:w="12240" w:h="15840" w:code="1"/>
      <w:pgMar w:top="720" w:right="1440" w:bottom="864" w:left="1440" w:header="720" w:footer="47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8DA58" w16cid:durableId="218B9A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421F" w14:textId="77777777" w:rsidR="005E2E96" w:rsidRDefault="005E2E96" w:rsidP="004A504B">
      <w:r>
        <w:separator/>
      </w:r>
    </w:p>
  </w:endnote>
  <w:endnote w:type="continuationSeparator" w:id="0">
    <w:p w14:paraId="78F680A9" w14:textId="77777777" w:rsidR="005E2E96" w:rsidRDefault="005E2E9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621C" w14:textId="740BA101" w:rsidR="005E2E96" w:rsidRPr="0033525D" w:rsidRDefault="005E2E96">
    <w:pPr>
      <w:jc w:val="center"/>
    </w:pPr>
    <w:r>
      <w:fldChar w:fldCharType="begin"/>
    </w:r>
    <w:r>
      <w:instrText xml:space="preserve"> PAGE </w:instrText>
    </w:r>
    <w:r>
      <w:fldChar w:fldCharType="separate"/>
    </w:r>
    <w:r w:rsidR="00662874">
      <w:rPr>
        <w:noProof/>
      </w:rPr>
      <w:t>12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D87D" w14:textId="3864D11B" w:rsidR="005E2E96" w:rsidRPr="0033525D" w:rsidRDefault="005E2E96">
    <w:pPr>
      <w:jc w:val="center"/>
    </w:pPr>
    <w:r>
      <w:fldChar w:fldCharType="begin"/>
    </w:r>
    <w:r>
      <w:instrText xml:space="preserve"> PAGE </w:instrText>
    </w:r>
    <w:r>
      <w:fldChar w:fldCharType="separate"/>
    </w:r>
    <w:r w:rsidR="00662874">
      <w:rPr>
        <w:noProof/>
      </w:rPr>
      <w:t>13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E5AA" w14:textId="77777777" w:rsidR="005E2E96" w:rsidRDefault="005E2E96"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11583C6" w14:textId="77777777" w:rsidR="005E2E96" w:rsidRDefault="005E2E96"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32AE" w14:textId="77777777" w:rsidR="005E2E96" w:rsidRDefault="005E2E96">
    <w:pPr>
      <w:pStyle w:val="Footer"/>
      <w:jc w:val="center"/>
    </w:pPr>
  </w:p>
  <w:p w14:paraId="6842097C" w14:textId="0572BDCB" w:rsidR="005E2E96" w:rsidRDefault="00662874">
    <w:pPr>
      <w:pStyle w:val="Footer"/>
      <w:jc w:val="center"/>
    </w:pPr>
    <w:sdt>
      <w:sdtPr>
        <w:id w:val="-1701769184"/>
        <w:docPartObj>
          <w:docPartGallery w:val="Page Numbers (Bottom of Page)"/>
          <w:docPartUnique/>
        </w:docPartObj>
      </w:sdtPr>
      <w:sdtEndPr>
        <w:rPr>
          <w:noProof/>
        </w:rPr>
      </w:sdtEndPr>
      <w:sdtContent>
        <w:r w:rsidR="005E2E96">
          <w:fldChar w:fldCharType="begin"/>
        </w:r>
        <w:r w:rsidR="005E2E96">
          <w:instrText xml:space="preserve"> PAGE   \* MERGEFORMAT </w:instrText>
        </w:r>
        <w:r w:rsidR="005E2E96">
          <w:fldChar w:fldCharType="separate"/>
        </w:r>
        <w:r>
          <w:rPr>
            <w:noProof/>
          </w:rPr>
          <w:t>7</w:t>
        </w:r>
        <w:r w:rsidR="005E2E96">
          <w:rPr>
            <w:noProof/>
          </w:rPr>
          <w:fldChar w:fldCharType="end"/>
        </w:r>
      </w:sdtContent>
    </w:sdt>
  </w:p>
  <w:p w14:paraId="4872D6CD" w14:textId="77777777" w:rsidR="005E2E96" w:rsidRPr="000E0964" w:rsidRDefault="005E2E96" w:rsidP="000E09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FA3CA" w14:textId="77777777" w:rsidR="005E2E96" w:rsidRDefault="005E2E96" w:rsidP="004A504B">
      <w:r>
        <w:separator/>
      </w:r>
    </w:p>
  </w:footnote>
  <w:footnote w:type="continuationSeparator" w:id="0">
    <w:p w14:paraId="5B82108C" w14:textId="77777777" w:rsidR="005E2E96" w:rsidRDefault="005E2E96" w:rsidP="004A504B">
      <w:r>
        <w:continuationSeparator/>
      </w:r>
    </w:p>
  </w:footnote>
  <w:footnote w:id="1">
    <w:p w14:paraId="0161AF04" w14:textId="77777777" w:rsidR="005E2E96" w:rsidRPr="00DD3D2C" w:rsidRDefault="005E2E96" w:rsidP="00E46CA8">
      <w:pPr>
        <w:pStyle w:val="FootnoteText"/>
        <w:rPr>
          <w:lang w:val="en-US"/>
        </w:rPr>
      </w:pPr>
      <w:r>
        <w:rPr>
          <w:rStyle w:val="FootnoteReference"/>
        </w:rPr>
        <w:footnoteRef/>
      </w:r>
      <w:r>
        <w:t xml:space="preserve"> </w:t>
      </w:r>
      <w:r w:rsidRPr="00DD3D2C">
        <w:t>UNEP/OzL.Pro/ExCom/83/11</w:t>
      </w:r>
    </w:p>
  </w:footnote>
  <w:footnote w:id="2">
    <w:p w14:paraId="78411AE0" w14:textId="1BB08C0A" w:rsidR="005E2E96" w:rsidRDefault="005E2E96" w:rsidP="00E46CA8">
      <w:pPr>
        <w:pStyle w:val="FootnoteText"/>
      </w:pPr>
      <w:r w:rsidRPr="00581D8D">
        <w:rPr>
          <w:rStyle w:val="FootnoteReference"/>
        </w:rPr>
        <w:footnoteRef/>
      </w:r>
      <w:r w:rsidRPr="00581D8D">
        <w:t xml:space="preserve"> The fourth and final tranche of </w:t>
      </w:r>
      <w:r>
        <w:t>stage I</w:t>
      </w:r>
      <w:r w:rsidRPr="00581D8D">
        <w:t xml:space="preserve"> of the HPMP was approved at the 74</w:t>
      </w:r>
      <w:r w:rsidRPr="00581D8D">
        <w:rPr>
          <w:vertAlign w:val="superscript"/>
        </w:rPr>
        <w:t>th</w:t>
      </w:r>
      <w:r w:rsidRPr="00581D8D">
        <w:t xml:space="preserve"> meeting at a total cost of </w:t>
      </w:r>
      <w:r>
        <w:t>US $</w:t>
      </w:r>
      <w:r w:rsidRPr="00581D8D">
        <w:t xml:space="preserve">885,977, consisting of </w:t>
      </w:r>
      <w:r>
        <w:t>US $</w:t>
      </w:r>
      <w:r w:rsidRPr="00581D8D">
        <w:t xml:space="preserve">250,430 plus agency support costs of </w:t>
      </w:r>
      <w:r>
        <w:t>US $</w:t>
      </w:r>
      <w:r w:rsidRPr="00581D8D">
        <w:t xml:space="preserve">18,872 for UNDP, </w:t>
      </w:r>
      <w:r>
        <w:t>US $</w:t>
      </w:r>
      <w:r w:rsidRPr="00581D8D">
        <w:t xml:space="preserve">274,827 plus agency support costs of </w:t>
      </w:r>
      <w:r>
        <w:t>US $</w:t>
      </w:r>
      <w:r w:rsidRPr="00581D8D">
        <w:t xml:space="preserve">20,612 for UNIDO and </w:t>
      </w:r>
      <w:r>
        <w:t>US $</w:t>
      </w:r>
      <w:r w:rsidRPr="00581D8D">
        <w:t xml:space="preserve">288,582 plus agency support costs of </w:t>
      </w:r>
      <w:r>
        <w:t>US $</w:t>
      </w:r>
      <w:r w:rsidRPr="00581D8D">
        <w:t>32,744 for the Government of Germany.</w:t>
      </w:r>
    </w:p>
  </w:footnote>
  <w:footnote w:id="3">
    <w:p w14:paraId="45FA423D" w14:textId="77777777" w:rsidR="005E2E96" w:rsidRPr="00701EFB" w:rsidRDefault="005E2E96" w:rsidP="00110477">
      <w:pPr>
        <w:pStyle w:val="FootnoteText"/>
      </w:pPr>
      <w:r>
        <w:rPr>
          <w:rStyle w:val="FootnoteReference"/>
        </w:rPr>
        <w:footnoteRef/>
      </w:r>
      <w:r>
        <w:t xml:space="preserve"> T</w:t>
      </w:r>
      <w:r w:rsidRPr="00701EFB">
        <w:t>he ODS (Regulation and Control) Amendment Rules 2018/Sub</w:t>
      </w:r>
      <w:r>
        <w:t>-</w:t>
      </w:r>
      <w:r w:rsidRPr="00701EFB">
        <w:t>paragraph 84 approval letter no. 168964 of the Cabinet of</w:t>
      </w:r>
      <w:r>
        <w:t xml:space="preserve"> the Islamic Republic of</w:t>
      </w:r>
      <w:r w:rsidRPr="00701EFB">
        <w:t xml:space="preserve"> Iran</w:t>
      </w:r>
      <w:r>
        <w:t>.</w:t>
      </w:r>
    </w:p>
  </w:footnote>
  <w:footnote w:id="4">
    <w:p w14:paraId="330469D9" w14:textId="12EB00AD" w:rsidR="005E2E96" w:rsidRDefault="005E2E96" w:rsidP="000E0964">
      <w:pPr>
        <w:pStyle w:val="FootnoteText"/>
      </w:pPr>
      <w:r>
        <w:rPr>
          <w:rStyle w:val="FootnoteReference"/>
        </w:rPr>
        <w:footnoteRef/>
      </w:r>
      <w:r>
        <w:t xml:space="preserve"> </w:t>
      </w:r>
      <w:r w:rsidRPr="003A54B7">
        <w:t xml:space="preserve">One additional enterprise </w:t>
      </w:r>
      <w:r>
        <w:t>consuming</w:t>
      </w:r>
      <w:r w:rsidRPr="003A54B7">
        <w:t xml:space="preserve"> 2.9</w:t>
      </w:r>
      <w:r>
        <w:t> ODP t</w:t>
      </w:r>
      <w:r w:rsidRPr="003A54B7">
        <w:t>onnes</w:t>
      </w:r>
      <w:r>
        <w:t xml:space="preserve"> of</w:t>
      </w:r>
      <w:r w:rsidRPr="003A54B7">
        <w:t xml:space="preserve"> HCFC-141b</w:t>
      </w:r>
      <w:r>
        <w:t xml:space="preserve"> stopped manufacturing foam. T</w:t>
      </w:r>
      <w:r w:rsidRPr="003A54B7">
        <w:t>he associated funding will be deduct</w:t>
      </w:r>
      <w:r>
        <w:t>ed</w:t>
      </w:r>
      <w:r w:rsidRPr="003A54B7">
        <w:t xml:space="preserve"> from the second tranche of </w:t>
      </w:r>
      <w:r>
        <w:t>stage I</w:t>
      </w:r>
      <w:r w:rsidRPr="003A54B7">
        <w:t>I of the HPMP, in line with decision</w:t>
      </w:r>
      <w:r>
        <w:t> </w:t>
      </w:r>
      <w:r w:rsidRPr="003A54B7">
        <w:t>80/21</w:t>
      </w:r>
      <w:r>
        <w:t>.</w:t>
      </w:r>
    </w:p>
  </w:footnote>
  <w:footnote w:id="5">
    <w:p w14:paraId="3D8164B6" w14:textId="0E4497BD" w:rsidR="005E2E96" w:rsidRPr="00B1629C" w:rsidRDefault="005E2E96">
      <w:pPr>
        <w:pStyle w:val="FootnoteText"/>
        <w:rPr>
          <w:lang w:val="en-US"/>
        </w:rPr>
      </w:pPr>
      <w:r w:rsidRPr="00001970">
        <w:rPr>
          <w:rStyle w:val="FootnoteReference"/>
        </w:rPr>
        <w:footnoteRef/>
      </w:r>
      <w:r w:rsidRPr="00001970">
        <w:t xml:space="preserve"> Decision 80/21.</w:t>
      </w:r>
      <w:r w:rsidRPr="00001970">
        <w:rPr>
          <w:lang w:val="en-US"/>
        </w:rPr>
        <w:t>This issue is discussed under the request of the second tranche of stage II of the HPMP, contained in</w:t>
      </w:r>
      <w:r>
        <w:rPr>
          <w:lang w:val="en-US"/>
        </w:rPr>
        <w:t xml:space="preserve"> the present document.</w:t>
      </w:r>
    </w:p>
  </w:footnote>
  <w:footnote w:id="6">
    <w:p w14:paraId="4B5D6673" w14:textId="77777777" w:rsidR="005E2E96" w:rsidRPr="00FE3307" w:rsidRDefault="005E2E96" w:rsidP="000E0964">
      <w:pPr>
        <w:pStyle w:val="FootnoteText"/>
        <w:rPr>
          <w:lang w:val="en-CA"/>
        </w:rPr>
      </w:pPr>
      <w:r w:rsidRPr="00FE3307">
        <w:rPr>
          <w:rStyle w:val="FootnoteReference"/>
        </w:rPr>
        <w:footnoteRef/>
      </w:r>
      <w:r w:rsidRPr="00FE3307">
        <w:t xml:space="preserve"> </w:t>
      </w:r>
      <w:r w:rsidRPr="00FE3307">
        <w:rPr>
          <w:lang w:val="en-CA"/>
        </w:rPr>
        <w:t xml:space="preserve">As per the </w:t>
      </w:r>
      <w:r w:rsidRPr="00785062">
        <w:rPr>
          <w:lang w:val="en-CA"/>
        </w:rPr>
        <w:t>letter of 2 October 2019 from</w:t>
      </w:r>
      <w:r w:rsidRPr="00FE3307">
        <w:rPr>
          <w:lang w:val="en-CA"/>
        </w:rPr>
        <w:t xml:space="preserve"> the </w:t>
      </w:r>
      <w:r>
        <w:rPr>
          <w:lang w:val="en-CA"/>
        </w:rPr>
        <w:t>Department of Environment</w:t>
      </w:r>
      <w:r w:rsidRPr="00FE3307">
        <w:rPr>
          <w:lang w:val="en-CA"/>
        </w:rPr>
        <w:t xml:space="preserve"> of</w:t>
      </w:r>
      <w:r>
        <w:rPr>
          <w:lang w:val="en-CA"/>
        </w:rPr>
        <w:t xml:space="preserve"> the Islamic Republic of</w:t>
      </w:r>
      <w:r w:rsidRPr="00FE3307">
        <w:rPr>
          <w:lang w:val="en-CA"/>
        </w:rPr>
        <w:t xml:space="preserve"> </w:t>
      </w:r>
      <w:r>
        <w:rPr>
          <w:lang w:val="en-CA"/>
        </w:rPr>
        <w:t>Iran</w:t>
      </w:r>
      <w:r w:rsidRPr="00FE3307">
        <w:rPr>
          <w:lang w:val="en-CA"/>
        </w:rPr>
        <w:t xml:space="preserve"> to </w:t>
      </w:r>
      <w:r>
        <w:rPr>
          <w:lang w:val="en-CA"/>
        </w:rPr>
        <w:t>UNDP</w:t>
      </w:r>
      <w:r w:rsidRPr="00FE3307">
        <w:rPr>
          <w:lang w:val="en-CA"/>
        </w:rPr>
        <w:t>.</w:t>
      </w:r>
    </w:p>
  </w:footnote>
  <w:footnote w:id="7">
    <w:p w14:paraId="26859990" w14:textId="426798E4" w:rsidR="005E2E96" w:rsidRPr="00940981" w:rsidRDefault="005E2E96" w:rsidP="000E0964">
      <w:pPr>
        <w:pStyle w:val="FootnoteText"/>
      </w:pPr>
      <w:r>
        <w:rPr>
          <w:rStyle w:val="FootnoteReference"/>
        </w:rPr>
        <w:footnoteRef/>
      </w:r>
      <w:r>
        <w:t xml:space="preserve"> To include in the submission of the request for the second funding tranche a report on the results of the conversion of the first 15 enterprises in the refrigeration and air-conditioning manufacturing sector to low</w:t>
      </w:r>
      <w:r>
        <w:noBreakHyphen/>
        <w:t>global-warming-potential alternatives, highlighting the lessons learned and challenges faced.</w:t>
      </w:r>
    </w:p>
  </w:footnote>
  <w:footnote w:id="8">
    <w:p w14:paraId="2F94A2BE" w14:textId="77777777" w:rsidR="005E2E96" w:rsidRPr="00AD072A" w:rsidRDefault="005E2E96" w:rsidP="00543982">
      <w:pPr>
        <w:pStyle w:val="FootnoteText"/>
        <w:rPr>
          <w:lang w:val="en-CA"/>
        </w:rPr>
      </w:pPr>
      <w:r>
        <w:rPr>
          <w:rStyle w:val="FootnoteReference"/>
        </w:rPr>
        <w:footnoteRef/>
      </w:r>
      <w:r>
        <w:t xml:space="preserve"> </w:t>
      </w:r>
      <w:r>
        <w:rPr>
          <w:lang w:val="en-CA"/>
        </w:rPr>
        <w:t>These 15 enterprises include the two individual enterprises that UNIDO is proposing to move to the group project.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0638" w14:textId="1547205E" w:rsidR="005E2E96" w:rsidRPr="0033525D" w:rsidRDefault="00662874">
    <w:r>
      <w:fldChar w:fldCharType="begin"/>
    </w:r>
    <w:r>
      <w:instrText xml:space="preserve"> DOCPROPERTY "Document number"  \* MERGEFORMAT </w:instrText>
    </w:r>
    <w:r>
      <w:fldChar w:fldCharType="separate"/>
    </w:r>
    <w:r w:rsidR="005E2E96">
      <w:t>UNEP/OzL.Pro/ExCom/84/51</w:t>
    </w:r>
    <w:r>
      <w:fldChar w:fldCharType="end"/>
    </w:r>
  </w:p>
  <w:p w14:paraId="1EC2782C" w14:textId="77777777" w:rsidR="005E2E96" w:rsidRPr="0033525D" w:rsidRDefault="005E2E96"/>
  <w:p w14:paraId="25890421" w14:textId="77777777" w:rsidR="005E2E96" w:rsidRPr="0033525D" w:rsidRDefault="005E2E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9ADA" w14:textId="077B364A" w:rsidR="005E2E96" w:rsidRDefault="00662874">
    <w:pPr>
      <w:jc w:val="right"/>
    </w:pPr>
    <w:r>
      <w:fldChar w:fldCharType="begin"/>
    </w:r>
    <w:r>
      <w:instrText xml:space="preserve"> DOCPROPERTY "Document number"  \* MERGEFORMAT </w:instrText>
    </w:r>
    <w:r>
      <w:fldChar w:fldCharType="separate"/>
    </w:r>
    <w:r w:rsidR="005E2E96">
      <w:t>UNEP/OzL.Pro/ExCom/84/51</w:t>
    </w:r>
    <w:r>
      <w:fldChar w:fldCharType="end"/>
    </w:r>
  </w:p>
  <w:p w14:paraId="23C87550" w14:textId="77777777" w:rsidR="005E2E96" w:rsidRDefault="005E2E96">
    <w:pPr>
      <w:jc w:val="right"/>
    </w:pPr>
  </w:p>
  <w:p w14:paraId="5C4948EA" w14:textId="77777777" w:rsidR="005E2E96" w:rsidRPr="0033525D" w:rsidRDefault="005E2E96">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882E" w14:textId="77777777" w:rsidR="005E2E96" w:rsidRPr="0033525D" w:rsidRDefault="005E2E96" w:rsidP="005E2E96">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/84/51</w:t>
    </w:r>
    <w:r>
      <w:fldChar w:fldCharType="end"/>
    </w:r>
  </w:p>
  <w:p w14:paraId="182CFB18" w14:textId="77777777" w:rsidR="005E2E96" w:rsidRDefault="005E2E96" w:rsidP="005E2E96">
    <w:pPr>
      <w:pStyle w:val="Header"/>
    </w:pPr>
  </w:p>
  <w:p w14:paraId="10A98BE8" w14:textId="77777777" w:rsidR="005E2E96" w:rsidRPr="005E2E96" w:rsidRDefault="005E2E96" w:rsidP="005E2E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E9EB8A4"/>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102C88"/>
    <w:multiLevelType w:val="multilevel"/>
    <w:tmpl w:val="143A3C3C"/>
    <w:lvl w:ilvl="0">
      <w:start w:val="1"/>
      <w:numFmt w:val="decimal"/>
      <w:lvlText w:val="%1."/>
      <w:lvlJc w:val="left"/>
      <w:pPr>
        <w:tabs>
          <w:tab w:val="num" w:pos="0"/>
        </w:tabs>
        <w:ind w:left="0" w:firstLine="0"/>
      </w:pPr>
      <w:rPr>
        <w:i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27EF3375"/>
    <w:multiLevelType w:val="hybridMultilevel"/>
    <w:tmpl w:val="84682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0532FF"/>
    <w:multiLevelType w:val="hybridMultilevel"/>
    <w:tmpl w:val="E750A4DE"/>
    <w:lvl w:ilvl="0" w:tplc="88B2822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F77B6"/>
    <w:multiLevelType w:val="hybridMultilevel"/>
    <w:tmpl w:val="9850C54C"/>
    <w:lvl w:ilvl="0" w:tplc="88B28226">
      <w:start w:val="5"/>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955C6A"/>
    <w:multiLevelType w:val="hybridMultilevel"/>
    <w:tmpl w:val="FABCB3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21"/>
  </w:num>
  <w:num w:numId="20">
    <w:abstractNumId w:val="14"/>
  </w:num>
  <w:num w:numId="21">
    <w:abstractNumId w:val="19"/>
  </w:num>
  <w:num w:numId="22">
    <w:abstractNumId w:val="17"/>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num>
  <w:num w:numId="27">
    <w:abstractNumId w:val="12"/>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0E0964"/>
    <w:rsid w:val="00000FED"/>
    <w:rsid w:val="00001970"/>
    <w:rsid w:val="0000434E"/>
    <w:rsid w:val="0000454A"/>
    <w:rsid w:val="000144C7"/>
    <w:rsid w:val="00014838"/>
    <w:rsid w:val="000148DC"/>
    <w:rsid w:val="000152A1"/>
    <w:rsid w:val="00017C3F"/>
    <w:rsid w:val="000211A9"/>
    <w:rsid w:val="00031260"/>
    <w:rsid w:val="0003236C"/>
    <w:rsid w:val="0003681A"/>
    <w:rsid w:val="00036994"/>
    <w:rsid w:val="00052C5C"/>
    <w:rsid w:val="000532D2"/>
    <w:rsid w:val="00061EC2"/>
    <w:rsid w:val="000674D0"/>
    <w:rsid w:val="00080ED0"/>
    <w:rsid w:val="00085B8F"/>
    <w:rsid w:val="000865B5"/>
    <w:rsid w:val="00090481"/>
    <w:rsid w:val="00092009"/>
    <w:rsid w:val="00094577"/>
    <w:rsid w:val="000A362C"/>
    <w:rsid w:val="000A6C26"/>
    <w:rsid w:val="000A6C92"/>
    <w:rsid w:val="000B332A"/>
    <w:rsid w:val="000C2FCA"/>
    <w:rsid w:val="000D52A4"/>
    <w:rsid w:val="000E07BC"/>
    <w:rsid w:val="000E0964"/>
    <w:rsid w:val="000E1BC3"/>
    <w:rsid w:val="000E2EAF"/>
    <w:rsid w:val="000E59CB"/>
    <w:rsid w:val="000E5C0F"/>
    <w:rsid w:val="000E7A12"/>
    <w:rsid w:val="000F1CD4"/>
    <w:rsid w:val="000F4103"/>
    <w:rsid w:val="000F70A7"/>
    <w:rsid w:val="00103E60"/>
    <w:rsid w:val="00106606"/>
    <w:rsid w:val="00106BA1"/>
    <w:rsid w:val="00110477"/>
    <w:rsid w:val="00113CCA"/>
    <w:rsid w:val="00122698"/>
    <w:rsid w:val="00122F25"/>
    <w:rsid w:val="00123111"/>
    <w:rsid w:val="00135980"/>
    <w:rsid w:val="001516A4"/>
    <w:rsid w:val="00156618"/>
    <w:rsid w:val="00164719"/>
    <w:rsid w:val="00166FC4"/>
    <w:rsid w:val="001677AC"/>
    <w:rsid w:val="00170081"/>
    <w:rsid w:val="00177A6F"/>
    <w:rsid w:val="00177AA6"/>
    <w:rsid w:val="001804EA"/>
    <w:rsid w:val="00183DE1"/>
    <w:rsid w:val="00190A61"/>
    <w:rsid w:val="00196273"/>
    <w:rsid w:val="001A3342"/>
    <w:rsid w:val="001A3E3D"/>
    <w:rsid w:val="001A7049"/>
    <w:rsid w:val="001B005C"/>
    <w:rsid w:val="001B1D88"/>
    <w:rsid w:val="001B1E40"/>
    <w:rsid w:val="001B36E4"/>
    <w:rsid w:val="001B6487"/>
    <w:rsid w:val="001C044B"/>
    <w:rsid w:val="001C2670"/>
    <w:rsid w:val="001C3C80"/>
    <w:rsid w:val="001C6225"/>
    <w:rsid w:val="001C764E"/>
    <w:rsid w:val="001E1052"/>
    <w:rsid w:val="001E21B1"/>
    <w:rsid w:val="001E2F93"/>
    <w:rsid w:val="001E61E5"/>
    <w:rsid w:val="001F16BF"/>
    <w:rsid w:val="001F2159"/>
    <w:rsid w:val="001F4935"/>
    <w:rsid w:val="001F5B47"/>
    <w:rsid w:val="00203854"/>
    <w:rsid w:val="00206763"/>
    <w:rsid w:val="00210868"/>
    <w:rsid w:val="00210EF6"/>
    <w:rsid w:val="00213B82"/>
    <w:rsid w:val="0021449C"/>
    <w:rsid w:val="00214863"/>
    <w:rsid w:val="002156B4"/>
    <w:rsid w:val="0021638F"/>
    <w:rsid w:val="00233724"/>
    <w:rsid w:val="00250662"/>
    <w:rsid w:val="00251BFA"/>
    <w:rsid w:val="00253222"/>
    <w:rsid w:val="00254856"/>
    <w:rsid w:val="0025759D"/>
    <w:rsid w:val="00262847"/>
    <w:rsid w:val="00262AAB"/>
    <w:rsid w:val="00264ACF"/>
    <w:rsid w:val="00281BB2"/>
    <w:rsid w:val="0029338A"/>
    <w:rsid w:val="002959B0"/>
    <w:rsid w:val="002A13F5"/>
    <w:rsid w:val="002A16AE"/>
    <w:rsid w:val="002B08D9"/>
    <w:rsid w:val="002B3F5C"/>
    <w:rsid w:val="002B50EA"/>
    <w:rsid w:val="002B72E9"/>
    <w:rsid w:val="002C7998"/>
    <w:rsid w:val="002E0D9C"/>
    <w:rsid w:val="002E2E71"/>
    <w:rsid w:val="002E7B83"/>
    <w:rsid w:val="002F05D8"/>
    <w:rsid w:val="002F1E53"/>
    <w:rsid w:val="002F263D"/>
    <w:rsid w:val="002F2CAA"/>
    <w:rsid w:val="002F7400"/>
    <w:rsid w:val="0030052C"/>
    <w:rsid w:val="00302948"/>
    <w:rsid w:val="00305F8A"/>
    <w:rsid w:val="00307F11"/>
    <w:rsid w:val="00310506"/>
    <w:rsid w:val="00311B4F"/>
    <w:rsid w:val="00312099"/>
    <w:rsid w:val="00313F71"/>
    <w:rsid w:val="00315188"/>
    <w:rsid w:val="00316A84"/>
    <w:rsid w:val="00317402"/>
    <w:rsid w:val="00325CDC"/>
    <w:rsid w:val="00325DD0"/>
    <w:rsid w:val="00327920"/>
    <w:rsid w:val="003306E1"/>
    <w:rsid w:val="003320E4"/>
    <w:rsid w:val="0033525D"/>
    <w:rsid w:val="00336C7B"/>
    <w:rsid w:val="003373D9"/>
    <w:rsid w:val="003414F3"/>
    <w:rsid w:val="00341B2A"/>
    <w:rsid w:val="00344A2D"/>
    <w:rsid w:val="00346674"/>
    <w:rsid w:val="003512CB"/>
    <w:rsid w:val="00351652"/>
    <w:rsid w:val="0035613E"/>
    <w:rsid w:val="003636E0"/>
    <w:rsid w:val="00363BB6"/>
    <w:rsid w:val="00363EE9"/>
    <w:rsid w:val="0036427C"/>
    <w:rsid w:val="00364A8B"/>
    <w:rsid w:val="00365809"/>
    <w:rsid w:val="00366505"/>
    <w:rsid w:val="00373BAD"/>
    <w:rsid w:val="00374770"/>
    <w:rsid w:val="00376128"/>
    <w:rsid w:val="0037742E"/>
    <w:rsid w:val="00377D56"/>
    <w:rsid w:val="0038245A"/>
    <w:rsid w:val="003834BD"/>
    <w:rsid w:val="003840E6"/>
    <w:rsid w:val="00385613"/>
    <w:rsid w:val="00385CFC"/>
    <w:rsid w:val="00390E54"/>
    <w:rsid w:val="003919B9"/>
    <w:rsid w:val="0039337A"/>
    <w:rsid w:val="003A139F"/>
    <w:rsid w:val="003A15B7"/>
    <w:rsid w:val="003A3189"/>
    <w:rsid w:val="003A3CA7"/>
    <w:rsid w:val="003A49AB"/>
    <w:rsid w:val="003A579B"/>
    <w:rsid w:val="003A7D1C"/>
    <w:rsid w:val="003B33BD"/>
    <w:rsid w:val="003B569D"/>
    <w:rsid w:val="003B5BC6"/>
    <w:rsid w:val="003C02B7"/>
    <w:rsid w:val="003C0C29"/>
    <w:rsid w:val="003C3C0E"/>
    <w:rsid w:val="003C4763"/>
    <w:rsid w:val="003C7006"/>
    <w:rsid w:val="003C712C"/>
    <w:rsid w:val="003D4772"/>
    <w:rsid w:val="003D4FAC"/>
    <w:rsid w:val="003D7B36"/>
    <w:rsid w:val="003E7906"/>
    <w:rsid w:val="003F31C1"/>
    <w:rsid w:val="003F3C50"/>
    <w:rsid w:val="003F56FC"/>
    <w:rsid w:val="003F597E"/>
    <w:rsid w:val="003F5B3F"/>
    <w:rsid w:val="003F5FBE"/>
    <w:rsid w:val="00406374"/>
    <w:rsid w:val="00406A6A"/>
    <w:rsid w:val="00406B22"/>
    <w:rsid w:val="0041115E"/>
    <w:rsid w:val="00411BAA"/>
    <w:rsid w:val="00415D9D"/>
    <w:rsid w:val="004174B4"/>
    <w:rsid w:val="00427BF9"/>
    <w:rsid w:val="00431B5D"/>
    <w:rsid w:val="004328A7"/>
    <w:rsid w:val="00434C74"/>
    <w:rsid w:val="004360BA"/>
    <w:rsid w:val="0044026F"/>
    <w:rsid w:val="004413E4"/>
    <w:rsid w:val="00444B9F"/>
    <w:rsid w:val="00451FCC"/>
    <w:rsid w:val="00456EB4"/>
    <w:rsid w:val="004573D5"/>
    <w:rsid w:val="00463620"/>
    <w:rsid w:val="004718F3"/>
    <w:rsid w:val="004731B8"/>
    <w:rsid w:val="00475040"/>
    <w:rsid w:val="004758C7"/>
    <w:rsid w:val="004847B8"/>
    <w:rsid w:val="004876C3"/>
    <w:rsid w:val="0049036E"/>
    <w:rsid w:val="00493D40"/>
    <w:rsid w:val="0049425F"/>
    <w:rsid w:val="004967B6"/>
    <w:rsid w:val="004A027B"/>
    <w:rsid w:val="004A504B"/>
    <w:rsid w:val="004A6911"/>
    <w:rsid w:val="004A7F0C"/>
    <w:rsid w:val="004B54E0"/>
    <w:rsid w:val="004B5FE6"/>
    <w:rsid w:val="004B7384"/>
    <w:rsid w:val="004C0662"/>
    <w:rsid w:val="004C287D"/>
    <w:rsid w:val="004C4269"/>
    <w:rsid w:val="004C60FE"/>
    <w:rsid w:val="004C7F8F"/>
    <w:rsid w:val="004D4835"/>
    <w:rsid w:val="004D4E63"/>
    <w:rsid w:val="004D6236"/>
    <w:rsid w:val="004D7B05"/>
    <w:rsid w:val="004D7F90"/>
    <w:rsid w:val="004E1E3E"/>
    <w:rsid w:val="004E2A48"/>
    <w:rsid w:val="004E3951"/>
    <w:rsid w:val="004E4DBB"/>
    <w:rsid w:val="004E4E41"/>
    <w:rsid w:val="004E6FAF"/>
    <w:rsid w:val="004E7F9C"/>
    <w:rsid w:val="004F18A7"/>
    <w:rsid w:val="004F3493"/>
    <w:rsid w:val="004F4719"/>
    <w:rsid w:val="004F5143"/>
    <w:rsid w:val="005053FA"/>
    <w:rsid w:val="00512B09"/>
    <w:rsid w:val="00515B2F"/>
    <w:rsid w:val="00530413"/>
    <w:rsid w:val="00531FAE"/>
    <w:rsid w:val="00533796"/>
    <w:rsid w:val="00541308"/>
    <w:rsid w:val="00542B1B"/>
    <w:rsid w:val="00543982"/>
    <w:rsid w:val="005449E0"/>
    <w:rsid w:val="00547A3E"/>
    <w:rsid w:val="005552D3"/>
    <w:rsid w:val="00555D75"/>
    <w:rsid w:val="00556E3E"/>
    <w:rsid w:val="00560DF0"/>
    <w:rsid w:val="0056759C"/>
    <w:rsid w:val="00572B89"/>
    <w:rsid w:val="00582C53"/>
    <w:rsid w:val="0059513E"/>
    <w:rsid w:val="00595C78"/>
    <w:rsid w:val="005A2589"/>
    <w:rsid w:val="005A4390"/>
    <w:rsid w:val="005A6AB7"/>
    <w:rsid w:val="005B2599"/>
    <w:rsid w:val="005B48FF"/>
    <w:rsid w:val="005B7AD1"/>
    <w:rsid w:val="005B7DDD"/>
    <w:rsid w:val="005C61E5"/>
    <w:rsid w:val="005D71ED"/>
    <w:rsid w:val="005E0D47"/>
    <w:rsid w:val="005E2240"/>
    <w:rsid w:val="005E2E96"/>
    <w:rsid w:val="005E6477"/>
    <w:rsid w:val="005F38C1"/>
    <w:rsid w:val="00604C15"/>
    <w:rsid w:val="00605084"/>
    <w:rsid w:val="006076BD"/>
    <w:rsid w:val="00613A38"/>
    <w:rsid w:val="00614BE0"/>
    <w:rsid w:val="006158D5"/>
    <w:rsid w:val="00617EAE"/>
    <w:rsid w:val="00625D83"/>
    <w:rsid w:val="0063124E"/>
    <w:rsid w:val="00635904"/>
    <w:rsid w:val="0064481A"/>
    <w:rsid w:val="00653B58"/>
    <w:rsid w:val="006623E7"/>
    <w:rsid w:val="00662874"/>
    <w:rsid w:val="00662B80"/>
    <w:rsid w:val="00670F6C"/>
    <w:rsid w:val="00675795"/>
    <w:rsid w:val="006817CA"/>
    <w:rsid w:val="0068224C"/>
    <w:rsid w:val="006852C7"/>
    <w:rsid w:val="006852CE"/>
    <w:rsid w:val="00687BDF"/>
    <w:rsid w:val="00691260"/>
    <w:rsid w:val="00697A5E"/>
    <w:rsid w:val="006A0111"/>
    <w:rsid w:val="006A62DB"/>
    <w:rsid w:val="006B3780"/>
    <w:rsid w:val="006B4548"/>
    <w:rsid w:val="006C1727"/>
    <w:rsid w:val="006C32FD"/>
    <w:rsid w:val="006C39CE"/>
    <w:rsid w:val="006C580F"/>
    <w:rsid w:val="006C753B"/>
    <w:rsid w:val="006C76DF"/>
    <w:rsid w:val="006D0976"/>
    <w:rsid w:val="006D0FCC"/>
    <w:rsid w:val="006D1D2D"/>
    <w:rsid w:val="006D3008"/>
    <w:rsid w:val="006D54FC"/>
    <w:rsid w:val="006D71AC"/>
    <w:rsid w:val="006E04AC"/>
    <w:rsid w:val="006E1FC3"/>
    <w:rsid w:val="006E45E4"/>
    <w:rsid w:val="006F0BA2"/>
    <w:rsid w:val="006F2EED"/>
    <w:rsid w:val="007031D6"/>
    <w:rsid w:val="00703FB7"/>
    <w:rsid w:val="00705F71"/>
    <w:rsid w:val="0070616B"/>
    <w:rsid w:val="00706FDA"/>
    <w:rsid w:val="00710F52"/>
    <w:rsid w:val="00711F9A"/>
    <w:rsid w:val="00713810"/>
    <w:rsid w:val="0071695A"/>
    <w:rsid w:val="007303A5"/>
    <w:rsid w:val="00730B3E"/>
    <w:rsid w:val="0073420B"/>
    <w:rsid w:val="00743742"/>
    <w:rsid w:val="0074760E"/>
    <w:rsid w:val="00754ABA"/>
    <w:rsid w:val="00755494"/>
    <w:rsid w:val="00756761"/>
    <w:rsid w:val="00763450"/>
    <w:rsid w:val="00765210"/>
    <w:rsid w:val="007701FC"/>
    <w:rsid w:val="00785062"/>
    <w:rsid w:val="00785C31"/>
    <w:rsid w:val="007925DB"/>
    <w:rsid w:val="00795154"/>
    <w:rsid w:val="007A1546"/>
    <w:rsid w:val="007A228C"/>
    <w:rsid w:val="007A368E"/>
    <w:rsid w:val="007A5868"/>
    <w:rsid w:val="007A7EFE"/>
    <w:rsid w:val="007B04CE"/>
    <w:rsid w:val="007B6871"/>
    <w:rsid w:val="007B7A2F"/>
    <w:rsid w:val="007C227C"/>
    <w:rsid w:val="007C29E9"/>
    <w:rsid w:val="007C367B"/>
    <w:rsid w:val="007C3C91"/>
    <w:rsid w:val="007C3D33"/>
    <w:rsid w:val="007C739B"/>
    <w:rsid w:val="007C78AA"/>
    <w:rsid w:val="007D294A"/>
    <w:rsid w:val="007D47D2"/>
    <w:rsid w:val="007D6EC0"/>
    <w:rsid w:val="007D7E1D"/>
    <w:rsid w:val="007E0E24"/>
    <w:rsid w:val="007E53AE"/>
    <w:rsid w:val="007E6B64"/>
    <w:rsid w:val="007F12F1"/>
    <w:rsid w:val="00801456"/>
    <w:rsid w:val="008105BF"/>
    <w:rsid w:val="00820440"/>
    <w:rsid w:val="00821DEF"/>
    <w:rsid w:val="00831370"/>
    <w:rsid w:val="008316A9"/>
    <w:rsid w:val="00831979"/>
    <w:rsid w:val="008334D1"/>
    <w:rsid w:val="00837BFB"/>
    <w:rsid w:val="00842894"/>
    <w:rsid w:val="00850639"/>
    <w:rsid w:val="00851352"/>
    <w:rsid w:val="00851C4B"/>
    <w:rsid w:val="00856798"/>
    <w:rsid w:val="00861832"/>
    <w:rsid w:val="00863230"/>
    <w:rsid w:val="008717D8"/>
    <w:rsid w:val="0087215C"/>
    <w:rsid w:val="008732D9"/>
    <w:rsid w:val="00874C72"/>
    <w:rsid w:val="00880E35"/>
    <w:rsid w:val="008875FE"/>
    <w:rsid w:val="00887F8E"/>
    <w:rsid w:val="00891178"/>
    <w:rsid w:val="00891B20"/>
    <w:rsid w:val="0089218C"/>
    <w:rsid w:val="008935AC"/>
    <w:rsid w:val="00896234"/>
    <w:rsid w:val="00896F61"/>
    <w:rsid w:val="00897E43"/>
    <w:rsid w:val="008B2E22"/>
    <w:rsid w:val="008B50C7"/>
    <w:rsid w:val="008C5738"/>
    <w:rsid w:val="008C758D"/>
    <w:rsid w:val="008C7EAD"/>
    <w:rsid w:val="008D0CFE"/>
    <w:rsid w:val="008D10EC"/>
    <w:rsid w:val="008D2FC3"/>
    <w:rsid w:val="008D3375"/>
    <w:rsid w:val="008D54C2"/>
    <w:rsid w:val="008D6152"/>
    <w:rsid w:val="008E22EF"/>
    <w:rsid w:val="008E39F1"/>
    <w:rsid w:val="008E5852"/>
    <w:rsid w:val="008F0F81"/>
    <w:rsid w:val="008F2681"/>
    <w:rsid w:val="008F27BF"/>
    <w:rsid w:val="009113BE"/>
    <w:rsid w:val="009124CF"/>
    <w:rsid w:val="009142EC"/>
    <w:rsid w:val="009154C3"/>
    <w:rsid w:val="00923540"/>
    <w:rsid w:val="00926767"/>
    <w:rsid w:val="0093115A"/>
    <w:rsid w:val="009361D5"/>
    <w:rsid w:val="0094030E"/>
    <w:rsid w:val="009428A4"/>
    <w:rsid w:val="009445A4"/>
    <w:rsid w:val="009451F1"/>
    <w:rsid w:val="009465D2"/>
    <w:rsid w:val="00955083"/>
    <w:rsid w:val="00963720"/>
    <w:rsid w:val="009659F4"/>
    <w:rsid w:val="00966F49"/>
    <w:rsid w:val="009671AE"/>
    <w:rsid w:val="009709B0"/>
    <w:rsid w:val="00970D60"/>
    <w:rsid w:val="00971FC2"/>
    <w:rsid w:val="009960E5"/>
    <w:rsid w:val="0099705E"/>
    <w:rsid w:val="009A0E86"/>
    <w:rsid w:val="009A3176"/>
    <w:rsid w:val="009A7275"/>
    <w:rsid w:val="009A7ADC"/>
    <w:rsid w:val="009B5C0C"/>
    <w:rsid w:val="009C1229"/>
    <w:rsid w:val="009C19B7"/>
    <w:rsid w:val="009D0177"/>
    <w:rsid w:val="009D1616"/>
    <w:rsid w:val="009D383A"/>
    <w:rsid w:val="009D7C51"/>
    <w:rsid w:val="009E1674"/>
    <w:rsid w:val="009E196C"/>
    <w:rsid w:val="009E7D84"/>
    <w:rsid w:val="009F36BF"/>
    <w:rsid w:val="00A0157B"/>
    <w:rsid w:val="00A068B8"/>
    <w:rsid w:val="00A06C05"/>
    <w:rsid w:val="00A11005"/>
    <w:rsid w:val="00A111B6"/>
    <w:rsid w:val="00A1588D"/>
    <w:rsid w:val="00A203B4"/>
    <w:rsid w:val="00A2547B"/>
    <w:rsid w:val="00A26D27"/>
    <w:rsid w:val="00A3047A"/>
    <w:rsid w:val="00A376A7"/>
    <w:rsid w:val="00A376EE"/>
    <w:rsid w:val="00A41676"/>
    <w:rsid w:val="00A42A99"/>
    <w:rsid w:val="00A5151A"/>
    <w:rsid w:val="00A53608"/>
    <w:rsid w:val="00A56465"/>
    <w:rsid w:val="00A57E0A"/>
    <w:rsid w:val="00A8017F"/>
    <w:rsid w:val="00A823F6"/>
    <w:rsid w:val="00A93BBA"/>
    <w:rsid w:val="00A957E7"/>
    <w:rsid w:val="00A95F59"/>
    <w:rsid w:val="00A97ACD"/>
    <w:rsid w:val="00AA0A89"/>
    <w:rsid w:val="00AA5AAC"/>
    <w:rsid w:val="00AA6429"/>
    <w:rsid w:val="00AA7FD3"/>
    <w:rsid w:val="00AB1775"/>
    <w:rsid w:val="00AC01AA"/>
    <w:rsid w:val="00AC01E0"/>
    <w:rsid w:val="00AC2894"/>
    <w:rsid w:val="00AC4F72"/>
    <w:rsid w:val="00AD072A"/>
    <w:rsid w:val="00AE77AA"/>
    <w:rsid w:val="00AF3F2B"/>
    <w:rsid w:val="00AF741A"/>
    <w:rsid w:val="00B01ADB"/>
    <w:rsid w:val="00B04161"/>
    <w:rsid w:val="00B056F9"/>
    <w:rsid w:val="00B11E3D"/>
    <w:rsid w:val="00B1629C"/>
    <w:rsid w:val="00B17E82"/>
    <w:rsid w:val="00B25683"/>
    <w:rsid w:val="00B31236"/>
    <w:rsid w:val="00B316E0"/>
    <w:rsid w:val="00B31904"/>
    <w:rsid w:val="00B32AE4"/>
    <w:rsid w:val="00B4575A"/>
    <w:rsid w:val="00B5364C"/>
    <w:rsid w:val="00B575BA"/>
    <w:rsid w:val="00B60578"/>
    <w:rsid w:val="00B76429"/>
    <w:rsid w:val="00B77005"/>
    <w:rsid w:val="00B956D4"/>
    <w:rsid w:val="00B97446"/>
    <w:rsid w:val="00BA3E44"/>
    <w:rsid w:val="00BA7432"/>
    <w:rsid w:val="00BA74A9"/>
    <w:rsid w:val="00BB038E"/>
    <w:rsid w:val="00BB3747"/>
    <w:rsid w:val="00BC1AA0"/>
    <w:rsid w:val="00BC2495"/>
    <w:rsid w:val="00BC7EB9"/>
    <w:rsid w:val="00BD2643"/>
    <w:rsid w:val="00BD56B1"/>
    <w:rsid w:val="00BD6558"/>
    <w:rsid w:val="00BE31BF"/>
    <w:rsid w:val="00BF041C"/>
    <w:rsid w:val="00BF0F9E"/>
    <w:rsid w:val="00BF3022"/>
    <w:rsid w:val="00BF3214"/>
    <w:rsid w:val="00BF5391"/>
    <w:rsid w:val="00BF5573"/>
    <w:rsid w:val="00BF620D"/>
    <w:rsid w:val="00C05548"/>
    <w:rsid w:val="00C104A8"/>
    <w:rsid w:val="00C15867"/>
    <w:rsid w:val="00C2296D"/>
    <w:rsid w:val="00C23155"/>
    <w:rsid w:val="00C24F0D"/>
    <w:rsid w:val="00C3667A"/>
    <w:rsid w:val="00C40C41"/>
    <w:rsid w:val="00C45885"/>
    <w:rsid w:val="00C501BB"/>
    <w:rsid w:val="00C50F22"/>
    <w:rsid w:val="00C54AD7"/>
    <w:rsid w:val="00C55303"/>
    <w:rsid w:val="00C55D34"/>
    <w:rsid w:val="00C57971"/>
    <w:rsid w:val="00C60A54"/>
    <w:rsid w:val="00C65BD7"/>
    <w:rsid w:val="00C7427F"/>
    <w:rsid w:val="00C76BA4"/>
    <w:rsid w:val="00C83A48"/>
    <w:rsid w:val="00C85865"/>
    <w:rsid w:val="00C85E85"/>
    <w:rsid w:val="00C90EFF"/>
    <w:rsid w:val="00C96BF2"/>
    <w:rsid w:val="00CA2EAE"/>
    <w:rsid w:val="00CA4357"/>
    <w:rsid w:val="00CA4AC1"/>
    <w:rsid w:val="00CA5F85"/>
    <w:rsid w:val="00CB0316"/>
    <w:rsid w:val="00CB0B11"/>
    <w:rsid w:val="00CB43AB"/>
    <w:rsid w:val="00CB5354"/>
    <w:rsid w:val="00CC1CD1"/>
    <w:rsid w:val="00CC299E"/>
    <w:rsid w:val="00CC6236"/>
    <w:rsid w:val="00CC6A14"/>
    <w:rsid w:val="00CC6F95"/>
    <w:rsid w:val="00CC70A3"/>
    <w:rsid w:val="00CD2D4C"/>
    <w:rsid w:val="00CD4442"/>
    <w:rsid w:val="00CD470D"/>
    <w:rsid w:val="00CD4F7F"/>
    <w:rsid w:val="00CD53C3"/>
    <w:rsid w:val="00CD574E"/>
    <w:rsid w:val="00CD7C55"/>
    <w:rsid w:val="00CE23B1"/>
    <w:rsid w:val="00CE27A6"/>
    <w:rsid w:val="00CE4C22"/>
    <w:rsid w:val="00CF02A0"/>
    <w:rsid w:val="00CF41EC"/>
    <w:rsid w:val="00CF5D04"/>
    <w:rsid w:val="00CF6A7B"/>
    <w:rsid w:val="00D04DE4"/>
    <w:rsid w:val="00D0546C"/>
    <w:rsid w:val="00D063F1"/>
    <w:rsid w:val="00D07577"/>
    <w:rsid w:val="00D13CD0"/>
    <w:rsid w:val="00D14F22"/>
    <w:rsid w:val="00D213FE"/>
    <w:rsid w:val="00D22563"/>
    <w:rsid w:val="00D4388C"/>
    <w:rsid w:val="00D45BB7"/>
    <w:rsid w:val="00D461FF"/>
    <w:rsid w:val="00D4741C"/>
    <w:rsid w:val="00D47878"/>
    <w:rsid w:val="00D51B89"/>
    <w:rsid w:val="00D53E4A"/>
    <w:rsid w:val="00D575D3"/>
    <w:rsid w:val="00D57918"/>
    <w:rsid w:val="00D61474"/>
    <w:rsid w:val="00D62899"/>
    <w:rsid w:val="00D65285"/>
    <w:rsid w:val="00D66982"/>
    <w:rsid w:val="00D723CB"/>
    <w:rsid w:val="00D73DC6"/>
    <w:rsid w:val="00D74AAC"/>
    <w:rsid w:val="00D74C1A"/>
    <w:rsid w:val="00D754C1"/>
    <w:rsid w:val="00D77393"/>
    <w:rsid w:val="00D77A35"/>
    <w:rsid w:val="00D81B3E"/>
    <w:rsid w:val="00D866D0"/>
    <w:rsid w:val="00D90C70"/>
    <w:rsid w:val="00D90E49"/>
    <w:rsid w:val="00D91C00"/>
    <w:rsid w:val="00D96ADE"/>
    <w:rsid w:val="00DA0CE2"/>
    <w:rsid w:val="00DB040F"/>
    <w:rsid w:val="00DB6250"/>
    <w:rsid w:val="00DC6A10"/>
    <w:rsid w:val="00DD2097"/>
    <w:rsid w:val="00DD3D2C"/>
    <w:rsid w:val="00DD469C"/>
    <w:rsid w:val="00DD7434"/>
    <w:rsid w:val="00DD7EE4"/>
    <w:rsid w:val="00DE1528"/>
    <w:rsid w:val="00DE556A"/>
    <w:rsid w:val="00DE56A0"/>
    <w:rsid w:val="00DE5FF4"/>
    <w:rsid w:val="00DE657E"/>
    <w:rsid w:val="00DE6B68"/>
    <w:rsid w:val="00DF4704"/>
    <w:rsid w:val="00DF5C0B"/>
    <w:rsid w:val="00E024AA"/>
    <w:rsid w:val="00E047BE"/>
    <w:rsid w:val="00E147F9"/>
    <w:rsid w:val="00E22472"/>
    <w:rsid w:val="00E250F1"/>
    <w:rsid w:val="00E26073"/>
    <w:rsid w:val="00E35027"/>
    <w:rsid w:val="00E3550D"/>
    <w:rsid w:val="00E35B9B"/>
    <w:rsid w:val="00E3787B"/>
    <w:rsid w:val="00E41335"/>
    <w:rsid w:val="00E41638"/>
    <w:rsid w:val="00E46CA8"/>
    <w:rsid w:val="00E532B1"/>
    <w:rsid w:val="00E614E0"/>
    <w:rsid w:val="00E61EE4"/>
    <w:rsid w:val="00E679DF"/>
    <w:rsid w:val="00E73F7F"/>
    <w:rsid w:val="00E837CC"/>
    <w:rsid w:val="00E85409"/>
    <w:rsid w:val="00E90EC3"/>
    <w:rsid w:val="00EA429F"/>
    <w:rsid w:val="00EA4F9E"/>
    <w:rsid w:val="00EA63CA"/>
    <w:rsid w:val="00EA6D3B"/>
    <w:rsid w:val="00EB00AD"/>
    <w:rsid w:val="00EB0C52"/>
    <w:rsid w:val="00EB136C"/>
    <w:rsid w:val="00EB480E"/>
    <w:rsid w:val="00EB5EC6"/>
    <w:rsid w:val="00EB7FC9"/>
    <w:rsid w:val="00EC2F35"/>
    <w:rsid w:val="00EC670F"/>
    <w:rsid w:val="00EC79D6"/>
    <w:rsid w:val="00ED27E8"/>
    <w:rsid w:val="00ED7137"/>
    <w:rsid w:val="00EE66BA"/>
    <w:rsid w:val="00F07A58"/>
    <w:rsid w:val="00F15EDA"/>
    <w:rsid w:val="00F20836"/>
    <w:rsid w:val="00F21088"/>
    <w:rsid w:val="00F268BE"/>
    <w:rsid w:val="00F26E2B"/>
    <w:rsid w:val="00F274D2"/>
    <w:rsid w:val="00F327E7"/>
    <w:rsid w:val="00F35746"/>
    <w:rsid w:val="00F363C4"/>
    <w:rsid w:val="00F447C7"/>
    <w:rsid w:val="00F5211B"/>
    <w:rsid w:val="00F554A9"/>
    <w:rsid w:val="00F64879"/>
    <w:rsid w:val="00F70F0B"/>
    <w:rsid w:val="00F716FD"/>
    <w:rsid w:val="00F7235E"/>
    <w:rsid w:val="00F80355"/>
    <w:rsid w:val="00F81BED"/>
    <w:rsid w:val="00F81F6C"/>
    <w:rsid w:val="00F87C43"/>
    <w:rsid w:val="00F91EA6"/>
    <w:rsid w:val="00F9356F"/>
    <w:rsid w:val="00F95B5E"/>
    <w:rsid w:val="00F95DDD"/>
    <w:rsid w:val="00FA12E1"/>
    <w:rsid w:val="00FA78FB"/>
    <w:rsid w:val="00FB0C81"/>
    <w:rsid w:val="00FC2200"/>
    <w:rsid w:val="00FC2540"/>
    <w:rsid w:val="00FC28BD"/>
    <w:rsid w:val="00FC4352"/>
    <w:rsid w:val="00FD202B"/>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02CA0B"/>
  <w15:docId w15:val="{4FE4BA1D-D8F6-40F9-8E15-D6F379BD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99"/>
    <w:qFormat/>
    <w:rsid w:val="000E0964"/>
    <w:pPr>
      <w:ind w:left="720"/>
      <w:contextualSpacing/>
    </w:pPr>
  </w:style>
  <w:style w:type="paragraph" w:styleId="FootnoteText">
    <w:name w:val="footnote text"/>
    <w:aliases w:val="Char1,Char1 Char Char, Char1, 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0E0964"/>
    <w:rPr>
      <w:sz w:val="20"/>
      <w:szCs w:val="20"/>
    </w:rPr>
  </w:style>
  <w:style w:type="character" w:customStyle="1" w:styleId="FootnoteTextChar">
    <w:name w:val="Footnote Text Char"/>
    <w:aliases w:val="Char1 Char,Char1 Char Char Char, Char1 Char, Char1 Char Char Char,Fußnotentextf Char,FOOTNOTES Char,fn Char,single space Char,Footnote Char,Footnote Text Char1 Char Char,Footnote Text Char Char Char Char"/>
    <w:basedOn w:val="DefaultParagraphFont"/>
    <w:link w:val="FootnoteText"/>
    <w:uiPriority w:val="99"/>
    <w:rsid w:val="000E0964"/>
    <w:rPr>
      <w:lang w:val="en-GB"/>
    </w:rPr>
  </w:style>
  <w:style w:type="character" w:styleId="FootnoteReference">
    <w:name w:val="footnote reference"/>
    <w:aliases w:val="Footnote text"/>
    <w:basedOn w:val="DefaultParagraphFont"/>
    <w:uiPriority w:val="99"/>
    <w:unhideWhenUsed/>
    <w:rsid w:val="000E096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0E0964"/>
    <w:rPr>
      <w:sz w:val="22"/>
      <w:szCs w:val="22"/>
      <w:lang w:val="en-GB"/>
    </w:rPr>
  </w:style>
  <w:style w:type="character" w:customStyle="1" w:styleId="ListParagraphChar">
    <w:name w:val="List Paragraph Char"/>
    <w:basedOn w:val="DefaultParagraphFont"/>
    <w:link w:val="ListParagraph"/>
    <w:uiPriority w:val="99"/>
    <w:rsid w:val="000E0964"/>
    <w:rPr>
      <w:sz w:val="22"/>
      <w:szCs w:val="22"/>
      <w:lang w:val="en-GB"/>
    </w:rPr>
  </w:style>
  <w:style w:type="paragraph" w:styleId="Revision">
    <w:name w:val="Revision"/>
    <w:hidden/>
    <w:uiPriority w:val="99"/>
    <w:semiHidden/>
    <w:rsid w:val="000E0964"/>
    <w:rPr>
      <w:sz w:val="22"/>
      <w:szCs w:val="22"/>
      <w:lang w:val="en-GB"/>
    </w:rPr>
  </w:style>
  <w:style w:type="character" w:customStyle="1" w:styleId="HeaderChar">
    <w:name w:val="Header Char"/>
    <w:basedOn w:val="DefaultParagraphFont"/>
    <w:link w:val="Header"/>
    <w:uiPriority w:val="99"/>
    <w:rsid w:val="000E0964"/>
    <w:rPr>
      <w:sz w:val="22"/>
      <w:szCs w:val="22"/>
      <w:lang w:val="en-GB"/>
    </w:rPr>
  </w:style>
  <w:style w:type="character" w:customStyle="1" w:styleId="FooterChar">
    <w:name w:val="Footer Char"/>
    <w:basedOn w:val="DefaultParagraphFont"/>
    <w:link w:val="Footer"/>
    <w:uiPriority w:val="99"/>
    <w:rsid w:val="000E0964"/>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E46CA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030">
      <w:bodyDiv w:val="1"/>
      <w:marLeft w:val="0"/>
      <w:marRight w:val="0"/>
      <w:marTop w:val="0"/>
      <w:marBottom w:val="0"/>
      <w:divBdr>
        <w:top w:val="none" w:sz="0" w:space="0" w:color="auto"/>
        <w:left w:val="none" w:sz="0" w:space="0" w:color="auto"/>
        <w:bottom w:val="none" w:sz="0" w:space="0" w:color="auto"/>
        <w:right w:val="none" w:sz="0" w:space="0" w:color="auto"/>
      </w:divBdr>
    </w:div>
    <w:div w:id="1205557320">
      <w:bodyDiv w:val="1"/>
      <w:marLeft w:val="0"/>
      <w:marRight w:val="0"/>
      <w:marTop w:val="0"/>
      <w:marBottom w:val="0"/>
      <w:divBdr>
        <w:top w:val="none" w:sz="0" w:space="0" w:color="auto"/>
        <w:left w:val="none" w:sz="0" w:space="0" w:color="auto"/>
        <w:bottom w:val="none" w:sz="0" w:space="0" w:color="auto"/>
        <w:right w:val="none" w:sz="0" w:space="0" w:color="auto"/>
      </w:divBdr>
    </w:div>
    <w:div w:id="1806242553">
      <w:bodyDiv w:val="1"/>
      <w:marLeft w:val="0"/>
      <w:marRight w:val="0"/>
      <w:marTop w:val="0"/>
      <w:marBottom w:val="0"/>
      <w:divBdr>
        <w:top w:val="none" w:sz="0" w:space="0" w:color="auto"/>
        <w:left w:val="none" w:sz="0" w:space="0" w:color="auto"/>
        <w:bottom w:val="none" w:sz="0" w:space="0" w:color="auto"/>
        <w:right w:val="none" w:sz="0" w:space="0" w:color="auto"/>
      </w:divBdr>
    </w:div>
    <w:div w:id="181174814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UNEP/OzL.Pro/ExCom/84/51</Document_x0020_Number>
    <DocumentType xmlns="64e33b30-101d-41de-b951-961aab25ea29">Pre-session</DocumentType>
  </documentManagement>
</p:properties>
</file>

<file path=customXml/itemProps1.xml><?xml version="1.0" encoding="utf-8"?>
<ds:datastoreItem xmlns:ds="http://schemas.openxmlformats.org/officeDocument/2006/customXml" ds:itemID="{10C523C4-FFA1-479B-995E-D1B0DB4E3A9D}"/>
</file>

<file path=customXml/itemProps2.xml><?xml version="1.0" encoding="utf-8"?>
<ds:datastoreItem xmlns:ds="http://schemas.openxmlformats.org/officeDocument/2006/customXml" ds:itemID="{1620684E-B6A4-482E-B35F-439CE98DC42F}"/>
</file>

<file path=customXml/itemProps3.xml><?xml version="1.0" encoding="utf-8"?>
<ds:datastoreItem xmlns:ds="http://schemas.openxmlformats.org/officeDocument/2006/customXml" ds:itemID="{E95B1C1F-6B10-4678-876E-BA217E0D78FE}"/>
</file>

<file path=customXml/itemProps4.xml><?xml version="1.0" encoding="utf-8"?>
<ds:datastoreItem xmlns:ds="http://schemas.openxmlformats.org/officeDocument/2006/customXml" ds:itemID="{1DD478C5-1760-4E4E-927D-C71F24B19AC3}"/>
</file>

<file path=docProps/app.xml><?xml version="1.0" encoding="utf-8"?>
<Properties xmlns="http://schemas.openxmlformats.org/officeDocument/2006/extended-properties" xmlns:vt="http://schemas.openxmlformats.org/officeDocument/2006/docPropsVTypes">
  <Template>normal</Template>
  <TotalTime>51</TotalTime>
  <Pages>18</Pages>
  <Words>7779</Words>
  <Characters>43318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Project proposal: Iran</vt:lpstr>
    </vt:vector>
  </TitlesOfParts>
  <Company>UNMFS</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Iran (Islamic Republic of)</dc:title>
  <dc:creator>Dominika Anna Suwik</dc:creator>
  <cp:keywords>84th</cp:keywords>
  <cp:lastModifiedBy>Elina Yuen</cp:lastModifiedBy>
  <cp:revision>9</cp:revision>
  <cp:lastPrinted>2019-11-30T20:22:00Z</cp:lastPrinted>
  <dcterms:created xsi:type="dcterms:W3CDTF">2019-12-01T18:58:00Z</dcterms:created>
  <dcterms:modified xsi:type="dcterms:W3CDTF">2019-12-01T19:53:00Z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UNEP/OzL.Pro/ExCom/84/51</vt:lpwstr>
  </property>
  <property fmtid="{D5CDD505-2E9C-101B-9397-08002B2CF9AE}" pid="3" name="Revision date">
    <vt:lpwstr>12/1/2019</vt:lpwstr>
  </property>
  <property fmtid="{D5CDD505-2E9C-101B-9397-08002B2CF9AE}" pid="4" name="ContentTypeId">
    <vt:lpwstr>0x010100D1FC51483EAF9547AF5405F34A68D8CF</vt:lpwstr>
  </property>
</Properties>
</file>