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6BA" w:rsidRDefault="00264ACF" w:rsidP="00264ACF">
      <w:r>
        <w:rPr>
          <w:noProof/>
          <w:lang w:val="en-CA" w:eastAsia="zh-CN"/>
        </w:rPr>
        <w:drawing>
          <wp:anchor distT="0" distB="0" distL="114300" distR="114300" simplePos="0" relativeHeight="251658240" behindDoc="1" locked="0" layoutInCell="1" allowOverlap="1">
            <wp:simplePos x="0" y="0"/>
            <wp:positionH relativeFrom="margin">
              <wp:align>right</wp:align>
            </wp:positionH>
            <wp:positionV relativeFrom="paragraph">
              <wp:posOffset>31750</wp:posOffset>
            </wp:positionV>
            <wp:extent cx="5943600" cy="29483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48305"/>
                    </a:xfrm>
                    <a:prstGeom prst="rect">
                      <a:avLst/>
                    </a:prstGeom>
                  </pic:spPr>
                </pic:pic>
              </a:graphicData>
            </a:graphic>
            <wp14:sizeRelH relativeFrom="page">
              <wp14:pctWidth>0</wp14:pctWidth>
            </wp14:sizeRelH>
            <wp14:sizeRelV relativeFrom="page">
              <wp14:pctHeight>0</wp14:pctHeight>
            </wp14:sizeRelV>
          </wp:anchor>
        </w:drawing>
      </w:r>
      <w:r w:rsidR="006D1D2D">
        <w:t xml:space="preserve"> </w:t>
      </w:r>
    </w:p>
    <w:p w:rsidR="00D0546C" w:rsidRDefault="00D0546C" w:rsidP="00D0546C">
      <w:pPr>
        <w:tabs>
          <w:tab w:val="left" w:pos="1410"/>
        </w:tabs>
      </w:pPr>
    </w:p>
    <w:p w:rsidR="00D0546C" w:rsidRDefault="00D0546C" w:rsidP="003919B9">
      <w:pPr>
        <w:ind w:left="5040"/>
      </w:pPr>
    </w:p>
    <w:p w:rsidR="003919B9" w:rsidRDefault="005A4390" w:rsidP="003919B9">
      <w:pPr>
        <w:ind w:left="5040"/>
      </w:pPr>
      <w:r>
        <w:t xml:space="preserve"> </w:t>
      </w:r>
      <w:r>
        <w:br/>
        <w:t xml:space="preserve">   </w:t>
      </w:r>
      <w:r w:rsidR="00D0546C">
        <w:br/>
      </w:r>
      <w:r w:rsidR="00D0546C">
        <w:br/>
      </w:r>
      <w:r w:rsidR="00D0546C">
        <w:br/>
      </w:r>
      <w:r w:rsidR="00264ACF">
        <w:t xml:space="preserve">   </w:t>
      </w:r>
      <w:r w:rsidR="00803813">
        <w:fldChar w:fldCharType="begin"/>
      </w:r>
      <w:r w:rsidR="00803813">
        <w:instrText xml:space="preserve"> DOCPROPERTY "Document number"  \* MERGEFORMAT </w:instrText>
      </w:r>
      <w:r w:rsidR="00803813">
        <w:fldChar w:fldCharType="separate"/>
      </w:r>
      <w:r w:rsidR="00BF4AD5">
        <w:t>UNEP/</w:t>
      </w:r>
      <w:proofErr w:type="spellStart"/>
      <w:r w:rsidR="00BF4AD5">
        <w:t>OzL.Pro</w:t>
      </w:r>
      <w:proofErr w:type="spellEnd"/>
      <w:r w:rsidR="00BF4AD5">
        <w:t>/</w:t>
      </w:r>
      <w:proofErr w:type="spellStart"/>
      <w:r w:rsidR="00BF4AD5">
        <w:t>ExCom</w:t>
      </w:r>
      <w:proofErr w:type="spellEnd"/>
      <w:r w:rsidR="00BF4AD5">
        <w:t>/84/38</w:t>
      </w:r>
      <w:r w:rsidR="00803813">
        <w:fldChar w:fldCharType="end"/>
      </w:r>
      <w:r w:rsidR="003919B9">
        <w:br/>
        <w:t xml:space="preserve">   </w:t>
      </w:r>
      <w:r w:rsidR="003919B9">
        <w:fldChar w:fldCharType="begin"/>
      </w:r>
      <w:r w:rsidR="003919B9">
        <w:instrText xml:space="preserve"> DOCPROPERTY "Revision date" \@ "d MMMM YYYY"  \* MERGEFORMAT </w:instrText>
      </w:r>
      <w:r w:rsidR="003919B9">
        <w:fldChar w:fldCharType="separate"/>
      </w:r>
      <w:r w:rsidR="00BB7D53">
        <w:t>20 November 2019</w:t>
      </w:r>
      <w:r w:rsidR="003919B9">
        <w:fldChar w:fldCharType="end"/>
      </w:r>
    </w:p>
    <w:p w:rsidR="003919B9" w:rsidRPr="003F73BA" w:rsidRDefault="003919B9" w:rsidP="003919B9"/>
    <w:p w:rsidR="00EE66BA" w:rsidRDefault="00EE66BA" w:rsidP="001C3C80">
      <w:pPr>
        <w:tabs>
          <w:tab w:val="left" w:pos="8280"/>
        </w:tabs>
      </w:pPr>
    </w:p>
    <w:p w:rsidR="003919B9" w:rsidRDefault="003919B9" w:rsidP="001C3C80">
      <w:pPr>
        <w:tabs>
          <w:tab w:val="left" w:pos="8280"/>
        </w:tabs>
      </w:pPr>
    </w:p>
    <w:p w:rsidR="003919B9" w:rsidRDefault="00D66982" w:rsidP="00D66982">
      <w:pPr>
        <w:tabs>
          <w:tab w:val="left" w:pos="3940"/>
        </w:tabs>
      </w:pPr>
      <w:r>
        <w:tab/>
      </w: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0E59CB" w:rsidRDefault="000E59CB" w:rsidP="001C3C80">
      <w:pPr>
        <w:tabs>
          <w:tab w:val="left" w:pos="8280"/>
        </w:tabs>
      </w:pPr>
    </w:p>
    <w:p w:rsidR="004731B8" w:rsidRDefault="004731B8" w:rsidP="001C3C80">
      <w:pPr>
        <w:tabs>
          <w:tab w:val="left" w:pos="8280"/>
        </w:tabs>
      </w:pPr>
    </w:p>
    <w:p w:rsidR="00BF4AD5" w:rsidRPr="00BF4AD5" w:rsidRDefault="00BF4AD5" w:rsidP="00D86A88">
      <w:pPr>
        <w:tabs>
          <w:tab w:val="left" w:pos="8280"/>
        </w:tabs>
        <w:rPr>
          <w:lang w:val="en-CA"/>
        </w:rPr>
      </w:pPr>
    </w:p>
    <w:p w:rsidR="00FE13C4" w:rsidRPr="00F06F75" w:rsidRDefault="00FE13C4" w:rsidP="00F06F75">
      <w:pPr>
        <w:pStyle w:val="Heading1"/>
        <w:numPr>
          <w:ilvl w:val="0"/>
          <w:numId w:val="0"/>
        </w:numPr>
        <w:jc w:val="center"/>
        <w:rPr>
          <w:b/>
          <w:caps/>
          <w:lang w:val="en-CA"/>
        </w:rPr>
      </w:pPr>
      <w:r w:rsidRPr="00F06F75">
        <w:rPr>
          <w:b/>
          <w:caps/>
          <w:lang w:val="en-CA"/>
        </w:rPr>
        <w:t>2020 core unit costs for UNDP, UNIDO and the World Bank</w:t>
      </w:r>
    </w:p>
    <w:p w:rsidR="00FE13C4" w:rsidRPr="00F06F75" w:rsidRDefault="00FE13C4" w:rsidP="00F06F75">
      <w:pPr>
        <w:pStyle w:val="StyleHeader4Para4Left0Firstline0"/>
        <w:numPr>
          <w:ilvl w:val="0"/>
          <w:numId w:val="0"/>
        </w:numPr>
        <w:rPr>
          <w:sz w:val="22"/>
          <w:u w:val="single"/>
          <w:lang w:val="en-CA"/>
        </w:rPr>
      </w:pPr>
      <w:r w:rsidRPr="00F06F75">
        <w:rPr>
          <w:sz w:val="22"/>
          <w:u w:val="single"/>
          <w:lang w:val="en-CA"/>
        </w:rPr>
        <w:t>Background</w:t>
      </w:r>
    </w:p>
    <w:p w:rsidR="00FE13C4" w:rsidRPr="00F06F75" w:rsidRDefault="00FE13C4" w:rsidP="00F06F75">
      <w:pPr>
        <w:pStyle w:val="Heading1"/>
        <w:rPr>
          <w:lang w:val="en-CA"/>
        </w:rPr>
      </w:pPr>
      <w:r w:rsidRPr="00F06F75">
        <w:rPr>
          <w:lang w:val="en-CA"/>
        </w:rPr>
        <w:t>This document assesses the 2020 core unit costs requests and administrative cost</w:t>
      </w:r>
      <w:r w:rsidRPr="00F06F75">
        <w:rPr>
          <w:rStyle w:val="FootnoteReference"/>
          <w:lang w:val="en-CA"/>
        </w:rPr>
        <w:footnoteReference w:id="1"/>
      </w:r>
      <w:r w:rsidRPr="00F06F75">
        <w:rPr>
          <w:lang w:val="en-CA"/>
        </w:rPr>
        <w:t xml:space="preserve"> requirements from UNDP, UNIDO and the World Bank; provides an assessment of the extent to which resources available for total administrative costs in 2020 could cover expected 2020 costs; and </w:t>
      </w:r>
      <w:r w:rsidR="00B26BAF" w:rsidRPr="00F06F75">
        <w:rPr>
          <w:lang w:val="en-CA"/>
        </w:rPr>
        <w:t xml:space="preserve">presents </w:t>
      </w:r>
      <w:r w:rsidR="00BB7D53" w:rsidRPr="00F06F75">
        <w:rPr>
          <w:lang w:val="en-CA"/>
        </w:rPr>
        <w:t>a</w:t>
      </w:r>
      <w:r w:rsidRPr="00F06F75">
        <w:rPr>
          <w:lang w:val="en-CA"/>
        </w:rPr>
        <w:t xml:space="preserve"> recommendation. </w:t>
      </w:r>
    </w:p>
    <w:p w:rsidR="00FE13C4" w:rsidRPr="00F06F75" w:rsidRDefault="00630DD6" w:rsidP="00F06F75">
      <w:pPr>
        <w:pStyle w:val="Heading1"/>
        <w:rPr>
          <w:lang w:val="en-CA"/>
        </w:rPr>
      </w:pPr>
      <w:r w:rsidRPr="00F06F75">
        <w:rPr>
          <w:lang w:val="en-CA"/>
        </w:rPr>
        <w:t>T</w:t>
      </w:r>
      <w:r w:rsidR="00FE13C4" w:rsidRPr="00F06F75">
        <w:rPr>
          <w:lang w:val="en-CA"/>
        </w:rPr>
        <w:t>he</w:t>
      </w:r>
      <w:r w:rsidRPr="00F06F75">
        <w:rPr>
          <w:lang w:val="en-CA"/>
        </w:rPr>
        <w:t xml:space="preserve"> </w:t>
      </w:r>
      <w:r w:rsidR="00FE13C4" w:rsidRPr="00F06F75">
        <w:rPr>
          <w:lang w:val="en-CA"/>
        </w:rPr>
        <w:t>Executive Committee approved the requests for core unit funding for 2019 as follows: US $</w:t>
      </w:r>
      <w:r w:rsidR="00FE13C4" w:rsidRPr="00F06F75">
        <w:t xml:space="preserve">2,083,871 </w:t>
      </w:r>
      <w:r w:rsidR="00FE13C4" w:rsidRPr="00F06F75">
        <w:rPr>
          <w:lang w:val="en-CA"/>
        </w:rPr>
        <w:t>for UNDP; US $</w:t>
      </w:r>
      <w:r w:rsidR="00FE13C4" w:rsidRPr="00F06F75">
        <w:t xml:space="preserve">2,083,871 </w:t>
      </w:r>
      <w:r w:rsidR="00FE13C4" w:rsidRPr="00F06F75">
        <w:rPr>
          <w:lang w:val="en-CA"/>
        </w:rPr>
        <w:t>for UNIDO; and US $1,735,0</w:t>
      </w:r>
      <w:r w:rsidR="00282924" w:rsidRPr="00F06F75">
        <w:rPr>
          <w:lang w:val="en-CA"/>
        </w:rPr>
        <w:t>00 for the World Bank (decision </w:t>
      </w:r>
      <w:r w:rsidR="00FE13C4" w:rsidRPr="00F06F75">
        <w:rPr>
          <w:lang w:val="en-CA"/>
        </w:rPr>
        <w:t>82/58(b)).</w:t>
      </w:r>
    </w:p>
    <w:p w:rsidR="00FE13C4" w:rsidRPr="00F06F75" w:rsidRDefault="00FE13C4" w:rsidP="00F06F75">
      <w:pPr>
        <w:pStyle w:val="Heading1"/>
        <w:rPr>
          <w:lang w:val="en-CA"/>
        </w:rPr>
      </w:pPr>
      <w:r w:rsidRPr="00F06F75">
        <w:rPr>
          <w:lang w:val="en-CA"/>
        </w:rPr>
        <w:lastRenderedPageBreak/>
        <w:t>The implementing agencies have provided actual core and administrative costs for 2018, estimated costs for 2019, and proposed budget for 2020. They have also used the revised format for reporting administrative costs</w:t>
      </w:r>
      <w:r w:rsidRPr="00F06F75">
        <w:rPr>
          <w:rStyle w:val="FootnoteReference"/>
          <w:lang w:val="en-CA"/>
        </w:rPr>
        <w:footnoteReference w:id="2"/>
      </w:r>
      <w:r w:rsidRPr="00F06F75">
        <w:rPr>
          <w:lang w:val="en-CA"/>
        </w:rPr>
        <w:t xml:space="preserve"> pursuant to decision 79/41(e). </w:t>
      </w:r>
    </w:p>
    <w:p w:rsidR="00FE13C4" w:rsidRPr="00F06F75" w:rsidRDefault="00FE13C4" w:rsidP="00F06F75">
      <w:pPr>
        <w:spacing w:after="240"/>
        <w:rPr>
          <w:b/>
          <w:lang w:val="en-CA"/>
        </w:rPr>
      </w:pPr>
      <w:r w:rsidRPr="00F06F75">
        <w:rPr>
          <w:b/>
          <w:lang w:val="en-CA"/>
        </w:rPr>
        <w:t>UNDP</w:t>
      </w:r>
    </w:p>
    <w:p w:rsidR="00FE13C4" w:rsidRPr="00F06F75" w:rsidRDefault="00FE13C4" w:rsidP="00F06F75">
      <w:pPr>
        <w:pStyle w:val="Heading1"/>
        <w:rPr>
          <w:lang w:val="en-CA"/>
        </w:rPr>
      </w:pPr>
      <w:r w:rsidRPr="00F06F75">
        <w:rPr>
          <w:lang w:val="en-CA"/>
        </w:rPr>
        <w:t>Table 1 presents the core unit budget and other information on administrative costs provided by UNDP.</w:t>
      </w:r>
    </w:p>
    <w:p w:rsidR="00FE13C4" w:rsidRPr="00F06F75" w:rsidRDefault="00FE13C4" w:rsidP="00F06F75">
      <w:pPr>
        <w:keepNext/>
        <w:keepLines/>
        <w:rPr>
          <w:b/>
          <w:caps/>
          <w:lang w:val="en-CA"/>
        </w:rPr>
      </w:pPr>
      <w:r w:rsidRPr="00F06F75">
        <w:rPr>
          <w:b/>
          <w:lang w:val="en-CA"/>
        </w:rPr>
        <w:t>Table 1: Core unit budget data and other administrative costs for the years 2011</w:t>
      </w:r>
      <w:r w:rsidRPr="00F06F75">
        <w:rPr>
          <w:b/>
          <w:caps/>
          <w:lang w:val="en-CA"/>
        </w:rPr>
        <w:t>-2020</w:t>
      </w:r>
      <w:r w:rsidRPr="00F06F75">
        <w:rPr>
          <w:b/>
          <w:lang w:val="en-CA"/>
        </w:rPr>
        <w:t xml:space="preserve"> for UNDP </w:t>
      </w:r>
      <w:r w:rsidRPr="00F06F75">
        <w:rPr>
          <w:b/>
          <w:caps/>
          <w:lang w:val="en-CA"/>
        </w:rPr>
        <w:t>(us $)</w:t>
      </w:r>
    </w:p>
    <w:tbl>
      <w:tblPr>
        <w:tblW w:w="10915" w:type="dxa"/>
        <w:tblInd w:w="-572" w:type="dxa"/>
        <w:tblLayout w:type="fixed"/>
        <w:tblLook w:val="04A0" w:firstRow="1" w:lastRow="0" w:firstColumn="1" w:lastColumn="0" w:noHBand="0" w:noVBand="1"/>
      </w:tblPr>
      <w:tblGrid>
        <w:gridCol w:w="1560"/>
        <w:gridCol w:w="850"/>
        <w:gridCol w:w="851"/>
        <w:gridCol w:w="850"/>
        <w:gridCol w:w="851"/>
        <w:gridCol w:w="850"/>
        <w:gridCol w:w="851"/>
        <w:gridCol w:w="850"/>
        <w:gridCol w:w="850"/>
        <w:gridCol w:w="846"/>
        <w:gridCol w:w="851"/>
        <w:gridCol w:w="855"/>
      </w:tblGrid>
      <w:tr w:rsidR="00F06F75" w:rsidRPr="00F06F75" w:rsidTr="007903E7">
        <w:trPr>
          <w:trHeight w:val="58"/>
          <w:tblHeader/>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E13C4" w:rsidRPr="00F06F75" w:rsidRDefault="00FE13C4" w:rsidP="00F06F75">
            <w:pPr>
              <w:rPr>
                <w:b/>
                <w:bCs/>
                <w:sz w:val="16"/>
                <w:szCs w:val="16"/>
                <w:lang w:val="en-CA" w:eastAsia="en-CA"/>
              </w:rPr>
            </w:pPr>
            <w:r w:rsidRPr="00F06F75">
              <w:rPr>
                <w:b/>
                <w:bCs/>
                <w:sz w:val="16"/>
                <w:szCs w:val="16"/>
                <w:lang w:val="en-CA" w:eastAsia="en-CA"/>
              </w:rPr>
              <w:t>Cost item</w:t>
            </w:r>
          </w:p>
        </w:tc>
        <w:tc>
          <w:tcPr>
            <w:tcW w:w="850" w:type="dxa"/>
            <w:tcBorders>
              <w:top w:val="single" w:sz="4" w:space="0" w:color="auto"/>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2011</w:t>
            </w:r>
          </w:p>
        </w:tc>
        <w:tc>
          <w:tcPr>
            <w:tcW w:w="851" w:type="dxa"/>
            <w:tcBorders>
              <w:top w:val="single" w:sz="4" w:space="0" w:color="auto"/>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2012</w:t>
            </w:r>
          </w:p>
        </w:tc>
        <w:tc>
          <w:tcPr>
            <w:tcW w:w="850" w:type="dxa"/>
            <w:tcBorders>
              <w:top w:val="single" w:sz="4" w:space="0" w:color="auto"/>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2013</w:t>
            </w:r>
          </w:p>
        </w:tc>
        <w:tc>
          <w:tcPr>
            <w:tcW w:w="851" w:type="dxa"/>
            <w:tcBorders>
              <w:top w:val="single" w:sz="4" w:space="0" w:color="auto"/>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2014</w:t>
            </w:r>
          </w:p>
        </w:tc>
        <w:tc>
          <w:tcPr>
            <w:tcW w:w="850" w:type="dxa"/>
            <w:tcBorders>
              <w:top w:val="single" w:sz="4" w:space="0" w:color="auto"/>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2015</w:t>
            </w:r>
          </w:p>
        </w:tc>
        <w:tc>
          <w:tcPr>
            <w:tcW w:w="851" w:type="dxa"/>
            <w:tcBorders>
              <w:top w:val="single" w:sz="4" w:space="0" w:color="auto"/>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2016</w:t>
            </w:r>
          </w:p>
        </w:tc>
        <w:tc>
          <w:tcPr>
            <w:tcW w:w="850" w:type="dxa"/>
            <w:tcBorders>
              <w:top w:val="single" w:sz="4" w:space="0" w:color="auto"/>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2017</w:t>
            </w:r>
          </w:p>
        </w:tc>
        <w:tc>
          <w:tcPr>
            <w:tcW w:w="850" w:type="dxa"/>
            <w:tcBorders>
              <w:top w:val="single" w:sz="4" w:space="0" w:color="auto"/>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2018</w:t>
            </w:r>
          </w:p>
        </w:tc>
        <w:tc>
          <w:tcPr>
            <w:tcW w:w="1697" w:type="dxa"/>
            <w:gridSpan w:val="2"/>
            <w:tcBorders>
              <w:top w:val="single" w:sz="4" w:space="0" w:color="auto"/>
              <w:left w:val="nil"/>
              <w:bottom w:val="single" w:sz="4" w:space="0" w:color="auto"/>
              <w:right w:val="single" w:sz="4" w:space="0" w:color="000000"/>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2019</w:t>
            </w:r>
          </w:p>
        </w:tc>
        <w:tc>
          <w:tcPr>
            <w:tcW w:w="855" w:type="dxa"/>
            <w:tcBorders>
              <w:top w:val="single" w:sz="4" w:space="0" w:color="auto"/>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2020</w:t>
            </w:r>
          </w:p>
        </w:tc>
      </w:tr>
      <w:tr w:rsidR="00F06F75" w:rsidRPr="00F06F75" w:rsidTr="007903E7">
        <w:trPr>
          <w:trHeight w:val="121"/>
          <w:tblHead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E13C4" w:rsidRPr="00F06F75" w:rsidRDefault="00FE13C4" w:rsidP="00F06F75">
            <w:pPr>
              <w:jc w:val="left"/>
              <w:rPr>
                <w:b/>
                <w:bCs/>
                <w:sz w:val="16"/>
                <w:szCs w:val="16"/>
                <w:lang w:val="en-CA" w:eastAsia="en-CA"/>
              </w:rPr>
            </w:pP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Actual</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Actual</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Actual</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Actual</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Actual</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Actual</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Actual</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Actual</w:t>
            </w:r>
          </w:p>
        </w:tc>
        <w:tc>
          <w:tcPr>
            <w:tcW w:w="84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Budget</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1" w:right="-114"/>
              <w:jc w:val="center"/>
              <w:rPr>
                <w:b/>
                <w:bCs/>
                <w:sz w:val="16"/>
                <w:szCs w:val="16"/>
                <w:lang w:val="en-CA" w:eastAsia="en-CA"/>
              </w:rPr>
            </w:pPr>
            <w:r w:rsidRPr="00F06F75">
              <w:rPr>
                <w:b/>
                <w:bCs/>
                <w:sz w:val="16"/>
                <w:szCs w:val="16"/>
                <w:lang w:val="en-CA" w:eastAsia="en-CA"/>
              </w:rPr>
              <w:t>Estimated</w:t>
            </w:r>
          </w:p>
        </w:tc>
        <w:tc>
          <w:tcPr>
            <w:tcW w:w="855"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2" w:right="-112"/>
              <w:jc w:val="center"/>
              <w:rPr>
                <w:b/>
                <w:bCs/>
                <w:sz w:val="16"/>
                <w:szCs w:val="16"/>
                <w:lang w:val="en-CA" w:eastAsia="en-CA"/>
              </w:rPr>
            </w:pPr>
            <w:r w:rsidRPr="00F06F75">
              <w:rPr>
                <w:b/>
                <w:bCs/>
                <w:sz w:val="16"/>
                <w:szCs w:val="16"/>
                <w:lang w:val="en-CA" w:eastAsia="en-CA"/>
              </w:rPr>
              <w:t>Proposed</w:t>
            </w:r>
          </w:p>
        </w:tc>
      </w:tr>
      <w:tr w:rsidR="00F06F75" w:rsidRPr="00F06F75" w:rsidTr="007903E7">
        <w:trPr>
          <w:trHeight w:val="66"/>
        </w:trPr>
        <w:tc>
          <w:tcPr>
            <w:tcW w:w="10915"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FE13C4" w:rsidRPr="00F06F75" w:rsidRDefault="00FE13C4" w:rsidP="00F06F75">
            <w:pPr>
              <w:jc w:val="left"/>
              <w:rPr>
                <w:b/>
                <w:bCs/>
                <w:sz w:val="16"/>
                <w:szCs w:val="16"/>
                <w:lang w:val="en-CA" w:eastAsia="en-CA"/>
              </w:rPr>
            </w:pPr>
            <w:r w:rsidRPr="00F06F75">
              <w:rPr>
                <w:b/>
                <w:bCs/>
                <w:sz w:val="16"/>
                <w:szCs w:val="16"/>
                <w:lang w:val="en-CA" w:eastAsia="en-CA"/>
              </w:rPr>
              <w:t>A. Core unit</w:t>
            </w:r>
          </w:p>
        </w:tc>
      </w:tr>
      <w:tr w:rsidR="00F06F75" w:rsidRPr="00F06F75" w:rsidTr="007903E7">
        <w:trPr>
          <w:trHeight w:val="310"/>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Core unit personnel and contractual staff</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1"/>
              <w:jc w:val="right"/>
              <w:rPr>
                <w:sz w:val="16"/>
                <w:szCs w:val="16"/>
                <w:lang w:val="en-CA" w:eastAsia="en-CA"/>
              </w:rPr>
            </w:pPr>
            <w:r w:rsidRPr="00F06F75">
              <w:rPr>
                <w:sz w:val="16"/>
                <w:szCs w:val="16"/>
                <w:lang w:val="en-CA" w:eastAsia="en-CA"/>
              </w:rPr>
              <w:t>1,912,090</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3"/>
              <w:jc w:val="right"/>
              <w:rPr>
                <w:sz w:val="16"/>
                <w:szCs w:val="16"/>
                <w:lang w:val="en-CA" w:eastAsia="en-CA"/>
              </w:rPr>
            </w:pPr>
            <w:r w:rsidRPr="00F06F75">
              <w:rPr>
                <w:sz w:val="16"/>
                <w:szCs w:val="16"/>
                <w:lang w:val="en-CA" w:eastAsia="en-CA"/>
              </w:rPr>
              <w:t>2,171,918</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398" w:firstLine="153"/>
              <w:jc w:val="right"/>
              <w:rPr>
                <w:sz w:val="16"/>
                <w:szCs w:val="16"/>
                <w:lang w:val="en-CA" w:eastAsia="en-CA"/>
              </w:rPr>
            </w:pPr>
            <w:r w:rsidRPr="00F06F75">
              <w:rPr>
                <w:sz w:val="16"/>
                <w:szCs w:val="16"/>
                <w:lang w:val="en-CA" w:eastAsia="en-CA"/>
              </w:rPr>
              <w:t>2,076,816</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4"/>
              <w:jc w:val="right"/>
              <w:rPr>
                <w:sz w:val="16"/>
                <w:szCs w:val="16"/>
                <w:lang w:val="en-CA" w:eastAsia="en-CA"/>
              </w:rPr>
            </w:pPr>
            <w:r w:rsidRPr="00F06F75">
              <w:rPr>
                <w:sz w:val="16"/>
                <w:szCs w:val="16"/>
                <w:lang w:val="en-CA" w:eastAsia="en-CA"/>
              </w:rPr>
              <w:t>2,050,914</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5"/>
              <w:jc w:val="right"/>
              <w:rPr>
                <w:sz w:val="16"/>
                <w:szCs w:val="16"/>
                <w:lang w:val="en-CA" w:eastAsia="en-CA"/>
              </w:rPr>
            </w:pPr>
            <w:r w:rsidRPr="00F06F75">
              <w:rPr>
                <w:sz w:val="16"/>
                <w:szCs w:val="16"/>
                <w:lang w:val="en-CA" w:eastAsia="en-CA"/>
              </w:rPr>
              <w:t>1,991,859</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7"/>
              <w:jc w:val="right"/>
              <w:rPr>
                <w:sz w:val="16"/>
                <w:szCs w:val="16"/>
                <w:lang w:val="en-CA" w:eastAsia="en-CA"/>
              </w:rPr>
            </w:pPr>
            <w:r w:rsidRPr="00F06F75">
              <w:rPr>
                <w:sz w:val="16"/>
                <w:szCs w:val="16"/>
                <w:lang w:val="en-CA" w:eastAsia="en-CA"/>
              </w:rPr>
              <w:t>2,043,505</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86"/>
              <w:jc w:val="right"/>
              <w:rPr>
                <w:sz w:val="16"/>
                <w:szCs w:val="16"/>
                <w:lang w:val="en-CA" w:eastAsia="en-CA"/>
              </w:rPr>
            </w:pPr>
            <w:r w:rsidRPr="00F06F75">
              <w:rPr>
                <w:sz w:val="16"/>
                <w:szCs w:val="16"/>
                <w:lang w:val="en-CA" w:eastAsia="en-CA"/>
              </w:rPr>
              <w:t>2,305,838</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0"/>
              <w:jc w:val="right"/>
              <w:rPr>
                <w:sz w:val="16"/>
                <w:szCs w:val="16"/>
                <w:lang w:val="en-CA" w:eastAsia="en-CA"/>
              </w:rPr>
            </w:pPr>
            <w:r w:rsidRPr="00F06F75">
              <w:rPr>
                <w:sz w:val="16"/>
                <w:szCs w:val="16"/>
                <w:lang w:val="en-CA" w:eastAsia="en-CA"/>
              </w:rPr>
              <w:t>2,375,437</w:t>
            </w:r>
          </w:p>
        </w:tc>
        <w:tc>
          <w:tcPr>
            <w:tcW w:w="846"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1"/>
              <w:jc w:val="right"/>
              <w:rPr>
                <w:sz w:val="16"/>
                <w:szCs w:val="16"/>
                <w:lang w:val="en-CA" w:eastAsia="en-CA"/>
              </w:rPr>
            </w:pPr>
            <w:r w:rsidRPr="00F06F75">
              <w:rPr>
                <w:sz w:val="16"/>
                <w:szCs w:val="16"/>
                <w:lang w:val="en-CA" w:eastAsia="en-CA"/>
              </w:rPr>
              <w:t>2,446,264</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1"/>
              <w:jc w:val="right"/>
              <w:rPr>
                <w:sz w:val="16"/>
                <w:szCs w:val="16"/>
                <w:lang w:val="en-CA" w:eastAsia="en-CA"/>
              </w:rPr>
            </w:pPr>
            <w:r w:rsidRPr="00F06F75">
              <w:rPr>
                <w:sz w:val="16"/>
                <w:szCs w:val="16"/>
                <w:lang w:val="en-CA" w:eastAsia="en-CA"/>
              </w:rPr>
              <w:t>2,446,700</w:t>
            </w:r>
          </w:p>
        </w:tc>
        <w:tc>
          <w:tcPr>
            <w:tcW w:w="855"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2"/>
              <w:jc w:val="right"/>
              <w:rPr>
                <w:sz w:val="16"/>
                <w:szCs w:val="16"/>
                <w:lang w:val="en-CA" w:eastAsia="en-CA"/>
              </w:rPr>
            </w:pPr>
            <w:r w:rsidRPr="00F06F75">
              <w:rPr>
                <w:sz w:val="16"/>
                <w:szCs w:val="16"/>
                <w:lang w:val="en-CA" w:eastAsia="en-CA"/>
              </w:rPr>
              <w:t>2,520,101</w:t>
            </w:r>
          </w:p>
        </w:tc>
      </w:tr>
      <w:tr w:rsidR="00F06F75" w:rsidRPr="00F06F75" w:rsidTr="007903E7">
        <w:trPr>
          <w:trHeight w:val="344"/>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Travel (staff and consultant</w:t>
            </w:r>
            <w:r w:rsidR="007903E7" w:rsidRPr="00F06F75">
              <w:rPr>
                <w:sz w:val="16"/>
                <w:szCs w:val="16"/>
                <w:lang w:val="en-CA" w:eastAsia="en-CA"/>
              </w:rPr>
              <w:t>s</w:t>
            </w:r>
            <w:r w:rsidRPr="00F06F75">
              <w:rPr>
                <w:sz w:val="16"/>
                <w:szCs w:val="16"/>
                <w:lang w:val="en-CA" w:eastAsia="en-CA"/>
              </w:rPr>
              <w:t>)</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276,818</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261,674</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249,131</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163,639</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168,418</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155,061</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173,099</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176,170</w:t>
            </w:r>
          </w:p>
        </w:tc>
        <w:tc>
          <w:tcPr>
            <w:tcW w:w="84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190,841</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184,978</w:t>
            </w:r>
          </w:p>
        </w:tc>
        <w:tc>
          <w:tcPr>
            <w:tcW w:w="855"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194,227</w:t>
            </w:r>
          </w:p>
        </w:tc>
      </w:tr>
      <w:tr w:rsidR="00F06F75" w:rsidRPr="00F06F75" w:rsidTr="007903E7">
        <w:trPr>
          <w:trHeight w:val="251"/>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Space (rent and common costs)</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103,991</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104,805</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101,236</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105,219</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109,380</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159,872</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162,982</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164,998</w:t>
            </w:r>
          </w:p>
        </w:tc>
        <w:tc>
          <w:tcPr>
            <w:tcW w:w="84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179,688</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173,248</w:t>
            </w:r>
          </w:p>
        </w:tc>
        <w:tc>
          <w:tcPr>
            <w:tcW w:w="855"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181,910</w:t>
            </w:r>
          </w:p>
        </w:tc>
      </w:tr>
      <w:tr w:rsidR="00F06F75" w:rsidRPr="00F06F75" w:rsidTr="007903E7">
        <w:trPr>
          <w:trHeight w:val="720"/>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Equipment supplies and other costs (computers, supplies, etc.)</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28,285</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25,052</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17,781</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16,967</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19,442</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16,485</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9,196</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12,146</w:t>
            </w:r>
          </w:p>
        </w:tc>
        <w:tc>
          <w:tcPr>
            <w:tcW w:w="84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20,000</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15,000</w:t>
            </w:r>
          </w:p>
        </w:tc>
        <w:tc>
          <w:tcPr>
            <w:tcW w:w="855"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20,000</w:t>
            </w:r>
          </w:p>
        </w:tc>
      </w:tr>
      <w:tr w:rsidR="00F06F75" w:rsidRPr="00F06F75" w:rsidTr="007903E7">
        <w:trPr>
          <w:trHeight w:val="267"/>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Contractual services (firms)</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18,461</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22,955</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16,175</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24,547</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13,510</w:t>
            </w:r>
          </w:p>
        </w:tc>
        <w:tc>
          <w:tcPr>
            <w:tcW w:w="84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25,000</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25,000</w:t>
            </w:r>
          </w:p>
        </w:tc>
        <w:tc>
          <w:tcPr>
            <w:tcW w:w="855"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25,000</w:t>
            </w:r>
          </w:p>
        </w:tc>
      </w:tr>
      <w:tr w:rsidR="00F06F75" w:rsidRPr="00F06F75" w:rsidTr="007903E7">
        <w:trPr>
          <w:trHeight w:val="480"/>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Reimbursement of central services for core unit staff</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389,935</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258,332</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384,704</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311,137</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317,160</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251,317</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308,375</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381,004</w:t>
            </w:r>
          </w:p>
        </w:tc>
        <w:tc>
          <w:tcPr>
            <w:tcW w:w="84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350,000</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350,000</w:t>
            </w:r>
          </w:p>
        </w:tc>
        <w:tc>
          <w:tcPr>
            <w:tcW w:w="855"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350,000</w:t>
            </w:r>
          </w:p>
        </w:tc>
      </w:tr>
      <w:tr w:rsidR="00F06F75" w:rsidRPr="00F06F75" w:rsidTr="007903E7">
        <w:trPr>
          <w:trHeight w:val="480"/>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Adjustments (+ = underuse and - = overrun)</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-740,353</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-837,220</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-849,676</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-658,389</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-595,905</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-585,526</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-929,036</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0"/>
              <w:jc w:val="right"/>
              <w:rPr>
                <w:sz w:val="16"/>
                <w:szCs w:val="16"/>
                <w:lang w:val="en-CA" w:eastAsia="en-CA"/>
              </w:rPr>
            </w:pPr>
            <w:r w:rsidRPr="00F06F75">
              <w:rPr>
                <w:sz w:val="16"/>
                <w:szCs w:val="16"/>
                <w:lang w:val="en-CA" w:eastAsia="en-CA"/>
              </w:rPr>
              <w:t>-1,053,880</w:t>
            </w:r>
          </w:p>
        </w:tc>
        <w:tc>
          <w:tcPr>
            <w:tcW w:w="846"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1"/>
              <w:jc w:val="right"/>
              <w:rPr>
                <w:sz w:val="16"/>
                <w:szCs w:val="16"/>
                <w:lang w:val="en-CA" w:eastAsia="en-CA"/>
              </w:rPr>
            </w:pPr>
            <w:r w:rsidRPr="00F06F75">
              <w:rPr>
                <w:sz w:val="16"/>
                <w:szCs w:val="16"/>
                <w:lang w:val="en-CA" w:eastAsia="en-CA"/>
              </w:rPr>
              <w:t>-1,127,921</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1"/>
              <w:jc w:val="right"/>
              <w:rPr>
                <w:sz w:val="16"/>
                <w:szCs w:val="16"/>
                <w:lang w:val="en-CA" w:eastAsia="en-CA"/>
              </w:rPr>
            </w:pPr>
            <w:r w:rsidRPr="00F06F75">
              <w:rPr>
                <w:sz w:val="16"/>
                <w:szCs w:val="16"/>
                <w:lang w:val="en-CA" w:eastAsia="en-CA"/>
              </w:rPr>
              <w:t>-1,111,056</w:t>
            </w:r>
          </w:p>
        </w:tc>
        <w:tc>
          <w:tcPr>
            <w:tcW w:w="855"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2"/>
              <w:jc w:val="right"/>
              <w:rPr>
                <w:sz w:val="16"/>
                <w:szCs w:val="16"/>
                <w:lang w:val="en-CA" w:eastAsia="en-CA"/>
              </w:rPr>
            </w:pPr>
            <w:r w:rsidRPr="00F06F75">
              <w:rPr>
                <w:sz w:val="16"/>
                <w:szCs w:val="16"/>
                <w:lang w:val="en-CA" w:eastAsia="en-CA"/>
              </w:rPr>
              <w:t>-1,192,781</w:t>
            </w:r>
          </w:p>
        </w:tc>
      </w:tr>
      <w:tr w:rsidR="00F06F75" w:rsidRPr="00F06F75" w:rsidTr="007903E7">
        <w:trPr>
          <w:trHeight w:val="58"/>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Return of funds (- = returned funds)</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0 </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0 </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0 </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0 </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0 </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0 </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4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5"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r>
      <w:tr w:rsidR="00F06F75" w:rsidRPr="00F06F75" w:rsidTr="007903E7">
        <w:trPr>
          <w:trHeight w:val="222"/>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b/>
                <w:bCs/>
                <w:sz w:val="16"/>
                <w:szCs w:val="16"/>
                <w:lang w:val="en-CA" w:eastAsia="en-CA"/>
              </w:rPr>
            </w:pPr>
            <w:r w:rsidRPr="00F06F75">
              <w:rPr>
                <w:b/>
                <w:bCs/>
                <w:sz w:val="16"/>
                <w:szCs w:val="16"/>
                <w:lang w:val="en-CA" w:eastAsia="en-CA"/>
              </w:rPr>
              <w:t>A. Sub-total core unit costs*</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1"/>
              <w:jc w:val="right"/>
              <w:rPr>
                <w:b/>
                <w:bCs/>
                <w:sz w:val="16"/>
                <w:szCs w:val="16"/>
                <w:lang w:val="en-CA" w:eastAsia="en-CA"/>
              </w:rPr>
            </w:pPr>
            <w:r w:rsidRPr="00F06F75">
              <w:rPr>
                <w:b/>
                <w:bCs/>
                <w:sz w:val="16"/>
                <w:szCs w:val="16"/>
                <w:lang w:val="en-CA" w:eastAsia="en-CA"/>
              </w:rPr>
              <w:t>1,970,766</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3"/>
              <w:jc w:val="right"/>
              <w:rPr>
                <w:b/>
                <w:bCs/>
                <w:sz w:val="16"/>
                <w:szCs w:val="16"/>
                <w:lang w:val="en-CA" w:eastAsia="en-CA"/>
              </w:rPr>
            </w:pPr>
            <w:r w:rsidRPr="00F06F75">
              <w:rPr>
                <w:b/>
                <w:bCs/>
                <w:sz w:val="16"/>
                <w:szCs w:val="16"/>
                <w:lang w:val="en-CA" w:eastAsia="en-CA"/>
              </w:rPr>
              <w:t>1,984,561</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4"/>
              <w:jc w:val="right"/>
              <w:rPr>
                <w:b/>
                <w:bCs/>
                <w:sz w:val="16"/>
                <w:szCs w:val="16"/>
                <w:lang w:val="en-CA" w:eastAsia="en-CA"/>
              </w:rPr>
            </w:pPr>
            <w:r w:rsidRPr="00F06F75">
              <w:rPr>
                <w:b/>
                <w:bCs/>
                <w:sz w:val="16"/>
                <w:szCs w:val="16"/>
                <w:lang w:val="en-CA" w:eastAsia="en-CA"/>
              </w:rPr>
              <w:t>1,998,453</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4"/>
              <w:jc w:val="right"/>
              <w:rPr>
                <w:b/>
                <w:bCs/>
                <w:sz w:val="16"/>
                <w:szCs w:val="16"/>
                <w:lang w:val="en-CA" w:eastAsia="en-CA"/>
              </w:rPr>
            </w:pPr>
            <w:r w:rsidRPr="00F06F75">
              <w:rPr>
                <w:b/>
                <w:bCs/>
                <w:sz w:val="16"/>
                <w:szCs w:val="16"/>
                <w:lang w:val="en-CA" w:eastAsia="en-CA"/>
              </w:rPr>
              <w:t>2,012,442</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5"/>
              <w:jc w:val="right"/>
              <w:rPr>
                <w:b/>
                <w:bCs/>
                <w:sz w:val="16"/>
                <w:szCs w:val="16"/>
                <w:lang w:val="en-CA" w:eastAsia="en-CA"/>
              </w:rPr>
            </w:pPr>
            <w:r w:rsidRPr="00F06F75">
              <w:rPr>
                <w:b/>
                <w:bCs/>
                <w:sz w:val="16"/>
                <w:szCs w:val="16"/>
                <w:lang w:val="en-CA" w:eastAsia="en-CA"/>
              </w:rPr>
              <w:t>2,026,529</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7"/>
              <w:jc w:val="right"/>
              <w:rPr>
                <w:b/>
                <w:bCs/>
                <w:sz w:val="16"/>
                <w:szCs w:val="16"/>
                <w:lang w:val="en-CA" w:eastAsia="en-CA"/>
              </w:rPr>
            </w:pPr>
            <w:r w:rsidRPr="00F06F75">
              <w:rPr>
                <w:b/>
                <w:bCs/>
                <w:sz w:val="16"/>
                <w:szCs w:val="16"/>
                <w:lang w:val="en-CA" w:eastAsia="en-CA"/>
              </w:rPr>
              <w:t>2,040,715</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8"/>
              <w:jc w:val="right"/>
              <w:rPr>
                <w:b/>
                <w:bCs/>
                <w:sz w:val="16"/>
                <w:szCs w:val="16"/>
                <w:lang w:val="en-CA" w:eastAsia="en-CA"/>
              </w:rPr>
            </w:pPr>
            <w:r w:rsidRPr="00F06F75">
              <w:rPr>
                <w:b/>
                <w:bCs/>
                <w:sz w:val="16"/>
                <w:szCs w:val="16"/>
                <w:lang w:val="en-CA" w:eastAsia="en-CA"/>
              </w:rPr>
              <w:t>2,055,000</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0"/>
              <w:jc w:val="right"/>
              <w:rPr>
                <w:b/>
                <w:bCs/>
                <w:sz w:val="16"/>
                <w:szCs w:val="16"/>
                <w:lang w:val="en-CA" w:eastAsia="en-CA"/>
              </w:rPr>
            </w:pPr>
            <w:r w:rsidRPr="00F06F75">
              <w:rPr>
                <w:b/>
                <w:bCs/>
                <w:sz w:val="16"/>
                <w:szCs w:val="16"/>
                <w:lang w:val="en-CA" w:eastAsia="en-CA"/>
              </w:rPr>
              <w:t>2,069,385</w:t>
            </w:r>
          </w:p>
        </w:tc>
        <w:tc>
          <w:tcPr>
            <w:tcW w:w="846"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1"/>
              <w:jc w:val="right"/>
              <w:rPr>
                <w:b/>
                <w:bCs/>
                <w:sz w:val="16"/>
                <w:szCs w:val="16"/>
                <w:lang w:val="en-CA" w:eastAsia="en-CA"/>
              </w:rPr>
            </w:pPr>
            <w:r w:rsidRPr="00F06F75">
              <w:rPr>
                <w:b/>
                <w:bCs/>
                <w:sz w:val="16"/>
                <w:szCs w:val="16"/>
                <w:lang w:val="en-CA" w:eastAsia="en-CA"/>
              </w:rPr>
              <w:t>2,083,871</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243"/>
              <w:jc w:val="right"/>
              <w:rPr>
                <w:b/>
                <w:bCs/>
                <w:sz w:val="16"/>
                <w:szCs w:val="16"/>
                <w:lang w:val="en-CA" w:eastAsia="en-CA"/>
              </w:rPr>
            </w:pPr>
            <w:r w:rsidRPr="00F06F75">
              <w:rPr>
                <w:b/>
                <w:bCs/>
                <w:sz w:val="16"/>
                <w:szCs w:val="16"/>
                <w:lang w:val="en-CA" w:eastAsia="en-CA"/>
              </w:rPr>
              <w:t>2,083,871</w:t>
            </w:r>
          </w:p>
        </w:tc>
        <w:tc>
          <w:tcPr>
            <w:tcW w:w="855"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2"/>
              <w:jc w:val="right"/>
              <w:rPr>
                <w:b/>
                <w:bCs/>
                <w:sz w:val="16"/>
                <w:szCs w:val="16"/>
                <w:lang w:val="en-CA" w:eastAsia="en-CA"/>
              </w:rPr>
            </w:pPr>
            <w:r w:rsidRPr="00F06F75">
              <w:rPr>
                <w:b/>
                <w:bCs/>
                <w:sz w:val="16"/>
                <w:szCs w:val="16"/>
                <w:lang w:val="en-CA" w:eastAsia="en-CA"/>
              </w:rPr>
              <w:t>2,098,458</w:t>
            </w:r>
          </w:p>
        </w:tc>
      </w:tr>
      <w:tr w:rsidR="00F06F75" w:rsidRPr="00F06F75" w:rsidTr="007903E7">
        <w:trPr>
          <w:trHeight w:val="129"/>
        </w:trPr>
        <w:tc>
          <w:tcPr>
            <w:tcW w:w="10915"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FE13C4" w:rsidRPr="00F06F75" w:rsidRDefault="00FE13C4" w:rsidP="00F06F75">
            <w:pPr>
              <w:jc w:val="left"/>
              <w:rPr>
                <w:b/>
                <w:bCs/>
                <w:sz w:val="16"/>
                <w:szCs w:val="16"/>
                <w:lang w:val="en-CA" w:eastAsia="en-CA"/>
              </w:rPr>
            </w:pPr>
            <w:r w:rsidRPr="00F06F75">
              <w:rPr>
                <w:b/>
                <w:bCs/>
                <w:sz w:val="16"/>
                <w:szCs w:val="16"/>
                <w:lang w:val="en-CA" w:eastAsia="en-CA"/>
              </w:rPr>
              <w:t>B. Agency support costs/implementation</w:t>
            </w:r>
          </w:p>
        </w:tc>
      </w:tr>
      <w:tr w:rsidR="00F06F75" w:rsidRPr="00F06F75" w:rsidTr="007903E7">
        <w:trPr>
          <w:trHeight w:val="514"/>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Reimbursement of country offices and national execution, including overheads</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1"/>
              <w:jc w:val="right"/>
              <w:rPr>
                <w:sz w:val="16"/>
                <w:szCs w:val="16"/>
                <w:lang w:val="en-CA" w:eastAsia="en-CA"/>
              </w:rPr>
            </w:pPr>
            <w:r w:rsidRPr="00F06F75">
              <w:rPr>
                <w:sz w:val="16"/>
                <w:szCs w:val="16"/>
                <w:lang w:val="en-CA" w:eastAsia="en-CA"/>
              </w:rPr>
              <w:t>1,961,063</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3"/>
              <w:jc w:val="right"/>
              <w:rPr>
                <w:sz w:val="16"/>
                <w:szCs w:val="16"/>
                <w:lang w:val="en-CA" w:eastAsia="en-CA"/>
              </w:rPr>
            </w:pPr>
            <w:r w:rsidRPr="00F06F75">
              <w:rPr>
                <w:sz w:val="16"/>
                <w:szCs w:val="16"/>
                <w:lang w:val="en-CA" w:eastAsia="en-CA"/>
              </w:rPr>
              <w:t>1,828,279</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4"/>
              <w:jc w:val="right"/>
              <w:rPr>
                <w:sz w:val="16"/>
                <w:szCs w:val="16"/>
                <w:lang w:val="en-CA" w:eastAsia="en-CA"/>
              </w:rPr>
            </w:pPr>
            <w:r w:rsidRPr="00F06F75">
              <w:rPr>
                <w:sz w:val="16"/>
                <w:szCs w:val="16"/>
                <w:lang w:val="en-CA" w:eastAsia="en-CA"/>
              </w:rPr>
              <w:t>2,442,896</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4"/>
              <w:jc w:val="right"/>
              <w:rPr>
                <w:sz w:val="16"/>
                <w:szCs w:val="16"/>
                <w:lang w:val="en-CA" w:eastAsia="en-CA"/>
              </w:rPr>
            </w:pPr>
            <w:r w:rsidRPr="00F06F75">
              <w:rPr>
                <w:sz w:val="16"/>
                <w:szCs w:val="16"/>
                <w:lang w:val="en-CA" w:eastAsia="en-CA"/>
              </w:rPr>
              <w:t>1,694,992</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5"/>
              <w:jc w:val="right"/>
              <w:rPr>
                <w:sz w:val="16"/>
                <w:szCs w:val="16"/>
                <w:lang w:val="en-CA" w:eastAsia="en-CA"/>
              </w:rPr>
            </w:pPr>
            <w:r w:rsidRPr="00F06F75">
              <w:rPr>
                <w:sz w:val="16"/>
                <w:szCs w:val="16"/>
                <w:lang w:val="en-CA" w:eastAsia="en-CA"/>
              </w:rPr>
              <w:t>1,775,969</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7"/>
              <w:jc w:val="right"/>
              <w:rPr>
                <w:sz w:val="16"/>
                <w:szCs w:val="16"/>
                <w:lang w:val="en-CA" w:eastAsia="en-CA"/>
              </w:rPr>
            </w:pPr>
            <w:r w:rsidRPr="00F06F75">
              <w:rPr>
                <w:sz w:val="16"/>
                <w:szCs w:val="16"/>
                <w:lang w:val="en-CA" w:eastAsia="en-CA"/>
              </w:rPr>
              <w:t>1,472,814</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8"/>
              <w:jc w:val="right"/>
              <w:rPr>
                <w:sz w:val="16"/>
                <w:szCs w:val="16"/>
                <w:lang w:val="en-CA" w:eastAsia="en-CA"/>
              </w:rPr>
            </w:pPr>
            <w:r w:rsidRPr="00F06F75">
              <w:rPr>
                <w:sz w:val="16"/>
                <w:szCs w:val="16"/>
                <w:lang w:val="en-CA" w:eastAsia="en-CA"/>
              </w:rPr>
              <w:t>1,749,877</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0"/>
              <w:jc w:val="right"/>
              <w:rPr>
                <w:sz w:val="16"/>
                <w:szCs w:val="16"/>
                <w:lang w:val="en-CA" w:eastAsia="en-CA"/>
              </w:rPr>
            </w:pPr>
            <w:r w:rsidRPr="00F06F75">
              <w:rPr>
                <w:sz w:val="16"/>
                <w:szCs w:val="16"/>
                <w:lang w:val="en-CA" w:eastAsia="en-CA"/>
              </w:rPr>
              <w:t>2,214,588</w:t>
            </w:r>
          </w:p>
        </w:tc>
        <w:tc>
          <w:tcPr>
            <w:tcW w:w="846"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1"/>
              <w:jc w:val="right"/>
              <w:rPr>
                <w:sz w:val="16"/>
                <w:szCs w:val="16"/>
                <w:lang w:val="en-CA" w:eastAsia="en-CA"/>
              </w:rPr>
            </w:pPr>
            <w:r w:rsidRPr="00F06F75">
              <w:rPr>
                <w:sz w:val="16"/>
                <w:szCs w:val="16"/>
                <w:lang w:val="en-CA" w:eastAsia="en-CA"/>
              </w:rPr>
              <w:t>1,925,000</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1"/>
              <w:jc w:val="right"/>
              <w:rPr>
                <w:sz w:val="16"/>
                <w:szCs w:val="16"/>
                <w:lang w:val="en-CA" w:eastAsia="en-CA"/>
              </w:rPr>
            </w:pPr>
            <w:r w:rsidRPr="00F06F75">
              <w:rPr>
                <w:sz w:val="16"/>
                <w:szCs w:val="16"/>
                <w:lang w:val="en-CA" w:eastAsia="en-CA"/>
              </w:rPr>
              <w:t>1,925,000</w:t>
            </w:r>
          </w:p>
        </w:tc>
        <w:tc>
          <w:tcPr>
            <w:tcW w:w="855"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2"/>
              <w:jc w:val="right"/>
              <w:rPr>
                <w:sz w:val="16"/>
                <w:szCs w:val="16"/>
                <w:lang w:val="en-CA" w:eastAsia="en-CA"/>
              </w:rPr>
            </w:pPr>
            <w:r w:rsidRPr="00F06F75">
              <w:rPr>
                <w:sz w:val="16"/>
                <w:szCs w:val="16"/>
                <w:lang w:val="en-CA" w:eastAsia="en-CA"/>
              </w:rPr>
              <w:t>1,925,000</w:t>
            </w:r>
          </w:p>
        </w:tc>
      </w:tr>
      <w:tr w:rsidR="00F06F75" w:rsidRPr="00F06F75" w:rsidTr="007903E7">
        <w:trPr>
          <w:trHeight w:val="720"/>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Executing agency support cost (internal), including overheads</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27,975</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612</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4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5"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r>
      <w:tr w:rsidR="00F06F75" w:rsidRPr="00F06F75" w:rsidTr="007903E7">
        <w:trPr>
          <w:trHeight w:val="480"/>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Financial intermediaries, including overheads</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67,142</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8"/>
              <w:jc w:val="right"/>
              <w:rPr>
                <w:sz w:val="16"/>
                <w:szCs w:val="16"/>
                <w:lang w:val="en-CA" w:eastAsia="en-CA"/>
              </w:rPr>
            </w:pPr>
            <w:r w:rsidRPr="00F06F75">
              <w:rPr>
                <w:sz w:val="16"/>
                <w:szCs w:val="16"/>
                <w:lang w:val="en-CA" w:eastAsia="en-CA"/>
              </w:rPr>
              <w:t>0</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4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5"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r>
      <w:tr w:rsidR="00F06F75" w:rsidRPr="00F06F75" w:rsidTr="007903E7">
        <w:trPr>
          <w:trHeight w:val="720"/>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Reimbursement of central services for core unit staff (including overhead)</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4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5"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r>
      <w:tr w:rsidR="00F06F75" w:rsidRPr="00F06F75" w:rsidTr="007903E7">
        <w:trPr>
          <w:trHeight w:val="114"/>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Cost recovery</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389,935</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258,332</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384,704</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311,137</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317,160</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251,317</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308,375</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381,004</w:t>
            </w:r>
          </w:p>
        </w:tc>
        <w:tc>
          <w:tcPr>
            <w:tcW w:w="84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350,000</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350,000</w:t>
            </w:r>
          </w:p>
        </w:tc>
        <w:tc>
          <w:tcPr>
            <w:tcW w:w="855"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350,000</w:t>
            </w:r>
          </w:p>
        </w:tc>
      </w:tr>
      <w:tr w:rsidR="00F06F75" w:rsidRPr="00F06F75" w:rsidTr="007903E7">
        <w:trPr>
          <w:trHeight w:val="480"/>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Adjustments (+ = overrun and - = underuse)</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740,353</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837,220</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849,676</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658,389</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595,905</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585,526</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929,036</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0"/>
              <w:jc w:val="right"/>
              <w:rPr>
                <w:sz w:val="16"/>
                <w:szCs w:val="16"/>
                <w:lang w:val="en-CA" w:eastAsia="en-CA"/>
              </w:rPr>
            </w:pPr>
            <w:r w:rsidRPr="00F06F75">
              <w:rPr>
                <w:sz w:val="16"/>
                <w:szCs w:val="16"/>
                <w:lang w:val="en-CA" w:eastAsia="en-CA"/>
              </w:rPr>
              <w:t>1,053,880</w:t>
            </w:r>
          </w:p>
        </w:tc>
        <w:tc>
          <w:tcPr>
            <w:tcW w:w="846"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1"/>
              <w:jc w:val="right"/>
              <w:rPr>
                <w:sz w:val="16"/>
                <w:szCs w:val="16"/>
                <w:lang w:val="en-CA" w:eastAsia="en-CA"/>
              </w:rPr>
            </w:pPr>
            <w:r w:rsidRPr="00F06F75">
              <w:rPr>
                <w:sz w:val="16"/>
                <w:szCs w:val="16"/>
                <w:lang w:val="en-CA" w:eastAsia="en-CA"/>
              </w:rPr>
              <w:t>1,127,921</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1"/>
              <w:jc w:val="right"/>
              <w:rPr>
                <w:sz w:val="16"/>
                <w:szCs w:val="16"/>
                <w:lang w:val="en-CA" w:eastAsia="en-CA"/>
              </w:rPr>
            </w:pPr>
            <w:r w:rsidRPr="00F06F75">
              <w:rPr>
                <w:sz w:val="16"/>
                <w:szCs w:val="16"/>
                <w:lang w:val="en-CA" w:eastAsia="en-CA"/>
              </w:rPr>
              <w:t>1,111,056</w:t>
            </w:r>
          </w:p>
        </w:tc>
        <w:tc>
          <w:tcPr>
            <w:tcW w:w="855"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2"/>
              <w:jc w:val="right"/>
              <w:rPr>
                <w:sz w:val="16"/>
                <w:szCs w:val="16"/>
                <w:lang w:val="en-CA" w:eastAsia="en-CA"/>
              </w:rPr>
            </w:pPr>
            <w:r w:rsidRPr="00F06F75">
              <w:rPr>
                <w:sz w:val="16"/>
                <w:szCs w:val="16"/>
                <w:lang w:val="en-CA" w:eastAsia="en-CA"/>
              </w:rPr>
              <w:t>1,192,781</w:t>
            </w:r>
          </w:p>
        </w:tc>
      </w:tr>
      <w:tr w:rsidR="00F06F75" w:rsidRPr="00F06F75" w:rsidTr="007903E7">
        <w:trPr>
          <w:trHeight w:val="352"/>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Project costs (- = to be deducted and thus removed)</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4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1" w:type="dxa"/>
            <w:tcBorders>
              <w:top w:val="nil"/>
              <w:left w:val="nil"/>
              <w:bottom w:val="single" w:sz="4" w:space="0" w:color="auto"/>
              <w:right w:val="single" w:sz="4" w:space="0" w:color="auto"/>
            </w:tcBorders>
            <w:shd w:val="clear" w:color="auto" w:fill="auto"/>
            <w:noWrap/>
            <w:vAlign w:val="bottom"/>
            <w:hideMark/>
          </w:tcPr>
          <w:p w:rsidR="00FE13C4" w:rsidRPr="00F06F75" w:rsidRDefault="00FE13C4" w:rsidP="00F06F75">
            <w:pPr>
              <w:jc w:val="left"/>
              <w:rPr>
                <w:sz w:val="16"/>
                <w:szCs w:val="16"/>
                <w:lang w:val="en-CA" w:eastAsia="en-CA"/>
              </w:rPr>
            </w:pPr>
            <w:r w:rsidRPr="00F06F75">
              <w:rPr>
                <w:sz w:val="16"/>
                <w:szCs w:val="16"/>
                <w:lang w:val="en-CA" w:eastAsia="en-CA"/>
              </w:rPr>
              <w:t> </w:t>
            </w:r>
          </w:p>
        </w:tc>
        <w:tc>
          <w:tcPr>
            <w:tcW w:w="855"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r>
      <w:tr w:rsidR="00F06F75" w:rsidRPr="00F06F75" w:rsidTr="007903E7">
        <w:trPr>
          <w:trHeight w:val="684"/>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b/>
                <w:bCs/>
                <w:sz w:val="16"/>
                <w:szCs w:val="16"/>
                <w:lang w:val="en-CA" w:eastAsia="en-CA"/>
              </w:rPr>
            </w:pPr>
            <w:r w:rsidRPr="00F06F75">
              <w:rPr>
                <w:b/>
                <w:bCs/>
                <w:sz w:val="16"/>
                <w:szCs w:val="16"/>
                <w:lang w:val="en-CA" w:eastAsia="en-CA"/>
              </w:rPr>
              <w:t>B. Sub-total agency support costs/ implementation costs</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7"/>
              <w:jc w:val="right"/>
              <w:rPr>
                <w:b/>
                <w:bCs/>
                <w:sz w:val="16"/>
                <w:szCs w:val="16"/>
                <w:lang w:val="en-CA" w:eastAsia="en-CA"/>
              </w:rPr>
            </w:pPr>
            <w:r w:rsidRPr="00F06F75">
              <w:rPr>
                <w:b/>
                <w:bCs/>
                <w:sz w:val="16"/>
                <w:szCs w:val="16"/>
                <w:lang w:val="en-CA" w:eastAsia="en-CA"/>
              </w:rPr>
              <w:t>2,309,657</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8"/>
              <w:jc w:val="right"/>
              <w:rPr>
                <w:b/>
                <w:bCs/>
                <w:sz w:val="16"/>
                <w:szCs w:val="16"/>
                <w:lang w:val="en-CA" w:eastAsia="en-CA"/>
              </w:rPr>
            </w:pPr>
            <w:r w:rsidRPr="00F06F75">
              <w:rPr>
                <w:b/>
                <w:bCs/>
                <w:sz w:val="16"/>
                <w:szCs w:val="16"/>
                <w:lang w:val="en-CA" w:eastAsia="en-CA"/>
              </w:rPr>
              <w:t>2,987,288</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0"/>
              <w:jc w:val="right"/>
              <w:rPr>
                <w:b/>
                <w:bCs/>
                <w:sz w:val="16"/>
                <w:szCs w:val="16"/>
                <w:lang w:val="en-CA" w:eastAsia="en-CA"/>
              </w:rPr>
            </w:pPr>
            <w:r w:rsidRPr="00F06F75">
              <w:rPr>
                <w:b/>
                <w:bCs/>
                <w:sz w:val="16"/>
                <w:szCs w:val="16"/>
                <w:lang w:val="en-CA" w:eastAsia="en-CA"/>
              </w:rPr>
              <w:t>3,649,473</w:t>
            </w:r>
          </w:p>
        </w:tc>
        <w:tc>
          <w:tcPr>
            <w:tcW w:w="846"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1"/>
              <w:jc w:val="right"/>
              <w:rPr>
                <w:b/>
                <w:bCs/>
                <w:sz w:val="16"/>
                <w:szCs w:val="16"/>
                <w:lang w:val="en-CA" w:eastAsia="en-CA"/>
              </w:rPr>
            </w:pPr>
            <w:r w:rsidRPr="00F06F75">
              <w:rPr>
                <w:b/>
                <w:bCs/>
                <w:sz w:val="16"/>
                <w:szCs w:val="16"/>
                <w:lang w:val="en-CA" w:eastAsia="en-CA"/>
              </w:rPr>
              <w:t>3,402,921</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1"/>
              <w:jc w:val="right"/>
              <w:rPr>
                <w:b/>
                <w:bCs/>
                <w:sz w:val="16"/>
                <w:szCs w:val="16"/>
                <w:lang w:val="en-CA" w:eastAsia="en-CA"/>
              </w:rPr>
            </w:pPr>
            <w:r w:rsidRPr="00F06F75">
              <w:rPr>
                <w:b/>
                <w:bCs/>
                <w:sz w:val="16"/>
                <w:szCs w:val="16"/>
                <w:lang w:val="en-CA" w:eastAsia="en-CA"/>
              </w:rPr>
              <w:t>3,386,056</w:t>
            </w:r>
          </w:p>
        </w:tc>
        <w:tc>
          <w:tcPr>
            <w:tcW w:w="855"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2"/>
              <w:jc w:val="right"/>
              <w:rPr>
                <w:b/>
                <w:bCs/>
                <w:sz w:val="16"/>
                <w:szCs w:val="16"/>
                <w:lang w:val="en-CA" w:eastAsia="en-CA"/>
              </w:rPr>
            </w:pPr>
            <w:r w:rsidRPr="00F06F75">
              <w:rPr>
                <w:b/>
                <w:bCs/>
                <w:sz w:val="16"/>
                <w:szCs w:val="16"/>
                <w:lang w:val="en-CA" w:eastAsia="en-CA"/>
              </w:rPr>
              <w:t>3,467,781</w:t>
            </w:r>
          </w:p>
        </w:tc>
      </w:tr>
      <w:tr w:rsidR="00F06F75" w:rsidRPr="00F06F75" w:rsidTr="007903E7">
        <w:trPr>
          <w:trHeight w:val="456"/>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9C3955" w:rsidP="00F06F75">
            <w:pPr>
              <w:jc w:val="left"/>
              <w:rPr>
                <w:b/>
                <w:bCs/>
                <w:sz w:val="16"/>
                <w:szCs w:val="16"/>
                <w:lang w:val="en-CA" w:eastAsia="en-CA"/>
              </w:rPr>
            </w:pPr>
            <w:r w:rsidRPr="00F06F75">
              <w:rPr>
                <w:b/>
                <w:bCs/>
                <w:sz w:val="16"/>
                <w:szCs w:val="16"/>
                <w:lang w:val="en-CA" w:eastAsia="en-CA"/>
              </w:rPr>
              <w:lastRenderedPageBreak/>
              <w:t>Total administrative s</w:t>
            </w:r>
            <w:r w:rsidR="00FE13C4" w:rsidRPr="00F06F75">
              <w:rPr>
                <w:b/>
                <w:bCs/>
                <w:sz w:val="16"/>
                <w:szCs w:val="16"/>
                <w:lang w:val="en-CA" w:eastAsia="en-CA"/>
              </w:rPr>
              <w:t xml:space="preserve">upport </w:t>
            </w:r>
            <w:r w:rsidRPr="00F06F75">
              <w:rPr>
                <w:b/>
                <w:bCs/>
                <w:sz w:val="16"/>
                <w:szCs w:val="16"/>
                <w:lang w:val="en-CA" w:eastAsia="en-CA"/>
              </w:rPr>
              <w:t>c</w:t>
            </w:r>
            <w:r w:rsidR="00FE13C4" w:rsidRPr="00F06F75">
              <w:rPr>
                <w:b/>
                <w:bCs/>
                <w:sz w:val="16"/>
                <w:szCs w:val="16"/>
                <w:lang w:val="en-CA" w:eastAsia="en-CA"/>
              </w:rPr>
              <w:t>osts</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1"/>
              <w:jc w:val="right"/>
              <w:rPr>
                <w:b/>
                <w:bCs/>
                <w:sz w:val="16"/>
                <w:szCs w:val="16"/>
                <w:lang w:val="en-CA" w:eastAsia="en-CA"/>
              </w:rPr>
            </w:pPr>
            <w:r w:rsidRPr="00F06F75">
              <w:rPr>
                <w:b/>
                <w:bCs/>
                <w:sz w:val="16"/>
                <w:szCs w:val="16"/>
                <w:lang w:val="en-CA" w:eastAsia="en-CA"/>
              </w:rPr>
              <w:t>5,157,233</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3"/>
              <w:jc w:val="right"/>
              <w:rPr>
                <w:b/>
                <w:bCs/>
                <w:sz w:val="16"/>
                <w:szCs w:val="16"/>
                <w:lang w:val="en-CA" w:eastAsia="en-CA"/>
              </w:rPr>
            </w:pPr>
            <w:r w:rsidRPr="00F06F75">
              <w:rPr>
                <w:b/>
                <w:bCs/>
                <w:sz w:val="16"/>
                <w:szCs w:val="16"/>
                <w:lang w:val="en-CA" w:eastAsia="en-CA"/>
              </w:rPr>
              <w:t>4,909,004</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4"/>
              <w:jc w:val="right"/>
              <w:rPr>
                <w:b/>
                <w:bCs/>
                <w:sz w:val="16"/>
                <w:szCs w:val="16"/>
                <w:lang w:val="en-CA" w:eastAsia="en-CA"/>
              </w:rPr>
            </w:pPr>
            <w:r w:rsidRPr="00F06F75">
              <w:rPr>
                <w:b/>
                <w:bCs/>
                <w:sz w:val="16"/>
                <w:szCs w:val="16"/>
                <w:lang w:val="en-CA" w:eastAsia="en-CA"/>
              </w:rPr>
              <w:t>5,675,729</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4"/>
              <w:jc w:val="right"/>
              <w:rPr>
                <w:b/>
                <w:bCs/>
                <w:sz w:val="16"/>
                <w:szCs w:val="16"/>
                <w:lang w:val="en-CA" w:eastAsia="en-CA"/>
              </w:rPr>
            </w:pPr>
            <w:r w:rsidRPr="00F06F75">
              <w:rPr>
                <w:b/>
                <w:bCs/>
                <w:sz w:val="16"/>
                <w:szCs w:val="16"/>
                <w:lang w:val="en-CA" w:eastAsia="en-CA"/>
              </w:rPr>
              <w:t>4,676,959</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5"/>
              <w:jc w:val="right"/>
              <w:rPr>
                <w:b/>
                <w:bCs/>
                <w:sz w:val="16"/>
                <w:szCs w:val="16"/>
                <w:lang w:val="en-CA" w:eastAsia="en-CA"/>
              </w:rPr>
            </w:pPr>
            <w:r w:rsidRPr="00F06F75">
              <w:rPr>
                <w:b/>
                <w:bCs/>
                <w:sz w:val="16"/>
                <w:szCs w:val="16"/>
                <w:lang w:val="en-CA" w:eastAsia="en-CA"/>
              </w:rPr>
              <w:t>4,715,563</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rPr>
                <w:sz w:val="16"/>
                <w:szCs w:val="16"/>
                <w:lang w:val="en-CA" w:eastAsia="en-CA"/>
              </w:rPr>
            </w:pPr>
            <w:r w:rsidRPr="00F06F75">
              <w:rPr>
                <w:sz w:val="16"/>
                <w:szCs w:val="16"/>
                <w:lang w:val="en-CA" w:eastAsia="en-CA"/>
              </w:rPr>
              <w:t> </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rPr>
                <w:sz w:val="16"/>
                <w:szCs w:val="16"/>
                <w:lang w:val="en-CA" w:eastAsia="en-CA"/>
              </w:rPr>
            </w:pPr>
            <w:r w:rsidRPr="00F06F75">
              <w:rPr>
                <w:sz w:val="16"/>
                <w:szCs w:val="16"/>
                <w:lang w:val="en-CA" w:eastAsia="en-CA"/>
              </w:rPr>
              <w:t> </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rPr>
                <w:sz w:val="16"/>
                <w:szCs w:val="16"/>
                <w:lang w:val="en-CA" w:eastAsia="en-CA"/>
              </w:rPr>
            </w:pPr>
            <w:r w:rsidRPr="00F06F75">
              <w:rPr>
                <w:sz w:val="16"/>
                <w:szCs w:val="16"/>
                <w:lang w:val="en-CA" w:eastAsia="en-CA"/>
              </w:rPr>
              <w:t> </w:t>
            </w:r>
          </w:p>
        </w:tc>
        <w:tc>
          <w:tcPr>
            <w:tcW w:w="846" w:type="dxa"/>
            <w:tcBorders>
              <w:top w:val="nil"/>
              <w:left w:val="nil"/>
              <w:bottom w:val="single" w:sz="4" w:space="0" w:color="auto"/>
              <w:right w:val="single" w:sz="4" w:space="0" w:color="auto"/>
            </w:tcBorders>
            <w:shd w:val="clear" w:color="auto" w:fill="auto"/>
            <w:hideMark/>
          </w:tcPr>
          <w:p w:rsidR="00FE13C4" w:rsidRPr="00F06F75" w:rsidRDefault="00FE13C4" w:rsidP="00F06F75">
            <w:pPr>
              <w:rPr>
                <w:sz w:val="16"/>
                <w:szCs w:val="16"/>
                <w:lang w:val="en-CA" w:eastAsia="en-CA"/>
              </w:rPr>
            </w:pPr>
            <w:r w:rsidRPr="00F06F75">
              <w:rPr>
                <w:sz w:val="16"/>
                <w:szCs w:val="16"/>
                <w:lang w:val="en-CA"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FE13C4" w:rsidRPr="00F06F75" w:rsidRDefault="00FE13C4" w:rsidP="00F06F75">
            <w:pPr>
              <w:jc w:val="left"/>
              <w:rPr>
                <w:sz w:val="16"/>
                <w:szCs w:val="16"/>
                <w:lang w:val="en-CA" w:eastAsia="en-CA"/>
              </w:rPr>
            </w:pPr>
            <w:r w:rsidRPr="00F06F75">
              <w:rPr>
                <w:sz w:val="16"/>
                <w:szCs w:val="16"/>
                <w:lang w:val="en-CA" w:eastAsia="en-CA"/>
              </w:rPr>
              <w:t> </w:t>
            </w:r>
          </w:p>
        </w:tc>
        <w:tc>
          <w:tcPr>
            <w:tcW w:w="855" w:type="dxa"/>
            <w:tcBorders>
              <w:top w:val="nil"/>
              <w:left w:val="nil"/>
              <w:bottom w:val="single" w:sz="4" w:space="0" w:color="auto"/>
              <w:right w:val="single" w:sz="4" w:space="0" w:color="auto"/>
            </w:tcBorders>
            <w:shd w:val="clear" w:color="auto" w:fill="auto"/>
            <w:noWrap/>
            <w:vAlign w:val="bottom"/>
            <w:hideMark/>
          </w:tcPr>
          <w:p w:rsidR="00FE13C4" w:rsidRPr="00F06F75" w:rsidRDefault="00FE13C4" w:rsidP="00F06F75">
            <w:pPr>
              <w:jc w:val="left"/>
              <w:rPr>
                <w:sz w:val="16"/>
                <w:szCs w:val="16"/>
                <w:lang w:val="en-CA" w:eastAsia="en-CA"/>
              </w:rPr>
            </w:pPr>
            <w:r w:rsidRPr="00F06F75">
              <w:rPr>
                <w:sz w:val="16"/>
                <w:szCs w:val="16"/>
                <w:lang w:val="en-CA" w:eastAsia="en-CA"/>
              </w:rPr>
              <w:t> </w:t>
            </w:r>
          </w:p>
        </w:tc>
      </w:tr>
      <w:tr w:rsidR="00F06F75" w:rsidRPr="00F06F75" w:rsidTr="007903E7">
        <w:trPr>
          <w:trHeight w:val="120"/>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Supervisory costs incurred by MPU</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49,250</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47,028</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47,801</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53,814</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56,970</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rPr>
                <w:sz w:val="16"/>
                <w:szCs w:val="16"/>
                <w:lang w:val="en-CA" w:eastAsia="en-CA"/>
              </w:rPr>
            </w:pPr>
            <w:r w:rsidRPr="00F06F75">
              <w:rPr>
                <w:sz w:val="16"/>
                <w:szCs w:val="16"/>
                <w:lang w:val="en-CA" w:eastAsia="en-CA"/>
              </w:rPr>
              <w:t> </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rPr>
                <w:sz w:val="16"/>
                <w:szCs w:val="16"/>
                <w:lang w:val="en-CA" w:eastAsia="en-CA"/>
              </w:rPr>
            </w:pPr>
            <w:r w:rsidRPr="00F06F75">
              <w:rPr>
                <w:sz w:val="16"/>
                <w:szCs w:val="16"/>
                <w:lang w:val="en-CA" w:eastAsia="en-CA"/>
              </w:rPr>
              <w:t> </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rPr>
                <w:sz w:val="16"/>
                <w:szCs w:val="16"/>
                <w:lang w:val="en-CA" w:eastAsia="en-CA"/>
              </w:rPr>
            </w:pPr>
            <w:r w:rsidRPr="00F06F75">
              <w:rPr>
                <w:sz w:val="16"/>
                <w:szCs w:val="16"/>
                <w:lang w:val="en-CA" w:eastAsia="en-CA"/>
              </w:rPr>
              <w:t> </w:t>
            </w:r>
          </w:p>
        </w:tc>
        <w:tc>
          <w:tcPr>
            <w:tcW w:w="846" w:type="dxa"/>
            <w:tcBorders>
              <w:top w:val="nil"/>
              <w:left w:val="nil"/>
              <w:bottom w:val="single" w:sz="4" w:space="0" w:color="auto"/>
              <w:right w:val="single" w:sz="4" w:space="0" w:color="auto"/>
            </w:tcBorders>
            <w:shd w:val="clear" w:color="auto" w:fill="auto"/>
            <w:hideMark/>
          </w:tcPr>
          <w:p w:rsidR="00FE13C4" w:rsidRPr="00F06F75" w:rsidRDefault="00FE13C4" w:rsidP="00F06F75">
            <w:pPr>
              <w:rPr>
                <w:sz w:val="16"/>
                <w:szCs w:val="16"/>
                <w:lang w:val="en-CA" w:eastAsia="en-CA"/>
              </w:rPr>
            </w:pPr>
            <w:r w:rsidRPr="00F06F75">
              <w:rPr>
                <w:sz w:val="16"/>
                <w:szCs w:val="16"/>
                <w:lang w:val="en-CA"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FE13C4" w:rsidRPr="00F06F75" w:rsidRDefault="00FE13C4" w:rsidP="00F06F75">
            <w:pPr>
              <w:jc w:val="left"/>
              <w:rPr>
                <w:sz w:val="16"/>
                <w:szCs w:val="16"/>
                <w:lang w:val="en-CA" w:eastAsia="en-CA"/>
              </w:rPr>
            </w:pPr>
            <w:r w:rsidRPr="00F06F75">
              <w:rPr>
                <w:sz w:val="16"/>
                <w:szCs w:val="16"/>
                <w:lang w:val="en-CA" w:eastAsia="en-CA"/>
              </w:rPr>
              <w:t> </w:t>
            </w:r>
          </w:p>
        </w:tc>
        <w:tc>
          <w:tcPr>
            <w:tcW w:w="855" w:type="dxa"/>
            <w:tcBorders>
              <w:top w:val="nil"/>
              <w:left w:val="nil"/>
              <w:bottom w:val="single" w:sz="4" w:space="0" w:color="auto"/>
              <w:right w:val="single" w:sz="4" w:space="0" w:color="auto"/>
            </w:tcBorders>
            <w:shd w:val="clear" w:color="auto" w:fill="auto"/>
            <w:noWrap/>
            <w:vAlign w:val="bottom"/>
            <w:hideMark/>
          </w:tcPr>
          <w:p w:rsidR="00FE13C4" w:rsidRPr="00F06F75" w:rsidRDefault="00FE13C4" w:rsidP="00F06F75">
            <w:pPr>
              <w:jc w:val="left"/>
              <w:rPr>
                <w:sz w:val="16"/>
                <w:szCs w:val="16"/>
                <w:lang w:val="en-CA" w:eastAsia="en-CA"/>
              </w:rPr>
            </w:pPr>
            <w:r w:rsidRPr="00F06F75">
              <w:rPr>
                <w:sz w:val="16"/>
                <w:szCs w:val="16"/>
                <w:lang w:val="en-CA" w:eastAsia="en-CA"/>
              </w:rPr>
              <w:t> </w:t>
            </w:r>
          </w:p>
        </w:tc>
      </w:tr>
      <w:tr w:rsidR="00F06F75" w:rsidRPr="00F06F75" w:rsidTr="007903E7">
        <w:trPr>
          <w:trHeight w:val="264"/>
        </w:trPr>
        <w:tc>
          <w:tcPr>
            <w:tcW w:w="1560" w:type="dxa"/>
            <w:tcBorders>
              <w:top w:val="nil"/>
              <w:left w:val="single" w:sz="4" w:space="0" w:color="auto"/>
              <w:bottom w:val="single" w:sz="4" w:space="0" w:color="auto"/>
              <w:right w:val="single" w:sz="4" w:space="0" w:color="auto"/>
            </w:tcBorders>
            <w:shd w:val="clear" w:color="auto" w:fill="auto"/>
            <w:hideMark/>
          </w:tcPr>
          <w:p w:rsidR="00991531" w:rsidRPr="00F06F75" w:rsidRDefault="00FE13C4" w:rsidP="00F06F75">
            <w:pPr>
              <w:jc w:val="left"/>
              <w:rPr>
                <w:b/>
                <w:bCs/>
                <w:sz w:val="16"/>
                <w:szCs w:val="16"/>
                <w:lang w:val="en-CA" w:eastAsia="en-CA"/>
              </w:rPr>
            </w:pPr>
            <w:r w:rsidRPr="00F06F75">
              <w:rPr>
                <w:b/>
                <w:bCs/>
                <w:sz w:val="16"/>
                <w:szCs w:val="16"/>
                <w:lang w:val="en-CA" w:eastAsia="en-CA"/>
              </w:rPr>
              <w:t xml:space="preserve">Grand total </w:t>
            </w:r>
          </w:p>
          <w:p w:rsidR="00FE13C4" w:rsidRPr="00F06F75" w:rsidRDefault="00FE13C4" w:rsidP="00F06F75">
            <w:pPr>
              <w:jc w:val="left"/>
              <w:rPr>
                <w:b/>
                <w:bCs/>
                <w:sz w:val="16"/>
                <w:szCs w:val="16"/>
                <w:lang w:val="en-CA" w:eastAsia="en-CA"/>
              </w:rPr>
            </w:pPr>
            <w:r w:rsidRPr="00F06F75">
              <w:rPr>
                <w:b/>
                <w:bCs/>
                <w:sz w:val="16"/>
                <w:szCs w:val="16"/>
                <w:lang w:val="en-CA" w:eastAsia="en-CA"/>
              </w:rPr>
              <w:t>(A + B)**</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1"/>
              <w:jc w:val="right"/>
              <w:rPr>
                <w:b/>
                <w:bCs/>
                <w:sz w:val="16"/>
                <w:szCs w:val="16"/>
                <w:lang w:val="en-CA" w:eastAsia="en-CA"/>
              </w:rPr>
            </w:pPr>
            <w:r w:rsidRPr="00F06F75">
              <w:rPr>
                <w:b/>
                <w:bCs/>
                <w:sz w:val="16"/>
                <w:szCs w:val="16"/>
                <w:lang w:val="en-CA" w:eastAsia="en-CA"/>
              </w:rPr>
              <w:t>5,206,483</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3"/>
              <w:jc w:val="right"/>
              <w:rPr>
                <w:b/>
                <w:bCs/>
                <w:sz w:val="16"/>
                <w:szCs w:val="16"/>
                <w:lang w:val="en-CA" w:eastAsia="en-CA"/>
              </w:rPr>
            </w:pPr>
            <w:r w:rsidRPr="00F06F75">
              <w:rPr>
                <w:b/>
                <w:bCs/>
                <w:sz w:val="16"/>
                <w:szCs w:val="16"/>
                <w:lang w:val="en-CA" w:eastAsia="en-CA"/>
              </w:rPr>
              <w:t>4,956,032</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4"/>
              <w:jc w:val="right"/>
              <w:rPr>
                <w:b/>
                <w:bCs/>
                <w:sz w:val="16"/>
                <w:szCs w:val="16"/>
                <w:lang w:val="en-CA" w:eastAsia="en-CA"/>
              </w:rPr>
            </w:pPr>
            <w:r w:rsidRPr="00F06F75">
              <w:rPr>
                <w:b/>
                <w:bCs/>
                <w:sz w:val="16"/>
                <w:szCs w:val="16"/>
                <w:lang w:val="en-CA" w:eastAsia="en-CA"/>
              </w:rPr>
              <w:t>5,723,531</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4"/>
              <w:jc w:val="right"/>
              <w:rPr>
                <w:b/>
                <w:bCs/>
                <w:sz w:val="16"/>
                <w:szCs w:val="16"/>
                <w:lang w:val="en-CA" w:eastAsia="en-CA"/>
              </w:rPr>
            </w:pPr>
            <w:r w:rsidRPr="00F06F75">
              <w:rPr>
                <w:b/>
                <w:bCs/>
                <w:sz w:val="16"/>
                <w:szCs w:val="16"/>
                <w:lang w:val="en-CA" w:eastAsia="en-CA"/>
              </w:rPr>
              <w:t>4,730,773</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5"/>
              <w:jc w:val="right"/>
              <w:rPr>
                <w:b/>
                <w:bCs/>
                <w:sz w:val="16"/>
                <w:szCs w:val="16"/>
                <w:lang w:val="en-CA" w:eastAsia="en-CA"/>
              </w:rPr>
            </w:pPr>
            <w:r w:rsidRPr="00F06F75">
              <w:rPr>
                <w:b/>
                <w:bCs/>
                <w:sz w:val="16"/>
                <w:szCs w:val="16"/>
                <w:lang w:val="en-CA" w:eastAsia="en-CA"/>
              </w:rPr>
              <w:t>4,772,532</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7"/>
              <w:jc w:val="right"/>
              <w:rPr>
                <w:b/>
                <w:bCs/>
                <w:sz w:val="16"/>
                <w:szCs w:val="16"/>
                <w:lang w:val="en-CA" w:eastAsia="en-CA"/>
              </w:rPr>
            </w:pPr>
            <w:r w:rsidRPr="00F06F75">
              <w:rPr>
                <w:b/>
                <w:bCs/>
                <w:sz w:val="16"/>
                <w:szCs w:val="16"/>
                <w:lang w:val="en-CA" w:eastAsia="en-CA"/>
              </w:rPr>
              <w:t>4,350,371</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8"/>
              <w:jc w:val="right"/>
              <w:rPr>
                <w:b/>
                <w:bCs/>
                <w:sz w:val="16"/>
                <w:szCs w:val="16"/>
                <w:lang w:val="en-CA" w:eastAsia="en-CA"/>
              </w:rPr>
            </w:pPr>
            <w:r w:rsidRPr="00F06F75">
              <w:rPr>
                <w:b/>
                <w:bCs/>
                <w:sz w:val="16"/>
                <w:szCs w:val="16"/>
                <w:lang w:val="en-CA" w:eastAsia="en-CA"/>
              </w:rPr>
              <w:t>5,042,289</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0"/>
              <w:jc w:val="right"/>
              <w:rPr>
                <w:b/>
                <w:bCs/>
                <w:sz w:val="16"/>
                <w:szCs w:val="16"/>
                <w:lang w:val="en-CA" w:eastAsia="en-CA"/>
              </w:rPr>
            </w:pPr>
            <w:r w:rsidRPr="00F06F75">
              <w:rPr>
                <w:b/>
                <w:bCs/>
                <w:sz w:val="16"/>
                <w:szCs w:val="16"/>
                <w:lang w:val="en-CA" w:eastAsia="en-CA"/>
              </w:rPr>
              <w:t>5,718,858</w:t>
            </w:r>
          </w:p>
        </w:tc>
        <w:tc>
          <w:tcPr>
            <w:tcW w:w="846"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1"/>
              <w:jc w:val="right"/>
              <w:rPr>
                <w:b/>
                <w:bCs/>
                <w:sz w:val="16"/>
                <w:szCs w:val="16"/>
                <w:lang w:val="en-CA" w:eastAsia="en-CA"/>
              </w:rPr>
            </w:pPr>
            <w:r w:rsidRPr="00F06F75">
              <w:rPr>
                <w:b/>
                <w:bCs/>
                <w:sz w:val="16"/>
                <w:szCs w:val="16"/>
                <w:lang w:val="en-CA" w:eastAsia="en-CA"/>
              </w:rPr>
              <w:t>5,486,792</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1"/>
              <w:jc w:val="right"/>
              <w:rPr>
                <w:b/>
                <w:bCs/>
                <w:sz w:val="16"/>
                <w:szCs w:val="16"/>
                <w:lang w:val="en-CA" w:eastAsia="en-CA"/>
              </w:rPr>
            </w:pPr>
            <w:r w:rsidRPr="00F06F75">
              <w:rPr>
                <w:b/>
                <w:bCs/>
                <w:sz w:val="16"/>
                <w:szCs w:val="16"/>
                <w:lang w:val="en-CA" w:eastAsia="en-CA"/>
              </w:rPr>
              <w:t>5,469,927</w:t>
            </w:r>
          </w:p>
        </w:tc>
        <w:tc>
          <w:tcPr>
            <w:tcW w:w="855"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2"/>
              <w:jc w:val="right"/>
              <w:rPr>
                <w:b/>
                <w:bCs/>
                <w:sz w:val="16"/>
                <w:szCs w:val="16"/>
                <w:lang w:val="en-CA" w:eastAsia="en-CA"/>
              </w:rPr>
            </w:pPr>
            <w:r w:rsidRPr="00F06F75">
              <w:rPr>
                <w:b/>
                <w:bCs/>
                <w:sz w:val="16"/>
                <w:szCs w:val="16"/>
                <w:lang w:val="en-CA" w:eastAsia="en-CA"/>
              </w:rPr>
              <w:t>5,566,239</w:t>
            </w:r>
          </w:p>
        </w:tc>
      </w:tr>
    </w:tbl>
    <w:p w:rsidR="00FE13C4" w:rsidRPr="00F06F75" w:rsidRDefault="00FE13C4" w:rsidP="00F06F75">
      <w:pPr>
        <w:keepLines/>
        <w:rPr>
          <w:sz w:val="18"/>
          <w:szCs w:val="18"/>
          <w:lang w:val="en-CA"/>
        </w:rPr>
      </w:pPr>
      <w:r w:rsidRPr="00F06F75">
        <w:rPr>
          <w:sz w:val="18"/>
          <w:szCs w:val="18"/>
          <w:vertAlign w:val="superscript"/>
          <w:lang w:val="en-CA"/>
        </w:rPr>
        <w:t>*</w:t>
      </w:r>
      <w:r w:rsidRPr="00F06F75">
        <w:rPr>
          <w:sz w:val="18"/>
          <w:szCs w:val="18"/>
          <w:lang w:val="en-CA"/>
        </w:rPr>
        <w:t>The cost of the core unit is higher than the allowed subtotal of US $1,970,766 in 2011, US $1,984,561 in 2012, US $1,998,453 in 2013, US $2,012,442 in 2014, US $2,026,529 in 2015, US $2,040,715 in 2016, US $2,055,000 in 2017, US $2,069,385 in 2018, and US $2,083,871 in 2019. An adjustment line and a negative adjustment were, therefore, introduced to arrive at the required ceiling. A corresponding positive adjustment is also provided under agency support costs/implementation to ensure that the total costs incurred for administrative costs also reflect the amount exceeded by the agency.</w:t>
      </w:r>
    </w:p>
    <w:p w:rsidR="00FE13C4" w:rsidRPr="00F06F75" w:rsidRDefault="00FE13C4" w:rsidP="00F06F75">
      <w:pPr>
        <w:keepLines/>
        <w:rPr>
          <w:caps/>
          <w:sz w:val="18"/>
          <w:szCs w:val="18"/>
          <w:lang w:val="en-CA"/>
        </w:rPr>
      </w:pPr>
      <w:r w:rsidRPr="00F06F75">
        <w:rPr>
          <w:sz w:val="18"/>
          <w:szCs w:val="18"/>
          <w:vertAlign w:val="superscript"/>
          <w:lang w:val="en-CA"/>
        </w:rPr>
        <w:t>**</w:t>
      </w:r>
      <w:r w:rsidRPr="00F06F75">
        <w:rPr>
          <w:sz w:val="18"/>
          <w:szCs w:val="18"/>
          <w:lang w:val="en-CA"/>
        </w:rPr>
        <w:t>Reflects total annual amount provided by the Multilateral Fund. In the transition to the revised reporting format, the budget lines “t</w:t>
      </w:r>
      <w:r w:rsidRPr="00F06F75">
        <w:rPr>
          <w:bCs/>
          <w:sz w:val="18"/>
          <w:szCs w:val="18"/>
          <w:lang w:val="en-CA" w:eastAsia="en-CA"/>
        </w:rPr>
        <w:t>otal administrative support costs”, and “s</w:t>
      </w:r>
      <w:r w:rsidRPr="00F06F75">
        <w:rPr>
          <w:sz w:val="18"/>
          <w:szCs w:val="18"/>
          <w:lang w:val="en-CA" w:eastAsia="en-CA"/>
        </w:rPr>
        <w:t>upervisory costs incurred by Montreal Protocol Unit” are reflected in order to show trends in the period between 2011 and 2015. These lines will be removed over time.</w:t>
      </w:r>
    </w:p>
    <w:p w:rsidR="00FE13C4" w:rsidRPr="00BE73C1" w:rsidRDefault="00FE13C4" w:rsidP="00BE73C1">
      <w:pPr>
        <w:keepLines/>
        <w:rPr>
          <w:lang w:val="en-CA"/>
        </w:rPr>
      </w:pPr>
    </w:p>
    <w:p w:rsidR="00FE13C4" w:rsidRPr="00F06F75" w:rsidRDefault="00FE13C4" w:rsidP="00F06F75">
      <w:pPr>
        <w:keepLines/>
        <w:spacing w:after="240"/>
        <w:rPr>
          <w:u w:val="single"/>
          <w:lang w:val="en-CA"/>
        </w:rPr>
      </w:pPr>
      <w:r w:rsidRPr="00F06F75">
        <w:rPr>
          <w:u w:val="single"/>
          <w:lang w:val="en-CA"/>
        </w:rPr>
        <w:t>Core unit costs</w:t>
      </w:r>
    </w:p>
    <w:p w:rsidR="00FE13C4" w:rsidRPr="00F06F75" w:rsidRDefault="00FE13C4" w:rsidP="00F06F75">
      <w:pPr>
        <w:pStyle w:val="Heading1"/>
        <w:rPr>
          <w:lang w:val="en-CA"/>
        </w:rPr>
      </w:pPr>
      <w:r w:rsidRPr="00F06F75">
        <w:rPr>
          <w:lang w:val="en-CA"/>
        </w:rPr>
        <w:t>UNDP’s request of US $2,098,458 for its 2020 core unit budget represents a 0.7 per cent increase in the budget approved for 2019.  This level of funding is being requested despite that UNDP expects the costs of its core unit to exceed this amount by US $1,192,781 (indic</w:t>
      </w:r>
      <w:r w:rsidR="00CC4F6F" w:rsidRPr="00F06F75">
        <w:rPr>
          <w:lang w:val="en-CA"/>
        </w:rPr>
        <w:t>ated as “Adjustment” in Table 1</w:t>
      </w:r>
      <w:r w:rsidRPr="00F06F75">
        <w:rPr>
          <w:lang w:val="en-CA"/>
        </w:rPr>
        <w:t xml:space="preserve">). UNDP has normally exceeded its budget allocation for its core unit and recouped those costs from support costs earned through implementing Multilateral Fund projects. </w:t>
      </w:r>
    </w:p>
    <w:p w:rsidR="00FE13C4" w:rsidRPr="00F06F75" w:rsidRDefault="00FE13C4" w:rsidP="00F06F75">
      <w:pPr>
        <w:pStyle w:val="Heading1"/>
        <w:rPr>
          <w:lang w:val="en-CA"/>
        </w:rPr>
      </w:pPr>
      <w:r w:rsidRPr="00F06F75">
        <w:rPr>
          <w:lang w:val="en-CA"/>
        </w:rPr>
        <w:t>On four occasions over the past eight years, the level of core unit costs exceeded more than US $800,000: US $837,220 in 2012, US $849,676 in 2013, US $929,036 in 2017 and US $1,053,880 in 2018. In 2019, UNDP will exceed its costs by US $1,111,056 (about 53 per cent over budget), and in 2020, its costs are projected to be exceeded by US $1,192,781</w:t>
      </w:r>
      <w:r w:rsidR="006E432C" w:rsidRPr="00F06F75">
        <w:rPr>
          <w:lang w:val="en-CA"/>
        </w:rPr>
        <w:t xml:space="preserve"> </w:t>
      </w:r>
      <w:r w:rsidR="00393B27" w:rsidRPr="00F06F75">
        <w:rPr>
          <w:lang w:val="en-CA"/>
        </w:rPr>
        <w:t>(</w:t>
      </w:r>
      <w:r w:rsidR="006E432C" w:rsidRPr="00F06F75">
        <w:rPr>
          <w:lang w:val="en-CA"/>
        </w:rPr>
        <w:t>i.e., an</w:t>
      </w:r>
      <w:r w:rsidRPr="00F06F75">
        <w:rPr>
          <w:lang w:val="en-CA"/>
        </w:rPr>
        <w:t xml:space="preserve"> increase </w:t>
      </w:r>
      <w:r w:rsidR="00393B27" w:rsidRPr="00F06F75">
        <w:rPr>
          <w:lang w:val="en-CA"/>
        </w:rPr>
        <w:t>of</w:t>
      </w:r>
      <w:r w:rsidRPr="00F06F75">
        <w:rPr>
          <w:lang w:val="en-CA"/>
        </w:rPr>
        <w:t xml:space="preserve"> 7.4 per cent</w:t>
      </w:r>
      <w:r w:rsidR="00393B27" w:rsidRPr="00F06F75">
        <w:rPr>
          <w:lang w:val="en-CA"/>
        </w:rPr>
        <w:t>)</w:t>
      </w:r>
      <w:r w:rsidRPr="00F06F75">
        <w:rPr>
          <w:lang w:val="en-CA"/>
        </w:rPr>
        <w:t xml:space="preserve">. UNDP explained that </w:t>
      </w:r>
      <w:r w:rsidRPr="00F06F75">
        <w:rPr>
          <w:bCs/>
        </w:rPr>
        <w:t xml:space="preserve">the core unit budget is inadequate to cover all costs, and this portion is funded from programme support costs. </w:t>
      </w:r>
    </w:p>
    <w:p w:rsidR="00FE13C4" w:rsidRPr="00F06F75" w:rsidRDefault="00FE13C4" w:rsidP="00F06F75">
      <w:pPr>
        <w:pStyle w:val="Heading1"/>
        <w:rPr>
          <w:lang w:val="en-CA"/>
        </w:rPr>
      </w:pPr>
      <w:r w:rsidRPr="00F06F75">
        <w:rPr>
          <w:lang w:val="en-CA"/>
        </w:rPr>
        <w:t>Overall, 77 per cent of UNDP’s proposed 2020 core unit budget is for staff salaries, which remains in the same range as for the past six years. At 10.6 per cent of the budget, reimbursement of central services is the second next largest cost. However, the actual co</w:t>
      </w:r>
      <w:r w:rsidR="00CC4F6F" w:rsidRPr="00F06F75">
        <w:rPr>
          <w:lang w:val="en-CA"/>
        </w:rPr>
        <w:t>st</w:t>
      </w:r>
      <w:r w:rsidRPr="00F06F75">
        <w:rPr>
          <w:lang w:val="en-CA"/>
        </w:rPr>
        <w:t xml:space="preserve"> in 2018 (US $381,004) </w:t>
      </w:r>
      <w:r w:rsidR="00CC4F6F" w:rsidRPr="00F06F75">
        <w:rPr>
          <w:lang w:val="en-CA"/>
        </w:rPr>
        <w:t>was</w:t>
      </w:r>
      <w:r w:rsidRPr="00F06F75">
        <w:rPr>
          <w:lang w:val="en-CA"/>
        </w:rPr>
        <w:t xml:space="preserve"> higher than had been budgeted (US $350,000). UNDP explained that higher </w:t>
      </w:r>
      <w:r w:rsidRPr="00F06F75">
        <w:rPr>
          <w:bCs/>
        </w:rPr>
        <w:t>delivery in 2018 compared to 2017 resulted in higher reimbursement of central services, cost recovery and reimbursement of country offices.</w:t>
      </w:r>
    </w:p>
    <w:p w:rsidR="00FE13C4" w:rsidRPr="00F06F75" w:rsidRDefault="00FE13C4" w:rsidP="00F06F75">
      <w:pPr>
        <w:pStyle w:val="Heading1"/>
        <w:rPr>
          <w:lang w:val="en-CA"/>
        </w:rPr>
      </w:pPr>
      <w:r w:rsidRPr="00F06F75">
        <w:rPr>
          <w:lang w:val="en-CA"/>
        </w:rPr>
        <w:t xml:space="preserve">At 5.9 per cent and 5.5 per cent, travel and space rental are the third and fourth largest costs, respectively. The proposed travel budget (US $194,227) is a </w:t>
      </w:r>
      <w:r w:rsidR="00CC4F6F" w:rsidRPr="00F06F75">
        <w:rPr>
          <w:lang w:val="en-CA"/>
        </w:rPr>
        <w:t>5</w:t>
      </w:r>
      <w:r w:rsidRPr="00F06F75">
        <w:rPr>
          <w:lang w:val="en-CA"/>
        </w:rPr>
        <w:t xml:space="preserve"> per cent increase from the estimat</w:t>
      </w:r>
      <w:r w:rsidR="00CC4F6F" w:rsidRPr="00F06F75">
        <w:rPr>
          <w:lang w:val="en-CA"/>
        </w:rPr>
        <w:t xml:space="preserve">ed costs for 2019 (US $184,978), and </w:t>
      </w:r>
      <w:r w:rsidRPr="00F06F75">
        <w:rPr>
          <w:lang w:val="en-CA"/>
        </w:rPr>
        <w:t>a 10.2 per cent increase over the actual 2018 costs (US $176,170). Space and equipment costs are budgeted at higher levels than the estimated costs for 2019</w:t>
      </w:r>
      <w:r w:rsidR="00CC4F6F" w:rsidRPr="00F06F75">
        <w:rPr>
          <w:lang w:val="en-CA"/>
        </w:rPr>
        <w:t>,</w:t>
      </w:r>
      <w:r w:rsidRPr="00F06F75">
        <w:rPr>
          <w:lang w:val="en-CA"/>
        </w:rPr>
        <w:t xml:space="preserve"> and contractual service costs are the same level as</w:t>
      </w:r>
      <w:r w:rsidR="00C11ADB" w:rsidRPr="00F06F75">
        <w:rPr>
          <w:lang w:val="en-CA"/>
        </w:rPr>
        <w:t xml:space="preserve"> the estimated costs for 2019. </w:t>
      </w:r>
      <w:r w:rsidRPr="00F06F75">
        <w:rPr>
          <w:lang w:val="en-CA"/>
        </w:rPr>
        <w:t xml:space="preserve">UNDP has indicated that </w:t>
      </w:r>
      <w:r w:rsidR="007903E7" w:rsidRPr="00F06F75">
        <w:rPr>
          <w:lang w:val="en-CA"/>
        </w:rPr>
        <w:t>it has</w:t>
      </w:r>
      <w:r w:rsidRPr="00F06F75">
        <w:rPr>
          <w:lang w:val="en-CA"/>
        </w:rPr>
        <w:t xml:space="preserve"> taken steps to minimise the travel costs and number of participants/duration of participation at meetings, to the extent feasible.</w:t>
      </w:r>
    </w:p>
    <w:p w:rsidR="00FE13C4" w:rsidRPr="00F06F75" w:rsidRDefault="00FE13C4" w:rsidP="00F06F75">
      <w:pPr>
        <w:spacing w:after="240"/>
        <w:rPr>
          <w:u w:val="single"/>
          <w:lang w:val="en-CA"/>
        </w:rPr>
      </w:pPr>
      <w:r w:rsidRPr="00F06F75">
        <w:rPr>
          <w:u w:val="single"/>
          <w:lang w:val="en-CA"/>
        </w:rPr>
        <w:t>Total administrative costs</w:t>
      </w:r>
    </w:p>
    <w:p w:rsidR="00FE13C4" w:rsidRPr="00F06F75" w:rsidRDefault="00FE13C4" w:rsidP="00F06F75">
      <w:pPr>
        <w:pStyle w:val="Heading1"/>
        <w:rPr>
          <w:lang w:val="en-CA"/>
        </w:rPr>
      </w:pPr>
      <w:r w:rsidRPr="00F06F75">
        <w:rPr>
          <w:lang w:val="en-CA"/>
        </w:rPr>
        <w:t xml:space="preserve"> UNDP expects administrative costs to amount to US $5,566,239 in 2020, slightly above the estimated 2019 costs of US $5,469,927. </w:t>
      </w:r>
    </w:p>
    <w:p w:rsidR="00FE13C4" w:rsidRPr="00F06F75" w:rsidRDefault="00FE13C4" w:rsidP="00F06F75">
      <w:pPr>
        <w:pStyle w:val="Heading1"/>
        <w:rPr>
          <w:lang w:val="en-CA"/>
        </w:rPr>
      </w:pPr>
      <w:r w:rsidRPr="00F06F75">
        <w:rPr>
          <w:lang w:val="en-CA"/>
        </w:rPr>
        <w:t>The level of funding for reimbursement of country offices and national execution is expected to be at the same level as in 2019 (US $1,925,000). This is within the same range of costs between 2011 and 2019 – from a high of US $2,442,896 in 2013 to a low of US $1,472,814 in 2016.</w:t>
      </w:r>
    </w:p>
    <w:p w:rsidR="00FE13C4" w:rsidRPr="00F06F75" w:rsidRDefault="00FE13C4" w:rsidP="00F06F75">
      <w:pPr>
        <w:pStyle w:val="Heading1"/>
        <w:rPr>
          <w:lang w:val="en-CA"/>
        </w:rPr>
      </w:pPr>
      <w:r w:rsidRPr="00F06F75">
        <w:rPr>
          <w:lang w:val="en-CA"/>
        </w:rPr>
        <w:lastRenderedPageBreak/>
        <w:t xml:space="preserve">The expected resources available to UNDP for administrative costs include both the core unit costs and the agency support costs released on the basis of a disbursement against a project cost plus any balance of income for administrative costs not previously used. Table 2 presents this information for 2009 to 2019. It is assumed that the approved funds are disbursed, therefore, there may be a time lag before UNDP has access to all of the approved funds. </w:t>
      </w:r>
    </w:p>
    <w:p w:rsidR="00FE13C4" w:rsidRPr="00F06F75" w:rsidRDefault="00FE13C4" w:rsidP="00F06F75">
      <w:pPr>
        <w:keepNext/>
        <w:keepLines/>
        <w:rPr>
          <w:b/>
          <w:caps/>
          <w:lang w:val="en-CA"/>
        </w:rPr>
      </w:pPr>
      <w:r w:rsidRPr="00F06F75">
        <w:rPr>
          <w:b/>
          <w:lang w:val="en-CA"/>
        </w:rPr>
        <w:t>Table 2: Assessment of availability of income for future administrative costs for</w:t>
      </w:r>
      <w:r w:rsidRPr="00F06F75">
        <w:rPr>
          <w:b/>
          <w:caps/>
          <w:lang w:val="en-CA"/>
        </w:rPr>
        <w:t xml:space="preserve"> UNDP (us $)</w:t>
      </w:r>
    </w:p>
    <w:tbl>
      <w:tblPr>
        <w:tblW w:w="1117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6"/>
        <w:gridCol w:w="856"/>
        <w:gridCol w:w="960"/>
        <w:gridCol w:w="960"/>
        <w:gridCol w:w="856"/>
        <w:gridCol w:w="856"/>
        <w:gridCol w:w="856"/>
        <w:gridCol w:w="856"/>
        <w:gridCol w:w="856"/>
        <w:gridCol w:w="856"/>
        <w:gridCol w:w="856"/>
      </w:tblGrid>
      <w:tr w:rsidR="00F06F75" w:rsidRPr="00F06F75" w:rsidTr="007903E7">
        <w:trPr>
          <w:trHeight w:val="264"/>
        </w:trPr>
        <w:tc>
          <w:tcPr>
            <w:tcW w:w="1560" w:type="dxa"/>
            <w:shd w:val="clear" w:color="auto" w:fill="auto"/>
            <w:noWrap/>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UNDP</w:t>
            </w:r>
          </w:p>
        </w:tc>
        <w:tc>
          <w:tcPr>
            <w:tcW w:w="856" w:type="dxa"/>
            <w:shd w:val="clear" w:color="auto" w:fill="auto"/>
            <w:noWrap/>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2009</w:t>
            </w:r>
          </w:p>
        </w:tc>
        <w:tc>
          <w:tcPr>
            <w:tcW w:w="845" w:type="dxa"/>
            <w:shd w:val="clear" w:color="auto" w:fill="auto"/>
            <w:noWrap/>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2010</w:t>
            </w:r>
          </w:p>
        </w:tc>
        <w:tc>
          <w:tcPr>
            <w:tcW w:w="960" w:type="dxa"/>
            <w:shd w:val="clear" w:color="auto" w:fill="auto"/>
            <w:noWrap/>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2011</w:t>
            </w:r>
          </w:p>
        </w:tc>
        <w:tc>
          <w:tcPr>
            <w:tcW w:w="960" w:type="dxa"/>
            <w:shd w:val="clear" w:color="auto" w:fill="auto"/>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2012</w:t>
            </w:r>
          </w:p>
        </w:tc>
        <w:tc>
          <w:tcPr>
            <w:tcW w:w="856" w:type="dxa"/>
            <w:shd w:val="clear" w:color="auto" w:fill="auto"/>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2013</w:t>
            </w:r>
          </w:p>
        </w:tc>
        <w:tc>
          <w:tcPr>
            <w:tcW w:w="856" w:type="dxa"/>
            <w:shd w:val="clear" w:color="auto" w:fill="auto"/>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2014</w:t>
            </w:r>
          </w:p>
        </w:tc>
        <w:tc>
          <w:tcPr>
            <w:tcW w:w="856" w:type="dxa"/>
            <w:shd w:val="clear" w:color="auto" w:fill="auto"/>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2015</w:t>
            </w:r>
          </w:p>
        </w:tc>
        <w:tc>
          <w:tcPr>
            <w:tcW w:w="856" w:type="dxa"/>
            <w:shd w:val="clear" w:color="auto" w:fill="auto"/>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2016</w:t>
            </w:r>
          </w:p>
        </w:tc>
        <w:tc>
          <w:tcPr>
            <w:tcW w:w="856" w:type="dxa"/>
            <w:shd w:val="clear" w:color="auto" w:fill="auto"/>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2017</w:t>
            </w:r>
          </w:p>
        </w:tc>
        <w:tc>
          <w:tcPr>
            <w:tcW w:w="856" w:type="dxa"/>
            <w:shd w:val="clear" w:color="auto" w:fill="auto"/>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2018</w:t>
            </w:r>
          </w:p>
        </w:tc>
        <w:tc>
          <w:tcPr>
            <w:tcW w:w="856" w:type="dxa"/>
            <w:shd w:val="clear" w:color="auto" w:fill="auto"/>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2019*</w:t>
            </w:r>
          </w:p>
        </w:tc>
      </w:tr>
      <w:tr w:rsidR="00F06F75" w:rsidRPr="00F06F75" w:rsidTr="007903E7">
        <w:trPr>
          <w:trHeight w:val="264"/>
        </w:trPr>
        <w:tc>
          <w:tcPr>
            <w:tcW w:w="1560" w:type="dxa"/>
            <w:shd w:val="clear" w:color="auto" w:fill="auto"/>
            <w:noWrap/>
            <w:vAlign w:val="center"/>
            <w:hideMark/>
          </w:tcPr>
          <w:p w:rsidR="00FE13C4" w:rsidRPr="00F06F75" w:rsidRDefault="00FE13C4" w:rsidP="00F06F75">
            <w:pPr>
              <w:jc w:val="left"/>
              <w:rPr>
                <w:sz w:val="16"/>
                <w:szCs w:val="16"/>
                <w:lang w:val="en-CA" w:eastAsia="en-CA"/>
              </w:rPr>
            </w:pPr>
            <w:r w:rsidRPr="00F06F75">
              <w:rPr>
                <w:sz w:val="16"/>
                <w:szCs w:val="16"/>
                <w:lang w:val="en-CA" w:eastAsia="en-CA"/>
              </w:rPr>
              <w:t>Net agency support costs plus core unit costs</w:t>
            </w:r>
          </w:p>
        </w:tc>
        <w:tc>
          <w:tcPr>
            <w:tcW w:w="856" w:type="dxa"/>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2,921,495</w:t>
            </w:r>
          </w:p>
        </w:tc>
        <w:tc>
          <w:tcPr>
            <w:tcW w:w="845" w:type="dxa"/>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3,446,458</w:t>
            </w:r>
          </w:p>
        </w:tc>
        <w:tc>
          <w:tcPr>
            <w:tcW w:w="960" w:type="dxa"/>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6,307,084</w:t>
            </w:r>
          </w:p>
        </w:tc>
        <w:tc>
          <w:tcPr>
            <w:tcW w:w="960" w:type="dxa"/>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4,499,632</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4,512,092</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3,650,794</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4,463,263</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5,079,321</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4,556,828</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5,007,070</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4,076,192</w:t>
            </w:r>
          </w:p>
        </w:tc>
      </w:tr>
      <w:tr w:rsidR="00F06F75" w:rsidRPr="00F06F75" w:rsidTr="007903E7">
        <w:trPr>
          <w:trHeight w:val="264"/>
        </w:trPr>
        <w:tc>
          <w:tcPr>
            <w:tcW w:w="1560" w:type="dxa"/>
            <w:shd w:val="clear" w:color="auto" w:fill="auto"/>
            <w:noWrap/>
            <w:vAlign w:val="center"/>
            <w:hideMark/>
          </w:tcPr>
          <w:p w:rsidR="00FE13C4" w:rsidRPr="00F06F75" w:rsidRDefault="00FE13C4" w:rsidP="00F06F75">
            <w:pPr>
              <w:jc w:val="left"/>
              <w:rPr>
                <w:sz w:val="16"/>
                <w:szCs w:val="16"/>
                <w:lang w:val="en-CA" w:eastAsia="en-CA"/>
              </w:rPr>
            </w:pPr>
            <w:r w:rsidRPr="00F06F75">
              <w:rPr>
                <w:sz w:val="16"/>
                <w:szCs w:val="16"/>
                <w:lang w:val="en-CA" w:eastAsia="en-CA"/>
              </w:rPr>
              <w:t>Total administrative cost</w:t>
            </w:r>
          </w:p>
        </w:tc>
        <w:tc>
          <w:tcPr>
            <w:tcW w:w="856" w:type="dxa"/>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5,008,991</w:t>
            </w:r>
          </w:p>
        </w:tc>
        <w:tc>
          <w:tcPr>
            <w:tcW w:w="845" w:type="dxa"/>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3,893,025</w:t>
            </w:r>
          </w:p>
        </w:tc>
        <w:tc>
          <w:tcPr>
            <w:tcW w:w="960" w:type="dxa"/>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5,206,483</w:t>
            </w:r>
          </w:p>
        </w:tc>
        <w:tc>
          <w:tcPr>
            <w:tcW w:w="960" w:type="dxa"/>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4,956,032</w:t>
            </w:r>
          </w:p>
        </w:tc>
        <w:tc>
          <w:tcPr>
            <w:tcW w:w="856" w:type="dxa"/>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5,723,531</w:t>
            </w:r>
          </w:p>
        </w:tc>
        <w:tc>
          <w:tcPr>
            <w:tcW w:w="856" w:type="dxa"/>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4,730,773</w:t>
            </w:r>
          </w:p>
        </w:tc>
        <w:tc>
          <w:tcPr>
            <w:tcW w:w="856" w:type="dxa"/>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4,772,532</w:t>
            </w:r>
          </w:p>
        </w:tc>
        <w:tc>
          <w:tcPr>
            <w:tcW w:w="856" w:type="dxa"/>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4,350,371</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5,042,289</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5,718,858</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5,469,927</w:t>
            </w:r>
          </w:p>
        </w:tc>
      </w:tr>
      <w:tr w:rsidR="00F06F75" w:rsidRPr="00F06F75" w:rsidTr="007903E7">
        <w:trPr>
          <w:trHeight w:val="264"/>
        </w:trPr>
        <w:tc>
          <w:tcPr>
            <w:tcW w:w="1560" w:type="dxa"/>
            <w:shd w:val="clear" w:color="auto" w:fill="auto"/>
            <w:noWrap/>
            <w:vAlign w:val="center"/>
            <w:hideMark/>
          </w:tcPr>
          <w:p w:rsidR="00FE13C4" w:rsidRPr="00F06F75" w:rsidRDefault="00FE13C4" w:rsidP="00F06F75">
            <w:pPr>
              <w:jc w:val="left"/>
              <w:rPr>
                <w:sz w:val="16"/>
                <w:szCs w:val="16"/>
                <w:lang w:val="en-CA" w:eastAsia="en-CA"/>
              </w:rPr>
            </w:pPr>
            <w:r w:rsidRPr="00F06F75">
              <w:rPr>
                <w:sz w:val="16"/>
                <w:szCs w:val="16"/>
                <w:lang w:val="en-CA" w:eastAsia="en-CA"/>
              </w:rPr>
              <w:t>Balance per year</w:t>
            </w:r>
          </w:p>
        </w:tc>
        <w:tc>
          <w:tcPr>
            <w:tcW w:w="856" w:type="dxa"/>
            <w:shd w:val="clear" w:color="auto" w:fill="auto"/>
            <w:noWrap/>
            <w:hideMark/>
          </w:tcPr>
          <w:p w:rsidR="00FE13C4" w:rsidRPr="00F06F75" w:rsidRDefault="00FE13C4" w:rsidP="00F06F75">
            <w:pPr>
              <w:ind w:left="-109"/>
              <w:jc w:val="right"/>
              <w:rPr>
                <w:sz w:val="16"/>
                <w:szCs w:val="16"/>
                <w:lang w:val="en-CA" w:eastAsia="en-CA"/>
              </w:rPr>
            </w:pPr>
            <w:r w:rsidRPr="00F06F75">
              <w:rPr>
                <w:sz w:val="16"/>
                <w:szCs w:val="16"/>
                <w:lang w:val="en-CA" w:eastAsia="en-CA"/>
              </w:rPr>
              <w:t>-2,087,496</w:t>
            </w:r>
          </w:p>
        </w:tc>
        <w:tc>
          <w:tcPr>
            <w:tcW w:w="845" w:type="dxa"/>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-446,567</w:t>
            </w:r>
          </w:p>
        </w:tc>
        <w:tc>
          <w:tcPr>
            <w:tcW w:w="960" w:type="dxa"/>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1,100,601</w:t>
            </w:r>
          </w:p>
        </w:tc>
        <w:tc>
          <w:tcPr>
            <w:tcW w:w="960" w:type="dxa"/>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-456,400</w:t>
            </w:r>
          </w:p>
        </w:tc>
        <w:tc>
          <w:tcPr>
            <w:tcW w:w="856" w:type="dxa"/>
            <w:shd w:val="clear" w:color="auto" w:fill="auto"/>
            <w:noWrap/>
            <w:hideMark/>
          </w:tcPr>
          <w:p w:rsidR="00FE13C4" w:rsidRPr="00F06F75" w:rsidRDefault="00FE13C4" w:rsidP="00F06F75">
            <w:pPr>
              <w:ind w:left="-201"/>
              <w:jc w:val="right"/>
              <w:rPr>
                <w:sz w:val="16"/>
                <w:szCs w:val="16"/>
                <w:lang w:val="en-CA" w:eastAsia="en-CA"/>
              </w:rPr>
            </w:pPr>
            <w:r w:rsidRPr="00F06F75">
              <w:rPr>
                <w:sz w:val="16"/>
                <w:szCs w:val="16"/>
                <w:lang w:val="en-CA" w:eastAsia="en-CA"/>
              </w:rPr>
              <w:t>-1,211,439</w:t>
            </w:r>
          </w:p>
        </w:tc>
        <w:tc>
          <w:tcPr>
            <w:tcW w:w="856" w:type="dxa"/>
            <w:shd w:val="clear" w:color="auto" w:fill="auto"/>
            <w:noWrap/>
            <w:hideMark/>
          </w:tcPr>
          <w:p w:rsidR="00FE13C4" w:rsidRPr="00F06F75" w:rsidRDefault="00FE13C4" w:rsidP="00F06F75">
            <w:pPr>
              <w:ind w:left="-61"/>
              <w:jc w:val="right"/>
              <w:rPr>
                <w:sz w:val="16"/>
                <w:szCs w:val="16"/>
                <w:lang w:val="en-CA" w:eastAsia="en-CA"/>
              </w:rPr>
            </w:pPr>
            <w:r w:rsidRPr="00F06F75">
              <w:rPr>
                <w:sz w:val="16"/>
                <w:szCs w:val="16"/>
                <w:lang w:val="en-CA" w:eastAsia="en-CA"/>
              </w:rPr>
              <w:t>-1,079,979</w:t>
            </w:r>
          </w:p>
        </w:tc>
        <w:tc>
          <w:tcPr>
            <w:tcW w:w="856" w:type="dxa"/>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-309,269</w:t>
            </w:r>
          </w:p>
        </w:tc>
        <w:tc>
          <w:tcPr>
            <w:tcW w:w="856" w:type="dxa"/>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728,950</w:t>
            </w:r>
          </w:p>
        </w:tc>
        <w:tc>
          <w:tcPr>
            <w:tcW w:w="856" w:type="dxa"/>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-485,461</w:t>
            </w:r>
          </w:p>
        </w:tc>
        <w:tc>
          <w:tcPr>
            <w:tcW w:w="856" w:type="dxa"/>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-711,788</w:t>
            </w:r>
          </w:p>
        </w:tc>
        <w:tc>
          <w:tcPr>
            <w:tcW w:w="856" w:type="dxa"/>
            <w:shd w:val="clear" w:color="auto" w:fill="auto"/>
            <w:noWrap/>
            <w:hideMark/>
          </w:tcPr>
          <w:p w:rsidR="00FE13C4" w:rsidRPr="00F06F75" w:rsidRDefault="00FE13C4" w:rsidP="00F06F75">
            <w:pPr>
              <w:ind w:left="-234"/>
              <w:jc w:val="right"/>
              <w:rPr>
                <w:sz w:val="16"/>
                <w:szCs w:val="16"/>
                <w:lang w:val="en-CA" w:eastAsia="en-CA"/>
              </w:rPr>
            </w:pPr>
            <w:r w:rsidRPr="00F06F75">
              <w:rPr>
                <w:sz w:val="16"/>
                <w:szCs w:val="16"/>
                <w:lang w:val="en-CA" w:eastAsia="en-CA"/>
              </w:rPr>
              <w:t>-1,393,735</w:t>
            </w:r>
          </w:p>
        </w:tc>
      </w:tr>
      <w:tr w:rsidR="00F06F75" w:rsidRPr="00F06F75" w:rsidTr="007903E7">
        <w:trPr>
          <w:trHeight w:val="264"/>
        </w:trPr>
        <w:tc>
          <w:tcPr>
            <w:tcW w:w="1560" w:type="dxa"/>
            <w:shd w:val="clear" w:color="auto" w:fill="auto"/>
            <w:noWrap/>
            <w:vAlign w:val="center"/>
            <w:hideMark/>
          </w:tcPr>
          <w:p w:rsidR="00FE13C4" w:rsidRPr="00F06F75" w:rsidRDefault="00FE13C4" w:rsidP="00F06F75">
            <w:pPr>
              <w:jc w:val="left"/>
              <w:rPr>
                <w:sz w:val="16"/>
                <w:szCs w:val="16"/>
                <w:lang w:val="en-CA" w:eastAsia="en-CA"/>
              </w:rPr>
            </w:pPr>
            <w:r w:rsidRPr="00F06F75">
              <w:rPr>
                <w:sz w:val="16"/>
                <w:szCs w:val="16"/>
                <w:lang w:val="en-CA" w:eastAsia="en-CA"/>
              </w:rPr>
              <w:t>Running balance**</w:t>
            </w:r>
          </w:p>
        </w:tc>
        <w:tc>
          <w:tcPr>
            <w:tcW w:w="856" w:type="dxa"/>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2,551,863</w:t>
            </w:r>
          </w:p>
        </w:tc>
        <w:tc>
          <w:tcPr>
            <w:tcW w:w="845" w:type="dxa"/>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2,105,296</w:t>
            </w:r>
          </w:p>
        </w:tc>
        <w:tc>
          <w:tcPr>
            <w:tcW w:w="960" w:type="dxa"/>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3,205,898</w:t>
            </w:r>
          </w:p>
        </w:tc>
        <w:tc>
          <w:tcPr>
            <w:tcW w:w="960" w:type="dxa"/>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2,749,498</w:t>
            </w:r>
          </w:p>
        </w:tc>
        <w:tc>
          <w:tcPr>
            <w:tcW w:w="856" w:type="dxa"/>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1,538,059</w:t>
            </w:r>
          </w:p>
        </w:tc>
        <w:tc>
          <w:tcPr>
            <w:tcW w:w="856" w:type="dxa"/>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458,081</w:t>
            </w:r>
          </w:p>
        </w:tc>
        <w:tc>
          <w:tcPr>
            <w:tcW w:w="856" w:type="dxa"/>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148,812</w:t>
            </w:r>
          </w:p>
        </w:tc>
        <w:tc>
          <w:tcPr>
            <w:tcW w:w="856" w:type="dxa"/>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877,762</w:t>
            </w:r>
          </w:p>
        </w:tc>
        <w:tc>
          <w:tcPr>
            <w:tcW w:w="856" w:type="dxa"/>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392,301</w:t>
            </w:r>
          </w:p>
        </w:tc>
        <w:tc>
          <w:tcPr>
            <w:tcW w:w="856" w:type="dxa"/>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-319,486</w:t>
            </w:r>
          </w:p>
        </w:tc>
        <w:tc>
          <w:tcPr>
            <w:tcW w:w="856" w:type="dxa"/>
            <w:shd w:val="clear" w:color="auto" w:fill="auto"/>
            <w:noWrap/>
            <w:hideMark/>
          </w:tcPr>
          <w:p w:rsidR="00FE13C4" w:rsidRPr="00F06F75" w:rsidRDefault="00FE13C4" w:rsidP="00F06F75">
            <w:pPr>
              <w:ind w:left="-93"/>
              <w:jc w:val="right"/>
              <w:rPr>
                <w:sz w:val="16"/>
                <w:szCs w:val="16"/>
                <w:lang w:val="en-CA" w:eastAsia="en-CA"/>
              </w:rPr>
            </w:pPr>
            <w:r w:rsidRPr="00F06F75">
              <w:rPr>
                <w:sz w:val="16"/>
                <w:szCs w:val="16"/>
                <w:lang w:val="en-CA" w:eastAsia="en-CA"/>
              </w:rPr>
              <w:t>-1,713,221</w:t>
            </w:r>
          </w:p>
        </w:tc>
      </w:tr>
    </w:tbl>
    <w:p w:rsidR="00FE13C4" w:rsidRPr="00F06F75" w:rsidRDefault="00FE13C4" w:rsidP="00F06F75">
      <w:pPr>
        <w:rPr>
          <w:caps/>
          <w:sz w:val="16"/>
          <w:szCs w:val="16"/>
          <w:lang w:val="en-CA"/>
        </w:rPr>
      </w:pPr>
      <w:r w:rsidRPr="00F06F75">
        <w:rPr>
          <w:sz w:val="16"/>
          <w:szCs w:val="16"/>
          <w:vertAlign w:val="superscript"/>
          <w:lang w:val="en-CA"/>
        </w:rPr>
        <w:t>*</w:t>
      </w:r>
      <w:r w:rsidRPr="00F06F75">
        <w:rPr>
          <w:sz w:val="16"/>
          <w:szCs w:val="16"/>
          <w:lang w:val="en-CA"/>
        </w:rPr>
        <w:t xml:space="preserve"> Including support costs approved at the 83</w:t>
      </w:r>
      <w:r w:rsidRPr="00F06F75">
        <w:rPr>
          <w:sz w:val="16"/>
          <w:szCs w:val="16"/>
          <w:vertAlign w:val="superscript"/>
          <w:lang w:val="en-CA"/>
        </w:rPr>
        <w:t>rd</w:t>
      </w:r>
      <w:r w:rsidRPr="00F06F75">
        <w:rPr>
          <w:sz w:val="16"/>
          <w:szCs w:val="16"/>
          <w:lang w:val="en-CA"/>
        </w:rPr>
        <w:t xml:space="preserve"> meeting, and the value of agency support costs and core unit costs from submissions to the 84</w:t>
      </w:r>
      <w:r w:rsidRPr="00F06F75">
        <w:rPr>
          <w:sz w:val="16"/>
          <w:szCs w:val="16"/>
          <w:vertAlign w:val="superscript"/>
          <w:lang w:val="en-CA"/>
        </w:rPr>
        <w:t>th</w:t>
      </w:r>
      <w:r w:rsidR="009602BE" w:rsidRPr="00F06F75">
        <w:rPr>
          <w:sz w:val="16"/>
          <w:szCs w:val="16"/>
          <w:lang w:val="en-CA"/>
        </w:rPr>
        <w:t> </w:t>
      </w:r>
      <w:r w:rsidRPr="00F06F75">
        <w:rPr>
          <w:sz w:val="16"/>
          <w:szCs w:val="16"/>
          <w:lang w:val="en-CA"/>
        </w:rPr>
        <w:t>meeting.</w:t>
      </w:r>
    </w:p>
    <w:p w:rsidR="00FE13C4" w:rsidRPr="00F06F75" w:rsidRDefault="00FE13C4" w:rsidP="00F06F75">
      <w:pPr>
        <w:rPr>
          <w:sz w:val="16"/>
          <w:szCs w:val="16"/>
          <w:lang w:val="en-CA"/>
        </w:rPr>
      </w:pPr>
      <w:r w:rsidRPr="00F06F75">
        <w:rPr>
          <w:sz w:val="16"/>
          <w:szCs w:val="16"/>
          <w:vertAlign w:val="superscript"/>
          <w:lang w:val="en-CA"/>
        </w:rPr>
        <w:t>**</w:t>
      </w:r>
      <w:r w:rsidRPr="00F06F75">
        <w:rPr>
          <w:sz w:val="16"/>
          <w:szCs w:val="16"/>
          <w:lang w:val="en-CA"/>
        </w:rPr>
        <w:t xml:space="preserve"> Excludes any balance from years prior to 2002.</w:t>
      </w:r>
    </w:p>
    <w:p w:rsidR="00FE13C4" w:rsidRPr="00F06F75" w:rsidRDefault="00FE13C4" w:rsidP="00F06F75">
      <w:pPr>
        <w:jc w:val="left"/>
        <w:rPr>
          <w:sz w:val="16"/>
          <w:szCs w:val="16"/>
          <w:lang w:val="en-CA"/>
        </w:rPr>
      </w:pPr>
    </w:p>
    <w:p w:rsidR="00FE13C4" w:rsidRPr="00F06F75" w:rsidRDefault="00FE13C4" w:rsidP="00F06F75">
      <w:pPr>
        <w:pStyle w:val="Heading1"/>
        <w:rPr>
          <w:lang w:val="en-CA"/>
        </w:rPr>
      </w:pPr>
      <w:r w:rsidRPr="00F06F75">
        <w:rPr>
          <w:lang w:val="en-CA"/>
        </w:rPr>
        <w:t>Table 2 shows that UNDP could have a negative accumulated balance at the end of 2019, amounting to US $1,713,221. UNDP would have to generate at least US $7,279,460 in agency support costs and core unit costs in 2020 to cover its expected total 2020 administrative costs of US $5,566,239.</w:t>
      </w:r>
      <w:r w:rsidRPr="00F06F75">
        <w:rPr>
          <w:b/>
          <w:bCs/>
          <w:sz w:val="16"/>
          <w:szCs w:val="16"/>
        </w:rPr>
        <w:t xml:space="preserve"> </w:t>
      </w:r>
      <w:r w:rsidRPr="00F06F75">
        <w:rPr>
          <w:b/>
          <w:bCs/>
          <w:sz w:val="16"/>
          <w:szCs w:val="16"/>
          <w:lang w:val="en-US"/>
        </w:rPr>
        <w:t xml:space="preserve"> </w:t>
      </w:r>
    </w:p>
    <w:p w:rsidR="00FE13C4" w:rsidRPr="00F06F75" w:rsidRDefault="00FE13C4" w:rsidP="00F06F75">
      <w:pPr>
        <w:keepNext/>
        <w:spacing w:after="240"/>
        <w:rPr>
          <w:b/>
          <w:lang w:val="en-CA"/>
        </w:rPr>
      </w:pPr>
      <w:r w:rsidRPr="00F06F75">
        <w:rPr>
          <w:b/>
          <w:lang w:val="en-CA"/>
        </w:rPr>
        <w:t>UNIDO</w:t>
      </w:r>
    </w:p>
    <w:p w:rsidR="00FE13C4" w:rsidRPr="00F06F75" w:rsidRDefault="00FE13C4" w:rsidP="00F06F75">
      <w:pPr>
        <w:pStyle w:val="Heading1"/>
        <w:rPr>
          <w:lang w:val="en-CA"/>
        </w:rPr>
      </w:pPr>
      <w:r w:rsidRPr="00F06F75">
        <w:rPr>
          <w:lang w:val="en-CA"/>
        </w:rPr>
        <w:t>Table 3 presents the core unit budget and administrative costs provided by UNIDO. The figures listed as “actual” are based on a model prepared by UNIDO to estimate the support cost of the Montreal Protocol unit pursuant to decision 56/41.</w:t>
      </w:r>
      <w:r w:rsidRPr="00F06F75">
        <w:rPr>
          <w:rStyle w:val="FootnoteReference"/>
          <w:lang w:val="en-CA"/>
        </w:rPr>
        <w:footnoteReference w:id="3"/>
      </w:r>
      <w:r w:rsidRPr="00F06F75">
        <w:rPr>
          <w:lang w:val="en-CA"/>
        </w:rPr>
        <w:t xml:space="preserve"> </w:t>
      </w:r>
      <w:r w:rsidRPr="00F06F75">
        <w:rPr>
          <w:rFonts w:cs="Arial"/>
        </w:rPr>
        <w:t>UNIDO has never had an appropriate cost centre accounting system that could facilitate reporting based on actual data with an audit trail. UNIDO has indicated that an alignment was established in 2017 to reflect the total administrative costs, including those which as per current UNIDO methodology may have been termed as possible project-related administrative costs.</w:t>
      </w:r>
    </w:p>
    <w:p w:rsidR="00FE13C4" w:rsidRPr="00F06F75" w:rsidRDefault="00FE13C4" w:rsidP="00F06F75">
      <w:pPr>
        <w:keepNext/>
        <w:keepLines/>
        <w:rPr>
          <w:b/>
          <w:bCs/>
          <w:lang w:val="en-CA"/>
        </w:rPr>
      </w:pPr>
      <w:r w:rsidRPr="00F06F75">
        <w:rPr>
          <w:b/>
          <w:lang w:val="en-CA"/>
        </w:rPr>
        <w:t>Table 3: C</w:t>
      </w:r>
      <w:r w:rsidRPr="00F06F75">
        <w:rPr>
          <w:b/>
          <w:bCs/>
          <w:lang w:val="en-CA"/>
        </w:rPr>
        <w:t>ore unit budget data and other administrative costs for the years 2011-2020 for UNIDO (US $)</w:t>
      </w:r>
    </w:p>
    <w:tbl>
      <w:tblPr>
        <w:tblW w:w="11226" w:type="dxa"/>
        <w:tblInd w:w="-714" w:type="dxa"/>
        <w:tblLook w:val="04A0" w:firstRow="1" w:lastRow="0" w:firstColumn="1" w:lastColumn="0" w:noHBand="0" w:noVBand="1"/>
      </w:tblPr>
      <w:tblGrid>
        <w:gridCol w:w="1702"/>
        <w:gridCol w:w="856"/>
        <w:gridCol w:w="856"/>
        <w:gridCol w:w="856"/>
        <w:gridCol w:w="856"/>
        <w:gridCol w:w="856"/>
        <w:gridCol w:w="856"/>
        <w:gridCol w:w="856"/>
        <w:gridCol w:w="856"/>
        <w:gridCol w:w="910"/>
        <w:gridCol w:w="910"/>
        <w:gridCol w:w="856"/>
      </w:tblGrid>
      <w:tr w:rsidR="00F06F75" w:rsidRPr="00F06F75" w:rsidTr="007903E7">
        <w:trPr>
          <w:trHeight w:val="50"/>
          <w:tblHeader/>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E13C4" w:rsidRPr="00F06F75" w:rsidRDefault="00FE13C4" w:rsidP="00F06F75">
            <w:pPr>
              <w:keepNext/>
              <w:keepLines/>
              <w:rPr>
                <w:b/>
                <w:bCs/>
                <w:sz w:val="16"/>
                <w:szCs w:val="16"/>
                <w:lang w:val="en-CA" w:eastAsia="en-CA"/>
              </w:rPr>
            </w:pPr>
            <w:r w:rsidRPr="00F06F75">
              <w:rPr>
                <w:b/>
                <w:bCs/>
                <w:sz w:val="16"/>
                <w:szCs w:val="16"/>
                <w:lang w:val="en-CA" w:eastAsia="en-CA"/>
              </w:rPr>
              <w:t>Cost item</w:t>
            </w:r>
          </w:p>
        </w:tc>
        <w:tc>
          <w:tcPr>
            <w:tcW w:w="856" w:type="dxa"/>
            <w:tcBorders>
              <w:top w:val="single" w:sz="4" w:space="0" w:color="auto"/>
              <w:left w:val="nil"/>
              <w:bottom w:val="single" w:sz="4" w:space="0" w:color="auto"/>
              <w:right w:val="single" w:sz="4" w:space="0" w:color="auto"/>
            </w:tcBorders>
            <w:shd w:val="clear" w:color="auto" w:fill="auto"/>
            <w:hideMark/>
          </w:tcPr>
          <w:p w:rsidR="00FE13C4" w:rsidRPr="00F06F75" w:rsidRDefault="00FE13C4" w:rsidP="00F06F75">
            <w:pPr>
              <w:keepNext/>
              <w:keepLines/>
              <w:jc w:val="center"/>
              <w:rPr>
                <w:b/>
                <w:bCs/>
                <w:sz w:val="16"/>
                <w:szCs w:val="16"/>
                <w:lang w:val="en-CA" w:eastAsia="en-CA"/>
              </w:rPr>
            </w:pPr>
            <w:r w:rsidRPr="00F06F75">
              <w:rPr>
                <w:b/>
                <w:bCs/>
                <w:sz w:val="16"/>
                <w:szCs w:val="16"/>
                <w:lang w:val="en-CA" w:eastAsia="en-CA"/>
              </w:rPr>
              <w:t>2011</w:t>
            </w:r>
          </w:p>
        </w:tc>
        <w:tc>
          <w:tcPr>
            <w:tcW w:w="856" w:type="dxa"/>
            <w:tcBorders>
              <w:top w:val="single" w:sz="4" w:space="0" w:color="auto"/>
              <w:left w:val="nil"/>
              <w:bottom w:val="single" w:sz="4" w:space="0" w:color="auto"/>
              <w:right w:val="single" w:sz="4" w:space="0" w:color="auto"/>
            </w:tcBorders>
            <w:shd w:val="clear" w:color="auto" w:fill="auto"/>
            <w:hideMark/>
          </w:tcPr>
          <w:p w:rsidR="00FE13C4" w:rsidRPr="00F06F75" w:rsidRDefault="00FE13C4" w:rsidP="00F06F75">
            <w:pPr>
              <w:keepNext/>
              <w:keepLines/>
              <w:jc w:val="center"/>
              <w:rPr>
                <w:b/>
                <w:bCs/>
                <w:sz w:val="16"/>
                <w:szCs w:val="16"/>
                <w:lang w:val="en-CA" w:eastAsia="en-CA"/>
              </w:rPr>
            </w:pPr>
            <w:r w:rsidRPr="00F06F75">
              <w:rPr>
                <w:b/>
                <w:bCs/>
                <w:sz w:val="16"/>
                <w:szCs w:val="16"/>
                <w:lang w:val="en-CA" w:eastAsia="en-CA"/>
              </w:rPr>
              <w:t>2012</w:t>
            </w:r>
          </w:p>
        </w:tc>
        <w:tc>
          <w:tcPr>
            <w:tcW w:w="856" w:type="dxa"/>
            <w:tcBorders>
              <w:top w:val="single" w:sz="4" w:space="0" w:color="auto"/>
              <w:left w:val="nil"/>
              <w:bottom w:val="single" w:sz="4" w:space="0" w:color="auto"/>
              <w:right w:val="single" w:sz="4" w:space="0" w:color="auto"/>
            </w:tcBorders>
            <w:shd w:val="clear" w:color="auto" w:fill="auto"/>
            <w:hideMark/>
          </w:tcPr>
          <w:p w:rsidR="00FE13C4" w:rsidRPr="00F06F75" w:rsidRDefault="00FE13C4" w:rsidP="00F06F75">
            <w:pPr>
              <w:keepNext/>
              <w:keepLines/>
              <w:jc w:val="center"/>
              <w:rPr>
                <w:b/>
                <w:bCs/>
                <w:sz w:val="16"/>
                <w:szCs w:val="16"/>
                <w:lang w:val="en-CA" w:eastAsia="en-CA"/>
              </w:rPr>
            </w:pPr>
            <w:r w:rsidRPr="00F06F75">
              <w:rPr>
                <w:b/>
                <w:bCs/>
                <w:sz w:val="16"/>
                <w:szCs w:val="16"/>
                <w:lang w:val="en-CA" w:eastAsia="en-CA"/>
              </w:rPr>
              <w:t>2013</w:t>
            </w:r>
          </w:p>
        </w:tc>
        <w:tc>
          <w:tcPr>
            <w:tcW w:w="856" w:type="dxa"/>
            <w:tcBorders>
              <w:top w:val="single" w:sz="4" w:space="0" w:color="auto"/>
              <w:left w:val="nil"/>
              <w:bottom w:val="single" w:sz="4" w:space="0" w:color="auto"/>
              <w:right w:val="single" w:sz="4" w:space="0" w:color="auto"/>
            </w:tcBorders>
            <w:shd w:val="clear" w:color="auto" w:fill="auto"/>
            <w:hideMark/>
          </w:tcPr>
          <w:p w:rsidR="00FE13C4" w:rsidRPr="00F06F75" w:rsidRDefault="00FE13C4" w:rsidP="00F06F75">
            <w:pPr>
              <w:keepNext/>
              <w:keepLines/>
              <w:jc w:val="center"/>
              <w:rPr>
                <w:b/>
                <w:bCs/>
                <w:sz w:val="16"/>
                <w:szCs w:val="16"/>
                <w:lang w:val="en-CA" w:eastAsia="en-CA"/>
              </w:rPr>
            </w:pPr>
            <w:r w:rsidRPr="00F06F75">
              <w:rPr>
                <w:b/>
                <w:bCs/>
                <w:sz w:val="16"/>
                <w:szCs w:val="16"/>
                <w:lang w:val="en-CA" w:eastAsia="en-CA"/>
              </w:rPr>
              <w:t>2014</w:t>
            </w:r>
          </w:p>
        </w:tc>
        <w:tc>
          <w:tcPr>
            <w:tcW w:w="856" w:type="dxa"/>
            <w:tcBorders>
              <w:top w:val="single" w:sz="4" w:space="0" w:color="auto"/>
              <w:left w:val="nil"/>
              <w:bottom w:val="single" w:sz="4" w:space="0" w:color="auto"/>
              <w:right w:val="single" w:sz="4" w:space="0" w:color="auto"/>
            </w:tcBorders>
            <w:shd w:val="clear" w:color="auto" w:fill="auto"/>
            <w:hideMark/>
          </w:tcPr>
          <w:p w:rsidR="00FE13C4" w:rsidRPr="00F06F75" w:rsidRDefault="00FE13C4" w:rsidP="00F06F75">
            <w:pPr>
              <w:keepNext/>
              <w:keepLines/>
              <w:jc w:val="center"/>
              <w:rPr>
                <w:b/>
                <w:bCs/>
                <w:sz w:val="16"/>
                <w:szCs w:val="16"/>
                <w:lang w:val="en-CA" w:eastAsia="en-CA"/>
              </w:rPr>
            </w:pPr>
            <w:r w:rsidRPr="00F06F75">
              <w:rPr>
                <w:b/>
                <w:bCs/>
                <w:sz w:val="16"/>
                <w:szCs w:val="16"/>
                <w:lang w:val="en-CA" w:eastAsia="en-CA"/>
              </w:rPr>
              <w:t>2015</w:t>
            </w:r>
          </w:p>
        </w:tc>
        <w:tc>
          <w:tcPr>
            <w:tcW w:w="856" w:type="dxa"/>
            <w:tcBorders>
              <w:top w:val="single" w:sz="4" w:space="0" w:color="auto"/>
              <w:left w:val="nil"/>
              <w:bottom w:val="single" w:sz="4" w:space="0" w:color="auto"/>
              <w:right w:val="single" w:sz="4" w:space="0" w:color="auto"/>
            </w:tcBorders>
            <w:shd w:val="clear" w:color="auto" w:fill="auto"/>
            <w:hideMark/>
          </w:tcPr>
          <w:p w:rsidR="00FE13C4" w:rsidRPr="00F06F75" w:rsidRDefault="00FE13C4" w:rsidP="00F06F75">
            <w:pPr>
              <w:keepNext/>
              <w:keepLines/>
              <w:jc w:val="center"/>
              <w:rPr>
                <w:b/>
                <w:bCs/>
                <w:sz w:val="16"/>
                <w:szCs w:val="16"/>
                <w:lang w:val="en-CA" w:eastAsia="en-CA"/>
              </w:rPr>
            </w:pPr>
            <w:r w:rsidRPr="00F06F75">
              <w:rPr>
                <w:b/>
                <w:bCs/>
                <w:sz w:val="16"/>
                <w:szCs w:val="16"/>
                <w:lang w:val="en-CA" w:eastAsia="en-CA"/>
              </w:rPr>
              <w:t>2016</w:t>
            </w:r>
          </w:p>
        </w:tc>
        <w:tc>
          <w:tcPr>
            <w:tcW w:w="856" w:type="dxa"/>
            <w:tcBorders>
              <w:top w:val="single" w:sz="4" w:space="0" w:color="auto"/>
              <w:left w:val="nil"/>
              <w:bottom w:val="single" w:sz="4" w:space="0" w:color="auto"/>
              <w:right w:val="single" w:sz="4" w:space="0" w:color="auto"/>
            </w:tcBorders>
            <w:shd w:val="clear" w:color="auto" w:fill="auto"/>
            <w:hideMark/>
          </w:tcPr>
          <w:p w:rsidR="00FE13C4" w:rsidRPr="00F06F75" w:rsidRDefault="00FE13C4" w:rsidP="00F06F75">
            <w:pPr>
              <w:keepNext/>
              <w:keepLines/>
              <w:jc w:val="center"/>
              <w:rPr>
                <w:b/>
                <w:bCs/>
                <w:sz w:val="16"/>
                <w:szCs w:val="16"/>
                <w:lang w:val="en-CA" w:eastAsia="en-CA"/>
              </w:rPr>
            </w:pPr>
            <w:r w:rsidRPr="00F06F75">
              <w:rPr>
                <w:b/>
                <w:bCs/>
                <w:sz w:val="16"/>
                <w:szCs w:val="16"/>
                <w:lang w:val="en-CA" w:eastAsia="en-CA"/>
              </w:rPr>
              <w:t>2017</w:t>
            </w:r>
          </w:p>
        </w:tc>
        <w:tc>
          <w:tcPr>
            <w:tcW w:w="856" w:type="dxa"/>
            <w:tcBorders>
              <w:top w:val="single" w:sz="4" w:space="0" w:color="auto"/>
              <w:left w:val="nil"/>
              <w:bottom w:val="single" w:sz="4" w:space="0" w:color="auto"/>
              <w:right w:val="single" w:sz="4" w:space="0" w:color="auto"/>
            </w:tcBorders>
            <w:shd w:val="clear" w:color="auto" w:fill="auto"/>
            <w:hideMark/>
          </w:tcPr>
          <w:p w:rsidR="00FE13C4" w:rsidRPr="00F06F75" w:rsidRDefault="00FE13C4" w:rsidP="00F06F75">
            <w:pPr>
              <w:keepNext/>
              <w:keepLines/>
              <w:jc w:val="center"/>
              <w:rPr>
                <w:b/>
                <w:bCs/>
                <w:sz w:val="16"/>
                <w:szCs w:val="16"/>
                <w:lang w:val="en-CA" w:eastAsia="en-CA"/>
              </w:rPr>
            </w:pPr>
            <w:r w:rsidRPr="00F06F75">
              <w:rPr>
                <w:b/>
                <w:bCs/>
                <w:sz w:val="16"/>
                <w:szCs w:val="16"/>
                <w:lang w:val="en-CA" w:eastAsia="en-CA"/>
              </w:rPr>
              <w:t>2018</w:t>
            </w:r>
          </w:p>
        </w:tc>
        <w:tc>
          <w:tcPr>
            <w:tcW w:w="1820" w:type="dxa"/>
            <w:gridSpan w:val="2"/>
            <w:tcBorders>
              <w:top w:val="single" w:sz="4" w:space="0" w:color="auto"/>
              <w:left w:val="nil"/>
              <w:bottom w:val="single" w:sz="4" w:space="0" w:color="auto"/>
              <w:right w:val="single" w:sz="4" w:space="0" w:color="auto"/>
            </w:tcBorders>
            <w:shd w:val="clear" w:color="auto" w:fill="auto"/>
          </w:tcPr>
          <w:p w:rsidR="00FE13C4" w:rsidRPr="00F06F75" w:rsidRDefault="00FE13C4" w:rsidP="00F06F75">
            <w:pPr>
              <w:keepNext/>
              <w:keepLines/>
              <w:jc w:val="center"/>
              <w:rPr>
                <w:b/>
                <w:bCs/>
                <w:sz w:val="16"/>
                <w:szCs w:val="16"/>
                <w:lang w:val="en-CA" w:eastAsia="en-CA"/>
              </w:rPr>
            </w:pPr>
            <w:r w:rsidRPr="00F06F75">
              <w:rPr>
                <w:b/>
                <w:bCs/>
                <w:sz w:val="16"/>
                <w:szCs w:val="16"/>
                <w:lang w:val="en-CA" w:eastAsia="en-CA"/>
              </w:rPr>
              <w:t>2019</w:t>
            </w:r>
          </w:p>
        </w:tc>
        <w:tc>
          <w:tcPr>
            <w:tcW w:w="856" w:type="dxa"/>
            <w:tcBorders>
              <w:top w:val="single" w:sz="4" w:space="0" w:color="auto"/>
              <w:left w:val="nil"/>
              <w:bottom w:val="single" w:sz="4" w:space="0" w:color="auto"/>
              <w:right w:val="single" w:sz="4" w:space="0" w:color="auto"/>
            </w:tcBorders>
          </w:tcPr>
          <w:p w:rsidR="00FE13C4" w:rsidRPr="00F06F75" w:rsidRDefault="00FE13C4" w:rsidP="00F06F75">
            <w:pPr>
              <w:keepNext/>
              <w:keepLines/>
              <w:jc w:val="center"/>
              <w:rPr>
                <w:b/>
                <w:bCs/>
                <w:sz w:val="16"/>
                <w:szCs w:val="16"/>
                <w:lang w:val="en-CA" w:eastAsia="en-CA"/>
              </w:rPr>
            </w:pPr>
            <w:r w:rsidRPr="00F06F75">
              <w:rPr>
                <w:b/>
                <w:bCs/>
                <w:sz w:val="16"/>
                <w:szCs w:val="16"/>
                <w:lang w:val="en-CA" w:eastAsia="en-CA"/>
              </w:rPr>
              <w:t>2020</w:t>
            </w:r>
          </w:p>
        </w:tc>
      </w:tr>
      <w:tr w:rsidR="00F06F75" w:rsidRPr="00F06F75" w:rsidTr="007903E7">
        <w:trPr>
          <w:trHeight w:val="50"/>
          <w:tblHead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FE13C4" w:rsidRPr="00F06F75" w:rsidRDefault="00FE13C4" w:rsidP="00F06F75">
            <w:pPr>
              <w:jc w:val="left"/>
              <w:rPr>
                <w:b/>
                <w:bCs/>
                <w:sz w:val="16"/>
                <w:szCs w:val="16"/>
                <w:lang w:val="en-CA" w:eastAsia="en-CA"/>
              </w:rPr>
            </w:pP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Actual</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Actual</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Actual</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Actual</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Actual</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Actual</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Actual</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Actual</w:t>
            </w:r>
          </w:p>
        </w:tc>
        <w:tc>
          <w:tcPr>
            <w:tcW w:w="91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Budget</w:t>
            </w:r>
          </w:p>
        </w:tc>
        <w:tc>
          <w:tcPr>
            <w:tcW w:w="91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Estimated</w:t>
            </w:r>
          </w:p>
        </w:tc>
        <w:tc>
          <w:tcPr>
            <w:tcW w:w="856" w:type="dxa"/>
            <w:tcBorders>
              <w:top w:val="nil"/>
              <w:left w:val="nil"/>
              <w:bottom w:val="single" w:sz="4" w:space="0" w:color="auto"/>
              <w:right w:val="single" w:sz="4" w:space="0" w:color="auto"/>
            </w:tcBorders>
          </w:tcPr>
          <w:p w:rsidR="00FE13C4" w:rsidRPr="00F06F75" w:rsidRDefault="00FE13C4" w:rsidP="00F06F75">
            <w:pPr>
              <w:jc w:val="center"/>
              <w:rPr>
                <w:b/>
                <w:bCs/>
                <w:sz w:val="16"/>
                <w:szCs w:val="16"/>
                <w:lang w:val="en-CA" w:eastAsia="en-CA"/>
              </w:rPr>
            </w:pPr>
            <w:r w:rsidRPr="00F06F75">
              <w:rPr>
                <w:b/>
                <w:bCs/>
                <w:sz w:val="16"/>
                <w:szCs w:val="16"/>
                <w:lang w:val="en-CA" w:eastAsia="en-CA"/>
              </w:rPr>
              <w:t>Proposed</w:t>
            </w:r>
          </w:p>
        </w:tc>
      </w:tr>
      <w:tr w:rsidR="00F06F75" w:rsidRPr="00F06F75" w:rsidTr="007903E7">
        <w:trPr>
          <w:trHeight w:val="50"/>
        </w:trPr>
        <w:tc>
          <w:tcPr>
            <w:tcW w:w="11226"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FE13C4" w:rsidRPr="00F06F75" w:rsidRDefault="00FE13C4" w:rsidP="00F06F75">
            <w:pPr>
              <w:rPr>
                <w:b/>
                <w:bCs/>
                <w:sz w:val="16"/>
                <w:szCs w:val="16"/>
                <w:lang w:val="en-CA" w:eastAsia="en-CA"/>
              </w:rPr>
            </w:pPr>
            <w:r w:rsidRPr="00F06F75">
              <w:rPr>
                <w:b/>
                <w:bCs/>
                <w:sz w:val="16"/>
                <w:szCs w:val="16"/>
                <w:lang w:val="en-CA" w:eastAsia="en-CA"/>
              </w:rPr>
              <w:t>A. Core unit</w:t>
            </w:r>
          </w:p>
        </w:tc>
      </w:tr>
      <w:tr w:rsidR="00F06F75" w:rsidRPr="00F06F75" w:rsidTr="007903E7">
        <w:trPr>
          <w:trHeight w:val="264"/>
        </w:trPr>
        <w:tc>
          <w:tcPr>
            <w:tcW w:w="1702" w:type="dxa"/>
            <w:tcBorders>
              <w:top w:val="nil"/>
              <w:left w:val="single" w:sz="4" w:space="0" w:color="auto"/>
              <w:bottom w:val="single" w:sz="4" w:space="0" w:color="auto"/>
              <w:right w:val="single" w:sz="4" w:space="0" w:color="auto"/>
            </w:tcBorders>
            <w:shd w:val="clear" w:color="auto" w:fill="auto"/>
            <w:noWrap/>
            <w:hideMark/>
          </w:tcPr>
          <w:p w:rsidR="00FE13C4" w:rsidRPr="00F06F75" w:rsidRDefault="00FE13C4" w:rsidP="00F06F75">
            <w:pPr>
              <w:jc w:val="left"/>
              <w:rPr>
                <w:sz w:val="16"/>
                <w:szCs w:val="16"/>
                <w:lang w:val="en-CA" w:eastAsia="en-CA"/>
              </w:rPr>
            </w:pPr>
            <w:r w:rsidRPr="00F06F75">
              <w:rPr>
                <w:sz w:val="16"/>
                <w:szCs w:val="16"/>
                <w:lang w:val="en-CA" w:eastAsia="en-CA"/>
              </w:rPr>
              <w:t>Core unit personnel and contractual staff</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1,390,300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1,550,900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1,445,700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1,380,600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1,293,800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1,383,600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1,501,300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1,307,624</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1,485,700</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1,308,400</w:t>
            </w:r>
          </w:p>
        </w:tc>
        <w:tc>
          <w:tcPr>
            <w:tcW w:w="856" w:type="dxa"/>
            <w:tcBorders>
              <w:top w:val="nil"/>
              <w:left w:val="nil"/>
              <w:bottom w:val="single" w:sz="4" w:space="0" w:color="auto"/>
              <w:right w:val="single" w:sz="4" w:space="0" w:color="auto"/>
            </w:tcBorders>
          </w:tcPr>
          <w:p w:rsidR="00FE13C4" w:rsidRPr="00F06F75" w:rsidRDefault="00FE13C4" w:rsidP="00F06F75">
            <w:pPr>
              <w:jc w:val="right"/>
              <w:rPr>
                <w:sz w:val="16"/>
                <w:szCs w:val="16"/>
                <w:lang w:val="en-CA" w:eastAsia="en-CA"/>
              </w:rPr>
            </w:pPr>
            <w:r w:rsidRPr="00F06F75">
              <w:rPr>
                <w:sz w:val="16"/>
                <w:szCs w:val="16"/>
                <w:lang w:val="en-CA" w:eastAsia="en-CA"/>
              </w:rPr>
              <w:t>1,307,800</w:t>
            </w:r>
          </w:p>
        </w:tc>
      </w:tr>
      <w:tr w:rsidR="00F06F75" w:rsidRPr="00F06F75" w:rsidTr="007903E7">
        <w:trPr>
          <w:trHeight w:val="264"/>
        </w:trPr>
        <w:tc>
          <w:tcPr>
            <w:tcW w:w="1702" w:type="dxa"/>
            <w:tcBorders>
              <w:top w:val="nil"/>
              <w:left w:val="single" w:sz="4" w:space="0" w:color="auto"/>
              <w:bottom w:val="single" w:sz="4" w:space="0" w:color="auto"/>
              <w:right w:val="single" w:sz="4" w:space="0" w:color="auto"/>
            </w:tcBorders>
            <w:shd w:val="clear" w:color="auto" w:fill="auto"/>
            <w:noWrap/>
            <w:hideMark/>
          </w:tcPr>
          <w:p w:rsidR="00FE13C4" w:rsidRPr="00F06F75" w:rsidRDefault="00FE13C4" w:rsidP="00F06F75">
            <w:pPr>
              <w:jc w:val="left"/>
              <w:rPr>
                <w:sz w:val="16"/>
                <w:szCs w:val="16"/>
                <w:lang w:val="en-CA" w:eastAsia="en-CA"/>
              </w:rPr>
            </w:pPr>
            <w:r w:rsidRPr="00F06F75">
              <w:rPr>
                <w:sz w:val="16"/>
                <w:szCs w:val="16"/>
                <w:lang w:val="en-CA" w:eastAsia="en-CA"/>
              </w:rPr>
              <w:t>Travel (staff and consultant)</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139,700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175,100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284,000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161,800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147,700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161,100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157,800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196,736</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188,700</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145,300</w:t>
            </w:r>
          </w:p>
        </w:tc>
        <w:tc>
          <w:tcPr>
            <w:tcW w:w="856" w:type="dxa"/>
            <w:tcBorders>
              <w:top w:val="nil"/>
              <w:left w:val="nil"/>
              <w:bottom w:val="single" w:sz="4" w:space="0" w:color="auto"/>
              <w:right w:val="single" w:sz="4" w:space="0" w:color="auto"/>
            </w:tcBorders>
          </w:tcPr>
          <w:p w:rsidR="00FE13C4" w:rsidRPr="00F06F75" w:rsidRDefault="00FE13C4" w:rsidP="00F06F75">
            <w:pPr>
              <w:jc w:val="right"/>
              <w:rPr>
                <w:sz w:val="16"/>
                <w:szCs w:val="16"/>
                <w:lang w:val="en-CA" w:eastAsia="en-CA"/>
              </w:rPr>
            </w:pPr>
            <w:r w:rsidRPr="00F06F75">
              <w:rPr>
                <w:sz w:val="16"/>
                <w:szCs w:val="16"/>
                <w:lang w:val="en-CA" w:eastAsia="en-CA"/>
              </w:rPr>
              <w:t>168,500</w:t>
            </w:r>
          </w:p>
        </w:tc>
      </w:tr>
      <w:tr w:rsidR="00F06F75" w:rsidRPr="00F06F75" w:rsidTr="007903E7">
        <w:trPr>
          <w:trHeight w:val="264"/>
        </w:trPr>
        <w:tc>
          <w:tcPr>
            <w:tcW w:w="1702" w:type="dxa"/>
            <w:tcBorders>
              <w:top w:val="nil"/>
              <w:left w:val="single" w:sz="4" w:space="0" w:color="auto"/>
              <w:bottom w:val="single" w:sz="4" w:space="0" w:color="auto"/>
              <w:right w:val="single" w:sz="4" w:space="0" w:color="auto"/>
            </w:tcBorders>
            <w:shd w:val="clear" w:color="auto" w:fill="auto"/>
            <w:noWrap/>
            <w:hideMark/>
          </w:tcPr>
          <w:p w:rsidR="00FE13C4" w:rsidRPr="00F06F75" w:rsidRDefault="00FE13C4" w:rsidP="00F06F75">
            <w:pPr>
              <w:jc w:val="left"/>
              <w:rPr>
                <w:sz w:val="16"/>
                <w:szCs w:val="16"/>
                <w:lang w:val="en-CA" w:eastAsia="en-CA"/>
              </w:rPr>
            </w:pPr>
            <w:r w:rsidRPr="00F06F75">
              <w:rPr>
                <w:sz w:val="16"/>
                <w:szCs w:val="16"/>
                <w:lang w:val="en-CA" w:eastAsia="en-CA"/>
              </w:rPr>
              <w:t>Space (rent and common costs)</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90,600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89,300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99,400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71,800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75,400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76,200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76,600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80,548</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88,900</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75,600</w:t>
            </w:r>
          </w:p>
        </w:tc>
        <w:tc>
          <w:tcPr>
            <w:tcW w:w="856" w:type="dxa"/>
            <w:tcBorders>
              <w:top w:val="nil"/>
              <w:left w:val="nil"/>
              <w:bottom w:val="single" w:sz="4" w:space="0" w:color="auto"/>
              <w:right w:val="single" w:sz="4" w:space="0" w:color="auto"/>
            </w:tcBorders>
          </w:tcPr>
          <w:p w:rsidR="00FE13C4" w:rsidRPr="00F06F75" w:rsidRDefault="00FE13C4" w:rsidP="00F06F75">
            <w:pPr>
              <w:jc w:val="right"/>
              <w:rPr>
                <w:sz w:val="16"/>
                <w:szCs w:val="16"/>
                <w:lang w:val="en-CA" w:eastAsia="en-CA"/>
              </w:rPr>
            </w:pPr>
            <w:r w:rsidRPr="00F06F75">
              <w:rPr>
                <w:sz w:val="16"/>
                <w:szCs w:val="16"/>
                <w:lang w:val="en-CA" w:eastAsia="en-CA"/>
              </w:rPr>
              <w:t>83,100</w:t>
            </w:r>
          </w:p>
        </w:tc>
      </w:tr>
      <w:tr w:rsidR="00F06F75" w:rsidRPr="00F06F75" w:rsidTr="007903E7">
        <w:trPr>
          <w:trHeight w:val="480"/>
        </w:trPr>
        <w:tc>
          <w:tcPr>
            <w:tcW w:w="1702" w:type="dxa"/>
            <w:tcBorders>
              <w:top w:val="nil"/>
              <w:left w:val="single" w:sz="4" w:space="0" w:color="auto"/>
              <w:bottom w:val="single" w:sz="4" w:space="0" w:color="auto"/>
              <w:right w:val="single" w:sz="4" w:space="0" w:color="auto"/>
            </w:tcBorders>
            <w:shd w:val="clear" w:color="auto" w:fill="auto"/>
            <w:noWrap/>
            <w:hideMark/>
          </w:tcPr>
          <w:p w:rsidR="00FE13C4" w:rsidRPr="00F06F75" w:rsidRDefault="00FE13C4" w:rsidP="00F06F75">
            <w:pPr>
              <w:jc w:val="left"/>
              <w:rPr>
                <w:sz w:val="16"/>
                <w:szCs w:val="16"/>
                <w:lang w:val="en-CA" w:eastAsia="en-CA"/>
              </w:rPr>
            </w:pPr>
            <w:r w:rsidRPr="00F06F75">
              <w:rPr>
                <w:sz w:val="16"/>
                <w:szCs w:val="16"/>
                <w:lang w:val="en-CA" w:eastAsia="en-CA"/>
              </w:rPr>
              <w:t>Equipment supplies and other costs (computers, supplies, etc.)</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54,100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30,900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51,800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41,100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52,600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30,900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48,000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33,842</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61,600</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54,400</w:t>
            </w:r>
          </w:p>
        </w:tc>
        <w:tc>
          <w:tcPr>
            <w:tcW w:w="856" w:type="dxa"/>
            <w:tcBorders>
              <w:top w:val="nil"/>
              <w:left w:val="nil"/>
              <w:bottom w:val="single" w:sz="4" w:space="0" w:color="auto"/>
              <w:right w:val="single" w:sz="4" w:space="0" w:color="auto"/>
            </w:tcBorders>
          </w:tcPr>
          <w:p w:rsidR="00FE13C4" w:rsidRPr="00F06F75" w:rsidRDefault="00FE13C4" w:rsidP="00F06F75">
            <w:pPr>
              <w:jc w:val="right"/>
              <w:rPr>
                <w:sz w:val="16"/>
                <w:szCs w:val="16"/>
                <w:lang w:val="en-CA" w:eastAsia="en-CA"/>
              </w:rPr>
            </w:pPr>
            <w:r w:rsidRPr="00F06F75">
              <w:rPr>
                <w:sz w:val="16"/>
                <w:szCs w:val="16"/>
                <w:lang w:val="en-CA" w:eastAsia="en-CA"/>
              </w:rPr>
              <w:t>56,800</w:t>
            </w:r>
          </w:p>
        </w:tc>
      </w:tr>
      <w:tr w:rsidR="00F06F75" w:rsidRPr="00F06F75" w:rsidTr="007903E7">
        <w:trPr>
          <w:trHeight w:val="77"/>
        </w:trPr>
        <w:tc>
          <w:tcPr>
            <w:tcW w:w="1702" w:type="dxa"/>
            <w:tcBorders>
              <w:top w:val="nil"/>
              <w:left w:val="single" w:sz="4" w:space="0" w:color="auto"/>
              <w:bottom w:val="single" w:sz="4" w:space="0" w:color="auto"/>
              <w:right w:val="single" w:sz="4" w:space="0" w:color="auto"/>
            </w:tcBorders>
            <w:shd w:val="clear" w:color="auto" w:fill="auto"/>
            <w:noWrap/>
            <w:hideMark/>
          </w:tcPr>
          <w:p w:rsidR="00FE13C4" w:rsidRPr="00F06F75" w:rsidRDefault="00FE13C4" w:rsidP="00F06F75">
            <w:pPr>
              <w:jc w:val="left"/>
              <w:rPr>
                <w:sz w:val="16"/>
                <w:szCs w:val="16"/>
                <w:lang w:val="en-CA" w:eastAsia="en-CA"/>
              </w:rPr>
            </w:pPr>
            <w:r w:rsidRPr="00F06F75">
              <w:rPr>
                <w:sz w:val="16"/>
                <w:szCs w:val="16"/>
                <w:lang w:val="en-CA" w:eastAsia="en-CA"/>
              </w:rPr>
              <w:t>Contractual services (firms)</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200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700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700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2,000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17,500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1,000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4,900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580</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17,500</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7,400</w:t>
            </w:r>
          </w:p>
        </w:tc>
        <w:tc>
          <w:tcPr>
            <w:tcW w:w="856" w:type="dxa"/>
            <w:tcBorders>
              <w:top w:val="nil"/>
              <w:left w:val="nil"/>
              <w:bottom w:val="single" w:sz="4" w:space="0" w:color="auto"/>
              <w:right w:val="single" w:sz="4" w:space="0" w:color="auto"/>
            </w:tcBorders>
          </w:tcPr>
          <w:p w:rsidR="00FE13C4" w:rsidRPr="00F06F75" w:rsidRDefault="00FE13C4" w:rsidP="00F06F75">
            <w:pPr>
              <w:jc w:val="right"/>
              <w:rPr>
                <w:sz w:val="16"/>
                <w:szCs w:val="16"/>
                <w:lang w:val="en-CA" w:eastAsia="en-CA"/>
              </w:rPr>
            </w:pPr>
            <w:r w:rsidRPr="00F06F75">
              <w:rPr>
                <w:sz w:val="16"/>
                <w:szCs w:val="16"/>
                <w:lang w:val="en-CA" w:eastAsia="en-CA"/>
              </w:rPr>
              <w:t>17,100</w:t>
            </w:r>
          </w:p>
        </w:tc>
      </w:tr>
      <w:tr w:rsidR="00F06F75" w:rsidRPr="00F06F75" w:rsidTr="007903E7">
        <w:trPr>
          <w:trHeight w:val="164"/>
        </w:trPr>
        <w:tc>
          <w:tcPr>
            <w:tcW w:w="1702" w:type="dxa"/>
            <w:tcBorders>
              <w:top w:val="nil"/>
              <w:left w:val="single" w:sz="4" w:space="0" w:color="auto"/>
              <w:bottom w:val="single" w:sz="4" w:space="0" w:color="auto"/>
              <w:right w:val="single" w:sz="4" w:space="0" w:color="auto"/>
            </w:tcBorders>
            <w:shd w:val="clear" w:color="auto" w:fill="auto"/>
            <w:noWrap/>
            <w:hideMark/>
          </w:tcPr>
          <w:p w:rsidR="00FE13C4" w:rsidRPr="00F06F75" w:rsidRDefault="00FE13C4" w:rsidP="00F06F75">
            <w:pPr>
              <w:jc w:val="left"/>
              <w:rPr>
                <w:sz w:val="16"/>
                <w:szCs w:val="16"/>
                <w:lang w:val="en-CA" w:eastAsia="en-CA"/>
              </w:rPr>
            </w:pPr>
            <w:r w:rsidRPr="00F06F75">
              <w:rPr>
                <w:sz w:val="16"/>
                <w:szCs w:val="16"/>
                <w:lang w:val="en-CA" w:eastAsia="en-CA"/>
              </w:rPr>
              <w:t>Reimbursement of central services for core unit staff</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510,400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414,200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498,800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454,200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447,300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432,900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471,600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442,123</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539,200</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443,400</w:t>
            </w:r>
          </w:p>
        </w:tc>
        <w:tc>
          <w:tcPr>
            <w:tcW w:w="856" w:type="dxa"/>
            <w:tcBorders>
              <w:top w:val="nil"/>
              <w:left w:val="nil"/>
              <w:bottom w:val="single" w:sz="4" w:space="0" w:color="auto"/>
              <w:right w:val="single" w:sz="4" w:space="0" w:color="auto"/>
            </w:tcBorders>
          </w:tcPr>
          <w:p w:rsidR="00FE13C4" w:rsidRPr="00F06F75" w:rsidRDefault="00FE13C4" w:rsidP="00F06F75">
            <w:pPr>
              <w:jc w:val="right"/>
              <w:rPr>
                <w:sz w:val="16"/>
                <w:szCs w:val="16"/>
                <w:lang w:val="en-CA" w:eastAsia="en-CA"/>
              </w:rPr>
            </w:pPr>
            <w:r w:rsidRPr="00F06F75">
              <w:rPr>
                <w:sz w:val="16"/>
                <w:szCs w:val="16"/>
                <w:lang w:val="en-CA" w:eastAsia="en-CA"/>
              </w:rPr>
              <w:t>535,700</w:t>
            </w:r>
          </w:p>
        </w:tc>
      </w:tr>
      <w:tr w:rsidR="00F06F75" w:rsidRPr="00F06F75" w:rsidTr="007903E7">
        <w:trPr>
          <w:trHeight w:val="355"/>
        </w:trPr>
        <w:tc>
          <w:tcPr>
            <w:tcW w:w="1702" w:type="dxa"/>
            <w:tcBorders>
              <w:top w:val="nil"/>
              <w:left w:val="single" w:sz="4" w:space="0" w:color="auto"/>
              <w:bottom w:val="single" w:sz="4" w:space="0" w:color="auto"/>
              <w:right w:val="single" w:sz="4" w:space="0" w:color="auto"/>
            </w:tcBorders>
            <w:shd w:val="clear" w:color="auto" w:fill="auto"/>
            <w:noWrap/>
            <w:hideMark/>
          </w:tcPr>
          <w:p w:rsidR="00FE13C4" w:rsidRPr="00F06F75" w:rsidRDefault="00FE13C4" w:rsidP="00F06F75">
            <w:pPr>
              <w:jc w:val="left"/>
              <w:rPr>
                <w:sz w:val="16"/>
                <w:szCs w:val="16"/>
                <w:lang w:val="en-CA" w:eastAsia="en-CA"/>
              </w:rPr>
            </w:pPr>
            <w:r w:rsidRPr="00F06F75">
              <w:rPr>
                <w:sz w:val="16"/>
                <w:szCs w:val="16"/>
                <w:lang w:val="en-CA" w:eastAsia="en-CA"/>
              </w:rPr>
              <w:t>Adjustments (+ = underuse and - = overrun)</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-214,534</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-276,539</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-381,947</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-99,058</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-7,771</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-44,985</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-205,200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7,931</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-297,729</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49,371</w:t>
            </w:r>
          </w:p>
        </w:tc>
        <w:tc>
          <w:tcPr>
            <w:tcW w:w="856" w:type="dxa"/>
            <w:tcBorders>
              <w:top w:val="nil"/>
              <w:left w:val="nil"/>
              <w:bottom w:val="single" w:sz="4" w:space="0" w:color="auto"/>
              <w:right w:val="single" w:sz="4" w:space="0" w:color="auto"/>
            </w:tcBorders>
          </w:tcPr>
          <w:p w:rsidR="00FE13C4" w:rsidRPr="00F06F75" w:rsidRDefault="00FE13C4" w:rsidP="00F06F75">
            <w:pPr>
              <w:jc w:val="right"/>
              <w:rPr>
                <w:sz w:val="16"/>
                <w:szCs w:val="16"/>
                <w:lang w:val="en-CA" w:eastAsia="en-CA"/>
              </w:rPr>
            </w:pPr>
            <w:r w:rsidRPr="00F06F75">
              <w:rPr>
                <w:sz w:val="16"/>
                <w:szCs w:val="16"/>
                <w:lang w:val="en-CA" w:eastAsia="en-CA"/>
              </w:rPr>
              <w:t>-70,542</w:t>
            </w:r>
          </w:p>
        </w:tc>
      </w:tr>
      <w:tr w:rsidR="00F06F75" w:rsidRPr="00F06F75" w:rsidTr="007903E7">
        <w:trPr>
          <w:trHeight w:val="264"/>
        </w:trPr>
        <w:tc>
          <w:tcPr>
            <w:tcW w:w="1702" w:type="dxa"/>
            <w:tcBorders>
              <w:top w:val="nil"/>
              <w:left w:val="single" w:sz="4" w:space="0" w:color="auto"/>
              <w:bottom w:val="single" w:sz="4" w:space="0" w:color="auto"/>
              <w:right w:val="single" w:sz="4" w:space="0" w:color="auto"/>
            </w:tcBorders>
            <w:shd w:val="clear" w:color="auto" w:fill="auto"/>
            <w:noWrap/>
            <w:hideMark/>
          </w:tcPr>
          <w:p w:rsidR="00FE13C4" w:rsidRPr="00F06F75" w:rsidRDefault="00FE13C4" w:rsidP="00F06F75">
            <w:pPr>
              <w:jc w:val="left"/>
              <w:rPr>
                <w:sz w:val="16"/>
                <w:szCs w:val="16"/>
                <w:lang w:val="en-CA" w:eastAsia="en-CA"/>
              </w:rPr>
            </w:pPr>
            <w:r w:rsidRPr="00F06F75">
              <w:rPr>
                <w:sz w:val="16"/>
                <w:szCs w:val="16"/>
                <w:lang w:val="en-CA" w:eastAsia="en-CA"/>
              </w:rPr>
              <w:lastRenderedPageBreak/>
              <w:t>Return of funds (- = returned funds)</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0 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-7,931</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nil"/>
              <w:left w:val="nil"/>
              <w:bottom w:val="single" w:sz="4" w:space="0" w:color="auto"/>
              <w:right w:val="single" w:sz="4" w:space="0" w:color="auto"/>
            </w:tcBorders>
          </w:tcPr>
          <w:p w:rsidR="00FE13C4" w:rsidRPr="00F06F75" w:rsidRDefault="00FE13C4" w:rsidP="00F06F75">
            <w:pPr>
              <w:jc w:val="right"/>
              <w:rPr>
                <w:sz w:val="16"/>
                <w:szCs w:val="16"/>
                <w:lang w:val="en-CA" w:eastAsia="en-CA"/>
              </w:rPr>
            </w:pPr>
            <w:r w:rsidRPr="00F06F75">
              <w:rPr>
                <w:sz w:val="16"/>
                <w:szCs w:val="16"/>
                <w:lang w:val="en-CA" w:eastAsia="en-CA"/>
              </w:rPr>
              <w:t>0</w:t>
            </w:r>
          </w:p>
        </w:tc>
      </w:tr>
      <w:tr w:rsidR="00F06F75" w:rsidRPr="00F06F75" w:rsidTr="007903E7">
        <w:trPr>
          <w:trHeight w:val="264"/>
        </w:trPr>
        <w:tc>
          <w:tcPr>
            <w:tcW w:w="1702" w:type="dxa"/>
            <w:tcBorders>
              <w:top w:val="nil"/>
              <w:left w:val="single" w:sz="4" w:space="0" w:color="auto"/>
              <w:bottom w:val="single" w:sz="4" w:space="0" w:color="auto"/>
              <w:right w:val="single" w:sz="4" w:space="0" w:color="auto"/>
            </w:tcBorders>
            <w:shd w:val="clear" w:color="auto" w:fill="auto"/>
            <w:noWrap/>
            <w:hideMark/>
          </w:tcPr>
          <w:p w:rsidR="00FE13C4" w:rsidRPr="00F06F75" w:rsidRDefault="00FE13C4" w:rsidP="00F06F75">
            <w:pPr>
              <w:jc w:val="left"/>
              <w:rPr>
                <w:b/>
                <w:bCs/>
                <w:sz w:val="16"/>
                <w:szCs w:val="16"/>
                <w:lang w:val="en-CA" w:eastAsia="en-CA"/>
              </w:rPr>
            </w:pPr>
            <w:r w:rsidRPr="00F06F75">
              <w:rPr>
                <w:b/>
                <w:bCs/>
                <w:sz w:val="16"/>
                <w:szCs w:val="16"/>
                <w:lang w:val="en-CA" w:eastAsia="en-CA"/>
              </w:rPr>
              <w:t>A. Sub-total core unit costs*</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1,970,766</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center"/>
              <w:rPr>
                <w:b/>
                <w:bCs/>
                <w:sz w:val="16"/>
                <w:szCs w:val="16"/>
                <w:lang w:val="en-CA" w:eastAsia="en-CA"/>
              </w:rPr>
            </w:pPr>
            <w:r w:rsidRPr="00F06F75">
              <w:rPr>
                <w:b/>
                <w:bCs/>
                <w:sz w:val="16"/>
                <w:szCs w:val="16"/>
                <w:lang w:val="en-CA" w:eastAsia="en-CA"/>
              </w:rPr>
              <w:t>1,984,561</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1,998,453</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2,012,442</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2,026,529</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2,040,715</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2,055,000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2,061,454</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2,083,871</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b/>
                <w:bCs/>
                <w:sz w:val="16"/>
                <w:szCs w:val="16"/>
                <w:lang w:val="en-CA" w:eastAsia="en-CA"/>
              </w:rPr>
              <w:t>2</w:t>
            </w:r>
            <w:r w:rsidRPr="00F06F75">
              <w:rPr>
                <w:sz w:val="16"/>
                <w:szCs w:val="16"/>
                <w:lang w:val="en-CA" w:eastAsia="en-CA"/>
              </w:rPr>
              <w:t>,</w:t>
            </w:r>
            <w:r w:rsidRPr="00F06F75">
              <w:rPr>
                <w:b/>
                <w:bCs/>
                <w:sz w:val="16"/>
                <w:szCs w:val="16"/>
                <w:lang w:val="en-CA" w:eastAsia="en-CA"/>
              </w:rPr>
              <w:t>083,871</w:t>
            </w:r>
          </w:p>
        </w:tc>
        <w:tc>
          <w:tcPr>
            <w:tcW w:w="856" w:type="dxa"/>
            <w:tcBorders>
              <w:top w:val="nil"/>
              <w:left w:val="nil"/>
              <w:bottom w:val="single" w:sz="4" w:space="0" w:color="auto"/>
              <w:right w:val="single" w:sz="4" w:space="0" w:color="auto"/>
            </w:tcBorders>
          </w:tcPr>
          <w:p w:rsidR="00FE13C4" w:rsidRPr="00F06F75" w:rsidRDefault="00FE13C4" w:rsidP="00F06F75">
            <w:pPr>
              <w:jc w:val="right"/>
              <w:rPr>
                <w:b/>
                <w:bCs/>
                <w:sz w:val="16"/>
                <w:szCs w:val="16"/>
                <w:lang w:val="en-CA" w:eastAsia="en-CA"/>
              </w:rPr>
            </w:pPr>
            <w:r w:rsidRPr="00F06F75">
              <w:rPr>
                <w:b/>
                <w:bCs/>
                <w:sz w:val="16"/>
                <w:szCs w:val="16"/>
                <w:lang w:val="en-CA" w:eastAsia="en-CA"/>
              </w:rPr>
              <w:t>2,098,458</w:t>
            </w:r>
          </w:p>
        </w:tc>
      </w:tr>
      <w:tr w:rsidR="00F06F75" w:rsidRPr="00F06F75" w:rsidTr="007903E7">
        <w:trPr>
          <w:trHeight w:val="73"/>
        </w:trPr>
        <w:tc>
          <w:tcPr>
            <w:tcW w:w="11226"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FE13C4" w:rsidRPr="00F06F75" w:rsidRDefault="00FE13C4" w:rsidP="00F06F75">
            <w:pPr>
              <w:jc w:val="left"/>
              <w:rPr>
                <w:b/>
                <w:bCs/>
                <w:sz w:val="16"/>
                <w:szCs w:val="16"/>
                <w:lang w:val="en-CA" w:eastAsia="en-CA"/>
              </w:rPr>
            </w:pPr>
            <w:r w:rsidRPr="00F06F75">
              <w:rPr>
                <w:b/>
                <w:bCs/>
                <w:sz w:val="16"/>
                <w:szCs w:val="16"/>
                <w:lang w:val="en-CA" w:eastAsia="en-CA"/>
              </w:rPr>
              <w:t>B. Agency support costs/implementation</w:t>
            </w:r>
          </w:p>
        </w:tc>
      </w:tr>
      <w:tr w:rsidR="00F06F75" w:rsidRPr="00F06F75" w:rsidTr="007903E7">
        <w:trPr>
          <w:trHeight w:val="480"/>
        </w:trPr>
        <w:tc>
          <w:tcPr>
            <w:tcW w:w="1702" w:type="dxa"/>
            <w:tcBorders>
              <w:top w:val="nil"/>
              <w:left w:val="single" w:sz="4" w:space="0" w:color="auto"/>
              <w:bottom w:val="single" w:sz="4" w:space="0" w:color="auto"/>
              <w:right w:val="single" w:sz="4" w:space="0" w:color="auto"/>
            </w:tcBorders>
            <w:shd w:val="clear" w:color="auto" w:fill="auto"/>
            <w:noWrap/>
            <w:hideMark/>
          </w:tcPr>
          <w:p w:rsidR="00FE13C4" w:rsidRPr="00F06F75" w:rsidRDefault="00FE13C4" w:rsidP="00F06F75">
            <w:pPr>
              <w:jc w:val="left"/>
              <w:rPr>
                <w:sz w:val="16"/>
                <w:szCs w:val="16"/>
                <w:lang w:val="en-CA" w:eastAsia="en-CA"/>
              </w:rPr>
            </w:pPr>
            <w:r w:rsidRPr="00F06F75">
              <w:rPr>
                <w:sz w:val="16"/>
                <w:szCs w:val="16"/>
                <w:lang w:val="en-CA" w:eastAsia="en-CA"/>
              </w:rPr>
              <w:t>Reimbursement of country offices and national execution, including overheads</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2,857,600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1,818,300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3,602,000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1,814,900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1,327,500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1,145,400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584,300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729,854</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587,800</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816,900</w:t>
            </w:r>
          </w:p>
        </w:tc>
        <w:tc>
          <w:tcPr>
            <w:tcW w:w="856" w:type="dxa"/>
            <w:tcBorders>
              <w:top w:val="nil"/>
              <w:left w:val="nil"/>
              <w:bottom w:val="single" w:sz="4" w:space="0" w:color="auto"/>
              <w:right w:val="single" w:sz="4" w:space="0" w:color="auto"/>
            </w:tcBorders>
          </w:tcPr>
          <w:p w:rsidR="00FE13C4" w:rsidRPr="00F06F75" w:rsidRDefault="00FE13C4" w:rsidP="00F06F75">
            <w:pPr>
              <w:jc w:val="right"/>
              <w:rPr>
                <w:sz w:val="16"/>
                <w:szCs w:val="16"/>
                <w:lang w:val="en-CA" w:eastAsia="en-CA"/>
              </w:rPr>
            </w:pPr>
            <w:r w:rsidRPr="00F06F75">
              <w:rPr>
                <w:sz w:val="16"/>
                <w:szCs w:val="16"/>
                <w:lang w:val="en-CA" w:eastAsia="en-CA"/>
              </w:rPr>
              <w:t>815,600</w:t>
            </w:r>
          </w:p>
        </w:tc>
      </w:tr>
      <w:tr w:rsidR="00F06F75" w:rsidRPr="00F06F75" w:rsidTr="007903E7">
        <w:trPr>
          <w:trHeight w:val="480"/>
        </w:trPr>
        <w:tc>
          <w:tcPr>
            <w:tcW w:w="1702" w:type="dxa"/>
            <w:tcBorders>
              <w:top w:val="nil"/>
              <w:left w:val="single" w:sz="4" w:space="0" w:color="auto"/>
              <w:bottom w:val="single" w:sz="4" w:space="0" w:color="auto"/>
              <w:right w:val="single" w:sz="4" w:space="0" w:color="auto"/>
            </w:tcBorders>
            <w:shd w:val="clear" w:color="auto" w:fill="auto"/>
            <w:noWrap/>
            <w:hideMark/>
          </w:tcPr>
          <w:p w:rsidR="00FE13C4" w:rsidRPr="00F06F75" w:rsidRDefault="00FE13C4" w:rsidP="00F06F75">
            <w:pPr>
              <w:jc w:val="left"/>
              <w:rPr>
                <w:sz w:val="16"/>
                <w:szCs w:val="16"/>
                <w:lang w:val="en-CA" w:eastAsia="en-CA"/>
              </w:rPr>
            </w:pPr>
            <w:r w:rsidRPr="00F06F75">
              <w:rPr>
                <w:sz w:val="16"/>
                <w:szCs w:val="16"/>
                <w:lang w:val="en-CA" w:eastAsia="en-CA"/>
              </w:rPr>
              <w:t>Executing agency support cost (internal), including overheads</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2,226,400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2,900,900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3,302,800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2,913,500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2,289,600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1,600,400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1,703,200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1,354,611</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1,835,400</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1,563,000</w:t>
            </w:r>
          </w:p>
        </w:tc>
        <w:tc>
          <w:tcPr>
            <w:tcW w:w="856" w:type="dxa"/>
            <w:tcBorders>
              <w:top w:val="nil"/>
              <w:left w:val="nil"/>
              <w:bottom w:val="single" w:sz="4" w:space="0" w:color="auto"/>
              <w:right w:val="single" w:sz="4" w:space="0" w:color="auto"/>
            </w:tcBorders>
          </w:tcPr>
          <w:p w:rsidR="00FE13C4" w:rsidRPr="00F06F75" w:rsidRDefault="00FE13C4" w:rsidP="00F06F75">
            <w:pPr>
              <w:jc w:val="right"/>
              <w:rPr>
                <w:sz w:val="16"/>
                <w:szCs w:val="16"/>
                <w:lang w:val="en-CA" w:eastAsia="en-CA"/>
              </w:rPr>
            </w:pPr>
            <w:r w:rsidRPr="00F06F75">
              <w:rPr>
                <w:sz w:val="16"/>
                <w:szCs w:val="16"/>
                <w:lang w:val="en-CA" w:eastAsia="en-CA"/>
              </w:rPr>
              <w:t>2,042,600</w:t>
            </w:r>
          </w:p>
        </w:tc>
      </w:tr>
      <w:tr w:rsidR="00F06F75" w:rsidRPr="00F06F75" w:rsidTr="007903E7">
        <w:trPr>
          <w:trHeight w:val="122"/>
        </w:trPr>
        <w:tc>
          <w:tcPr>
            <w:tcW w:w="1702" w:type="dxa"/>
            <w:tcBorders>
              <w:top w:val="nil"/>
              <w:left w:val="single" w:sz="4" w:space="0" w:color="auto"/>
              <w:bottom w:val="single" w:sz="4" w:space="0" w:color="auto"/>
              <w:right w:val="single" w:sz="4" w:space="0" w:color="auto"/>
            </w:tcBorders>
            <w:shd w:val="clear" w:color="auto" w:fill="auto"/>
            <w:noWrap/>
            <w:hideMark/>
          </w:tcPr>
          <w:p w:rsidR="00FE13C4" w:rsidRPr="00F06F75" w:rsidRDefault="00FE13C4" w:rsidP="00F06F75">
            <w:pPr>
              <w:ind w:right="-105"/>
              <w:jc w:val="left"/>
              <w:rPr>
                <w:sz w:val="16"/>
                <w:szCs w:val="16"/>
                <w:lang w:val="en-CA" w:eastAsia="en-CA"/>
              </w:rPr>
            </w:pPr>
            <w:r w:rsidRPr="00F06F75">
              <w:rPr>
                <w:sz w:val="16"/>
                <w:szCs w:val="16"/>
                <w:lang w:val="en-CA" w:eastAsia="en-CA"/>
              </w:rPr>
              <w:t>Financial intermediaries, including overheads</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nil"/>
              <w:left w:val="nil"/>
              <w:bottom w:val="single" w:sz="4" w:space="0" w:color="auto"/>
              <w:right w:val="single" w:sz="4" w:space="0" w:color="auto"/>
            </w:tcBorders>
          </w:tcPr>
          <w:p w:rsidR="00FE13C4" w:rsidRPr="00F06F75" w:rsidRDefault="00FE13C4" w:rsidP="00F06F75">
            <w:pPr>
              <w:jc w:val="right"/>
              <w:rPr>
                <w:sz w:val="16"/>
                <w:szCs w:val="16"/>
                <w:lang w:val="en-CA" w:eastAsia="en-CA"/>
              </w:rPr>
            </w:pPr>
          </w:p>
        </w:tc>
      </w:tr>
      <w:tr w:rsidR="00F06F75" w:rsidRPr="00F06F75" w:rsidTr="007903E7">
        <w:trPr>
          <w:trHeight w:val="480"/>
        </w:trPr>
        <w:tc>
          <w:tcPr>
            <w:tcW w:w="1702" w:type="dxa"/>
            <w:tcBorders>
              <w:top w:val="nil"/>
              <w:left w:val="single" w:sz="4" w:space="0" w:color="auto"/>
              <w:bottom w:val="single" w:sz="4" w:space="0" w:color="auto"/>
              <w:right w:val="single" w:sz="4" w:space="0" w:color="auto"/>
            </w:tcBorders>
            <w:shd w:val="clear" w:color="auto" w:fill="auto"/>
            <w:noWrap/>
            <w:hideMark/>
          </w:tcPr>
          <w:p w:rsidR="00FE13C4" w:rsidRPr="00F06F75" w:rsidRDefault="00FE13C4" w:rsidP="00F06F75">
            <w:pPr>
              <w:jc w:val="left"/>
              <w:rPr>
                <w:sz w:val="16"/>
                <w:szCs w:val="16"/>
                <w:lang w:val="en-CA" w:eastAsia="en-CA"/>
              </w:rPr>
            </w:pPr>
            <w:r w:rsidRPr="00F06F75">
              <w:rPr>
                <w:sz w:val="16"/>
                <w:szCs w:val="16"/>
                <w:lang w:val="en-CA" w:eastAsia="en-CA"/>
              </w:rPr>
              <w:t>Reimbursement of central services for core unit staff (including overhead)</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tcPr>
          <w:p w:rsidR="00FE13C4" w:rsidRPr="00F06F75" w:rsidRDefault="00FE13C4" w:rsidP="00F06F75">
            <w:pPr>
              <w:jc w:val="right"/>
              <w:rPr>
                <w:sz w:val="16"/>
                <w:szCs w:val="16"/>
                <w:lang w:val="en-CA" w:eastAsia="en-CA"/>
              </w:rPr>
            </w:pPr>
          </w:p>
        </w:tc>
      </w:tr>
      <w:tr w:rsidR="00F06F75" w:rsidRPr="00F06F75" w:rsidTr="007903E7">
        <w:trPr>
          <w:trHeight w:val="50"/>
        </w:trPr>
        <w:tc>
          <w:tcPr>
            <w:tcW w:w="1702" w:type="dxa"/>
            <w:tcBorders>
              <w:top w:val="nil"/>
              <w:left w:val="single" w:sz="4" w:space="0" w:color="auto"/>
              <w:bottom w:val="single" w:sz="4" w:space="0" w:color="auto"/>
              <w:right w:val="single" w:sz="4" w:space="0" w:color="auto"/>
            </w:tcBorders>
            <w:shd w:val="clear" w:color="auto" w:fill="auto"/>
            <w:noWrap/>
            <w:hideMark/>
          </w:tcPr>
          <w:p w:rsidR="00FE13C4" w:rsidRPr="00F06F75" w:rsidRDefault="00FE13C4" w:rsidP="00F06F75">
            <w:pPr>
              <w:jc w:val="left"/>
              <w:rPr>
                <w:sz w:val="16"/>
                <w:szCs w:val="16"/>
                <w:lang w:val="en-CA" w:eastAsia="en-CA"/>
              </w:rPr>
            </w:pPr>
            <w:r w:rsidRPr="00F06F75">
              <w:rPr>
                <w:sz w:val="16"/>
                <w:szCs w:val="16"/>
                <w:lang w:val="en-CA" w:eastAsia="en-CA"/>
              </w:rPr>
              <w:t>Cost recovery</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nil"/>
              <w:left w:val="nil"/>
              <w:bottom w:val="single" w:sz="4" w:space="0" w:color="auto"/>
              <w:right w:val="single" w:sz="4" w:space="0" w:color="auto"/>
            </w:tcBorders>
          </w:tcPr>
          <w:p w:rsidR="00FE13C4" w:rsidRPr="00F06F75" w:rsidRDefault="00FE13C4" w:rsidP="00F06F75">
            <w:pPr>
              <w:jc w:val="right"/>
              <w:rPr>
                <w:sz w:val="16"/>
                <w:szCs w:val="16"/>
                <w:lang w:val="en-CA" w:eastAsia="en-CA"/>
              </w:rPr>
            </w:pPr>
          </w:p>
        </w:tc>
      </w:tr>
      <w:tr w:rsidR="00F06F75" w:rsidRPr="00F06F75" w:rsidTr="007903E7">
        <w:trPr>
          <w:trHeight w:val="266"/>
        </w:trPr>
        <w:tc>
          <w:tcPr>
            <w:tcW w:w="1702" w:type="dxa"/>
            <w:tcBorders>
              <w:top w:val="nil"/>
              <w:left w:val="single" w:sz="4" w:space="0" w:color="auto"/>
              <w:bottom w:val="single" w:sz="4" w:space="0" w:color="auto"/>
              <w:right w:val="single" w:sz="4" w:space="0" w:color="auto"/>
            </w:tcBorders>
            <w:shd w:val="clear" w:color="auto" w:fill="auto"/>
            <w:noWrap/>
            <w:hideMark/>
          </w:tcPr>
          <w:p w:rsidR="00FE13C4" w:rsidRPr="00F06F75" w:rsidRDefault="00FE13C4" w:rsidP="00F06F75">
            <w:pPr>
              <w:jc w:val="left"/>
              <w:rPr>
                <w:sz w:val="16"/>
                <w:szCs w:val="16"/>
                <w:lang w:val="en-CA" w:eastAsia="en-CA"/>
              </w:rPr>
            </w:pPr>
            <w:r w:rsidRPr="00F06F75">
              <w:rPr>
                <w:sz w:val="16"/>
                <w:szCs w:val="16"/>
                <w:lang w:val="en-CA" w:eastAsia="en-CA"/>
              </w:rPr>
              <w:t>Adjustments (+ = overrun and - = underuse)</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214,534</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276,539</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381,947</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99,058</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7,771</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44,985</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205,200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297,729</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-49,371</w:t>
            </w:r>
          </w:p>
        </w:tc>
        <w:tc>
          <w:tcPr>
            <w:tcW w:w="856" w:type="dxa"/>
            <w:tcBorders>
              <w:top w:val="nil"/>
              <w:left w:val="nil"/>
              <w:bottom w:val="single" w:sz="4" w:space="0" w:color="auto"/>
              <w:right w:val="single" w:sz="4" w:space="0" w:color="auto"/>
            </w:tcBorders>
          </w:tcPr>
          <w:p w:rsidR="00FE13C4" w:rsidRPr="00F06F75" w:rsidRDefault="00FE13C4" w:rsidP="00F06F75">
            <w:pPr>
              <w:jc w:val="right"/>
              <w:rPr>
                <w:sz w:val="16"/>
                <w:szCs w:val="16"/>
                <w:lang w:val="en-CA" w:eastAsia="en-CA"/>
              </w:rPr>
            </w:pPr>
            <w:r w:rsidRPr="00F06F75">
              <w:rPr>
                <w:sz w:val="16"/>
                <w:szCs w:val="16"/>
                <w:lang w:val="en-CA" w:eastAsia="en-CA"/>
              </w:rPr>
              <w:t>70,542</w:t>
            </w:r>
          </w:p>
        </w:tc>
      </w:tr>
      <w:tr w:rsidR="00F06F75" w:rsidRPr="00F06F75" w:rsidTr="007903E7">
        <w:trPr>
          <w:trHeight w:val="480"/>
        </w:trPr>
        <w:tc>
          <w:tcPr>
            <w:tcW w:w="1702" w:type="dxa"/>
            <w:tcBorders>
              <w:top w:val="nil"/>
              <w:left w:val="single" w:sz="4" w:space="0" w:color="auto"/>
              <w:bottom w:val="single" w:sz="4" w:space="0" w:color="auto"/>
              <w:right w:val="single" w:sz="4" w:space="0" w:color="auto"/>
            </w:tcBorders>
            <w:shd w:val="clear" w:color="auto" w:fill="auto"/>
            <w:noWrap/>
            <w:hideMark/>
          </w:tcPr>
          <w:p w:rsidR="00FE13C4" w:rsidRPr="00F06F75" w:rsidRDefault="00FE13C4" w:rsidP="00F06F75">
            <w:pPr>
              <w:jc w:val="left"/>
              <w:rPr>
                <w:sz w:val="16"/>
                <w:szCs w:val="16"/>
                <w:lang w:val="en-CA" w:eastAsia="en-CA"/>
              </w:rPr>
            </w:pPr>
            <w:r w:rsidRPr="00F06F75">
              <w:rPr>
                <w:sz w:val="16"/>
                <w:szCs w:val="16"/>
                <w:lang w:val="en-CA" w:eastAsia="en-CA"/>
              </w:rPr>
              <w:t>Project costs (- = to be deducted and thus removed)</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-187,800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-134,800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-136,283</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-118,800</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-33,900</w:t>
            </w:r>
          </w:p>
        </w:tc>
        <w:tc>
          <w:tcPr>
            <w:tcW w:w="856" w:type="dxa"/>
            <w:tcBorders>
              <w:top w:val="nil"/>
              <w:left w:val="nil"/>
              <w:bottom w:val="single" w:sz="4" w:space="0" w:color="auto"/>
              <w:right w:val="single" w:sz="4" w:space="0" w:color="auto"/>
            </w:tcBorders>
          </w:tcPr>
          <w:p w:rsidR="00FE13C4" w:rsidRPr="00F06F75" w:rsidRDefault="00FE13C4" w:rsidP="00F06F75">
            <w:pPr>
              <w:jc w:val="right"/>
              <w:rPr>
                <w:sz w:val="16"/>
                <w:szCs w:val="16"/>
                <w:lang w:val="en-CA" w:eastAsia="en-CA"/>
              </w:rPr>
            </w:pPr>
            <w:r w:rsidRPr="00F06F75">
              <w:rPr>
                <w:sz w:val="16"/>
                <w:szCs w:val="16"/>
                <w:lang w:val="en-CA" w:eastAsia="en-CA"/>
              </w:rPr>
              <w:t>0</w:t>
            </w:r>
          </w:p>
        </w:tc>
      </w:tr>
      <w:tr w:rsidR="00F06F75" w:rsidRPr="00F06F75" w:rsidTr="007903E7">
        <w:trPr>
          <w:trHeight w:val="434"/>
        </w:trPr>
        <w:tc>
          <w:tcPr>
            <w:tcW w:w="1702" w:type="dxa"/>
            <w:tcBorders>
              <w:top w:val="nil"/>
              <w:left w:val="single" w:sz="4" w:space="0" w:color="auto"/>
              <w:bottom w:val="single" w:sz="4" w:space="0" w:color="auto"/>
              <w:right w:val="single" w:sz="4" w:space="0" w:color="auto"/>
            </w:tcBorders>
            <w:shd w:val="clear" w:color="auto" w:fill="auto"/>
            <w:noWrap/>
            <w:hideMark/>
          </w:tcPr>
          <w:p w:rsidR="00FE13C4" w:rsidRPr="00F06F75" w:rsidRDefault="00FE13C4" w:rsidP="00F06F75">
            <w:pPr>
              <w:jc w:val="left"/>
              <w:rPr>
                <w:b/>
                <w:bCs/>
                <w:sz w:val="16"/>
                <w:szCs w:val="16"/>
                <w:lang w:val="en-CA" w:eastAsia="en-CA"/>
              </w:rPr>
            </w:pPr>
            <w:r w:rsidRPr="00F06F75">
              <w:rPr>
                <w:b/>
                <w:bCs/>
                <w:sz w:val="16"/>
                <w:szCs w:val="16"/>
                <w:lang w:val="en-CA" w:eastAsia="en-CA"/>
              </w:rPr>
              <w:t>B. Sub-total agency support costs/ implementation costs</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2,602,985</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2,357,900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1,948,182</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2,602,129</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2,296,629</w:t>
            </w:r>
          </w:p>
        </w:tc>
        <w:tc>
          <w:tcPr>
            <w:tcW w:w="856" w:type="dxa"/>
            <w:tcBorders>
              <w:top w:val="nil"/>
              <w:left w:val="nil"/>
              <w:bottom w:val="single" w:sz="4" w:space="0" w:color="auto"/>
              <w:right w:val="single" w:sz="4" w:space="0" w:color="auto"/>
            </w:tcBorders>
          </w:tcPr>
          <w:p w:rsidR="00FE13C4" w:rsidRPr="00F06F75" w:rsidRDefault="00FE13C4" w:rsidP="00F06F75">
            <w:pPr>
              <w:jc w:val="right"/>
              <w:rPr>
                <w:b/>
                <w:bCs/>
                <w:sz w:val="16"/>
                <w:szCs w:val="16"/>
                <w:lang w:val="en-CA" w:eastAsia="en-CA"/>
              </w:rPr>
            </w:pPr>
            <w:r w:rsidRPr="00F06F75">
              <w:rPr>
                <w:b/>
                <w:bCs/>
                <w:sz w:val="16"/>
                <w:szCs w:val="16"/>
                <w:lang w:val="en-CA" w:eastAsia="en-CA"/>
              </w:rPr>
              <w:t>2,928,742</w:t>
            </w:r>
          </w:p>
        </w:tc>
      </w:tr>
      <w:tr w:rsidR="00F06F75" w:rsidRPr="00F06F75" w:rsidTr="007903E7">
        <w:trPr>
          <w:trHeight w:val="264"/>
        </w:trPr>
        <w:tc>
          <w:tcPr>
            <w:tcW w:w="1702" w:type="dxa"/>
            <w:tcBorders>
              <w:top w:val="nil"/>
              <w:left w:val="single" w:sz="4" w:space="0" w:color="auto"/>
              <w:bottom w:val="single" w:sz="4" w:space="0" w:color="auto"/>
              <w:right w:val="single" w:sz="4" w:space="0" w:color="auto"/>
            </w:tcBorders>
            <w:shd w:val="clear" w:color="auto" w:fill="auto"/>
            <w:noWrap/>
            <w:hideMark/>
          </w:tcPr>
          <w:p w:rsidR="00FE13C4" w:rsidRPr="00F06F75" w:rsidRDefault="00FE13C4" w:rsidP="00F06F75">
            <w:pPr>
              <w:ind w:right="-249"/>
              <w:jc w:val="left"/>
              <w:rPr>
                <w:b/>
                <w:bCs/>
                <w:sz w:val="16"/>
                <w:szCs w:val="16"/>
                <w:lang w:val="en-CA" w:eastAsia="en-CA"/>
              </w:rPr>
            </w:pPr>
            <w:r w:rsidRPr="00F06F75">
              <w:rPr>
                <w:b/>
                <w:bCs/>
                <w:sz w:val="16"/>
                <w:szCs w:val="16"/>
                <w:lang w:val="en-CA" w:eastAsia="en-CA"/>
              </w:rPr>
              <w:t>Total administrative support costs</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7,269,300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6,980,300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9,285,200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6,839,900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5,651,400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rPr>
                <w:b/>
                <w:bCs/>
                <w:sz w:val="16"/>
                <w:szCs w:val="16"/>
                <w:lang w:val="en-CA" w:eastAsia="en-CA"/>
              </w:rPr>
            </w:pPr>
            <w:r w:rsidRPr="00F06F75">
              <w:rPr>
                <w:b/>
                <w:bCs/>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rPr>
                <w:b/>
                <w:bCs/>
                <w:sz w:val="16"/>
                <w:szCs w:val="16"/>
                <w:lang w:val="en-CA" w:eastAsia="en-CA"/>
              </w:rPr>
            </w:pPr>
            <w:r w:rsidRPr="00F06F75">
              <w:rPr>
                <w:b/>
                <w:bCs/>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rPr>
                <w:b/>
                <w:bCs/>
                <w:sz w:val="16"/>
                <w:szCs w:val="16"/>
                <w:lang w:val="en-CA" w:eastAsia="en-CA"/>
              </w:rPr>
            </w:pPr>
            <w:r w:rsidRPr="00F06F75">
              <w:rPr>
                <w:b/>
                <w:bCs/>
                <w:sz w:val="16"/>
                <w:szCs w:val="16"/>
                <w:lang w:val="en-CA" w:eastAsia="en-CA"/>
              </w:rPr>
              <w:t> </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rPr>
                <w:b/>
                <w:bCs/>
                <w:sz w:val="16"/>
                <w:szCs w:val="16"/>
                <w:lang w:val="en-CA" w:eastAsia="en-CA"/>
              </w:rPr>
            </w:pPr>
            <w:r w:rsidRPr="00F06F75">
              <w:rPr>
                <w:b/>
                <w:bCs/>
                <w:sz w:val="16"/>
                <w:szCs w:val="16"/>
                <w:lang w:val="en-CA" w:eastAsia="en-CA"/>
              </w:rPr>
              <w:t> </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rPr>
                <w:b/>
                <w:bCs/>
                <w:sz w:val="16"/>
                <w:szCs w:val="16"/>
                <w:lang w:val="en-CA" w:eastAsia="en-CA"/>
              </w:rPr>
            </w:pPr>
            <w:r w:rsidRPr="00F06F75">
              <w:rPr>
                <w:b/>
                <w:bCs/>
                <w:sz w:val="16"/>
                <w:szCs w:val="16"/>
                <w:lang w:val="en-CA" w:eastAsia="en-CA"/>
              </w:rPr>
              <w:t> </w:t>
            </w:r>
          </w:p>
        </w:tc>
        <w:tc>
          <w:tcPr>
            <w:tcW w:w="856" w:type="dxa"/>
            <w:tcBorders>
              <w:top w:val="nil"/>
              <w:left w:val="nil"/>
              <w:bottom w:val="single" w:sz="4" w:space="0" w:color="auto"/>
              <w:right w:val="single" w:sz="4" w:space="0" w:color="auto"/>
            </w:tcBorders>
          </w:tcPr>
          <w:p w:rsidR="00FE13C4" w:rsidRPr="00F06F75" w:rsidRDefault="00FE13C4" w:rsidP="00F06F75">
            <w:pPr>
              <w:rPr>
                <w:b/>
                <w:bCs/>
                <w:sz w:val="16"/>
                <w:szCs w:val="16"/>
                <w:lang w:val="en-CA" w:eastAsia="en-CA"/>
              </w:rPr>
            </w:pPr>
          </w:p>
        </w:tc>
      </w:tr>
      <w:tr w:rsidR="00F06F75" w:rsidRPr="00F06F75" w:rsidTr="007903E7">
        <w:trPr>
          <w:trHeight w:val="264"/>
        </w:trPr>
        <w:tc>
          <w:tcPr>
            <w:tcW w:w="1702" w:type="dxa"/>
            <w:tcBorders>
              <w:top w:val="nil"/>
              <w:left w:val="single" w:sz="4" w:space="0" w:color="auto"/>
              <w:bottom w:val="single" w:sz="4" w:space="0" w:color="auto"/>
              <w:right w:val="single" w:sz="4" w:space="0" w:color="auto"/>
            </w:tcBorders>
            <w:shd w:val="clear" w:color="auto" w:fill="auto"/>
            <w:noWrap/>
            <w:hideMark/>
          </w:tcPr>
          <w:p w:rsidR="00FE13C4" w:rsidRPr="00F06F75" w:rsidRDefault="00FE13C4" w:rsidP="00F06F75">
            <w:pPr>
              <w:jc w:val="left"/>
              <w:rPr>
                <w:b/>
                <w:bCs/>
                <w:sz w:val="16"/>
                <w:szCs w:val="16"/>
                <w:lang w:val="en-CA" w:eastAsia="en-CA"/>
              </w:rPr>
            </w:pPr>
            <w:r w:rsidRPr="00F06F75">
              <w:rPr>
                <w:b/>
                <w:bCs/>
                <w:sz w:val="16"/>
                <w:szCs w:val="16"/>
                <w:lang w:val="en-CA" w:eastAsia="en-CA"/>
              </w:rPr>
              <w:t xml:space="preserve">Minus project-related costs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ind w:left="-112"/>
              <w:jc w:val="right"/>
              <w:rPr>
                <w:sz w:val="16"/>
                <w:szCs w:val="16"/>
                <w:lang w:val="en-CA" w:eastAsia="en-CA"/>
              </w:rPr>
            </w:pPr>
            <w:r w:rsidRPr="00F06F75">
              <w:rPr>
                <w:sz w:val="16"/>
                <w:szCs w:val="16"/>
                <w:lang w:val="en-CA" w:eastAsia="en-CA"/>
              </w:rPr>
              <w:t>-1,779,869</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ind w:left="-112"/>
              <w:jc w:val="right"/>
              <w:rPr>
                <w:sz w:val="16"/>
                <w:szCs w:val="16"/>
                <w:lang w:val="en-CA" w:eastAsia="en-CA"/>
              </w:rPr>
            </w:pPr>
            <w:r w:rsidRPr="00F06F75">
              <w:rPr>
                <w:sz w:val="16"/>
                <w:szCs w:val="16"/>
                <w:lang w:val="en-CA" w:eastAsia="en-CA"/>
              </w:rPr>
              <w:t>-1,798,710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ind w:left="-121"/>
              <w:jc w:val="right"/>
              <w:rPr>
                <w:sz w:val="16"/>
                <w:szCs w:val="16"/>
                <w:lang w:val="en-CA" w:eastAsia="en-CA"/>
              </w:rPr>
            </w:pPr>
            <w:r w:rsidRPr="00F06F75">
              <w:rPr>
                <w:sz w:val="16"/>
                <w:szCs w:val="16"/>
                <w:lang w:val="en-CA" w:eastAsia="en-CA"/>
              </w:rPr>
              <w:t>-2,464,200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ind w:left="-121"/>
              <w:jc w:val="right"/>
              <w:rPr>
                <w:sz w:val="16"/>
                <w:szCs w:val="16"/>
                <w:lang w:val="en-CA" w:eastAsia="en-CA"/>
              </w:rPr>
            </w:pPr>
            <w:r w:rsidRPr="00F06F75">
              <w:rPr>
                <w:sz w:val="16"/>
                <w:szCs w:val="16"/>
                <w:lang w:val="en-CA" w:eastAsia="en-CA"/>
              </w:rPr>
              <w:t>-2,308,000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-977,800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rPr>
                <w:b/>
                <w:bCs/>
                <w:sz w:val="16"/>
                <w:szCs w:val="16"/>
                <w:lang w:val="en-CA" w:eastAsia="en-CA"/>
              </w:rPr>
            </w:pPr>
            <w:r w:rsidRPr="00F06F75">
              <w:rPr>
                <w:b/>
                <w:bCs/>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rPr>
                <w:b/>
                <w:bCs/>
                <w:sz w:val="16"/>
                <w:szCs w:val="16"/>
                <w:lang w:val="en-CA" w:eastAsia="en-CA"/>
              </w:rPr>
            </w:pPr>
            <w:r w:rsidRPr="00F06F75">
              <w:rPr>
                <w:b/>
                <w:bCs/>
                <w:sz w:val="16"/>
                <w:szCs w:val="16"/>
                <w:lang w:val="en-CA" w:eastAsia="en-CA"/>
              </w:rPr>
              <w:t> </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rPr>
                <w:b/>
                <w:bCs/>
                <w:sz w:val="16"/>
                <w:szCs w:val="16"/>
                <w:lang w:val="en-CA" w:eastAsia="en-CA"/>
              </w:rPr>
            </w:pPr>
            <w:r w:rsidRPr="00F06F75">
              <w:rPr>
                <w:b/>
                <w:bCs/>
                <w:sz w:val="16"/>
                <w:szCs w:val="16"/>
                <w:lang w:val="en-CA" w:eastAsia="en-CA"/>
              </w:rPr>
              <w:t> </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rPr>
                <w:b/>
                <w:bCs/>
                <w:sz w:val="16"/>
                <w:szCs w:val="16"/>
                <w:lang w:val="en-CA" w:eastAsia="en-CA"/>
              </w:rPr>
            </w:pPr>
            <w:r w:rsidRPr="00F06F75">
              <w:rPr>
                <w:b/>
                <w:bCs/>
                <w:sz w:val="16"/>
                <w:szCs w:val="16"/>
                <w:lang w:val="en-CA" w:eastAsia="en-CA"/>
              </w:rPr>
              <w:t> </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rPr>
                <w:b/>
                <w:bCs/>
                <w:sz w:val="16"/>
                <w:szCs w:val="16"/>
                <w:lang w:val="en-CA" w:eastAsia="en-CA"/>
              </w:rPr>
            </w:pPr>
            <w:r w:rsidRPr="00F06F75">
              <w:rPr>
                <w:b/>
                <w:bCs/>
                <w:sz w:val="16"/>
                <w:szCs w:val="16"/>
                <w:lang w:val="en-CA" w:eastAsia="en-CA"/>
              </w:rPr>
              <w:t> </w:t>
            </w:r>
          </w:p>
        </w:tc>
        <w:tc>
          <w:tcPr>
            <w:tcW w:w="856" w:type="dxa"/>
            <w:tcBorders>
              <w:top w:val="nil"/>
              <w:left w:val="nil"/>
              <w:bottom w:val="single" w:sz="4" w:space="0" w:color="auto"/>
              <w:right w:val="single" w:sz="4" w:space="0" w:color="auto"/>
            </w:tcBorders>
          </w:tcPr>
          <w:p w:rsidR="00FE13C4" w:rsidRPr="00F06F75" w:rsidRDefault="00FE13C4" w:rsidP="00F06F75">
            <w:pPr>
              <w:rPr>
                <w:b/>
                <w:bCs/>
                <w:sz w:val="16"/>
                <w:szCs w:val="16"/>
                <w:lang w:val="en-CA" w:eastAsia="en-CA"/>
              </w:rPr>
            </w:pPr>
          </w:p>
        </w:tc>
      </w:tr>
      <w:tr w:rsidR="00F06F75" w:rsidRPr="00F06F75" w:rsidTr="007903E7">
        <w:trPr>
          <w:trHeight w:val="50"/>
        </w:trPr>
        <w:tc>
          <w:tcPr>
            <w:tcW w:w="1702" w:type="dxa"/>
            <w:tcBorders>
              <w:top w:val="nil"/>
              <w:left w:val="single" w:sz="4" w:space="0" w:color="auto"/>
              <w:bottom w:val="single" w:sz="4" w:space="0" w:color="auto"/>
              <w:right w:val="single" w:sz="4" w:space="0" w:color="auto"/>
            </w:tcBorders>
            <w:shd w:val="clear" w:color="auto" w:fill="auto"/>
            <w:noWrap/>
            <w:hideMark/>
          </w:tcPr>
          <w:p w:rsidR="00991531" w:rsidRPr="00F06F75" w:rsidRDefault="00FE13C4" w:rsidP="00F06F75">
            <w:pPr>
              <w:jc w:val="left"/>
              <w:rPr>
                <w:b/>
                <w:bCs/>
                <w:sz w:val="16"/>
                <w:szCs w:val="16"/>
                <w:lang w:val="en-CA" w:eastAsia="en-CA"/>
              </w:rPr>
            </w:pPr>
            <w:r w:rsidRPr="00F06F75">
              <w:rPr>
                <w:b/>
                <w:bCs/>
                <w:sz w:val="16"/>
                <w:szCs w:val="16"/>
                <w:lang w:val="en-CA" w:eastAsia="en-CA"/>
              </w:rPr>
              <w:t xml:space="preserve">Grand total </w:t>
            </w:r>
          </w:p>
          <w:p w:rsidR="00FE13C4" w:rsidRPr="00F06F75" w:rsidRDefault="00FE13C4" w:rsidP="00F06F75">
            <w:pPr>
              <w:jc w:val="left"/>
              <w:rPr>
                <w:b/>
                <w:bCs/>
                <w:sz w:val="16"/>
                <w:szCs w:val="16"/>
                <w:lang w:val="en-CA" w:eastAsia="en-CA"/>
              </w:rPr>
            </w:pPr>
            <w:r w:rsidRPr="00F06F75">
              <w:rPr>
                <w:b/>
                <w:bCs/>
                <w:sz w:val="16"/>
                <w:szCs w:val="16"/>
                <w:lang w:val="en-CA" w:eastAsia="en-CA"/>
              </w:rPr>
              <w:t>(A + B)**</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5,489,431</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5,181,590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6,821,000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4,531,900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4,673,600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4,643,700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4,412,900</w:t>
            </w:r>
          </w:p>
        </w:tc>
        <w:tc>
          <w:tcPr>
            <w:tcW w:w="856"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4,009,636</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4,686,000</w:t>
            </w:r>
          </w:p>
        </w:tc>
        <w:tc>
          <w:tcPr>
            <w:tcW w:w="910" w:type="dxa"/>
            <w:tcBorders>
              <w:top w:val="nil"/>
              <w:left w:val="nil"/>
              <w:bottom w:val="single" w:sz="4" w:space="0" w:color="auto"/>
              <w:right w:val="single" w:sz="4" w:space="0" w:color="auto"/>
            </w:tcBorders>
            <w:shd w:val="clear" w:color="auto" w:fill="auto"/>
            <w:noWrap/>
            <w:hideMark/>
          </w:tcPr>
          <w:p w:rsidR="00FE13C4" w:rsidRPr="00F06F75" w:rsidRDefault="00FE13C4" w:rsidP="00F06F75">
            <w:pPr>
              <w:jc w:val="right"/>
              <w:rPr>
                <w:b/>
                <w:bCs/>
                <w:sz w:val="16"/>
                <w:szCs w:val="16"/>
                <w:lang w:val="en-CA" w:eastAsia="en-CA"/>
              </w:rPr>
            </w:pPr>
            <w:r w:rsidRPr="00F06F75">
              <w:rPr>
                <w:b/>
                <w:bCs/>
                <w:sz w:val="16"/>
                <w:szCs w:val="16"/>
                <w:lang w:val="en-CA" w:eastAsia="en-CA"/>
              </w:rPr>
              <w:t>4,380,500</w:t>
            </w:r>
          </w:p>
        </w:tc>
        <w:tc>
          <w:tcPr>
            <w:tcW w:w="856" w:type="dxa"/>
            <w:tcBorders>
              <w:top w:val="nil"/>
              <w:left w:val="nil"/>
              <w:bottom w:val="single" w:sz="4" w:space="0" w:color="auto"/>
              <w:right w:val="single" w:sz="4" w:space="0" w:color="auto"/>
            </w:tcBorders>
          </w:tcPr>
          <w:p w:rsidR="00FE13C4" w:rsidRPr="00F06F75" w:rsidRDefault="00FE13C4" w:rsidP="00F06F75">
            <w:pPr>
              <w:jc w:val="right"/>
              <w:rPr>
                <w:b/>
                <w:bCs/>
                <w:sz w:val="16"/>
                <w:szCs w:val="16"/>
                <w:lang w:val="en-CA" w:eastAsia="en-CA"/>
              </w:rPr>
            </w:pPr>
            <w:r w:rsidRPr="00F06F75">
              <w:rPr>
                <w:b/>
                <w:bCs/>
                <w:sz w:val="16"/>
                <w:szCs w:val="16"/>
                <w:lang w:val="en-CA" w:eastAsia="en-CA"/>
              </w:rPr>
              <w:t>5,027,200</w:t>
            </w:r>
          </w:p>
        </w:tc>
      </w:tr>
    </w:tbl>
    <w:p w:rsidR="00FE13C4" w:rsidRPr="00F06F75" w:rsidRDefault="00FE13C4" w:rsidP="00F06F75">
      <w:pPr>
        <w:keepLines/>
        <w:rPr>
          <w:sz w:val="18"/>
          <w:szCs w:val="18"/>
          <w:lang w:val="en-CA"/>
        </w:rPr>
      </w:pPr>
      <w:r w:rsidRPr="00F06F75">
        <w:rPr>
          <w:bCs/>
          <w:sz w:val="18"/>
          <w:szCs w:val="18"/>
          <w:lang w:val="en-CA"/>
        </w:rPr>
        <w:t xml:space="preserve">*The cost of the core unit is higher than the allowed subtotal of US $1,970,766 in 2011, US $1,984,561 in 2012, US $1,998,453 in 2013, US $2,012,442 in 2014, US $2,026,529 in 2015, US $2,040,715 in 2016 and US $2,055,000 in 2017. An adjustment line and a negative adjustment were therefore introduced to arrive at the required ceiling. </w:t>
      </w:r>
      <w:r w:rsidRPr="00F06F75">
        <w:rPr>
          <w:sz w:val="18"/>
          <w:szCs w:val="18"/>
          <w:lang w:val="en-CA"/>
        </w:rPr>
        <w:t>A corresponding positive adjustment is also provided under agency support costs/implementation to ensure that the total costs incurred for administrative costs also reflect the amount exceeded by the agency.</w:t>
      </w:r>
    </w:p>
    <w:p w:rsidR="00FE13C4" w:rsidRPr="00F06F75" w:rsidRDefault="00FE13C4" w:rsidP="00F06F75">
      <w:pPr>
        <w:pStyle w:val="Title1"/>
        <w:spacing w:after="240"/>
        <w:jc w:val="both"/>
        <w:outlineLvl w:val="9"/>
        <w:rPr>
          <w:b w:val="0"/>
          <w:bCs/>
          <w:caps w:val="0"/>
          <w:sz w:val="18"/>
          <w:szCs w:val="18"/>
          <w:lang w:val="en-CA"/>
        </w:rPr>
      </w:pPr>
      <w:r w:rsidRPr="00F06F75">
        <w:rPr>
          <w:b w:val="0"/>
          <w:caps w:val="0"/>
          <w:sz w:val="18"/>
          <w:szCs w:val="18"/>
          <w:lang w:val="en-CA"/>
        </w:rPr>
        <w:t>**Reflects total annual amount provided by the Multilateral Fund. In the transition to the revised reporting format, the budget lines “t</w:t>
      </w:r>
      <w:r w:rsidRPr="00F06F75">
        <w:rPr>
          <w:b w:val="0"/>
          <w:bCs/>
          <w:caps w:val="0"/>
          <w:sz w:val="18"/>
          <w:szCs w:val="18"/>
          <w:lang w:val="en-CA" w:eastAsia="en-CA"/>
        </w:rPr>
        <w:t xml:space="preserve">otal administrative support costs”, and “minus project-related costs” </w:t>
      </w:r>
      <w:r w:rsidRPr="00F06F75">
        <w:rPr>
          <w:b w:val="0"/>
          <w:caps w:val="0"/>
          <w:sz w:val="18"/>
          <w:szCs w:val="18"/>
          <w:lang w:val="en-CA" w:eastAsia="en-CA"/>
        </w:rPr>
        <w:t>are reflected in order to show trends in the period between 2011 and 2015. These lines will be removed over time.</w:t>
      </w:r>
    </w:p>
    <w:p w:rsidR="00FE13C4" w:rsidRPr="00F06F75" w:rsidRDefault="00FE13C4" w:rsidP="00F06F75">
      <w:pPr>
        <w:keepNext/>
        <w:spacing w:after="240"/>
        <w:rPr>
          <w:u w:val="single"/>
          <w:lang w:val="en-CA"/>
        </w:rPr>
      </w:pPr>
      <w:r w:rsidRPr="00F06F75">
        <w:rPr>
          <w:u w:val="single"/>
          <w:lang w:val="en-CA"/>
        </w:rPr>
        <w:t>Core unit cost</w:t>
      </w:r>
    </w:p>
    <w:p w:rsidR="00FE13C4" w:rsidRPr="00F06F75" w:rsidRDefault="00FE13C4" w:rsidP="00F06F75">
      <w:pPr>
        <w:pStyle w:val="Heading1"/>
        <w:rPr>
          <w:lang w:val="en-CA"/>
        </w:rPr>
      </w:pPr>
      <w:r w:rsidRPr="00F06F75">
        <w:rPr>
          <w:lang w:val="en-CA"/>
        </w:rPr>
        <w:t>UNIDO’s request of US $2,098,458 for its 2020 core unit budget represents a 0.7 per cent increase in the budget approved for 2019. The increased level of funding is being requested despite that UNIDO expects the costs of its core unit to exceed this amount by US $70,542 (indic</w:t>
      </w:r>
      <w:r w:rsidR="00CC4F6F" w:rsidRPr="00F06F75">
        <w:rPr>
          <w:lang w:val="en-CA"/>
        </w:rPr>
        <w:t>ated as "Adjustment" in Table 3</w:t>
      </w:r>
      <w:r w:rsidRPr="00F06F75">
        <w:rPr>
          <w:lang w:val="en-CA"/>
        </w:rPr>
        <w:t xml:space="preserve">). </w:t>
      </w:r>
      <w:r w:rsidRPr="00F06F75">
        <w:t xml:space="preserve">UNIDO has </w:t>
      </w:r>
      <w:r w:rsidRPr="00F06F75">
        <w:rPr>
          <w:lang w:val="en-CA"/>
        </w:rPr>
        <w:t>estimated that it will go below its 2019 budget by US $49,371</w:t>
      </w:r>
      <w:r w:rsidRPr="00F06F75">
        <w:t xml:space="preserve">. </w:t>
      </w:r>
      <w:r w:rsidRPr="00F06F75">
        <w:rPr>
          <w:lang w:val="en-CA"/>
        </w:rPr>
        <w:t xml:space="preserve">Sixty per cent of UNIDO’s proposed core unit budget is for salaries of </w:t>
      </w:r>
      <w:r w:rsidRPr="00F06F75">
        <w:rPr>
          <w:rFonts w:cs="Arial"/>
        </w:rPr>
        <w:t>9.6 staff members</w:t>
      </w:r>
      <w:r w:rsidRPr="00F06F75">
        <w:rPr>
          <w:lang w:val="en-CA"/>
        </w:rPr>
        <w:t xml:space="preserve">. In 2019, the staff estimated budget was 62 per cent of the overall budget, ranging from 61 to 69 per cent since 2011; the staff size proposed for 2020 is the same since 2015. </w:t>
      </w:r>
    </w:p>
    <w:p w:rsidR="00FE13C4" w:rsidRPr="00F06F75" w:rsidRDefault="00FE13C4" w:rsidP="00F06F75">
      <w:pPr>
        <w:pStyle w:val="Heading1"/>
        <w:rPr>
          <w:lang w:val="en-CA"/>
        </w:rPr>
      </w:pPr>
      <w:r w:rsidRPr="00F06F75">
        <w:rPr>
          <w:lang w:val="en-CA"/>
        </w:rPr>
        <w:t xml:space="preserve">UNIDO explained that </w:t>
      </w:r>
      <w:r w:rsidR="00605521" w:rsidRPr="00F06F75">
        <w:rPr>
          <w:lang w:val="en-CA"/>
        </w:rPr>
        <w:t>it has</w:t>
      </w:r>
      <w:r w:rsidRPr="00F06F75">
        <w:rPr>
          <w:lang w:val="en-CA"/>
        </w:rPr>
        <w:t xml:space="preserve"> taken steps to rationalise costs of travel by reducing</w:t>
      </w:r>
      <w:r w:rsidR="00605521" w:rsidRPr="00F06F75">
        <w:rPr>
          <w:lang w:val="en-CA"/>
        </w:rPr>
        <w:t xml:space="preserve"> the</w:t>
      </w:r>
      <w:r w:rsidRPr="00F06F75">
        <w:rPr>
          <w:lang w:val="en-CA"/>
        </w:rPr>
        <w:t xml:space="preserve"> number of participants in different meetings and reorganising travel tha</w:t>
      </w:r>
      <w:r w:rsidR="00884780" w:rsidRPr="00F06F75">
        <w:rPr>
          <w:lang w:val="en-CA"/>
        </w:rPr>
        <w:t>t would reduce the ticket costs</w:t>
      </w:r>
      <w:r w:rsidR="009639FA" w:rsidRPr="00F06F75">
        <w:rPr>
          <w:lang w:val="en-CA"/>
        </w:rPr>
        <w:t xml:space="preserve">; </w:t>
      </w:r>
      <w:r w:rsidR="000B2FA4" w:rsidRPr="00F06F75">
        <w:rPr>
          <w:lang w:val="en-CA"/>
        </w:rPr>
        <w:t>UNIDO</w:t>
      </w:r>
      <w:r w:rsidR="009639FA" w:rsidRPr="00F06F75">
        <w:rPr>
          <w:lang w:val="en-CA"/>
        </w:rPr>
        <w:t xml:space="preserve"> also confirmed that </w:t>
      </w:r>
      <w:r w:rsidR="00D15FF4" w:rsidRPr="00F06F75">
        <w:rPr>
          <w:lang w:val="en-CA"/>
        </w:rPr>
        <w:t>it</w:t>
      </w:r>
      <w:r w:rsidR="009639FA" w:rsidRPr="00F06F75">
        <w:rPr>
          <w:lang w:val="en-CA"/>
        </w:rPr>
        <w:t xml:space="preserve"> follow</w:t>
      </w:r>
      <w:r w:rsidR="00D15FF4" w:rsidRPr="00F06F75">
        <w:rPr>
          <w:lang w:val="en-CA"/>
        </w:rPr>
        <w:t>s</w:t>
      </w:r>
      <w:r w:rsidR="009639FA" w:rsidRPr="00F06F75">
        <w:rPr>
          <w:lang w:val="en-CA"/>
        </w:rPr>
        <w:t xml:space="preserve"> standard accounting processes and agreed methodology for apportioning common cost items</w:t>
      </w:r>
      <w:r w:rsidRPr="00F06F75">
        <w:rPr>
          <w:lang w:val="en-CA"/>
        </w:rPr>
        <w:t>.</w:t>
      </w:r>
    </w:p>
    <w:p w:rsidR="00FE13C4" w:rsidRPr="00F06F75" w:rsidRDefault="00FE13C4" w:rsidP="00F06F75">
      <w:pPr>
        <w:pStyle w:val="Heading1"/>
        <w:rPr>
          <w:lang w:val="en-CA"/>
        </w:rPr>
      </w:pPr>
      <w:r w:rsidRPr="00F06F75">
        <w:rPr>
          <w:lang w:val="en-CA"/>
        </w:rPr>
        <w:t>The contractual services budget for 2020, which is established by its governing body, is two times more than that estimated for 2019. UNIDO indicated that</w:t>
      </w:r>
      <w:r w:rsidR="00AF0247" w:rsidRPr="00F06F75">
        <w:rPr>
          <w:lang w:val="en-CA"/>
        </w:rPr>
        <w:t>,</w:t>
      </w:r>
      <w:r w:rsidRPr="00F06F75">
        <w:rPr>
          <w:lang w:val="en-CA"/>
        </w:rPr>
        <w:t xml:space="preserve"> </w:t>
      </w:r>
      <w:r w:rsidR="00D85C30" w:rsidRPr="00F06F75">
        <w:rPr>
          <w:lang w:val="en-CA"/>
        </w:rPr>
        <w:t xml:space="preserve">in </w:t>
      </w:r>
      <w:r w:rsidRPr="00F06F75">
        <w:t xml:space="preserve">2018, the actual costs were lower than estimated amounts due to </w:t>
      </w:r>
      <w:r w:rsidR="004E7615" w:rsidRPr="00F06F75">
        <w:t>fewer</w:t>
      </w:r>
      <w:r w:rsidRPr="00F06F75">
        <w:t xml:space="preserve"> HFC-related projects </w:t>
      </w:r>
      <w:r w:rsidR="003E3B48" w:rsidRPr="00F06F75">
        <w:t>being</w:t>
      </w:r>
      <w:r w:rsidR="002B4299" w:rsidRPr="00F06F75">
        <w:t xml:space="preserve"> approved.</w:t>
      </w:r>
      <w:r w:rsidRPr="00F06F75">
        <w:t xml:space="preserve"> The 2019 and 2020 estimates were based on actual allotments. </w:t>
      </w:r>
    </w:p>
    <w:p w:rsidR="00FE13C4" w:rsidRPr="00F06F75" w:rsidRDefault="00FE13C4" w:rsidP="00F06F75">
      <w:pPr>
        <w:pStyle w:val="Heading1"/>
        <w:rPr>
          <w:lang w:val="en-CA"/>
        </w:rPr>
      </w:pPr>
      <w:r w:rsidRPr="00F06F75">
        <w:rPr>
          <w:lang w:val="en-CA"/>
        </w:rPr>
        <w:lastRenderedPageBreak/>
        <w:t>The proposed travel cost budget (US $168,500) is higher tha</w:t>
      </w:r>
      <w:r w:rsidR="00F650F8" w:rsidRPr="00F06F75">
        <w:rPr>
          <w:lang w:val="en-CA"/>
        </w:rPr>
        <w:t>n</w:t>
      </w:r>
      <w:r w:rsidRPr="00F06F75">
        <w:rPr>
          <w:lang w:val="en-CA"/>
        </w:rPr>
        <w:t xml:space="preserve"> the estimated for 2019, and within the range of travel costs incurred since 2011 (US $139,700 to US $284,000). The central services budget item represents the next largest cost item, amounting to 24.7 per cent of the budget, followed by 7.8 per cent for travel and 3.8 per cent for space rental.</w:t>
      </w:r>
    </w:p>
    <w:p w:rsidR="00FE13C4" w:rsidRPr="00F06F75" w:rsidRDefault="00FE13C4" w:rsidP="00F06F75">
      <w:pPr>
        <w:pStyle w:val="Heading1"/>
        <w:rPr>
          <w:lang w:val="en-CA"/>
        </w:rPr>
      </w:pPr>
      <w:r w:rsidRPr="00F06F75">
        <w:rPr>
          <w:lang w:val="en-CA"/>
        </w:rPr>
        <w:t>UNIDO will return a total of US $7,931 from core unit costs from 2018. The Executive Committee may wish to note, with appreciation, that UNIDO would be returning unused balances.</w:t>
      </w:r>
    </w:p>
    <w:p w:rsidR="00FE13C4" w:rsidRPr="00F06F75" w:rsidRDefault="00FE13C4" w:rsidP="00F06F75">
      <w:pPr>
        <w:pStyle w:val="Heading1"/>
        <w:keepNext/>
        <w:numPr>
          <w:ilvl w:val="0"/>
          <w:numId w:val="0"/>
        </w:numPr>
        <w:rPr>
          <w:u w:val="single"/>
          <w:lang w:val="en-CA"/>
        </w:rPr>
      </w:pPr>
      <w:r w:rsidRPr="00F06F75">
        <w:rPr>
          <w:u w:val="single"/>
          <w:lang w:val="en-CA"/>
        </w:rPr>
        <w:t>Total administrative costs</w:t>
      </w:r>
    </w:p>
    <w:p w:rsidR="00FE13C4" w:rsidRPr="00F06F75" w:rsidRDefault="00FE13C4" w:rsidP="00F06F75">
      <w:pPr>
        <w:pStyle w:val="Heading1"/>
        <w:rPr>
          <w:lang w:val="en-CA"/>
        </w:rPr>
      </w:pPr>
      <w:r w:rsidRPr="00F06F75">
        <w:rPr>
          <w:lang w:val="en-CA"/>
        </w:rPr>
        <w:t xml:space="preserve">Total net administrative costs are proposed at US $5,027,200 for 2020, which is higher than the 2019 estimated costs of US $4,380,500 but in the range of costs between 2011 and 2019 (from US $4,009,636 to US $6,821,000). </w:t>
      </w:r>
    </w:p>
    <w:p w:rsidR="00FE13C4" w:rsidRPr="00F06F75" w:rsidRDefault="00FE13C4" w:rsidP="00F06F75">
      <w:pPr>
        <w:pStyle w:val="Heading1"/>
        <w:rPr>
          <w:lang w:val="en-CA"/>
        </w:rPr>
      </w:pPr>
      <w:r w:rsidRPr="00F06F75">
        <w:rPr>
          <w:lang w:val="en-CA"/>
        </w:rPr>
        <w:t xml:space="preserve">The reimbursement of country offices and national execution was budgeted at US $815,600 for 2020. This is </w:t>
      </w:r>
      <w:r w:rsidR="00CC4F6F" w:rsidRPr="00F06F75">
        <w:rPr>
          <w:lang w:val="en-CA"/>
        </w:rPr>
        <w:t>similar to</w:t>
      </w:r>
      <w:r w:rsidRPr="00F06F75">
        <w:rPr>
          <w:lang w:val="en-CA"/>
        </w:rPr>
        <w:t xml:space="preserve"> the estimated costs for 2019 (US $816,900) but higher than the actual costs for 2018 (US $729,854). However, this amount is lower than previous years (ranging from US $1,145,400 to U</w:t>
      </w:r>
      <w:r w:rsidR="00BB26E4" w:rsidRPr="00F06F75">
        <w:rPr>
          <w:lang w:val="en-CA"/>
        </w:rPr>
        <w:t>S </w:t>
      </w:r>
      <w:r w:rsidRPr="00F06F75">
        <w:rPr>
          <w:lang w:val="en-CA"/>
        </w:rPr>
        <w:t xml:space="preserve">$3,602,000 between 2011 and 2016). UNIDO explained that </w:t>
      </w:r>
      <w:r w:rsidRPr="00F06F75">
        <w:t xml:space="preserve">the actual spending in 2018 increased due to structural change in the UNIDO’s </w:t>
      </w:r>
      <w:r w:rsidR="002B4299" w:rsidRPr="00F06F75">
        <w:t>technical cooperation</w:t>
      </w:r>
      <w:r w:rsidRPr="00F06F75">
        <w:t xml:space="preserve"> delivery portfolio and enhancement of UNIDO </w:t>
      </w:r>
      <w:r w:rsidR="00BB26E4" w:rsidRPr="00F06F75">
        <w:t>f</w:t>
      </w:r>
      <w:r w:rsidRPr="00F06F75">
        <w:t xml:space="preserve">ield representation by filling a great number of vacant positions in the field in 2018 aiming for an enhanced support. The high increase in 2019 of US $229,100 is due to the same reason. </w:t>
      </w:r>
      <w:r w:rsidRPr="00F06F75">
        <w:rPr>
          <w:lang w:val="en-CA"/>
        </w:rPr>
        <w:t xml:space="preserve">   </w:t>
      </w:r>
    </w:p>
    <w:p w:rsidR="00FE13C4" w:rsidRPr="00F06F75" w:rsidRDefault="00EE4D25" w:rsidP="00F06F75">
      <w:pPr>
        <w:pStyle w:val="Heading1"/>
        <w:rPr>
          <w:rFonts w:cs="Arial"/>
        </w:rPr>
      </w:pPr>
      <w:r w:rsidRPr="00F06F75">
        <w:rPr>
          <w:lang w:val="en-CA"/>
        </w:rPr>
        <w:t>E</w:t>
      </w:r>
      <w:r w:rsidR="00FE13C4" w:rsidRPr="00F06F75">
        <w:rPr>
          <w:lang w:val="en-CA"/>
        </w:rPr>
        <w:t>xecuting</w:t>
      </w:r>
      <w:r w:rsidRPr="00F06F75">
        <w:rPr>
          <w:lang w:val="en-CA"/>
        </w:rPr>
        <w:t xml:space="preserve"> </w:t>
      </w:r>
      <w:r w:rsidR="00FE13C4" w:rsidRPr="00F06F75">
        <w:rPr>
          <w:lang w:val="en-CA"/>
        </w:rPr>
        <w:t>agency cost shows an increase, with a proposed budget of US $2,042,600 for 2020 – US $479,600 more than the 2019 budget estimate, and US $687,989 more than 2018 actual cost. Executing agency cost show</w:t>
      </w:r>
      <w:r w:rsidR="00971F42" w:rsidRPr="00F06F75">
        <w:rPr>
          <w:lang w:val="en-CA"/>
        </w:rPr>
        <w:t>s</w:t>
      </w:r>
      <w:r w:rsidR="00FE13C4" w:rsidRPr="00F06F75">
        <w:rPr>
          <w:lang w:val="en-CA"/>
        </w:rPr>
        <w:t xml:space="preserve"> fluctuations, and have ranged from US $1,354,611 to US $3,302,800 for the 2011</w:t>
      </w:r>
      <w:r w:rsidR="002B4299" w:rsidRPr="00F06F75">
        <w:rPr>
          <w:lang w:val="en-CA"/>
        </w:rPr>
        <w:t>–</w:t>
      </w:r>
      <w:r w:rsidR="00FE13C4" w:rsidRPr="00F06F75">
        <w:rPr>
          <w:lang w:val="en-CA"/>
        </w:rPr>
        <w:t>2019</w:t>
      </w:r>
      <w:r w:rsidR="002B4299" w:rsidRPr="00F06F75">
        <w:rPr>
          <w:lang w:val="en-CA"/>
        </w:rPr>
        <w:t xml:space="preserve"> </w:t>
      </w:r>
      <w:r w:rsidR="00FE13C4" w:rsidRPr="00F06F75">
        <w:rPr>
          <w:lang w:val="en-CA"/>
        </w:rPr>
        <w:t>period.</w:t>
      </w:r>
      <w:r w:rsidR="00FE13C4" w:rsidRPr="00F06F75">
        <w:rPr>
          <w:rFonts w:cs="Arial"/>
        </w:rPr>
        <w:t xml:space="preserve"> </w:t>
      </w:r>
      <w:r w:rsidR="00FE13C4" w:rsidRPr="00F06F75">
        <w:t>UNIDO explained that the increase in the executing agency support cost</w:t>
      </w:r>
      <w:r w:rsidR="002B4299" w:rsidRPr="00F06F75">
        <w:t xml:space="preserve"> was</w:t>
      </w:r>
      <w:r w:rsidR="00FE13C4" w:rsidRPr="00F06F75">
        <w:t xml:space="preserve"> due to procurement activities in 2018, while major decrease (US $272,400) is projected for 2019, since the budgetary appropriations were adjusted to the actual needs.</w:t>
      </w:r>
    </w:p>
    <w:p w:rsidR="00FE13C4" w:rsidRPr="00F06F75" w:rsidRDefault="00FE13C4" w:rsidP="00F06F75">
      <w:pPr>
        <w:pStyle w:val="Heading1"/>
        <w:rPr>
          <w:lang w:val="en-CA"/>
        </w:rPr>
      </w:pPr>
      <w:r w:rsidRPr="00F06F75">
        <w:rPr>
          <w:lang w:val="en-CA"/>
        </w:rPr>
        <w:t>The expected resources available from the Multilateral Fund to UNIDO for administrative costs include both the core unit costs and the agency support costs released on the basis of a disbursement against a project cost</w:t>
      </w:r>
      <w:r w:rsidR="00F23FC0" w:rsidRPr="00F06F75">
        <w:rPr>
          <w:lang w:val="en-CA"/>
        </w:rPr>
        <w:t>,</w:t>
      </w:r>
      <w:r w:rsidRPr="00F06F75">
        <w:rPr>
          <w:lang w:val="en-CA"/>
        </w:rPr>
        <w:t xml:space="preserve"> plus any balance of income for administrative costs not previously used. Table 4 presents this information for the years 2009 to 2019. The table assumes that approved funds are disbursed, therefore, there may be a time lag before UNIDO has access to all of the approved funds. </w:t>
      </w:r>
    </w:p>
    <w:p w:rsidR="00FE13C4" w:rsidRPr="00F06F75" w:rsidRDefault="00FE13C4" w:rsidP="00F06F75">
      <w:pPr>
        <w:keepNext/>
        <w:keepLines/>
        <w:rPr>
          <w:b/>
          <w:caps/>
          <w:lang w:val="en-CA"/>
        </w:rPr>
      </w:pPr>
      <w:r w:rsidRPr="00F06F75">
        <w:rPr>
          <w:b/>
          <w:lang w:val="en-CA"/>
        </w:rPr>
        <w:t xml:space="preserve">Table 4: Assessment of availability of income for future administrative costs for </w:t>
      </w:r>
      <w:r w:rsidRPr="00F06F75">
        <w:rPr>
          <w:b/>
          <w:caps/>
          <w:lang w:val="en-CA"/>
        </w:rPr>
        <w:t>UNIDO (us $)</w:t>
      </w:r>
    </w:p>
    <w:tbl>
      <w:tblPr>
        <w:tblW w:w="11199" w:type="dxa"/>
        <w:tblInd w:w="-714" w:type="dxa"/>
        <w:tblLayout w:type="fixed"/>
        <w:tblLook w:val="04A0" w:firstRow="1" w:lastRow="0" w:firstColumn="1" w:lastColumn="0" w:noHBand="0" w:noVBand="1"/>
      </w:tblPr>
      <w:tblGrid>
        <w:gridCol w:w="1843"/>
        <w:gridCol w:w="851"/>
        <w:gridCol w:w="850"/>
        <w:gridCol w:w="851"/>
        <w:gridCol w:w="850"/>
        <w:gridCol w:w="851"/>
        <w:gridCol w:w="850"/>
        <w:gridCol w:w="851"/>
        <w:gridCol w:w="850"/>
        <w:gridCol w:w="851"/>
        <w:gridCol w:w="850"/>
        <w:gridCol w:w="851"/>
      </w:tblGrid>
      <w:tr w:rsidR="00F06F75" w:rsidRPr="00F06F75" w:rsidTr="007903E7">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UNIDO</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2009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2019*</w:t>
            </w:r>
          </w:p>
        </w:tc>
      </w:tr>
      <w:tr w:rsidR="00F06F75" w:rsidRPr="00F06F75" w:rsidTr="007903E7">
        <w:trPr>
          <w:trHeight w:val="26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E13C4" w:rsidRPr="00F06F75" w:rsidRDefault="00FE13C4" w:rsidP="00F06F75">
            <w:pPr>
              <w:jc w:val="left"/>
              <w:rPr>
                <w:sz w:val="16"/>
                <w:szCs w:val="16"/>
                <w:lang w:val="en-CA" w:eastAsia="en-CA"/>
              </w:rPr>
            </w:pPr>
            <w:r w:rsidRPr="00F06F75">
              <w:rPr>
                <w:sz w:val="16"/>
                <w:szCs w:val="16"/>
                <w:lang w:val="en-US" w:eastAsia="en-CA"/>
              </w:rPr>
              <w:t>Net agency support costs plus core unit costs</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4"/>
              <w:jc w:val="right"/>
              <w:rPr>
                <w:sz w:val="16"/>
                <w:szCs w:val="16"/>
                <w:lang w:val="en-CA" w:eastAsia="en-CA"/>
              </w:rPr>
            </w:pPr>
            <w:r w:rsidRPr="00F06F75">
              <w:rPr>
                <w:sz w:val="16"/>
                <w:szCs w:val="16"/>
                <w:lang w:val="en-CA" w:eastAsia="en-CA"/>
              </w:rPr>
              <w:t>3,077,679</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3"/>
              <w:jc w:val="right"/>
              <w:rPr>
                <w:sz w:val="16"/>
                <w:szCs w:val="16"/>
                <w:lang w:val="en-CA" w:eastAsia="en-CA"/>
              </w:rPr>
            </w:pPr>
            <w:r w:rsidRPr="00F06F75">
              <w:rPr>
                <w:sz w:val="16"/>
                <w:szCs w:val="16"/>
                <w:lang w:val="en-CA" w:eastAsia="en-CA"/>
              </w:rPr>
              <w:t>5,482,260</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5"/>
              <w:jc w:val="right"/>
              <w:rPr>
                <w:sz w:val="16"/>
                <w:szCs w:val="16"/>
                <w:lang w:val="en-CA" w:eastAsia="en-CA"/>
              </w:rPr>
            </w:pPr>
            <w:r w:rsidRPr="00F06F75">
              <w:rPr>
                <w:sz w:val="16"/>
                <w:szCs w:val="16"/>
                <w:lang w:val="en-CA" w:eastAsia="en-CA"/>
              </w:rPr>
              <w:t>7,759,822</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6"/>
              <w:jc w:val="right"/>
              <w:rPr>
                <w:sz w:val="16"/>
                <w:szCs w:val="16"/>
                <w:lang w:val="en-CA" w:eastAsia="en-CA"/>
              </w:rPr>
            </w:pPr>
            <w:r w:rsidRPr="00F06F75">
              <w:rPr>
                <w:sz w:val="16"/>
                <w:szCs w:val="16"/>
                <w:lang w:val="en-CA" w:eastAsia="en-CA"/>
              </w:rPr>
              <w:t>4,389,685</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8"/>
              <w:jc w:val="right"/>
              <w:rPr>
                <w:sz w:val="16"/>
                <w:szCs w:val="16"/>
                <w:lang w:val="en-CA" w:eastAsia="en-CA"/>
              </w:rPr>
            </w:pPr>
            <w:r w:rsidRPr="00F06F75">
              <w:rPr>
                <w:sz w:val="16"/>
                <w:szCs w:val="16"/>
                <w:lang w:val="en-CA" w:eastAsia="en-CA"/>
              </w:rPr>
              <w:t>4,216,687</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9"/>
              <w:jc w:val="right"/>
              <w:rPr>
                <w:sz w:val="16"/>
                <w:szCs w:val="16"/>
                <w:lang w:val="en-CA" w:eastAsia="en-CA"/>
              </w:rPr>
            </w:pPr>
            <w:r w:rsidRPr="00F06F75">
              <w:rPr>
                <w:sz w:val="16"/>
                <w:szCs w:val="16"/>
                <w:lang w:val="en-CA" w:eastAsia="en-CA"/>
              </w:rPr>
              <w:t>3,998,516</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1"/>
              <w:jc w:val="right"/>
              <w:rPr>
                <w:sz w:val="16"/>
                <w:szCs w:val="16"/>
                <w:lang w:val="en-CA" w:eastAsia="en-CA"/>
              </w:rPr>
            </w:pPr>
            <w:r w:rsidRPr="00F06F75">
              <w:rPr>
                <w:sz w:val="16"/>
                <w:szCs w:val="16"/>
                <w:lang w:val="en-CA" w:eastAsia="en-CA"/>
              </w:rPr>
              <w:t>4,717,427</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2"/>
              <w:jc w:val="right"/>
              <w:rPr>
                <w:sz w:val="16"/>
                <w:szCs w:val="16"/>
                <w:lang w:val="en-CA" w:eastAsia="en-CA"/>
              </w:rPr>
            </w:pPr>
            <w:r w:rsidRPr="00F06F75">
              <w:rPr>
                <w:sz w:val="16"/>
                <w:szCs w:val="16"/>
                <w:lang w:val="en-CA" w:eastAsia="en-CA"/>
              </w:rPr>
              <w:t>4,687,261</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4"/>
              <w:jc w:val="right"/>
              <w:rPr>
                <w:sz w:val="16"/>
                <w:szCs w:val="16"/>
                <w:lang w:val="en-CA" w:eastAsia="en-CA"/>
              </w:rPr>
            </w:pPr>
            <w:r w:rsidRPr="00F06F75">
              <w:rPr>
                <w:sz w:val="16"/>
                <w:szCs w:val="16"/>
                <w:lang w:val="en-CA" w:eastAsia="en-CA"/>
              </w:rPr>
              <w:t>3,424,877</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3"/>
              <w:jc w:val="right"/>
              <w:rPr>
                <w:sz w:val="16"/>
                <w:szCs w:val="16"/>
                <w:lang w:val="en-CA" w:eastAsia="en-CA"/>
              </w:rPr>
            </w:pPr>
            <w:r w:rsidRPr="00F06F75">
              <w:rPr>
                <w:sz w:val="16"/>
                <w:szCs w:val="16"/>
                <w:lang w:val="en-CA" w:eastAsia="en-CA"/>
              </w:rPr>
              <w:t>4,432,565</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5"/>
              <w:jc w:val="right"/>
              <w:rPr>
                <w:sz w:val="16"/>
                <w:szCs w:val="16"/>
                <w:lang w:val="en-CA" w:eastAsia="en-CA"/>
              </w:rPr>
            </w:pPr>
            <w:r w:rsidRPr="00F06F75">
              <w:rPr>
                <w:sz w:val="16"/>
                <w:szCs w:val="16"/>
                <w:lang w:val="en-CA" w:eastAsia="en-CA"/>
              </w:rPr>
              <w:t>6,074,788</w:t>
            </w:r>
          </w:p>
        </w:tc>
      </w:tr>
      <w:tr w:rsidR="00F06F75" w:rsidRPr="00F06F75" w:rsidTr="007903E7">
        <w:trPr>
          <w:trHeight w:val="26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E13C4" w:rsidRPr="00F06F75" w:rsidRDefault="00FE13C4" w:rsidP="00F06F75">
            <w:pPr>
              <w:jc w:val="left"/>
              <w:rPr>
                <w:sz w:val="16"/>
                <w:szCs w:val="16"/>
                <w:lang w:val="en-CA" w:eastAsia="en-CA"/>
              </w:rPr>
            </w:pPr>
            <w:r w:rsidRPr="00F06F75">
              <w:rPr>
                <w:sz w:val="16"/>
                <w:szCs w:val="16"/>
                <w:lang w:val="en-US" w:eastAsia="en-CA"/>
              </w:rPr>
              <w:t>Total administrative cost excluding project</w:t>
            </w:r>
            <w:r w:rsidRPr="00F06F75">
              <w:rPr>
                <w:sz w:val="16"/>
                <w:szCs w:val="16"/>
                <w:lang w:val="en-US" w:eastAsia="en-CA"/>
              </w:rPr>
              <w:noBreakHyphen/>
              <w:t>related costs</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4"/>
              <w:jc w:val="right"/>
              <w:rPr>
                <w:sz w:val="16"/>
                <w:szCs w:val="16"/>
                <w:lang w:val="en-CA" w:eastAsia="en-CA"/>
              </w:rPr>
            </w:pPr>
            <w:r w:rsidRPr="00F06F75">
              <w:rPr>
                <w:sz w:val="16"/>
                <w:szCs w:val="16"/>
                <w:lang w:val="en-CA" w:eastAsia="en-CA"/>
              </w:rPr>
              <w:t>5,739,690</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3"/>
              <w:jc w:val="right"/>
              <w:rPr>
                <w:sz w:val="16"/>
                <w:szCs w:val="16"/>
                <w:lang w:val="en-CA" w:eastAsia="en-CA"/>
              </w:rPr>
            </w:pPr>
            <w:r w:rsidRPr="00F06F75">
              <w:rPr>
                <w:sz w:val="16"/>
                <w:szCs w:val="16"/>
                <w:lang w:val="en-CA" w:eastAsia="en-CA"/>
              </w:rPr>
              <w:t>4,997,692</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5"/>
              <w:jc w:val="right"/>
              <w:rPr>
                <w:sz w:val="16"/>
                <w:szCs w:val="16"/>
                <w:lang w:val="en-CA" w:eastAsia="en-CA"/>
              </w:rPr>
            </w:pPr>
            <w:r w:rsidRPr="00F06F75">
              <w:rPr>
                <w:sz w:val="16"/>
                <w:szCs w:val="16"/>
                <w:lang w:val="en-CA" w:eastAsia="en-CA"/>
              </w:rPr>
              <w:t>5,489,431</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6"/>
              <w:jc w:val="right"/>
              <w:rPr>
                <w:sz w:val="16"/>
                <w:szCs w:val="16"/>
                <w:lang w:val="en-CA" w:eastAsia="en-CA"/>
              </w:rPr>
            </w:pPr>
            <w:r w:rsidRPr="00F06F75">
              <w:rPr>
                <w:sz w:val="16"/>
                <w:szCs w:val="16"/>
                <w:lang w:val="en-CA" w:eastAsia="en-CA"/>
              </w:rPr>
              <w:t>5,181,590</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8"/>
              <w:jc w:val="right"/>
              <w:rPr>
                <w:sz w:val="16"/>
                <w:szCs w:val="16"/>
                <w:lang w:val="en-CA" w:eastAsia="en-CA"/>
              </w:rPr>
            </w:pPr>
            <w:r w:rsidRPr="00F06F75">
              <w:rPr>
                <w:sz w:val="16"/>
                <w:szCs w:val="16"/>
                <w:lang w:val="en-CA" w:eastAsia="en-CA"/>
              </w:rPr>
              <w:t>6,821,000</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9"/>
              <w:jc w:val="right"/>
              <w:rPr>
                <w:sz w:val="16"/>
                <w:szCs w:val="16"/>
                <w:lang w:val="en-CA" w:eastAsia="en-CA"/>
              </w:rPr>
            </w:pPr>
            <w:r w:rsidRPr="00F06F75">
              <w:rPr>
                <w:sz w:val="16"/>
                <w:szCs w:val="16"/>
                <w:lang w:val="en-CA" w:eastAsia="en-CA"/>
              </w:rPr>
              <w:t>4,531,900</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1"/>
              <w:jc w:val="right"/>
              <w:rPr>
                <w:sz w:val="16"/>
                <w:szCs w:val="16"/>
                <w:lang w:val="en-CA" w:eastAsia="en-CA"/>
              </w:rPr>
            </w:pPr>
            <w:r w:rsidRPr="00F06F75">
              <w:rPr>
                <w:sz w:val="16"/>
                <w:szCs w:val="16"/>
                <w:lang w:val="en-CA" w:eastAsia="en-CA"/>
              </w:rPr>
              <w:t>4,673,600</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2"/>
              <w:jc w:val="right"/>
              <w:rPr>
                <w:sz w:val="16"/>
                <w:szCs w:val="16"/>
                <w:lang w:val="en-CA" w:eastAsia="en-CA"/>
              </w:rPr>
            </w:pPr>
            <w:r w:rsidRPr="00F06F75">
              <w:rPr>
                <w:sz w:val="16"/>
                <w:szCs w:val="16"/>
                <w:lang w:val="en-CA" w:eastAsia="en-CA"/>
              </w:rPr>
              <w:t>4,643,700</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4"/>
              <w:jc w:val="right"/>
              <w:rPr>
                <w:sz w:val="16"/>
                <w:szCs w:val="16"/>
                <w:lang w:val="en-CA" w:eastAsia="en-CA"/>
              </w:rPr>
            </w:pPr>
            <w:r w:rsidRPr="00F06F75">
              <w:rPr>
                <w:sz w:val="16"/>
                <w:szCs w:val="16"/>
                <w:lang w:val="en-CA" w:eastAsia="en-CA"/>
              </w:rPr>
              <w:t>4,412,900</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3"/>
              <w:jc w:val="right"/>
              <w:rPr>
                <w:sz w:val="16"/>
                <w:szCs w:val="16"/>
                <w:lang w:val="en-CA" w:eastAsia="en-CA"/>
              </w:rPr>
            </w:pPr>
            <w:r w:rsidRPr="00F06F75">
              <w:rPr>
                <w:sz w:val="16"/>
                <w:szCs w:val="16"/>
                <w:lang w:val="en-CA" w:eastAsia="en-CA"/>
              </w:rPr>
              <w:t>4,009,636</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5"/>
              <w:jc w:val="right"/>
              <w:rPr>
                <w:sz w:val="16"/>
                <w:szCs w:val="16"/>
                <w:lang w:val="en-CA" w:eastAsia="en-CA"/>
              </w:rPr>
            </w:pPr>
            <w:r w:rsidRPr="00F06F75">
              <w:rPr>
                <w:sz w:val="16"/>
                <w:szCs w:val="16"/>
                <w:lang w:val="en-CA" w:eastAsia="en-CA"/>
              </w:rPr>
              <w:t>4,380,500</w:t>
            </w:r>
          </w:p>
        </w:tc>
      </w:tr>
      <w:tr w:rsidR="00F06F75" w:rsidRPr="00F06F75" w:rsidTr="007903E7">
        <w:trPr>
          <w:trHeight w:val="58"/>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E13C4" w:rsidRPr="00F06F75" w:rsidRDefault="00FE13C4" w:rsidP="00F06F75">
            <w:pPr>
              <w:jc w:val="left"/>
              <w:rPr>
                <w:sz w:val="16"/>
                <w:szCs w:val="16"/>
                <w:lang w:val="en-CA" w:eastAsia="en-CA"/>
              </w:rPr>
            </w:pPr>
            <w:r w:rsidRPr="00F06F75">
              <w:rPr>
                <w:sz w:val="16"/>
                <w:szCs w:val="16"/>
                <w:lang w:val="en-US" w:eastAsia="en-CA"/>
              </w:rPr>
              <w:t>Balance per year</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4"/>
              <w:jc w:val="right"/>
              <w:rPr>
                <w:sz w:val="16"/>
                <w:szCs w:val="16"/>
                <w:lang w:val="en-CA" w:eastAsia="en-CA"/>
              </w:rPr>
            </w:pPr>
            <w:r w:rsidRPr="00F06F75">
              <w:rPr>
                <w:sz w:val="16"/>
                <w:szCs w:val="16"/>
                <w:lang w:val="en-CA" w:eastAsia="en-CA"/>
              </w:rPr>
              <w:t>-2,662,011</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484,568</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5"/>
              <w:jc w:val="right"/>
              <w:rPr>
                <w:sz w:val="16"/>
                <w:szCs w:val="16"/>
                <w:lang w:val="en-CA" w:eastAsia="en-CA"/>
              </w:rPr>
            </w:pPr>
            <w:r w:rsidRPr="00F06F75">
              <w:rPr>
                <w:sz w:val="16"/>
                <w:szCs w:val="16"/>
                <w:lang w:val="en-CA" w:eastAsia="en-CA"/>
              </w:rPr>
              <w:t>2,270,391</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6"/>
              <w:jc w:val="right"/>
              <w:rPr>
                <w:sz w:val="16"/>
                <w:szCs w:val="16"/>
                <w:lang w:val="en-CA" w:eastAsia="en-CA"/>
              </w:rPr>
            </w:pPr>
            <w:r w:rsidRPr="00F06F75">
              <w:rPr>
                <w:sz w:val="16"/>
                <w:szCs w:val="16"/>
                <w:lang w:val="en-CA" w:eastAsia="en-CA"/>
              </w:rPr>
              <w:t>-791,905</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8"/>
              <w:jc w:val="right"/>
              <w:rPr>
                <w:sz w:val="16"/>
                <w:szCs w:val="16"/>
                <w:lang w:val="en-CA" w:eastAsia="en-CA"/>
              </w:rPr>
            </w:pPr>
            <w:r w:rsidRPr="00F06F75">
              <w:rPr>
                <w:sz w:val="16"/>
                <w:szCs w:val="16"/>
                <w:lang w:val="en-CA" w:eastAsia="en-CA"/>
              </w:rPr>
              <w:t>-2,604,313</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9"/>
              <w:jc w:val="right"/>
              <w:rPr>
                <w:sz w:val="16"/>
                <w:szCs w:val="16"/>
                <w:lang w:val="en-CA" w:eastAsia="en-CA"/>
              </w:rPr>
            </w:pPr>
            <w:r w:rsidRPr="00F06F75">
              <w:rPr>
                <w:sz w:val="16"/>
                <w:szCs w:val="16"/>
                <w:lang w:val="en-CA" w:eastAsia="en-CA"/>
              </w:rPr>
              <w:t>-533,384</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1"/>
              <w:jc w:val="right"/>
              <w:rPr>
                <w:sz w:val="16"/>
                <w:szCs w:val="16"/>
                <w:lang w:val="en-CA" w:eastAsia="en-CA"/>
              </w:rPr>
            </w:pPr>
            <w:r w:rsidRPr="00F06F75">
              <w:rPr>
                <w:sz w:val="16"/>
                <w:szCs w:val="16"/>
                <w:lang w:val="en-CA" w:eastAsia="en-CA"/>
              </w:rPr>
              <w:t>43,827</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2"/>
              <w:jc w:val="right"/>
              <w:rPr>
                <w:sz w:val="16"/>
                <w:szCs w:val="16"/>
                <w:lang w:val="en-CA" w:eastAsia="en-CA"/>
              </w:rPr>
            </w:pPr>
            <w:r w:rsidRPr="00F06F75">
              <w:rPr>
                <w:sz w:val="16"/>
                <w:szCs w:val="16"/>
                <w:lang w:val="en-CA" w:eastAsia="en-CA"/>
              </w:rPr>
              <w:t>43,561</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4"/>
              <w:jc w:val="right"/>
              <w:rPr>
                <w:sz w:val="16"/>
                <w:szCs w:val="16"/>
                <w:lang w:val="en-CA" w:eastAsia="en-CA"/>
              </w:rPr>
            </w:pPr>
            <w:r w:rsidRPr="00F06F75">
              <w:rPr>
                <w:sz w:val="16"/>
                <w:szCs w:val="16"/>
                <w:lang w:val="en-CA" w:eastAsia="en-CA"/>
              </w:rPr>
              <w:t>-988,023</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3"/>
              <w:jc w:val="right"/>
              <w:rPr>
                <w:sz w:val="16"/>
                <w:szCs w:val="16"/>
                <w:lang w:val="en-CA" w:eastAsia="en-CA"/>
              </w:rPr>
            </w:pPr>
            <w:r w:rsidRPr="00F06F75">
              <w:rPr>
                <w:sz w:val="16"/>
                <w:szCs w:val="16"/>
                <w:lang w:val="en-CA" w:eastAsia="en-CA"/>
              </w:rPr>
              <w:t>422,929</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5"/>
              <w:jc w:val="right"/>
              <w:rPr>
                <w:sz w:val="16"/>
                <w:szCs w:val="16"/>
                <w:lang w:val="en-CA" w:eastAsia="en-CA"/>
              </w:rPr>
            </w:pPr>
            <w:r w:rsidRPr="00F06F75">
              <w:rPr>
                <w:sz w:val="16"/>
                <w:szCs w:val="16"/>
                <w:lang w:val="en-CA" w:eastAsia="en-CA"/>
              </w:rPr>
              <w:t>1,694,288</w:t>
            </w:r>
          </w:p>
        </w:tc>
      </w:tr>
      <w:tr w:rsidR="00F06F75" w:rsidRPr="00F06F75" w:rsidTr="007903E7">
        <w:trPr>
          <w:trHeight w:val="58"/>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E13C4" w:rsidRPr="00F06F75" w:rsidRDefault="00FE13C4" w:rsidP="00F06F75">
            <w:pPr>
              <w:jc w:val="left"/>
              <w:rPr>
                <w:sz w:val="16"/>
                <w:szCs w:val="16"/>
                <w:lang w:val="en-CA" w:eastAsia="en-CA"/>
              </w:rPr>
            </w:pPr>
            <w:r w:rsidRPr="00F06F75">
              <w:rPr>
                <w:sz w:val="16"/>
                <w:szCs w:val="16"/>
                <w:lang w:val="en-US" w:eastAsia="en-CA"/>
              </w:rPr>
              <w:t>Running balance**</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4"/>
              <w:jc w:val="right"/>
              <w:rPr>
                <w:sz w:val="16"/>
                <w:szCs w:val="16"/>
                <w:lang w:val="en-CA" w:eastAsia="en-CA"/>
              </w:rPr>
            </w:pPr>
            <w:r w:rsidRPr="00F06F75">
              <w:rPr>
                <w:sz w:val="16"/>
                <w:szCs w:val="16"/>
                <w:lang w:val="en-CA" w:eastAsia="en-CA"/>
              </w:rPr>
              <w:t>-829,525</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-344,957</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5"/>
              <w:jc w:val="right"/>
              <w:rPr>
                <w:sz w:val="16"/>
                <w:szCs w:val="16"/>
                <w:lang w:val="en-CA" w:eastAsia="en-CA"/>
              </w:rPr>
            </w:pPr>
            <w:r w:rsidRPr="00F06F75">
              <w:rPr>
                <w:sz w:val="16"/>
                <w:szCs w:val="16"/>
                <w:lang w:val="en-CA" w:eastAsia="en-CA"/>
              </w:rPr>
              <w:t>1,925,434</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6"/>
              <w:jc w:val="right"/>
              <w:rPr>
                <w:sz w:val="16"/>
                <w:szCs w:val="16"/>
                <w:lang w:val="en-CA" w:eastAsia="en-CA"/>
              </w:rPr>
            </w:pPr>
            <w:r w:rsidRPr="00F06F75">
              <w:rPr>
                <w:sz w:val="16"/>
                <w:szCs w:val="16"/>
                <w:lang w:val="en-CA" w:eastAsia="en-CA"/>
              </w:rPr>
              <w:t>1,133,529</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8"/>
              <w:jc w:val="right"/>
              <w:rPr>
                <w:sz w:val="16"/>
                <w:szCs w:val="16"/>
                <w:lang w:val="en-CA" w:eastAsia="en-CA"/>
              </w:rPr>
            </w:pPr>
            <w:r w:rsidRPr="00F06F75">
              <w:rPr>
                <w:sz w:val="16"/>
                <w:szCs w:val="16"/>
                <w:lang w:val="en-CA" w:eastAsia="en-CA"/>
              </w:rPr>
              <w:t>-1,470,784</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9"/>
              <w:jc w:val="right"/>
              <w:rPr>
                <w:sz w:val="16"/>
                <w:szCs w:val="16"/>
                <w:lang w:val="en-CA" w:eastAsia="en-CA"/>
              </w:rPr>
            </w:pPr>
            <w:r w:rsidRPr="00F06F75">
              <w:rPr>
                <w:sz w:val="16"/>
                <w:szCs w:val="16"/>
                <w:lang w:val="en-CA" w:eastAsia="en-CA"/>
              </w:rPr>
              <w:t>-2,004,168</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1"/>
              <w:jc w:val="right"/>
              <w:rPr>
                <w:sz w:val="16"/>
                <w:szCs w:val="16"/>
                <w:lang w:val="en-CA" w:eastAsia="en-CA"/>
              </w:rPr>
            </w:pPr>
            <w:r w:rsidRPr="00F06F75">
              <w:rPr>
                <w:sz w:val="16"/>
                <w:szCs w:val="16"/>
                <w:lang w:val="en-CA" w:eastAsia="en-CA"/>
              </w:rPr>
              <w:t>-1,960,341</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2"/>
              <w:jc w:val="right"/>
              <w:rPr>
                <w:sz w:val="16"/>
                <w:szCs w:val="16"/>
                <w:lang w:val="en-CA" w:eastAsia="en-CA"/>
              </w:rPr>
            </w:pPr>
            <w:r w:rsidRPr="00F06F75">
              <w:rPr>
                <w:sz w:val="16"/>
                <w:szCs w:val="16"/>
                <w:lang w:val="en-CA" w:eastAsia="en-CA"/>
              </w:rPr>
              <w:t>-1,916,780</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4"/>
              <w:jc w:val="right"/>
              <w:rPr>
                <w:sz w:val="16"/>
                <w:szCs w:val="16"/>
                <w:lang w:val="en-CA" w:eastAsia="en-CA"/>
              </w:rPr>
            </w:pPr>
            <w:r w:rsidRPr="00F06F75">
              <w:rPr>
                <w:sz w:val="16"/>
                <w:szCs w:val="16"/>
                <w:lang w:val="en-CA" w:eastAsia="en-CA"/>
              </w:rPr>
              <w:t>-2,904,803</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3"/>
              <w:jc w:val="right"/>
              <w:rPr>
                <w:sz w:val="16"/>
                <w:szCs w:val="16"/>
                <w:lang w:val="en-CA" w:eastAsia="en-CA"/>
              </w:rPr>
            </w:pPr>
            <w:r w:rsidRPr="00F06F75">
              <w:rPr>
                <w:sz w:val="16"/>
                <w:szCs w:val="16"/>
                <w:lang w:val="en-CA" w:eastAsia="en-CA"/>
              </w:rPr>
              <w:t>-2,481,874</w:t>
            </w:r>
          </w:p>
        </w:tc>
        <w:tc>
          <w:tcPr>
            <w:tcW w:w="851"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05"/>
              <w:jc w:val="right"/>
              <w:rPr>
                <w:sz w:val="16"/>
                <w:szCs w:val="16"/>
                <w:lang w:val="en-CA" w:eastAsia="en-CA"/>
              </w:rPr>
            </w:pPr>
            <w:r w:rsidRPr="00F06F75">
              <w:rPr>
                <w:sz w:val="16"/>
                <w:szCs w:val="16"/>
                <w:lang w:val="en-CA" w:eastAsia="en-CA"/>
              </w:rPr>
              <w:t>-787,586</w:t>
            </w:r>
          </w:p>
        </w:tc>
      </w:tr>
    </w:tbl>
    <w:p w:rsidR="00FE13C4" w:rsidRPr="00F06F75" w:rsidRDefault="00FE13C4" w:rsidP="00F06F75">
      <w:pPr>
        <w:rPr>
          <w:sz w:val="16"/>
          <w:szCs w:val="16"/>
          <w:lang w:val="en-CA"/>
        </w:rPr>
      </w:pPr>
      <w:r w:rsidRPr="00F06F75">
        <w:rPr>
          <w:sz w:val="16"/>
          <w:szCs w:val="16"/>
          <w:lang w:val="en-CA"/>
        </w:rPr>
        <w:t>* Including support costs approved at the 83</w:t>
      </w:r>
      <w:r w:rsidRPr="00F06F75">
        <w:rPr>
          <w:sz w:val="16"/>
          <w:szCs w:val="16"/>
          <w:vertAlign w:val="superscript"/>
          <w:lang w:val="en-CA"/>
        </w:rPr>
        <w:t>rd</w:t>
      </w:r>
      <w:r w:rsidRPr="00F06F75">
        <w:rPr>
          <w:sz w:val="16"/>
          <w:szCs w:val="16"/>
          <w:lang w:val="en-CA"/>
        </w:rPr>
        <w:t xml:space="preserve"> meeting, and the value of agency support costs and core unit costs from submissions to the 84</w:t>
      </w:r>
      <w:r w:rsidRPr="00F06F75">
        <w:rPr>
          <w:sz w:val="16"/>
          <w:szCs w:val="16"/>
          <w:vertAlign w:val="superscript"/>
          <w:lang w:val="en-CA"/>
        </w:rPr>
        <w:t>th</w:t>
      </w:r>
      <w:r w:rsidR="00F511B6" w:rsidRPr="00F06F75">
        <w:rPr>
          <w:sz w:val="16"/>
          <w:szCs w:val="16"/>
          <w:lang w:val="en-CA"/>
        </w:rPr>
        <w:t> </w:t>
      </w:r>
      <w:r w:rsidRPr="00F06F75">
        <w:rPr>
          <w:sz w:val="16"/>
          <w:szCs w:val="16"/>
          <w:lang w:val="en-CA"/>
        </w:rPr>
        <w:t>meeting.</w:t>
      </w:r>
    </w:p>
    <w:p w:rsidR="00FE13C4" w:rsidRPr="00F06F75" w:rsidRDefault="00FE13C4" w:rsidP="00F06F75">
      <w:pPr>
        <w:spacing w:after="240"/>
        <w:rPr>
          <w:caps/>
          <w:lang w:val="en-CA"/>
        </w:rPr>
      </w:pPr>
      <w:r w:rsidRPr="00F06F75">
        <w:rPr>
          <w:sz w:val="16"/>
          <w:szCs w:val="16"/>
          <w:lang w:val="en-CA"/>
        </w:rPr>
        <w:t>** The Secretariat had estimated a running balance in 2007 since 2002 of US $2,127,930, but UNIDO’s balance of US $1,828,243 is used instead of the Secretariat’s calculation.</w:t>
      </w:r>
    </w:p>
    <w:p w:rsidR="00FE13C4" w:rsidRPr="00F06F75" w:rsidRDefault="00FE13C4" w:rsidP="00F06F75">
      <w:pPr>
        <w:pStyle w:val="Heading1"/>
        <w:rPr>
          <w:b/>
          <w:lang w:val="en-CA"/>
        </w:rPr>
      </w:pPr>
      <w:r w:rsidRPr="00F06F75">
        <w:rPr>
          <w:lang w:val="en-CA"/>
        </w:rPr>
        <w:t>Table 4 shows that UNIDO could have a negative accumulated balance at the end of 2019, amounting to US $787,586. UNIDO would have to generate at least US $5,814,786 in agency support costs and core unit costs in 2019 to cover the total 2020 administrative costs of US $5,027,200.</w:t>
      </w:r>
    </w:p>
    <w:p w:rsidR="00FE13C4" w:rsidRPr="00F06F75" w:rsidRDefault="00FE13C4" w:rsidP="00F06F75">
      <w:pPr>
        <w:keepNext/>
        <w:spacing w:after="240"/>
        <w:rPr>
          <w:b/>
          <w:lang w:val="en-CA"/>
        </w:rPr>
      </w:pPr>
      <w:r w:rsidRPr="00F06F75">
        <w:rPr>
          <w:b/>
          <w:lang w:val="en-CA"/>
        </w:rPr>
        <w:lastRenderedPageBreak/>
        <w:t>World Bank</w:t>
      </w:r>
    </w:p>
    <w:p w:rsidR="00FE13C4" w:rsidRPr="00F06F75" w:rsidRDefault="00FE13C4" w:rsidP="00F06F75">
      <w:pPr>
        <w:pStyle w:val="Heading1"/>
        <w:rPr>
          <w:lang w:val="en-CA"/>
        </w:rPr>
      </w:pPr>
      <w:r w:rsidRPr="00F06F75">
        <w:rPr>
          <w:lang w:val="en-CA"/>
        </w:rPr>
        <w:t xml:space="preserve">Table 5 presents the core unit budget and other information on administrative costs provided by the World Bank. </w:t>
      </w:r>
    </w:p>
    <w:p w:rsidR="00FE13C4" w:rsidRPr="00F06F75" w:rsidRDefault="00FE13C4" w:rsidP="00F06F75">
      <w:pPr>
        <w:keepNext/>
        <w:rPr>
          <w:b/>
          <w:lang w:val="en-CA"/>
        </w:rPr>
      </w:pPr>
      <w:r w:rsidRPr="00F06F75">
        <w:rPr>
          <w:b/>
          <w:lang w:val="en-CA"/>
        </w:rPr>
        <w:t>Table 5: C</w:t>
      </w:r>
      <w:r w:rsidRPr="00F06F75">
        <w:rPr>
          <w:b/>
          <w:bCs/>
          <w:lang w:val="en-CA"/>
        </w:rPr>
        <w:t>ore unit budget data and other administrative costs for the years 2011-2020 for</w:t>
      </w:r>
      <w:r w:rsidRPr="00F06F75">
        <w:rPr>
          <w:b/>
          <w:lang w:val="en-CA"/>
        </w:rPr>
        <w:t xml:space="preserve"> the World Bank (US $)</w:t>
      </w:r>
    </w:p>
    <w:tbl>
      <w:tblPr>
        <w:tblW w:w="11057" w:type="dxa"/>
        <w:tblInd w:w="-714" w:type="dxa"/>
        <w:tblLayout w:type="fixed"/>
        <w:tblLook w:val="04A0" w:firstRow="1" w:lastRow="0" w:firstColumn="1" w:lastColumn="0" w:noHBand="0" w:noVBand="1"/>
      </w:tblPr>
      <w:tblGrid>
        <w:gridCol w:w="1560"/>
        <w:gridCol w:w="856"/>
        <w:gridCol w:w="856"/>
        <w:gridCol w:w="856"/>
        <w:gridCol w:w="856"/>
        <w:gridCol w:w="856"/>
        <w:gridCol w:w="856"/>
        <w:gridCol w:w="856"/>
        <w:gridCol w:w="856"/>
        <w:gridCol w:w="933"/>
        <w:gridCol w:w="866"/>
        <w:gridCol w:w="850"/>
      </w:tblGrid>
      <w:tr w:rsidR="00F06F75" w:rsidRPr="00F06F75" w:rsidTr="007903E7">
        <w:trPr>
          <w:trHeight w:val="58"/>
          <w:tblHeader/>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E13C4" w:rsidRPr="00F06F75" w:rsidRDefault="00FE13C4" w:rsidP="00F06F75">
            <w:pPr>
              <w:rPr>
                <w:b/>
                <w:bCs/>
                <w:sz w:val="16"/>
                <w:szCs w:val="16"/>
                <w:lang w:val="en-CA" w:eastAsia="en-CA"/>
              </w:rPr>
            </w:pPr>
            <w:r w:rsidRPr="00F06F75">
              <w:rPr>
                <w:b/>
                <w:bCs/>
                <w:sz w:val="16"/>
                <w:szCs w:val="16"/>
                <w:lang w:val="en-CA" w:eastAsia="en-CA"/>
              </w:rPr>
              <w:t>Cost item</w:t>
            </w:r>
          </w:p>
        </w:tc>
        <w:tc>
          <w:tcPr>
            <w:tcW w:w="856" w:type="dxa"/>
            <w:tcBorders>
              <w:top w:val="single" w:sz="4" w:space="0" w:color="auto"/>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2011</w:t>
            </w:r>
          </w:p>
        </w:tc>
        <w:tc>
          <w:tcPr>
            <w:tcW w:w="856" w:type="dxa"/>
            <w:tcBorders>
              <w:top w:val="single" w:sz="4" w:space="0" w:color="auto"/>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2012</w:t>
            </w:r>
          </w:p>
        </w:tc>
        <w:tc>
          <w:tcPr>
            <w:tcW w:w="856" w:type="dxa"/>
            <w:tcBorders>
              <w:top w:val="single" w:sz="4" w:space="0" w:color="auto"/>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2013</w:t>
            </w:r>
          </w:p>
        </w:tc>
        <w:tc>
          <w:tcPr>
            <w:tcW w:w="856" w:type="dxa"/>
            <w:tcBorders>
              <w:top w:val="single" w:sz="4" w:space="0" w:color="auto"/>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2014</w:t>
            </w:r>
          </w:p>
        </w:tc>
        <w:tc>
          <w:tcPr>
            <w:tcW w:w="856" w:type="dxa"/>
            <w:tcBorders>
              <w:top w:val="single" w:sz="4" w:space="0" w:color="auto"/>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2015</w:t>
            </w:r>
          </w:p>
        </w:tc>
        <w:tc>
          <w:tcPr>
            <w:tcW w:w="856" w:type="dxa"/>
            <w:tcBorders>
              <w:top w:val="single" w:sz="4" w:space="0" w:color="auto"/>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2016</w:t>
            </w:r>
          </w:p>
        </w:tc>
        <w:tc>
          <w:tcPr>
            <w:tcW w:w="856" w:type="dxa"/>
            <w:tcBorders>
              <w:top w:val="single" w:sz="4" w:space="0" w:color="auto"/>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2017</w:t>
            </w:r>
          </w:p>
        </w:tc>
        <w:tc>
          <w:tcPr>
            <w:tcW w:w="856" w:type="dxa"/>
            <w:tcBorders>
              <w:top w:val="single" w:sz="4" w:space="0" w:color="auto"/>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2018</w:t>
            </w:r>
          </w:p>
        </w:tc>
        <w:tc>
          <w:tcPr>
            <w:tcW w:w="1799" w:type="dxa"/>
            <w:gridSpan w:val="2"/>
            <w:tcBorders>
              <w:top w:val="single" w:sz="4" w:space="0" w:color="auto"/>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2019</w:t>
            </w:r>
          </w:p>
        </w:tc>
        <w:tc>
          <w:tcPr>
            <w:tcW w:w="850" w:type="dxa"/>
            <w:tcBorders>
              <w:top w:val="single" w:sz="4" w:space="0" w:color="auto"/>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2020</w:t>
            </w:r>
          </w:p>
        </w:tc>
      </w:tr>
      <w:tr w:rsidR="00F06F75" w:rsidRPr="00F06F75" w:rsidTr="007903E7">
        <w:trPr>
          <w:trHeight w:val="117"/>
          <w:tblHead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E13C4" w:rsidRPr="00F06F75" w:rsidRDefault="00FE13C4" w:rsidP="00F06F75">
            <w:pPr>
              <w:jc w:val="left"/>
              <w:rPr>
                <w:b/>
                <w:bCs/>
                <w:sz w:val="16"/>
                <w:szCs w:val="16"/>
                <w:lang w:val="en-CA" w:eastAsia="en-CA"/>
              </w:rPr>
            </w:pP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Actual</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Actual</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Actual</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Actual</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Actual</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Actual</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Actual</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Actual</w:t>
            </w:r>
          </w:p>
        </w:tc>
        <w:tc>
          <w:tcPr>
            <w:tcW w:w="933"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center"/>
              <w:rPr>
                <w:b/>
                <w:bCs/>
                <w:sz w:val="16"/>
                <w:szCs w:val="16"/>
                <w:lang w:val="en-CA" w:eastAsia="en-CA"/>
              </w:rPr>
            </w:pPr>
            <w:r w:rsidRPr="00F06F75">
              <w:rPr>
                <w:b/>
                <w:bCs/>
                <w:sz w:val="16"/>
                <w:szCs w:val="16"/>
                <w:lang w:val="en-CA" w:eastAsia="en-CA"/>
              </w:rPr>
              <w:t>Budget</w:t>
            </w:r>
          </w:p>
        </w:tc>
        <w:tc>
          <w:tcPr>
            <w:tcW w:w="866"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2" w:right="-104" w:hanging="87"/>
              <w:jc w:val="center"/>
              <w:rPr>
                <w:b/>
                <w:bCs/>
                <w:sz w:val="16"/>
                <w:szCs w:val="16"/>
                <w:lang w:val="en-CA" w:eastAsia="en-CA"/>
              </w:rPr>
            </w:pPr>
            <w:r w:rsidRPr="00F06F75">
              <w:rPr>
                <w:b/>
                <w:bCs/>
                <w:sz w:val="16"/>
                <w:szCs w:val="16"/>
                <w:lang w:val="en-CA" w:eastAsia="en-CA"/>
              </w:rPr>
              <w:t>Estimated</w:t>
            </w:r>
          </w:p>
        </w:tc>
        <w:tc>
          <w:tcPr>
            <w:tcW w:w="850"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2" w:right="-114"/>
              <w:jc w:val="center"/>
              <w:rPr>
                <w:b/>
                <w:bCs/>
                <w:sz w:val="16"/>
                <w:szCs w:val="16"/>
                <w:lang w:val="en-CA" w:eastAsia="en-CA"/>
              </w:rPr>
            </w:pPr>
            <w:r w:rsidRPr="00F06F75">
              <w:rPr>
                <w:b/>
                <w:bCs/>
                <w:sz w:val="16"/>
                <w:szCs w:val="16"/>
                <w:lang w:val="en-CA" w:eastAsia="en-CA"/>
              </w:rPr>
              <w:t>Proposed</w:t>
            </w:r>
          </w:p>
        </w:tc>
      </w:tr>
      <w:tr w:rsidR="00F06F75" w:rsidRPr="00F06F75" w:rsidTr="007903E7">
        <w:trPr>
          <w:trHeight w:val="178"/>
        </w:trPr>
        <w:tc>
          <w:tcPr>
            <w:tcW w:w="11057" w:type="dxa"/>
            <w:gridSpan w:val="12"/>
            <w:tcBorders>
              <w:top w:val="single" w:sz="4" w:space="0" w:color="auto"/>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b/>
                <w:bCs/>
                <w:sz w:val="16"/>
                <w:szCs w:val="16"/>
                <w:lang w:val="en-CA" w:eastAsia="en-CA"/>
              </w:rPr>
            </w:pPr>
            <w:r w:rsidRPr="00F06F75">
              <w:rPr>
                <w:b/>
                <w:bCs/>
                <w:sz w:val="16"/>
                <w:szCs w:val="16"/>
                <w:lang w:val="en-CA" w:eastAsia="en-CA"/>
              </w:rPr>
              <w:t>A. Core unit</w:t>
            </w:r>
          </w:p>
        </w:tc>
      </w:tr>
      <w:tr w:rsidR="00F06F75" w:rsidRPr="00F06F75" w:rsidTr="007903E7">
        <w:trPr>
          <w:trHeight w:val="267"/>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Core unit personnel and contractual staff</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867,586</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1,184,796</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984,571</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1,022,179</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827,111</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1,089,481</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1,086,340</w:t>
            </w:r>
          </w:p>
        </w:tc>
        <w:tc>
          <w:tcPr>
            <w:tcW w:w="856" w:type="dxa"/>
            <w:tcBorders>
              <w:top w:val="nil"/>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1,226,215</w:t>
            </w:r>
          </w:p>
        </w:tc>
        <w:tc>
          <w:tcPr>
            <w:tcW w:w="933" w:type="dxa"/>
            <w:tcBorders>
              <w:top w:val="nil"/>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1,200,000</w:t>
            </w:r>
          </w:p>
        </w:tc>
        <w:tc>
          <w:tcPr>
            <w:tcW w:w="866" w:type="dxa"/>
            <w:tcBorders>
              <w:top w:val="nil"/>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1,190,000</w:t>
            </w:r>
          </w:p>
        </w:tc>
        <w:tc>
          <w:tcPr>
            <w:tcW w:w="850" w:type="dxa"/>
            <w:tcBorders>
              <w:top w:val="nil"/>
              <w:left w:val="nil"/>
              <w:bottom w:val="single" w:sz="4" w:space="0" w:color="auto"/>
              <w:right w:val="single" w:sz="4" w:space="0" w:color="auto"/>
            </w:tcBorders>
            <w:shd w:val="clear" w:color="000000" w:fill="auto"/>
            <w:hideMark/>
          </w:tcPr>
          <w:p w:rsidR="00FE13C4" w:rsidRPr="00F06F75" w:rsidRDefault="00FE13C4" w:rsidP="00F06F75">
            <w:pPr>
              <w:ind w:left="-112"/>
              <w:jc w:val="right"/>
              <w:rPr>
                <w:sz w:val="16"/>
                <w:szCs w:val="16"/>
                <w:lang w:val="en-CA" w:eastAsia="en-CA"/>
              </w:rPr>
            </w:pPr>
            <w:r w:rsidRPr="00F06F75">
              <w:rPr>
                <w:sz w:val="16"/>
                <w:szCs w:val="16"/>
                <w:lang w:val="en-CA" w:eastAsia="en-CA"/>
              </w:rPr>
              <w:t>1,200,000</w:t>
            </w:r>
          </w:p>
        </w:tc>
      </w:tr>
      <w:tr w:rsidR="00F06F75" w:rsidRPr="00F06F75" w:rsidTr="007903E7">
        <w:trPr>
          <w:trHeight w:val="186"/>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Travel (staff and consultant)</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183,893</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205,425</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111,021</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155,778</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205,498</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216,356</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178,550</w:t>
            </w:r>
          </w:p>
        </w:tc>
        <w:tc>
          <w:tcPr>
            <w:tcW w:w="856"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180,873</w:t>
            </w:r>
          </w:p>
        </w:tc>
        <w:tc>
          <w:tcPr>
            <w:tcW w:w="933"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200,000</w:t>
            </w:r>
          </w:p>
        </w:tc>
        <w:tc>
          <w:tcPr>
            <w:tcW w:w="866"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185,000</w:t>
            </w:r>
          </w:p>
        </w:tc>
        <w:tc>
          <w:tcPr>
            <w:tcW w:w="850"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185,000</w:t>
            </w:r>
          </w:p>
        </w:tc>
      </w:tr>
      <w:tr w:rsidR="00F06F75" w:rsidRPr="00F06F75" w:rsidTr="007903E7">
        <w:trPr>
          <w:trHeight w:val="79"/>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Space (rent and common costs)</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47,232</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55,607</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56,906</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44,130</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434</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1,027</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single" w:sz="4" w:space="0" w:color="auto"/>
              <w:left w:val="nil"/>
              <w:bottom w:val="single" w:sz="4" w:space="0" w:color="auto"/>
              <w:right w:val="single" w:sz="4" w:space="0" w:color="auto"/>
            </w:tcBorders>
            <w:shd w:val="clear" w:color="000000" w:fill="auto"/>
            <w:hideMark/>
          </w:tcPr>
          <w:p w:rsidR="00FE13C4" w:rsidRPr="00F06F75" w:rsidRDefault="00F23FC0" w:rsidP="00F06F75">
            <w:pPr>
              <w:jc w:val="right"/>
              <w:rPr>
                <w:sz w:val="16"/>
                <w:szCs w:val="16"/>
                <w:lang w:val="en-CA" w:eastAsia="en-CA"/>
              </w:rPr>
            </w:pPr>
            <w:r w:rsidRPr="00F06F75">
              <w:rPr>
                <w:sz w:val="16"/>
                <w:szCs w:val="16"/>
                <w:lang w:val="en-CA" w:eastAsia="en-CA"/>
              </w:rPr>
              <w:t>0</w:t>
            </w:r>
            <w:r w:rsidR="00FE13C4" w:rsidRPr="00F06F75">
              <w:rPr>
                <w:sz w:val="16"/>
                <w:szCs w:val="16"/>
                <w:lang w:val="en-CA" w:eastAsia="en-CA"/>
              </w:rPr>
              <w:t> </w:t>
            </w:r>
          </w:p>
        </w:tc>
        <w:tc>
          <w:tcPr>
            <w:tcW w:w="933" w:type="dxa"/>
            <w:tcBorders>
              <w:top w:val="single" w:sz="4" w:space="0" w:color="auto"/>
              <w:left w:val="nil"/>
              <w:bottom w:val="single" w:sz="4" w:space="0" w:color="auto"/>
              <w:right w:val="single" w:sz="4" w:space="0" w:color="auto"/>
            </w:tcBorders>
            <w:shd w:val="clear" w:color="000000" w:fill="auto"/>
            <w:hideMark/>
          </w:tcPr>
          <w:p w:rsidR="00FE13C4" w:rsidRPr="00F06F75" w:rsidRDefault="00F23FC0" w:rsidP="00F06F75">
            <w:pPr>
              <w:jc w:val="right"/>
              <w:rPr>
                <w:sz w:val="16"/>
                <w:szCs w:val="16"/>
                <w:lang w:val="en-CA" w:eastAsia="en-CA"/>
              </w:rPr>
            </w:pPr>
            <w:r w:rsidRPr="00F06F75">
              <w:rPr>
                <w:sz w:val="16"/>
                <w:szCs w:val="16"/>
                <w:lang w:val="en-CA" w:eastAsia="en-CA"/>
              </w:rPr>
              <w:t>0</w:t>
            </w:r>
          </w:p>
        </w:tc>
        <w:tc>
          <w:tcPr>
            <w:tcW w:w="866" w:type="dxa"/>
            <w:tcBorders>
              <w:top w:val="single" w:sz="4" w:space="0" w:color="auto"/>
              <w:left w:val="nil"/>
              <w:bottom w:val="single" w:sz="4" w:space="0" w:color="auto"/>
              <w:right w:val="single" w:sz="4" w:space="0" w:color="auto"/>
            </w:tcBorders>
            <w:shd w:val="clear" w:color="000000" w:fill="auto"/>
            <w:hideMark/>
          </w:tcPr>
          <w:p w:rsidR="00FE13C4" w:rsidRPr="00F06F75" w:rsidRDefault="00F23FC0" w:rsidP="00F06F75">
            <w:pPr>
              <w:jc w:val="right"/>
              <w:rPr>
                <w:sz w:val="16"/>
                <w:szCs w:val="16"/>
                <w:lang w:val="en-CA" w:eastAsia="en-CA"/>
              </w:rPr>
            </w:pPr>
            <w:r w:rsidRPr="00F06F75">
              <w:rPr>
                <w:sz w:val="16"/>
                <w:szCs w:val="16"/>
                <w:lang w:val="en-CA" w:eastAsia="en-CA"/>
              </w:rPr>
              <w:t>0</w:t>
            </w:r>
          </w:p>
        </w:tc>
        <w:tc>
          <w:tcPr>
            <w:tcW w:w="850" w:type="dxa"/>
            <w:tcBorders>
              <w:top w:val="single" w:sz="4" w:space="0" w:color="auto"/>
              <w:left w:val="nil"/>
              <w:bottom w:val="single" w:sz="4" w:space="0" w:color="auto"/>
              <w:right w:val="single" w:sz="4" w:space="0" w:color="auto"/>
            </w:tcBorders>
            <w:shd w:val="clear" w:color="000000" w:fill="auto"/>
            <w:hideMark/>
          </w:tcPr>
          <w:p w:rsidR="00FE13C4" w:rsidRPr="00F06F75" w:rsidRDefault="00F23FC0" w:rsidP="00F06F75">
            <w:pPr>
              <w:jc w:val="right"/>
              <w:rPr>
                <w:sz w:val="16"/>
                <w:szCs w:val="16"/>
                <w:lang w:val="en-CA" w:eastAsia="en-CA"/>
              </w:rPr>
            </w:pPr>
            <w:r w:rsidRPr="00F06F75">
              <w:rPr>
                <w:sz w:val="16"/>
                <w:szCs w:val="16"/>
                <w:lang w:val="en-CA" w:eastAsia="en-CA"/>
              </w:rPr>
              <w:t>0</w:t>
            </w:r>
          </w:p>
        </w:tc>
      </w:tr>
      <w:tr w:rsidR="00F06F75" w:rsidRPr="00F06F75" w:rsidTr="007903E7">
        <w:trPr>
          <w:trHeight w:val="720"/>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Equipment supplies and other costs (computers, supplies, etc.)</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52,953</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92,303</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31,169</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55,508</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19,618</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33,178</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262</w:t>
            </w:r>
          </w:p>
        </w:tc>
        <w:tc>
          <w:tcPr>
            <w:tcW w:w="856"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1,637</w:t>
            </w:r>
          </w:p>
        </w:tc>
        <w:tc>
          <w:tcPr>
            <w:tcW w:w="933"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15,000</w:t>
            </w:r>
          </w:p>
        </w:tc>
        <w:tc>
          <w:tcPr>
            <w:tcW w:w="866"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207</w:t>
            </w:r>
          </w:p>
        </w:tc>
        <w:tc>
          <w:tcPr>
            <w:tcW w:w="850"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10,000</w:t>
            </w:r>
          </w:p>
        </w:tc>
      </w:tr>
      <w:tr w:rsidR="00F06F75" w:rsidRPr="00F06F75" w:rsidTr="007903E7">
        <w:trPr>
          <w:trHeight w:val="264"/>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Contractual services (firms)</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47,491</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25,769</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13,389</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14,828</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49,989</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96,839</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189,400</w:t>
            </w:r>
          </w:p>
        </w:tc>
        <w:tc>
          <w:tcPr>
            <w:tcW w:w="856"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73,389</w:t>
            </w:r>
          </w:p>
        </w:tc>
        <w:tc>
          <w:tcPr>
            <w:tcW w:w="933"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110,000</w:t>
            </w:r>
          </w:p>
        </w:tc>
        <w:tc>
          <w:tcPr>
            <w:tcW w:w="866"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56,229</w:t>
            </w:r>
          </w:p>
        </w:tc>
        <w:tc>
          <w:tcPr>
            <w:tcW w:w="850"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100,000</w:t>
            </w:r>
          </w:p>
        </w:tc>
      </w:tr>
      <w:tr w:rsidR="00F06F75" w:rsidRPr="00F06F75" w:rsidTr="007903E7">
        <w:trPr>
          <w:trHeight w:val="480"/>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Reimbursement of central services for core unit staff</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123,160</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156,762</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113,539</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90,624</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210,909</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225,643</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210,378</w:t>
            </w:r>
          </w:p>
        </w:tc>
        <w:tc>
          <w:tcPr>
            <w:tcW w:w="856"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245,946</w:t>
            </w:r>
          </w:p>
        </w:tc>
        <w:tc>
          <w:tcPr>
            <w:tcW w:w="933"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210,000</w:t>
            </w:r>
          </w:p>
        </w:tc>
        <w:tc>
          <w:tcPr>
            <w:tcW w:w="866"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238,000</w:t>
            </w:r>
          </w:p>
        </w:tc>
        <w:tc>
          <w:tcPr>
            <w:tcW w:w="850"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240,000</w:t>
            </w:r>
          </w:p>
        </w:tc>
      </w:tr>
      <w:tr w:rsidR="00F06F75" w:rsidRPr="00F06F75" w:rsidTr="007903E7">
        <w:trPr>
          <w:trHeight w:val="480"/>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Adjustments (+ = underuse and - = overrun)</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0 </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62,476</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60,070</w:t>
            </w:r>
          </w:p>
        </w:tc>
        <w:tc>
          <w:tcPr>
            <w:tcW w:w="856"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6,940</w:t>
            </w:r>
          </w:p>
        </w:tc>
        <w:tc>
          <w:tcPr>
            <w:tcW w:w="933"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66"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0"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r>
      <w:tr w:rsidR="00F06F75" w:rsidRPr="00F06F75" w:rsidTr="007903E7">
        <w:trPr>
          <w:trHeight w:val="286"/>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Return of funds (- = returned funds)</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-390,685</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-3,981</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-414,405</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-341,953</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-411,441</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-62,476</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-60,070</w:t>
            </w:r>
          </w:p>
        </w:tc>
        <w:tc>
          <w:tcPr>
            <w:tcW w:w="856"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-6,940</w:t>
            </w:r>
          </w:p>
        </w:tc>
        <w:tc>
          <w:tcPr>
            <w:tcW w:w="933"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66"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0"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r>
      <w:tr w:rsidR="00F06F75" w:rsidRPr="00F06F75" w:rsidTr="007903E7">
        <w:trPr>
          <w:trHeight w:val="264"/>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b/>
                <w:bCs/>
                <w:sz w:val="16"/>
                <w:szCs w:val="16"/>
                <w:lang w:val="en-CA" w:eastAsia="en-CA"/>
              </w:rPr>
            </w:pPr>
            <w:r w:rsidRPr="00F06F75">
              <w:rPr>
                <w:b/>
                <w:bCs/>
                <w:sz w:val="16"/>
                <w:szCs w:val="16"/>
                <w:lang w:val="en-CA" w:eastAsia="en-CA"/>
              </w:rPr>
              <w:t>A. Sub-total core unit costs</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7"/>
              <w:jc w:val="right"/>
              <w:rPr>
                <w:b/>
                <w:bCs/>
                <w:sz w:val="16"/>
                <w:szCs w:val="16"/>
                <w:lang w:val="en-CA" w:eastAsia="en-CA"/>
              </w:rPr>
            </w:pPr>
            <w:r w:rsidRPr="00F06F75">
              <w:rPr>
                <w:b/>
                <w:bCs/>
                <w:sz w:val="16"/>
                <w:szCs w:val="16"/>
                <w:lang w:val="en-CA" w:eastAsia="en-CA"/>
              </w:rPr>
              <w:t>931,630</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b/>
                <w:bCs/>
                <w:sz w:val="16"/>
                <w:szCs w:val="16"/>
                <w:lang w:val="en-CA" w:eastAsia="en-CA"/>
              </w:rPr>
            </w:pPr>
            <w:r w:rsidRPr="00F06F75">
              <w:rPr>
                <w:b/>
                <w:bCs/>
                <w:sz w:val="16"/>
                <w:szCs w:val="16"/>
                <w:lang w:val="en-CA" w:eastAsia="en-CA"/>
              </w:rPr>
              <w:t>1,716,681</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b/>
                <w:bCs/>
                <w:sz w:val="16"/>
                <w:szCs w:val="16"/>
                <w:lang w:val="en-CA" w:eastAsia="en-CA"/>
              </w:rPr>
            </w:pPr>
            <w:r w:rsidRPr="00F06F75">
              <w:rPr>
                <w:b/>
                <w:bCs/>
                <w:sz w:val="16"/>
                <w:szCs w:val="16"/>
                <w:lang w:val="en-CA" w:eastAsia="en-CA"/>
              </w:rPr>
              <w:t>896,190</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b/>
                <w:bCs/>
                <w:sz w:val="16"/>
                <w:szCs w:val="16"/>
                <w:lang w:val="en-CA" w:eastAsia="en-CA"/>
              </w:rPr>
            </w:pPr>
            <w:r w:rsidRPr="00F06F75">
              <w:rPr>
                <w:b/>
                <w:bCs/>
                <w:sz w:val="16"/>
                <w:szCs w:val="16"/>
                <w:lang w:val="en-CA" w:eastAsia="en-CA"/>
              </w:rPr>
              <w:t>1,041,094</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b/>
                <w:bCs/>
                <w:sz w:val="16"/>
                <w:szCs w:val="16"/>
                <w:lang w:val="en-CA" w:eastAsia="en-CA"/>
              </w:rPr>
            </w:pPr>
            <w:r w:rsidRPr="00F06F75">
              <w:rPr>
                <w:b/>
                <w:bCs/>
                <w:sz w:val="16"/>
                <w:szCs w:val="16"/>
                <w:lang w:val="en-CA" w:eastAsia="en-CA"/>
              </w:rPr>
              <w:t>902,118</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b/>
                <w:bCs/>
                <w:sz w:val="16"/>
                <w:szCs w:val="16"/>
                <w:lang w:val="en-CA" w:eastAsia="en-CA"/>
              </w:rPr>
            </w:pPr>
            <w:r w:rsidRPr="00F06F75">
              <w:rPr>
                <w:b/>
                <w:bCs/>
                <w:sz w:val="16"/>
                <w:szCs w:val="16"/>
                <w:lang w:val="en-CA" w:eastAsia="en-CA"/>
              </w:rPr>
              <w:t>1,662,524</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b/>
                <w:bCs/>
                <w:sz w:val="16"/>
                <w:szCs w:val="16"/>
                <w:lang w:val="en-CA" w:eastAsia="en-CA"/>
              </w:rPr>
            </w:pPr>
            <w:r w:rsidRPr="00F06F75">
              <w:rPr>
                <w:b/>
                <w:bCs/>
                <w:sz w:val="16"/>
                <w:szCs w:val="16"/>
                <w:lang w:val="en-CA" w:eastAsia="en-CA"/>
              </w:rPr>
              <w:t>1,664,930</w:t>
            </w:r>
          </w:p>
        </w:tc>
        <w:tc>
          <w:tcPr>
            <w:tcW w:w="856"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b/>
                <w:bCs/>
                <w:sz w:val="16"/>
                <w:szCs w:val="16"/>
                <w:lang w:val="en-CA" w:eastAsia="en-CA"/>
              </w:rPr>
            </w:pPr>
            <w:r w:rsidRPr="00F06F75">
              <w:rPr>
                <w:b/>
                <w:bCs/>
                <w:sz w:val="16"/>
                <w:szCs w:val="16"/>
                <w:lang w:val="en-CA" w:eastAsia="en-CA"/>
              </w:rPr>
              <w:t>1,728,060</w:t>
            </w:r>
          </w:p>
        </w:tc>
        <w:tc>
          <w:tcPr>
            <w:tcW w:w="933"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ind w:left="-162" w:firstLine="162"/>
              <w:jc w:val="right"/>
              <w:rPr>
                <w:b/>
                <w:bCs/>
                <w:sz w:val="16"/>
                <w:szCs w:val="16"/>
                <w:lang w:val="en-CA" w:eastAsia="en-CA"/>
              </w:rPr>
            </w:pPr>
            <w:r w:rsidRPr="00F06F75">
              <w:rPr>
                <w:b/>
                <w:bCs/>
                <w:sz w:val="16"/>
                <w:szCs w:val="16"/>
                <w:lang w:val="en-CA" w:eastAsia="en-CA"/>
              </w:rPr>
              <w:t>1,735,000</w:t>
            </w:r>
          </w:p>
        </w:tc>
        <w:tc>
          <w:tcPr>
            <w:tcW w:w="866"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ind w:left="-106"/>
              <w:jc w:val="right"/>
              <w:rPr>
                <w:b/>
                <w:bCs/>
                <w:sz w:val="16"/>
                <w:szCs w:val="16"/>
                <w:lang w:val="en-CA" w:eastAsia="en-CA"/>
              </w:rPr>
            </w:pPr>
            <w:r w:rsidRPr="00F06F75">
              <w:rPr>
                <w:b/>
                <w:bCs/>
                <w:sz w:val="16"/>
                <w:szCs w:val="16"/>
                <w:lang w:val="en-CA" w:eastAsia="en-CA"/>
              </w:rPr>
              <w:t>1,669,436</w:t>
            </w:r>
          </w:p>
        </w:tc>
        <w:tc>
          <w:tcPr>
            <w:tcW w:w="850"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ind w:left="-168" w:firstLine="60"/>
              <w:jc w:val="right"/>
              <w:rPr>
                <w:b/>
                <w:bCs/>
                <w:sz w:val="16"/>
                <w:szCs w:val="16"/>
                <w:lang w:val="en-CA" w:eastAsia="en-CA"/>
              </w:rPr>
            </w:pPr>
            <w:r w:rsidRPr="00F06F75">
              <w:rPr>
                <w:b/>
                <w:bCs/>
                <w:sz w:val="16"/>
                <w:szCs w:val="16"/>
                <w:lang w:val="en-CA" w:eastAsia="en-CA"/>
              </w:rPr>
              <w:t>1,735,000</w:t>
            </w:r>
          </w:p>
        </w:tc>
      </w:tr>
      <w:tr w:rsidR="00F06F75" w:rsidRPr="00F06F75" w:rsidTr="007903E7">
        <w:trPr>
          <w:trHeight w:val="181"/>
        </w:trPr>
        <w:tc>
          <w:tcPr>
            <w:tcW w:w="11057" w:type="dxa"/>
            <w:gridSpan w:val="12"/>
            <w:tcBorders>
              <w:top w:val="single" w:sz="4" w:space="0" w:color="auto"/>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b/>
                <w:bCs/>
                <w:sz w:val="16"/>
                <w:szCs w:val="16"/>
                <w:lang w:val="en-CA" w:eastAsia="en-CA"/>
              </w:rPr>
            </w:pPr>
            <w:r w:rsidRPr="00F06F75">
              <w:rPr>
                <w:b/>
                <w:bCs/>
                <w:sz w:val="16"/>
                <w:szCs w:val="16"/>
                <w:lang w:val="en-CA" w:eastAsia="en-CA"/>
              </w:rPr>
              <w:t>B. Agency support costs/implementation</w:t>
            </w:r>
          </w:p>
        </w:tc>
      </w:tr>
      <w:tr w:rsidR="00F06F75" w:rsidRPr="00F06F75" w:rsidTr="007903E7">
        <w:trPr>
          <w:trHeight w:val="720"/>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Reimbursement of country offices and national execution, including overheads</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1,725,528</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1,829,418</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1,611,939</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1,298,103</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1,210,733</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1,249,361</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1,491,814</w:t>
            </w:r>
          </w:p>
        </w:tc>
        <w:tc>
          <w:tcPr>
            <w:tcW w:w="856" w:type="dxa"/>
            <w:tcBorders>
              <w:top w:val="nil"/>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2,114,429</w:t>
            </w:r>
          </w:p>
        </w:tc>
        <w:tc>
          <w:tcPr>
            <w:tcW w:w="933" w:type="dxa"/>
            <w:tcBorders>
              <w:top w:val="nil"/>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2,000,000</w:t>
            </w:r>
          </w:p>
        </w:tc>
        <w:tc>
          <w:tcPr>
            <w:tcW w:w="866" w:type="dxa"/>
            <w:tcBorders>
              <w:top w:val="nil"/>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2,000,000</w:t>
            </w:r>
          </w:p>
        </w:tc>
        <w:tc>
          <w:tcPr>
            <w:tcW w:w="850" w:type="dxa"/>
            <w:tcBorders>
              <w:top w:val="nil"/>
              <w:left w:val="nil"/>
              <w:bottom w:val="single" w:sz="4" w:space="0" w:color="auto"/>
              <w:right w:val="single" w:sz="4" w:space="0" w:color="auto"/>
            </w:tcBorders>
            <w:shd w:val="clear" w:color="000000" w:fill="auto"/>
            <w:hideMark/>
          </w:tcPr>
          <w:p w:rsidR="00FE13C4" w:rsidRPr="00F06F75" w:rsidRDefault="00FE13C4" w:rsidP="00F06F75">
            <w:pPr>
              <w:ind w:left="-114"/>
              <w:jc w:val="right"/>
              <w:rPr>
                <w:sz w:val="16"/>
                <w:szCs w:val="16"/>
                <w:lang w:val="en-CA" w:eastAsia="en-CA"/>
              </w:rPr>
            </w:pPr>
            <w:r w:rsidRPr="00F06F75">
              <w:rPr>
                <w:sz w:val="16"/>
                <w:szCs w:val="16"/>
                <w:lang w:val="en-CA" w:eastAsia="en-CA"/>
              </w:rPr>
              <w:t>2,000,000</w:t>
            </w:r>
          </w:p>
        </w:tc>
      </w:tr>
      <w:tr w:rsidR="00F06F75" w:rsidRPr="00F06F75" w:rsidTr="007903E7">
        <w:trPr>
          <w:trHeight w:val="480"/>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Executing agency support cost (internal), including overheads</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0 </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0 </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933"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66"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0"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r>
      <w:tr w:rsidR="00F06F75" w:rsidRPr="00F06F75" w:rsidTr="007903E7">
        <w:trPr>
          <w:trHeight w:val="480"/>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Financial intermediaries, including overheads</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160,777</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121,740</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10,000</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933"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66"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0"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r>
      <w:tr w:rsidR="00F06F75" w:rsidRPr="00F06F75" w:rsidTr="007903E7">
        <w:trPr>
          <w:trHeight w:val="720"/>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Reimbursement of central services for core unit staff (including overhead)</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 </w:t>
            </w:r>
          </w:p>
        </w:tc>
        <w:tc>
          <w:tcPr>
            <w:tcW w:w="856"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933"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66"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0"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r>
      <w:tr w:rsidR="00F06F75" w:rsidRPr="00F06F75" w:rsidTr="007903E7">
        <w:trPr>
          <w:trHeight w:val="58"/>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Cost recovery</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0 </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933"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66"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0"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r>
      <w:tr w:rsidR="00F06F75" w:rsidRPr="00F06F75" w:rsidTr="007903E7">
        <w:trPr>
          <w:trHeight w:val="480"/>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Adjustments (+ = overrun and - = underuse)</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0 </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6"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933"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66"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c>
          <w:tcPr>
            <w:tcW w:w="850"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0</w:t>
            </w:r>
          </w:p>
        </w:tc>
      </w:tr>
      <w:tr w:rsidR="00F06F75" w:rsidRPr="00F06F75" w:rsidTr="007903E7">
        <w:trPr>
          <w:trHeight w:val="480"/>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jc w:val="left"/>
              <w:rPr>
                <w:sz w:val="16"/>
                <w:szCs w:val="16"/>
                <w:lang w:val="en-CA" w:eastAsia="en-CA"/>
              </w:rPr>
            </w:pPr>
            <w:r w:rsidRPr="00F06F75">
              <w:rPr>
                <w:sz w:val="16"/>
                <w:szCs w:val="16"/>
                <w:lang w:val="en-CA" w:eastAsia="en-CA"/>
              </w:rPr>
              <w:t>Project costs (- = to be deducted and thus removed)</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6"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933"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66"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c>
          <w:tcPr>
            <w:tcW w:w="850"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sz w:val="16"/>
                <w:szCs w:val="16"/>
                <w:lang w:val="en-CA" w:eastAsia="en-CA"/>
              </w:rPr>
            </w:pPr>
            <w:r w:rsidRPr="00F06F75">
              <w:rPr>
                <w:sz w:val="16"/>
                <w:szCs w:val="16"/>
                <w:lang w:val="en-CA" w:eastAsia="en-CA"/>
              </w:rPr>
              <w:t> </w:t>
            </w:r>
          </w:p>
        </w:tc>
      </w:tr>
      <w:tr w:rsidR="00F06F75" w:rsidRPr="00F06F75" w:rsidTr="007903E7">
        <w:trPr>
          <w:trHeight w:val="398"/>
        </w:trPr>
        <w:tc>
          <w:tcPr>
            <w:tcW w:w="1560" w:type="dxa"/>
            <w:tcBorders>
              <w:top w:val="nil"/>
              <w:left w:val="single" w:sz="4" w:space="0" w:color="auto"/>
              <w:bottom w:val="single" w:sz="4" w:space="0" w:color="auto"/>
              <w:right w:val="single" w:sz="4" w:space="0" w:color="auto"/>
            </w:tcBorders>
            <w:shd w:val="clear" w:color="auto" w:fill="auto"/>
            <w:hideMark/>
          </w:tcPr>
          <w:p w:rsidR="00FE13C4" w:rsidRPr="00F06F75" w:rsidRDefault="00FE13C4" w:rsidP="00F06F75">
            <w:pPr>
              <w:ind w:right="-107"/>
              <w:jc w:val="left"/>
              <w:rPr>
                <w:b/>
                <w:bCs/>
                <w:sz w:val="16"/>
                <w:szCs w:val="16"/>
                <w:lang w:val="en-CA" w:eastAsia="en-CA"/>
              </w:rPr>
            </w:pPr>
            <w:r w:rsidRPr="00F06F75">
              <w:rPr>
                <w:b/>
                <w:bCs/>
                <w:sz w:val="16"/>
                <w:szCs w:val="16"/>
                <w:lang w:val="en-CA" w:eastAsia="en-CA"/>
              </w:rPr>
              <w:t>B. Sub-total agency support costs/ implementation costs</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b/>
                <w:bCs/>
                <w:sz w:val="16"/>
                <w:szCs w:val="16"/>
                <w:lang w:val="en-CA" w:eastAsia="en-CA"/>
              </w:rPr>
            </w:pPr>
            <w:r w:rsidRPr="00F06F75">
              <w:rPr>
                <w:b/>
                <w:bCs/>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b/>
                <w:bCs/>
                <w:sz w:val="16"/>
                <w:szCs w:val="16"/>
                <w:lang w:val="en-CA" w:eastAsia="en-CA"/>
              </w:rPr>
            </w:pPr>
            <w:r w:rsidRPr="00F06F75">
              <w:rPr>
                <w:b/>
                <w:bCs/>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b/>
                <w:bCs/>
                <w:sz w:val="16"/>
                <w:szCs w:val="16"/>
                <w:lang w:val="en-CA" w:eastAsia="en-CA"/>
              </w:rPr>
            </w:pPr>
            <w:r w:rsidRPr="00F06F75">
              <w:rPr>
                <w:b/>
                <w:bCs/>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b/>
                <w:bCs/>
                <w:sz w:val="16"/>
                <w:szCs w:val="16"/>
                <w:lang w:val="en-CA" w:eastAsia="en-CA"/>
              </w:rPr>
            </w:pPr>
            <w:r w:rsidRPr="00F06F75">
              <w:rPr>
                <w:b/>
                <w:bCs/>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b/>
                <w:bCs/>
                <w:sz w:val="16"/>
                <w:szCs w:val="16"/>
                <w:lang w:val="en-CA" w:eastAsia="en-CA"/>
              </w:rPr>
            </w:pPr>
            <w:r w:rsidRPr="00F06F75">
              <w:rPr>
                <w:b/>
                <w:bCs/>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b/>
                <w:bCs/>
                <w:sz w:val="16"/>
                <w:szCs w:val="16"/>
                <w:lang w:val="en-CA" w:eastAsia="en-CA"/>
              </w:rPr>
            </w:pPr>
            <w:r w:rsidRPr="00F06F75">
              <w:rPr>
                <w:b/>
                <w:bCs/>
                <w:sz w:val="16"/>
                <w:szCs w:val="16"/>
                <w:lang w:val="en-CA" w:eastAsia="en-CA"/>
              </w:rPr>
              <w:t>1,249,361</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b/>
                <w:bCs/>
                <w:sz w:val="16"/>
                <w:szCs w:val="16"/>
                <w:lang w:val="en-CA" w:eastAsia="en-CA"/>
              </w:rPr>
            </w:pPr>
            <w:r w:rsidRPr="00F06F75">
              <w:rPr>
                <w:b/>
                <w:bCs/>
                <w:sz w:val="16"/>
                <w:szCs w:val="16"/>
                <w:lang w:val="en-CA" w:eastAsia="en-CA"/>
              </w:rPr>
              <w:t>1,491,814</w:t>
            </w:r>
          </w:p>
        </w:tc>
        <w:tc>
          <w:tcPr>
            <w:tcW w:w="856"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b/>
                <w:bCs/>
                <w:sz w:val="16"/>
                <w:szCs w:val="16"/>
                <w:lang w:val="en-CA" w:eastAsia="en-CA"/>
              </w:rPr>
            </w:pPr>
            <w:r w:rsidRPr="00F06F75">
              <w:rPr>
                <w:b/>
                <w:bCs/>
                <w:sz w:val="16"/>
                <w:szCs w:val="16"/>
                <w:lang w:val="en-CA" w:eastAsia="en-CA"/>
              </w:rPr>
              <w:t>2,114,429</w:t>
            </w:r>
          </w:p>
        </w:tc>
        <w:tc>
          <w:tcPr>
            <w:tcW w:w="933"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b/>
                <w:bCs/>
                <w:sz w:val="16"/>
                <w:szCs w:val="16"/>
                <w:lang w:val="en-CA" w:eastAsia="en-CA"/>
              </w:rPr>
            </w:pPr>
            <w:r w:rsidRPr="00F06F75">
              <w:rPr>
                <w:b/>
                <w:bCs/>
                <w:sz w:val="16"/>
                <w:szCs w:val="16"/>
                <w:lang w:val="en-CA" w:eastAsia="en-CA"/>
              </w:rPr>
              <w:t>2,000,000</w:t>
            </w:r>
          </w:p>
        </w:tc>
        <w:tc>
          <w:tcPr>
            <w:tcW w:w="866"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ind w:left="-106"/>
              <w:jc w:val="right"/>
              <w:rPr>
                <w:b/>
                <w:bCs/>
                <w:sz w:val="16"/>
                <w:szCs w:val="16"/>
                <w:lang w:val="en-CA" w:eastAsia="en-CA"/>
              </w:rPr>
            </w:pPr>
            <w:r w:rsidRPr="00F06F75">
              <w:rPr>
                <w:b/>
                <w:bCs/>
                <w:sz w:val="16"/>
                <w:szCs w:val="16"/>
                <w:lang w:val="en-CA" w:eastAsia="en-CA"/>
              </w:rPr>
              <w:t>2,000,000</w:t>
            </w:r>
          </w:p>
        </w:tc>
        <w:tc>
          <w:tcPr>
            <w:tcW w:w="850"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ind w:left="-108"/>
              <w:jc w:val="right"/>
              <w:rPr>
                <w:b/>
                <w:bCs/>
                <w:sz w:val="16"/>
                <w:szCs w:val="16"/>
                <w:lang w:val="en-CA" w:eastAsia="en-CA"/>
              </w:rPr>
            </w:pPr>
            <w:r w:rsidRPr="00F06F75">
              <w:rPr>
                <w:b/>
                <w:bCs/>
                <w:sz w:val="16"/>
                <w:szCs w:val="16"/>
                <w:lang w:val="en-CA" w:eastAsia="en-CA"/>
              </w:rPr>
              <w:t>2,000,000</w:t>
            </w:r>
          </w:p>
        </w:tc>
      </w:tr>
      <w:tr w:rsidR="00F06F75" w:rsidRPr="00F06F75" w:rsidTr="007903E7">
        <w:trPr>
          <w:trHeight w:val="58"/>
        </w:trPr>
        <w:tc>
          <w:tcPr>
            <w:tcW w:w="1560" w:type="dxa"/>
            <w:tcBorders>
              <w:top w:val="nil"/>
              <w:left w:val="single" w:sz="4" w:space="0" w:color="auto"/>
              <w:bottom w:val="single" w:sz="4" w:space="0" w:color="auto"/>
              <w:right w:val="single" w:sz="4" w:space="0" w:color="auto"/>
            </w:tcBorders>
            <w:shd w:val="clear" w:color="auto" w:fill="auto"/>
            <w:hideMark/>
          </w:tcPr>
          <w:p w:rsidR="00991531" w:rsidRPr="00F06F75" w:rsidRDefault="00FE13C4" w:rsidP="00F06F75">
            <w:pPr>
              <w:jc w:val="left"/>
              <w:rPr>
                <w:b/>
                <w:bCs/>
                <w:sz w:val="16"/>
                <w:szCs w:val="16"/>
                <w:lang w:val="en-CA" w:eastAsia="en-CA"/>
              </w:rPr>
            </w:pPr>
            <w:r w:rsidRPr="00F06F75">
              <w:rPr>
                <w:b/>
                <w:bCs/>
                <w:sz w:val="16"/>
                <w:szCs w:val="16"/>
                <w:lang w:val="en-CA" w:eastAsia="en-CA"/>
              </w:rPr>
              <w:t xml:space="preserve">Grand total </w:t>
            </w:r>
          </w:p>
          <w:p w:rsidR="00FE13C4" w:rsidRPr="00F06F75" w:rsidRDefault="00FE13C4" w:rsidP="00F06F75">
            <w:pPr>
              <w:jc w:val="left"/>
              <w:rPr>
                <w:b/>
                <w:bCs/>
                <w:sz w:val="16"/>
                <w:szCs w:val="16"/>
                <w:lang w:val="en-CA" w:eastAsia="en-CA"/>
              </w:rPr>
            </w:pPr>
            <w:r w:rsidRPr="00F06F75">
              <w:rPr>
                <w:b/>
                <w:bCs/>
                <w:sz w:val="16"/>
                <w:szCs w:val="16"/>
                <w:lang w:val="en-CA" w:eastAsia="en-CA"/>
              </w:rPr>
              <w:t>(A + B)</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117"/>
              <w:jc w:val="right"/>
              <w:rPr>
                <w:b/>
                <w:bCs/>
                <w:sz w:val="16"/>
                <w:szCs w:val="16"/>
                <w:lang w:val="en-CA" w:eastAsia="en-CA"/>
              </w:rPr>
            </w:pPr>
            <w:r w:rsidRPr="00F06F75">
              <w:rPr>
                <w:b/>
                <w:bCs/>
                <w:sz w:val="16"/>
                <w:szCs w:val="16"/>
                <w:lang w:val="en-CA" w:eastAsia="en-CA"/>
              </w:rPr>
              <w:t>2,817,935</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202"/>
              <w:jc w:val="right"/>
              <w:rPr>
                <w:b/>
                <w:bCs/>
                <w:sz w:val="16"/>
                <w:szCs w:val="16"/>
                <w:lang w:val="en-CA" w:eastAsia="en-CA"/>
              </w:rPr>
            </w:pPr>
            <w:r w:rsidRPr="00F06F75">
              <w:rPr>
                <w:b/>
                <w:bCs/>
                <w:sz w:val="16"/>
                <w:szCs w:val="16"/>
                <w:lang w:val="en-CA" w:eastAsia="en-CA"/>
              </w:rPr>
              <w:t>3,667,839</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b/>
                <w:bCs/>
                <w:sz w:val="16"/>
                <w:szCs w:val="16"/>
                <w:lang w:val="en-CA" w:eastAsia="en-CA"/>
              </w:rPr>
            </w:pPr>
            <w:r w:rsidRPr="00F06F75">
              <w:rPr>
                <w:b/>
                <w:bCs/>
                <w:sz w:val="16"/>
                <w:szCs w:val="16"/>
                <w:lang w:val="en-CA" w:eastAsia="en-CA"/>
              </w:rPr>
              <w:t>2,518,129</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b/>
                <w:bCs/>
                <w:sz w:val="16"/>
                <w:szCs w:val="16"/>
                <w:lang w:val="en-CA" w:eastAsia="en-CA"/>
              </w:rPr>
            </w:pPr>
            <w:r w:rsidRPr="00F06F75">
              <w:rPr>
                <w:b/>
                <w:bCs/>
                <w:sz w:val="16"/>
                <w:szCs w:val="16"/>
                <w:lang w:val="en-CA" w:eastAsia="en-CA"/>
              </w:rPr>
              <w:t>2,339,197</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ind w:left="-99" w:firstLine="99"/>
              <w:jc w:val="right"/>
              <w:rPr>
                <w:b/>
                <w:bCs/>
                <w:sz w:val="16"/>
                <w:szCs w:val="16"/>
                <w:lang w:val="en-CA" w:eastAsia="en-CA"/>
              </w:rPr>
            </w:pPr>
            <w:r w:rsidRPr="00F06F75">
              <w:rPr>
                <w:b/>
                <w:bCs/>
                <w:sz w:val="16"/>
                <w:szCs w:val="16"/>
                <w:lang w:val="en-CA" w:eastAsia="en-CA"/>
              </w:rPr>
              <w:t>2,112,851</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b/>
                <w:bCs/>
                <w:sz w:val="16"/>
                <w:szCs w:val="16"/>
                <w:lang w:val="en-CA" w:eastAsia="en-CA"/>
              </w:rPr>
            </w:pPr>
            <w:r w:rsidRPr="00F06F75">
              <w:rPr>
                <w:b/>
                <w:bCs/>
                <w:sz w:val="16"/>
                <w:szCs w:val="16"/>
                <w:lang w:val="en-CA" w:eastAsia="en-CA"/>
              </w:rPr>
              <w:t>2,911,885</w:t>
            </w:r>
          </w:p>
        </w:tc>
        <w:tc>
          <w:tcPr>
            <w:tcW w:w="856" w:type="dxa"/>
            <w:tcBorders>
              <w:top w:val="nil"/>
              <w:left w:val="nil"/>
              <w:bottom w:val="single" w:sz="4" w:space="0" w:color="auto"/>
              <w:right w:val="single" w:sz="4" w:space="0" w:color="auto"/>
            </w:tcBorders>
            <w:shd w:val="clear" w:color="auto" w:fill="auto"/>
            <w:hideMark/>
          </w:tcPr>
          <w:p w:rsidR="00FE13C4" w:rsidRPr="00F06F75" w:rsidRDefault="00FE13C4" w:rsidP="00F06F75">
            <w:pPr>
              <w:jc w:val="right"/>
              <w:rPr>
                <w:b/>
                <w:bCs/>
                <w:sz w:val="16"/>
                <w:szCs w:val="16"/>
                <w:lang w:val="en-CA" w:eastAsia="en-CA"/>
              </w:rPr>
            </w:pPr>
            <w:r w:rsidRPr="00F06F75">
              <w:rPr>
                <w:b/>
                <w:bCs/>
                <w:sz w:val="16"/>
                <w:szCs w:val="16"/>
                <w:lang w:val="en-CA" w:eastAsia="en-CA"/>
              </w:rPr>
              <w:t>3,156,744</w:t>
            </w:r>
          </w:p>
        </w:tc>
        <w:tc>
          <w:tcPr>
            <w:tcW w:w="856"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jc w:val="right"/>
              <w:rPr>
                <w:b/>
                <w:bCs/>
                <w:sz w:val="16"/>
                <w:szCs w:val="16"/>
                <w:lang w:val="en-CA" w:eastAsia="en-CA"/>
              </w:rPr>
            </w:pPr>
            <w:r w:rsidRPr="00F06F75">
              <w:rPr>
                <w:b/>
                <w:bCs/>
                <w:sz w:val="16"/>
                <w:szCs w:val="16"/>
                <w:lang w:val="en-CA" w:eastAsia="en-CA"/>
              </w:rPr>
              <w:t>3,842,489</w:t>
            </w:r>
          </w:p>
        </w:tc>
        <w:tc>
          <w:tcPr>
            <w:tcW w:w="933"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ind w:left="-162" w:firstLine="162"/>
              <w:jc w:val="right"/>
              <w:rPr>
                <w:b/>
                <w:bCs/>
                <w:sz w:val="16"/>
                <w:szCs w:val="16"/>
                <w:lang w:val="en-CA" w:eastAsia="en-CA"/>
              </w:rPr>
            </w:pPr>
            <w:r w:rsidRPr="00F06F75">
              <w:rPr>
                <w:b/>
                <w:bCs/>
                <w:sz w:val="16"/>
                <w:szCs w:val="16"/>
                <w:lang w:val="en-CA" w:eastAsia="en-CA"/>
              </w:rPr>
              <w:t>3,735,000</w:t>
            </w:r>
          </w:p>
        </w:tc>
        <w:tc>
          <w:tcPr>
            <w:tcW w:w="866"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ind w:left="-106" w:hanging="106"/>
              <w:jc w:val="right"/>
              <w:rPr>
                <w:b/>
                <w:bCs/>
                <w:sz w:val="16"/>
                <w:szCs w:val="16"/>
                <w:lang w:val="en-CA" w:eastAsia="en-CA"/>
              </w:rPr>
            </w:pPr>
            <w:r w:rsidRPr="00F06F75">
              <w:rPr>
                <w:b/>
                <w:bCs/>
                <w:sz w:val="16"/>
                <w:szCs w:val="16"/>
                <w:lang w:val="en-CA" w:eastAsia="en-CA"/>
              </w:rPr>
              <w:t>3,669,436</w:t>
            </w:r>
          </w:p>
        </w:tc>
        <w:tc>
          <w:tcPr>
            <w:tcW w:w="850" w:type="dxa"/>
            <w:tcBorders>
              <w:top w:val="single" w:sz="4" w:space="0" w:color="auto"/>
              <w:left w:val="nil"/>
              <w:bottom w:val="single" w:sz="4" w:space="0" w:color="auto"/>
              <w:right w:val="single" w:sz="4" w:space="0" w:color="auto"/>
            </w:tcBorders>
            <w:shd w:val="clear" w:color="000000" w:fill="auto"/>
            <w:hideMark/>
          </w:tcPr>
          <w:p w:rsidR="00FE13C4" w:rsidRPr="00F06F75" w:rsidRDefault="00FE13C4" w:rsidP="00F06F75">
            <w:pPr>
              <w:ind w:left="-168"/>
              <w:jc w:val="right"/>
              <w:rPr>
                <w:b/>
                <w:bCs/>
                <w:sz w:val="16"/>
                <w:szCs w:val="16"/>
                <w:lang w:val="en-CA" w:eastAsia="en-CA"/>
              </w:rPr>
            </w:pPr>
            <w:r w:rsidRPr="00F06F75">
              <w:rPr>
                <w:b/>
                <w:bCs/>
                <w:sz w:val="16"/>
                <w:szCs w:val="16"/>
                <w:lang w:val="en-CA" w:eastAsia="en-CA"/>
              </w:rPr>
              <w:t>3,735,000</w:t>
            </w:r>
          </w:p>
        </w:tc>
      </w:tr>
    </w:tbl>
    <w:p w:rsidR="00FE13C4" w:rsidRPr="00F06F75" w:rsidRDefault="00FE13C4" w:rsidP="00F06F75">
      <w:pPr>
        <w:keepNext/>
        <w:rPr>
          <w:b/>
          <w:lang w:val="en-CA"/>
        </w:rPr>
      </w:pPr>
    </w:p>
    <w:p w:rsidR="00FE13C4" w:rsidRPr="00F06F75" w:rsidRDefault="00FE13C4" w:rsidP="00F06F75">
      <w:pPr>
        <w:keepNext/>
        <w:spacing w:after="240"/>
        <w:rPr>
          <w:u w:val="single"/>
          <w:lang w:val="en-CA"/>
        </w:rPr>
      </w:pPr>
      <w:r w:rsidRPr="00F06F75">
        <w:rPr>
          <w:u w:val="single"/>
          <w:lang w:val="en-CA"/>
        </w:rPr>
        <w:t>Core unit costs</w:t>
      </w:r>
    </w:p>
    <w:p w:rsidR="00FE13C4" w:rsidRPr="00F06F75" w:rsidRDefault="00FE13C4" w:rsidP="00F06F75">
      <w:pPr>
        <w:pStyle w:val="Heading1"/>
        <w:rPr>
          <w:lang w:val="en-CA"/>
        </w:rPr>
      </w:pPr>
      <w:r w:rsidRPr="00F06F75">
        <w:rPr>
          <w:lang w:val="en-CA"/>
        </w:rPr>
        <w:t>The World Bank’s request of US $1,735,000 for its 2020 core unit budget represents a zero per cent increase of its 2019 core unit budget as originally approved, but with slight decreases in trave</w:t>
      </w:r>
      <w:r w:rsidR="00450CF8" w:rsidRPr="00F06F75">
        <w:rPr>
          <w:lang w:val="en-CA"/>
        </w:rPr>
        <w:t>l and contractual service costs,</w:t>
      </w:r>
      <w:r w:rsidRPr="00F06F75">
        <w:rPr>
          <w:lang w:val="en-CA"/>
        </w:rPr>
        <w:t xml:space="preserve"> an estimated 14 per cent increase in central services, and a 33 per cent decrease </w:t>
      </w:r>
      <w:r w:rsidRPr="00F06F75">
        <w:rPr>
          <w:lang w:val="en-CA"/>
        </w:rPr>
        <w:lastRenderedPageBreak/>
        <w:t>in equipment supplies/operating costs.</w:t>
      </w:r>
      <w:r w:rsidRPr="00F06F75">
        <w:t xml:space="preserve"> </w:t>
      </w:r>
      <w:r w:rsidRPr="00F06F75">
        <w:rPr>
          <w:lang w:val="en-CA"/>
        </w:rPr>
        <w:t xml:space="preserve">Unlike UNDP and UNIDO, the World Bank is not subsidized by revenue from agency support costs or its general fund. </w:t>
      </w:r>
    </w:p>
    <w:p w:rsidR="00FE13C4" w:rsidRPr="00F06F75" w:rsidRDefault="00FE13C4" w:rsidP="00F06F75">
      <w:pPr>
        <w:pStyle w:val="Heading1"/>
      </w:pPr>
      <w:r w:rsidRPr="00F06F75">
        <w:rPr>
          <w:lang w:val="en-CA"/>
        </w:rPr>
        <w:t xml:space="preserve">Sixty-nine per cent of the World Bank’s proposed core unit budget is for staff salaries. </w:t>
      </w:r>
      <w:r w:rsidRPr="00F06F75">
        <w:t>The 2018</w:t>
      </w:r>
      <w:r w:rsidR="009602BE" w:rsidRPr="00F06F75">
        <w:t> </w:t>
      </w:r>
      <w:r w:rsidRPr="00F06F75">
        <w:t xml:space="preserve">staff costs </w:t>
      </w:r>
      <w:r w:rsidRPr="00F06F75">
        <w:rPr>
          <w:lang w:val="en-CA"/>
        </w:rPr>
        <w:t>(US $</w:t>
      </w:r>
      <w:r w:rsidRPr="00F06F75">
        <w:t xml:space="preserve"> </w:t>
      </w:r>
      <w:r w:rsidRPr="00F06F75">
        <w:rPr>
          <w:lang w:val="en-CA"/>
        </w:rPr>
        <w:t xml:space="preserve">1,226,215) </w:t>
      </w:r>
      <w:r w:rsidRPr="00F06F75">
        <w:t xml:space="preserve">were 2.9 per cent higher than the 2018 estimated costs </w:t>
      </w:r>
      <w:r w:rsidRPr="00F06F75">
        <w:rPr>
          <w:lang w:val="en-CA"/>
        </w:rPr>
        <w:t>(US $1,192,000)</w:t>
      </w:r>
      <w:r w:rsidRPr="00F06F75">
        <w:t>. This was despite significant staff changes over the past three years.</w:t>
      </w:r>
      <w:r w:rsidRPr="00F06F75">
        <w:rPr>
          <w:lang w:val="en-CA"/>
        </w:rPr>
        <w:t xml:space="preserve"> The central services budget represents the next largest cost item for its 2020 core unit budget, amounting to 13.8 per</w:t>
      </w:r>
      <w:r w:rsidR="009602BE" w:rsidRPr="00F06F75">
        <w:rPr>
          <w:lang w:val="en-CA"/>
        </w:rPr>
        <w:t xml:space="preserve"> cent, followed by travel (10.7 </w:t>
      </w:r>
      <w:r w:rsidRPr="00F06F75">
        <w:rPr>
          <w:lang w:val="en-CA"/>
        </w:rPr>
        <w:t>per cent), contractual services (5.8 per cent) and equipment (0.6 per cent).</w:t>
      </w:r>
    </w:p>
    <w:p w:rsidR="00FE13C4" w:rsidRPr="00F06F75" w:rsidRDefault="00FE13C4" w:rsidP="00F06F75">
      <w:pPr>
        <w:pStyle w:val="Heading1"/>
        <w:rPr>
          <w:lang w:val="en-CA"/>
        </w:rPr>
      </w:pPr>
      <w:r w:rsidRPr="00F06F75">
        <w:rPr>
          <w:lang w:val="en-CA"/>
        </w:rPr>
        <w:t xml:space="preserve">The World Bank’s reimbursement of central services in 2018 </w:t>
      </w:r>
      <w:r w:rsidR="00450CF8" w:rsidRPr="00F06F75">
        <w:rPr>
          <w:lang w:val="en-CA"/>
        </w:rPr>
        <w:t>was</w:t>
      </w:r>
      <w:r w:rsidRPr="00F06F75">
        <w:rPr>
          <w:lang w:val="en-CA"/>
        </w:rPr>
        <w:t xml:space="preserve"> 18.9 per cent higher than the estimated cost for 2018. The proposed travel costs (US $185,000) are the same as those estimated for 2019 and slightly higher than the actual costs in 2018 (US $180,873). The proposed equipment costs increase to US $10,000 from estimated costs of US $207 in 2019. The World Bank explained that the 2018 actual costs for space and equipment/supplies were zero and US $1,637</w:t>
      </w:r>
      <w:r w:rsidR="002B4299" w:rsidRPr="00F06F75">
        <w:rPr>
          <w:lang w:val="en-CA"/>
        </w:rPr>
        <w:t>,</w:t>
      </w:r>
      <w:r w:rsidRPr="00F06F75">
        <w:rPr>
          <w:lang w:val="en-CA"/>
        </w:rPr>
        <w:t xml:space="preserve"> respectively. The Bank</w:t>
      </w:r>
      <w:r w:rsidR="009602BE" w:rsidRPr="00F06F75">
        <w:rPr>
          <w:lang w:val="en-CA"/>
        </w:rPr>
        <w:t>’s</w:t>
      </w:r>
      <w:r w:rsidRPr="00F06F75">
        <w:rPr>
          <w:lang w:val="en-CA"/>
        </w:rPr>
        <w:t xml:space="preserve"> budget absorbed the costs in 2018, resulting in more than </w:t>
      </w:r>
      <w:r w:rsidR="004E2FEE" w:rsidRPr="00F06F75">
        <w:rPr>
          <w:lang w:val="en-CA"/>
        </w:rPr>
        <w:t>US </w:t>
      </w:r>
      <w:r w:rsidRPr="00F06F75">
        <w:rPr>
          <w:lang w:val="en-CA"/>
        </w:rPr>
        <w:t>$23,000 less in expenditures.</w:t>
      </w:r>
      <w:r w:rsidRPr="00F06F75">
        <w:t xml:space="preserve"> </w:t>
      </w:r>
    </w:p>
    <w:p w:rsidR="00FE13C4" w:rsidRPr="00F06F75" w:rsidRDefault="00FE13C4" w:rsidP="00F06F75">
      <w:pPr>
        <w:pStyle w:val="Heading1"/>
        <w:rPr>
          <w:lang w:val="en-CA"/>
        </w:rPr>
      </w:pPr>
      <w:r w:rsidRPr="00F06F75">
        <w:rPr>
          <w:lang w:val="en-CA"/>
        </w:rPr>
        <w:t>The World Bank will return a total of US $6,940 from core unit costs from 2018. The Executive Committee may wish to note, with appreciation, that the World Bank would be returning unused balances.</w:t>
      </w:r>
    </w:p>
    <w:p w:rsidR="00FE13C4" w:rsidRPr="00F06F75" w:rsidRDefault="00FE13C4" w:rsidP="00F06F75">
      <w:pPr>
        <w:pStyle w:val="Heading1"/>
        <w:rPr>
          <w:lang w:val="en-CA"/>
        </w:rPr>
      </w:pPr>
      <w:r w:rsidRPr="00F06F75">
        <w:rPr>
          <w:lang w:val="en-CA"/>
        </w:rPr>
        <w:t xml:space="preserve">The World Bank informed that </w:t>
      </w:r>
      <w:r w:rsidR="002B4299" w:rsidRPr="00F06F75">
        <w:rPr>
          <w:lang w:val="en-CA"/>
        </w:rPr>
        <w:t>it</w:t>
      </w:r>
      <w:r w:rsidRPr="00F06F75">
        <w:rPr>
          <w:lang w:val="en-CA"/>
        </w:rPr>
        <w:t xml:space="preserve"> follow</w:t>
      </w:r>
      <w:r w:rsidR="002B4299" w:rsidRPr="00F06F75">
        <w:rPr>
          <w:lang w:val="en-CA"/>
        </w:rPr>
        <w:t>s</w:t>
      </w:r>
      <w:r w:rsidRPr="00F06F75">
        <w:rPr>
          <w:lang w:val="en-CA"/>
        </w:rPr>
        <w:t xml:space="preserve"> activity-based accounting for staff and consultant time to apportion expenses for </w:t>
      </w:r>
      <w:r w:rsidR="002B4299" w:rsidRPr="00F06F75">
        <w:rPr>
          <w:lang w:val="en-CA"/>
        </w:rPr>
        <w:t>Montreal Protocol</w:t>
      </w:r>
      <w:r w:rsidRPr="00F06F75">
        <w:rPr>
          <w:lang w:val="en-CA"/>
        </w:rPr>
        <w:t xml:space="preserve"> and non-</w:t>
      </w:r>
      <w:r w:rsidR="002B4299" w:rsidRPr="00F06F75">
        <w:rPr>
          <w:lang w:val="en-CA"/>
        </w:rPr>
        <w:t>Montreal Protocol</w:t>
      </w:r>
      <w:r w:rsidRPr="00F06F75">
        <w:rPr>
          <w:lang w:val="en-CA"/>
        </w:rPr>
        <w:t xml:space="preserve"> activities</w:t>
      </w:r>
      <w:r w:rsidR="00450CF8" w:rsidRPr="00F06F75">
        <w:rPr>
          <w:lang w:val="en-CA"/>
        </w:rPr>
        <w:t>;</w:t>
      </w:r>
      <w:r w:rsidRPr="00F06F75">
        <w:rPr>
          <w:lang w:val="en-CA"/>
        </w:rPr>
        <w:t xml:space="preserve"> costs of equipment and supplies and</w:t>
      </w:r>
      <w:r w:rsidR="00803813" w:rsidRPr="00F06F75">
        <w:rPr>
          <w:lang w:val="en-CA"/>
        </w:rPr>
        <w:t xml:space="preserve"> of</w:t>
      </w:r>
      <w:r w:rsidRPr="00F06F75">
        <w:rPr>
          <w:lang w:val="en-CA"/>
        </w:rPr>
        <w:t xml:space="preserve"> contractual staff are higher in 2020 compared to 2019 estimates </w:t>
      </w:r>
      <w:r w:rsidR="00803813" w:rsidRPr="00F06F75">
        <w:rPr>
          <w:lang w:val="en-CA"/>
        </w:rPr>
        <w:t>because</w:t>
      </w:r>
      <w:r w:rsidRPr="00F06F75">
        <w:rPr>
          <w:lang w:val="en-CA"/>
        </w:rPr>
        <w:t xml:space="preserve"> some of the vacant staff positio</w:t>
      </w:r>
      <w:r w:rsidR="00AE742D" w:rsidRPr="00F06F75">
        <w:rPr>
          <w:lang w:val="en-CA"/>
        </w:rPr>
        <w:t>ns would be filled;</w:t>
      </w:r>
      <w:r w:rsidRPr="00F06F75">
        <w:rPr>
          <w:lang w:val="en-CA"/>
        </w:rPr>
        <w:t xml:space="preserve"> </w:t>
      </w:r>
      <w:r w:rsidR="00AE742D" w:rsidRPr="00F06F75">
        <w:rPr>
          <w:lang w:val="en-CA"/>
        </w:rPr>
        <w:t xml:space="preserve">gradual </w:t>
      </w:r>
      <w:r w:rsidRPr="00F06F75">
        <w:rPr>
          <w:lang w:val="en-CA"/>
        </w:rPr>
        <w:t>policy change</w:t>
      </w:r>
      <w:r w:rsidR="00AE742D" w:rsidRPr="00F06F75">
        <w:rPr>
          <w:lang w:val="en-CA"/>
        </w:rPr>
        <w:t xml:space="preserve"> towards full trust fund project</w:t>
      </w:r>
      <w:r w:rsidRPr="00F06F75">
        <w:rPr>
          <w:lang w:val="en-CA"/>
        </w:rPr>
        <w:t xml:space="preserve"> cost-recovery; and </w:t>
      </w:r>
      <w:r w:rsidR="00AE742D" w:rsidRPr="00F06F75">
        <w:rPr>
          <w:lang w:val="en-CA"/>
        </w:rPr>
        <w:t xml:space="preserve">additional cost for </w:t>
      </w:r>
      <w:r w:rsidRPr="00F06F75">
        <w:rPr>
          <w:lang w:val="en-CA"/>
        </w:rPr>
        <w:t>hosting of two regional Montreal Protocol project implementation</w:t>
      </w:r>
      <w:r w:rsidR="00E60F76" w:rsidRPr="00F06F75">
        <w:rPr>
          <w:lang w:val="en-CA"/>
        </w:rPr>
        <w:t xml:space="preserve"> workshops</w:t>
      </w:r>
      <w:r w:rsidR="00AF0247" w:rsidRPr="00F06F75">
        <w:rPr>
          <w:lang w:val="en-CA"/>
        </w:rPr>
        <w:t xml:space="preserve"> that were originally planned to be completed in 2019</w:t>
      </w:r>
      <w:r w:rsidRPr="00F06F75">
        <w:rPr>
          <w:lang w:val="en-CA"/>
        </w:rPr>
        <w:t xml:space="preserve">.  </w:t>
      </w:r>
    </w:p>
    <w:p w:rsidR="00FE13C4" w:rsidRPr="00F06F75" w:rsidRDefault="00FE13C4" w:rsidP="00F06F75">
      <w:pPr>
        <w:keepNext/>
        <w:widowControl w:val="0"/>
        <w:spacing w:after="240"/>
        <w:rPr>
          <w:u w:val="single"/>
          <w:lang w:val="en-CA"/>
        </w:rPr>
      </w:pPr>
      <w:r w:rsidRPr="00F06F75">
        <w:rPr>
          <w:u w:val="single"/>
          <w:lang w:val="en-CA"/>
        </w:rPr>
        <w:t>Total administrative costs</w:t>
      </w:r>
    </w:p>
    <w:p w:rsidR="00FE13C4" w:rsidRPr="00F06F75" w:rsidRDefault="00FE13C4" w:rsidP="00F06F75">
      <w:pPr>
        <w:pStyle w:val="Heading1"/>
        <w:rPr>
          <w:lang w:val="en-CA"/>
        </w:rPr>
      </w:pPr>
      <w:r w:rsidRPr="00F06F75">
        <w:rPr>
          <w:lang w:val="en-CA"/>
        </w:rPr>
        <w:t>The budget for reimbursement of country offices</w:t>
      </w:r>
      <w:r w:rsidRPr="00F06F75">
        <w:rPr>
          <w:rStyle w:val="FootnoteReference"/>
          <w:lang w:val="en-CA"/>
        </w:rPr>
        <w:footnoteReference w:id="4"/>
      </w:r>
      <w:r w:rsidRPr="00F06F75">
        <w:rPr>
          <w:lang w:val="en-CA"/>
        </w:rPr>
        <w:t xml:space="preserve"> proposed for 2020 is expected to be the same as the estimated costs for 2019 of US</w:t>
      </w:r>
      <w:r w:rsidR="00DC053F" w:rsidRPr="00F06F75">
        <w:rPr>
          <w:lang w:val="en-CA"/>
        </w:rPr>
        <w:t> </w:t>
      </w:r>
      <w:r w:rsidRPr="00F06F75">
        <w:rPr>
          <w:lang w:val="en-CA"/>
        </w:rPr>
        <w:t>$2</w:t>
      </w:r>
      <w:r w:rsidR="00450CF8" w:rsidRPr="00F06F75">
        <w:rPr>
          <w:lang w:val="en-CA"/>
        </w:rPr>
        <w:t>,000,000</w:t>
      </w:r>
      <w:r w:rsidRPr="00F06F75">
        <w:rPr>
          <w:lang w:val="en-CA"/>
        </w:rPr>
        <w:t xml:space="preserve">. The total administrative costs are estimated at US $3,735,000 in 2020, slightly above the estimated costs for 2019 of US $3,669,436. </w:t>
      </w:r>
    </w:p>
    <w:p w:rsidR="00FE13C4" w:rsidRPr="00F06F75" w:rsidRDefault="00FE13C4" w:rsidP="00F06F75">
      <w:pPr>
        <w:pStyle w:val="Heading1"/>
        <w:rPr>
          <w:lang w:val="en-CA"/>
        </w:rPr>
      </w:pPr>
      <w:r w:rsidRPr="00F06F75">
        <w:rPr>
          <w:lang w:val="en-CA"/>
        </w:rPr>
        <w:t xml:space="preserve">The expected resources available to the World Bank for administrative costs include the core unit costs and the agency support costs plus any balance of income for administrative costs not previously used. Table 6 presents this information between 2009 and 2019. </w:t>
      </w:r>
    </w:p>
    <w:p w:rsidR="00FE13C4" w:rsidRPr="00F06F75" w:rsidRDefault="00FE13C4" w:rsidP="00F06F75">
      <w:pPr>
        <w:rPr>
          <w:b/>
          <w:caps/>
          <w:lang w:val="en-CA"/>
        </w:rPr>
      </w:pPr>
      <w:r w:rsidRPr="00F06F75">
        <w:rPr>
          <w:b/>
          <w:lang w:val="en-CA"/>
        </w:rPr>
        <w:t xml:space="preserve">Table 6: Assessment of availability of income for future administrative costs for the World Bank </w:t>
      </w:r>
      <w:r w:rsidRPr="00F06F75">
        <w:rPr>
          <w:b/>
          <w:caps/>
          <w:lang w:val="en-CA"/>
        </w:rPr>
        <w:t>(us $)</w:t>
      </w:r>
    </w:p>
    <w:tbl>
      <w:tblPr>
        <w:tblW w:w="1106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56"/>
        <w:gridCol w:w="856"/>
        <w:gridCol w:w="856"/>
        <w:gridCol w:w="856"/>
        <w:gridCol w:w="856"/>
        <w:gridCol w:w="856"/>
        <w:gridCol w:w="856"/>
        <w:gridCol w:w="856"/>
        <w:gridCol w:w="856"/>
        <w:gridCol w:w="856"/>
        <w:gridCol w:w="856"/>
      </w:tblGrid>
      <w:tr w:rsidR="00F06F75" w:rsidRPr="00F06F75" w:rsidTr="007903E7">
        <w:trPr>
          <w:trHeight w:val="161"/>
        </w:trPr>
        <w:tc>
          <w:tcPr>
            <w:tcW w:w="1647" w:type="dxa"/>
            <w:shd w:val="clear" w:color="auto" w:fill="auto"/>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World Bank</w:t>
            </w:r>
          </w:p>
        </w:tc>
        <w:tc>
          <w:tcPr>
            <w:tcW w:w="856" w:type="dxa"/>
            <w:shd w:val="clear" w:color="auto" w:fill="auto"/>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2009</w:t>
            </w:r>
          </w:p>
        </w:tc>
        <w:tc>
          <w:tcPr>
            <w:tcW w:w="856" w:type="dxa"/>
            <w:shd w:val="clear" w:color="auto" w:fill="auto"/>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2010</w:t>
            </w:r>
          </w:p>
        </w:tc>
        <w:tc>
          <w:tcPr>
            <w:tcW w:w="856" w:type="dxa"/>
            <w:shd w:val="clear" w:color="auto" w:fill="auto"/>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2011</w:t>
            </w:r>
          </w:p>
        </w:tc>
        <w:tc>
          <w:tcPr>
            <w:tcW w:w="856" w:type="dxa"/>
            <w:shd w:val="clear" w:color="auto" w:fill="auto"/>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2012</w:t>
            </w:r>
          </w:p>
        </w:tc>
        <w:tc>
          <w:tcPr>
            <w:tcW w:w="856" w:type="dxa"/>
            <w:shd w:val="clear" w:color="auto" w:fill="auto"/>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2013</w:t>
            </w:r>
          </w:p>
        </w:tc>
        <w:tc>
          <w:tcPr>
            <w:tcW w:w="856" w:type="dxa"/>
            <w:shd w:val="clear" w:color="auto" w:fill="auto"/>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2014</w:t>
            </w:r>
          </w:p>
        </w:tc>
        <w:tc>
          <w:tcPr>
            <w:tcW w:w="856" w:type="dxa"/>
            <w:shd w:val="clear" w:color="auto" w:fill="auto"/>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2015</w:t>
            </w:r>
          </w:p>
        </w:tc>
        <w:tc>
          <w:tcPr>
            <w:tcW w:w="856" w:type="dxa"/>
            <w:shd w:val="clear" w:color="auto" w:fill="auto"/>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2016</w:t>
            </w:r>
          </w:p>
        </w:tc>
        <w:tc>
          <w:tcPr>
            <w:tcW w:w="856" w:type="dxa"/>
            <w:shd w:val="clear" w:color="auto" w:fill="auto"/>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2017</w:t>
            </w:r>
          </w:p>
        </w:tc>
        <w:tc>
          <w:tcPr>
            <w:tcW w:w="856" w:type="dxa"/>
            <w:shd w:val="clear" w:color="auto" w:fill="auto"/>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2018</w:t>
            </w:r>
          </w:p>
        </w:tc>
        <w:tc>
          <w:tcPr>
            <w:tcW w:w="856" w:type="dxa"/>
            <w:shd w:val="clear" w:color="auto" w:fill="auto"/>
            <w:vAlign w:val="center"/>
            <w:hideMark/>
          </w:tcPr>
          <w:p w:rsidR="00FE13C4" w:rsidRPr="00F06F75" w:rsidRDefault="00FE13C4" w:rsidP="00F06F75">
            <w:pPr>
              <w:jc w:val="center"/>
              <w:rPr>
                <w:b/>
                <w:bCs/>
                <w:sz w:val="16"/>
                <w:szCs w:val="16"/>
                <w:lang w:val="en-CA" w:eastAsia="en-CA"/>
              </w:rPr>
            </w:pPr>
            <w:r w:rsidRPr="00F06F75">
              <w:rPr>
                <w:b/>
                <w:bCs/>
                <w:sz w:val="16"/>
                <w:szCs w:val="16"/>
                <w:lang w:val="en-CA" w:eastAsia="en-CA"/>
              </w:rPr>
              <w:t>2019*</w:t>
            </w:r>
          </w:p>
        </w:tc>
      </w:tr>
      <w:tr w:rsidR="00F06F75" w:rsidRPr="00F06F75" w:rsidTr="007903E7">
        <w:trPr>
          <w:trHeight w:val="264"/>
        </w:trPr>
        <w:tc>
          <w:tcPr>
            <w:tcW w:w="1647" w:type="dxa"/>
            <w:shd w:val="clear" w:color="auto" w:fill="auto"/>
            <w:vAlign w:val="center"/>
            <w:hideMark/>
          </w:tcPr>
          <w:p w:rsidR="00FE13C4" w:rsidRPr="00F06F75" w:rsidRDefault="00FE13C4" w:rsidP="00F06F75">
            <w:pPr>
              <w:jc w:val="left"/>
              <w:rPr>
                <w:sz w:val="16"/>
                <w:szCs w:val="16"/>
                <w:lang w:val="en-CA" w:eastAsia="en-CA"/>
              </w:rPr>
            </w:pPr>
            <w:r w:rsidRPr="00F06F75">
              <w:rPr>
                <w:sz w:val="16"/>
                <w:szCs w:val="16"/>
                <w:lang w:val="en-CA" w:eastAsia="en-CA"/>
              </w:rPr>
              <w:t>Net agency support costs plus core unit costs</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3,044,531</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1,409,962</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5,039,703</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2,137,373</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4,142,704</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2,976,002</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5,850,980</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2,568,459</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1,958,548</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3,295,636</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4,086,661</w:t>
            </w:r>
          </w:p>
        </w:tc>
      </w:tr>
      <w:tr w:rsidR="00F06F75" w:rsidRPr="00F06F75" w:rsidTr="007903E7">
        <w:trPr>
          <w:trHeight w:val="264"/>
        </w:trPr>
        <w:tc>
          <w:tcPr>
            <w:tcW w:w="1647" w:type="dxa"/>
            <w:shd w:val="clear" w:color="auto" w:fill="auto"/>
            <w:vAlign w:val="center"/>
            <w:hideMark/>
          </w:tcPr>
          <w:p w:rsidR="00FE13C4" w:rsidRPr="00F06F75" w:rsidRDefault="00FE13C4" w:rsidP="00F06F75">
            <w:pPr>
              <w:jc w:val="left"/>
              <w:rPr>
                <w:sz w:val="16"/>
                <w:szCs w:val="16"/>
                <w:lang w:val="en-CA" w:eastAsia="en-CA"/>
              </w:rPr>
            </w:pPr>
            <w:r w:rsidRPr="00F06F75">
              <w:rPr>
                <w:sz w:val="16"/>
                <w:szCs w:val="16"/>
                <w:lang w:val="en-CA" w:eastAsia="en-CA"/>
              </w:rPr>
              <w:t>Total administrative cost</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3,689,780</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3,782,549</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2,817,935</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3,667,839</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2,518,129</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2,339,197</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2,112,851</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2,911,885</w:t>
            </w:r>
          </w:p>
        </w:tc>
        <w:tc>
          <w:tcPr>
            <w:tcW w:w="856" w:type="dxa"/>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3,156,744</w:t>
            </w:r>
          </w:p>
        </w:tc>
        <w:tc>
          <w:tcPr>
            <w:tcW w:w="856" w:type="dxa"/>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3,842,489</w:t>
            </w:r>
          </w:p>
        </w:tc>
        <w:tc>
          <w:tcPr>
            <w:tcW w:w="856" w:type="dxa"/>
            <w:shd w:val="clear" w:color="auto" w:fill="auto"/>
            <w:noWrap/>
            <w:hideMark/>
          </w:tcPr>
          <w:p w:rsidR="00FE13C4" w:rsidRPr="00F06F75" w:rsidRDefault="00FE13C4" w:rsidP="00F06F75">
            <w:pPr>
              <w:jc w:val="right"/>
              <w:rPr>
                <w:sz w:val="16"/>
                <w:szCs w:val="16"/>
                <w:lang w:val="en-CA" w:eastAsia="en-CA"/>
              </w:rPr>
            </w:pPr>
            <w:r w:rsidRPr="00F06F75">
              <w:rPr>
                <w:sz w:val="16"/>
                <w:szCs w:val="16"/>
                <w:lang w:val="en-CA" w:eastAsia="en-CA"/>
              </w:rPr>
              <w:t>3,669,436</w:t>
            </w:r>
          </w:p>
        </w:tc>
      </w:tr>
      <w:tr w:rsidR="00F06F75" w:rsidRPr="00F06F75" w:rsidTr="007903E7">
        <w:trPr>
          <w:trHeight w:val="119"/>
        </w:trPr>
        <w:tc>
          <w:tcPr>
            <w:tcW w:w="1647" w:type="dxa"/>
            <w:shd w:val="clear" w:color="auto" w:fill="auto"/>
            <w:vAlign w:val="center"/>
            <w:hideMark/>
          </w:tcPr>
          <w:p w:rsidR="00FE13C4" w:rsidRPr="00F06F75" w:rsidRDefault="00FE13C4" w:rsidP="00F06F75">
            <w:pPr>
              <w:jc w:val="left"/>
              <w:rPr>
                <w:sz w:val="16"/>
                <w:szCs w:val="16"/>
                <w:lang w:val="en-CA" w:eastAsia="en-CA"/>
              </w:rPr>
            </w:pPr>
            <w:r w:rsidRPr="00F06F75">
              <w:rPr>
                <w:sz w:val="16"/>
                <w:szCs w:val="16"/>
                <w:lang w:val="en-CA" w:eastAsia="en-CA"/>
              </w:rPr>
              <w:t>Balance per year**</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-645,249</w:t>
            </w:r>
          </w:p>
        </w:tc>
        <w:tc>
          <w:tcPr>
            <w:tcW w:w="856" w:type="dxa"/>
            <w:shd w:val="clear" w:color="auto" w:fill="auto"/>
            <w:hideMark/>
          </w:tcPr>
          <w:p w:rsidR="00FE13C4" w:rsidRPr="00F06F75" w:rsidRDefault="00FE13C4" w:rsidP="00F06F75">
            <w:pPr>
              <w:ind w:left="-65"/>
              <w:jc w:val="right"/>
              <w:rPr>
                <w:sz w:val="16"/>
                <w:szCs w:val="16"/>
                <w:lang w:val="en-CA" w:eastAsia="en-CA"/>
              </w:rPr>
            </w:pPr>
            <w:r w:rsidRPr="00F06F75">
              <w:rPr>
                <w:sz w:val="16"/>
                <w:szCs w:val="16"/>
                <w:lang w:val="en-CA" w:eastAsia="en-CA"/>
              </w:rPr>
              <w:t>-2,372,587</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2,221,768</w:t>
            </w:r>
          </w:p>
        </w:tc>
        <w:tc>
          <w:tcPr>
            <w:tcW w:w="856" w:type="dxa"/>
            <w:shd w:val="clear" w:color="auto" w:fill="auto"/>
            <w:hideMark/>
          </w:tcPr>
          <w:p w:rsidR="00FE13C4" w:rsidRPr="00F06F75" w:rsidRDefault="00FE13C4" w:rsidP="00F06F75">
            <w:pPr>
              <w:ind w:left="-68"/>
              <w:jc w:val="right"/>
              <w:rPr>
                <w:sz w:val="16"/>
                <w:szCs w:val="16"/>
                <w:lang w:val="en-CA" w:eastAsia="en-CA"/>
              </w:rPr>
            </w:pPr>
            <w:r w:rsidRPr="00F06F75">
              <w:rPr>
                <w:sz w:val="16"/>
                <w:szCs w:val="16"/>
                <w:lang w:val="en-CA" w:eastAsia="en-CA"/>
              </w:rPr>
              <w:t>-1,530,466</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1,624,575</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636,805</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3,738,129</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-343,426</w:t>
            </w:r>
          </w:p>
        </w:tc>
        <w:tc>
          <w:tcPr>
            <w:tcW w:w="856" w:type="dxa"/>
            <w:shd w:val="clear" w:color="auto" w:fill="auto"/>
            <w:hideMark/>
          </w:tcPr>
          <w:p w:rsidR="00FE13C4" w:rsidRPr="00F06F75" w:rsidRDefault="00FE13C4" w:rsidP="00F06F75">
            <w:pPr>
              <w:ind w:left="-99"/>
              <w:jc w:val="right"/>
              <w:rPr>
                <w:sz w:val="16"/>
                <w:szCs w:val="16"/>
                <w:lang w:val="en-CA" w:eastAsia="en-CA"/>
              </w:rPr>
            </w:pPr>
            <w:r w:rsidRPr="00F06F75">
              <w:rPr>
                <w:sz w:val="16"/>
                <w:szCs w:val="16"/>
                <w:lang w:val="en-CA" w:eastAsia="en-CA"/>
              </w:rPr>
              <w:t>-1,198,196</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-546,853</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417,225</w:t>
            </w:r>
          </w:p>
        </w:tc>
      </w:tr>
      <w:tr w:rsidR="00F06F75" w:rsidRPr="00F06F75" w:rsidTr="007903E7">
        <w:trPr>
          <w:trHeight w:val="78"/>
        </w:trPr>
        <w:tc>
          <w:tcPr>
            <w:tcW w:w="1647" w:type="dxa"/>
            <w:shd w:val="clear" w:color="auto" w:fill="auto"/>
            <w:vAlign w:val="center"/>
            <w:hideMark/>
          </w:tcPr>
          <w:p w:rsidR="00FE13C4" w:rsidRPr="00F06F75" w:rsidRDefault="00FE13C4" w:rsidP="00F06F75">
            <w:pPr>
              <w:jc w:val="left"/>
              <w:rPr>
                <w:sz w:val="16"/>
                <w:szCs w:val="16"/>
                <w:lang w:val="en-CA" w:eastAsia="en-CA"/>
              </w:rPr>
            </w:pPr>
            <w:r w:rsidRPr="00F06F75">
              <w:rPr>
                <w:sz w:val="16"/>
                <w:szCs w:val="16"/>
                <w:lang w:val="en-CA" w:eastAsia="en-CA"/>
              </w:rPr>
              <w:t>Running balance</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1,675,150</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-697,437</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1,524,331</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-6,135</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1,618,440</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2,255,245</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5,993,374</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5,649,948</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4,451,752</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3,904,899</w:t>
            </w:r>
          </w:p>
        </w:tc>
        <w:tc>
          <w:tcPr>
            <w:tcW w:w="856" w:type="dxa"/>
            <w:shd w:val="clear" w:color="auto" w:fill="auto"/>
            <w:hideMark/>
          </w:tcPr>
          <w:p w:rsidR="00FE13C4" w:rsidRPr="00F06F75" w:rsidRDefault="00FE13C4" w:rsidP="00F06F75">
            <w:pPr>
              <w:jc w:val="right"/>
              <w:rPr>
                <w:sz w:val="16"/>
                <w:szCs w:val="16"/>
                <w:lang w:val="en-CA" w:eastAsia="en-CA"/>
              </w:rPr>
            </w:pPr>
            <w:r w:rsidRPr="00F06F75">
              <w:rPr>
                <w:sz w:val="16"/>
                <w:szCs w:val="16"/>
                <w:lang w:val="en-CA" w:eastAsia="en-CA"/>
              </w:rPr>
              <w:t>4,322,124</w:t>
            </w:r>
          </w:p>
        </w:tc>
      </w:tr>
    </w:tbl>
    <w:p w:rsidR="00FE13C4" w:rsidRPr="00F06F75" w:rsidRDefault="00FE13C4" w:rsidP="00F06F75">
      <w:pPr>
        <w:rPr>
          <w:caps/>
          <w:sz w:val="16"/>
          <w:szCs w:val="16"/>
          <w:lang w:val="en-CA"/>
        </w:rPr>
      </w:pPr>
      <w:r w:rsidRPr="00F06F75">
        <w:rPr>
          <w:sz w:val="16"/>
          <w:szCs w:val="16"/>
          <w:lang w:val="en-CA"/>
        </w:rPr>
        <w:t>* Including agency support costs approved at the 83</w:t>
      </w:r>
      <w:r w:rsidRPr="00F06F75">
        <w:rPr>
          <w:sz w:val="16"/>
          <w:szCs w:val="16"/>
          <w:vertAlign w:val="superscript"/>
          <w:lang w:val="en-CA"/>
        </w:rPr>
        <w:t>rd</w:t>
      </w:r>
      <w:r w:rsidRPr="00F06F75">
        <w:rPr>
          <w:sz w:val="16"/>
          <w:szCs w:val="16"/>
          <w:lang w:val="en-CA"/>
        </w:rPr>
        <w:t xml:space="preserve"> meeting, and the value of agency fees and core unit costs from submissions to the 84</w:t>
      </w:r>
      <w:r w:rsidRPr="00F06F75">
        <w:rPr>
          <w:sz w:val="16"/>
          <w:szCs w:val="16"/>
          <w:vertAlign w:val="superscript"/>
          <w:lang w:val="en-CA"/>
        </w:rPr>
        <w:t>th</w:t>
      </w:r>
      <w:r w:rsidR="00534B02" w:rsidRPr="00F06F75">
        <w:rPr>
          <w:sz w:val="16"/>
          <w:szCs w:val="16"/>
          <w:lang w:val="en-CA"/>
        </w:rPr>
        <w:t> </w:t>
      </w:r>
      <w:r w:rsidRPr="00F06F75">
        <w:rPr>
          <w:sz w:val="16"/>
          <w:szCs w:val="16"/>
          <w:lang w:val="en-CA"/>
        </w:rPr>
        <w:t>meeting.</w:t>
      </w:r>
    </w:p>
    <w:p w:rsidR="00FE13C4" w:rsidRPr="00F06F75" w:rsidRDefault="00FE13C4" w:rsidP="00F06F75">
      <w:pPr>
        <w:rPr>
          <w:sz w:val="16"/>
          <w:szCs w:val="16"/>
          <w:lang w:val="en-CA"/>
        </w:rPr>
      </w:pPr>
      <w:r w:rsidRPr="00F06F75">
        <w:rPr>
          <w:sz w:val="16"/>
          <w:szCs w:val="16"/>
          <w:lang w:val="en-CA"/>
        </w:rPr>
        <w:t>** Excludes any balance from years prior to 2002.</w:t>
      </w:r>
    </w:p>
    <w:p w:rsidR="00FE13C4" w:rsidRPr="00F06F75" w:rsidRDefault="00FE13C4" w:rsidP="00F06F75">
      <w:pPr>
        <w:spacing w:after="240"/>
        <w:jc w:val="left"/>
        <w:rPr>
          <w:b/>
          <w:caps/>
          <w:sz w:val="16"/>
          <w:szCs w:val="16"/>
          <w:lang w:val="en-CA"/>
        </w:rPr>
      </w:pPr>
    </w:p>
    <w:p w:rsidR="00FE13C4" w:rsidRPr="00F06F75" w:rsidRDefault="00FE13C4" w:rsidP="00F06F75">
      <w:pPr>
        <w:pStyle w:val="Heading1"/>
        <w:rPr>
          <w:b/>
          <w:lang w:val="en-CA"/>
        </w:rPr>
      </w:pPr>
      <w:r w:rsidRPr="00F06F75">
        <w:rPr>
          <w:lang w:val="en-CA"/>
        </w:rPr>
        <w:lastRenderedPageBreak/>
        <w:t>Table 6 shows that the World Bank could accumulate a balance of US $4,322,124 based on approvals at the 83</w:t>
      </w:r>
      <w:r w:rsidRPr="00F06F75">
        <w:rPr>
          <w:vertAlign w:val="superscript"/>
          <w:lang w:val="en-CA"/>
        </w:rPr>
        <w:t>rd</w:t>
      </w:r>
      <w:r w:rsidRPr="00F06F75">
        <w:rPr>
          <w:lang w:val="en-CA"/>
        </w:rPr>
        <w:t xml:space="preserve"> meeting and submissions to the 84</w:t>
      </w:r>
      <w:r w:rsidRPr="00F06F75">
        <w:rPr>
          <w:vertAlign w:val="superscript"/>
          <w:lang w:val="en-CA"/>
        </w:rPr>
        <w:t>th</w:t>
      </w:r>
      <w:r w:rsidRPr="00F06F75">
        <w:rPr>
          <w:lang w:val="en-CA"/>
        </w:rPr>
        <w:t xml:space="preserve"> meeting. This balance would cover expected administrative costs for 2020 of US $3,735,000.</w:t>
      </w:r>
    </w:p>
    <w:p w:rsidR="00A57BA3" w:rsidRPr="00F06F75" w:rsidRDefault="00A57BA3" w:rsidP="00F06F75">
      <w:pPr>
        <w:pStyle w:val="Heading1"/>
        <w:numPr>
          <w:ilvl w:val="0"/>
          <w:numId w:val="0"/>
        </w:numPr>
        <w:rPr>
          <w:b/>
        </w:rPr>
      </w:pPr>
      <w:r w:rsidRPr="00F06F75">
        <w:rPr>
          <w:b/>
        </w:rPr>
        <w:t>Core unit costs for UNDP, UNIDO and the World Bank, and administrative cost regime for the 2021</w:t>
      </w:r>
      <w:r w:rsidR="007D4E00" w:rsidRPr="00F06F75">
        <w:rPr>
          <w:b/>
        </w:rPr>
        <w:noBreakHyphen/>
      </w:r>
      <w:r w:rsidRPr="00F06F75">
        <w:rPr>
          <w:b/>
        </w:rPr>
        <w:t>2023 triennium</w:t>
      </w:r>
    </w:p>
    <w:p w:rsidR="00A57BA3" w:rsidRPr="00F06F75" w:rsidRDefault="00212222" w:rsidP="00F06F75">
      <w:pPr>
        <w:pStyle w:val="Heading1"/>
        <w:rPr>
          <w:caps/>
        </w:rPr>
      </w:pPr>
      <w:r w:rsidRPr="00F06F75">
        <w:t xml:space="preserve">At </w:t>
      </w:r>
      <w:r w:rsidR="008E30AA" w:rsidRPr="00F06F75">
        <w:t>its</w:t>
      </w:r>
      <w:r w:rsidR="00A57BA3" w:rsidRPr="00F06F75">
        <w:t xml:space="preserve"> 79</w:t>
      </w:r>
      <w:r w:rsidR="00A57BA3" w:rsidRPr="00F06F75">
        <w:rPr>
          <w:vertAlign w:val="superscript"/>
        </w:rPr>
        <w:t>th</w:t>
      </w:r>
      <w:r w:rsidR="00A57BA3" w:rsidRPr="00F06F75">
        <w:t xml:space="preserve"> meeting, the Executive Committee reviewed the </w:t>
      </w:r>
      <w:r w:rsidR="00970C7C" w:rsidRPr="00F06F75">
        <w:t xml:space="preserve">administrative cost </w:t>
      </w:r>
      <w:r w:rsidR="00A57BA3" w:rsidRPr="00F06F75">
        <w:t>regime and the core unit funding budget</w:t>
      </w:r>
      <w:r w:rsidR="00601DED" w:rsidRPr="00F06F75">
        <w:t>,</w:t>
      </w:r>
      <w:r w:rsidR="00EB2785" w:rsidRPr="00F06F75">
        <w:t xml:space="preserve"> based on a comprehensive document prepared by the Secretariat,</w:t>
      </w:r>
      <w:r w:rsidR="00EB2785" w:rsidRPr="00F06F75">
        <w:rPr>
          <w:rStyle w:val="FootnoteReference"/>
        </w:rPr>
        <w:footnoteReference w:id="5"/>
      </w:r>
      <w:r w:rsidR="00A57BA3" w:rsidRPr="00F06F75">
        <w:t xml:space="preserve"> and decided to maintain the current regime for the</w:t>
      </w:r>
      <w:r w:rsidR="00A57BA3" w:rsidRPr="00F06F75">
        <w:rPr>
          <w:caps/>
        </w:rPr>
        <w:t xml:space="preserve"> </w:t>
      </w:r>
      <w:r w:rsidR="00A57BA3" w:rsidRPr="00F06F75">
        <w:t>2018−2020 triennium</w:t>
      </w:r>
      <w:r w:rsidR="00970C7C" w:rsidRPr="00F06F75">
        <w:t xml:space="preserve">. The Committee also </w:t>
      </w:r>
      <w:r w:rsidR="00A57BA3" w:rsidRPr="00F06F75">
        <w:t>request</w:t>
      </w:r>
      <w:r w:rsidR="00970C7C" w:rsidRPr="00F06F75">
        <w:t>ed</w:t>
      </w:r>
      <w:r w:rsidR="00A57BA3" w:rsidRPr="00F06F75">
        <w:t xml:space="preserve"> the Secretariat to continue monitoring use of the administrative cost regime</w:t>
      </w:r>
      <w:r w:rsidR="00A57BA3" w:rsidRPr="00F06F75">
        <w:rPr>
          <w:caps/>
        </w:rPr>
        <w:t xml:space="preserve"> </w:t>
      </w:r>
      <w:r w:rsidR="00A57BA3" w:rsidRPr="00F06F75">
        <w:t>and to report back to the Committee, as relevant</w:t>
      </w:r>
      <w:r w:rsidR="00A57BA3" w:rsidRPr="00F06F75">
        <w:rPr>
          <w:caps/>
        </w:rPr>
        <w:t xml:space="preserve"> (</w:t>
      </w:r>
      <w:r w:rsidRPr="00F06F75">
        <w:t>decision </w:t>
      </w:r>
      <w:r w:rsidR="00A57BA3" w:rsidRPr="00F06F75">
        <w:t xml:space="preserve">79/41 (c) and (d)).   </w:t>
      </w:r>
    </w:p>
    <w:p w:rsidR="00A1082F" w:rsidRPr="00F06F75" w:rsidRDefault="00D664F0" w:rsidP="00F06F75">
      <w:pPr>
        <w:pStyle w:val="Heading1"/>
      </w:pPr>
      <w:r w:rsidRPr="00F06F75">
        <w:t>During the</w:t>
      </w:r>
      <w:r w:rsidR="00DB362F" w:rsidRPr="00F06F75">
        <w:t xml:space="preserve"> 2021</w:t>
      </w:r>
      <w:r w:rsidR="0050633A" w:rsidRPr="00F06F75">
        <w:t>−</w:t>
      </w:r>
      <w:r w:rsidR="00DB362F" w:rsidRPr="00F06F75">
        <w:t>2023 triennium</w:t>
      </w:r>
      <w:r w:rsidR="00601DED" w:rsidRPr="00F06F75">
        <w:t>,</w:t>
      </w:r>
      <w:r w:rsidR="00DB362F" w:rsidRPr="00F06F75">
        <w:t xml:space="preserve"> </w:t>
      </w:r>
      <w:r w:rsidR="0028503C" w:rsidRPr="00F06F75">
        <w:t>funding tranches of</w:t>
      </w:r>
      <w:r w:rsidR="00B30257" w:rsidRPr="00F06F75">
        <w:t xml:space="preserve"> </w:t>
      </w:r>
      <w:r w:rsidR="00DB362F" w:rsidRPr="00F06F75">
        <w:t>HPMP</w:t>
      </w:r>
      <w:r w:rsidR="003A7B37" w:rsidRPr="00F06F75">
        <w:t>s</w:t>
      </w:r>
      <w:r w:rsidR="00DB362F" w:rsidRPr="00F06F75">
        <w:t xml:space="preserve"> </w:t>
      </w:r>
      <w:r w:rsidR="00EA2B39" w:rsidRPr="00F06F75">
        <w:t>approved in principle</w:t>
      </w:r>
      <w:r w:rsidR="0028503C" w:rsidRPr="00F06F75">
        <w:t xml:space="preserve"> will be submitted</w:t>
      </w:r>
      <w:r w:rsidR="00EA2B39" w:rsidRPr="00F06F75">
        <w:t>,</w:t>
      </w:r>
      <w:r w:rsidR="00DB362F" w:rsidRPr="00F06F75">
        <w:t xml:space="preserve"> HFC</w:t>
      </w:r>
      <w:r w:rsidR="00347DE6" w:rsidRPr="00F06F75">
        <w:t xml:space="preserve">-related </w:t>
      </w:r>
      <w:r w:rsidR="00DB362F" w:rsidRPr="00F06F75">
        <w:t>projects may be approved</w:t>
      </w:r>
      <w:r w:rsidR="00593019" w:rsidRPr="00F06F75">
        <w:t>,</w:t>
      </w:r>
      <w:r w:rsidR="00DB362F" w:rsidRPr="00F06F75">
        <w:t xml:space="preserve"> </w:t>
      </w:r>
      <w:r w:rsidR="00A356E2" w:rsidRPr="00F06F75">
        <w:t>and</w:t>
      </w:r>
      <w:r w:rsidR="00DB362F" w:rsidRPr="00F06F75">
        <w:t xml:space="preserve"> standard </w:t>
      </w:r>
      <w:r w:rsidR="00A356E2" w:rsidRPr="00F06F75">
        <w:t xml:space="preserve">recurrent </w:t>
      </w:r>
      <w:r w:rsidR="00DB362F" w:rsidRPr="00F06F75">
        <w:t>costs</w:t>
      </w:r>
      <w:r w:rsidR="0028503C" w:rsidRPr="00F06F75">
        <w:t xml:space="preserve"> will be approved</w:t>
      </w:r>
      <w:r w:rsidR="004A6650" w:rsidRPr="00F06F75">
        <w:t>. In addition, the Committee may take decisions on</w:t>
      </w:r>
      <w:r w:rsidR="00DB362F" w:rsidRPr="00F06F75">
        <w:t xml:space="preserve"> </w:t>
      </w:r>
      <w:r w:rsidR="009E2219" w:rsidRPr="00F06F75">
        <w:t xml:space="preserve">the </w:t>
      </w:r>
      <w:r w:rsidR="00DB362F" w:rsidRPr="00F06F75">
        <w:t>cost guidelines for the HFC projects</w:t>
      </w:r>
      <w:r w:rsidR="00B30257" w:rsidRPr="00F06F75">
        <w:t>,</w:t>
      </w:r>
      <w:r w:rsidR="001C46F9" w:rsidRPr="00F06F75">
        <w:t xml:space="preserve"> on</w:t>
      </w:r>
      <w:r w:rsidR="00B30257" w:rsidRPr="00F06F75">
        <w:t xml:space="preserve"> implications of parallel or integrated implementation of HCFC phase-out and HFC phase-down activities</w:t>
      </w:r>
      <w:r w:rsidR="001C46F9" w:rsidRPr="00F06F75">
        <w:t>,</w:t>
      </w:r>
      <w:r w:rsidR="00B30257" w:rsidRPr="00F06F75">
        <w:t xml:space="preserve"> </w:t>
      </w:r>
      <w:r w:rsidR="005956EB" w:rsidRPr="00F06F75">
        <w:t xml:space="preserve">on renewal of institutional strengthening projects, </w:t>
      </w:r>
      <w:r w:rsidR="00DB362F" w:rsidRPr="00F06F75">
        <w:t xml:space="preserve">as well as other </w:t>
      </w:r>
      <w:r w:rsidR="00B30257" w:rsidRPr="00F06F75">
        <w:t xml:space="preserve">decisions </w:t>
      </w:r>
      <w:r w:rsidR="0034637D" w:rsidRPr="00F06F75">
        <w:t>that would influence project implementation support</w:t>
      </w:r>
      <w:r w:rsidR="00DB362F" w:rsidRPr="00F06F75">
        <w:t xml:space="preserve">. </w:t>
      </w:r>
      <w:r w:rsidR="0034637D" w:rsidRPr="00F06F75">
        <w:t>The outcome of these discussions would help the Secretariat</w:t>
      </w:r>
      <w:r w:rsidR="005956EB" w:rsidRPr="00F06F75">
        <w:t xml:space="preserve"> to</w:t>
      </w:r>
      <w:r w:rsidR="0034637D" w:rsidRPr="00F06F75">
        <w:t xml:space="preserve"> undertake a</w:t>
      </w:r>
      <w:r w:rsidR="005956EB" w:rsidRPr="00F06F75">
        <w:t>n</w:t>
      </w:r>
      <w:r w:rsidR="0034637D" w:rsidRPr="00F06F75">
        <w:t xml:space="preserve"> analysis of the administrative cost regime for the </w:t>
      </w:r>
      <w:r w:rsidR="008A3F2B" w:rsidRPr="00F06F75">
        <w:t>2021–2023 triennium and present it to the 86</w:t>
      </w:r>
      <w:r w:rsidR="008A3F2B" w:rsidRPr="00F06F75">
        <w:rPr>
          <w:vertAlign w:val="superscript"/>
        </w:rPr>
        <w:t>th</w:t>
      </w:r>
      <w:r w:rsidR="008A3F2B" w:rsidRPr="00F06F75">
        <w:t> meeting</w:t>
      </w:r>
      <w:r w:rsidR="0034637D" w:rsidRPr="00F06F75">
        <w:t xml:space="preserve">. </w:t>
      </w:r>
    </w:p>
    <w:p w:rsidR="00FE13C4" w:rsidRPr="00F06F75" w:rsidRDefault="00FE13C4" w:rsidP="00F06F75">
      <w:pPr>
        <w:keepNext/>
        <w:spacing w:after="240"/>
        <w:rPr>
          <w:b/>
          <w:lang w:val="en-CA"/>
        </w:rPr>
      </w:pPr>
      <w:r w:rsidRPr="00F06F75">
        <w:rPr>
          <w:b/>
          <w:lang w:val="en-CA"/>
        </w:rPr>
        <w:t>RECOMMENDATION</w:t>
      </w:r>
    </w:p>
    <w:p w:rsidR="00FE13C4" w:rsidRPr="00F06F75" w:rsidRDefault="00FE13C4" w:rsidP="00F06F75">
      <w:pPr>
        <w:pStyle w:val="Heading1"/>
        <w:rPr>
          <w:lang w:val="en-CA"/>
        </w:rPr>
      </w:pPr>
      <w:r w:rsidRPr="00F06F75">
        <w:rPr>
          <w:lang w:val="en-CA"/>
        </w:rPr>
        <w:t>The Executive Committee may wish:</w:t>
      </w:r>
    </w:p>
    <w:p w:rsidR="00FE13C4" w:rsidRPr="00F06F75" w:rsidRDefault="00FE13C4" w:rsidP="00F06F75">
      <w:pPr>
        <w:pStyle w:val="Heading2"/>
        <w:rPr>
          <w:lang w:val="en-CA"/>
        </w:rPr>
      </w:pPr>
      <w:r w:rsidRPr="00F06F75">
        <w:rPr>
          <w:lang w:val="en-CA"/>
        </w:rPr>
        <w:t>To note:</w:t>
      </w:r>
    </w:p>
    <w:p w:rsidR="00FE13C4" w:rsidRPr="00F06F75" w:rsidRDefault="00FE13C4" w:rsidP="00F06F75">
      <w:pPr>
        <w:pStyle w:val="Heading3"/>
        <w:rPr>
          <w:lang w:val="en-CA"/>
        </w:rPr>
      </w:pPr>
      <w:r w:rsidRPr="00F06F75">
        <w:rPr>
          <w:lang w:val="en-CA"/>
        </w:rPr>
        <w:t>The report on the 20</w:t>
      </w:r>
      <w:r w:rsidR="00D00B1C" w:rsidRPr="00F06F75">
        <w:rPr>
          <w:lang w:val="en-CA"/>
        </w:rPr>
        <w:t>20</w:t>
      </w:r>
      <w:r w:rsidRPr="00F06F75">
        <w:rPr>
          <w:lang w:val="en-CA"/>
        </w:rPr>
        <w:t xml:space="preserve"> core unit costs for UNDP, UNIDO and the World Bank as </w:t>
      </w:r>
      <w:r w:rsidR="00435B55" w:rsidRPr="00F06F75">
        <w:rPr>
          <w:lang w:val="en-CA"/>
        </w:rPr>
        <w:t>contained</w:t>
      </w:r>
      <w:r w:rsidRPr="00F06F75">
        <w:rPr>
          <w:lang w:val="en-CA"/>
        </w:rPr>
        <w:t xml:space="preserve"> in document UNEP/</w:t>
      </w:r>
      <w:proofErr w:type="spellStart"/>
      <w:r w:rsidRPr="00F06F75">
        <w:rPr>
          <w:lang w:val="en-CA"/>
        </w:rPr>
        <w:t>OzL.Pro</w:t>
      </w:r>
      <w:proofErr w:type="spellEnd"/>
      <w:r w:rsidRPr="00F06F75">
        <w:rPr>
          <w:lang w:val="en-CA"/>
        </w:rPr>
        <w:t>/</w:t>
      </w:r>
      <w:proofErr w:type="spellStart"/>
      <w:r w:rsidRPr="00F06F75">
        <w:rPr>
          <w:lang w:val="en-CA"/>
        </w:rPr>
        <w:t>ExCom</w:t>
      </w:r>
      <w:proofErr w:type="spellEnd"/>
      <w:r w:rsidRPr="00F06F75">
        <w:rPr>
          <w:lang w:val="en-CA"/>
        </w:rPr>
        <w:t>/84/</w:t>
      </w:r>
      <w:r w:rsidR="007022B5" w:rsidRPr="00F06F75">
        <w:rPr>
          <w:lang w:val="en-CA"/>
        </w:rPr>
        <w:t>38</w:t>
      </w:r>
      <w:r w:rsidRPr="00F06F75">
        <w:rPr>
          <w:lang w:val="en-CA"/>
        </w:rPr>
        <w:t xml:space="preserve">; </w:t>
      </w:r>
    </w:p>
    <w:p w:rsidR="0034637D" w:rsidRPr="00F06F75" w:rsidRDefault="00FE13C4" w:rsidP="00F06F75">
      <w:pPr>
        <w:pStyle w:val="Heading3"/>
        <w:rPr>
          <w:lang w:val="en-CA"/>
        </w:rPr>
      </w:pPr>
      <w:r w:rsidRPr="00F06F75">
        <w:rPr>
          <w:lang w:val="en-CA"/>
        </w:rPr>
        <w:t xml:space="preserve">With appreciation, </w:t>
      </w:r>
      <w:r w:rsidR="00435B55" w:rsidRPr="00F06F75">
        <w:t>that the core unit operations of</w:t>
      </w:r>
      <w:r w:rsidR="00435B55" w:rsidRPr="00F06F75">
        <w:rPr>
          <w:lang w:val="en-CA"/>
        </w:rPr>
        <w:t xml:space="preserve"> </w:t>
      </w:r>
      <w:r w:rsidRPr="00F06F75">
        <w:rPr>
          <w:lang w:val="en-CA"/>
        </w:rPr>
        <w:t xml:space="preserve">UNIDO and the World Bank were below their budgeted level and that </w:t>
      </w:r>
      <w:r w:rsidR="00435B55" w:rsidRPr="00F06F75">
        <w:rPr>
          <w:lang w:val="en-CA"/>
        </w:rPr>
        <w:t>UNIDO and the Bank</w:t>
      </w:r>
      <w:r w:rsidRPr="00F06F75">
        <w:rPr>
          <w:lang w:val="en-CA"/>
        </w:rPr>
        <w:t xml:space="preserve"> would be </w:t>
      </w:r>
      <w:r w:rsidR="002B4299" w:rsidRPr="00F06F75">
        <w:rPr>
          <w:lang w:val="en-CA"/>
        </w:rPr>
        <w:t>returning unused balances of US </w:t>
      </w:r>
      <w:r w:rsidRPr="00F06F75">
        <w:rPr>
          <w:lang w:val="en-CA"/>
        </w:rPr>
        <w:t>$7,931 and US $6,940, respectively</w:t>
      </w:r>
      <w:r w:rsidR="002B4299" w:rsidRPr="00F06F75">
        <w:rPr>
          <w:lang w:val="en-CA"/>
        </w:rPr>
        <w:t>,</w:t>
      </w:r>
      <w:r w:rsidRPr="00F06F75">
        <w:rPr>
          <w:lang w:val="en-CA"/>
        </w:rPr>
        <w:t xml:space="preserve"> to the Multilateral Fund at the 84</w:t>
      </w:r>
      <w:r w:rsidRPr="00F06F75">
        <w:rPr>
          <w:vertAlign w:val="superscript"/>
          <w:lang w:val="en-CA"/>
        </w:rPr>
        <w:t>th</w:t>
      </w:r>
      <w:r w:rsidR="002B4299" w:rsidRPr="00F06F75">
        <w:rPr>
          <w:lang w:val="en-CA"/>
        </w:rPr>
        <w:t> </w:t>
      </w:r>
      <w:r w:rsidRPr="00F06F75">
        <w:rPr>
          <w:lang w:val="en-CA"/>
        </w:rPr>
        <w:t xml:space="preserve">meeting; </w:t>
      </w:r>
    </w:p>
    <w:p w:rsidR="0034637D" w:rsidRPr="00F06F75" w:rsidRDefault="0034637D" w:rsidP="00F06F75">
      <w:pPr>
        <w:pStyle w:val="Heading3"/>
        <w:rPr>
          <w:lang w:val="en-US"/>
        </w:rPr>
      </w:pPr>
      <w:r w:rsidRPr="00F06F75">
        <w:rPr>
          <w:lang w:val="en-CA"/>
        </w:rPr>
        <w:t xml:space="preserve">That </w:t>
      </w:r>
      <w:r w:rsidRPr="00F06F75">
        <w:rPr>
          <w:lang w:val="en-US"/>
        </w:rPr>
        <w:t>the Secretariat would present</w:t>
      </w:r>
      <w:r w:rsidR="00D16155" w:rsidRPr="00F06F75">
        <w:rPr>
          <w:lang w:val="en-US"/>
        </w:rPr>
        <w:t xml:space="preserve"> to the 86</w:t>
      </w:r>
      <w:r w:rsidR="00D16155" w:rsidRPr="00F06F75">
        <w:rPr>
          <w:vertAlign w:val="superscript"/>
          <w:lang w:val="en-US"/>
        </w:rPr>
        <w:t>th</w:t>
      </w:r>
      <w:r w:rsidR="00FA7E27" w:rsidRPr="00F06F75">
        <w:rPr>
          <w:lang w:val="en-US"/>
        </w:rPr>
        <w:t xml:space="preserve"> </w:t>
      </w:r>
      <w:r w:rsidR="00D16155" w:rsidRPr="00F06F75">
        <w:rPr>
          <w:lang w:val="en-US"/>
        </w:rPr>
        <w:t>meeting, the outcomes of the analysis on the administrative cost regime</w:t>
      </w:r>
      <w:r w:rsidR="00A70A94" w:rsidRPr="00F06F75">
        <w:t xml:space="preserve"> </w:t>
      </w:r>
      <w:r w:rsidR="00601DED" w:rsidRPr="00F06F75">
        <w:t>and core unit funding, taking into consideration relevant decisions by the Executive Committee, including those at its 84</w:t>
      </w:r>
      <w:r w:rsidR="00601DED" w:rsidRPr="00F06F75">
        <w:rPr>
          <w:vertAlign w:val="superscript"/>
        </w:rPr>
        <w:t>th</w:t>
      </w:r>
      <w:r w:rsidR="00601DED" w:rsidRPr="00F06F75">
        <w:t xml:space="preserve"> and 85</w:t>
      </w:r>
      <w:r w:rsidR="00601DED" w:rsidRPr="00F06F75">
        <w:rPr>
          <w:vertAlign w:val="superscript"/>
        </w:rPr>
        <w:t>th</w:t>
      </w:r>
      <w:r w:rsidR="00601DED" w:rsidRPr="00F06F75">
        <w:t xml:space="preserve"> meetings, based on which the Committee would decide </w:t>
      </w:r>
      <w:r w:rsidR="00A70A94" w:rsidRPr="00F06F75">
        <w:t>on whether the administrative cost regime of the Multilateral Fund for the 2018−2020 triennium could be maintained for the 2021−2023 triennium</w:t>
      </w:r>
      <w:r w:rsidR="00601DED" w:rsidRPr="00F06F75">
        <w:t>;</w:t>
      </w:r>
    </w:p>
    <w:p w:rsidR="00FE13C4" w:rsidRPr="00F06F75" w:rsidRDefault="00FE13C4" w:rsidP="00F06F75">
      <w:pPr>
        <w:pStyle w:val="Heading2"/>
        <w:rPr>
          <w:lang w:val="en-CA"/>
        </w:rPr>
      </w:pPr>
      <w:r w:rsidRPr="00F06F75">
        <w:rPr>
          <w:lang w:val="en-CA"/>
        </w:rPr>
        <w:t xml:space="preserve">To consider whether to approve the requested </w:t>
      </w:r>
      <w:r w:rsidR="00435B55" w:rsidRPr="00F06F75">
        <w:rPr>
          <w:lang w:val="en-CA"/>
        </w:rPr>
        <w:t xml:space="preserve">2020 </w:t>
      </w:r>
      <w:r w:rsidRPr="00F06F75">
        <w:rPr>
          <w:lang w:val="en-CA"/>
        </w:rPr>
        <w:t xml:space="preserve">core unit budgets for: </w:t>
      </w:r>
    </w:p>
    <w:p w:rsidR="00FE13C4" w:rsidRPr="00F06F75" w:rsidRDefault="00FE13C4" w:rsidP="00F06F75">
      <w:pPr>
        <w:pStyle w:val="Heading3"/>
        <w:rPr>
          <w:lang w:val="en-CA"/>
        </w:rPr>
      </w:pPr>
      <w:r w:rsidRPr="00F06F75">
        <w:rPr>
          <w:lang w:val="en-CA"/>
        </w:rPr>
        <w:t xml:space="preserve">UNDP in the amount of US $2,098,458; </w:t>
      </w:r>
    </w:p>
    <w:p w:rsidR="00FE13C4" w:rsidRPr="00F06F75" w:rsidRDefault="00FE13C4" w:rsidP="00F06F75">
      <w:pPr>
        <w:pStyle w:val="Heading3"/>
        <w:rPr>
          <w:lang w:val="en-CA"/>
        </w:rPr>
      </w:pPr>
      <w:r w:rsidRPr="00F06F75">
        <w:rPr>
          <w:lang w:val="en-CA"/>
        </w:rPr>
        <w:t xml:space="preserve">UNIDO in the amount of US $2,098,458; </w:t>
      </w:r>
      <w:r w:rsidR="0041676E" w:rsidRPr="00F06F75">
        <w:rPr>
          <w:lang w:val="en-CA"/>
        </w:rPr>
        <w:t>and</w:t>
      </w:r>
    </w:p>
    <w:p w:rsidR="00FE13C4" w:rsidRPr="00F06F75" w:rsidRDefault="00FE13C4" w:rsidP="00F06F75">
      <w:pPr>
        <w:pStyle w:val="Heading3"/>
        <w:rPr>
          <w:lang w:val="en-CA"/>
        </w:rPr>
      </w:pPr>
      <w:r w:rsidRPr="00F06F75">
        <w:rPr>
          <w:lang w:val="en-CA"/>
        </w:rPr>
        <w:t>The World Bank in the amount of US $1,735,000</w:t>
      </w:r>
      <w:r w:rsidR="0041676E">
        <w:rPr>
          <w:lang w:val="en-CA"/>
        </w:rPr>
        <w:t>.</w:t>
      </w:r>
      <w:r w:rsidR="00A57BA3" w:rsidRPr="00F06F75">
        <w:rPr>
          <w:lang w:val="en-C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9E799E" w:rsidRPr="00F06F75" w:rsidTr="00FE13C4">
        <w:tc>
          <w:tcPr>
            <w:tcW w:w="1871" w:type="dxa"/>
          </w:tcPr>
          <w:p w:rsidR="00052C5C" w:rsidRPr="00F06F75" w:rsidRDefault="00052C5C" w:rsidP="00F06F75">
            <w:pPr>
              <w:tabs>
                <w:tab w:val="left" w:pos="8280"/>
              </w:tabs>
            </w:pPr>
          </w:p>
        </w:tc>
        <w:tc>
          <w:tcPr>
            <w:tcW w:w="1872" w:type="dxa"/>
          </w:tcPr>
          <w:p w:rsidR="00052C5C" w:rsidRPr="00F06F75" w:rsidRDefault="00052C5C" w:rsidP="00F06F75">
            <w:pPr>
              <w:tabs>
                <w:tab w:val="left" w:pos="8280"/>
              </w:tabs>
            </w:pPr>
          </w:p>
        </w:tc>
        <w:tc>
          <w:tcPr>
            <w:tcW w:w="1872" w:type="dxa"/>
            <w:tcBorders>
              <w:bottom w:val="single" w:sz="4" w:space="0" w:color="auto"/>
            </w:tcBorders>
          </w:tcPr>
          <w:p w:rsidR="00052C5C" w:rsidRPr="00F06F75" w:rsidRDefault="00052C5C" w:rsidP="00F06F75">
            <w:pPr>
              <w:tabs>
                <w:tab w:val="left" w:pos="8280"/>
              </w:tabs>
            </w:pPr>
          </w:p>
        </w:tc>
        <w:tc>
          <w:tcPr>
            <w:tcW w:w="1872" w:type="dxa"/>
          </w:tcPr>
          <w:p w:rsidR="00052C5C" w:rsidRPr="00F06F75" w:rsidRDefault="00052C5C" w:rsidP="00F06F75">
            <w:pPr>
              <w:tabs>
                <w:tab w:val="left" w:pos="8280"/>
              </w:tabs>
            </w:pPr>
          </w:p>
        </w:tc>
        <w:tc>
          <w:tcPr>
            <w:tcW w:w="1873" w:type="dxa"/>
          </w:tcPr>
          <w:p w:rsidR="00052C5C" w:rsidRPr="00F06F75" w:rsidRDefault="00052C5C" w:rsidP="00F06F75">
            <w:pPr>
              <w:tabs>
                <w:tab w:val="left" w:pos="8280"/>
              </w:tabs>
            </w:pPr>
          </w:p>
        </w:tc>
      </w:tr>
    </w:tbl>
    <w:p w:rsidR="00052C5C" w:rsidRPr="00F06F75" w:rsidRDefault="00052C5C" w:rsidP="00F06F75">
      <w:pPr>
        <w:tabs>
          <w:tab w:val="left" w:pos="8280"/>
        </w:tabs>
      </w:pPr>
      <w:bookmarkStart w:id="0" w:name="_GoBack"/>
      <w:bookmarkEnd w:id="0"/>
    </w:p>
    <w:sectPr w:rsidR="00052C5C" w:rsidRPr="00F06F75" w:rsidSect="00896234">
      <w:headerReference w:type="even" r:id="rId9"/>
      <w:headerReference w:type="default" r:id="rId10"/>
      <w:footerReference w:type="even" r:id="rId11"/>
      <w:footerReference w:type="default" r:id="rId12"/>
      <w:footerReference w:type="first" r:id="rId13"/>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257" w:rsidRDefault="00B30257" w:rsidP="004A504B">
      <w:r>
        <w:separator/>
      </w:r>
    </w:p>
  </w:endnote>
  <w:endnote w:type="continuationSeparator" w:id="0">
    <w:p w:rsidR="00B30257" w:rsidRDefault="00B30257"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57" w:rsidRPr="0033525D" w:rsidRDefault="00B30257">
    <w:pPr>
      <w:jc w:val="center"/>
    </w:pPr>
    <w:r>
      <w:fldChar w:fldCharType="begin"/>
    </w:r>
    <w:r>
      <w:instrText xml:space="preserve"> PAGE </w:instrText>
    </w:r>
    <w:r>
      <w:fldChar w:fldCharType="separate"/>
    </w:r>
    <w:r w:rsidR="0041676E">
      <w:rPr>
        <w:noProof/>
      </w:rPr>
      <w:t>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57" w:rsidRPr="0033525D" w:rsidRDefault="00B30257">
    <w:pPr>
      <w:jc w:val="center"/>
    </w:pPr>
    <w:r>
      <w:fldChar w:fldCharType="begin"/>
    </w:r>
    <w:r>
      <w:instrText xml:space="preserve"> PAGE </w:instrText>
    </w:r>
    <w:r>
      <w:fldChar w:fldCharType="separate"/>
    </w:r>
    <w:r w:rsidR="0041676E">
      <w:rPr>
        <w:noProof/>
      </w:rPr>
      <w:t>9</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57" w:rsidRDefault="00B30257"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B30257" w:rsidRDefault="00B30257"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257" w:rsidRDefault="00B30257" w:rsidP="004A504B">
      <w:r>
        <w:separator/>
      </w:r>
    </w:p>
  </w:footnote>
  <w:footnote w:type="continuationSeparator" w:id="0">
    <w:p w:rsidR="00B30257" w:rsidRDefault="00B30257" w:rsidP="004A504B">
      <w:r>
        <w:continuationSeparator/>
      </w:r>
    </w:p>
  </w:footnote>
  <w:footnote w:id="1">
    <w:p w:rsidR="00B30257" w:rsidRPr="00F511B6" w:rsidRDefault="00B30257" w:rsidP="00FE13C4">
      <w:pPr>
        <w:pStyle w:val="Heading1"/>
        <w:numPr>
          <w:ilvl w:val="0"/>
          <w:numId w:val="0"/>
        </w:numPr>
        <w:rPr>
          <w:sz w:val="20"/>
          <w:szCs w:val="20"/>
        </w:rPr>
      </w:pPr>
      <w:r w:rsidRPr="00F511B6">
        <w:rPr>
          <w:rStyle w:val="FootnoteReference"/>
        </w:rPr>
        <w:footnoteRef/>
      </w:r>
      <w:r w:rsidRPr="00F511B6">
        <w:t xml:space="preserve"> </w:t>
      </w:r>
      <w:r w:rsidRPr="00F511B6">
        <w:rPr>
          <w:sz w:val="20"/>
          <w:szCs w:val="20"/>
        </w:rPr>
        <w:t>The allocation of administrative costs for UNDP, UNIDO, and the World Bank was changed in November 1998 (decision 26/41) from a flat rate of 13 per cent applied to all projects to a graduated scale. The costs were changed again in December 2002 to a lower scale that included a core unit grant of US $1.5 million per agency (decision 38/68). Annual increases have occurred for most agencies since the 46</w:t>
      </w:r>
      <w:r w:rsidRPr="00F511B6">
        <w:rPr>
          <w:sz w:val="20"/>
          <w:szCs w:val="20"/>
          <w:vertAlign w:val="superscript"/>
        </w:rPr>
        <w:t>th</w:t>
      </w:r>
      <w:r w:rsidRPr="00F511B6">
        <w:rPr>
          <w:sz w:val="20"/>
          <w:szCs w:val="20"/>
        </w:rPr>
        <w:t xml:space="preserve"> meeting. Decision 41/94(d) requested the Secretariat to conduct an annual review of the administrative costs regime. Decision 56/41 extended the operation of decision 38/68 and its administrative costs regime to apply to the 2009-2011 triennium. At the 67</w:t>
      </w:r>
      <w:r w:rsidRPr="00F511B6">
        <w:rPr>
          <w:sz w:val="20"/>
          <w:szCs w:val="20"/>
          <w:vertAlign w:val="superscript"/>
        </w:rPr>
        <w:t>th</w:t>
      </w:r>
      <w:r w:rsidRPr="00F511B6">
        <w:rPr>
          <w:sz w:val="20"/>
          <w:szCs w:val="20"/>
        </w:rPr>
        <w:t> meeting, the Committee decided to apply a new administrative cost regime for the 2012-2014 triennium to UNDP, UNIDO and the World Bank, consisting of annual core unit funding for which an annual increase of up to 0.7 per cent could be considered subject to annual review, and to apply the following agency fees on the basis of funding per agency: an agency fee of 7 per cent for projects with a project cost above US $250,000, as well as institutional strengthening projects and project preparation; an agency fee of 9 per cent for projects with a project cost at or below US $250,000; an agency fee no greater than 6.5 per cent, to be determined on a case-by-case basis for projects in the production sector (decision 67/15(b)). At the 73</w:t>
      </w:r>
      <w:r w:rsidRPr="00F511B6">
        <w:rPr>
          <w:sz w:val="20"/>
          <w:szCs w:val="20"/>
          <w:vertAlign w:val="superscript"/>
        </w:rPr>
        <w:t>rd</w:t>
      </w:r>
      <w:r w:rsidRPr="00F511B6">
        <w:rPr>
          <w:sz w:val="20"/>
          <w:szCs w:val="20"/>
        </w:rPr>
        <w:t xml:space="preserve"> meeting, the Committee decided to apply the existing administrative cost regime for the bilateral and implementing agencies during the 2015–2017 triennium; to review the administrative cost regime and its core unit funding budget at the first meeting of 2017 (decision 73/62(b) and (c)). At the 79</w:t>
      </w:r>
      <w:r w:rsidRPr="00F511B6">
        <w:rPr>
          <w:sz w:val="20"/>
          <w:szCs w:val="20"/>
          <w:vertAlign w:val="superscript"/>
        </w:rPr>
        <w:t>th</w:t>
      </w:r>
      <w:r w:rsidRPr="00F511B6">
        <w:rPr>
          <w:sz w:val="20"/>
          <w:szCs w:val="20"/>
        </w:rPr>
        <w:t xml:space="preserve"> meeting, the Committee decided to apply the existing administrative cost regime for the implementing agencies during the 2018</w:t>
      </w:r>
      <w:r w:rsidRPr="00F511B6">
        <w:rPr>
          <w:sz w:val="20"/>
          <w:szCs w:val="20"/>
        </w:rPr>
        <w:noBreakHyphen/>
        <w:t>2020 triennium; and to request UNDP, UNIDO and the World Bank to present their annual reports on core unit funding using the revised format for reporting (decision 79/41(c) and (e)).</w:t>
      </w:r>
    </w:p>
  </w:footnote>
  <w:footnote w:id="2">
    <w:p w:rsidR="00B30257" w:rsidRPr="00F511B6" w:rsidRDefault="00B30257" w:rsidP="00FE13C4">
      <w:pPr>
        <w:pStyle w:val="FootnoteText"/>
      </w:pPr>
      <w:r w:rsidRPr="00F511B6">
        <w:rPr>
          <w:rStyle w:val="FootnoteReference"/>
        </w:rPr>
        <w:footnoteRef/>
      </w:r>
      <w:r w:rsidRPr="00F511B6">
        <w:t xml:space="preserve"> Annex XVIII to do</w:t>
      </w:r>
      <w:r w:rsidR="00CC4F6F">
        <w:t>cument UNEP/</w:t>
      </w:r>
      <w:proofErr w:type="spellStart"/>
      <w:r w:rsidR="00CC4F6F">
        <w:t>OzL.Pro</w:t>
      </w:r>
      <w:proofErr w:type="spellEnd"/>
      <w:r w:rsidR="00CC4F6F">
        <w:t>/</w:t>
      </w:r>
      <w:proofErr w:type="spellStart"/>
      <w:r w:rsidR="00CC4F6F">
        <w:t>ExCom</w:t>
      </w:r>
      <w:proofErr w:type="spellEnd"/>
      <w:r w:rsidR="00CC4F6F">
        <w:t>/79/51</w:t>
      </w:r>
    </w:p>
  </w:footnote>
  <w:footnote w:id="3">
    <w:p w:rsidR="00B30257" w:rsidRPr="00F511B6" w:rsidRDefault="00B30257" w:rsidP="00FE13C4">
      <w:pPr>
        <w:pStyle w:val="FootnoteText"/>
        <w:rPr>
          <w:lang w:val="en-US"/>
        </w:rPr>
      </w:pPr>
      <w:r w:rsidRPr="00F511B6">
        <w:rPr>
          <w:rStyle w:val="FootnoteReference"/>
        </w:rPr>
        <w:footnoteRef/>
      </w:r>
      <w:r w:rsidRPr="00F511B6">
        <w:t xml:space="preserve"> UNIDO was requested to provide the assumption for its administrative costs model, and in future requests for core unit funding to furnish administrative cost information distinguishing project-related activities from administrative costs. Subsequently, through decision 59/28(c), the Executive Committee took note of the methodology for identifying project-related costs in UNIDO’s annual report on administrative costs (UNEP/</w:t>
      </w:r>
      <w:proofErr w:type="spellStart"/>
      <w:r w:rsidRPr="00F511B6">
        <w:t>OzL.Pro</w:t>
      </w:r>
      <w:proofErr w:type="spellEnd"/>
      <w:r w:rsidRPr="00F511B6">
        <w:t>/</w:t>
      </w:r>
      <w:proofErr w:type="spellStart"/>
      <w:r w:rsidRPr="00F511B6">
        <w:t>ExCom</w:t>
      </w:r>
      <w:proofErr w:type="spellEnd"/>
      <w:r w:rsidRPr="00F511B6">
        <w:t xml:space="preserve">/60/51). </w:t>
      </w:r>
    </w:p>
  </w:footnote>
  <w:footnote w:id="4">
    <w:p w:rsidR="00B30257" w:rsidRPr="00C75036" w:rsidRDefault="00B30257" w:rsidP="00FE13C4">
      <w:pPr>
        <w:pStyle w:val="FootnoteText"/>
        <w:rPr>
          <w:lang w:val="en-CA"/>
        </w:rPr>
      </w:pPr>
      <w:r w:rsidRPr="00F511B6">
        <w:rPr>
          <w:rStyle w:val="FootnoteReference"/>
        </w:rPr>
        <w:footnoteRef/>
      </w:r>
      <w:r w:rsidRPr="00F511B6">
        <w:t xml:space="preserve"> </w:t>
      </w:r>
      <w:r w:rsidRPr="00F511B6">
        <w:rPr>
          <w:lang w:val="en-CA"/>
        </w:rPr>
        <w:t>For the World Bank, this budget item means the project fees received on approved projects are channelled to the project teams for project supervision and management. Project teams are mapped to what are known as “the Regions”, i.e., the World Bank’s operational arm.</w:t>
      </w:r>
    </w:p>
  </w:footnote>
  <w:footnote w:id="5">
    <w:p w:rsidR="00EB2785" w:rsidRPr="00C652C9" w:rsidRDefault="00EB2785" w:rsidP="00EB2785">
      <w:pPr>
        <w:pStyle w:val="FootnoteText"/>
        <w:rPr>
          <w:lang w:val="en-CA"/>
        </w:rPr>
      </w:pPr>
      <w:r>
        <w:rPr>
          <w:rStyle w:val="FootnoteReference"/>
        </w:rPr>
        <w:footnoteRef/>
      </w:r>
      <w:r>
        <w:t xml:space="preserve"> </w:t>
      </w:r>
      <w:r>
        <w:rPr>
          <w:lang w:val="en-CA"/>
        </w:rPr>
        <w:t>UNEP/</w:t>
      </w:r>
      <w:proofErr w:type="spellStart"/>
      <w:r>
        <w:rPr>
          <w:lang w:val="en-CA"/>
        </w:rPr>
        <w:t>OzL.Pro</w:t>
      </w:r>
      <w:proofErr w:type="spellEnd"/>
      <w:r>
        <w:rPr>
          <w:lang w:val="en-CA"/>
        </w:rPr>
        <w:t>/</w:t>
      </w:r>
      <w:proofErr w:type="spellStart"/>
      <w:r>
        <w:rPr>
          <w:lang w:val="en-CA"/>
        </w:rPr>
        <w:t>ExCom</w:t>
      </w:r>
      <w:proofErr w:type="spellEnd"/>
      <w:r>
        <w:rPr>
          <w:lang w:val="en-CA"/>
        </w:rPr>
        <w:t>/79/43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57" w:rsidRPr="0033525D" w:rsidRDefault="00B30257">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/84/38</w:t>
    </w:r>
    <w:r>
      <w:fldChar w:fldCharType="end"/>
    </w:r>
  </w:p>
  <w:p w:rsidR="00B30257" w:rsidRPr="0033525D" w:rsidRDefault="00B30257"/>
  <w:p w:rsidR="00B30257" w:rsidRPr="0033525D" w:rsidRDefault="00B3025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57" w:rsidRPr="0033525D" w:rsidRDefault="00B30257">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/84/38</w:t>
    </w:r>
    <w:r>
      <w:fldChar w:fldCharType="end"/>
    </w:r>
  </w:p>
  <w:p w:rsidR="00B30257" w:rsidRPr="0033525D" w:rsidRDefault="00B30257"/>
  <w:p w:rsidR="00B30257" w:rsidRPr="0033525D" w:rsidRDefault="00B302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562C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D634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708D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646DA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41EC9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4881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4A7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72D2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1EE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F29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AC0769E"/>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292475B"/>
    <w:multiLevelType w:val="singleLevel"/>
    <w:tmpl w:val="82E03FCC"/>
    <w:lvl w:ilvl="0">
      <w:start w:val="1"/>
      <w:numFmt w:val="bullet"/>
      <w:lvlText w:val=""/>
      <w:lvlJc w:val="left"/>
      <w:pPr>
        <w:tabs>
          <w:tab w:val="num" w:pos="505"/>
        </w:tabs>
        <w:ind w:left="505" w:hanging="505"/>
      </w:pPr>
      <w:rPr>
        <w:rFonts w:ascii="Wingdings" w:hAnsi="Wingdings" w:hint="default"/>
      </w:rPr>
    </w:lvl>
  </w:abstractNum>
  <w:abstractNum w:abstractNumId="12" w15:restartNumberingAfterBreak="0">
    <w:nsid w:val="0C6D7033"/>
    <w:multiLevelType w:val="hybridMultilevel"/>
    <w:tmpl w:val="54604884"/>
    <w:lvl w:ilvl="0" w:tplc="737257C8">
      <w:start w:val="1"/>
      <w:numFmt w:val="bullet"/>
      <w:lvlText w:val=""/>
      <w:lvlJc w:val="left"/>
      <w:pPr>
        <w:tabs>
          <w:tab w:val="num" w:pos="1010"/>
        </w:tabs>
        <w:ind w:left="1010" w:hanging="505"/>
      </w:pPr>
      <w:rPr>
        <w:rFonts w:ascii="Wingdings" w:hAnsi="Wingdings" w:hint="default"/>
      </w:rPr>
    </w:lvl>
    <w:lvl w:ilvl="1" w:tplc="04090003" w:tentative="1">
      <w:start w:val="1"/>
      <w:numFmt w:val="bullet"/>
      <w:lvlText w:val="o"/>
      <w:lvlJc w:val="left"/>
      <w:pPr>
        <w:tabs>
          <w:tab w:val="num" w:pos="1945"/>
        </w:tabs>
        <w:ind w:left="1945" w:hanging="360"/>
      </w:pPr>
      <w:rPr>
        <w:rFonts w:ascii="Courier New" w:hAnsi="Courier New" w:cs="Courier New" w:hint="default"/>
      </w:rPr>
    </w:lvl>
    <w:lvl w:ilvl="2" w:tplc="04090005" w:tentative="1">
      <w:start w:val="1"/>
      <w:numFmt w:val="bullet"/>
      <w:lvlText w:val=""/>
      <w:lvlJc w:val="left"/>
      <w:pPr>
        <w:tabs>
          <w:tab w:val="num" w:pos="2665"/>
        </w:tabs>
        <w:ind w:left="2665" w:hanging="360"/>
      </w:pPr>
      <w:rPr>
        <w:rFonts w:ascii="Wingdings" w:hAnsi="Wingdings" w:hint="default"/>
      </w:rPr>
    </w:lvl>
    <w:lvl w:ilvl="3" w:tplc="04090001" w:tentative="1">
      <w:start w:val="1"/>
      <w:numFmt w:val="bullet"/>
      <w:lvlText w:val=""/>
      <w:lvlJc w:val="left"/>
      <w:pPr>
        <w:tabs>
          <w:tab w:val="num" w:pos="3385"/>
        </w:tabs>
        <w:ind w:left="3385" w:hanging="360"/>
      </w:pPr>
      <w:rPr>
        <w:rFonts w:ascii="Symbol" w:hAnsi="Symbol" w:hint="default"/>
      </w:rPr>
    </w:lvl>
    <w:lvl w:ilvl="4" w:tplc="04090003" w:tentative="1">
      <w:start w:val="1"/>
      <w:numFmt w:val="bullet"/>
      <w:lvlText w:val="o"/>
      <w:lvlJc w:val="left"/>
      <w:pPr>
        <w:tabs>
          <w:tab w:val="num" w:pos="4105"/>
        </w:tabs>
        <w:ind w:left="4105" w:hanging="360"/>
      </w:pPr>
      <w:rPr>
        <w:rFonts w:ascii="Courier New" w:hAnsi="Courier New" w:cs="Courier New" w:hint="default"/>
      </w:rPr>
    </w:lvl>
    <w:lvl w:ilvl="5" w:tplc="04090005" w:tentative="1">
      <w:start w:val="1"/>
      <w:numFmt w:val="bullet"/>
      <w:lvlText w:val=""/>
      <w:lvlJc w:val="left"/>
      <w:pPr>
        <w:tabs>
          <w:tab w:val="num" w:pos="4825"/>
        </w:tabs>
        <w:ind w:left="4825" w:hanging="360"/>
      </w:pPr>
      <w:rPr>
        <w:rFonts w:ascii="Wingdings" w:hAnsi="Wingdings" w:hint="default"/>
      </w:rPr>
    </w:lvl>
    <w:lvl w:ilvl="6" w:tplc="04090001" w:tentative="1">
      <w:start w:val="1"/>
      <w:numFmt w:val="bullet"/>
      <w:lvlText w:val=""/>
      <w:lvlJc w:val="left"/>
      <w:pPr>
        <w:tabs>
          <w:tab w:val="num" w:pos="5545"/>
        </w:tabs>
        <w:ind w:left="5545" w:hanging="360"/>
      </w:pPr>
      <w:rPr>
        <w:rFonts w:ascii="Symbol" w:hAnsi="Symbol" w:hint="default"/>
      </w:rPr>
    </w:lvl>
    <w:lvl w:ilvl="7" w:tplc="04090003" w:tentative="1">
      <w:start w:val="1"/>
      <w:numFmt w:val="bullet"/>
      <w:lvlText w:val="o"/>
      <w:lvlJc w:val="left"/>
      <w:pPr>
        <w:tabs>
          <w:tab w:val="num" w:pos="6265"/>
        </w:tabs>
        <w:ind w:left="6265" w:hanging="360"/>
      </w:pPr>
      <w:rPr>
        <w:rFonts w:ascii="Courier New" w:hAnsi="Courier New" w:cs="Courier New" w:hint="default"/>
      </w:rPr>
    </w:lvl>
    <w:lvl w:ilvl="8" w:tplc="04090005" w:tentative="1">
      <w:start w:val="1"/>
      <w:numFmt w:val="bullet"/>
      <w:lvlText w:val=""/>
      <w:lvlJc w:val="left"/>
      <w:pPr>
        <w:tabs>
          <w:tab w:val="num" w:pos="6985"/>
        </w:tabs>
        <w:ind w:left="6985" w:hanging="360"/>
      </w:pPr>
      <w:rPr>
        <w:rFonts w:ascii="Wingdings" w:hAnsi="Wingdings" w:hint="default"/>
      </w:rPr>
    </w:lvl>
  </w:abstractNum>
  <w:abstractNum w:abstractNumId="13" w15:restartNumberingAfterBreak="0">
    <w:nsid w:val="29BD631D"/>
    <w:multiLevelType w:val="singleLevel"/>
    <w:tmpl w:val="737257C8"/>
    <w:lvl w:ilvl="0">
      <w:start w:val="1"/>
      <w:numFmt w:val="bullet"/>
      <w:lvlText w:val=""/>
      <w:lvlJc w:val="left"/>
      <w:pPr>
        <w:tabs>
          <w:tab w:val="num" w:pos="505"/>
        </w:tabs>
        <w:ind w:left="505" w:hanging="505"/>
      </w:pPr>
      <w:rPr>
        <w:rFonts w:ascii="Wingdings" w:hAnsi="Wingdings" w:hint="default"/>
      </w:r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0D87954"/>
    <w:multiLevelType w:val="singleLevel"/>
    <w:tmpl w:val="92E84A24"/>
    <w:lvl w:ilvl="0">
      <w:start w:val="1"/>
      <w:numFmt w:val="decimal"/>
      <w:lvlText w:val="%1."/>
      <w:lvlJc w:val="left"/>
      <w:pPr>
        <w:tabs>
          <w:tab w:val="num" w:pos="510"/>
        </w:tabs>
        <w:ind w:left="510" w:hanging="510"/>
      </w:pPr>
      <w:rPr>
        <w:rFonts w:hint="default"/>
      </w:r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355F2F78"/>
    <w:multiLevelType w:val="singleLevel"/>
    <w:tmpl w:val="82E03FCC"/>
    <w:lvl w:ilvl="0">
      <w:start w:val="1"/>
      <w:numFmt w:val="bullet"/>
      <w:lvlText w:val=""/>
      <w:lvlJc w:val="left"/>
      <w:pPr>
        <w:tabs>
          <w:tab w:val="num" w:pos="505"/>
        </w:tabs>
        <w:ind w:left="505" w:hanging="505"/>
      </w:pPr>
      <w:rPr>
        <w:rFonts w:ascii="Wingdings" w:hAnsi="Wingdings" w:hint="default"/>
      </w:rPr>
    </w:lvl>
  </w:abstractNum>
  <w:abstractNum w:abstractNumId="18" w15:restartNumberingAfterBreak="0">
    <w:nsid w:val="39390040"/>
    <w:multiLevelType w:val="hybridMultilevel"/>
    <w:tmpl w:val="76F4EF4C"/>
    <w:lvl w:ilvl="0" w:tplc="737257C8">
      <w:start w:val="1"/>
      <w:numFmt w:val="bullet"/>
      <w:lvlText w:val=""/>
      <w:lvlJc w:val="left"/>
      <w:pPr>
        <w:tabs>
          <w:tab w:val="num" w:pos="1010"/>
        </w:tabs>
        <w:ind w:left="1010" w:hanging="505"/>
      </w:pPr>
      <w:rPr>
        <w:rFonts w:ascii="Wingdings" w:hAnsi="Wingdings" w:hint="default"/>
      </w:rPr>
    </w:lvl>
    <w:lvl w:ilvl="1" w:tplc="04090003" w:tentative="1">
      <w:start w:val="1"/>
      <w:numFmt w:val="bullet"/>
      <w:lvlText w:val="o"/>
      <w:lvlJc w:val="left"/>
      <w:pPr>
        <w:tabs>
          <w:tab w:val="num" w:pos="1945"/>
        </w:tabs>
        <w:ind w:left="1945" w:hanging="360"/>
      </w:pPr>
      <w:rPr>
        <w:rFonts w:ascii="Courier New" w:hAnsi="Courier New" w:cs="Courier New" w:hint="default"/>
      </w:rPr>
    </w:lvl>
    <w:lvl w:ilvl="2" w:tplc="04090005" w:tentative="1">
      <w:start w:val="1"/>
      <w:numFmt w:val="bullet"/>
      <w:lvlText w:val=""/>
      <w:lvlJc w:val="left"/>
      <w:pPr>
        <w:tabs>
          <w:tab w:val="num" w:pos="2665"/>
        </w:tabs>
        <w:ind w:left="2665" w:hanging="360"/>
      </w:pPr>
      <w:rPr>
        <w:rFonts w:ascii="Wingdings" w:hAnsi="Wingdings" w:hint="default"/>
      </w:rPr>
    </w:lvl>
    <w:lvl w:ilvl="3" w:tplc="04090001" w:tentative="1">
      <w:start w:val="1"/>
      <w:numFmt w:val="bullet"/>
      <w:lvlText w:val=""/>
      <w:lvlJc w:val="left"/>
      <w:pPr>
        <w:tabs>
          <w:tab w:val="num" w:pos="3385"/>
        </w:tabs>
        <w:ind w:left="3385" w:hanging="360"/>
      </w:pPr>
      <w:rPr>
        <w:rFonts w:ascii="Symbol" w:hAnsi="Symbol" w:hint="default"/>
      </w:rPr>
    </w:lvl>
    <w:lvl w:ilvl="4" w:tplc="04090003" w:tentative="1">
      <w:start w:val="1"/>
      <w:numFmt w:val="bullet"/>
      <w:lvlText w:val="o"/>
      <w:lvlJc w:val="left"/>
      <w:pPr>
        <w:tabs>
          <w:tab w:val="num" w:pos="4105"/>
        </w:tabs>
        <w:ind w:left="4105" w:hanging="360"/>
      </w:pPr>
      <w:rPr>
        <w:rFonts w:ascii="Courier New" w:hAnsi="Courier New" w:cs="Courier New" w:hint="default"/>
      </w:rPr>
    </w:lvl>
    <w:lvl w:ilvl="5" w:tplc="04090005" w:tentative="1">
      <w:start w:val="1"/>
      <w:numFmt w:val="bullet"/>
      <w:lvlText w:val=""/>
      <w:lvlJc w:val="left"/>
      <w:pPr>
        <w:tabs>
          <w:tab w:val="num" w:pos="4825"/>
        </w:tabs>
        <w:ind w:left="4825" w:hanging="360"/>
      </w:pPr>
      <w:rPr>
        <w:rFonts w:ascii="Wingdings" w:hAnsi="Wingdings" w:hint="default"/>
      </w:rPr>
    </w:lvl>
    <w:lvl w:ilvl="6" w:tplc="04090001" w:tentative="1">
      <w:start w:val="1"/>
      <w:numFmt w:val="bullet"/>
      <w:lvlText w:val=""/>
      <w:lvlJc w:val="left"/>
      <w:pPr>
        <w:tabs>
          <w:tab w:val="num" w:pos="5545"/>
        </w:tabs>
        <w:ind w:left="5545" w:hanging="360"/>
      </w:pPr>
      <w:rPr>
        <w:rFonts w:ascii="Symbol" w:hAnsi="Symbol" w:hint="default"/>
      </w:rPr>
    </w:lvl>
    <w:lvl w:ilvl="7" w:tplc="04090003" w:tentative="1">
      <w:start w:val="1"/>
      <w:numFmt w:val="bullet"/>
      <w:lvlText w:val="o"/>
      <w:lvlJc w:val="left"/>
      <w:pPr>
        <w:tabs>
          <w:tab w:val="num" w:pos="6265"/>
        </w:tabs>
        <w:ind w:left="6265" w:hanging="360"/>
      </w:pPr>
      <w:rPr>
        <w:rFonts w:ascii="Courier New" w:hAnsi="Courier New" w:cs="Courier New" w:hint="default"/>
      </w:rPr>
    </w:lvl>
    <w:lvl w:ilvl="8" w:tplc="04090005" w:tentative="1">
      <w:start w:val="1"/>
      <w:numFmt w:val="bullet"/>
      <w:lvlText w:val=""/>
      <w:lvlJc w:val="left"/>
      <w:pPr>
        <w:tabs>
          <w:tab w:val="num" w:pos="6985"/>
        </w:tabs>
        <w:ind w:left="6985" w:hanging="360"/>
      </w:pPr>
      <w:rPr>
        <w:rFonts w:ascii="Wingdings" w:hAnsi="Wingdings" w:hint="default"/>
      </w:rPr>
    </w:lvl>
  </w:abstractNum>
  <w:abstractNum w:abstractNumId="19" w15:restartNumberingAfterBreak="0">
    <w:nsid w:val="43BF3FE5"/>
    <w:multiLevelType w:val="singleLevel"/>
    <w:tmpl w:val="B6D48324"/>
    <w:lvl w:ilvl="0">
      <w:start w:val="1"/>
      <w:numFmt w:val="bullet"/>
      <w:lvlText w:val=""/>
      <w:lvlJc w:val="left"/>
      <w:pPr>
        <w:tabs>
          <w:tab w:val="num" w:pos="505"/>
        </w:tabs>
        <w:ind w:left="505" w:hanging="505"/>
      </w:pPr>
      <w:rPr>
        <w:rFonts w:ascii="Wingdings" w:hAnsi="Wingdings" w:hint="default"/>
      </w:rPr>
    </w:lvl>
  </w:abstractNum>
  <w:abstractNum w:abstractNumId="20" w15:restartNumberingAfterBreak="0">
    <w:nsid w:val="4D561EBC"/>
    <w:multiLevelType w:val="hybridMultilevel"/>
    <w:tmpl w:val="7444DF2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FC15EE6"/>
    <w:multiLevelType w:val="hybridMultilevel"/>
    <w:tmpl w:val="E4CA9C6A"/>
    <w:lvl w:ilvl="0" w:tplc="94B213D8">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53811BB"/>
    <w:multiLevelType w:val="hybridMultilevel"/>
    <w:tmpl w:val="EDA45460"/>
    <w:lvl w:ilvl="0" w:tplc="88A4605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7081D3F"/>
    <w:multiLevelType w:val="singleLevel"/>
    <w:tmpl w:val="EA267B24"/>
    <w:lvl w:ilvl="0">
      <w:start w:val="1"/>
      <w:numFmt w:val="bullet"/>
      <w:lvlText w:val=""/>
      <w:lvlJc w:val="left"/>
      <w:pPr>
        <w:tabs>
          <w:tab w:val="num" w:pos="505"/>
        </w:tabs>
        <w:ind w:left="505" w:hanging="505"/>
      </w:pPr>
      <w:rPr>
        <w:rFonts w:ascii="Wingdings" w:hAnsi="Wingdings" w:hint="default"/>
      </w:rPr>
    </w:lvl>
  </w:abstractNum>
  <w:abstractNum w:abstractNumId="26" w15:restartNumberingAfterBreak="0">
    <w:nsid w:val="6C6D6056"/>
    <w:multiLevelType w:val="hybridMultilevel"/>
    <w:tmpl w:val="2D22D4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A3F215E"/>
    <w:multiLevelType w:val="multilevel"/>
    <w:tmpl w:val="A25AF8D4"/>
    <w:lvl w:ilvl="0">
      <w:start w:val="1"/>
      <w:numFmt w:val="decimal"/>
      <w:lvlText w:val="%1."/>
      <w:lvlJc w:val="left"/>
      <w:pPr>
        <w:tabs>
          <w:tab w:val="num" w:pos="0"/>
        </w:tabs>
        <w:ind w:left="0" w:firstLine="0"/>
      </w:pPr>
    </w:lvl>
    <w:lvl w:ilvl="1">
      <w:start w:val="1"/>
      <w:numFmt w:val="bullet"/>
      <w:lvlText w:val=""/>
      <w:lvlJc w:val="left"/>
      <w:pPr>
        <w:tabs>
          <w:tab w:val="num" w:pos="0"/>
        </w:tabs>
        <w:ind w:left="1440" w:hanging="720"/>
      </w:pPr>
      <w:rPr>
        <w:rFonts w:ascii="Symbol" w:hAnsi="Symbol" w:hint="default"/>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9" w15:restartNumberingAfterBreak="0">
    <w:nsid w:val="7EC778BC"/>
    <w:multiLevelType w:val="hybridMultilevel"/>
    <w:tmpl w:val="810E9596"/>
    <w:lvl w:ilvl="0" w:tplc="A3A6A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1"/>
  </w:num>
  <w:num w:numId="18">
    <w:abstractNumId w:val="23"/>
  </w:num>
  <w:num w:numId="19">
    <w:abstractNumId w:val="28"/>
  </w:num>
  <w:num w:numId="20">
    <w:abstractNumId w:val="16"/>
  </w:num>
  <w:num w:numId="21">
    <w:abstractNumId w:val="26"/>
  </w:num>
  <w:num w:numId="22">
    <w:abstractNumId w:val="10"/>
    <w:lvlOverride w:ilvl="0">
      <w:startOverride w:val="14"/>
    </w:lvlOverride>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5"/>
  </w:num>
  <w:num w:numId="29">
    <w:abstractNumId w:val="11"/>
  </w:num>
  <w:num w:numId="30">
    <w:abstractNumId w:val="17"/>
  </w:num>
  <w:num w:numId="31">
    <w:abstractNumId w:val="13"/>
  </w:num>
  <w:num w:numId="32">
    <w:abstractNumId w:val="15"/>
  </w:num>
  <w:num w:numId="33">
    <w:abstractNumId w:val="19"/>
  </w:num>
  <w:num w:numId="34">
    <w:abstractNumId w:val="18"/>
  </w:num>
  <w:num w:numId="35">
    <w:abstractNumId w:val="12"/>
  </w:num>
  <w:num w:numId="36">
    <w:abstractNumId w:val="27"/>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37"/>
    </w:lvlOverride>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FE13C4"/>
    <w:rsid w:val="00000FED"/>
    <w:rsid w:val="0000434E"/>
    <w:rsid w:val="00017C3F"/>
    <w:rsid w:val="000211A9"/>
    <w:rsid w:val="00031260"/>
    <w:rsid w:val="0003681A"/>
    <w:rsid w:val="00052C5C"/>
    <w:rsid w:val="00061EC2"/>
    <w:rsid w:val="00080ED0"/>
    <w:rsid w:val="00085B8F"/>
    <w:rsid w:val="00090481"/>
    <w:rsid w:val="00092009"/>
    <w:rsid w:val="000A6C26"/>
    <w:rsid w:val="000B2FA4"/>
    <w:rsid w:val="000D52A4"/>
    <w:rsid w:val="000E07BC"/>
    <w:rsid w:val="000E59CB"/>
    <w:rsid w:val="000F1CD4"/>
    <w:rsid w:val="000F4103"/>
    <w:rsid w:val="000F70A7"/>
    <w:rsid w:val="00113CCA"/>
    <w:rsid w:val="00122F25"/>
    <w:rsid w:val="00123739"/>
    <w:rsid w:val="00135980"/>
    <w:rsid w:val="00156E3A"/>
    <w:rsid w:val="00164719"/>
    <w:rsid w:val="00166FC4"/>
    <w:rsid w:val="001677AC"/>
    <w:rsid w:val="001804EA"/>
    <w:rsid w:val="00190A61"/>
    <w:rsid w:val="001A3342"/>
    <w:rsid w:val="001A3E3D"/>
    <w:rsid w:val="001A7049"/>
    <w:rsid w:val="001B1D88"/>
    <w:rsid w:val="001B1E40"/>
    <w:rsid w:val="001B6487"/>
    <w:rsid w:val="001C3C80"/>
    <w:rsid w:val="001C46F9"/>
    <w:rsid w:val="001C764E"/>
    <w:rsid w:val="001E1052"/>
    <w:rsid w:val="001E21B1"/>
    <w:rsid w:val="001E2F93"/>
    <w:rsid w:val="001E61E5"/>
    <w:rsid w:val="001F2159"/>
    <w:rsid w:val="00212222"/>
    <w:rsid w:val="00213B82"/>
    <w:rsid w:val="00214863"/>
    <w:rsid w:val="002156B4"/>
    <w:rsid w:val="00246E01"/>
    <w:rsid w:val="00253222"/>
    <w:rsid w:val="00262847"/>
    <w:rsid w:val="00262EE2"/>
    <w:rsid w:val="00264ACF"/>
    <w:rsid w:val="00265A04"/>
    <w:rsid w:val="00281BB2"/>
    <w:rsid w:val="00282924"/>
    <w:rsid w:val="0028503C"/>
    <w:rsid w:val="002B08D9"/>
    <w:rsid w:val="002B4299"/>
    <w:rsid w:val="002B72E9"/>
    <w:rsid w:val="002C7998"/>
    <w:rsid w:val="002D6C27"/>
    <w:rsid w:val="002F1E53"/>
    <w:rsid w:val="002F263D"/>
    <w:rsid w:val="002F2CAA"/>
    <w:rsid w:val="0030052C"/>
    <w:rsid w:val="003306E1"/>
    <w:rsid w:val="003320E4"/>
    <w:rsid w:val="0033525D"/>
    <w:rsid w:val="003414F3"/>
    <w:rsid w:val="0034637D"/>
    <w:rsid w:val="00346674"/>
    <w:rsid w:val="00347DE6"/>
    <w:rsid w:val="003512CB"/>
    <w:rsid w:val="0035613E"/>
    <w:rsid w:val="00363EE9"/>
    <w:rsid w:val="0036427C"/>
    <w:rsid w:val="00366505"/>
    <w:rsid w:val="00376128"/>
    <w:rsid w:val="0037742E"/>
    <w:rsid w:val="00377D56"/>
    <w:rsid w:val="0038245A"/>
    <w:rsid w:val="003840E6"/>
    <w:rsid w:val="00385613"/>
    <w:rsid w:val="00385CFC"/>
    <w:rsid w:val="003919B9"/>
    <w:rsid w:val="0039337A"/>
    <w:rsid w:val="00393B27"/>
    <w:rsid w:val="003A1BB8"/>
    <w:rsid w:val="003A3189"/>
    <w:rsid w:val="003A3CA7"/>
    <w:rsid w:val="003A54C4"/>
    <w:rsid w:val="003A7B37"/>
    <w:rsid w:val="003B33BD"/>
    <w:rsid w:val="003B569D"/>
    <w:rsid w:val="003B5BC6"/>
    <w:rsid w:val="003C0C29"/>
    <w:rsid w:val="003C3C0E"/>
    <w:rsid w:val="003D4FAC"/>
    <w:rsid w:val="003E3B48"/>
    <w:rsid w:val="003E7906"/>
    <w:rsid w:val="003F3C50"/>
    <w:rsid w:val="003F5FBE"/>
    <w:rsid w:val="00406A6A"/>
    <w:rsid w:val="00406B22"/>
    <w:rsid w:val="0041676E"/>
    <w:rsid w:val="004174B4"/>
    <w:rsid w:val="004328A7"/>
    <w:rsid w:val="00434C74"/>
    <w:rsid w:val="00435B55"/>
    <w:rsid w:val="00450CF8"/>
    <w:rsid w:val="00456EB4"/>
    <w:rsid w:val="004718F3"/>
    <w:rsid w:val="004731B8"/>
    <w:rsid w:val="00475040"/>
    <w:rsid w:val="00493D40"/>
    <w:rsid w:val="004967B6"/>
    <w:rsid w:val="004A504B"/>
    <w:rsid w:val="004A6650"/>
    <w:rsid w:val="004A6911"/>
    <w:rsid w:val="004B54E0"/>
    <w:rsid w:val="004B7384"/>
    <w:rsid w:val="004C4269"/>
    <w:rsid w:val="004D6236"/>
    <w:rsid w:val="004D7F90"/>
    <w:rsid w:val="004E16EC"/>
    <w:rsid w:val="004E2FEE"/>
    <w:rsid w:val="004E4DBB"/>
    <w:rsid w:val="004E4E41"/>
    <w:rsid w:val="004E7615"/>
    <w:rsid w:val="004E7F9C"/>
    <w:rsid w:val="004F06B9"/>
    <w:rsid w:val="004F18A7"/>
    <w:rsid w:val="004F3493"/>
    <w:rsid w:val="004F4BFD"/>
    <w:rsid w:val="004F5143"/>
    <w:rsid w:val="0050633A"/>
    <w:rsid w:val="00512B09"/>
    <w:rsid w:val="00515B2F"/>
    <w:rsid w:val="00533796"/>
    <w:rsid w:val="00534B02"/>
    <w:rsid w:val="00553314"/>
    <w:rsid w:val="00555D75"/>
    <w:rsid w:val="00560DF0"/>
    <w:rsid w:val="0056759C"/>
    <w:rsid w:val="00593019"/>
    <w:rsid w:val="0059513E"/>
    <w:rsid w:val="005956EB"/>
    <w:rsid w:val="005A4390"/>
    <w:rsid w:val="005B48FF"/>
    <w:rsid w:val="00601DED"/>
    <w:rsid w:val="00604C15"/>
    <w:rsid w:val="00605521"/>
    <w:rsid w:val="00614BE0"/>
    <w:rsid w:val="006158D5"/>
    <w:rsid w:val="00625D83"/>
    <w:rsid w:val="00630DD6"/>
    <w:rsid w:val="006623E7"/>
    <w:rsid w:val="00662B80"/>
    <w:rsid w:val="00670F6C"/>
    <w:rsid w:val="00675795"/>
    <w:rsid w:val="006852C7"/>
    <w:rsid w:val="006852CE"/>
    <w:rsid w:val="006C1727"/>
    <w:rsid w:val="006C32FD"/>
    <w:rsid w:val="006C39CE"/>
    <w:rsid w:val="006D0FCC"/>
    <w:rsid w:val="006D1D2D"/>
    <w:rsid w:val="006D54FC"/>
    <w:rsid w:val="006E1FC3"/>
    <w:rsid w:val="006E432C"/>
    <w:rsid w:val="007022B5"/>
    <w:rsid w:val="0070616B"/>
    <w:rsid w:val="00706FDA"/>
    <w:rsid w:val="00711F9A"/>
    <w:rsid w:val="00713810"/>
    <w:rsid w:val="007303A5"/>
    <w:rsid w:val="00730B3E"/>
    <w:rsid w:val="0073420B"/>
    <w:rsid w:val="0074760E"/>
    <w:rsid w:val="00754ABA"/>
    <w:rsid w:val="007903E7"/>
    <w:rsid w:val="007A1546"/>
    <w:rsid w:val="007A228C"/>
    <w:rsid w:val="007A368E"/>
    <w:rsid w:val="007A5868"/>
    <w:rsid w:val="007B04CE"/>
    <w:rsid w:val="007B6871"/>
    <w:rsid w:val="007B7A2F"/>
    <w:rsid w:val="007C227C"/>
    <w:rsid w:val="007C3D33"/>
    <w:rsid w:val="007D294A"/>
    <w:rsid w:val="007D47D2"/>
    <w:rsid w:val="007D4E00"/>
    <w:rsid w:val="007D6EC0"/>
    <w:rsid w:val="007D7E1D"/>
    <w:rsid w:val="00803813"/>
    <w:rsid w:val="008173D3"/>
    <w:rsid w:val="00831979"/>
    <w:rsid w:val="00851352"/>
    <w:rsid w:val="00863230"/>
    <w:rsid w:val="008717D8"/>
    <w:rsid w:val="0087215C"/>
    <w:rsid w:val="00880E35"/>
    <w:rsid w:val="00884780"/>
    <w:rsid w:val="008875FE"/>
    <w:rsid w:val="00887F8E"/>
    <w:rsid w:val="00896234"/>
    <w:rsid w:val="00897E43"/>
    <w:rsid w:val="008A3F2B"/>
    <w:rsid w:val="008C39AF"/>
    <w:rsid w:val="008C5738"/>
    <w:rsid w:val="008C7EAD"/>
    <w:rsid w:val="008D0CFE"/>
    <w:rsid w:val="008D3375"/>
    <w:rsid w:val="008D54C2"/>
    <w:rsid w:val="008D6152"/>
    <w:rsid w:val="008E30AA"/>
    <w:rsid w:val="008F0F81"/>
    <w:rsid w:val="008F27BF"/>
    <w:rsid w:val="009142EC"/>
    <w:rsid w:val="009154C3"/>
    <w:rsid w:val="00923540"/>
    <w:rsid w:val="00926767"/>
    <w:rsid w:val="009361D5"/>
    <w:rsid w:val="009428A4"/>
    <w:rsid w:val="00942FF8"/>
    <w:rsid w:val="009602BE"/>
    <w:rsid w:val="009639FA"/>
    <w:rsid w:val="00963BC7"/>
    <w:rsid w:val="009659F4"/>
    <w:rsid w:val="009709B0"/>
    <w:rsid w:val="00970C7C"/>
    <w:rsid w:val="00970D60"/>
    <w:rsid w:val="00971F42"/>
    <w:rsid w:val="009817D3"/>
    <w:rsid w:val="00991531"/>
    <w:rsid w:val="009926D7"/>
    <w:rsid w:val="009960E5"/>
    <w:rsid w:val="009A7ADC"/>
    <w:rsid w:val="009C19B7"/>
    <w:rsid w:val="009C3955"/>
    <w:rsid w:val="009D7C51"/>
    <w:rsid w:val="009E196C"/>
    <w:rsid w:val="009E2219"/>
    <w:rsid w:val="009E799E"/>
    <w:rsid w:val="009F36BF"/>
    <w:rsid w:val="00A1082F"/>
    <w:rsid w:val="00A111B6"/>
    <w:rsid w:val="00A2201E"/>
    <w:rsid w:val="00A2547B"/>
    <w:rsid w:val="00A26D27"/>
    <w:rsid w:val="00A356E2"/>
    <w:rsid w:val="00A3621F"/>
    <w:rsid w:val="00A376EE"/>
    <w:rsid w:val="00A42A99"/>
    <w:rsid w:val="00A5151A"/>
    <w:rsid w:val="00A56465"/>
    <w:rsid w:val="00A57BA3"/>
    <w:rsid w:val="00A57E0A"/>
    <w:rsid w:val="00A62076"/>
    <w:rsid w:val="00A70A94"/>
    <w:rsid w:val="00A823F6"/>
    <w:rsid w:val="00A93BBA"/>
    <w:rsid w:val="00AA0A89"/>
    <w:rsid w:val="00AA6429"/>
    <w:rsid w:val="00AC01AA"/>
    <w:rsid w:val="00AC4F72"/>
    <w:rsid w:val="00AE742D"/>
    <w:rsid w:val="00AE77AA"/>
    <w:rsid w:val="00AF0247"/>
    <w:rsid w:val="00AF741A"/>
    <w:rsid w:val="00B01ADB"/>
    <w:rsid w:val="00B04161"/>
    <w:rsid w:val="00B056F9"/>
    <w:rsid w:val="00B11E3D"/>
    <w:rsid w:val="00B17E82"/>
    <w:rsid w:val="00B26BAF"/>
    <w:rsid w:val="00B30257"/>
    <w:rsid w:val="00B4575A"/>
    <w:rsid w:val="00B575BA"/>
    <w:rsid w:val="00B76429"/>
    <w:rsid w:val="00B956D4"/>
    <w:rsid w:val="00B97446"/>
    <w:rsid w:val="00BA7432"/>
    <w:rsid w:val="00BB26E4"/>
    <w:rsid w:val="00BB7D53"/>
    <w:rsid w:val="00BC1AA0"/>
    <w:rsid w:val="00BC2495"/>
    <w:rsid w:val="00BC7EB9"/>
    <w:rsid w:val="00BD2643"/>
    <w:rsid w:val="00BD56B1"/>
    <w:rsid w:val="00BD6558"/>
    <w:rsid w:val="00BE73C1"/>
    <w:rsid w:val="00BF3022"/>
    <w:rsid w:val="00BF3214"/>
    <w:rsid w:val="00BF4AD5"/>
    <w:rsid w:val="00BF5573"/>
    <w:rsid w:val="00C104A8"/>
    <w:rsid w:val="00C11ADB"/>
    <w:rsid w:val="00C15867"/>
    <w:rsid w:val="00C2296D"/>
    <w:rsid w:val="00C23155"/>
    <w:rsid w:val="00C40C41"/>
    <w:rsid w:val="00C45885"/>
    <w:rsid w:val="00C50F22"/>
    <w:rsid w:val="00C55303"/>
    <w:rsid w:val="00C57971"/>
    <w:rsid w:val="00C652C9"/>
    <w:rsid w:val="00C65BD7"/>
    <w:rsid w:val="00C76BA4"/>
    <w:rsid w:val="00C83A48"/>
    <w:rsid w:val="00C85865"/>
    <w:rsid w:val="00C85E85"/>
    <w:rsid w:val="00CA1985"/>
    <w:rsid w:val="00CA2EAE"/>
    <w:rsid w:val="00CA4AC1"/>
    <w:rsid w:val="00CB0316"/>
    <w:rsid w:val="00CB0B11"/>
    <w:rsid w:val="00CB5354"/>
    <w:rsid w:val="00CC299E"/>
    <w:rsid w:val="00CC4F6F"/>
    <w:rsid w:val="00CC6236"/>
    <w:rsid w:val="00CC6A14"/>
    <w:rsid w:val="00CC70A3"/>
    <w:rsid w:val="00CD4442"/>
    <w:rsid w:val="00CD53C3"/>
    <w:rsid w:val="00CD574E"/>
    <w:rsid w:val="00CE4C22"/>
    <w:rsid w:val="00CF41EC"/>
    <w:rsid w:val="00CF5D04"/>
    <w:rsid w:val="00D00B1C"/>
    <w:rsid w:val="00D04DE4"/>
    <w:rsid w:val="00D0546C"/>
    <w:rsid w:val="00D063F1"/>
    <w:rsid w:val="00D13CD0"/>
    <w:rsid w:val="00D14F22"/>
    <w:rsid w:val="00D15FF4"/>
    <w:rsid w:val="00D16155"/>
    <w:rsid w:val="00D22563"/>
    <w:rsid w:val="00D4741C"/>
    <w:rsid w:val="00D51B89"/>
    <w:rsid w:val="00D57918"/>
    <w:rsid w:val="00D62899"/>
    <w:rsid w:val="00D664F0"/>
    <w:rsid w:val="00D66982"/>
    <w:rsid w:val="00D73DC6"/>
    <w:rsid w:val="00D74C1A"/>
    <w:rsid w:val="00D754C1"/>
    <w:rsid w:val="00D77393"/>
    <w:rsid w:val="00D77A35"/>
    <w:rsid w:val="00D81B3E"/>
    <w:rsid w:val="00D85C30"/>
    <w:rsid w:val="00D86A88"/>
    <w:rsid w:val="00D90C70"/>
    <w:rsid w:val="00D90E49"/>
    <w:rsid w:val="00D96ADE"/>
    <w:rsid w:val="00DA0CE2"/>
    <w:rsid w:val="00DB362F"/>
    <w:rsid w:val="00DC053F"/>
    <w:rsid w:val="00DC6A10"/>
    <w:rsid w:val="00DE657E"/>
    <w:rsid w:val="00DF4704"/>
    <w:rsid w:val="00E024AA"/>
    <w:rsid w:val="00E250F1"/>
    <w:rsid w:val="00E3550D"/>
    <w:rsid w:val="00E41335"/>
    <w:rsid w:val="00E60F76"/>
    <w:rsid w:val="00E614E0"/>
    <w:rsid w:val="00E73F7F"/>
    <w:rsid w:val="00E85409"/>
    <w:rsid w:val="00EA2B39"/>
    <w:rsid w:val="00EA429F"/>
    <w:rsid w:val="00EA4F9E"/>
    <w:rsid w:val="00EA63CA"/>
    <w:rsid w:val="00EA6D3B"/>
    <w:rsid w:val="00EB00AD"/>
    <w:rsid w:val="00EB136C"/>
    <w:rsid w:val="00EB2785"/>
    <w:rsid w:val="00EB480E"/>
    <w:rsid w:val="00EB5EC6"/>
    <w:rsid w:val="00EB7FC9"/>
    <w:rsid w:val="00ED27E8"/>
    <w:rsid w:val="00ED7137"/>
    <w:rsid w:val="00EE4D25"/>
    <w:rsid w:val="00EE66BA"/>
    <w:rsid w:val="00F06F75"/>
    <w:rsid w:val="00F07A58"/>
    <w:rsid w:val="00F21088"/>
    <w:rsid w:val="00F23FC0"/>
    <w:rsid w:val="00F268BE"/>
    <w:rsid w:val="00F26E2B"/>
    <w:rsid w:val="00F327E7"/>
    <w:rsid w:val="00F35746"/>
    <w:rsid w:val="00F447C7"/>
    <w:rsid w:val="00F511B6"/>
    <w:rsid w:val="00F5211B"/>
    <w:rsid w:val="00F554A9"/>
    <w:rsid w:val="00F650F8"/>
    <w:rsid w:val="00F668AA"/>
    <w:rsid w:val="00F716FD"/>
    <w:rsid w:val="00F80355"/>
    <w:rsid w:val="00F86FBF"/>
    <w:rsid w:val="00F87C43"/>
    <w:rsid w:val="00FA7E27"/>
    <w:rsid w:val="00FB0C81"/>
    <w:rsid w:val="00FC2200"/>
    <w:rsid w:val="00FC2540"/>
    <w:rsid w:val="00FE13C4"/>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3F152"/>
  <w15:docId w15:val="{336AD525-A581-4F8C-ADB1-630F2352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Heading 2 Char1"/>
    <w:basedOn w:val="Normal"/>
    <w:next w:val="Normal"/>
    <w:link w:val="Heading2Char2"/>
    <w:uiPriority w:val="9"/>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link w:val="Heading3Char3"/>
    <w:uiPriority w:val="9"/>
    <w:qFormat/>
    <w:rsid w:val="0033525D"/>
    <w:pPr>
      <w:widowControl w:val="0"/>
      <w:numPr>
        <w:ilvl w:val="2"/>
        <w:numId w:val="3"/>
      </w:numPr>
      <w:spacing w:after="240"/>
      <w:outlineLvl w:val="2"/>
    </w:pPr>
  </w:style>
  <w:style w:type="paragraph" w:styleId="Heading4">
    <w:name w:val="heading 4"/>
    <w:aliases w:val="Heading 11,para 4,Título 41"/>
    <w:basedOn w:val="Normal"/>
    <w:next w:val="Heading9"/>
    <w:uiPriority w:val="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link w:val="PlainTextChar"/>
    <w:uiPriority w:val="99"/>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basedOn w:val="Normal"/>
    <w:link w:val="FootnoteTextChar"/>
    <w:uiPriority w:val="99"/>
    <w:semiHidden/>
    <w:unhideWhenUsed/>
    <w:rsid w:val="00FE13C4"/>
    <w:rPr>
      <w:sz w:val="20"/>
      <w:szCs w:val="20"/>
    </w:rPr>
  </w:style>
  <w:style w:type="character" w:customStyle="1" w:styleId="FootnoteTextChar">
    <w:name w:val="Footnote Text Char"/>
    <w:basedOn w:val="DefaultParagraphFont"/>
    <w:link w:val="FootnoteText"/>
    <w:uiPriority w:val="99"/>
    <w:semiHidden/>
    <w:rsid w:val="00FE13C4"/>
    <w:rPr>
      <w:lang w:val="en-GB"/>
    </w:rPr>
  </w:style>
  <w:style w:type="character" w:styleId="FootnoteReference">
    <w:name w:val="footnote reference"/>
    <w:basedOn w:val="DefaultParagraphFont"/>
    <w:uiPriority w:val="99"/>
    <w:semiHidden/>
    <w:unhideWhenUsed/>
    <w:rsid w:val="00FE13C4"/>
    <w:rPr>
      <w:vertAlign w:val="superscript"/>
    </w:rPr>
  </w:style>
  <w:style w:type="character" w:styleId="PageNumber">
    <w:name w:val="page number"/>
    <w:rsid w:val="00FE13C4"/>
    <w:rPr>
      <w:sz w:val="22"/>
      <w:szCs w:val="22"/>
    </w:rPr>
  </w:style>
  <w:style w:type="paragraph" w:styleId="BodyText">
    <w:name w:val="Body Text"/>
    <w:basedOn w:val="Normal"/>
    <w:link w:val="BodyTextChar"/>
    <w:semiHidden/>
    <w:rsid w:val="00FE13C4"/>
    <w:pPr>
      <w:spacing w:after="120"/>
    </w:pPr>
  </w:style>
  <w:style w:type="character" w:customStyle="1" w:styleId="BodyTextChar">
    <w:name w:val="Body Text Char"/>
    <w:basedOn w:val="DefaultParagraphFont"/>
    <w:link w:val="BodyText"/>
    <w:semiHidden/>
    <w:rsid w:val="00FE13C4"/>
    <w:rPr>
      <w:sz w:val="22"/>
      <w:szCs w:val="22"/>
      <w:lang w:val="en-GB"/>
    </w:rPr>
  </w:style>
  <w:style w:type="paragraph" w:styleId="BodyText2">
    <w:name w:val="Body Text 2"/>
    <w:basedOn w:val="Normal"/>
    <w:link w:val="BodyText2Char"/>
    <w:semiHidden/>
    <w:rsid w:val="00FE13C4"/>
    <w:pPr>
      <w:spacing w:after="120" w:line="480" w:lineRule="auto"/>
    </w:pPr>
  </w:style>
  <w:style w:type="character" w:customStyle="1" w:styleId="BodyText2Char">
    <w:name w:val="Body Text 2 Char"/>
    <w:basedOn w:val="DefaultParagraphFont"/>
    <w:link w:val="BodyText2"/>
    <w:semiHidden/>
    <w:rsid w:val="00FE13C4"/>
    <w:rPr>
      <w:sz w:val="22"/>
      <w:szCs w:val="22"/>
      <w:lang w:val="en-GB"/>
    </w:rPr>
  </w:style>
  <w:style w:type="paragraph" w:styleId="BodyTextFirstIndent">
    <w:name w:val="Body Text First Indent"/>
    <w:basedOn w:val="BodyText"/>
    <w:link w:val="BodyTextFirstIndentChar"/>
    <w:semiHidden/>
    <w:rsid w:val="00FE13C4"/>
    <w:pPr>
      <w:ind w:firstLine="210"/>
    </w:pPr>
  </w:style>
  <w:style w:type="character" w:customStyle="1" w:styleId="BodyTextFirstIndentChar">
    <w:name w:val="Body Text First Indent Char"/>
    <w:basedOn w:val="BodyTextChar"/>
    <w:link w:val="BodyTextFirstIndent"/>
    <w:semiHidden/>
    <w:rsid w:val="00FE13C4"/>
    <w:rPr>
      <w:sz w:val="22"/>
      <w:szCs w:val="22"/>
      <w:lang w:val="en-GB"/>
    </w:rPr>
  </w:style>
  <w:style w:type="paragraph" w:styleId="BodyTextIndent">
    <w:name w:val="Body Text Indent"/>
    <w:basedOn w:val="Normal"/>
    <w:link w:val="BodyTextIndentChar"/>
    <w:semiHidden/>
    <w:rsid w:val="00FE13C4"/>
    <w:pPr>
      <w:spacing w:after="120"/>
      <w:ind w:left="360"/>
    </w:pPr>
  </w:style>
  <w:style w:type="character" w:customStyle="1" w:styleId="BodyTextIndentChar">
    <w:name w:val="Body Text Indent Char"/>
    <w:basedOn w:val="DefaultParagraphFont"/>
    <w:link w:val="BodyTextIndent"/>
    <w:semiHidden/>
    <w:rsid w:val="00FE13C4"/>
    <w:rPr>
      <w:sz w:val="22"/>
      <w:szCs w:val="22"/>
      <w:lang w:val="en-GB"/>
    </w:rPr>
  </w:style>
  <w:style w:type="paragraph" w:styleId="BodyTextFirstIndent2">
    <w:name w:val="Body Text First Indent 2"/>
    <w:basedOn w:val="BodyTextIndent"/>
    <w:link w:val="BodyTextFirstIndent2Char"/>
    <w:semiHidden/>
    <w:rsid w:val="00FE13C4"/>
    <w:pPr>
      <w:ind w:firstLine="210"/>
    </w:pPr>
  </w:style>
  <w:style w:type="character" w:customStyle="1" w:styleId="BodyTextFirstIndent2Char">
    <w:name w:val="Body Text First Indent 2 Char"/>
    <w:basedOn w:val="BodyTextIndentChar"/>
    <w:link w:val="BodyTextFirstIndent2"/>
    <w:semiHidden/>
    <w:rsid w:val="00FE13C4"/>
    <w:rPr>
      <w:sz w:val="22"/>
      <w:szCs w:val="22"/>
      <w:lang w:val="en-GB"/>
    </w:rPr>
  </w:style>
  <w:style w:type="paragraph" w:styleId="BodyTextIndent2">
    <w:name w:val="Body Text Indent 2"/>
    <w:basedOn w:val="Normal"/>
    <w:link w:val="BodyTextIndent2Char"/>
    <w:semiHidden/>
    <w:rsid w:val="00FE13C4"/>
    <w:pPr>
      <w:spacing w:after="120" w:line="480" w:lineRule="auto"/>
      <w:ind w:left="360"/>
    </w:pPr>
  </w:style>
  <w:style w:type="character" w:customStyle="1" w:styleId="BodyTextIndent2Char">
    <w:name w:val="Body Text Indent 2 Char"/>
    <w:basedOn w:val="DefaultParagraphFont"/>
    <w:link w:val="BodyTextIndent2"/>
    <w:semiHidden/>
    <w:rsid w:val="00FE13C4"/>
    <w:rPr>
      <w:sz w:val="22"/>
      <w:szCs w:val="22"/>
      <w:lang w:val="en-GB"/>
    </w:rPr>
  </w:style>
  <w:style w:type="paragraph" w:styleId="Closing">
    <w:name w:val="Closing"/>
    <w:basedOn w:val="Normal"/>
    <w:link w:val="ClosingChar"/>
    <w:semiHidden/>
    <w:rsid w:val="00FE13C4"/>
    <w:pPr>
      <w:ind w:left="4320"/>
    </w:pPr>
  </w:style>
  <w:style w:type="character" w:customStyle="1" w:styleId="ClosingChar">
    <w:name w:val="Closing Char"/>
    <w:basedOn w:val="DefaultParagraphFont"/>
    <w:link w:val="Closing"/>
    <w:semiHidden/>
    <w:rsid w:val="00FE13C4"/>
    <w:rPr>
      <w:sz w:val="22"/>
      <w:szCs w:val="22"/>
      <w:lang w:val="en-GB"/>
    </w:rPr>
  </w:style>
  <w:style w:type="paragraph" w:styleId="E-mailSignature">
    <w:name w:val="E-mail Signature"/>
    <w:basedOn w:val="Normal"/>
    <w:link w:val="E-mailSignatureChar"/>
    <w:semiHidden/>
    <w:rsid w:val="00FE13C4"/>
  </w:style>
  <w:style w:type="character" w:customStyle="1" w:styleId="E-mailSignatureChar">
    <w:name w:val="E-mail Signature Char"/>
    <w:basedOn w:val="DefaultParagraphFont"/>
    <w:link w:val="E-mailSignature"/>
    <w:semiHidden/>
    <w:rsid w:val="00FE13C4"/>
    <w:rPr>
      <w:sz w:val="22"/>
      <w:szCs w:val="22"/>
      <w:lang w:val="en-GB"/>
    </w:rPr>
  </w:style>
  <w:style w:type="character" w:styleId="Emphasis">
    <w:name w:val="Emphasis"/>
    <w:qFormat/>
    <w:rsid w:val="00FE13C4"/>
    <w:rPr>
      <w:i/>
      <w:iCs/>
    </w:rPr>
  </w:style>
  <w:style w:type="paragraph" w:styleId="EnvelopeAddress">
    <w:name w:val="envelope address"/>
    <w:basedOn w:val="Normal"/>
    <w:semiHidden/>
    <w:rsid w:val="00FE13C4"/>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FE13C4"/>
    <w:rPr>
      <w:rFonts w:ascii="Arial" w:hAnsi="Arial" w:cs="Arial"/>
      <w:sz w:val="20"/>
    </w:rPr>
  </w:style>
  <w:style w:type="character" w:styleId="FollowedHyperlink">
    <w:name w:val="FollowedHyperlink"/>
    <w:uiPriority w:val="99"/>
    <w:semiHidden/>
    <w:rsid w:val="00FE13C4"/>
    <w:rPr>
      <w:color w:val="800080"/>
      <w:u w:val="single"/>
    </w:rPr>
  </w:style>
  <w:style w:type="character" w:styleId="HTMLAcronym">
    <w:name w:val="HTML Acronym"/>
    <w:basedOn w:val="DefaultParagraphFont"/>
    <w:semiHidden/>
    <w:rsid w:val="00FE13C4"/>
  </w:style>
  <w:style w:type="paragraph" w:styleId="HTMLAddress">
    <w:name w:val="HTML Address"/>
    <w:basedOn w:val="Normal"/>
    <w:link w:val="HTMLAddressChar"/>
    <w:semiHidden/>
    <w:rsid w:val="00FE13C4"/>
    <w:rPr>
      <w:i/>
      <w:iCs/>
    </w:rPr>
  </w:style>
  <w:style w:type="character" w:customStyle="1" w:styleId="HTMLAddressChar">
    <w:name w:val="HTML Address Char"/>
    <w:basedOn w:val="DefaultParagraphFont"/>
    <w:link w:val="HTMLAddress"/>
    <w:semiHidden/>
    <w:rsid w:val="00FE13C4"/>
    <w:rPr>
      <w:i/>
      <w:iCs/>
      <w:sz w:val="22"/>
      <w:szCs w:val="22"/>
      <w:lang w:val="en-GB"/>
    </w:rPr>
  </w:style>
  <w:style w:type="character" w:styleId="HTMLCite">
    <w:name w:val="HTML Cite"/>
    <w:semiHidden/>
    <w:rsid w:val="00FE13C4"/>
    <w:rPr>
      <w:i/>
      <w:iCs/>
    </w:rPr>
  </w:style>
  <w:style w:type="character" w:styleId="HTMLCode">
    <w:name w:val="HTML Code"/>
    <w:semiHidden/>
    <w:rsid w:val="00FE13C4"/>
    <w:rPr>
      <w:rFonts w:ascii="Courier New" w:hAnsi="Courier New" w:cs="Courier New"/>
      <w:sz w:val="20"/>
      <w:szCs w:val="20"/>
    </w:rPr>
  </w:style>
  <w:style w:type="character" w:styleId="HTMLDefinition">
    <w:name w:val="HTML Definition"/>
    <w:semiHidden/>
    <w:rsid w:val="00FE13C4"/>
    <w:rPr>
      <w:i/>
      <w:iCs/>
    </w:rPr>
  </w:style>
  <w:style w:type="character" w:styleId="HTMLKeyboard">
    <w:name w:val="HTML Keyboard"/>
    <w:semiHidden/>
    <w:rsid w:val="00FE13C4"/>
    <w:rPr>
      <w:rFonts w:ascii="Courier New" w:hAnsi="Courier New" w:cs="Courier New"/>
      <w:sz w:val="20"/>
      <w:szCs w:val="20"/>
    </w:rPr>
  </w:style>
  <w:style w:type="paragraph" w:styleId="HTMLPreformatted">
    <w:name w:val="HTML Preformatted"/>
    <w:basedOn w:val="Normal"/>
    <w:link w:val="HTMLPreformattedChar"/>
    <w:semiHidden/>
    <w:rsid w:val="00FE13C4"/>
    <w:rPr>
      <w:rFonts w:ascii="Courier New" w:hAnsi="Courier New" w:cs="Courier New"/>
      <w:sz w:val="20"/>
    </w:rPr>
  </w:style>
  <w:style w:type="character" w:customStyle="1" w:styleId="HTMLPreformattedChar">
    <w:name w:val="HTML Preformatted Char"/>
    <w:basedOn w:val="DefaultParagraphFont"/>
    <w:link w:val="HTMLPreformatted"/>
    <w:semiHidden/>
    <w:rsid w:val="00FE13C4"/>
    <w:rPr>
      <w:rFonts w:ascii="Courier New" w:hAnsi="Courier New" w:cs="Courier New"/>
      <w:szCs w:val="22"/>
      <w:lang w:val="en-GB"/>
    </w:rPr>
  </w:style>
  <w:style w:type="character" w:styleId="HTMLSample">
    <w:name w:val="HTML Sample"/>
    <w:semiHidden/>
    <w:rsid w:val="00FE13C4"/>
    <w:rPr>
      <w:rFonts w:ascii="Courier New" w:hAnsi="Courier New" w:cs="Courier New"/>
    </w:rPr>
  </w:style>
  <w:style w:type="character" w:styleId="HTMLTypewriter">
    <w:name w:val="HTML Typewriter"/>
    <w:semiHidden/>
    <w:rsid w:val="00FE13C4"/>
    <w:rPr>
      <w:rFonts w:ascii="Courier New" w:hAnsi="Courier New" w:cs="Courier New"/>
      <w:sz w:val="20"/>
      <w:szCs w:val="20"/>
    </w:rPr>
  </w:style>
  <w:style w:type="character" w:styleId="HTMLVariable">
    <w:name w:val="HTML Variable"/>
    <w:semiHidden/>
    <w:rsid w:val="00FE13C4"/>
    <w:rPr>
      <w:i/>
      <w:iCs/>
    </w:rPr>
  </w:style>
  <w:style w:type="character" w:styleId="Hyperlink">
    <w:name w:val="Hyperlink"/>
    <w:uiPriority w:val="99"/>
    <w:semiHidden/>
    <w:rsid w:val="00FE13C4"/>
    <w:rPr>
      <w:color w:val="0000FF"/>
      <w:u w:val="single"/>
    </w:rPr>
  </w:style>
  <w:style w:type="character" w:styleId="LineNumber">
    <w:name w:val="line number"/>
    <w:basedOn w:val="DefaultParagraphFont"/>
    <w:semiHidden/>
    <w:rsid w:val="00FE13C4"/>
  </w:style>
  <w:style w:type="paragraph" w:styleId="List">
    <w:name w:val="List"/>
    <w:basedOn w:val="Normal"/>
    <w:semiHidden/>
    <w:rsid w:val="00FE13C4"/>
    <w:pPr>
      <w:ind w:left="360" w:hanging="360"/>
    </w:pPr>
  </w:style>
  <w:style w:type="paragraph" w:styleId="List2">
    <w:name w:val="List 2"/>
    <w:basedOn w:val="Normal"/>
    <w:semiHidden/>
    <w:rsid w:val="00FE13C4"/>
    <w:pPr>
      <w:ind w:left="720" w:hanging="360"/>
    </w:pPr>
  </w:style>
  <w:style w:type="paragraph" w:styleId="List3">
    <w:name w:val="List 3"/>
    <w:basedOn w:val="Normal"/>
    <w:semiHidden/>
    <w:rsid w:val="00FE13C4"/>
    <w:pPr>
      <w:ind w:left="1080" w:hanging="360"/>
    </w:pPr>
  </w:style>
  <w:style w:type="paragraph" w:styleId="List4">
    <w:name w:val="List 4"/>
    <w:basedOn w:val="Normal"/>
    <w:semiHidden/>
    <w:rsid w:val="00FE13C4"/>
    <w:pPr>
      <w:ind w:left="1440" w:hanging="360"/>
    </w:pPr>
  </w:style>
  <w:style w:type="paragraph" w:styleId="List5">
    <w:name w:val="List 5"/>
    <w:basedOn w:val="Normal"/>
    <w:semiHidden/>
    <w:rsid w:val="00FE13C4"/>
    <w:pPr>
      <w:ind w:left="1800" w:hanging="360"/>
    </w:pPr>
  </w:style>
  <w:style w:type="paragraph" w:styleId="ListBullet">
    <w:name w:val="List Bullet"/>
    <w:basedOn w:val="Normal"/>
    <w:autoRedefine/>
    <w:semiHidden/>
    <w:rsid w:val="00FE13C4"/>
    <w:pPr>
      <w:tabs>
        <w:tab w:val="num" w:pos="360"/>
      </w:tabs>
      <w:ind w:left="360" w:hanging="360"/>
    </w:pPr>
  </w:style>
  <w:style w:type="paragraph" w:styleId="ListBullet2">
    <w:name w:val="List Bullet 2"/>
    <w:basedOn w:val="Normal"/>
    <w:autoRedefine/>
    <w:semiHidden/>
    <w:rsid w:val="00FE13C4"/>
    <w:pPr>
      <w:tabs>
        <w:tab w:val="num" w:pos="720"/>
      </w:tabs>
      <w:ind w:left="720" w:hanging="360"/>
    </w:pPr>
  </w:style>
  <w:style w:type="paragraph" w:styleId="ListBullet3">
    <w:name w:val="List Bullet 3"/>
    <w:basedOn w:val="Normal"/>
    <w:autoRedefine/>
    <w:semiHidden/>
    <w:rsid w:val="00FE13C4"/>
    <w:pPr>
      <w:tabs>
        <w:tab w:val="num" w:pos="1080"/>
      </w:tabs>
      <w:ind w:left="1080" w:hanging="360"/>
    </w:pPr>
  </w:style>
  <w:style w:type="paragraph" w:styleId="ListBullet4">
    <w:name w:val="List Bullet 4"/>
    <w:basedOn w:val="Normal"/>
    <w:autoRedefine/>
    <w:semiHidden/>
    <w:rsid w:val="00FE13C4"/>
    <w:pPr>
      <w:tabs>
        <w:tab w:val="num" w:pos="1440"/>
      </w:tabs>
      <w:ind w:left="1440" w:hanging="360"/>
    </w:pPr>
  </w:style>
  <w:style w:type="paragraph" w:styleId="ListBullet5">
    <w:name w:val="List Bullet 5"/>
    <w:basedOn w:val="Normal"/>
    <w:autoRedefine/>
    <w:semiHidden/>
    <w:rsid w:val="00FE13C4"/>
    <w:pPr>
      <w:tabs>
        <w:tab w:val="num" w:pos="1800"/>
      </w:tabs>
      <w:ind w:left="1800" w:hanging="360"/>
    </w:pPr>
  </w:style>
  <w:style w:type="paragraph" w:styleId="ListContinue">
    <w:name w:val="List Continue"/>
    <w:basedOn w:val="Normal"/>
    <w:semiHidden/>
    <w:rsid w:val="00FE13C4"/>
    <w:pPr>
      <w:spacing w:after="120"/>
      <w:ind w:left="360"/>
    </w:pPr>
  </w:style>
  <w:style w:type="paragraph" w:styleId="ListContinue2">
    <w:name w:val="List Continue 2"/>
    <w:basedOn w:val="Normal"/>
    <w:semiHidden/>
    <w:rsid w:val="00FE13C4"/>
    <w:pPr>
      <w:spacing w:after="120"/>
      <w:ind w:left="720"/>
    </w:pPr>
  </w:style>
  <w:style w:type="paragraph" w:styleId="ListContinue3">
    <w:name w:val="List Continue 3"/>
    <w:basedOn w:val="Normal"/>
    <w:semiHidden/>
    <w:rsid w:val="00FE13C4"/>
    <w:pPr>
      <w:spacing w:after="120"/>
      <w:ind w:left="1080"/>
    </w:pPr>
  </w:style>
  <w:style w:type="paragraph" w:styleId="ListContinue4">
    <w:name w:val="List Continue 4"/>
    <w:basedOn w:val="Normal"/>
    <w:semiHidden/>
    <w:rsid w:val="00FE13C4"/>
    <w:pPr>
      <w:spacing w:after="120"/>
      <w:ind w:left="1440"/>
    </w:pPr>
  </w:style>
  <w:style w:type="paragraph" w:styleId="ListContinue5">
    <w:name w:val="List Continue 5"/>
    <w:basedOn w:val="Normal"/>
    <w:semiHidden/>
    <w:rsid w:val="00FE13C4"/>
    <w:pPr>
      <w:spacing w:after="120"/>
      <w:ind w:left="1800"/>
    </w:pPr>
  </w:style>
  <w:style w:type="paragraph" w:styleId="ListNumber">
    <w:name w:val="List Number"/>
    <w:basedOn w:val="Normal"/>
    <w:semiHidden/>
    <w:rsid w:val="00FE13C4"/>
    <w:pPr>
      <w:tabs>
        <w:tab w:val="num" w:pos="360"/>
      </w:tabs>
      <w:ind w:left="360" w:hanging="360"/>
    </w:pPr>
  </w:style>
  <w:style w:type="paragraph" w:styleId="ListNumber2">
    <w:name w:val="List Number 2"/>
    <w:basedOn w:val="Normal"/>
    <w:semiHidden/>
    <w:rsid w:val="00FE13C4"/>
    <w:pPr>
      <w:tabs>
        <w:tab w:val="num" w:pos="720"/>
      </w:tabs>
      <w:ind w:left="720" w:hanging="360"/>
    </w:pPr>
  </w:style>
  <w:style w:type="paragraph" w:styleId="ListNumber3">
    <w:name w:val="List Number 3"/>
    <w:basedOn w:val="Normal"/>
    <w:semiHidden/>
    <w:rsid w:val="00FE13C4"/>
    <w:pPr>
      <w:tabs>
        <w:tab w:val="num" w:pos="1080"/>
      </w:tabs>
      <w:ind w:left="1080" w:hanging="360"/>
    </w:pPr>
  </w:style>
  <w:style w:type="paragraph" w:styleId="ListNumber4">
    <w:name w:val="List Number 4"/>
    <w:basedOn w:val="Normal"/>
    <w:semiHidden/>
    <w:rsid w:val="00FE13C4"/>
    <w:pPr>
      <w:tabs>
        <w:tab w:val="num" w:pos="1440"/>
      </w:tabs>
      <w:ind w:left="1440" w:hanging="360"/>
    </w:pPr>
  </w:style>
  <w:style w:type="paragraph" w:styleId="ListNumber5">
    <w:name w:val="List Number 5"/>
    <w:basedOn w:val="Normal"/>
    <w:semiHidden/>
    <w:rsid w:val="00FE13C4"/>
    <w:pPr>
      <w:tabs>
        <w:tab w:val="num" w:pos="1800"/>
      </w:tabs>
      <w:ind w:left="1800" w:hanging="360"/>
    </w:pPr>
  </w:style>
  <w:style w:type="paragraph" w:styleId="MessageHeader">
    <w:name w:val="Message Header"/>
    <w:basedOn w:val="Normal"/>
    <w:link w:val="MessageHeaderChar"/>
    <w:semiHidden/>
    <w:rsid w:val="00FE13C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semiHidden/>
    <w:rsid w:val="00FE13C4"/>
    <w:rPr>
      <w:rFonts w:ascii="Arial" w:hAnsi="Arial" w:cs="Arial"/>
      <w:sz w:val="22"/>
      <w:szCs w:val="24"/>
      <w:shd w:val="pct20" w:color="auto" w:fill="auto"/>
      <w:lang w:val="en-GB"/>
    </w:rPr>
  </w:style>
  <w:style w:type="paragraph" w:styleId="NormalWeb">
    <w:name w:val="Normal (Web)"/>
    <w:basedOn w:val="Normal"/>
    <w:semiHidden/>
    <w:rsid w:val="00FE13C4"/>
    <w:rPr>
      <w:szCs w:val="24"/>
    </w:rPr>
  </w:style>
  <w:style w:type="paragraph" w:styleId="NormalIndent">
    <w:name w:val="Normal Indent"/>
    <w:basedOn w:val="Normal"/>
    <w:semiHidden/>
    <w:rsid w:val="00FE13C4"/>
    <w:pPr>
      <w:ind w:left="720"/>
    </w:pPr>
  </w:style>
  <w:style w:type="paragraph" w:styleId="NoteHeading">
    <w:name w:val="Note Heading"/>
    <w:basedOn w:val="Normal"/>
    <w:next w:val="Normal"/>
    <w:link w:val="NoteHeadingChar"/>
    <w:semiHidden/>
    <w:rsid w:val="00FE13C4"/>
  </w:style>
  <w:style w:type="character" w:customStyle="1" w:styleId="NoteHeadingChar">
    <w:name w:val="Note Heading Char"/>
    <w:basedOn w:val="DefaultParagraphFont"/>
    <w:link w:val="NoteHeading"/>
    <w:semiHidden/>
    <w:rsid w:val="00FE13C4"/>
    <w:rPr>
      <w:sz w:val="22"/>
      <w:szCs w:val="22"/>
      <w:lang w:val="en-GB"/>
    </w:rPr>
  </w:style>
  <w:style w:type="paragraph" w:styleId="Salutation">
    <w:name w:val="Salutation"/>
    <w:basedOn w:val="Normal"/>
    <w:next w:val="Normal"/>
    <w:link w:val="SalutationChar"/>
    <w:semiHidden/>
    <w:rsid w:val="00FE13C4"/>
  </w:style>
  <w:style w:type="character" w:customStyle="1" w:styleId="SalutationChar">
    <w:name w:val="Salutation Char"/>
    <w:basedOn w:val="DefaultParagraphFont"/>
    <w:link w:val="Salutation"/>
    <w:semiHidden/>
    <w:rsid w:val="00FE13C4"/>
    <w:rPr>
      <w:sz w:val="22"/>
      <w:szCs w:val="22"/>
      <w:lang w:val="en-GB"/>
    </w:rPr>
  </w:style>
  <w:style w:type="paragraph" w:styleId="Signature">
    <w:name w:val="Signature"/>
    <w:basedOn w:val="Normal"/>
    <w:link w:val="SignatureChar"/>
    <w:semiHidden/>
    <w:rsid w:val="00FE13C4"/>
    <w:pPr>
      <w:ind w:left="4320"/>
    </w:pPr>
  </w:style>
  <w:style w:type="character" w:customStyle="1" w:styleId="SignatureChar">
    <w:name w:val="Signature Char"/>
    <w:basedOn w:val="DefaultParagraphFont"/>
    <w:link w:val="Signature"/>
    <w:semiHidden/>
    <w:rsid w:val="00FE13C4"/>
    <w:rPr>
      <w:sz w:val="22"/>
      <w:szCs w:val="22"/>
      <w:lang w:val="en-GB"/>
    </w:rPr>
  </w:style>
  <w:style w:type="character" w:styleId="Strong">
    <w:name w:val="Strong"/>
    <w:uiPriority w:val="22"/>
    <w:qFormat/>
    <w:rsid w:val="00FE13C4"/>
    <w:rPr>
      <w:b/>
      <w:bCs/>
    </w:rPr>
  </w:style>
  <w:style w:type="character" w:customStyle="1" w:styleId="FooterChar">
    <w:name w:val="Footer Char"/>
    <w:link w:val="Footer"/>
    <w:uiPriority w:val="99"/>
    <w:rsid w:val="00FE13C4"/>
    <w:rPr>
      <w:sz w:val="22"/>
      <w:szCs w:val="22"/>
      <w:lang w:val="en-GB"/>
    </w:rPr>
  </w:style>
  <w:style w:type="paragraph" w:styleId="ListParagraph">
    <w:name w:val="List Paragraph"/>
    <w:basedOn w:val="Normal"/>
    <w:uiPriority w:val="34"/>
    <w:qFormat/>
    <w:rsid w:val="00FE13C4"/>
    <w:pPr>
      <w:ind w:left="720"/>
      <w:jc w:val="left"/>
    </w:pPr>
    <w:rPr>
      <w:rFonts w:eastAsia="Calibri"/>
      <w:sz w:val="24"/>
      <w:szCs w:val="24"/>
      <w:lang w:val="en-US"/>
    </w:rPr>
  </w:style>
  <w:style w:type="character" w:customStyle="1" w:styleId="Heading2Char2">
    <w:name w:val="Heading 2 Char2"/>
    <w:aliases w:val="SubPara (a) Char,Heading 2 Char3 Char,Heading 2 Char Char2 Char,Heading 2 Char1 Char Char1 Char,SubPara (a) Char Char Char1 Char,Heading 2 Char Char Char Char1 Char,Heading 2 Char1 Char Char Char Char1 Char,Heading 2 Char Char"/>
    <w:link w:val="Heading2"/>
    <w:uiPriority w:val="9"/>
    <w:rsid w:val="00FE13C4"/>
    <w:rPr>
      <w:sz w:val="22"/>
      <w:szCs w:val="22"/>
      <w:lang w:val="en-GB"/>
    </w:rPr>
  </w:style>
  <w:style w:type="paragraph" w:customStyle="1" w:styleId="xl68">
    <w:name w:val="xl68"/>
    <w:basedOn w:val="Normal"/>
    <w:rsid w:val="00FE13C4"/>
    <w:pPr>
      <w:spacing w:before="100" w:beforeAutospacing="1" w:after="100" w:afterAutospacing="1"/>
      <w:jc w:val="left"/>
      <w:textAlignment w:val="top"/>
    </w:pPr>
    <w:rPr>
      <w:sz w:val="24"/>
      <w:szCs w:val="24"/>
      <w:lang w:val="en-US"/>
    </w:rPr>
  </w:style>
  <w:style w:type="paragraph" w:customStyle="1" w:styleId="xl69">
    <w:name w:val="xl69"/>
    <w:basedOn w:val="Normal"/>
    <w:rsid w:val="00FE13C4"/>
    <w:pPr>
      <w:spacing w:before="100" w:beforeAutospacing="1" w:after="100" w:afterAutospacing="1"/>
      <w:jc w:val="left"/>
      <w:textAlignment w:val="top"/>
    </w:pPr>
    <w:rPr>
      <w:sz w:val="18"/>
      <w:szCs w:val="18"/>
      <w:lang w:val="en-US"/>
    </w:rPr>
  </w:style>
  <w:style w:type="paragraph" w:customStyle="1" w:styleId="xl70">
    <w:name w:val="xl70"/>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lang w:val="en-US"/>
    </w:rPr>
  </w:style>
  <w:style w:type="paragraph" w:customStyle="1" w:styleId="xl71">
    <w:name w:val="xl71"/>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lang w:val="en-US"/>
    </w:rPr>
  </w:style>
  <w:style w:type="paragraph" w:customStyle="1" w:styleId="xl72">
    <w:name w:val="xl72"/>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20"/>
      <w:szCs w:val="20"/>
      <w:lang w:val="en-US"/>
    </w:rPr>
  </w:style>
  <w:style w:type="paragraph" w:customStyle="1" w:styleId="xl73">
    <w:name w:val="xl73"/>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20"/>
      <w:szCs w:val="20"/>
      <w:lang w:val="en-US"/>
    </w:rPr>
  </w:style>
  <w:style w:type="paragraph" w:customStyle="1" w:styleId="xl74">
    <w:name w:val="xl74"/>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20"/>
      <w:szCs w:val="20"/>
      <w:lang w:val="en-US"/>
    </w:rPr>
  </w:style>
  <w:style w:type="paragraph" w:customStyle="1" w:styleId="xl75">
    <w:name w:val="xl75"/>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20"/>
      <w:szCs w:val="20"/>
      <w:lang w:val="en-US"/>
    </w:rPr>
  </w:style>
  <w:style w:type="paragraph" w:customStyle="1" w:styleId="xl76">
    <w:name w:val="xl76"/>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20"/>
      <w:szCs w:val="20"/>
      <w:lang w:val="en-US"/>
    </w:rPr>
  </w:style>
  <w:style w:type="paragraph" w:customStyle="1" w:styleId="xl77">
    <w:name w:val="xl77"/>
    <w:basedOn w:val="Normal"/>
    <w:rsid w:val="00FE13C4"/>
    <w:pPr>
      <w:spacing w:before="100" w:beforeAutospacing="1" w:after="100" w:afterAutospacing="1"/>
      <w:jc w:val="left"/>
      <w:textAlignment w:val="top"/>
    </w:pPr>
    <w:rPr>
      <w:b/>
      <w:bCs/>
      <w:sz w:val="18"/>
      <w:szCs w:val="18"/>
      <w:lang w:val="en-US"/>
    </w:rPr>
  </w:style>
  <w:style w:type="paragraph" w:customStyle="1" w:styleId="xl78">
    <w:name w:val="xl78"/>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20"/>
      <w:szCs w:val="20"/>
      <w:lang w:val="en-US"/>
    </w:rPr>
  </w:style>
  <w:style w:type="paragraph" w:customStyle="1" w:styleId="xl79">
    <w:name w:val="xl79"/>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en-US"/>
    </w:rPr>
  </w:style>
  <w:style w:type="paragraph" w:customStyle="1" w:styleId="xl80">
    <w:name w:val="xl80"/>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en-US"/>
    </w:rPr>
  </w:style>
  <w:style w:type="paragraph" w:customStyle="1" w:styleId="xl81">
    <w:name w:val="xl81"/>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en-US"/>
    </w:rPr>
  </w:style>
  <w:style w:type="paragraph" w:customStyle="1" w:styleId="xl82">
    <w:name w:val="xl82"/>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en-US"/>
    </w:rPr>
  </w:style>
  <w:style w:type="paragraph" w:customStyle="1" w:styleId="xl83">
    <w:name w:val="xl83"/>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en-US"/>
    </w:rPr>
  </w:style>
  <w:style w:type="paragraph" w:customStyle="1" w:styleId="xl84">
    <w:name w:val="xl84"/>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en-US"/>
    </w:rPr>
  </w:style>
  <w:style w:type="paragraph" w:customStyle="1" w:styleId="xl85">
    <w:name w:val="xl85"/>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en-US"/>
    </w:rPr>
  </w:style>
  <w:style w:type="paragraph" w:customStyle="1" w:styleId="xl86">
    <w:name w:val="xl86"/>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US"/>
    </w:rPr>
  </w:style>
  <w:style w:type="paragraph" w:customStyle="1" w:styleId="xl87">
    <w:name w:val="xl87"/>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en-US"/>
    </w:rPr>
  </w:style>
  <w:style w:type="paragraph" w:customStyle="1" w:styleId="xl88">
    <w:name w:val="xl88"/>
    <w:basedOn w:val="Normal"/>
    <w:rsid w:val="00FE13C4"/>
    <w:pPr>
      <w:shd w:val="clear" w:color="000000" w:fill="auto"/>
      <w:spacing w:before="100" w:beforeAutospacing="1" w:after="100" w:afterAutospacing="1"/>
      <w:jc w:val="left"/>
      <w:textAlignment w:val="top"/>
    </w:pPr>
    <w:rPr>
      <w:sz w:val="18"/>
      <w:szCs w:val="18"/>
      <w:lang w:val="en-US"/>
    </w:rPr>
  </w:style>
  <w:style w:type="paragraph" w:customStyle="1" w:styleId="xl89">
    <w:name w:val="xl89"/>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en-US"/>
    </w:rPr>
  </w:style>
  <w:style w:type="paragraph" w:customStyle="1" w:styleId="xl90">
    <w:name w:val="xl90"/>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lang w:val="en-US"/>
    </w:rPr>
  </w:style>
  <w:style w:type="paragraph" w:customStyle="1" w:styleId="xl91">
    <w:name w:val="xl91"/>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lang w:val="en-US"/>
    </w:rPr>
  </w:style>
  <w:style w:type="paragraph" w:customStyle="1" w:styleId="xl92">
    <w:name w:val="xl92"/>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lang w:val="en-US"/>
    </w:rPr>
  </w:style>
  <w:style w:type="paragraph" w:customStyle="1" w:styleId="xl93">
    <w:name w:val="xl93"/>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lang w:val="en-US"/>
    </w:rPr>
  </w:style>
  <w:style w:type="paragraph" w:customStyle="1" w:styleId="xl94">
    <w:name w:val="xl94"/>
    <w:basedOn w:val="Normal"/>
    <w:rsid w:val="00FE13C4"/>
    <w:pPr>
      <w:shd w:val="clear" w:color="000000" w:fill="FFFFFF"/>
      <w:spacing w:before="100" w:beforeAutospacing="1" w:after="100" w:afterAutospacing="1"/>
      <w:jc w:val="left"/>
      <w:textAlignment w:val="top"/>
    </w:pPr>
    <w:rPr>
      <w:sz w:val="18"/>
      <w:szCs w:val="18"/>
      <w:lang w:val="en-US"/>
    </w:rPr>
  </w:style>
  <w:style w:type="paragraph" w:customStyle="1" w:styleId="xl95">
    <w:name w:val="xl95"/>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val="en-US"/>
    </w:rPr>
  </w:style>
  <w:style w:type="paragraph" w:customStyle="1" w:styleId="xl96">
    <w:name w:val="xl96"/>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val="en-US"/>
    </w:rPr>
  </w:style>
  <w:style w:type="paragraph" w:customStyle="1" w:styleId="xl97">
    <w:name w:val="xl97"/>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98">
    <w:name w:val="xl98"/>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99">
    <w:name w:val="xl99"/>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en-US"/>
    </w:rPr>
  </w:style>
  <w:style w:type="paragraph" w:customStyle="1" w:styleId="xl100">
    <w:name w:val="xl100"/>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20"/>
      <w:szCs w:val="20"/>
      <w:lang w:val="en-US"/>
    </w:rPr>
  </w:style>
  <w:style w:type="paragraph" w:customStyle="1" w:styleId="xl101">
    <w:name w:val="xl101"/>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20"/>
      <w:szCs w:val="20"/>
      <w:lang w:val="en-US"/>
    </w:rPr>
  </w:style>
  <w:style w:type="paragraph" w:customStyle="1" w:styleId="xl102">
    <w:name w:val="xl102"/>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24"/>
      <w:szCs w:val="24"/>
      <w:lang w:val="en-US"/>
    </w:rPr>
  </w:style>
  <w:style w:type="paragraph" w:customStyle="1" w:styleId="xl103">
    <w:name w:val="xl103"/>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lang w:val="en-US"/>
    </w:rPr>
  </w:style>
  <w:style w:type="paragraph" w:customStyle="1" w:styleId="xl104">
    <w:name w:val="xl104"/>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en-US"/>
    </w:rPr>
  </w:style>
  <w:style w:type="paragraph" w:customStyle="1" w:styleId="xl105">
    <w:name w:val="xl105"/>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lang w:val="en-US"/>
    </w:rPr>
  </w:style>
  <w:style w:type="paragraph" w:customStyle="1" w:styleId="xl106">
    <w:name w:val="xl106"/>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24"/>
      <w:szCs w:val="24"/>
      <w:lang w:val="en-US"/>
    </w:rPr>
  </w:style>
  <w:style w:type="paragraph" w:customStyle="1" w:styleId="xl107">
    <w:name w:val="xl107"/>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val="en-US"/>
    </w:rPr>
  </w:style>
  <w:style w:type="paragraph" w:customStyle="1" w:styleId="xl108">
    <w:name w:val="xl108"/>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lang w:val="en-US"/>
    </w:rPr>
  </w:style>
  <w:style w:type="paragraph" w:customStyle="1" w:styleId="xl109">
    <w:name w:val="xl109"/>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6"/>
      <w:szCs w:val="36"/>
      <w:lang w:val="en-US"/>
    </w:rPr>
  </w:style>
  <w:style w:type="paragraph" w:customStyle="1" w:styleId="xl110">
    <w:name w:val="xl110"/>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en-US"/>
    </w:rPr>
  </w:style>
  <w:style w:type="paragraph" w:customStyle="1" w:styleId="xl111">
    <w:name w:val="xl111"/>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en-US"/>
    </w:rPr>
  </w:style>
  <w:style w:type="paragraph" w:customStyle="1" w:styleId="xl112">
    <w:name w:val="xl112"/>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lang w:val="en-US"/>
    </w:rPr>
  </w:style>
  <w:style w:type="paragraph" w:customStyle="1" w:styleId="xl113">
    <w:name w:val="xl113"/>
    <w:basedOn w:val="Normal"/>
    <w:rsid w:val="00FE13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en-US"/>
    </w:rPr>
  </w:style>
  <w:style w:type="character" w:customStyle="1" w:styleId="Heading3Char3">
    <w:name w:val="Heading 3 Char3"/>
    <w:aliases w:val="Char Char3,Heading 3 Char Char2,Char Char Char2,Heading 3 Char1 Char1,Heading 3 Char Char Char1,Char Char Char Char1,Char Char1 Char1,Heading 3 Char1 Char Char,Heading 3 Char Char Char Char,Char Char Char Char Char,Char Char1 Char Char"/>
    <w:link w:val="Heading3"/>
    <w:uiPriority w:val="9"/>
    <w:locked/>
    <w:rsid w:val="00FE13C4"/>
    <w:rPr>
      <w:sz w:val="22"/>
      <w:szCs w:val="22"/>
      <w:lang w:val="en-GB"/>
    </w:rPr>
  </w:style>
  <w:style w:type="character" w:customStyle="1" w:styleId="PlainTextChar">
    <w:name w:val="Plain Text Char"/>
    <w:basedOn w:val="DefaultParagraphFont"/>
    <w:link w:val="PlainText"/>
    <w:uiPriority w:val="99"/>
    <w:rsid w:val="00FE13C4"/>
    <w:rPr>
      <w:rFonts w:ascii="Courier New" w:hAnsi="Courier New" w:cs="Courier New"/>
      <w:szCs w:val="22"/>
      <w:lang w:val="en-GB"/>
    </w:rPr>
  </w:style>
  <w:style w:type="paragraph" w:customStyle="1" w:styleId="Default">
    <w:name w:val="Default"/>
    <w:rsid w:val="00FE13C4"/>
    <w:pPr>
      <w:autoSpaceDE w:val="0"/>
      <w:autoSpaceDN w:val="0"/>
      <w:adjustRightInd w:val="0"/>
    </w:pPr>
    <w:rPr>
      <w:rFonts w:eastAsiaTheme="minorHAnsi"/>
      <w:color w:val="000000"/>
      <w:sz w:val="24"/>
      <w:szCs w:val="24"/>
    </w:rPr>
  </w:style>
  <w:style w:type="paragraph" w:styleId="Revision">
    <w:name w:val="Revision"/>
    <w:hidden/>
    <w:uiPriority w:val="99"/>
    <w:semiHidden/>
    <w:rsid w:val="00FE13C4"/>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84th\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FC51483EAF9547AF5405F34A68D8CF" ma:contentTypeVersion="4" ma:contentTypeDescription="Create a new document." ma:contentTypeScope="" ma:versionID="bbbacc9f6101fc0892702c4e4b680072">
  <xsd:schema xmlns:xsd="http://www.w3.org/2001/XMLSchema" xmlns:p="http://schemas.microsoft.com/office/2006/metadata/properties" xmlns:ns2="6b03d5a6-c642-4a08-93b6-965b66bfac2e" xmlns:ns3="64e33b30-101d-41de-b951-961aab25ea29" targetNamespace="http://schemas.microsoft.com/office/2006/metadata/properties" ma:root="true" ma:fieldsID="39409073ccf1d849a0e0d716fd570e97"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100"/>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UNEP/OzL.Pro/ExCom/84/38</Document_x0020_Number>
    <DocumentType xmlns="64e33b30-101d-41de-b951-961aab25ea29">Pre-session</DocumentType>
  </documentManagement>
</p:properties>
</file>

<file path=customXml/itemProps1.xml><?xml version="1.0" encoding="utf-8"?>
<ds:datastoreItem xmlns:ds="http://schemas.openxmlformats.org/officeDocument/2006/customXml" ds:itemID="{D42AD7BE-19B6-4996-B0B4-EEFF467AFA25}"/>
</file>

<file path=customXml/itemProps2.xml><?xml version="1.0" encoding="utf-8"?>
<ds:datastoreItem xmlns:ds="http://schemas.openxmlformats.org/officeDocument/2006/customXml" ds:itemID="{36FC84F2-7CF2-460F-A8A2-E1A0DC4B42EE}"/>
</file>

<file path=customXml/itemProps3.xml><?xml version="1.0" encoding="utf-8"?>
<ds:datastoreItem xmlns:ds="http://schemas.openxmlformats.org/officeDocument/2006/customXml" ds:itemID="{50A1EEB4-F014-40B1-88B2-A29927302173}"/>
</file>

<file path=customXml/itemProps4.xml><?xml version="1.0" encoding="utf-8"?>
<ds:datastoreItem xmlns:ds="http://schemas.openxmlformats.org/officeDocument/2006/customXml" ds:itemID="{4EEA48A0-DA41-4F86-8F1C-4BF12FBCC576}"/>
</file>

<file path=docProps/app.xml><?xml version="1.0" encoding="utf-8"?>
<Properties xmlns="http://schemas.openxmlformats.org/officeDocument/2006/extended-properties" xmlns:vt="http://schemas.openxmlformats.org/officeDocument/2006/docPropsVTypes">
  <Template>Eec84G</Template>
  <TotalTime>23</TotalTime>
  <Pages>9</Pages>
  <Words>4136</Words>
  <Characters>22856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2020 Core Unit Costs for UNDP, UNIDO and the World Bank</vt:lpstr>
    </vt:vector>
  </TitlesOfParts>
  <Company/>
  <LinksUpToDate>false</LinksUpToDate>
  <CharactersWithSpaces>26939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core unit costs for UNDP, UNIDO and the World Bank</dc:title>
  <dc:creator>Muriel Aguiar</dc:creator>
  <cp:lastModifiedBy>Muriel Aguiar</cp:lastModifiedBy>
  <cp:revision>22</cp:revision>
  <cp:lastPrinted>2019-11-13T23:30:00Z</cp:lastPrinted>
  <dcterms:created xsi:type="dcterms:W3CDTF">2019-11-21T01:04:00Z</dcterms:created>
  <dcterms:modified xsi:type="dcterms:W3CDTF">2019-11-21T01:39:00Z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UNEP/OzL.Pro/ExCom/84/38</vt:lpwstr>
  </property>
  <property fmtid="{D5CDD505-2E9C-101B-9397-08002B2CF9AE}" pid="3" name="Revision date">
    <vt:lpwstr>11/20/2019</vt:lpwstr>
  </property>
  <property fmtid="{D5CDD505-2E9C-101B-9397-08002B2CF9AE}" pid="4" name="ContentTypeId">
    <vt:lpwstr>0x010100D1FC51483EAF9547AF5405F34A68D8CF</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