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BA" w:rsidRDefault="00264ACF" w:rsidP="00264ACF">
      <w:r>
        <w:rPr>
          <w:noProof/>
          <w:lang w:val="en-CA" w:eastAsia="zh-CN"/>
        </w:rPr>
        <w:drawing>
          <wp:anchor distT="0" distB="0" distL="114300" distR="114300" simplePos="0" relativeHeight="251658240" behindDoc="1" locked="0" layoutInCell="1" allowOverlap="1">
            <wp:simplePos x="0" y="0"/>
            <wp:positionH relativeFrom="margin">
              <wp:align>right</wp:align>
            </wp:positionH>
            <wp:positionV relativeFrom="paragraph">
              <wp:posOffset>31750</wp:posOffset>
            </wp:positionV>
            <wp:extent cx="5943600" cy="2948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48305"/>
                    </a:xfrm>
                    <a:prstGeom prst="rect">
                      <a:avLst/>
                    </a:prstGeom>
                  </pic:spPr>
                </pic:pic>
              </a:graphicData>
            </a:graphic>
            <wp14:sizeRelH relativeFrom="page">
              <wp14:pctWidth>0</wp14:pctWidth>
            </wp14:sizeRelH>
            <wp14:sizeRelV relativeFrom="page">
              <wp14:pctHeight>0</wp14:pctHeight>
            </wp14:sizeRelV>
          </wp:anchor>
        </w:drawing>
      </w:r>
      <w:r w:rsidR="006D1D2D">
        <w:t xml:space="preserve"> </w:t>
      </w:r>
    </w:p>
    <w:p w:rsidR="00D0546C" w:rsidRDefault="00D0546C" w:rsidP="00D0546C">
      <w:pPr>
        <w:tabs>
          <w:tab w:val="left" w:pos="1410"/>
        </w:tabs>
      </w:pPr>
    </w:p>
    <w:p w:rsidR="00D0546C" w:rsidRDefault="00D0546C" w:rsidP="003919B9">
      <w:pPr>
        <w:ind w:left="5040"/>
      </w:pPr>
    </w:p>
    <w:p w:rsidR="003919B9" w:rsidRDefault="005A4390" w:rsidP="003919B9">
      <w:pPr>
        <w:ind w:left="5040"/>
      </w:pPr>
      <w:r>
        <w:t xml:space="preserve"> </w:t>
      </w:r>
      <w:r>
        <w:br/>
        <w:t xml:space="preserve">   </w:t>
      </w:r>
      <w:r w:rsidR="00D0546C">
        <w:br/>
      </w:r>
      <w:r w:rsidR="00D0546C">
        <w:br/>
      </w:r>
      <w:r w:rsidR="00D0546C">
        <w:br/>
      </w:r>
      <w:r w:rsidR="00264ACF">
        <w:t xml:space="preserve">   </w:t>
      </w:r>
      <w:fldSimple w:instr=" DOCPROPERTY &quot;Document number&quot;  \* MERGEFORMAT ">
        <w:r w:rsidR="00750633">
          <w:t>UNEP/OzL.Pro/ExCom/84/28</w:t>
        </w:r>
      </w:fldSimple>
      <w:r w:rsidR="003919B9">
        <w:br/>
        <w:t xml:space="preserve">   </w:t>
      </w:r>
      <w:r w:rsidR="003919B9">
        <w:fldChar w:fldCharType="begin"/>
      </w:r>
      <w:r w:rsidR="003919B9">
        <w:instrText xml:space="preserve"> DOCPROPERTY "Revision date" \@ "d MMMM YYYY"  \* MERGEFORMAT </w:instrText>
      </w:r>
      <w:r w:rsidR="003919B9">
        <w:fldChar w:fldCharType="separate"/>
      </w:r>
      <w:r w:rsidR="00B55614">
        <w:t>20 November 2019</w:t>
      </w:r>
      <w:r w:rsidR="003919B9">
        <w:fldChar w:fldCharType="end"/>
      </w:r>
    </w:p>
    <w:p w:rsidR="003919B9" w:rsidRPr="003F73BA" w:rsidRDefault="003919B9" w:rsidP="003919B9"/>
    <w:p w:rsidR="00EE66BA" w:rsidRDefault="00EE66BA" w:rsidP="001C3C80">
      <w:pPr>
        <w:tabs>
          <w:tab w:val="left" w:pos="8280"/>
        </w:tabs>
      </w:pPr>
    </w:p>
    <w:p w:rsidR="003919B9" w:rsidRDefault="003919B9" w:rsidP="001C3C80">
      <w:pPr>
        <w:tabs>
          <w:tab w:val="left" w:pos="8280"/>
        </w:tabs>
      </w:pPr>
    </w:p>
    <w:p w:rsidR="003919B9" w:rsidRDefault="00D66982" w:rsidP="00D66982">
      <w:pPr>
        <w:tabs>
          <w:tab w:val="left" w:pos="3940"/>
        </w:tabs>
      </w:pPr>
      <w:r>
        <w:tab/>
      </w: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3919B9" w:rsidRDefault="003919B9" w:rsidP="001C3C80">
      <w:pPr>
        <w:tabs>
          <w:tab w:val="left" w:pos="8280"/>
        </w:tabs>
      </w:pPr>
    </w:p>
    <w:p w:rsidR="000E59CB" w:rsidRDefault="000E59CB" w:rsidP="001C3C80">
      <w:pPr>
        <w:tabs>
          <w:tab w:val="left" w:pos="8280"/>
        </w:tabs>
      </w:pPr>
    </w:p>
    <w:p w:rsidR="004731B8" w:rsidRDefault="004731B8" w:rsidP="001C3C80">
      <w:pPr>
        <w:tabs>
          <w:tab w:val="left" w:pos="8280"/>
        </w:tabs>
      </w:pPr>
    </w:p>
    <w:p w:rsidR="003E4827" w:rsidRPr="0092521A" w:rsidRDefault="003E4827" w:rsidP="003E4827">
      <w:pPr>
        <w:pStyle w:val="Title1"/>
      </w:pPr>
    </w:p>
    <w:p w:rsidR="003E4827" w:rsidRDefault="003E4827" w:rsidP="007C7992">
      <w:pPr>
        <w:pStyle w:val="Title2"/>
        <w:rPr>
          <w:caps w:val="0"/>
        </w:rPr>
      </w:pPr>
      <w:r w:rsidRPr="000C080B">
        <w:rPr>
          <w:caps w:val="0"/>
        </w:rPr>
        <w:t xml:space="preserve">UNDP BUSINESS </w:t>
      </w:r>
      <w:smartTag w:uri="urn:schemas-microsoft-com:office:smarttags" w:element="stockticker">
        <w:r w:rsidRPr="000C080B">
          <w:rPr>
            <w:caps w:val="0"/>
          </w:rPr>
          <w:t>PLAN</w:t>
        </w:r>
      </w:smartTag>
      <w:r w:rsidRPr="000C080B">
        <w:rPr>
          <w:caps w:val="0"/>
        </w:rPr>
        <w:t xml:space="preserve"> FOR 2020–2022</w:t>
      </w:r>
    </w:p>
    <w:p w:rsidR="003E4827" w:rsidRPr="000C080B" w:rsidRDefault="003E4827" w:rsidP="007C7992">
      <w:pPr>
        <w:jc w:val="center"/>
        <w:rPr>
          <w:b/>
        </w:rPr>
      </w:pPr>
    </w:p>
    <w:p w:rsidR="003E4827" w:rsidRPr="000C080B" w:rsidRDefault="003E4827" w:rsidP="007C7992">
      <w:pPr>
        <w:pStyle w:val="Heading1"/>
      </w:pPr>
      <w:r w:rsidRPr="000C080B">
        <w:t>This document presents the UNDP business plan for 2020–2022</w:t>
      </w:r>
      <w:r w:rsidRPr="000C080B">
        <w:rPr>
          <w:rStyle w:val="FootnoteReference"/>
        </w:rPr>
        <w:footnoteReference w:id="1"/>
      </w:r>
      <w:r w:rsidRPr="000C080B">
        <w:t xml:space="preserve"> and includes: the planned activities for the phase-out of controlled substances under the Montreal Protocol (controlled substances) during the 2020–2022 period; the business plan performance indicators</w:t>
      </w:r>
      <w:r w:rsidR="00B55614">
        <w:t>; policy issues</w:t>
      </w:r>
      <w:r w:rsidRPr="000C080B">
        <w:t xml:space="preserve">; and a recommendation for consideration by the Executive Committee. </w:t>
      </w:r>
      <w:r w:rsidRPr="000C080B">
        <w:rPr>
          <w:lang w:val="en-CA"/>
        </w:rPr>
        <w:t xml:space="preserve">The narrative of UNDP’s business plan for </w:t>
      </w:r>
      <w:r w:rsidRPr="000C080B">
        <w:t xml:space="preserve">2020–2022 </w:t>
      </w:r>
      <w:r w:rsidRPr="000C080B">
        <w:rPr>
          <w:lang w:val="en-CA"/>
        </w:rPr>
        <w:t>is attached to the present document</w:t>
      </w:r>
      <w:r w:rsidRPr="000C080B">
        <w:t>.</w:t>
      </w:r>
    </w:p>
    <w:p w:rsidR="003E4827" w:rsidRPr="000C080B" w:rsidRDefault="003E4827" w:rsidP="007C7992">
      <w:pPr>
        <w:rPr>
          <w:b/>
        </w:rPr>
      </w:pPr>
      <w:r w:rsidRPr="000C080B">
        <w:rPr>
          <w:b/>
        </w:rPr>
        <w:t>Planned activities during 2020–2022</w:t>
      </w:r>
    </w:p>
    <w:p w:rsidR="003E4827" w:rsidRPr="000C080B" w:rsidRDefault="003E4827" w:rsidP="007C7992"/>
    <w:p w:rsidR="003E4827" w:rsidRPr="000C080B" w:rsidRDefault="003E4827" w:rsidP="007C7992">
      <w:pPr>
        <w:pStyle w:val="Heading1"/>
      </w:pPr>
      <w:r w:rsidRPr="000C080B">
        <w:t>Table 1 sets out, by year, the value of activities included in UNDP’s business plan.</w:t>
      </w:r>
    </w:p>
    <w:p w:rsidR="003E4827" w:rsidRPr="000C080B" w:rsidRDefault="003E4827" w:rsidP="007C7992">
      <w:pPr>
        <w:pStyle w:val="subhead"/>
        <w:keepNext/>
        <w:jc w:val="both"/>
        <w:rPr>
          <w:b/>
          <w:sz w:val="22"/>
          <w:szCs w:val="22"/>
          <w:lang w:val="en-CA"/>
        </w:rPr>
      </w:pPr>
      <w:r w:rsidRPr="000C080B">
        <w:rPr>
          <w:b/>
          <w:sz w:val="22"/>
          <w:szCs w:val="22"/>
          <w:lang w:val="en-CA"/>
        </w:rPr>
        <w:t>Table 1</w:t>
      </w:r>
      <w:r w:rsidR="00A21612">
        <w:rPr>
          <w:b/>
          <w:sz w:val="22"/>
          <w:szCs w:val="22"/>
          <w:lang w:val="en-CA"/>
        </w:rPr>
        <w:t>.</w:t>
      </w:r>
      <w:r w:rsidRPr="000C080B">
        <w:rPr>
          <w:b/>
          <w:sz w:val="22"/>
          <w:szCs w:val="22"/>
          <w:lang w:val="en-CA"/>
        </w:rPr>
        <w:t xml:space="preserve"> Resource allocation in the UNDP business plan for 2020–2022 as submitted (US $000s)*</w:t>
      </w:r>
    </w:p>
    <w:tbl>
      <w:tblPr>
        <w:tblW w:w="9634" w:type="dxa"/>
        <w:tblLook w:val="04A0" w:firstRow="1" w:lastRow="0" w:firstColumn="1" w:lastColumn="0" w:noHBand="0" w:noVBand="1"/>
      </w:tblPr>
      <w:tblGrid>
        <w:gridCol w:w="3397"/>
        <w:gridCol w:w="1134"/>
        <w:gridCol w:w="1134"/>
        <w:gridCol w:w="1134"/>
        <w:gridCol w:w="1660"/>
        <w:gridCol w:w="1175"/>
      </w:tblGrid>
      <w:tr w:rsidR="00221429" w:rsidRPr="000C080B" w:rsidTr="00221429">
        <w:trPr>
          <w:trHeight w:val="236"/>
          <w:tblHeader/>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rsidR="00221429" w:rsidRPr="000C080B" w:rsidRDefault="00221429" w:rsidP="007C7992">
            <w:pPr>
              <w:jc w:val="center"/>
              <w:rPr>
                <w:b/>
                <w:bCs/>
                <w:sz w:val="20"/>
                <w:szCs w:val="20"/>
                <w:lang w:val="en-CA" w:eastAsia="en-CA"/>
              </w:rPr>
            </w:pPr>
            <w:r w:rsidRPr="000C080B">
              <w:rPr>
                <w:b/>
                <w:bCs/>
                <w:sz w:val="20"/>
                <w:szCs w:val="20"/>
                <w:lang w:val="en-CA" w:eastAsia="en-CA"/>
              </w:rPr>
              <w:t> </w:t>
            </w:r>
          </w:p>
        </w:tc>
        <w:tc>
          <w:tcPr>
            <w:tcW w:w="1134" w:type="dxa"/>
            <w:tcBorders>
              <w:top w:val="single" w:sz="4" w:space="0" w:color="auto"/>
              <w:left w:val="nil"/>
              <w:bottom w:val="single" w:sz="4" w:space="0" w:color="auto"/>
              <w:right w:val="single" w:sz="4" w:space="0" w:color="auto"/>
            </w:tcBorders>
            <w:shd w:val="clear" w:color="auto" w:fill="auto"/>
            <w:hideMark/>
          </w:tcPr>
          <w:p w:rsidR="00221429" w:rsidRPr="000C080B" w:rsidRDefault="00221429" w:rsidP="007C7992">
            <w:pPr>
              <w:jc w:val="center"/>
              <w:rPr>
                <w:b/>
                <w:bCs/>
                <w:sz w:val="20"/>
                <w:szCs w:val="20"/>
                <w:lang w:val="en-CA" w:eastAsia="en-CA"/>
              </w:rPr>
            </w:pPr>
            <w:r w:rsidRPr="000C080B">
              <w:rPr>
                <w:b/>
                <w:bCs/>
                <w:sz w:val="20"/>
                <w:szCs w:val="20"/>
                <w:lang w:val="en-CA" w:eastAsia="en-CA"/>
              </w:rPr>
              <w:t>2020</w:t>
            </w:r>
          </w:p>
        </w:tc>
        <w:tc>
          <w:tcPr>
            <w:tcW w:w="1134" w:type="dxa"/>
            <w:tcBorders>
              <w:top w:val="single" w:sz="4" w:space="0" w:color="auto"/>
              <w:left w:val="nil"/>
              <w:bottom w:val="single" w:sz="4" w:space="0" w:color="auto"/>
              <w:right w:val="single" w:sz="4" w:space="0" w:color="auto"/>
            </w:tcBorders>
            <w:shd w:val="clear" w:color="auto" w:fill="auto"/>
            <w:hideMark/>
          </w:tcPr>
          <w:p w:rsidR="00221429" w:rsidRPr="000C080B" w:rsidRDefault="00221429" w:rsidP="007C7992">
            <w:pPr>
              <w:jc w:val="center"/>
              <w:rPr>
                <w:b/>
                <w:bCs/>
                <w:sz w:val="20"/>
                <w:szCs w:val="20"/>
                <w:lang w:val="en-CA" w:eastAsia="en-CA"/>
              </w:rPr>
            </w:pPr>
            <w:r w:rsidRPr="000C080B">
              <w:rPr>
                <w:b/>
                <w:bCs/>
                <w:sz w:val="20"/>
                <w:szCs w:val="20"/>
                <w:lang w:val="en-CA" w:eastAsia="en-CA"/>
              </w:rPr>
              <w:t>2021</w:t>
            </w:r>
          </w:p>
        </w:tc>
        <w:tc>
          <w:tcPr>
            <w:tcW w:w="1134" w:type="dxa"/>
            <w:tcBorders>
              <w:top w:val="single" w:sz="4" w:space="0" w:color="auto"/>
              <w:left w:val="nil"/>
              <w:bottom w:val="single" w:sz="4" w:space="0" w:color="auto"/>
              <w:right w:val="single" w:sz="4" w:space="0" w:color="auto"/>
            </w:tcBorders>
            <w:shd w:val="clear" w:color="auto" w:fill="auto"/>
            <w:hideMark/>
          </w:tcPr>
          <w:p w:rsidR="00221429" w:rsidRPr="000C080B" w:rsidRDefault="00221429" w:rsidP="007C7992">
            <w:pPr>
              <w:jc w:val="center"/>
              <w:rPr>
                <w:b/>
                <w:bCs/>
                <w:sz w:val="20"/>
                <w:szCs w:val="20"/>
                <w:lang w:val="en-CA" w:eastAsia="en-CA"/>
              </w:rPr>
            </w:pPr>
            <w:r w:rsidRPr="000C080B">
              <w:rPr>
                <w:b/>
                <w:bCs/>
                <w:sz w:val="20"/>
                <w:szCs w:val="20"/>
                <w:lang w:val="en-CA" w:eastAsia="en-CA"/>
              </w:rPr>
              <w:t>2022</w:t>
            </w:r>
          </w:p>
        </w:tc>
        <w:tc>
          <w:tcPr>
            <w:tcW w:w="1660" w:type="dxa"/>
            <w:tcBorders>
              <w:top w:val="single" w:sz="4" w:space="0" w:color="auto"/>
              <w:left w:val="nil"/>
              <w:bottom w:val="single" w:sz="4" w:space="0" w:color="auto"/>
              <w:right w:val="single" w:sz="4" w:space="0" w:color="auto"/>
            </w:tcBorders>
            <w:shd w:val="clear" w:color="auto" w:fill="auto"/>
            <w:hideMark/>
          </w:tcPr>
          <w:p w:rsidR="00221429" w:rsidRPr="000C080B" w:rsidRDefault="00221429" w:rsidP="007C7992">
            <w:pPr>
              <w:jc w:val="center"/>
              <w:rPr>
                <w:b/>
                <w:bCs/>
                <w:sz w:val="20"/>
                <w:szCs w:val="20"/>
                <w:lang w:val="en-CA" w:eastAsia="en-CA"/>
              </w:rPr>
            </w:pPr>
            <w:r w:rsidRPr="000C080B">
              <w:rPr>
                <w:b/>
                <w:bCs/>
                <w:sz w:val="20"/>
                <w:szCs w:val="20"/>
                <w:lang w:val="en-CA" w:eastAsia="en-CA"/>
              </w:rPr>
              <w:t xml:space="preserve">Total </w:t>
            </w:r>
          </w:p>
          <w:p w:rsidR="00221429" w:rsidRPr="000C080B" w:rsidRDefault="00221429" w:rsidP="007C7992">
            <w:pPr>
              <w:jc w:val="center"/>
              <w:rPr>
                <w:b/>
                <w:bCs/>
                <w:sz w:val="20"/>
                <w:szCs w:val="20"/>
                <w:lang w:val="en-CA" w:eastAsia="en-CA"/>
              </w:rPr>
            </w:pPr>
            <w:r w:rsidRPr="000C080B">
              <w:rPr>
                <w:b/>
                <w:bCs/>
                <w:sz w:val="20"/>
                <w:szCs w:val="20"/>
                <w:lang w:val="en-CA" w:eastAsia="en-CA"/>
              </w:rPr>
              <w:t>(2020–2022)</w:t>
            </w:r>
          </w:p>
        </w:tc>
        <w:tc>
          <w:tcPr>
            <w:tcW w:w="1175" w:type="dxa"/>
            <w:tcBorders>
              <w:top w:val="single" w:sz="4" w:space="0" w:color="auto"/>
              <w:left w:val="nil"/>
              <w:bottom w:val="single" w:sz="4" w:space="0" w:color="auto"/>
              <w:right w:val="single" w:sz="4" w:space="0" w:color="auto"/>
            </w:tcBorders>
            <w:shd w:val="clear" w:color="auto" w:fill="auto"/>
            <w:hideMark/>
          </w:tcPr>
          <w:p w:rsidR="00221429" w:rsidRPr="000C080B" w:rsidRDefault="00221429" w:rsidP="007C7992">
            <w:pPr>
              <w:jc w:val="center"/>
              <w:rPr>
                <w:b/>
                <w:bCs/>
                <w:sz w:val="20"/>
                <w:szCs w:val="20"/>
                <w:lang w:val="en-CA" w:eastAsia="en-CA"/>
              </w:rPr>
            </w:pPr>
            <w:r w:rsidRPr="000C080B">
              <w:rPr>
                <w:b/>
                <w:bCs/>
                <w:sz w:val="20"/>
                <w:szCs w:val="20"/>
                <w:lang w:val="en-CA" w:eastAsia="en-CA"/>
              </w:rPr>
              <w:t>Total after 2022</w:t>
            </w:r>
          </w:p>
        </w:tc>
      </w:tr>
      <w:tr w:rsidR="00221429" w:rsidRPr="00E30335" w:rsidTr="00221429">
        <w:trPr>
          <w:trHeight w:val="264"/>
        </w:trPr>
        <w:tc>
          <w:tcPr>
            <w:tcW w:w="963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21429" w:rsidRPr="00E30335" w:rsidRDefault="00C874CC" w:rsidP="007C7992">
            <w:pPr>
              <w:jc w:val="left"/>
              <w:rPr>
                <w:b/>
                <w:bCs/>
                <w:sz w:val="20"/>
                <w:szCs w:val="20"/>
                <w:lang w:val="en-CA" w:eastAsia="en-CA"/>
              </w:rPr>
            </w:pPr>
            <w:r w:rsidRPr="00E30335">
              <w:rPr>
                <w:b/>
                <w:bCs/>
                <w:sz w:val="20"/>
                <w:szCs w:val="20"/>
                <w:lang w:val="en-CA" w:eastAsia="en-CA"/>
              </w:rPr>
              <w:t>HCFC activities</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sz w:val="20"/>
                <w:szCs w:val="20"/>
                <w:lang w:val="en-CA" w:eastAsia="en-CA"/>
              </w:rPr>
            </w:pPr>
            <w:r w:rsidRPr="00E30335">
              <w:rPr>
                <w:sz w:val="20"/>
                <w:szCs w:val="20"/>
                <w:lang w:val="en-CA" w:eastAsia="en-CA"/>
              </w:rPr>
              <w:t>Approved HCFC phase-out management plans (HPMPs)</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48,971</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31,394</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38,467</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118,832</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2,571</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sz w:val="20"/>
                <w:szCs w:val="20"/>
                <w:lang w:val="en-CA" w:eastAsia="en-CA"/>
              </w:rPr>
            </w:pPr>
            <w:r w:rsidRPr="00E30335">
              <w:rPr>
                <w:sz w:val="20"/>
                <w:szCs w:val="20"/>
                <w:lang w:val="en-CA" w:eastAsia="en-CA"/>
              </w:rPr>
              <w:t xml:space="preserve">HPMP project preparation (PRP) </w:t>
            </w:r>
            <w:r w:rsidR="00C82129" w:rsidRPr="00E30335">
              <w:rPr>
                <w:sz w:val="20"/>
                <w:szCs w:val="20"/>
                <w:lang w:val="en-CA" w:eastAsia="en-CA"/>
              </w:rPr>
              <w:t>–</w:t>
            </w:r>
            <w:r w:rsidRPr="00E30335">
              <w:rPr>
                <w:sz w:val="20"/>
                <w:szCs w:val="20"/>
                <w:lang w:val="en-CA" w:eastAsia="en-CA"/>
              </w:rPr>
              <w:t xml:space="preserve"> stage II</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10</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0</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10</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0</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sz w:val="20"/>
                <w:szCs w:val="20"/>
                <w:lang w:val="en-CA" w:eastAsia="en-CA"/>
              </w:rPr>
            </w:pPr>
            <w:r w:rsidRPr="00E30335">
              <w:rPr>
                <w:sz w:val="20"/>
                <w:szCs w:val="20"/>
                <w:lang w:val="en-CA" w:eastAsia="en-CA"/>
              </w:rPr>
              <w:t xml:space="preserve">HPMP stage II </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1,691</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2,153</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136</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3,981</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3,915</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sz w:val="20"/>
                <w:szCs w:val="20"/>
                <w:lang w:val="en-CA" w:eastAsia="en-CA"/>
              </w:rPr>
            </w:pPr>
            <w:r w:rsidRPr="00E30335">
              <w:rPr>
                <w:sz w:val="20"/>
                <w:szCs w:val="20"/>
                <w:lang w:val="en-CA" w:eastAsia="en-CA"/>
              </w:rPr>
              <w:t xml:space="preserve">HPMP PRP </w:t>
            </w:r>
            <w:r w:rsidR="00302C39" w:rsidRPr="00E30335">
              <w:rPr>
                <w:sz w:val="20"/>
                <w:szCs w:val="20"/>
                <w:lang w:val="en-CA" w:eastAsia="en-CA"/>
              </w:rPr>
              <w:t>–</w:t>
            </w:r>
            <w:r w:rsidRPr="00E30335">
              <w:rPr>
                <w:sz w:val="20"/>
                <w:szCs w:val="20"/>
                <w:lang w:val="en-CA" w:eastAsia="en-CA"/>
              </w:rPr>
              <w:t xml:space="preserve"> stage</w:t>
            </w:r>
            <w:r w:rsidR="00302C39" w:rsidRPr="00E30335">
              <w:rPr>
                <w:sz w:val="20"/>
                <w:szCs w:val="20"/>
                <w:lang w:val="en-CA" w:eastAsia="en-CA"/>
              </w:rPr>
              <w:t xml:space="preserve"> </w:t>
            </w:r>
            <w:r w:rsidRPr="00E30335">
              <w:rPr>
                <w:sz w:val="20"/>
                <w:szCs w:val="20"/>
                <w:lang w:val="en-CA" w:eastAsia="en-CA"/>
              </w:rPr>
              <w:t>III</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789</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415</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182</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1,386</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0</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sz w:val="20"/>
                <w:szCs w:val="20"/>
                <w:lang w:val="en-CA" w:eastAsia="en-CA"/>
              </w:rPr>
            </w:pPr>
            <w:r w:rsidRPr="00E30335">
              <w:rPr>
                <w:sz w:val="20"/>
                <w:szCs w:val="20"/>
                <w:lang w:val="en-CA" w:eastAsia="en-CA"/>
              </w:rPr>
              <w:t>HPMP stage III</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1,127</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912</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949</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2,988</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5,075</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b/>
                <w:bCs/>
                <w:sz w:val="20"/>
                <w:szCs w:val="20"/>
                <w:lang w:val="en-CA" w:eastAsia="en-CA"/>
              </w:rPr>
            </w:pPr>
            <w:r w:rsidRPr="00E30335">
              <w:rPr>
                <w:b/>
                <w:bCs/>
                <w:sz w:val="20"/>
                <w:szCs w:val="20"/>
                <w:lang w:val="en-CA" w:eastAsia="en-CA"/>
              </w:rPr>
              <w:t xml:space="preserve">   </w:t>
            </w:r>
            <w:r w:rsidR="00C874CC" w:rsidRPr="00E30335">
              <w:rPr>
                <w:b/>
                <w:bCs/>
                <w:sz w:val="20"/>
                <w:szCs w:val="20"/>
                <w:lang w:val="en-CA" w:eastAsia="en-CA"/>
              </w:rPr>
              <w:t>HCFC activities</w:t>
            </w:r>
            <w:r w:rsidRPr="00E30335">
              <w:rPr>
                <w:b/>
                <w:bCs/>
                <w:sz w:val="20"/>
                <w:szCs w:val="20"/>
                <w:lang w:val="en-CA" w:eastAsia="en-CA"/>
              </w:rPr>
              <w:t xml:space="preserve"> subtotal</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52,589</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34,874</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39,734</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127,197</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11,561</w:t>
            </w:r>
          </w:p>
        </w:tc>
      </w:tr>
      <w:tr w:rsidR="00221429" w:rsidRPr="00E30335" w:rsidTr="00221429">
        <w:trPr>
          <w:trHeight w:val="264"/>
        </w:trPr>
        <w:tc>
          <w:tcPr>
            <w:tcW w:w="963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b/>
                <w:bCs/>
                <w:sz w:val="20"/>
                <w:szCs w:val="20"/>
                <w:lang w:val="en-CA" w:eastAsia="en-CA"/>
              </w:rPr>
            </w:pPr>
            <w:r w:rsidRPr="00E30335">
              <w:rPr>
                <w:b/>
                <w:bCs/>
                <w:sz w:val="20"/>
                <w:szCs w:val="20"/>
                <w:lang w:val="en-CA" w:eastAsia="en-CA"/>
              </w:rPr>
              <w:t>HFC activities</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sz w:val="20"/>
                <w:szCs w:val="20"/>
                <w:lang w:val="en-CA" w:eastAsia="en-CA"/>
              </w:rPr>
            </w:pPr>
            <w:r w:rsidRPr="00E30335">
              <w:rPr>
                <w:sz w:val="20"/>
                <w:szCs w:val="20"/>
                <w:lang w:val="en-CA" w:eastAsia="en-CA"/>
              </w:rPr>
              <w:t xml:space="preserve">HFC </w:t>
            </w:r>
            <w:r w:rsidR="00C82129" w:rsidRPr="00E30335">
              <w:rPr>
                <w:sz w:val="20"/>
                <w:szCs w:val="20"/>
                <w:lang w:val="en-CA" w:eastAsia="en-CA"/>
              </w:rPr>
              <w:t>–</w:t>
            </w:r>
            <w:r w:rsidRPr="00E30335">
              <w:rPr>
                <w:sz w:val="20"/>
                <w:szCs w:val="20"/>
                <w:lang w:val="en-CA" w:eastAsia="en-CA"/>
              </w:rPr>
              <w:t xml:space="preserve"> enabling</w:t>
            </w:r>
            <w:r w:rsidR="00C82129" w:rsidRPr="00E30335">
              <w:rPr>
                <w:sz w:val="20"/>
                <w:szCs w:val="20"/>
                <w:lang w:val="en-CA" w:eastAsia="en-CA"/>
              </w:rPr>
              <w:t xml:space="preserve"> </w:t>
            </w:r>
            <w:r w:rsidRPr="00E30335">
              <w:rPr>
                <w:sz w:val="20"/>
                <w:szCs w:val="20"/>
                <w:lang w:val="en-CA" w:eastAsia="en-CA"/>
              </w:rPr>
              <w:t>activities</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102</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7C0D4C" w:rsidP="007C7992">
            <w:pPr>
              <w:jc w:val="right"/>
              <w:rPr>
                <w:sz w:val="20"/>
                <w:szCs w:val="20"/>
                <w:lang w:val="en-CA" w:eastAsia="en-CA"/>
              </w:rPr>
            </w:pPr>
            <w:r w:rsidRPr="00E30335">
              <w:rPr>
                <w:sz w:val="20"/>
                <w:szCs w:val="20"/>
                <w:lang w:val="en-CA" w:eastAsia="en-CA"/>
              </w:rPr>
              <w:t>0</w:t>
            </w:r>
            <w:r w:rsidR="00221429" w:rsidRPr="00E30335">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7C0D4C" w:rsidP="007C7992">
            <w:pPr>
              <w:jc w:val="right"/>
              <w:rPr>
                <w:sz w:val="20"/>
                <w:szCs w:val="20"/>
                <w:lang w:val="en-CA" w:eastAsia="en-CA"/>
              </w:rPr>
            </w:pPr>
            <w:r w:rsidRPr="00E30335">
              <w:rPr>
                <w:sz w:val="20"/>
                <w:szCs w:val="20"/>
                <w:lang w:val="en-CA" w:eastAsia="en-CA"/>
              </w:rPr>
              <w:t>0</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7C0D4C" w:rsidP="007C7992">
            <w:pPr>
              <w:jc w:val="right"/>
              <w:rPr>
                <w:sz w:val="20"/>
                <w:szCs w:val="20"/>
                <w:lang w:val="en-CA" w:eastAsia="en-CA"/>
              </w:rPr>
            </w:pPr>
            <w:r w:rsidRPr="00E30335">
              <w:rPr>
                <w:sz w:val="20"/>
                <w:szCs w:val="20"/>
                <w:lang w:val="en-CA" w:eastAsia="en-CA"/>
              </w:rPr>
              <w:t>0</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7C0D4C" w:rsidP="007C7992">
            <w:pPr>
              <w:jc w:val="right"/>
              <w:rPr>
                <w:sz w:val="20"/>
                <w:szCs w:val="20"/>
                <w:lang w:val="en-CA" w:eastAsia="en-CA"/>
              </w:rPr>
            </w:pPr>
            <w:r w:rsidRPr="00E30335">
              <w:rPr>
                <w:sz w:val="20"/>
                <w:szCs w:val="20"/>
                <w:lang w:val="en-CA" w:eastAsia="en-CA"/>
              </w:rPr>
              <w:t>0</w:t>
            </w:r>
          </w:p>
        </w:tc>
      </w:tr>
      <w:tr w:rsidR="00033FA3" w:rsidRPr="00E30335" w:rsidTr="007D6EF1">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033FA3" w:rsidRPr="00E30335" w:rsidRDefault="00033FA3" w:rsidP="007C7992">
            <w:pPr>
              <w:jc w:val="left"/>
              <w:rPr>
                <w:sz w:val="20"/>
                <w:szCs w:val="20"/>
                <w:lang w:val="en-CA" w:eastAsia="en-CA"/>
              </w:rPr>
            </w:pPr>
            <w:r w:rsidRPr="00E30335">
              <w:rPr>
                <w:sz w:val="20"/>
                <w:szCs w:val="20"/>
                <w:lang w:val="en-CA" w:eastAsia="en-CA"/>
              </w:rPr>
              <w:t xml:space="preserve">HFC phase-down plan </w:t>
            </w:r>
            <w:r w:rsidR="00B41BAF" w:rsidRPr="00E30335">
              <w:rPr>
                <w:sz w:val="20"/>
                <w:szCs w:val="20"/>
                <w:lang w:val="en-CA" w:eastAsia="en-CA"/>
              </w:rPr>
              <w:t>–</w:t>
            </w:r>
            <w:r w:rsidRPr="00E30335">
              <w:rPr>
                <w:sz w:val="20"/>
                <w:szCs w:val="20"/>
                <w:lang w:val="en-CA" w:eastAsia="en-CA"/>
              </w:rPr>
              <w:t xml:space="preserve"> PRP</w:t>
            </w:r>
          </w:p>
        </w:tc>
        <w:tc>
          <w:tcPr>
            <w:tcW w:w="1134" w:type="dxa"/>
            <w:tcBorders>
              <w:top w:val="nil"/>
              <w:left w:val="nil"/>
              <w:bottom w:val="single" w:sz="4" w:space="0" w:color="auto"/>
              <w:right w:val="single" w:sz="4" w:space="0" w:color="auto"/>
            </w:tcBorders>
            <w:shd w:val="clear" w:color="auto" w:fill="auto"/>
            <w:noWrap/>
            <w:hideMark/>
          </w:tcPr>
          <w:p w:rsidR="00033FA3" w:rsidRPr="00E30335" w:rsidRDefault="00033FA3" w:rsidP="007C7992">
            <w:pPr>
              <w:jc w:val="right"/>
              <w:rPr>
                <w:sz w:val="20"/>
                <w:szCs w:val="20"/>
                <w:lang w:val="en-CA" w:eastAsia="en-CA"/>
              </w:rPr>
            </w:pPr>
            <w:r w:rsidRPr="00E30335">
              <w:rPr>
                <w:sz w:val="20"/>
                <w:szCs w:val="20"/>
                <w:lang w:val="en-CA" w:eastAsia="en-CA"/>
              </w:rPr>
              <w:t>1,768</w:t>
            </w:r>
          </w:p>
        </w:tc>
        <w:tc>
          <w:tcPr>
            <w:tcW w:w="1134" w:type="dxa"/>
            <w:tcBorders>
              <w:top w:val="nil"/>
              <w:left w:val="nil"/>
              <w:bottom w:val="single" w:sz="4" w:space="0" w:color="auto"/>
              <w:right w:val="single" w:sz="4" w:space="0" w:color="auto"/>
            </w:tcBorders>
            <w:shd w:val="clear" w:color="auto" w:fill="auto"/>
            <w:noWrap/>
            <w:hideMark/>
          </w:tcPr>
          <w:p w:rsidR="00033FA3" w:rsidRPr="00E30335" w:rsidRDefault="00033FA3" w:rsidP="007C7992">
            <w:pPr>
              <w:jc w:val="right"/>
              <w:rPr>
                <w:sz w:val="20"/>
                <w:szCs w:val="20"/>
                <w:lang w:val="en-CA" w:eastAsia="en-CA"/>
              </w:rPr>
            </w:pPr>
            <w:r w:rsidRPr="00E30335">
              <w:rPr>
                <w:sz w:val="20"/>
                <w:szCs w:val="20"/>
                <w:lang w:val="en-CA" w:eastAsia="en-CA"/>
              </w:rPr>
              <w:t>1,286</w:t>
            </w:r>
          </w:p>
        </w:tc>
        <w:tc>
          <w:tcPr>
            <w:tcW w:w="1134" w:type="dxa"/>
            <w:tcBorders>
              <w:top w:val="nil"/>
              <w:left w:val="nil"/>
              <w:bottom w:val="single" w:sz="4" w:space="0" w:color="auto"/>
              <w:right w:val="single" w:sz="4" w:space="0" w:color="auto"/>
            </w:tcBorders>
            <w:shd w:val="clear" w:color="auto" w:fill="auto"/>
            <w:noWrap/>
            <w:hideMark/>
          </w:tcPr>
          <w:p w:rsidR="00033FA3" w:rsidRPr="00E30335" w:rsidRDefault="00033FA3" w:rsidP="007C7992">
            <w:pPr>
              <w:jc w:val="right"/>
              <w:rPr>
                <w:sz w:val="20"/>
                <w:szCs w:val="20"/>
                <w:lang w:val="en-CA" w:eastAsia="en-CA"/>
              </w:rPr>
            </w:pPr>
            <w:r w:rsidRPr="00E30335">
              <w:rPr>
                <w:sz w:val="20"/>
                <w:szCs w:val="20"/>
                <w:lang w:val="en-CA" w:eastAsia="en-CA"/>
              </w:rPr>
              <w:t>478</w:t>
            </w:r>
          </w:p>
        </w:tc>
        <w:tc>
          <w:tcPr>
            <w:tcW w:w="1660" w:type="dxa"/>
            <w:tcBorders>
              <w:top w:val="nil"/>
              <w:left w:val="nil"/>
              <w:bottom w:val="single" w:sz="4" w:space="0" w:color="auto"/>
              <w:right w:val="single" w:sz="4" w:space="0" w:color="auto"/>
            </w:tcBorders>
            <w:shd w:val="clear" w:color="auto" w:fill="auto"/>
            <w:noWrap/>
            <w:hideMark/>
          </w:tcPr>
          <w:p w:rsidR="00033FA3" w:rsidRPr="00E30335" w:rsidRDefault="00033FA3" w:rsidP="007C7992">
            <w:pPr>
              <w:jc w:val="right"/>
              <w:rPr>
                <w:sz w:val="20"/>
                <w:szCs w:val="20"/>
                <w:lang w:val="en-CA" w:eastAsia="en-CA"/>
              </w:rPr>
            </w:pPr>
            <w:r w:rsidRPr="00E30335">
              <w:rPr>
                <w:sz w:val="20"/>
                <w:szCs w:val="20"/>
                <w:lang w:val="en-CA" w:eastAsia="en-CA"/>
              </w:rPr>
              <w:t>3,533</w:t>
            </w:r>
          </w:p>
        </w:tc>
        <w:tc>
          <w:tcPr>
            <w:tcW w:w="1175" w:type="dxa"/>
            <w:tcBorders>
              <w:top w:val="nil"/>
              <w:left w:val="nil"/>
              <w:bottom w:val="single" w:sz="4" w:space="0" w:color="auto"/>
              <w:right w:val="single" w:sz="4" w:space="0" w:color="auto"/>
            </w:tcBorders>
            <w:shd w:val="clear" w:color="auto" w:fill="auto"/>
            <w:noWrap/>
            <w:hideMark/>
          </w:tcPr>
          <w:p w:rsidR="00033FA3" w:rsidRPr="00E30335" w:rsidRDefault="00033FA3" w:rsidP="007C7992">
            <w:pPr>
              <w:jc w:val="right"/>
              <w:rPr>
                <w:sz w:val="20"/>
                <w:szCs w:val="20"/>
                <w:lang w:val="en-CA" w:eastAsia="en-CA"/>
              </w:rPr>
            </w:pPr>
            <w:r w:rsidRPr="00E30335">
              <w:rPr>
                <w:sz w:val="20"/>
                <w:szCs w:val="20"/>
                <w:lang w:val="en-CA" w:eastAsia="en-CA"/>
              </w:rPr>
              <w:t>0</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sz w:val="20"/>
                <w:szCs w:val="20"/>
                <w:lang w:val="en-CA" w:eastAsia="en-CA"/>
              </w:rPr>
            </w:pPr>
            <w:r w:rsidRPr="00E30335">
              <w:rPr>
                <w:sz w:val="20"/>
                <w:szCs w:val="20"/>
                <w:lang w:val="en-CA" w:eastAsia="en-CA"/>
              </w:rPr>
              <w:t xml:space="preserve">HFC </w:t>
            </w:r>
            <w:r w:rsidR="0036613D" w:rsidRPr="00E30335">
              <w:rPr>
                <w:sz w:val="20"/>
                <w:szCs w:val="20"/>
                <w:lang w:val="en-CA" w:eastAsia="en-CA"/>
              </w:rPr>
              <w:t>phase-down plan</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7,290</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7,290</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0</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b/>
                <w:bCs/>
                <w:sz w:val="20"/>
                <w:szCs w:val="20"/>
                <w:lang w:val="en-CA" w:eastAsia="en-CA"/>
              </w:rPr>
            </w:pPr>
            <w:r w:rsidRPr="00E30335">
              <w:rPr>
                <w:b/>
                <w:bCs/>
                <w:sz w:val="20"/>
                <w:szCs w:val="20"/>
                <w:lang w:val="en-CA" w:eastAsia="en-CA"/>
              </w:rPr>
              <w:t xml:space="preserve">   HFC activities subtotal</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1,870</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1,286</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7,768</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10,823</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0</w:t>
            </w:r>
          </w:p>
        </w:tc>
      </w:tr>
      <w:tr w:rsidR="00221429" w:rsidRPr="00E30335" w:rsidTr="00221429">
        <w:trPr>
          <w:trHeight w:val="264"/>
        </w:trPr>
        <w:tc>
          <w:tcPr>
            <w:tcW w:w="963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b/>
                <w:bCs/>
                <w:sz w:val="20"/>
                <w:szCs w:val="20"/>
                <w:lang w:val="en-CA" w:eastAsia="en-CA"/>
              </w:rPr>
            </w:pPr>
            <w:r w:rsidRPr="00E30335">
              <w:rPr>
                <w:b/>
                <w:bCs/>
                <w:sz w:val="20"/>
                <w:szCs w:val="20"/>
                <w:lang w:val="en-CA" w:eastAsia="en-CA"/>
              </w:rPr>
              <w:lastRenderedPageBreak/>
              <w:t>Standard activities</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sz w:val="20"/>
                <w:szCs w:val="20"/>
                <w:lang w:val="en-CA" w:eastAsia="en-CA"/>
              </w:rPr>
            </w:pPr>
            <w:r w:rsidRPr="00E30335">
              <w:rPr>
                <w:sz w:val="20"/>
                <w:szCs w:val="20"/>
                <w:lang w:val="en-CA" w:eastAsia="en-CA"/>
              </w:rPr>
              <w:t>Institutional strengthening (IS)</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2,931</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3,456</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2,931</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9,317</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0</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sz w:val="20"/>
                <w:szCs w:val="20"/>
                <w:lang w:val="en-CA" w:eastAsia="en-CA"/>
              </w:rPr>
            </w:pPr>
            <w:r w:rsidRPr="00E30335">
              <w:rPr>
                <w:sz w:val="20"/>
                <w:szCs w:val="20"/>
                <w:lang w:val="en-CA" w:eastAsia="en-CA"/>
              </w:rPr>
              <w:t>Core unit</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2,113</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2,128</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2,143</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6,384</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sz w:val="20"/>
                <w:szCs w:val="20"/>
                <w:lang w:val="en-CA" w:eastAsia="en-CA"/>
              </w:rPr>
            </w:pPr>
            <w:r w:rsidRPr="00E30335">
              <w:rPr>
                <w:sz w:val="20"/>
                <w:szCs w:val="20"/>
                <w:lang w:val="en-CA" w:eastAsia="en-CA"/>
              </w:rPr>
              <w:t>0</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b/>
                <w:bCs/>
                <w:sz w:val="20"/>
                <w:szCs w:val="20"/>
                <w:lang w:val="en-CA" w:eastAsia="en-CA"/>
              </w:rPr>
            </w:pPr>
            <w:r w:rsidRPr="00E30335">
              <w:rPr>
                <w:b/>
                <w:bCs/>
                <w:sz w:val="20"/>
                <w:szCs w:val="20"/>
                <w:lang w:val="en-CA" w:eastAsia="en-CA"/>
              </w:rPr>
              <w:t xml:space="preserve">   Standard activities subtotal</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5,044</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5,584</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5,073</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15,701</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0</w:t>
            </w:r>
          </w:p>
        </w:tc>
      </w:tr>
      <w:tr w:rsidR="00221429" w:rsidRPr="00E30335" w:rsidTr="00221429">
        <w:trPr>
          <w:trHeight w:val="264"/>
        </w:trPr>
        <w:tc>
          <w:tcPr>
            <w:tcW w:w="3397" w:type="dxa"/>
            <w:tcBorders>
              <w:top w:val="nil"/>
              <w:left w:val="single" w:sz="4" w:space="0" w:color="auto"/>
              <w:bottom w:val="single" w:sz="4" w:space="0" w:color="auto"/>
              <w:right w:val="single" w:sz="4" w:space="0" w:color="auto"/>
            </w:tcBorders>
            <w:shd w:val="clear" w:color="auto" w:fill="auto"/>
            <w:noWrap/>
            <w:hideMark/>
          </w:tcPr>
          <w:p w:rsidR="00221429" w:rsidRPr="00E30335" w:rsidRDefault="00221429" w:rsidP="007C7992">
            <w:pPr>
              <w:jc w:val="left"/>
              <w:rPr>
                <w:b/>
                <w:bCs/>
                <w:sz w:val="20"/>
                <w:szCs w:val="20"/>
                <w:lang w:val="en-CA" w:eastAsia="en-CA"/>
              </w:rPr>
            </w:pPr>
            <w:r w:rsidRPr="00E30335">
              <w:rPr>
                <w:b/>
                <w:bCs/>
                <w:sz w:val="20"/>
                <w:szCs w:val="20"/>
                <w:lang w:val="en-CA" w:eastAsia="en-CA"/>
              </w:rPr>
              <w:t>Grand total</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59,502</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41,744</w:t>
            </w:r>
          </w:p>
        </w:tc>
        <w:tc>
          <w:tcPr>
            <w:tcW w:w="1134"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52,576</w:t>
            </w:r>
          </w:p>
        </w:tc>
        <w:tc>
          <w:tcPr>
            <w:tcW w:w="1660"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153,721</w:t>
            </w:r>
          </w:p>
        </w:tc>
        <w:tc>
          <w:tcPr>
            <w:tcW w:w="1175" w:type="dxa"/>
            <w:tcBorders>
              <w:top w:val="nil"/>
              <w:left w:val="nil"/>
              <w:bottom w:val="single" w:sz="4" w:space="0" w:color="auto"/>
              <w:right w:val="single" w:sz="4" w:space="0" w:color="auto"/>
            </w:tcBorders>
            <w:shd w:val="clear" w:color="auto" w:fill="auto"/>
            <w:noWrap/>
            <w:hideMark/>
          </w:tcPr>
          <w:p w:rsidR="00221429" w:rsidRPr="00E30335" w:rsidRDefault="00221429" w:rsidP="007C7992">
            <w:pPr>
              <w:jc w:val="right"/>
              <w:rPr>
                <w:b/>
                <w:bCs/>
                <w:sz w:val="20"/>
                <w:szCs w:val="20"/>
                <w:lang w:val="en-CA" w:eastAsia="en-CA"/>
              </w:rPr>
            </w:pPr>
            <w:r w:rsidRPr="00E30335">
              <w:rPr>
                <w:b/>
                <w:bCs/>
                <w:sz w:val="20"/>
                <w:szCs w:val="20"/>
                <w:lang w:val="en-CA" w:eastAsia="en-CA"/>
              </w:rPr>
              <w:t>11,561</w:t>
            </w:r>
          </w:p>
        </w:tc>
      </w:tr>
    </w:tbl>
    <w:p w:rsidR="003E4827" w:rsidRPr="00E30335" w:rsidRDefault="003E4827" w:rsidP="007C7992">
      <w:pPr>
        <w:rPr>
          <w:sz w:val="18"/>
          <w:szCs w:val="18"/>
          <w:lang w:val="en-US"/>
        </w:rPr>
      </w:pPr>
      <w:r w:rsidRPr="00E30335">
        <w:rPr>
          <w:sz w:val="18"/>
          <w:szCs w:val="18"/>
          <w:lang w:val="en-US"/>
        </w:rPr>
        <w:t xml:space="preserve">* Including agency support costs where applicable. </w:t>
      </w:r>
    </w:p>
    <w:p w:rsidR="003E4827" w:rsidRPr="00E30335" w:rsidRDefault="003E4827" w:rsidP="007C7992">
      <w:pPr>
        <w:rPr>
          <w:sz w:val="18"/>
          <w:szCs w:val="18"/>
          <w:lang w:val="en-US"/>
        </w:rPr>
      </w:pPr>
    </w:p>
    <w:p w:rsidR="003E4827" w:rsidRPr="00E30335" w:rsidRDefault="003E4827" w:rsidP="007C7992">
      <w:pPr>
        <w:pStyle w:val="Heading1"/>
        <w:keepNext/>
        <w:numPr>
          <w:ilvl w:val="0"/>
          <w:numId w:val="0"/>
        </w:numPr>
        <w:rPr>
          <w:b/>
        </w:rPr>
      </w:pPr>
      <w:r w:rsidRPr="00E30335">
        <w:rPr>
          <w:b/>
        </w:rPr>
        <w:t xml:space="preserve">Secretariat’s comments </w:t>
      </w:r>
    </w:p>
    <w:p w:rsidR="003E4827" w:rsidRPr="00E30335" w:rsidRDefault="003E4827" w:rsidP="007C7992">
      <w:pPr>
        <w:pStyle w:val="Heading1"/>
        <w:numPr>
          <w:ilvl w:val="0"/>
          <w:numId w:val="0"/>
        </w:numPr>
        <w:rPr>
          <w:u w:val="single"/>
          <w:lang w:val="en-CA"/>
        </w:rPr>
      </w:pPr>
      <w:r w:rsidRPr="00E30335">
        <w:rPr>
          <w:u w:val="single"/>
          <w:lang w:val="en-CA"/>
        </w:rPr>
        <w:t>Stage II of HPMPs</w:t>
      </w:r>
    </w:p>
    <w:p w:rsidR="003E4827" w:rsidRPr="00E30335" w:rsidRDefault="003E4827" w:rsidP="007C7992">
      <w:pPr>
        <w:pStyle w:val="Heading1"/>
      </w:pPr>
      <w:r w:rsidRPr="00E30335">
        <w:t xml:space="preserve">The total levels of funding for stage II of HPMPs in </w:t>
      </w:r>
      <w:r w:rsidRPr="00E30335">
        <w:rPr>
          <w:lang w:val="en-CA"/>
        </w:rPr>
        <w:t xml:space="preserve">low-volume-consuming (LVC) </w:t>
      </w:r>
      <w:r w:rsidR="00BC58CC" w:rsidRPr="00E30335">
        <w:t xml:space="preserve">countries to </w:t>
      </w:r>
      <w:r w:rsidR="00BC58CC" w:rsidRPr="00852FC6">
        <w:t xml:space="preserve">meet </w:t>
      </w:r>
      <w:r w:rsidR="00344E00" w:rsidRPr="00852FC6">
        <w:t>the</w:t>
      </w:r>
      <w:r w:rsidR="00344E00" w:rsidRPr="00E30335">
        <w:t xml:space="preserve"> </w:t>
      </w:r>
      <w:r w:rsidR="009D098B" w:rsidRPr="00E30335">
        <w:t>67.5</w:t>
      </w:r>
      <w:r w:rsidRPr="00E30335">
        <w:t> per cent reduction of the HCFC baseline amount to US $</w:t>
      </w:r>
      <w:r w:rsidR="005D2F39" w:rsidRPr="00E30335">
        <w:t>4</w:t>
      </w:r>
      <w:r w:rsidR="00830858" w:rsidRPr="00E30335">
        <w:t>.98 million (including US $2.93 </w:t>
      </w:r>
      <w:r w:rsidR="005D2F39" w:rsidRPr="00E30335">
        <w:t>million</w:t>
      </w:r>
      <w:r w:rsidRPr="00E30335">
        <w:t xml:space="preserve"> for 20</w:t>
      </w:r>
      <w:r w:rsidR="005D2F39" w:rsidRPr="00E30335">
        <w:t>20</w:t>
      </w:r>
      <w:r w:rsidRPr="00E30335">
        <w:t>–202</w:t>
      </w:r>
      <w:r w:rsidR="005D2F39" w:rsidRPr="00E30335">
        <w:t>2)</w:t>
      </w:r>
      <w:r w:rsidRPr="00E30335">
        <w:t xml:space="preserve">, and to meet a </w:t>
      </w:r>
      <w:r w:rsidR="009D098B" w:rsidRPr="00E30335">
        <w:t>100</w:t>
      </w:r>
      <w:r w:rsidRPr="00E30335">
        <w:t> per cent reduction amount to US $</w:t>
      </w:r>
      <w:r w:rsidR="005D2F39" w:rsidRPr="00E30335">
        <w:t xml:space="preserve">868,743 </w:t>
      </w:r>
      <w:r w:rsidRPr="00E30335">
        <w:t>(including US $</w:t>
      </w:r>
      <w:r w:rsidR="00BC58CC" w:rsidRPr="00E30335">
        <w:t>526,</w:t>
      </w:r>
      <w:r w:rsidR="005D2F39" w:rsidRPr="00E30335">
        <w:t>820</w:t>
      </w:r>
      <w:r w:rsidRPr="00E30335">
        <w:t xml:space="preserve"> for 20</w:t>
      </w:r>
      <w:r w:rsidR="005D2F39" w:rsidRPr="00E30335">
        <w:t>20</w:t>
      </w:r>
      <w:r w:rsidRPr="00E30335">
        <w:t>–202</w:t>
      </w:r>
      <w:r w:rsidR="005D2F39" w:rsidRPr="00E30335">
        <w:t>2</w:t>
      </w:r>
      <w:r w:rsidRPr="00E30335">
        <w:t xml:space="preserve">). </w:t>
      </w:r>
    </w:p>
    <w:p w:rsidR="003E4827" w:rsidRPr="00E30335" w:rsidRDefault="003E4827" w:rsidP="007C7992">
      <w:pPr>
        <w:pStyle w:val="Heading1"/>
      </w:pPr>
      <w:r w:rsidRPr="00E30335">
        <w:t>The funding distribution of stage II of HPMPs for non-LVC countries by sector is provided in Table 2.</w:t>
      </w:r>
    </w:p>
    <w:p w:rsidR="003E4827" w:rsidRPr="00E30335" w:rsidRDefault="003E4827" w:rsidP="007C7992">
      <w:pPr>
        <w:keepNext/>
        <w:rPr>
          <w:b/>
        </w:rPr>
      </w:pPr>
      <w:r w:rsidRPr="00E30335">
        <w:rPr>
          <w:b/>
        </w:rPr>
        <w:t>Table 2</w:t>
      </w:r>
      <w:r w:rsidR="00A21612" w:rsidRPr="00E30335">
        <w:rPr>
          <w:b/>
        </w:rPr>
        <w:t>.</w:t>
      </w:r>
      <w:r w:rsidRPr="00E30335">
        <w:rPr>
          <w:b/>
        </w:rPr>
        <w:t xml:space="preserve"> Funding distribution of stage II of HPMPs in non-LVC countries by sector (US $000)</w:t>
      </w:r>
    </w:p>
    <w:tbl>
      <w:tblPr>
        <w:tblW w:w="9340" w:type="dxa"/>
        <w:tblInd w:w="-5" w:type="dxa"/>
        <w:tblLook w:val="04A0" w:firstRow="1" w:lastRow="0" w:firstColumn="1" w:lastColumn="0" w:noHBand="0" w:noVBand="1"/>
      </w:tblPr>
      <w:tblGrid>
        <w:gridCol w:w="2540"/>
        <w:gridCol w:w="1540"/>
        <w:gridCol w:w="1580"/>
        <w:gridCol w:w="1340"/>
        <w:gridCol w:w="2340"/>
      </w:tblGrid>
      <w:tr w:rsidR="00F90997" w:rsidRPr="00E30335" w:rsidTr="00F90997">
        <w:trPr>
          <w:trHeight w:val="264"/>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997" w:rsidRPr="00E30335" w:rsidRDefault="00F90997" w:rsidP="007C7992">
            <w:pPr>
              <w:jc w:val="center"/>
              <w:rPr>
                <w:b/>
                <w:bCs/>
                <w:sz w:val="20"/>
                <w:szCs w:val="20"/>
                <w:lang w:val="en-CA" w:eastAsia="en-CA"/>
              </w:rPr>
            </w:pPr>
            <w:r w:rsidRPr="00E30335">
              <w:rPr>
                <w:b/>
                <w:bCs/>
                <w:sz w:val="20"/>
                <w:szCs w:val="20"/>
                <w:lang w:val="en-US" w:eastAsia="en-CA"/>
              </w:rPr>
              <w:t>Sector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90997" w:rsidRPr="00E30335" w:rsidRDefault="00F90997" w:rsidP="007C7992">
            <w:pPr>
              <w:jc w:val="center"/>
              <w:rPr>
                <w:b/>
                <w:bCs/>
                <w:sz w:val="20"/>
                <w:szCs w:val="20"/>
                <w:lang w:val="en-CA" w:eastAsia="en-CA"/>
              </w:rPr>
            </w:pPr>
            <w:r w:rsidRPr="00E30335">
              <w:rPr>
                <w:b/>
                <w:bCs/>
                <w:sz w:val="20"/>
                <w:szCs w:val="20"/>
                <w:lang w:val="en-US" w:eastAsia="en-CA"/>
              </w:rPr>
              <w:t>2020–2022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90997" w:rsidRPr="00E30335" w:rsidRDefault="00F90997" w:rsidP="007C7992">
            <w:pPr>
              <w:jc w:val="center"/>
              <w:rPr>
                <w:b/>
                <w:bCs/>
                <w:sz w:val="20"/>
                <w:szCs w:val="20"/>
                <w:lang w:val="en-CA" w:eastAsia="en-CA"/>
              </w:rPr>
            </w:pPr>
            <w:r w:rsidRPr="00E30335">
              <w:rPr>
                <w:b/>
                <w:bCs/>
                <w:sz w:val="20"/>
                <w:szCs w:val="20"/>
                <w:lang w:val="en-US" w:eastAsia="en-CA"/>
              </w:rPr>
              <w:t>After 2022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F90997" w:rsidRPr="00E30335" w:rsidRDefault="00F90997" w:rsidP="007C7992">
            <w:pPr>
              <w:jc w:val="center"/>
              <w:rPr>
                <w:b/>
                <w:bCs/>
                <w:sz w:val="20"/>
                <w:szCs w:val="20"/>
                <w:lang w:val="en-CA" w:eastAsia="en-CA"/>
              </w:rPr>
            </w:pPr>
            <w:r w:rsidRPr="00E30335">
              <w:rPr>
                <w:b/>
                <w:bCs/>
                <w:sz w:val="20"/>
                <w:szCs w:val="20"/>
                <w:lang w:val="en-US" w:eastAsia="en-CA"/>
              </w:rPr>
              <w:t>Total</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F90997" w:rsidRPr="00E30335" w:rsidRDefault="00F90997" w:rsidP="007C7992">
            <w:pPr>
              <w:jc w:val="center"/>
              <w:rPr>
                <w:b/>
                <w:bCs/>
                <w:sz w:val="20"/>
                <w:szCs w:val="20"/>
                <w:lang w:val="en-CA" w:eastAsia="en-CA"/>
              </w:rPr>
            </w:pPr>
            <w:r w:rsidRPr="00E30335">
              <w:rPr>
                <w:b/>
                <w:bCs/>
                <w:sz w:val="20"/>
                <w:szCs w:val="20"/>
                <w:lang w:val="en-US" w:eastAsia="en-CA"/>
              </w:rPr>
              <w:t>Per cent of total (%)</w:t>
            </w:r>
          </w:p>
        </w:tc>
      </w:tr>
      <w:tr w:rsidR="00F90997" w:rsidRPr="00E30335" w:rsidTr="00F90997">
        <w:trPr>
          <w:trHeight w:val="54"/>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F90997" w:rsidRPr="00E30335" w:rsidRDefault="00F90997" w:rsidP="007C7992">
            <w:pPr>
              <w:jc w:val="left"/>
              <w:rPr>
                <w:sz w:val="20"/>
                <w:szCs w:val="20"/>
                <w:lang w:val="en-CA" w:eastAsia="en-CA"/>
              </w:rPr>
            </w:pPr>
            <w:r w:rsidRPr="00E30335">
              <w:rPr>
                <w:sz w:val="20"/>
                <w:szCs w:val="20"/>
                <w:lang w:val="en-US" w:eastAsia="en-CA"/>
              </w:rPr>
              <w:t>Refrigeration servicing</w:t>
            </w:r>
          </w:p>
        </w:tc>
        <w:tc>
          <w:tcPr>
            <w:tcW w:w="1540" w:type="dxa"/>
            <w:tcBorders>
              <w:top w:val="nil"/>
              <w:left w:val="nil"/>
              <w:bottom w:val="single" w:sz="4" w:space="0" w:color="auto"/>
              <w:right w:val="single" w:sz="4" w:space="0" w:color="auto"/>
            </w:tcBorders>
            <w:shd w:val="clear" w:color="auto" w:fill="auto"/>
            <w:noWrap/>
            <w:vAlign w:val="center"/>
            <w:hideMark/>
          </w:tcPr>
          <w:p w:rsidR="00F90997" w:rsidRPr="00E30335" w:rsidRDefault="00F90997" w:rsidP="007C7992">
            <w:pPr>
              <w:jc w:val="right"/>
              <w:rPr>
                <w:sz w:val="20"/>
                <w:szCs w:val="20"/>
                <w:lang w:val="en-CA" w:eastAsia="en-CA"/>
              </w:rPr>
            </w:pPr>
            <w:r w:rsidRPr="00E30335">
              <w:rPr>
                <w:sz w:val="20"/>
                <w:szCs w:val="20"/>
                <w:lang w:val="en-CA" w:eastAsia="en-CA"/>
              </w:rPr>
              <w:t xml:space="preserve"> 522 </w:t>
            </w:r>
          </w:p>
        </w:tc>
        <w:tc>
          <w:tcPr>
            <w:tcW w:w="1580" w:type="dxa"/>
            <w:tcBorders>
              <w:top w:val="nil"/>
              <w:left w:val="nil"/>
              <w:bottom w:val="single" w:sz="4" w:space="0" w:color="auto"/>
              <w:right w:val="single" w:sz="4" w:space="0" w:color="auto"/>
            </w:tcBorders>
            <w:shd w:val="clear" w:color="auto" w:fill="auto"/>
            <w:noWrap/>
            <w:vAlign w:val="center"/>
            <w:hideMark/>
          </w:tcPr>
          <w:p w:rsidR="00F90997" w:rsidRPr="00E30335" w:rsidRDefault="00F90997" w:rsidP="007C7992">
            <w:pPr>
              <w:jc w:val="right"/>
              <w:rPr>
                <w:sz w:val="20"/>
                <w:szCs w:val="20"/>
                <w:lang w:val="en-CA" w:eastAsia="en-CA"/>
              </w:rPr>
            </w:pPr>
            <w:r w:rsidRPr="00E30335">
              <w:rPr>
                <w:sz w:val="20"/>
                <w:szCs w:val="20"/>
                <w:lang w:val="en-CA" w:eastAsia="en-CA"/>
              </w:rPr>
              <w:t xml:space="preserve">1,527 </w:t>
            </w:r>
          </w:p>
        </w:tc>
        <w:tc>
          <w:tcPr>
            <w:tcW w:w="1340" w:type="dxa"/>
            <w:tcBorders>
              <w:top w:val="nil"/>
              <w:left w:val="nil"/>
              <w:bottom w:val="single" w:sz="4" w:space="0" w:color="auto"/>
              <w:right w:val="single" w:sz="4" w:space="0" w:color="auto"/>
            </w:tcBorders>
            <w:shd w:val="clear" w:color="auto" w:fill="auto"/>
            <w:noWrap/>
            <w:vAlign w:val="center"/>
            <w:hideMark/>
          </w:tcPr>
          <w:p w:rsidR="00F90997" w:rsidRPr="00E30335" w:rsidRDefault="00F90997" w:rsidP="007C7992">
            <w:pPr>
              <w:jc w:val="right"/>
              <w:rPr>
                <w:sz w:val="20"/>
                <w:szCs w:val="20"/>
                <w:lang w:val="en-CA" w:eastAsia="en-CA"/>
              </w:rPr>
            </w:pPr>
            <w:r w:rsidRPr="00E30335">
              <w:rPr>
                <w:sz w:val="20"/>
                <w:szCs w:val="20"/>
                <w:lang w:val="en-CA" w:eastAsia="en-CA"/>
              </w:rPr>
              <w:t xml:space="preserve">2,049 </w:t>
            </w:r>
          </w:p>
        </w:tc>
        <w:tc>
          <w:tcPr>
            <w:tcW w:w="2340" w:type="dxa"/>
            <w:tcBorders>
              <w:top w:val="nil"/>
              <w:left w:val="nil"/>
              <w:bottom w:val="single" w:sz="4" w:space="0" w:color="auto"/>
              <w:right w:val="single" w:sz="4" w:space="0" w:color="auto"/>
            </w:tcBorders>
            <w:shd w:val="clear" w:color="auto" w:fill="auto"/>
            <w:noWrap/>
            <w:vAlign w:val="center"/>
            <w:hideMark/>
          </w:tcPr>
          <w:p w:rsidR="00F90997" w:rsidRPr="00E30335" w:rsidRDefault="00F90997" w:rsidP="007C7992">
            <w:pPr>
              <w:jc w:val="right"/>
              <w:rPr>
                <w:sz w:val="20"/>
                <w:szCs w:val="20"/>
                <w:lang w:val="en-CA" w:eastAsia="en-CA"/>
              </w:rPr>
            </w:pPr>
            <w:r w:rsidRPr="00E30335">
              <w:rPr>
                <w:sz w:val="20"/>
                <w:szCs w:val="20"/>
                <w:lang w:val="en-CA" w:eastAsia="en-CA"/>
              </w:rPr>
              <w:t>100</w:t>
            </w:r>
            <w:r w:rsidR="00DF27BD" w:rsidRPr="00E30335">
              <w:rPr>
                <w:sz w:val="20"/>
                <w:szCs w:val="20"/>
                <w:lang w:val="en-CA" w:eastAsia="en-CA"/>
              </w:rPr>
              <w:t>.0</w:t>
            </w:r>
          </w:p>
        </w:tc>
      </w:tr>
      <w:tr w:rsidR="00F90997" w:rsidRPr="00E30335" w:rsidTr="00F90997">
        <w:trPr>
          <w:trHeight w:val="264"/>
        </w:trPr>
        <w:tc>
          <w:tcPr>
            <w:tcW w:w="2540" w:type="dxa"/>
            <w:tcBorders>
              <w:top w:val="nil"/>
              <w:left w:val="single" w:sz="4" w:space="0" w:color="auto"/>
              <w:bottom w:val="single" w:sz="4" w:space="0" w:color="auto"/>
              <w:right w:val="single" w:sz="4" w:space="0" w:color="auto"/>
            </w:tcBorders>
            <w:shd w:val="clear" w:color="auto" w:fill="auto"/>
            <w:noWrap/>
            <w:vAlign w:val="center"/>
            <w:hideMark/>
          </w:tcPr>
          <w:p w:rsidR="00F90997" w:rsidRPr="00E30335" w:rsidRDefault="00F90997" w:rsidP="007C7992">
            <w:pPr>
              <w:jc w:val="left"/>
              <w:rPr>
                <w:b/>
                <w:bCs/>
                <w:sz w:val="20"/>
                <w:szCs w:val="20"/>
                <w:lang w:val="en-CA" w:eastAsia="en-CA"/>
              </w:rPr>
            </w:pPr>
            <w:r w:rsidRPr="00E30335">
              <w:rPr>
                <w:b/>
                <w:bCs/>
                <w:sz w:val="20"/>
                <w:szCs w:val="20"/>
                <w:lang w:val="en-US" w:eastAsia="en-CA"/>
              </w:rPr>
              <w:t>Total</w:t>
            </w:r>
          </w:p>
        </w:tc>
        <w:tc>
          <w:tcPr>
            <w:tcW w:w="1540" w:type="dxa"/>
            <w:tcBorders>
              <w:top w:val="nil"/>
              <w:left w:val="nil"/>
              <w:bottom w:val="single" w:sz="4" w:space="0" w:color="auto"/>
              <w:right w:val="single" w:sz="4" w:space="0" w:color="auto"/>
            </w:tcBorders>
            <w:shd w:val="clear" w:color="auto" w:fill="auto"/>
            <w:noWrap/>
            <w:vAlign w:val="center"/>
            <w:hideMark/>
          </w:tcPr>
          <w:p w:rsidR="00F90997" w:rsidRPr="00E30335" w:rsidRDefault="00F90997" w:rsidP="007C7992">
            <w:pPr>
              <w:jc w:val="right"/>
              <w:rPr>
                <w:b/>
                <w:bCs/>
                <w:sz w:val="20"/>
                <w:szCs w:val="20"/>
                <w:lang w:val="en-CA" w:eastAsia="en-CA"/>
              </w:rPr>
            </w:pPr>
            <w:r w:rsidRPr="00E30335">
              <w:rPr>
                <w:b/>
                <w:bCs/>
                <w:sz w:val="20"/>
                <w:szCs w:val="20"/>
                <w:lang w:val="en-CA" w:eastAsia="en-CA"/>
              </w:rPr>
              <w:t xml:space="preserve">522 </w:t>
            </w:r>
          </w:p>
        </w:tc>
        <w:tc>
          <w:tcPr>
            <w:tcW w:w="1580" w:type="dxa"/>
            <w:tcBorders>
              <w:top w:val="nil"/>
              <w:left w:val="nil"/>
              <w:bottom w:val="single" w:sz="4" w:space="0" w:color="auto"/>
              <w:right w:val="single" w:sz="4" w:space="0" w:color="auto"/>
            </w:tcBorders>
            <w:shd w:val="clear" w:color="auto" w:fill="auto"/>
            <w:noWrap/>
            <w:vAlign w:val="center"/>
            <w:hideMark/>
          </w:tcPr>
          <w:p w:rsidR="00F90997" w:rsidRPr="00E30335" w:rsidRDefault="00F90997" w:rsidP="007C7992">
            <w:pPr>
              <w:jc w:val="right"/>
              <w:rPr>
                <w:b/>
                <w:bCs/>
                <w:sz w:val="20"/>
                <w:szCs w:val="20"/>
                <w:lang w:val="en-CA" w:eastAsia="en-CA"/>
              </w:rPr>
            </w:pPr>
            <w:r w:rsidRPr="00E30335">
              <w:rPr>
                <w:b/>
                <w:bCs/>
                <w:sz w:val="20"/>
                <w:szCs w:val="20"/>
                <w:lang w:val="en-CA" w:eastAsia="en-CA"/>
              </w:rPr>
              <w:t xml:space="preserve">1,527 </w:t>
            </w:r>
          </w:p>
        </w:tc>
        <w:tc>
          <w:tcPr>
            <w:tcW w:w="1340" w:type="dxa"/>
            <w:tcBorders>
              <w:top w:val="nil"/>
              <w:left w:val="nil"/>
              <w:bottom w:val="single" w:sz="4" w:space="0" w:color="auto"/>
              <w:right w:val="single" w:sz="4" w:space="0" w:color="auto"/>
            </w:tcBorders>
            <w:shd w:val="clear" w:color="auto" w:fill="auto"/>
            <w:noWrap/>
            <w:vAlign w:val="center"/>
            <w:hideMark/>
          </w:tcPr>
          <w:p w:rsidR="00F90997" w:rsidRPr="00E30335" w:rsidRDefault="00F90997" w:rsidP="007C7992">
            <w:pPr>
              <w:jc w:val="right"/>
              <w:rPr>
                <w:b/>
                <w:bCs/>
                <w:sz w:val="20"/>
                <w:szCs w:val="20"/>
                <w:lang w:val="en-CA" w:eastAsia="en-CA"/>
              </w:rPr>
            </w:pPr>
            <w:r w:rsidRPr="00E30335">
              <w:rPr>
                <w:b/>
                <w:bCs/>
                <w:sz w:val="20"/>
                <w:szCs w:val="20"/>
                <w:lang w:val="en-CA" w:eastAsia="en-CA"/>
              </w:rPr>
              <w:t xml:space="preserve">2,049 </w:t>
            </w:r>
          </w:p>
        </w:tc>
        <w:tc>
          <w:tcPr>
            <w:tcW w:w="2340" w:type="dxa"/>
            <w:tcBorders>
              <w:top w:val="nil"/>
              <w:left w:val="nil"/>
              <w:bottom w:val="single" w:sz="4" w:space="0" w:color="auto"/>
              <w:right w:val="single" w:sz="4" w:space="0" w:color="auto"/>
            </w:tcBorders>
            <w:shd w:val="clear" w:color="auto" w:fill="auto"/>
            <w:noWrap/>
            <w:vAlign w:val="center"/>
            <w:hideMark/>
          </w:tcPr>
          <w:p w:rsidR="00F90997" w:rsidRPr="00E30335" w:rsidRDefault="00F90997" w:rsidP="007C7992">
            <w:pPr>
              <w:jc w:val="right"/>
              <w:rPr>
                <w:b/>
                <w:bCs/>
                <w:sz w:val="20"/>
                <w:szCs w:val="20"/>
                <w:lang w:val="en-CA" w:eastAsia="en-CA"/>
              </w:rPr>
            </w:pPr>
            <w:r w:rsidRPr="00E30335">
              <w:rPr>
                <w:b/>
                <w:bCs/>
                <w:sz w:val="20"/>
                <w:szCs w:val="20"/>
                <w:lang w:val="en-CA" w:eastAsia="en-CA"/>
              </w:rPr>
              <w:t>100</w:t>
            </w:r>
            <w:r w:rsidR="00DF27BD" w:rsidRPr="00E30335">
              <w:rPr>
                <w:b/>
                <w:bCs/>
                <w:sz w:val="20"/>
                <w:szCs w:val="20"/>
                <w:lang w:val="en-CA" w:eastAsia="en-CA"/>
              </w:rPr>
              <w:t>.0</w:t>
            </w:r>
          </w:p>
        </w:tc>
      </w:tr>
    </w:tbl>
    <w:p w:rsidR="003E4827" w:rsidRPr="00E30335" w:rsidRDefault="003E4827" w:rsidP="007C7992">
      <w:pPr>
        <w:keepNext/>
        <w:rPr>
          <w:b/>
        </w:rPr>
      </w:pPr>
    </w:p>
    <w:p w:rsidR="00583D98" w:rsidRPr="00E30335" w:rsidRDefault="00583D98" w:rsidP="007C7992">
      <w:pPr>
        <w:pStyle w:val="Heading1"/>
        <w:numPr>
          <w:ilvl w:val="0"/>
          <w:numId w:val="0"/>
        </w:numPr>
        <w:rPr>
          <w:u w:val="single"/>
          <w:lang w:val="en-CA"/>
        </w:rPr>
      </w:pPr>
      <w:r w:rsidRPr="00E30335">
        <w:rPr>
          <w:u w:val="single"/>
          <w:lang w:val="en-CA"/>
        </w:rPr>
        <w:t xml:space="preserve">Stage III of HPMPs </w:t>
      </w:r>
    </w:p>
    <w:p w:rsidR="00583D98" w:rsidRPr="00E30335" w:rsidRDefault="00583D98" w:rsidP="007C7992">
      <w:pPr>
        <w:pStyle w:val="Heading1"/>
      </w:pPr>
      <w:r w:rsidRPr="00E30335">
        <w:t>The total of US $</w:t>
      </w:r>
      <w:r w:rsidR="00B23751" w:rsidRPr="00E30335">
        <w:t>8.06</w:t>
      </w:r>
      <w:r w:rsidRPr="00E30335">
        <w:t xml:space="preserve"> million is included in the business plan for stage III of HPMPs for six countries (</w:t>
      </w:r>
      <w:r w:rsidR="009D6CA2" w:rsidRPr="00E30335">
        <w:t xml:space="preserve">the </w:t>
      </w:r>
      <w:r w:rsidR="00B23751" w:rsidRPr="00E30335">
        <w:t xml:space="preserve">Dominican Republic, Lebanon, Nigeria, Panama, </w:t>
      </w:r>
      <w:r w:rsidR="00F8283B" w:rsidRPr="00E30335">
        <w:t xml:space="preserve">the </w:t>
      </w:r>
      <w:r w:rsidR="00B23751" w:rsidRPr="00E30335">
        <w:t>Republic of Moldova and Uruguay</w:t>
      </w:r>
      <w:r w:rsidRPr="00E30335">
        <w:t>) (including US $</w:t>
      </w:r>
      <w:r w:rsidR="00B23751" w:rsidRPr="00E30335">
        <w:t>2.99</w:t>
      </w:r>
      <w:r w:rsidRPr="00E30335">
        <w:t xml:space="preserve"> million for 2020</w:t>
      </w:r>
      <w:r w:rsidR="00AE1E7C" w:rsidRPr="00E30335">
        <w:t>–</w:t>
      </w:r>
      <w:r w:rsidRPr="00E30335">
        <w:t>2022</w:t>
      </w:r>
      <w:r w:rsidR="001D22E5" w:rsidRPr="00E30335">
        <w:t>).</w:t>
      </w:r>
      <w:r w:rsidRPr="00E30335">
        <w:t xml:space="preserve"> Inclusion of stage III of HPMPs in the business plan is allowed only for those countries that had stage II of an HPMP approved to meet a red</w:t>
      </w:r>
      <w:r w:rsidR="007C743F" w:rsidRPr="00E30335">
        <w:t>uction target by 2020 (decision </w:t>
      </w:r>
      <w:r w:rsidRPr="00E30335">
        <w:t xml:space="preserve">82/45(c)(i)). </w:t>
      </w:r>
      <w:r w:rsidR="00B23751" w:rsidRPr="00E30335">
        <w:t>Two</w:t>
      </w:r>
      <w:r w:rsidRPr="00E30335">
        <w:t xml:space="preserve"> of these countries </w:t>
      </w:r>
      <w:r w:rsidR="004F616C" w:rsidRPr="00E30335">
        <w:t>have an</w:t>
      </w:r>
      <w:r w:rsidRPr="00E30335">
        <w:t xml:space="preserve"> approved stage II </w:t>
      </w:r>
      <w:r w:rsidR="005E1F33" w:rsidRPr="00E30335">
        <w:t>with</w:t>
      </w:r>
      <w:r w:rsidR="004F616C" w:rsidRPr="00E30335">
        <w:t xml:space="preserve"> </w:t>
      </w:r>
      <w:r w:rsidRPr="00E30335">
        <w:t>reduction target beyond 2020 (</w:t>
      </w:r>
      <w:r w:rsidR="00B23751" w:rsidRPr="00E30335">
        <w:t>Lebanon and Nigeria)</w:t>
      </w:r>
      <w:r w:rsidRPr="00E30335">
        <w:t>.</w:t>
      </w:r>
    </w:p>
    <w:p w:rsidR="003E4827" w:rsidRPr="00E30335" w:rsidRDefault="003E4827" w:rsidP="007C7992">
      <w:pPr>
        <w:keepNext/>
        <w:keepLines/>
        <w:rPr>
          <w:u w:val="single"/>
        </w:rPr>
      </w:pPr>
      <w:r w:rsidRPr="00E30335">
        <w:rPr>
          <w:u w:val="single"/>
        </w:rPr>
        <w:t>HFC-related activities</w:t>
      </w:r>
    </w:p>
    <w:p w:rsidR="003E4827" w:rsidRPr="00E30335" w:rsidRDefault="003E4827" w:rsidP="007C7992">
      <w:pPr>
        <w:keepNext/>
        <w:keepLines/>
        <w:rPr>
          <w:b/>
        </w:rPr>
      </w:pPr>
    </w:p>
    <w:p w:rsidR="00BD258F" w:rsidRPr="00E30335" w:rsidRDefault="003E4827" w:rsidP="007C7992">
      <w:pPr>
        <w:pStyle w:val="Heading1"/>
      </w:pPr>
      <w:r w:rsidRPr="00E30335">
        <w:t>HFC activities include an enabling activity (US $</w:t>
      </w:r>
      <w:r w:rsidR="0074589D" w:rsidRPr="00E30335">
        <w:t xml:space="preserve">101,650 </w:t>
      </w:r>
      <w:r w:rsidRPr="00E30335">
        <w:t>in 20</w:t>
      </w:r>
      <w:r w:rsidR="0074589D" w:rsidRPr="00E30335">
        <w:t>20</w:t>
      </w:r>
      <w:r w:rsidRPr="00E30335">
        <w:t xml:space="preserve"> for </w:t>
      </w:r>
      <w:r w:rsidR="0074589D" w:rsidRPr="00E30335">
        <w:t>Belize</w:t>
      </w:r>
      <w:r w:rsidRPr="00E30335">
        <w:t xml:space="preserve">); </w:t>
      </w:r>
      <w:r w:rsidR="0074589D" w:rsidRPr="00E30335">
        <w:t xml:space="preserve">HFC phase-down preparation </w:t>
      </w:r>
      <w:r w:rsidR="00D14D56" w:rsidRPr="00E30335">
        <w:t>activities</w:t>
      </w:r>
      <w:r w:rsidR="0074589D" w:rsidRPr="00E30335">
        <w:t xml:space="preserve"> for 19 countries amounting to US $3.53 million in 2020</w:t>
      </w:r>
      <w:r w:rsidR="005D2A35" w:rsidRPr="00E30335">
        <w:t>–</w:t>
      </w:r>
      <w:r w:rsidR="0074589D" w:rsidRPr="00E30335">
        <w:t xml:space="preserve">2022; and HFC phase-down </w:t>
      </w:r>
      <w:r w:rsidR="005D2A35" w:rsidRPr="00E30335">
        <w:t>management plan activities for seven</w:t>
      </w:r>
      <w:r w:rsidR="0074589D" w:rsidRPr="00E30335">
        <w:t xml:space="preserve"> countries amounting to US $7.29 million in 2020</w:t>
      </w:r>
      <w:r w:rsidR="005D2A35" w:rsidRPr="00E30335">
        <w:t>–</w:t>
      </w:r>
      <w:r w:rsidR="0074589D" w:rsidRPr="00E30335">
        <w:t>2022</w:t>
      </w:r>
      <w:r w:rsidRPr="00E30335">
        <w:t xml:space="preserve">. </w:t>
      </w:r>
    </w:p>
    <w:p w:rsidR="003E4827" w:rsidRPr="00E30335" w:rsidRDefault="00C14B60" w:rsidP="007C7992">
      <w:pPr>
        <w:pStyle w:val="Heading1"/>
      </w:pPr>
      <w:r w:rsidRPr="00E30335">
        <w:t xml:space="preserve">For </w:t>
      </w:r>
      <w:r w:rsidR="00AB434A" w:rsidRPr="00E30335">
        <w:t xml:space="preserve">the </w:t>
      </w:r>
      <w:r w:rsidR="00FF781E" w:rsidRPr="00E30335">
        <w:t xml:space="preserve">enabling activity, Belize has submitted the </w:t>
      </w:r>
      <w:r w:rsidR="00353961" w:rsidRPr="00E30335">
        <w:t>required letter from the G</w:t>
      </w:r>
      <w:r w:rsidR="003E4827" w:rsidRPr="00E30335">
        <w:t xml:space="preserve">overnment indicating its intent to make best efforts to ratify the Kigali Amendment as early as possible, </w:t>
      </w:r>
      <w:r w:rsidR="00606AC3" w:rsidRPr="00E30335">
        <w:t>in line with decision </w:t>
      </w:r>
      <w:r w:rsidR="003E4827" w:rsidRPr="00E30335">
        <w:t>79/46(d)(i).</w:t>
      </w:r>
    </w:p>
    <w:p w:rsidR="00FF781E" w:rsidRPr="00E30335" w:rsidRDefault="00FF781E" w:rsidP="007C7992">
      <w:pPr>
        <w:pStyle w:val="Heading1"/>
      </w:pPr>
      <w:r w:rsidRPr="00E30335">
        <w:t xml:space="preserve">With regard to </w:t>
      </w:r>
      <w:r w:rsidR="009D6185" w:rsidRPr="00E30335">
        <w:t>the</w:t>
      </w:r>
      <w:r w:rsidRPr="00E30335">
        <w:t xml:space="preserve"> preparation activities, </w:t>
      </w:r>
      <w:r w:rsidR="00F32AD0" w:rsidRPr="00E30335">
        <w:t>funding</w:t>
      </w:r>
      <w:r w:rsidRPr="00E30335">
        <w:rPr>
          <w:lang w:val="en-CA"/>
        </w:rPr>
        <w:t xml:space="preserve"> for the preparation of national implementation plans to meet initial reduction obligations for the phase-down of HFCs could be provided, at the earliest, five years prior to those obligations, after a country had ratified the Kigali Amendment and on the basis of guidelines to be approved in the future (decision </w:t>
      </w:r>
      <w:r w:rsidRPr="00E30335">
        <w:t xml:space="preserve">79/46(b)(iii)). Of the 19 countries, seven countries have not ratified </w:t>
      </w:r>
      <w:r w:rsidR="00E6544F" w:rsidRPr="00E30335">
        <w:t xml:space="preserve">the </w:t>
      </w:r>
      <w:r w:rsidRPr="00E30335">
        <w:t>Kigali Amendment (Bangladesh, Fiji, Indonesia, Iran (Islamic Republic of), K</w:t>
      </w:r>
      <w:r w:rsidR="00F20C0D" w:rsidRPr="00E30335">
        <w:t>yrgyzstan, Lebanon and Turkey).</w:t>
      </w:r>
      <w:r w:rsidRPr="00E30335">
        <w:t xml:space="preserve"> </w:t>
      </w:r>
      <w:r w:rsidR="00035CF0" w:rsidRPr="00E30335">
        <w:t>One</w:t>
      </w:r>
      <w:r w:rsidRPr="00E30335">
        <w:t xml:space="preserve"> of the seven countries ha</w:t>
      </w:r>
      <w:r w:rsidR="00035CF0" w:rsidRPr="00E30335">
        <w:t>s</w:t>
      </w:r>
      <w:r w:rsidRPr="00E30335">
        <w:t xml:space="preserve"> not submitte</w:t>
      </w:r>
      <w:r w:rsidR="00F60DBA" w:rsidRPr="00E30335">
        <w:t>d the required letter from the G</w:t>
      </w:r>
      <w:r w:rsidRPr="00E30335">
        <w:t xml:space="preserve">overnment indicating </w:t>
      </w:r>
      <w:r w:rsidR="00035CF0" w:rsidRPr="00E30335">
        <w:t xml:space="preserve">its </w:t>
      </w:r>
      <w:r w:rsidRPr="00E30335">
        <w:t>intent to make best efforts to ratify th</w:t>
      </w:r>
      <w:r w:rsidR="007F1526" w:rsidRPr="00E30335">
        <w:t>e</w:t>
      </w:r>
      <w:r w:rsidR="006B13BE" w:rsidRPr="00E30335">
        <w:t xml:space="preserve"> Kigali</w:t>
      </w:r>
      <w:r w:rsidRPr="00E30335">
        <w:t xml:space="preserve"> </w:t>
      </w:r>
      <w:r w:rsidR="00B23425" w:rsidRPr="00E30335">
        <w:t>A</w:t>
      </w:r>
      <w:r w:rsidRPr="00E30335">
        <w:t>mendment.</w:t>
      </w:r>
    </w:p>
    <w:p w:rsidR="003D7E48" w:rsidRPr="00E30335" w:rsidRDefault="003D7E48" w:rsidP="007C7992">
      <w:pPr>
        <w:pStyle w:val="Heading1"/>
      </w:pPr>
      <w:r w:rsidRPr="00E30335">
        <w:lastRenderedPageBreak/>
        <w:t>HFC phase-down management plan activities are included in the business plan for Costa Rica, Cuba, Ghana, Grenada, Nigeria, Panama and Viet Nam. However, there is no decision from the Executive Committee allowing countries to submit HFC phase-down management plan as only the preparatory funding is eligible according to decision 79/46(b)(iii).</w:t>
      </w:r>
    </w:p>
    <w:p w:rsidR="003E4827" w:rsidRPr="00E30335" w:rsidRDefault="003E4827" w:rsidP="007C7992">
      <w:pPr>
        <w:rPr>
          <w:u w:val="single"/>
        </w:rPr>
      </w:pPr>
      <w:r w:rsidRPr="00E30335">
        <w:rPr>
          <w:u w:val="single"/>
        </w:rPr>
        <w:t xml:space="preserve">Core unit costs </w:t>
      </w:r>
    </w:p>
    <w:p w:rsidR="003E4827" w:rsidRPr="00E30335" w:rsidRDefault="003E4827" w:rsidP="007C7992"/>
    <w:p w:rsidR="003E4827" w:rsidRPr="00E30335" w:rsidRDefault="003E4827" w:rsidP="007C7992">
      <w:pPr>
        <w:pStyle w:val="Heading1"/>
      </w:pPr>
      <w:r w:rsidRPr="00E30335">
        <w:t>The core unit costs</w:t>
      </w:r>
      <w:r w:rsidRPr="00E30335">
        <w:rPr>
          <w:rStyle w:val="FootnoteReference"/>
        </w:rPr>
        <w:footnoteReference w:id="2"/>
      </w:r>
      <w:r w:rsidRPr="00E30335">
        <w:t xml:space="preserve"> are expected to increase at an annual rate of 0.7 per cent as agreed. </w:t>
      </w:r>
    </w:p>
    <w:p w:rsidR="003E4827" w:rsidRPr="00E30335" w:rsidRDefault="003E4827" w:rsidP="007C7992">
      <w:pPr>
        <w:keepNext/>
        <w:spacing w:after="240"/>
        <w:rPr>
          <w:b/>
          <w:lang w:val="en-CA"/>
        </w:rPr>
      </w:pPr>
      <w:r w:rsidRPr="00E30335">
        <w:rPr>
          <w:b/>
          <w:bCs/>
          <w:lang w:val="en-CA"/>
        </w:rPr>
        <w:t>Proposed adjustments by the Secretariat</w:t>
      </w:r>
    </w:p>
    <w:p w:rsidR="003E4827" w:rsidRPr="00E30335" w:rsidRDefault="003E4827" w:rsidP="007C7992">
      <w:pPr>
        <w:pStyle w:val="Heading1"/>
        <w:rPr>
          <w:lang w:val="en-CA"/>
        </w:rPr>
      </w:pPr>
      <w:r w:rsidRPr="00E30335">
        <w:rPr>
          <w:lang w:val="en-CA"/>
        </w:rPr>
        <w:t xml:space="preserve">During the IACM, adjustments to the business plans of bilateral and implementing agencies were agreed based on relevant decisions of the Executive Committee. In reviewing the revised UNDP business plan for 2020–2022, the Secretariat noted that the following adjustments were not included: </w:t>
      </w:r>
    </w:p>
    <w:p w:rsidR="003E4827" w:rsidRPr="00E30335" w:rsidRDefault="003E4827" w:rsidP="007C7992">
      <w:pPr>
        <w:keepNext/>
        <w:rPr>
          <w:b/>
          <w:bCs/>
          <w:lang w:val="en-CA"/>
        </w:rPr>
      </w:pPr>
      <w:r w:rsidRPr="00E30335">
        <w:rPr>
          <w:b/>
          <w:lang w:val="en-CA"/>
        </w:rPr>
        <w:t>Table 3</w:t>
      </w:r>
      <w:r w:rsidR="00A21612" w:rsidRPr="00E30335">
        <w:rPr>
          <w:b/>
          <w:lang w:val="en-CA"/>
        </w:rPr>
        <w:t>.</w:t>
      </w:r>
      <w:r w:rsidRPr="00E30335">
        <w:rPr>
          <w:b/>
          <w:lang w:val="en-CA"/>
        </w:rPr>
        <w:t xml:space="preserve"> </w:t>
      </w:r>
      <w:r w:rsidRPr="00E30335">
        <w:rPr>
          <w:b/>
          <w:bCs/>
        </w:rPr>
        <w:t>Adjustments to the UNDP business plan for 2020–2022 (US $000)</w:t>
      </w:r>
    </w:p>
    <w:tbl>
      <w:tblPr>
        <w:tblStyle w:val="TableGrid"/>
        <w:tblW w:w="9498" w:type="dxa"/>
        <w:tblInd w:w="-5" w:type="dxa"/>
        <w:tblLook w:val="04A0" w:firstRow="1" w:lastRow="0" w:firstColumn="1" w:lastColumn="0" w:noHBand="0" w:noVBand="1"/>
      </w:tblPr>
      <w:tblGrid>
        <w:gridCol w:w="6776"/>
        <w:gridCol w:w="1361"/>
        <w:gridCol w:w="1361"/>
      </w:tblGrid>
      <w:tr w:rsidR="003E4827" w:rsidRPr="00E30335" w:rsidTr="005D27F3">
        <w:trPr>
          <w:tblHeader/>
        </w:trPr>
        <w:tc>
          <w:tcPr>
            <w:tcW w:w="6776" w:type="dxa"/>
          </w:tcPr>
          <w:p w:rsidR="003E4827" w:rsidRPr="00E30335" w:rsidRDefault="003E4827" w:rsidP="007C7992">
            <w:pPr>
              <w:rPr>
                <w:b/>
                <w:lang w:val="en-CA"/>
              </w:rPr>
            </w:pPr>
            <w:r w:rsidRPr="00E30335">
              <w:rPr>
                <w:b/>
                <w:lang w:val="en-CA"/>
              </w:rPr>
              <w:t>Adjustment</w:t>
            </w:r>
          </w:p>
        </w:tc>
        <w:tc>
          <w:tcPr>
            <w:tcW w:w="1361" w:type="dxa"/>
          </w:tcPr>
          <w:p w:rsidR="003E4827" w:rsidRPr="00E30335" w:rsidRDefault="003E4827" w:rsidP="007C7992">
            <w:pPr>
              <w:jc w:val="center"/>
              <w:rPr>
                <w:b/>
                <w:lang w:val="en-CA"/>
              </w:rPr>
            </w:pPr>
            <w:r w:rsidRPr="00E30335">
              <w:rPr>
                <w:b/>
                <w:lang w:val="en-CA"/>
              </w:rPr>
              <w:t>20</w:t>
            </w:r>
            <w:r w:rsidR="00053D53" w:rsidRPr="00E30335">
              <w:rPr>
                <w:b/>
                <w:lang w:val="en-CA"/>
              </w:rPr>
              <w:t>20</w:t>
            </w:r>
            <w:r w:rsidRPr="00E30335">
              <w:rPr>
                <w:b/>
                <w:lang w:val="en-CA"/>
              </w:rPr>
              <w:t>–20</w:t>
            </w:r>
            <w:r w:rsidR="00053D53" w:rsidRPr="00E30335">
              <w:rPr>
                <w:b/>
                <w:lang w:val="en-CA"/>
              </w:rPr>
              <w:t>22</w:t>
            </w:r>
            <w:r w:rsidRPr="00E30335">
              <w:rPr>
                <w:b/>
                <w:lang w:val="en-CA"/>
              </w:rPr>
              <w:t xml:space="preserve"> </w:t>
            </w:r>
          </w:p>
        </w:tc>
        <w:tc>
          <w:tcPr>
            <w:tcW w:w="1361" w:type="dxa"/>
          </w:tcPr>
          <w:p w:rsidR="003E4827" w:rsidRPr="00E30335" w:rsidRDefault="003E4827" w:rsidP="007C7992">
            <w:pPr>
              <w:ind w:left="-96" w:right="-108"/>
              <w:jc w:val="center"/>
              <w:rPr>
                <w:b/>
                <w:lang w:val="en-CA"/>
              </w:rPr>
            </w:pPr>
            <w:r w:rsidRPr="00E30335">
              <w:rPr>
                <w:b/>
                <w:lang w:val="en-CA"/>
              </w:rPr>
              <w:t>After 202</w:t>
            </w:r>
            <w:r w:rsidR="00053D53" w:rsidRPr="00E30335">
              <w:rPr>
                <w:b/>
                <w:lang w:val="en-CA"/>
              </w:rPr>
              <w:t>2</w:t>
            </w:r>
          </w:p>
        </w:tc>
      </w:tr>
      <w:tr w:rsidR="002A0F1D" w:rsidRPr="00E30335" w:rsidTr="005D27F3">
        <w:tc>
          <w:tcPr>
            <w:tcW w:w="6776" w:type="dxa"/>
          </w:tcPr>
          <w:p w:rsidR="002A0F1D" w:rsidRPr="00E30335" w:rsidRDefault="002A0F1D" w:rsidP="007C7992">
            <w:pPr>
              <w:rPr>
                <w:b/>
                <w:lang w:val="en-CA"/>
              </w:rPr>
            </w:pPr>
            <w:r w:rsidRPr="00E30335">
              <w:rPr>
                <w:lang w:val="en-CA"/>
              </w:rPr>
              <w:t>HPMP values to reflect the act</w:t>
            </w:r>
            <w:r w:rsidR="004D6518" w:rsidRPr="00E30335">
              <w:rPr>
                <w:lang w:val="en-CA"/>
              </w:rPr>
              <w:t>ual amounts approved under the A</w:t>
            </w:r>
            <w:r w:rsidRPr="00E30335">
              <w:rPr>
                <w:lang w:val="en-CA"/>
              </w:rPr>
              <w:t xml:space="preserve">greements or revised </w:t>
            </w:r>
            <w:r w:rsidR="004D6518" w:rsidRPr="00E30335">
              <w:rPr>
                <w:lang w:val="en-CA"/>
              </w:rPr>
              <w:t>A</w:t>
            </w:r>
            <w:r w:rsidRPr="00E30335">
              <w:rPr>
                <w:lang w:val="en-CA"/>
              </w:rPr>
              <w:t>greement submitted to the 84</w:t>
            </w:r>
            <w:r w:rsidRPr="00E30335">
              <w:rPr>
                <w:vertAlign w:val="superscript"/>
                <w:lang w:val="en-CA"/>
              </w:rPr>
              <w:t>th</w:t>
            </w:r>
            <w:r w:rsidRPr="00E30335">
              <w:rPr>
                <w:lang w:val="en-CA"/>
              </w:rPr>
              <w:t xml:space="preserve"> meeting</w:t>
            </w:r>
          </w:p>
        </w:tc>
        <w:tc>
          <w:tcPr>
            <w:tcW w:w="1361" w:type="dxa"/>
          </w:tcPr>
          <w:p w:rsidR="002A0F1D" w:rsidRPr="00E30335" w:rsidRDefault="002A0F1D" w:rsidP="007C7992">
            <w:pPr>
              <w:jc w:val="right"/>
            </w:pPr>
            <w:r w:rsidRPr="00E30335">
              <w:t>(11,878)</w:t>
            </w:r>
          </w:p>
        </w:tc>
        <w:tc>
          <w:tcPr>
            <w:tcW w:w="1361" w:type="dxa"/>
          </w:tcPr>
          <w:p w:rsidR="002A0F1D" w:rsidRPr="00E30335" w:rsidRDefault="002A0F1D" w:rsidP="007C7992">
            <w:pPr>
              <w:jc w:val="right"/>
            </w:pPr>
            <w:r w:rsidRPr="00E30335">
              <w:t>12,812</w:t>
            </w:r>
          </w:p>
        </w:tc>
      </w:tr>
      <w:tr w:rsidR="00DE6D70" w:rsidRPr="00E30335" w:rsidTr="00876103">
        <w:tc>
          <w:tcPr>
            <w:tcW w:w="6776" w:type="dxa"/>
          </w:tcPr>
          <w:p w:rsidR="00DE6D70" w:rsidRPr="00E30335" w:rsidRDefault="00DE6D70" w:rsidP="007C7992">
            <w:pPr>
              <w:rPr>
                <w:lang w:val="en-CA"/>
              </w:rPr>
            </w:pPr>
            <w:r w:rsidRPr="00E30335">
              <w:rPr>
                <w:lang w:val="en-CA"/>
              </w:rPr>
              <w:t>Stage II of HPMP values to reflect the Agreement submitted to the 84</w:t>
            </w:r>
            <w:r w:rsidRPr="00E30335">
              <w:rPr>
                <w:vertAlign w:val="superscript"/>
                <w:lang w:val="en-CA"/>
              </w:rPr>
              <w:t>th</w:t>
            </w:r>
            <w:r w:rsidRPr="00E30335">
              <w:rPr>
                <w:lang w:val="en-CA"/>
              </w:rPr>
              <w:t> meeting</w:t>
            </w:r>
          </w:p>
        </w:tc>
        <w:tc>
          <w:tcPr>
            <w:tcW w:w="1361" w:type="dxa"/>
          </w:tcPr>
          <w:p w:rsidR="00DE6D70" w:rsidRPr="00E30335" w:rsidRDefault="00DE6D70" w:rsidP="007C7992">
            <w:pPr>
              <w:jc w:val="right"/>
            </w:pPr>
            <w:r w:rsidRPr="00E30335">
              <w:t>(312)</w:t>
            </w:r>
          </w:p>
        </w:tc>
        <w:tc>
          <w:tcPr>
            <w:tcW w:w="1361" w:type="dxa"/>
          </w:tcPr>
          <w:p w:rsidR="00DE6D70" w:rsidRPr="00E30335" w:rsidRDefault="00DE6D70" w:rsidP="007C7992">
            <w:pPr>
              <w:jc w:val="right"/>
            </w:pPr>
            <w:r w:rsidRPr="00E30335">
              <w:t>453</w:t>
            </w:r>
          </w:p>
        </w:tc>
      </w:tr>
      <w:tr w:rsidR="00DE6D70" w:rsidRPr="00E30335" w:rsidTr="00876103">
        <w:tc>
          <w:tcPr>
            <w:tcW w:w="6776" w:type="dxa"/>
          </w:tcPr>
          <w:p w:rsidR="00DE6D70" w:rsidRPr="00E30335" w:rsidRDefault="00DE6D70" w:rsidP="003E5D27">
            <w:pPr>
              <w:rPr>
                <w:lang w:val="en-CA"/>
              </w:rPr>
            </w:pPr>
            <w:r w:rsidRPr="00E30335">
              <w:rPr>
                <w:lang w:val="en-CA"/>
              </w:rPr>
              <w:t xml:space="preserve">Stage II of HPMPs in LVC countries to the maximum allowable value to meet </w:t>
            </w:r>
            <w:r w:rsidR="003E5D27">
              <w:rPr>
                <w:lang w:val="en-CA"/>
              </w:rPr>
              <w:t>the</w:t>
            </w:r>
            <w:r w:rsidRPr="00E30335">
              <w:rPr>
                <w:lang w:val="en-CA"/>
              </w:rPr>
              <w:t xml:space="preserve"> 67.5 per cent reduction of the HCFC baseline based on decision 74/50(c)(xii)</w:t>
            </w:r>
          </w:p>
        </w:tc>
        <w:tc>
          <w:tcPr>
            <w:tcW w:w="1361" w:type="dxa"/>
          </w:tcPr>
          <w:p w:rsidR="00DE6D70" w:rsidRPr="00E30335" w:rsidRDefault="00DE6D70" w:rsidP="007C7992">
            <w:pPr>
              <w:jc w:val="right"/>
            </w:pPr>
            <w:r w:rsidRPr="00E30335">
              <w:t>(4)</w:t>
            </w:r>
          </w:p>
        </w:tc>
        <w:tc>
          <w:tcPr>
            <w:tcW w:w="1361" w:type="dxa"/>
          </w:tcPr>
          <w:p w:rsidR="00DE6D70" w:rsidRPr="00E30335" w:rsidRDefault="00DE6D70" w:rsidP="007C7992">
            <w:pPr>
              <w:jc w:val="right"/>
            </w:pPr>
            <w:r w:rsidRPr="00E30335">
              <w:t>(6)</w:t>
            </w:r>
          </w:p>
        </w:tc>
      </w:tr>
      <w:tr w:rsidR="00874A13" w:rsidRPr="00E30335" w:rsidTr="005D27F3">
        <w:tc>
          <w:tcPr>
            <w:tcW w:w="6776" w:type="dxa"/>
          </w:tcPr>
          <w:p w:rsidR="00874A13" w:rsidRPr="00E30335" w:rsidRDefault="00874A13" w:rsidP="007C7992">
            <w:pPr>
              <w:rPr>
                <w:lang w:val="en-CA"/>
              </w:rPr>
            </w:pPr>
            <w:r w:rsidRPr="00E30335">
              <w:rPr>
                <w:lang w:val="en-CA"/>
              </w:rPr>
              <w:t>PRP for stage III of HPMPs pursuant to decision 71/42</w:t>
            </w:r>
          </w:p>
        </w:tc>
        <w:tc>
          <w:tcPr>
            <w:tcW w:w="1361" w:type="dxa"/>
          </w:tcPr>
          <w:p w:rsidR="00874A13" w:rsidRPr="00E30335" w:rsidRDefault="00874A13" w:rsidP="007C7992">
            <w:pPr>
              <w:jc w:val="right"/>
            </w:pPr>
            <w:r w:rsidRPr="00E30335">
              <w:t>(260)</w:t>
            </w:r>
          </w:p>
        </w:tc>
        <w:tc>
          <w:tcPr>
            <w:tcW w:w="1361" w:type="dxa"/>
          </w:tcPr>
          <w:p w:rsidR="00874A13" w:rsidRPr="00E30335" w:rsidRDefault="00874A13" w:rsidP="007C7992">
            <w:pPr>
              <w:jc w:val="right"/>
            </w:pPr>
            <w:r w:rsidRPr="00E30335">
              <w:t>225</w:t>
            </w:r>
          </w:p>
        </w:tc>
      </w:tr>
      <w:tr w:rsidR="00DE6D70" w:rsidRPr="00E30335" w:rsidTr="00876103">
        <w:tc>
          <w:tcPr>
            <w:tcW w:w="6776" w:type="dxa"/>
          </w:tcPr>
          <w:p w:rsidR="00DE6D70" w:rsidRPr="00E30335" w:rsidRDefault="00DE6D70" w:rsidP="007C7992">
            <w:pPr>
              <w:rPr>
                <w:lang w:val="en-CA"/>
              </w:rPr>
            </w:pPr>
            <w:r w:rsidRPr="00E30335">
              <w:rPr>
                <w:lang w:val="en-CA"/>
              </w:rPr>
              <w:t xml:space="preserve">Stage III of HPMPs pursuant to </w:t>
            </w:r>
            <w:r w:rsidRPr="00E30335">
              <w:t>decision 82/45(c)(i)</w:t>
            </w:r>
          </w:p>
        </w:tc>
        <w:tc>
          <w:tcPr>
            <w:tcW w:w="1361" w:type="dxa"/>
          </w:tcPr>
          <w:p w:rsidR="00DE6D70" w:rsidRPr="00E30335" w:rsidRDefault="00DE6D70" w:rsidP="007C7992">
            <w:pPr>
              <w:jc w:val="right"/>
            </w:pPr>
            <w:r w:rsidRPr="00E30335">
              <w:t>(1,674)</w:t>
            </w:r>
          </w:p>
        </w:tc>
        <w:tc>
          <w:tcPr>
            <w:tcW w:w="1361" w:type="dxa"/>
          </w:tcPr>
          <w:p w:rsidR="00DE6D70" w:rsidRPr="00E30335" w:rsidRDefault="00DE6D70" w:rsidP="007C7992">
            <w:pPr>
              <w:jc w:val="right"/>
            </w:pPr>
            <w:r w:rsidRPr="00E30335">
              <w:t>(3,385)</w:t>
            </w:r>
          </w:p>
        </w:tc>
      </w:tr>
      <w:tr w:rsidR="00DE6D70" w:rsidRPr="00E30335" w:rsidTr="00876103">
        <w:tc>
          <w:tcPr>
            <w:tcW w:w="6776" w:type="dxa"/>
          </w:tcPr>
          <w:p w:rsidR="00DE6D70" w:rsidRPr="00E30335" w:rsidRDefault="00DE6D70" w:rsidP="007C7992">
            <w:pPr>
              <w:rPr>
                <w:lang w:val="en-CA"/>
              </w:rPr>
            </w:pPr>
            <w:r w:rsidRPr="00E30335">
              <w:rPr>
                <w:lang w:val="en-CA"/>
              </w:rPr>
              <w:t xml:space="preserve">PRP for HFC phase-down pursuant to decision </w:t>
            </w:r>
            <w:r w:rsidRPr="00E30335">
              <w:t>56/16(c) or countries that have not ratified the Kigali Amendment</w:t>
            </w:r>
          </w:p>
        </w:tc>
        <w:tc>
          <w:tcPr>
            <w:tcW w:w="1361" w:type="dxa"/>
          </w:tcPr>
          <w:p w:rsidR="00DE6D70" w:rsidRPr="00E30335" w:rsidRDefault="00DE6D70" w:rsidP="007C7992">
            <w:pPr>
              <w:jc w:val="right"/>
            </w:pPr>
            <w:r w:rsidRPr="00E30335">
              <w:t>(2,152)</w:t>
            </w:r>
          </w:p>
        </w:tc>
        <w:tc>
          <w:tcPr>
            <w:tcW w:w="1361" w:type="dxa"/>
          </w:tcPr>
          <w:p w:rsidR="00DE6D70" w:rsidRPr="00E30335" w:rsidRDefault="00DE6D70" w:rsidP="007C7992">
            <w:pPr>
              <w:jc w:val="right"/>
            </w:pPr>
            <w:r w:rsidRPr="00E30335">
              <w:t>0</w:t>
            </w:r>
          </w:p>
        </w:tc>
      </w:tr>
      <w:tr w:rsidR="00874A13" w:rsidRPr="00E30335" w:rsidTr="008B1A97">
        <w:tc>
          <w:tcPr>
            <w:tcW w:w="6776" w:type="dxa"/>
          </w:tcPr>
          <w:p w:rsidR="00874A13" w:rsidRPr="00E30335" w:rsidRDefault="00874A13" w:rsidP="007C7992">
            <w:pPr>
              <w:rPr>
                <w:lang w:val="en-CA"/>
              </w:rPr>
            </w:pPr>
            <w:r w:rsidRPr="00E30335">
              <w:rPr>
                <w:lang w:val="en-CA"/>
              </w:rPr>
              <w:t xml:space="preserve">HFC phase-down management plan pursuant to decision </w:t>
            </w:r>
            <w:r w:rsidRPr="00E30335">
              <w:t>79/46(b)(iii)</w:t>
            </w:r>
          </w:p>
        </w:tc>
        <w:tc>
          <w:tcPr>
            <w:tcW w:w="1361" w:type="dxa"/>
            <w:vAlign w:val="bottom"/>
          </w:tcPr>
          <w:p w:rsidR="00874A13" w:rsidRPr="00E30335" w:rsidRDefault="00874A13" w:rsidP="007C7992">
            <w:pPr>
              <w:jc w:val="right"/>
            </w:pPr>
            <w:r w:rsidRPr="00E30335">
              <w:t>(7,290)</w:t>
            </w:r>
          </w:p>
        </w:tc>
        <w:tc>
          <w:tcPr>
            <w:tcW w:w="1361" w:type="dxa"/>
            <w:vAlign w:val="bottom"/>
          </w:tcPr>
          <w:p w:rsidR="00874A13" w:rsidRPr="00E30335" w:rsidRDefault="00874A13" w:rsidP="007C7992">
            <w:pPr>
              <w:jc w:val="right"/>
            </w:pPr>
            <w:r w:rsidRPr="00E30335">
              <w:t>0</w:t>
            </w:r>
          </w:p>
        </w:tc>
      </w:tr>
    </w:tbl>
    <w:p w:rsidR="003E4827" w:rsidRPr="00E30335" w:rsidRDefault="003E4827" w:rsidP="007C7992">
      <w:pPr>
        <w:rPr>
          <w:lang w:val="en-CA"/>
        </w:rPr>
      </w:pPr>
    </w:p>
    <w:p w:rsidR="003E4827" w:rsidRPr="00E30335" w:rsidRDefault="003E4827" w:rsidP="007C7992">
      <w:pPr>
        <w:pStyle w:val="Heading1"/>
      </w:pPr>
      <w:r w:rsidRPr="00E30335">
        <w:t xml:space="preserve">Table 4 presents the results of the Secretariat’s proposed adjustments to the UNDP business plan for 2020–2022, which are also addressed in the context of the </w:t>
      </w:r>
      <w:r w:rsidRPr="00E30335">
        <w:rPr>
          <w:lang w:val="en-CA"/>
        </w:rPr>
        <w:t>Consolidated business plan of the Multilateral Fund for 2020–2022.</w:t>
      </w:r>
      <w:r w:rsidRPr="00E30335">
        <w:rPr>
          <w:rStyle w:val="FootnoteReference"/>
        </w:rPr>
        <w:footnoteReference w:id="3"/>
      </w:r>
    </w:p>
    <w:p w:rsidR="003E4827" w:rsidRPr="00E30335" w:rsidRDefault="003E4827" w:rsidP="007C7992">
      <w:pPr>
        <w:keepNext/>
        <w:rPr>
          <w:b/>
          <w:lang w:val="en-CA"/>
        </w:rPr>
      </w:pPr>
      <w:r w:rsidRPr="00E30335">
        <w:rPr>
          <w:b/>
        </w:rPr>
        <w:t>Table 4</w:t>
      </w:r>
      <w:r w:rsidR="00A21612" w:rsidRPr="00E30335">
        <w:rPr>
          <w:b/>
        </w:rPr>
        <w:t>.</w:t>
      </w:r>
      <w:r w:rsidRPr="00E30335">
        <w:rPr>
          <w:b/>
        </w:rPr>
        <w:t xml:space="preserve"> </w:t>
      </w:r>
      <w:r w:rsidRPr="00E30335">
        <w:rPr>
          <w:b/>
          <w:lang w:val="en-CA"/>
        </w:rPr>
        <w:t>Resource allocation in UNDP’s adjusted business plan for 2020–2022 (US $000s)*</w:t>
      </w:r>
    </w:p>
    <w:tbl>
      <w:tblPr>
        <w:tblW w:w="9498" w:type="dxa"/>
        <w:tblInd w:w="-5" w:type="dxa"/>
        <w:tblLook w:val="04A0" w:firstRow="1" w:lastRow="0" w:firstColumn="1" w:lastColumn="0" w:noHBand="0" w:noVBand="1"/>
      </w:tblPr>
      <w:tblGrid>
        <w:gridCol w:w="3544"/>
        <w:gridCol w:w="1134"/>
        <w:gridCol w:w="1134"/>
        <w:gridCol w:w="1134"/>
        <w:gridCol w:w="1276"/>
        <w:gridCol w:w="1276"/>
      </w:tblGrid>
      <w:tr w:rsidR="0036613D" w:rsidRPr="00E30335" w:rsidTr="0036613D">
        <w:trPr>
          <w:trHeight w:val="264"/>
          <w:tblHeader/>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6613D" w:rsidRPr="00E30335" w:rsidRDefault="0036613D" w:rsidP="007C7992">
            <w:pPr>
              <w:jc w:val="center"/>
              <w:rPr>
                <w:b/>
                <w:bCs/>
                <w:sz w:val="20"/>
                <w:szCs w:val="20"/>
                <w:lang w:val="en-CA" w:eastAsia="en-CA"/>
              </w:rPr>
            </w:pPr>
            <w:r w:rsidRPr="00E30335">
              <w:rPr>
                <w:b/>
                <w:bCs/>
                <w:sz w:val="20"/>
                <w:szCs w:val="20"/>
                <w:lang w:val="en-CA" w:eastAsia="en-CA"/>
              </w:rPr>
              <w:t> </w:t>
            </w:r>
          </w:p>
        </w:tc>
        <w:tc>
          <w:tcPr>
            <w:tcW w:w="1134" w:type="dxa"/>
            <w:tcBorders>
              <w:top w:val="single" w:sz="4" w:space="0" w:color="auto"/>
              <w:left w:val="nil"/>
              <w:bottom w:val="single" w:sz="4" w:space="0" w:color="auto"/>
              <w:right w:val="single" w:sz="4" w:space="0" w:color="auto"/>
            </w:tcBorders>
            <w:shd w:val="clear" w:color="auto" w:fill="auto"/>
            <w:hideMark/>
          </w:tcPr>
          <w:p w:rsidR="0036613D" w:rsidRPr="00E30335" w:rsidRDefault="0036613D" w:rsidP="007C7992">
            <w:pPr>
              <w:jc w:val="center"/>
              <w:rPr>
                <w:b/>
                <w:bCs/>
                <w:sz w:val="20"/>
                <w:szCs w:val="20"/>
                <w:lang w:val="en-CA" w:eastAsia="en-CA"/>
              </w:rPr>
            </w:pPr>
            <w:r w:rsidRPr="00E30335">
              <w:rPr>
                <w:b/>
                <w:bCs/>
                <w:sz w:val="20"/>
                <w:szCs w:val="20"/>
                <w:lang w:val="en-CA" w:eastAsia="en-CA"/>
              </w:rPr>
              <w:t>2020</w:t>
            </w:r>
          </w:p>
        </w:tc>
        <w:tc>
          <w:tcPr>
            <w:tcW w:w="1134" w:type="dxa"/>
            <w:tcBorders>
              <w:top w:val="single" w:sz="4" w:space="0" w:color="auto"/>
              <w:left w:val="nil"/>
              <w:bottom w:val="single" w:sz="4" w:space="0" w:color="auto"/>
              <w:right w:val="single" w:sz="4" w:space="0" w:color="auto"/>
            </w:tcBorders>
            <w:shd w:val="clear" w:color="auto" w:fill="auto"/>
            <w:hideMark/>
          </w:tcPr>
          <w:p w:rsidR="0036613D" w:rsidRPr="00E30335" w:rsidRDefault="0036613D" w:rsidP="007C7992">
            <w:pPr>
              <w:jc w:val="center"/>
              <w:rPr>
                <w:b/>
                <w:bCs/>
                <w:sz w:val="20"/>
                <w:szCs w:val="20"/>
                <w:lang w:val="en-CA" w:eastAsia="en-CA"/>
              </w:rPr>
            </w:pPr>
            <w:r w:rsidRPr="00E30335">
              <w:rPr>
                <w:b/>
                <w:bCs/>
                <w:sz w:val="20"/>
                <w:szCs w:val="20"/>
                <w:lang w:val="en-CA" w:eastAsia="en-CA"/>
              </w:rPr>
              <w:t>2021</w:t>
            </w:r>
          </w:p>
        </w:tc>
        <w:tc>
          <w:tcPr>
            <w:tcW w:w="1134" w:type="dxa"/>
            <w:tcBorders>
              <w:top w:val="single" w:sz="4" w:space="0" w:color="auto"/>
              <w:left w:val="nil"/>
              <w:bottom w:val="single" w:sz="4" w:space="0" w:color="auto"/>
              <w:right w:val="single" w:sz="4" w:space="0" w:color="auto"/>
            </w:tcBorders>
            <w:shd w:val="clear" w:color="auto" w:fill="auto"/>
            <w:hideMark/>
          </w:tcPr>
          <w:p w:rsidR="0036613D" w:rsidRPr="00E30335" w:rsidRDefault="0036613D" w:rsidP="007C7992">
            <w:pPr>
              <w:jc w:val="center"/>
              <w:rPr>
                <w:b/>
                <w:bCs/>
                <w:sz w:val="20"/>
                <w:szCs w:val="20"/>
                <w:lang w:val="en-CA" w:eastAsia="en-CA"/>
              </w:rPr>
            </w:pPr>
            <w:r w:rsidRPr="00E30335">
              <w:rPr>
                <w:b/>
                <w:bCs/>
                <w:sz w:val="20"/>
                <w:szCs w:val="20"/>
                <w:lang w:val="en-CA" w:eastAsia="en-CA"/>
              </w:rPr>
              <w:t>2022</w:t>
            </w:r>
          </w:p>
        </w:tc>
        <w:tc>
          <w:tcPr>
            <w:tcW w:w="1276" w:type="dxa"/>
            <w:tcBorders>
              <w:top w:val="single" w:sz="4" w:space="0" w:color="auto"/>
              <w:left w:val="nil"/>
              <w:bottom w:val="single" w:sz="4" w:space="0" w:color="auto"/>
              <w:right w:val="single" w:sz="4" w:space="0" w:color="auto"/>
            </w:tcBorders>
            <w:shd w:val="clear" w:color="auto" w:fill="auto"/>
            <w:hideMark/>
          </w:tcPr>
          <w:p w:rsidR="0036613D" w:rsidRPr="00E30335" w:rsidRDefault="0036613D" w:rsidP="007C7992">
            <w:pPr>
              <w:jc w:val="center"/>
              <w:rPr>
                <w:b/>
                <w:bCs/>
                <w:sz w:val="20"/>
                <w:szCs w:val="20"/>
                <w:lang w:val="en-CA" w:eastAsia="en-CA"/>
              </w:rPr>
            </w:pPr>
            <w:r w:rsidRPr="00E30335">
              <w:rPr>
                <w:b/>
                <w:bCs/>
                <w:sz w:val="20"/>
                <w:szCs w:val="20"/>
                <w:lang w:val="en-CA" w:eastAsia="en-CA"/>
              </w:rPr>
              <w:t>Total (2020–2022)</w:t>
            </w:r>
          </w:p>
        </w:tc>
        <w:tc>
          <w:tcPr>
            <w:tcW w:w="1276" w:type="dxa"/>
            <w:tcBorders>
              <w:top w:val="single" w:sz="4" w:space="0" w:color="auto"/>
              <w:left w:val="nil"/>
              <w:bottom w:val="single" w:sz="4" w:space="0" w:color="auto"/>
              <w:right w:val="single" w:sz="4" w:space="0" w:color="auto"/>
            </w:tcBorders>
            <w:shd w:val="clear" w:color="auto" w:fill="auto"/>
            <w:hideMark/>
          </w:tcPr>
          <w:p w:rsidR="0036613D" w:rsidRPr="00E30335" w:rsidRDefault="0036613D" w:rsidP="007C7992">
            <w:pPr>
              <w:jc w:val="center"/>
              <w:rPr>
                <w:b/>
                <w:bCs/>
                <w:sz w:val="20"/>
                <w:szCs w:val="20"/>
                <w:lang w:val="en-CA" w:eastAsia="en-CA"/>
              </w:rPr>
            </w:pPr>
            <w:r w:rsidRPr="00E30335">
              <w:rPr>
                <w:b/>
                <w:bCs/>
                <w:sz w:val="20"/>
                <w:szCs w:val="20"/>
                <w:lang w:val="en-CA" w:eastAsia="en-CA"/>
              </w:rPr>
              <w:t>Total after 2022</w:t>
            </w:r>
          </w:p>
        </w:tc>
      </w:tr>
      <w:tr w:rsidR="0036613D" w:rsidRPr="00E30335" w:rsidTr="0036613D">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6613D" w:rsidRPr="00E30335" w:rsidRDefault="00C874CC" w:rsidP="00CE6481">
            <w:pPr>
              <w:jc w:val="left"/>
              <w:rPr>
                <w:b/>
                <w:bCs/>
                <w:sz w:val="20"/>
                <w:szCs w:val="20"/>
                <w:lang w:val="en-CA" w:eastAsia="en-CA"/>
              </w:rPr>
            </w:pPr>
            <w:r w:rsidRPr="00E30335">
              <w:rPr>
                <w:b/>
                <w:bCs/>
                <w:sz w:val="20"/>
                <w:szCs w:val="20"/>
                <w:lang w:val="en-CA" w:eastAsia="en-CA"/>
              </w:rPr>
              <w:t xml:space="preserve">HCFC activities </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sz w:val="20"/>
                <w:szCs w:val="20"/>
                <w:lang w:val="en-CA" w:eastAsia="en-CA"/>
              </w:rPr>
            </w:pPr>
            <w:r w:rsidRPr="00E30335">
              <w:rPr>
                <w:sz w:val="20"/>
                <w:szCs w:val="20"/>
                <w:lang w:val="en-CA" w:eastAsia="en-CA"/>
              </w:rPr>
              <w:t>Approved HPMPs</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57,822</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29,437</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19,695</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106,954</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15,383</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sz w:val="20"/>
                <w:szCs w:val="20"/>
                <w:lang w:val="en-CA" w:eastAsia="en-CA"/>
              </w:rPr>
            </w:pPr>
            <w:r w:rsidRPr="00E30335">
              <w:rPr>
                <w:sz w:val="20"/>
                <w:szCs w:val="20"/>
                <w:lang w:val="en-CA" w:eastAsia="en-CA"/>
              </w:rPr>
              <w:t>HPMP PRP</w:t>
            </w:r>
            <w:r w:rsidR="00B4719C" w:rsidRPr="00E30335">
              <w:rPr>
                <w:sz w:val="20"/>
                <w:szCs w:val="20"/>
                <w:lang w:val="en-CA" w:eastAsia="en-CA"/>
              </w:rPr>
              <w:t xml:space="preserve"> </w:t>
            </w:r>
            <w:r w:rsidR="00B80938" w:rsidRPr="00E30335">
              <w:rPr>
                <w:sz w:val="20"/>
                <w:szCs w:val="20"/>
                <w:lang w:val="en-CA" w:eastAsia="en-CA"/>
              </w:rPr>
              <w:t>–</w:t>
            </w:r>
            <w:r w:rsidRPr="00E30335">
              <w:rPr>
                <w:sz w:val="20"/>
                <w:szCs w:val="20"/>
                <w:lang w:val="en-CA" w:eastAsia="en-CA"/>
              </w:rPr>
              <w:t xml:space="preserve"> stage</w:t>
            </w:r>
            <w:r w:rsidR="00B80938" w:rsidRPr="00E30335">
              <w:rPr>
                <w:sz w:val="20"/>
                <w:szCs w:val="20"/>
                <w:lang w:val="en-CA" w:eastAsia="en-CA"/>
              </w:rPr>
              <w:t xml:space="preserve"> </w:t>
            </w:r>
            <w:r w:rsidRPr="00E30335">
              <w:rPr>
                <w:sz w:val="20"/>
                <w:szCs w:val="20"/>
                <w:lang w:val="en-CA" w:eastAsia="en-CA"/>
              </w:rPr>
              <w:t>II</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10</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10</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0</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sz w:val="20"/>
                <w:szCs w:val="20"/>
                <w:lang w:val="en-CA" w:eastAsia="en-CA"/>
              </w:rPr>
            </w:pPr>
            <w:r w:rsidRPr="00E30335">
              <w:rPr>
                <w:sz w:val="20"/>
                <w:szCs w:val="20"/>
                <w:lang w:val="en-CA" w:eastAsia="en-CA"/>
              </w:rPr>
              <w:t xml:space="preserve">HPMP stage II </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1,689</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1,839</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136</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3,665</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4,363</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B80938" w:rsidP="007C7992">
            <w:pPr>
              <w:jc w:val="left"/>
              <w:rPr>
                <w:sz w:val="20"/>
                <w:szCs w:val="20"/>
                <w:lang w:val="en-CA" w:eastAsia="en-CA"/>
              </w:rPr>
            </w:pPr>
            <w:r w:rsidRPr="00E30335">
              <w:rPr>
                <w:sz w:val="20"/>
                <w:szCs w:val="20"/>
                <w:lang w:val="en-CA" w:eastAsia="en-CA"/>
              </w:rPr>
              <w:t>HPMP PRP –</w:t>
            </w:r>
            <w:r w:rsidR="0036613D" w:rsidRPr="00E30335">
              <w:rPr>
                <w:sz w:val="20"/>
                <w:szCs w:val="20"/>
                <w:lang w:val="en-CA" w:eastAsia="en-CA"/>
              </w:rPr>
              <w:t xml:space="preserve"> stage III</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529</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415</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182</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1,126</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225</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sz w:val="20"/>
                <w:szCs w:val="20"/>
                <w:lang w:val="en-CA" w:eastAsia="en-CA"/>
              </w:rPr>
            </w:pPr>
            <w:r w:rsidRPr="00E30335">
              <w:rPr>
                <w:sz w:val="20"/>
                <w:szCs w:val="20"/>
                <w:lang w:val="en-CA" w:eastAsia="en-CA"/>
              </w:rPr>
              <w:t>HPMP stage III</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1,127</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75</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112</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1,314</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1,690</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b/>
                <w:bCs/>
                <w:sz w:val="20"/>
                <w:szCs w:val="20"/>
                <w:lang w:val="en-CA" w:eastAsia="en-CA"/>
              </w:rPr>
            </w:pPr>
            <w:r w:rsidRPr="00E30335">
              <w:rPr>
                <w:b/>
                <w:bCs/>
                <w:sz w:val="20"/>
                <w:szCs w:val="20"/>
                <w:lang w:val="en-CA" w:eastAsia="en-CA"/>
              </w:rPr>
              <w:t xml:space="preserve">   </w:t>
            </w:r>
            <w:r w:rsidR="00C874CC" w:rsidRPr="00E30335">
              <w:rPr>
                <w:b/>
                <w:bCs/>
                <w:sz w:val="20"/>
                <w:szCs w:val="20"/>
                <w:lang w:val="en-CA" w:eastAsia="en-CA"/>
              </w:rPr>
              <w:t xml:space="preserve">HCFC activities </w:t>
            </w:r>
            <w:r w:rsidRPr="00E30335">
              <w:rPr>
                <w:b/>
                <w:bCs/>
                <w:sz w:val="20"/>
                <w:szCs w:val="20"/>
                <w:lang w:val="en-CA" w:eastAsia="en-CA"/>
              </w:rPr>
              <w:t>subtotal</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61,178</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31,766</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20,125</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113,069</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21,660</w:t>
            </w:r>
          </w:p>
        </w:tc>
      </w:tr>
      <w:tr w:rsidR="0036613D" w:rsidRPr="00E30335" w:rsidTr="0036613D">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b/>
                <w:bCs/>
                <w:sz w:val="20"/>
                <w:szCs w:val="20"/>
                <w:lang w:val="en-CA" w:eastAsia="en-CA"/>
              </w:rPr>
            </w:pPr>
            <w:r w:rsidRPr="00E30335">
              <w:rPr>
                <w:b/>
                <w:bCs/>
                <w:sz w:val="20"/>
                <w:szCs w:val="20"/>
                <w:lang w:val="en-CA" w:eastAsia="en-CA"/>
              </w:rPr>
              <w:t>HFC activities</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sz w:val="20"/>
                <w:szCs w:val="20"/>
                <w:lang w:val="en-CA" w:eastAsia="en-CA"/>
              </w:rPr>
            </w:pPr>
            <w:r w:rsidRPr="00E30335">
              <w:rPr>
                <w:sz w:val="20"/>
                <w:szCs w:val="20"/>
                <w:lang w:val="en-CA" w:eastAsia="en-CA"/>
              </w:rPr>
              <w:t xml:space="preserve">HFC </w:t>
            </w:r>
            <w:r w:rsidR="008F422D" w:rsidRPr="00E30335">
              <w:rPr>
                <w:sz w:val="20"/>
                <w:szCs w:val="20"/>
                <w:lang w:val="en-CA" w:eastAsia="en-CA"/>
              </w:rPr>
              <w:t>–</w:t>
            </w:r>
            <w:r w:rsidRPr="00E30335">
              <w:rPr>
                <w:sz w:val="20"/>
                <w:szCs w:val="20"/>
                <w:lang w:val="en-CA" w:eastAsia="en-CA"/>
              </w:rPr>
              <w:t xml:space="preserve"> enabling activities</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102</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A4417" w:rsidP="007C7992">
            <w:pPr>
              <w:jc w:val="right"/>
              <w:rPr>
                <w:sz w:val="20"/>
                <w:szCs w:val="20"/>
                <w:lang w:val="en-CA" w:eastAsia="en-CA"/>
              </w:rPr>
            </w:pPr>
            <w:r w:rsidRPr="00E30335">
              <w:rPr>
                <w:sz w:val="20"/>
                <w:szCs w:val="20"/>
                <w:lang w:val="en-CA" w:eastAsia="en-CA"/>
              </w:rPr>
              <w:t>0</w:t>
            </w:r>
            <w:r w:rsidR="0036613D" w:rsidRPr="00E30335">
              <w:rPr>
                <w:sz w:val="20"/>
                <w:szCs w:val="20"/>
                <w:lang w:val="en-CA" w:eastAsia="en-CA"/>
              </w:rPr>
              <w:t> </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A4417" w:rsidP="007C7992">
            <w:pPr>
              <w:jc w:val="right"/>
              <w:rPr>
                <w:sz w:val="20"/>
                <w:szCs w:val="20"/>
                <w:lang w:val="en-CA" w:eastAsia="en-CA"/>
              </w:rPr>
            </w:pPr>
            <w:r w:rsidRPr="00E30335">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A4417" w:rsidP="007C7992">
            <w:pPr>
              <w:jc w:val="right"/>
              <w:rPr>
                <w:sz w:val="20"/>
                <w:szCs w:val="20"/>
                <w:lang w:val="en-CA" w:eastAsia="en-CA"/>
              </w:rPr>
            </w:pPr>
            <w:r w:rsidRPr="00E30335">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A4417" w:rsidP="007C7992">
            <w:pPr>
              <w:jc w:val="right"/>
              <w:rPr>
                <w:sz w:val="20"/>
                <w:szCs w:val="20"/>
                <w:lang w:val="en-CA" w:eastAsia="en-CA"/>
              </w:rPr>
            </w:pPr>
            <w:r w:rsidRPr="00E30335">
              <w:rPr>
                <w:sz w:val="20"/>
                <w:szCs w:val="20"/>
                <w:lang w:val="en-CA" w:eastAsia="en-CA"/>
              </w:rPr>
              <w:t>0</w:t>
            </w:r>
          </w:p>
        </w:tc>
      </w:tr>
      <w:tr w:rsidR="008F422D" w:rsidRPr="00E30335" w:rsidTr="007D6EF1">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8F422D" w:rsidRPr="00E30335" w:rsidRDefault="008F422D" w:rsidP="007C7992">
            <w:pPr>
              <w:jc w:val="left"/>
              <w:rPr>
                <w:sz w:val="20"/>
                <w:szCs w:val="20"/>
                <w:lang w:val="en-CA" w:eastAsia="en-CA"/>
              </w:rPr>
            </w:pPr>
            <w:r w:rsidRPr="00E30335">
              <w:rPr>
                <w:sz w:val="20"/>
                <w:szCs w:val="20"/>
                <w:lang w:val="en-CA" w:eastAsia="en-CA"/>
              </w:rPr>
              <w:t>HFC phase-down plan – PRP</w:t>
            </w:r>
          </w:p>
        </w:tc>
        <w:tc>
          <w:tcPr>
            <w:tcW w:w="1134" w:type="dxa"/>
            <w:tcBorders>
              <w:top w:val="nil"/>
              <w:left w:val="nil"/>
              <w:bottom w:val="single" w:sz="4" w:space="0" w:color="auto"/>
              <w:right w:val="single" w:sz="4" w:space="0" w:color="auto"/>
            </w:tcBorders>
            <w:shd w:val="clear" w:color="auto" w:fill="auto"/>
            <w:noWrap/>
            <w:hideMark/>
          </w:tcPr>
          <w:p w:rsidR="008F422D" w:rsidRPr="00E30335" w:rsidRDefault="008F422D" w:rsidP="007C7992">
            <w:pPr>
              <w:jc w:val="right"/>
              <w:rPr>
                <w:sz w:val="20"/>
                <w:szCs w:val="20"/>
                <w:lang w:val="en-CA" w:eastAsia="en-CA"/>
              </w:rPr>
            </w:pPr>
            <w:r w:rsidRPr="00E30335">
              <w:rPr>
                <w:sz w:val="20"/>
                <w:szCs w:val="20"/>
                <w:lang w:val="en-CA" w:eastAsia="en-CA"/>
              </w:rPr>
              <w:t>922</w:t>
            </w:r>
          </w:p>
        </w:tc>
        <w:tc>
          <w:tcPr>
            <w:tcW w:w="1134" w:type="dxa"/>
            <w:tcBorders>
              <w:top w:val="nil"/>
              <w:left w:val="nil"/>
              <w:bottom w:val="single" w:sz="4" w:space="0" w:color="auto"/>
              <w:right w:val="single" w:sz="4" w:space="0" w:color="auto"/>
            </w:tcBorders>
            <w:shd w:val="clear" w:color="auto" w:fill="auto"/>
            <w:noWrap/>
            <w:hideMark/>
          </w:tcPr>
          <w:p w:rsidR="008F422D" w:rsidRPr="00E30335" w:rsidRDefault="008F422D" w:rsidP="007C7992">
            <w:pPr>
              <w:jc w:val="right"/>
              <w:rPr>
                <w:sz w:val="20"/>
                <w:szCs w:val="20"/>
                <w:lang w:val="en-CA" w:eastAsia="en-CA"/>
              </w:rPr>
            </w:pPr>
            <w:r w:rsidRPr="00E30335">
              <w:rPr>
                <w:sz w:val="20"/>
                <w:szCs w:val="20"/>
                <w:lang w:val="en-CA" w:eastAsia="en-CA"/>
              </w:rPr>
              <w:t>459</w:t>
            </w:r>
          </w:p>
        </w:tc>
        <w:tc>
          <w:tcPr>
            <w:tcW w:w="1134" w:type="dxa"/>
            <w:tcBorders>
              <w:top w:val="nil"/>
              <w:left w:val="nil"/>
              <w:bottom w:val="single" w:sz="4" w:space="0" w:color="auto"/>
              <w:right w:val="single" w:sz="4" w:space="0" w:color="auto"/>
            </w:tcBorders>
            <w:shd w:val="clear" w:color="auto" w:fill="auto"/>
            <w:noWrap/>
            <w:hideMark/>
          </w:tcPr>
          <w:p w:rsidR="008F422D" w:rsidRPr="00E30335" w:rsidRDefault="008F422D" w:rsidP="007C7992">
            <w:pPr>
              <w:jc w:val="right"/>
              <w:rPr>
                <w:sz w:val="20"/>
                <w:szCs w:val="20"/>
                <w:lang w:val="en-CA" w:eastAsia="en-CA"/>
              </w:rPr>
            </w:pPr>
            <w:r w:rsidRPr="00E30335">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rsidR="008F422D" w:rsidRPr="00E30335" w:rsidRDefault="008F422D" w:rsidP="007C7992">
            <w:pPr>
              <w:jc w:val="right"/>
              <w:rPr>
                <w:sz w:val="20"/>
                <w:szCs w:val="20"/>
                <w:lang w:val="en-CA" w:eastAsia="en-CA"/>
              </w:rPr>
            </w:pPr>
            <w:r w:rsidRPr="00E30335">
              <w:rPr>
                <w:sz w:val="20"/>
                <w:szCs w:val="20"/>
                <w:lang w:val="en-CA" w:eastAsia="en-CA"/>
              </w:rPr>
              <w:t>1,381</w:t>
            </w:r>
          </w:p>
        </w:tc>
        <w:tc>
          <w:tcPr>
            <w:tcW w:w="1276" w:type="dxa"/>
            <w:tcBorders>
              <w:top w:val="nil"/>
              <w:left w:val="nil"/>
              <w:bottom w:val="single" w:sz="4" w:space="0" w:color="auto"/>
              <w:right w:val="single" w:sz="4" w:space="0" w:color="auto"/>
            </w:tcBorders>
            <w:shd w:val="clear" w:color="auto" w:fill="auto"/>
            <w:noWrap/>
            <w:hideMark/>
          </w:tcPr>
          <w:p w:rsidR="008F422D" w:rsidRPr="00E30335" w:rsidRDefault="008F422D" w:rsidP="007C7992">
            <w:pPr>
              <w:jc w:val="right"/>
              <w:rPr>
                <w:sz w:val="20"/>
                <w:szCs w:val="20"/>
                <w:lang w:val="en-CA" w:eastAsia="en-CA"/>
              </w:rPr>
            </w:pPr>
            <w:r w:rsidRPr="00E30335">
              <w:rPr>
                <w:sz w:val="20"/>
                <w:szCs w:val="20"/>
                <w:lang w:val="en-CA" w:eastAsia="en-CA"/>
              </w:rPr>
              <w:t>0</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sz w:val="20"/>
                <w:szCs w:val="20"/>
                <w:lang w:val="en-CA" w:eastAsia="en-CA"/>
              </w:rPr>
            </w:pPr>
            <w:r w:rsidRPr="00E30335">
              <w:rPr>
                <w:sz w:val="20"/>
                <w:szCs w:val="20"/>
                <w:lang w:val="en-CA" w:eastAsia="en-CA"/>
              </w:rPr>
              <w:t>HFC phase-down plan</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0</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0</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b/>
                <w:bCs/>
                <w:sz w:val="20"/>
                <w:szCs w:val="20"/>
                <w:lang w:val="en-CA" w:eastAsia="en-CA"/>
              </w:rPr>
            </w:pPr>
            <w:r w:rsidRPr="00E30335">
              <w:rPr>
                <w:b/>
                <w:bCs/>
                <w:sz w:val="20"/>
                <w:szCs w:val="20"/>
                <w:lang w:val="en-CA" w:eastAsia="en-CA"/>
              </w:rPr>
              <w:t xml:space="preserve">   HFC activities subtotal</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1,024</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459</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1,381</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0</w:t>
            </w:r>
          </w:p>
        </w:tc>
      </w:tr>
      <w:tr w:rsidR="0036613D" w:rsidRPr="00E30335" w:rsidTr="0036613D">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b/>
                <w:bCs/>
                <w:sz w:val="20"/>
                <w:szCs w:val="20"/>
                <w:lang w:val="en-CA" w:eastAsia="en-CA"/>
              </w:rPr>
            </w:pPr>
            <w:r w:rsidRPr="00E30335">
              <w:rPr>
                <w:b/>
                <w:bCs/>
                <w:sz w:val="20"/>
                <w:szCs w:val="20"/>
                <w:lang w:val="en-CA" w:eastAsia="en-CA"/>
              </w:rPr>
              <w:lastRenderedPageBreak/>
              <w:t>Standard activities</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sz w:val="20"/>
                <w:szCs w:val="20"/>
                <w:lang w:val="en-CA" w:eastAsia="en-CA"/>
              </w:rPr>
            </w:pPr>
            <w:r w:rsidRPr="00E30335">
              <w:rPr>
                <w:sz w:val="20"/>
                <w:szCs w:val="20"/>
                <w:lang w:val="en-CA" w:eastAsia="en-CA"/>
              </w:rPr>
              <w:t>IS</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2,931</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3,456</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2,931</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9,317</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0</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sz w:val="20"/>
                <w:szCs w:val="20"/>
                <w:lang w:val="en-CA" w:eastAsia="en-CA"/>
              </w:rPr>
            </w:pPr>
            <w:r w:rsidRPr="00E30335">
              <w:rPr>
                <w:sz w:val="20"/>
                <w:szCs w:val="20"/>
                <w:lang w:val="en-CA" w:eastAsia="en-CA"/>
              </w:rPr>
              <w:t>Core unit</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2,113</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2,128</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2,143</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6,384</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sz w:val="20"/>
                <w:szCs w:val="20"/>
                <w:lang w:val="en-CA" w:eastAsia="en-CA"/>
              </w:rPr>
            </w:pPr>
            <w:r w:rsidRPr="00E30335">
              <w:rPr>
                <w:sz w:val="20"/>
                <w:szCs w:val="20"/>
                <w:lang w:val="en-CA" w:eastAsia="en-CA"/>
              </w:rPr>
              <w:t>0</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b/>
                <w:bCs/>
                <w:sz w:val="20"/>
                <w:szCs w:val="20"/>
                <w:lang w:val="en-CA" w:eastAsia="en-CA"/>
              </w:rPr>
            </w:pPr>
            <w:r w:rsidRPr="00E30335">
              <w:rPr>
                <w:b/>
                <w:bCs/>
                <w:sz w:val="20"/>
                <w:szCs w:val="20"/>
                <w:lang w:val="en-CA" w:eastAsia="en-CA"/>
              </w:rPr>
              <w:t xml:space="preserve">   Standard activities subtotal</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5,044</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5,584</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5,073</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15,701</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0</w:t>
            </w:r>
          </w:p>
        </w:tc>
      </w:tr>
      <w:tr w:rsidR="0036613D" w:rsidRPr="00E30335" w:rsidTr="0036613D">
        <w:trPr>
          <w:trHeight w:val="264"/>
        </w:trPr>
        <w:tc>
          <w:tcPr>
            <w:tcW w:w="3544" w:type="dxa"/>
            <w:tcBorders>
              <w:top w:val="nil"/>
              <w:left w:val="single" w:sz="4" w:space="0" w:color="auto"/>
              <w:bottom w:val="single" w:sz="4" w:space="0" w:color="auto"/>
              <w:right w:val="single" w:sz="4" w:space="0" w:color="auto"/>
            </w:tcBorders>
            <w:shd w:val="clear" w:color="auto" w:fill="auto"/>
            <w:noWrap/>
            <w:hideMark/>
          </w:tcPr>
          <w:p w:rsidR="0036613D" w:rsidRPr="00E30335" w:rsidRDefault="0036613D" w:rsidP="007C7992">
            <w:pPr>
              <w:jc w:val="left"/>
              <w:rPr>
                <w:b/>
                <w:bCs/>
                <w:sz w:val="20"/>
                <w:szCs w:val="20"/>
                <w:lang w:val="en-CA" w:eastAsia="en-CA"/>
              </w:rPr>
            </w:pPr>
            <w:r w:rsidRPr="00E30335">
              <w:rPr>
                <w:b/>
                <w:bCs/>
                <w:sz w:val="20"/>
                <w:szCs w:val="20"/>
                <w:lang w:val="en-CA" w:eastAsia="en-CA"/>
              </w:rPr>
              <w:t>Grand total</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67,245</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37,809</w:t>
            </w:r>
          </w:p>
        </w:tc>
        <w:tc>
          <w:tcPr>
            <w:tcW w:w="1134"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25,198</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130,151</w:t>
            </w:r>
          </w:p>
        </w:tc>
        <w:tc>
          <w:tcPr>
            <w:tcW w:w="1276" w:type="dxa"/>
            <w:tcBorders>
              <w:top w:val="nil"/>
              <w:left w:val="nil"/>
              <w:bottom w:val="single" w:sz="4" w:space="0" w:color="auto"/>
              <w:right w:val="single" w:sz="4" w:space="0" w:color="auto"/>
            </w:tcBorders>
            <w:shd w:val="clear" w:color="auto" w:fill="auto"/>
            <w:noWrap/>
            <w:hideMark/>
          </w:tcPr>
          <w:p w:rsidR="0036613D" w:rsidRPr="00E30335" w:rsidRDefault="0036613D" w:rsidP="007C7992">
            <w:pPr>
              <w:jc w:val="right"/>
              <w:rPr>
                <w:b/>
                <w:bCs/>
                <w:sz w:val="20"/>
                <w:szCs w:val="20"/>
                <w:lang w:val="en-CA" w:eastAsia="en-CA"/>
              </w:rPr>
            </w:pPr>
            <w:r w:rsidRPr="00E30335">
              <w:rPr>
                <w:b/>
                <w:bCs/>
                <w:sz w:val="20"/>
                <w:szCs w:val="20"/>
                <w:lang w:val="en-CA" w:eastAsia="en-CA"/>
              </w:rPr>
              <w:t>21,660</w:t>
            </w:r>
          </w:p>
        </w:tc>
      </w:tr>
    </w:tbl>
    <w:p w:rsidR="003E4827" w:rsidRPr="00E30335" w:rsidRDefault="003E4827" w:rsidP="007C7992">
      <w:pPr>
        <w:rPr>
          <w:sz w:val="18"/>
          <w:szCs w:val="18"/>
          <w:lang w:val="en-US"/>
        </w:rPr>
      </w:pPr>
      <w:r w:rsidRPr="00E30335">
        <w:rPr>
          <w:sz w:val="18"/>
          <w:szCs w:val="18"/>
          <w:lang w:val="en-US"/>
        </w:rPr>
        <w:t xml:space="preserve">* Including agency support costs where applicable. </w:t>
      </w:r>
    </w:p>
    <w:p w:rsidR="003E4827" w:rsidRPr="00E30335" w:rsidRDefault="003E4827" w:rsidP="007C7992">
      <w:pPr>
        <w:keepNext/>
        <w:rPr>
          <w:b/>
          <w:bCs/>
        </w:rPr>
      </w:pPr>
    </w:p>
    <w:p w:rsidR="003E4827" w:rsidRPr="00E30335" w:rsidRDefault="003E4827" w:rsidP="007C7992">
      <w:pPr>
        <w:keepNext/>
        <w:spacing w:after="240"/>
        <w:rPr>
          <w:b/>
          <w:bCs/>
        </w:rPr>
      </w:pPr>
      <w:r w:rsidRPr="00E30335">
        <w:rPr>
          <w:b/>
          <w:bCs/>
        </w:rPr>
        <w:t xml:space="preserve">Performance indicators </w:t>
      </w:r>
    </w:p>
    <w:p w:rsidR="003E4827" w:rsidRPr="00E30335" w:rsidRDefault="003E4827" w:rsidP="007C7992">
      <w:pPr>
        <w:pStyle w:val="Heading1"/>
      </w:pPr>
      <w:r w:rsidRPr="00E30335">
        <w:t>UNDP submitted performance indicators pursuant to decision 71/28 in its business plan narrative. The Secretariat informed UNDP of the targets shown in Table 5.</w:t>
      </w:r>
    </w:p>
    <w:p w:rsidR="003E4827" w:rsidRPr="00E30335" w:rsidRDefault="003E4827" w:rsidP="007C7992">
      <w:pPr>
        <w:pStyle w:val="subhead"/>
        <w:keepNext/>
        <w:jc w:val="left"/>
        <w:rPr>
          <w:b/>
          <w:sz w:val="22"/>
          <w:szCs w:val="22"/>
        </w:rPr>
      </w:pPr>
      <w:r w:rsidRPr="00E30335">
        <w:rPr>
          <w:b/>
          <w:sz w:val="22"/>
          <w:szCs w:val="22"/>
        </w:rPr>
        <w:t>Table 5</w:t>
      </w:r>
      <w:r w:rsidR="00A21612" w:rsidRPr="00E30335">
        <w:rPr>
          <w:b/>
          <w:sz w:val="22"/>
          <w:szCs w:val="22"/>
        </w:rPr>
        <w:t>.</w:t>
      </w:r>
      <w:r w:rsidRPr="00E30335">
        <w:rPr>
          <w:b/>
          <w:sz w:val="22"/>
          <w:szCs w:val="22"/>
        </w:rPr>
        <w:t xml:space="preserve"> Performance indicators</w:t>
      </w:r>
      <w:r w:rsidRPr="00E30335">
        <w:rPr>
          <w:b/>
          <w:bCs/>
          <w:sz w:val="22"/>
          <w:szCs w:val="22"/>
        </w:rPr>
        <w:t xml:space="preserve"> for UNDP for 2020</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829"/>
        <w:gridCol w:w="4325"/>
        <w:gridCol w:w="1522"/>
      </w:tblGrid>
      <w:tr w:rsidR="003E4827" w:rsidRPr="00E30335" w:rsidTr="005D2296">
        <w:trPr>
          <w:tblHeader/>
          <w:jc w:val="center"/>
        </w:trPr>
        <w:tc>
          <w:tcPr>
            <w:tcW w:w="1694" w:type="dxa"/>
            <w:shd w:val="clear" w:color="auto" w:fill="auto"/>
            <w:hideMark/>
          </w:tcPr>
          <w:p w:rsidR="003E4827" w:rsidRPr="00E30335" w:rsidRDefault="003E4827" w:rsidP="007C7992">
            <w:pPr>
              <w:keepNext/>
              <w:jc w:val="left"/>
              <w:rPr>
                <w:b/>
                <w:bCs/>
                <w:sz w:val="20"/>
                <w:lang w:val="en-CA" w:eastAsia="en-CA"/>
              </w:rPr>
            </w:pPr>
            <w:r w:rsidRPr="00E30335">
              <w:rPr>
                <w:b/>
                <w:bCs/>
                <w:sz w:val="20"/>
                <w:lang w:val="en-CA" w:eastAsia="en-CA"/>
              </w:rPr>
              <w:t xml:space="preserve">Type of indicator </w:t>
            </w:r>
          </w:p>
        </w:tc>
        <w:tc>
          <w:tcPr>
            <w:tcW w:w="1829" w:type="dxa"/>
            <w:shd w:val="clear" w:color="auto" w:fill="auto"/>
            <w:hideMark/>
          </w:tcPr>
          <w:p w:rsidR="003E4827" w:rsidRPr="00E30335" w:rsidRDefault="003E4827" w:rsidP="007C7992">
            <w:pPr>
              <w:keepNext/>
              <w:jc w:val="center"/>
              <w:rPr>
                <w:b/>
                <w:bCs/>
                <w:sz w:val="20"/>
                <w:lang w:val="en-CA" w:eastAsia="en-CA"/>
              </w:rPr>
            </w:pPr>
            <w:r w:rsidRPr="00E30335">
              <w:rPr>
                <w:b/>
                <w:bCs/>
                <w:sz w:val="20"/>
                <w:lang w:val="en-CA" w:eastAsia="en-CA"/>
              </w:rPr>
              <w:t>Short title</w:t>
            </w:r>
          </w:p>
        </w:tc>
        <w:tc>
          <w:tcPr>
            <w:tcW w:w="4331" w:type="dxa"/>
            <w:shd w:val="clear" w:color="auto" w:fill="auto"/>
            <w:hideMark/>
          </w:tcPr>
          <w:p w:rsidR="003E4827" w:rsidRPr="00E30335" w:rsidRDefault="003E4827" w:rsidP="007C7992">
            <w:pPr>
              <w:keepNext/>
              <w:jc w:val="center"/>
              <w:rPr>
                <w:b/>
                <w:bCs/>
                <w:sz w:val="20"/>
                <w:lang w:val="en-CA" w:eastAsia="en-CA"/>
              </w:rPr>
            </w:pPr>
            <w:r w:rsidRPr="00E30335">
              <w:rPr>
                <w:b/>
                <w:bCs/>
                <w:sz w:val="20"/>
                <w:lang w:val="en-CA" w:eastAsia="en-CA"/>
              </w:rPr>
              <w:t>Calculation</w:t>
            </w:r>
          </w:p>
        </w:tc>
        <w:tc>
          <w:tcPr>
            <w:tcW w:w="1515" w:type="dxa"/>
          </w:tcPr>
          <w:p w:rsidR="003E4827" w:rsidRPr="00E30335" w:rsidRDefault="003E4827" w:rsidP="007C7992">
            <w:pPr>
              <w:keepNext/>
              <w:jc w:val="center"/>
              <w:rPr>
                <w:b/>
                <w:bCs/>
                <w:sz w:val="20"/>
                <w:lang w:val="en-CA" w:eastAsia="en-CA"/>
              </w:rPr>
            </w:pPr>
            <w:r w:rsidRPr="00E30335">
              <w:rPr>
                <w:b/>
                <w:bCs/>
                <w:sz w:val="20"/>
                <w:lang w:val="en-CA" w:eastAsia="en-CA"/>
              </w:rPr>
              <w:t>20</w:t>
            </w:r>
            <w:r w:rsidR="00F36D3F" w:rsidRPr="00E30335">
              <w:rPr>
                <w:b/>
                <w:bCs/>
                <w:sz w:val="20"/>
                <w:lang w:val="en-CA" w:eastAsia="en-CA"/>
              </w:rPr>
              <w:t>20</w:t>
            </w:r>
            <w:r w:rsidRPr="00E30335">
              <w:rPr>
                <w:b/>
                <w:bCs/>
                <w:sz w:val="20"/>
                <w:lang w:val="en-CA" w:eastAsia="en-CA"/>
              </w:rPr>
              <w:t xml:space="preserve"> target</w:t>
            </w:r>
          </w:p>
        </w:tc>
      </w:tr>
      <w:tr w:rsidR="003E4827" w:rsidRPr="00E30335" w:rsidTr="005D2296">
        <w:trPr>
          <w:jc w:val="center"/>
        </w:trPr>
        <w:tc>
          <w:tcPr>
            <w:tcW w:w="1694" w:type="dxa"/>
            <w:shd w:val="clear" w:color="auto" w:fill="auto"/>
            <w:hideMark/>
          </w:tcPr>
          <w:p w:rsidR="003E4827" w:rsidRPr="00E30335" w:rsidRDefault="003E4827" w:rsidP="007C7992">
            <w:pPr>
              <w:keepNext/>
              <w:jc w:val="left"/>
              <w:rPr>
                <w:sz w:val="20"/>
                <w:lang w:val="en-CA" w:eastAsia="en-CA"/>
              </w:rPr>
            </w:pPr>
            <w:r w:rsidRPr="00E30335">
              <w:rPr>
                <w:sz w:val="20"/>
                <w:lang w:val="en-CA" w:eastAsia="en-CA"/>
              </w:rPr>
              <w:t xml:space="preserve">Planning--Approval </w:t>
            </w:r>
          </w:p>
        </w:tc>
        <w:tc>
          <w:tcPr>
            <w:tcW w:w="1829" w:type="dxa"/>
            <w:shd w:val="clear" w:color="auto" w:fill="auto"/>
            <w:hideMark/>
          </w:tcPr>
          <w:p w:rsidR="003E4827" w:rsidRPr="00E30335" w:rsidRDefault="003E4827" w:rsidP="007C7992">
            <w:pPr>
              <w:keepNext/>
              <w:jc w:val="left"/>
              <w:rPr>
                <w:sz w:val="20"/>
                <w:lang w:val="en-CA" w:eastAsia="en-CA"/>
              </w:rPr>
            </w:pPr>
            <w:r w:rsidRPr="00E30335">
              <w:rPr>
                <w:sz w:val="20"/>
                <w:lang w:val="en-CA" w:eastAsia="en-CA"/>
              </w:rPr>
              <w:t>Tranches approved</w:t>
            </w:r>
          </w:p>
        </w:tc>
        <w:tc>
          <w:tcPr>
            <w:tcW w:w="4331" w:type="dxa"/>
            <w:shd w:val="clear" w:color="auto" w:fill="auto"/>
            <w:hideMark/>
          </w:tcPr>
          <w:p w:rsidR="003E4827" w:rsidRPr="00E30335" w:rsidRDefault="003E4827" w:rsidP="007C7992">
            <w:pPr>
              <w:keepNext/>
              <w:jc w:val="left"/>
              <w:rPr>
                <w:sz w:val="20"/>
                <w:lang w:val="en-CA" w:eastAsia="en-CA"/>
              </w:rPr>
            </w:pPr>
            <w:r w:rsidRPr="00E30335">
              <w:rPr>
                <w:sz w:val="20"/>
                <w:lang w:val="en-CA" w:eastAsia="en-CA"/>
              </w:rPr>
              <w:t>Number of tranches approved vs. those planned*</w:t>
            </w:r>
          </w:p>
        </w:tc>
        <w:tc>
          <w:tcPr>
            <w:tcW w:w="1515" w:type="dxa"/>
          </w:tcPr>
          <w:p w:rsidR="003E4827" w:rsidRPr="00E30335" w:rsidRDefault="00D03726" w:rsidP="007C7992">
            <w:pPr>
              <w:keepNext/>
              <w:jc w:val="right"/>
              <w:rPr>
                <w:sz w:val="20"/>
                <w:lang w:val="en-CA" w:eastAsia="en-CA"/>
              </w:rPr>
            </w:pPr>
            <w:r w:rsidRPr="00E30335">
              <w:rPr>
                <w:sz w:val="20"/>
                <w:lang w:val="en-CA" w:eastAsia="en-CA"/>
              </w:rPr>
              <w:t>42</w:t>
            </w:r>
          </w:p>
        </w:tc>
      </w:tr>
      <w:tr w:rsidR="003E4827" w:rsidRPr="00E30335" w:rsidTr="005D2296">
        <w:trPr>
          <w:jc w:val="center"/>
        </w:trPr>
        <w:tc>
          <w:tcPr>
            <w:tcW w:w="1694" w:type="dxa"/>
            <w:shd w:val="clear" w:color="auto" w:fill="auto"/>
            <w:hideMark/>
          </w:tcPr>
          <w:p w:rsidR="003E4827" w:rsidRPr="00E30335" w:rsidRDefault="003E4827" w:rsidP="007C7992">
            <w:pPr>
              <w:keepNext/>
              <w:jc w:val="left"/>
              <w:rPr>
                <w:sz w:val="20"/>
                <w:lang w:val="en-CA" w:eastAsia="en-CA"/>
              </w:rPr>
            </w:pPr>
            <w:r w:rsidRPr="00E30335">
              <w:rPr>
                <w:sz w:val="20"/>
                <w:lang w:val="en-CA" w:eastAsia="en-CA"/>
              </w:rPr>
              <w:t xml:space="preserve">Planning--Approval </w:t>
            </w:r>
          </w:p>
        </w:tc>
        <w:tc>
          <w:tcPr>
            <w:tcW w:w="1829" w:type="dxa"/>
            <w:shd w:val="clear" w:color="auto" w:fill="auto"/>
            <w:hideMark/>
          </w:tcPr>
          <w:p w:rsidR="003E4827" w:rsidRPr="00E30335" w:rsidRDefault="003E4827" w:rsidP="007C7992">
            <w:pPr>
              <w:keepNext/>
              <w:jc w:val="left"/>
              <w:rPr>
                <w:sz w:val="20"/>
                <w:lang w:val="en-CA" w:eastAsia="en-CA"/>
              </w:rPr>
            </w:pPr>
            <w:r w:rsidRPr="00E30335">
              <w:rPr>
                <w:sz w:val="20"/>
                <w:lang w:val="en-CA" w:eastAsia="en-CA"/>
              </w:rPr>
              <w:t>Projects/activities approved</w:t>
            </w:r>
          </w:p>
        </w:tc>
        <w:tc>
          <w:tcPr>
            <w:tcW w:w="4331" w:type="dxa"/>
            <w:shd w:val="clear" w:color="auto" w:fill="auto"/>
            <w:hideMark/>
          </w:tcPr>
          <w:p w:rsidR="003E4827" w:rsidRPr="00E30335" w:rsidRDefault="003E4827" w:rsidP="007C7992">
            <w:pPr>
              <w:keepNext/>
              <w:jc w:val="left"/>
              <w:rPr>
                <w:sz w:val="20"/>
                <w:lang w:val="en-CA" w:eastAsia="en-CA"/>
              </w:rPr>
            </w:pPr>
            <w:r w:rsidRPr="00E30335">
              <w:rPr>
                <w:sz w:val="20"/>
                <w:lang w:val="en-CA" w:eastAsia="en-CA"/>
              </w:rPr>
              <w:t>Number of projects/activities approved vs. those planned (including project preparation activities)**</w:t>
            </w:r>
          </w:p>
        </w:tc>
        <w:tc>
          <w:tcPr>
            <w:tcW w:w="1515" w:type="dxa"/>
          </w:tcPr>
          <w:p w:rsidR="003E4827" w:rsidRPr="00E30335" w:rsidRDefault="00D03726" w:rsidP="007C7992">
            <w:pPr>
              <w:keepNext/>
              <w:jc w:val="right"/>
              <w:rPr>
                <w:sz w:val="20"/>
                <w:lang w:val="en-CA" w:eastAsia="en-CA"/>
              </w:rPr>
            </w:pPr>
            <w:r w:rsidRPr="00E30335">
              <w:rPr>
                <w:sz w:val="20"/>
                <w:lang w:val="en-CA" w:eastAsia="en-CA"/>
              </w:rPr>
              <w:t>24</w:t>
            </w:r>
          </w:p>
        </w:tc>
      </w:tr>
      <w:tr w:rsidR="003E4827" w:rsidRPr="00E30335" w:rsidTr="005D2296">
        <w:trPr>
          <w:jc w:val="center"/>
        </w:trPr>
        <w:tc>
          <w:tcPr>
            <w:tcW w:w="1694" w:type="dxa"/>
            <w:shd w:val="clear" w:color="auto" w:fill="auto"/>
            <w:hideMark/>
          </w:tcPr>
          <w:p w:rsidR="003E4827" w:rsidRPr="00E30335" w:rsidRDefault="003E4827" w:rsidP="007C7992">
            <w:pPr>
              <w:jc w:val="left"/>
              <w:rPr>
                <w:sz w:val="20"/>
                <w:lang w:val="en-CA" w:eastAsia="en-CA"/>
              </w:rPr>
            </w:pPr>
            <w:r w:rsidRPr="00E30335">
              <w:rPr>
                <w:sz w:val="20"/>
                <w:lang w:eastAsia="en-CA"/>
              </w:rPr>
              <w:t xml:space="preserve">Implementation </w:t>
            </w:r>
          </w:p>
        </w:tc>
        <w:tc>
          <w:tcPr>
            <w:tcW w:w="1829" w:type="dxa"/>
            <w:shd w:val="clear" w:color="auto" w:fill="auto"/>
            <w:hideMark/>
          </w:tcPr>
          <w:p w:rsidR="003E4827" w:rsidRPr="00E30335" w:rsidRDefault="003E4827" w:rsidP="007C7992">
            <w:pPr>
              <w:jc w:val="left"/>
              <w:rPr>
                <w:sz w:val="20"/>
                <w:lang w:val="en-CA" w:eastAsia="en-CA"/>
              </w:rPr>
            </w:pPr>
            <w:r w:rsidRPr="00E30335">
              <w:rPr>
                <w:sz w:val="20"/>
                <w:lang w:val="en-CA" w:eastAsia="en-CA"/>
              </w:rPr>
              <w:t>Funds disbursed</w:t>
            </w:r>
          </w:p>
        </w:tc>
        <w:tc>
          <w:tcPr>
            <w:tcW w:w="4331" w:type="dxa"/>
            <w:shd w:val="clear" w:color="auto" w:fill="auto"/>
            <w:hideMark/>
          </w:tcPr>
          <w:p w:rsidR="003E4827" w:rsidRPr="00E30335" w:rsidRDefault="003E4827" w:rsidP="007C7992">
            <w:pPr>
              <w:jc w:val="left"/>
              <w:rPr>
                <w:sz w:val="20"/>
                <w:lang w:val="en-CA" w:eastAsia="en-CA"/>
              </w:rPr>
            </w:pPr>
            <w:r w:rsidRPr="00E30335">
              <w:rPr>
                <w:sz w:val="20"/>
                <w:lang w:val="en-CA" w:eastAsia="en-CA"/>
              </w:rPr>
              <w:t>Based on estimated disbursement in progress report</w:t>
            </w:r>
          </w:p>
        </w:tc>
        <w:tc>
          <w:tcPr>
            <w:tcW w:w="1515" w:type="dxa"/>
          </w:tcPr>
          <w:p w:rsidR="003E4827" w:rsidRPr="00E30335" w:rsidRDefault="003E4827" w:rsidP="007C7992">
            <w:pPr>
              <w:jc w:val="right"/>
              <w:rPr>
                <w:sz w:val="20"/>
                <w:lang w:val="en-CA" w:eastAsia="en-CA"/>
              </w:rPr>
            </w:pPr>
            <w:r w:rsidRPr="00E30335">
              <w:rPr>
                <w:sz w:val="20"/>
                <w:lang w:val="en-CA" w:eastAsia="en-CA"/>
              </w:rPr>
              <w:t>US $</w:t>
            </w:r>
            <w:r w:rsidR="0053314C" w:rsidRPr="00E30335">
              <w:rPr>
                <w:sz w:val="20"/>
                <w:lang w:val="en-CA" w:eastAsia="en-CA"/>
              </w:rPr>
              <w:t>15,618,655</w:t>
            </w:r>
          </w:p>
        </w:tc>
      </w:tr>
      <w:tr w:rsidR="003E4827" w:rsidRPr="00E30335" w:rsidTr="005D2296">
        <w:trPr>
          <w:jc w:val="center"/>
        </w:trPr>
        <w:tc>
          <w:tcPr>
            <w:tcW w:w="1694" w:type="dxa"/>
            <w:shd w:val="clear" w:color="auto" w:fill="auto"/>
            <w:hideMark/>
          </w:tcPr>
          <w:p w:rsidR="003E4827" w:rsidRPr="00E30335" w:rsidRDefault="003E4827" w:rsidP="007C7992">
            <w:pPr>
              <w:jc w:val="left"/>
              <w:rPr>
                <w:sz w:val="20"/>
                <w:lang w:val="en-CA" w:eastAsia="en-CA"/>
              </w:rPr>
            </w:pPr>
            <w:r w:rsidRPr="00E30335">
              <w:rPr>
                <w:sz w:val="20"/>
                <w:lang w:eastAsia="en-CA"/>
              </w:rPr>
              <w:t>Implementation</w:t>
            </w:r>
          </w:p>
        </w:tc>
        <w:tc>
          <w:tcPr>
            <w:tcW w:w="1829" w:type="dxa"/>
            <w:shd w:val="clear" w:color="auto" w:fill="auto"/>
            <w:hideMark/>
          </w:tcPr>
          <w:p w:rsidR="003E4827" w:rsidRPr="00E30335" w:rsidRDefault="003E4827" w:rsidP="007C7992">
            <w:pPr>
              <w:jc w:val="left"/>
              <w:rPr>
                <w:sz w:val="20"/>
                <w:lang w:val="en-CA" w:eastAsia="en-CA"/>
              </w:rPr>
            </w:pPr>
            <w:r w:rsidRPr="00E30335">
              <w:rPr>
                <w:sz w:val="20"/>
                <w:lang w:val="en-CA" w:eastAsia="en-CA"/>
              </w:rPr>
              <w:t>ODS phase-out</w:t>
            </w:r>
          </w:p>
        </w:tc>
        <w:tc>
          <w:tcPr>
            <w:tcW w:w="4331" w:type="dxa"/>
            <w:shd w:val="clear" w:color="auto" w:fill="auto"/>
            <w:hideMark/>
          </w:tcPr>
          <w:p w:rsidR="003E4827" w:rsidRPr="00E30335" w:rsidRDefault="003E4827" w:rsidP="007C7992">
            <w:pPr>
              <w:jc w:val="left"/>
              <w:rPr>
                <w:sz w:val="20"/>
                <w:lang w:val="en-CA" w:eastAsia="en-CA"/>
              </w:rPr>
            </w:pPr>
            <w:r w:rsidRPr="00E30335">
              <w:rPr>
                <w:sz w:val="20"/>
                <w:lang w:val="en-CA" w:eastAsia="en-CA"/>
              </w:rPr>
              <w:t>ODS phase-out for the tranche when the next tranche is approved vs. those planned per business plans</w:t>
            </w:r>
          </w:p>
        </w:tc>
        <w:tc>
          <w:tcPr>
            <w:tcW w:w="1515" w:type="dxa"/>
          </w:tcPr>
          <w:p w:rsidR="003E4827" w:rsidRPr="00E30335" w:rsidRDefault="0053314C" w:rsidP="007C7992">
            <w:pPr>
              <w:jc w:val="right"/>
              <w:rPr>
                <w:sz w:val="20"/>
                <w:lang w:val="en-CA" w:eastAsia="en-CA"/>
              </w:rPr>
            </w:pPr>
            <w:r w:rsidRPr="00E30335">
              <w:rPr>
                <w:sz w:val="20"/>
                <w:lang w:val="en-CA" w:eastAsia="en-CA"/>
              </w:rPr>
              <w:t>570.2</w:t>
            </w:r>
            <w:r w:rsidR="003E4827" w:rsidRPr="00E30335">
              <w:rPr>
                <w:sz w:val="20"/>
                <w:lang w:val="en-CA" w:eastAsia="en-CA"/>
              </w:rPr>
              <w:t xml:space="preserve"> ODP tonnes</w:t>
            </w:r>
          </w:p>
        </w:tc>
      </w:tr>
      <w:tr w:rsidR="003E4827" w:rsidRPr="00E30335" w:rsidTr="005D2296">
        <w:trPr>
          <w:jc w:val="center"/>
        </w:trPr>
        <w:tc>
          <w:tcPr>
            <w:tcW w:w="1694" w:type="dxa"/>
            <w:shd w:val="clear" w:color="auto" w:fill="auto"/>
            <w:hideMark/>
          </w:tcPr>
          <w:p w:rsidR="003E4827" w:rsidRPr="00E30335" w:rsidRDefault="003E4827" w:rsidP="007C7992">
            <w:pPr>
              <w:jc w:val="left"/>
              <w:rPr>
                <w:sz w:val="20"/>
                <w:lang w:val="en-CA" w:eastAsia="en-CA"/>
              </w:rPr>
            </w:pPr>
            <w:r w:rsidRPr="00E30335">
              <w:rPr>
                <w:sz w:val="20"/>
                <w:lang w:val="en-CA" w:eastAsia="en-CA"/>
              </w:rPr>
              <w:t xml:space="preserve">Implementation </w:t>
            </w:r>
          </w:p>
        </w:tc>
        <w:tc>
          <w:tcPr>
            <w:tcW w:w="1829" w:type="dxa"/>
            <w:shd w:val="clear" w:color="auto" w:fill="auto"/>
            <w:hideMark/>
          </w:tcPr>
          <w:p w:rsidR="003E4827" w:rsidRPr="00E30335" w:rsidRDefault="003E4827" w:rsidP="007C7992">
            <w:pPr>
              <w:jc w:val="left"/>
              <w:rPr>
                <w:sz w:val="20"/>
                <w:lang w:val="en-CA" w:eastAsia="en-CA"/>
              </w:rPr>
            </w:pPr>
            <w:r w:rsidRPr="00E30335">
              <w:rPr>
                <w:sz w:val="20"/>
                <w:lang w:val="en-CA" w:eastAsia="en-CA"/>
              </w:rPr>
              <w:t>Project completion for activities</w:t>
            </w:r>
          </w:p>
        </w:tc>
        <w:tc>
          <w:tcPr>
            <w:tcW w:w="4331" w:type="dxa"/>
            <w:shd w:val="clear" w:color="auto" w:fill="auto"/>
            <w:hideMark/>
          </w:tcPr>
          <w:p w:rsidR="003E4827" w:rsidRPr="00E30335" w:rsidRDefault="003E4827" w:rsidP="007C7992">
            <w:pPr>
              <w:jc w:val="left"/>
              <w:rPr>
                <w:sz w:val="20"/>
                <w:lang w:val="en-CA" w:eastAsia="en-CA"/>
              </w:rPr>
            </w:pPr>
            <w:r w:rsidRPr="00E30335">
              <w:rPr>
                <w:sz w:val="20"/>
                <w:lang w:val="en-CA" w:eastAsia="en-CA"/>
              </w:rPr>
              <w:t>Project completion  vs. planned in progress reports for all activities (excluding project preparation)</w:t>
            </w:r>
          </w:p>
        </w:tc>
        <w:tc>
          <w:tcPr>
            <w:tcW w:w="1515" w:type="dxa"/>
          </w:tcPr>
          <w:p w:rsidR="003E4827" w:rsidRPr="00E30335" w:rsidRDefault="0053314C" w:rsidP="007C7992">
            <w:pPr>
              <w:jc w:val="right"/>
              <w:rPr>
                <w:sz w:val="20"/>
                <w:lang w:val="en-CA" w:eastAsia="en-CA"/>
              </w:rPr>
            </w:pPr>
            <w:r w:rsidRPr="00E30335">
              <w:rPr>
                <w:sz w:val="20"/>
                <w:lang w:val="en-CA" w:eastAsia="en-CA"/>
              </w:rPr>
              <w:t>70</w:t>
            </w:r>
          </w:p>
        </w:tc>
      </w:tr>
      <w:tr w:rsidR="003E4827" w:rsidRPr="00E30335" w:rsidTr="005D2296">
        <w:trPr>
          <w:jc w:val="center"/>
        </w:trPr>
        <w:tc>
          <w:tcPr>
            <w:tcW w:w="1694" w:type="dxa"/>
            <w:shd w:val="clear" w:color="auto" w:fill="auto"/>
            <w:hideMark/>
          </w:tcPr>
          <w:p w:rsidR="003E4827" w:rsidRPr="00E30335" w:rsidRDefault="003E4827" w:rsidP="007C7992">
            <w:pPr>
              <w:keepNext/>
              <w:jc w:val="left"/>
              <w:rPr>
                <w:sz w:val="20"/>
                <w:lang w:val="en-CA" w:eastAsia="en-CA"/>
              </w:rPr>
            </w:pPr>
            <w:r w:rsidRPr="00E30335">
              <w:rPr>
                <w:sz w:val="20"/>
                <w:lang w:val="en-CA" w:eastAsia="en-CA"/>
              </w:rPr>
              <w:t>Administrative</w:t>
            </w:r>
          </w:p>
        </w:tc>
        <w:tc>
          <w:tcPr>
            <w:tcW w:w="1829" w:type="dxa"/>
            <w:shd w:val="clear" w:color="auto" w:fill="auto"/>
            <w:hideMark/>
          </w:tcPr>
          <w:p w:rsidR="003E4827" w:rsidRPr="00E30335" w:rsidRDefault="003E4827" w:rsidP="007C7992">
            <w:pPr>
              <w:keepNext/>
              <w:jc w:val="left"/>
              <w:rPr>
                <w:sz w:val="20"/>
                <w:lang w:val="en-CA" w:eastAsia="en-CA"/>
              </w:rPr>
            </w:pPr>
            <w:r w:rsidRPr="00E30335">
              <w:rPr>
                <w:sz w:val="20"/>
                <w:lang w:val="en-CA" w:eastAsia="en-CA"/>
              </w:rPr>
              <w:t>Speed of financial completion</w:t>
            </w:r>
          </w:p>
        </w:tc>
        <w:tc>
          <w:tcPr>
            <w:tcW w:w="4331" w:type="dxa"/>
            <w:shd w:val="clear" w:color="auto" w:fill="auto"/>
            <w:hideMark/>
          </w:tcPr>
          <w:p w:rsidR="003E4827" w:rsidRPr="00E30335" w:rsidRDefault="003E4827" w:rsidP="007C7992">
            <w:pPr>
              <w:keepNext/>
              <w:jc w:val="left"/>
              <w:rPr>
                <w:sz w:val="20"/>
                <w:lang w:val="en-CA" w:eastAsia="en-CA"/>
              </w:rPr>
            </w:pPr>
            <w:r w:rsidRPr="00E30335">
              <w:rPr>
                <w:sz w:val="20"/>
                <w:lang w:val="en-CA" w:eastAsia="en-CA"/>
              </w:rPr>
              <w:t>The extent to which projects are financially completed 12 months after project completion</w:t>
            </w:r>
          </w:p>
        </w:tc>
        <w:tc>
          <w:tcPr>
            <w:tcW w:w="1515" w:type="dxa"/>
          </w:tcPr>
          <w:p w:rsidR="003E4827" w:rsidRPr="00E30335" w:rsidRDefault="003E4827" w:rsidP="007C7992">
            <w:pPr>
              <w:keepNext/>
              <w:jc w:val="right"/>
              <w:rPr>
                <w:sz w:val="20"/>
                <w:lang w:val="en-CA" w:eastAsia="en-CA"/>
              </w:rPr>
            </w:pPr>
            <w:r w:rsidRPr="00E30335">
              <w:rPr>
                <w:sz w:val="20"/>
                <w:lang w:val="en-CA" w:eastAsia="en-CA"/>
              </w:rPr>
              <w:t>70%</w:t>
            </w:r>
          </w:p>
        </w:tc>
      </w:tr>
      <w:tr w:rsidR="003E4827" w:rsidRPr="00E30335" w:rsidTr="005D2296">
        <w:trPr>
          <w:jc w:val="center"/>
        </w:trPr>
        <w:tc>
          <w:tcPr>
            <w:tcW w:w="1694" w:type="dxa"/>
            <w:shd w:val="clear" w:color="auto" w:fill="auto"/>
            <w:hideMark/>
          </w:tcPr>
          <w:p w:rsidR="003E4827" w:rsidRPr="00E30335" w:rsidRDefault="003E4827" w:rsidP="007C7992">
            <w:pPr>
              <w:jc w:val="left"/>
              <w:rPr>
                <w:sz w:val="20"/>
                <w:lang w:val="en-CA" w:eastAsia="en-CA"/>
              </w:rPr>
            </w:pPr>
            <w:r w:rsidRPr="00E30335">
              <w:rPr>
                <w:sz w:val="20"/>
                <w:lang w:val="en-CA" w:eastAsia="en-CA"/>
              </w:rPr>
              <w:t xml:space="preserve">Administrative </w:t>
            </w:r>
          </w:p>
        </w:tc>
        <w:tc>
          <w:tcPr>
            <w:tcW w:w="1829" w:type="dxa"/>
            <w:shd w:val="clear" w:color="auto" w:fill="auto"/>
            <w:hideMark/>
          </w:tcPr>
          <w:p w:rsidR="003E4827" w:rsidRPr="00E30335" w:rsidRDefault="003E4827" w:rsidP="007C7992">
            <w:pPr>
              <w:jc w:val="left"/>
              <w:rPr>
                <w:sz w:val="20"/>
                <w:lang w:val="en-CA" w:eastAsia="en-CA"/>
              </w:rPr>
            </w:pPr>
            <w:r w:rsidRPr="00E30335">
              <w:rPr>
                <w:sz w:val="20"/>
                <w:lang w:val="en-CA" w:eastAsia="en-CA"/>
              </w:rPr>
              <w:t>Timely submission of project completion reports</w:t>
            </w:r>
          </w:p>
        </w:tc>
        <w:tc>
          <w:tcPr>
            <w:tcW w:w="4331" w:type="dxa"/>
            <w:shd w:val="clear" w:color="auto" w:fill="auto"/>
            <w:hideMark/>
          </w:tcPr>
          <w:p w:rsidR="003E4827" w:rsidRPr="00E30335" w:rsidRDefault="003E4827" w:rsidP="007C7992">
            <w:pPr>
              <w:jc w:val="left"/>
              <w:rPr>
                <w:sz w:val="20"/>
                <w:lang w:val="en-CA" w:eastAsia="en-CA"/>
              </w:rPr>
            </w:pPr>
            <w:r w:rsidRPr="00E30335">
              <w:rPr>
                <w:sz w:val="20"/>
                <w:lang w:val="en-CA" w:eastAsia="en-CA"/>
              </w:rPr>
              <w:t>Timely submission of project completion reports vs. those agreed</w:t>
            </w:r>
          </w:p>
        </w:tc>
        <w:tc>
          <w:tcPr>
            <w:tcW w:w="1515" w:type="dxa"/>
          </w:tcPr>
          <w:p w:rsidR="003E4827" w:rsidRPr="00E30335" w:rsidRDefault="0053314C" w:rsidP="007C7992">
            <w:pPr>
              <w:jc w:val="right"/>
              <w:rPr>
                <w:sz w:val="20"/>
                <w:lang w:val="en-CA" w:eastAsia="en-CA"/>
              </w:rPr>
            </w:pPr>
            <w:r w:rsidRPr="00E30335">
              <w:rPr>
                <w:sz w:val="20"/>
                <w:lang w:val="en-CA" w:eastAsia="en-CA"/>
              </w:rPr>
              <w:t>3</w:t>
            </w:r>
          </w:p>
        </w:tc>
      </w:tr>
      <w:tr w:rsidR="003E4827" w:rsidRPr="00E30335" w:rsidTr="005D2296">
        <w:trPr>
          <w:jc w:val="center"/>
        </w:trPr>
        <w:tc>
          <w:tcPr>
            <w:tcW w:w="1694" w:type="dxa"/>
            <w:shd w:val="clear" w:color="auto" w:fill="auto"/>
            <w:hideMark/>
          </w:tcPr>
          <w:p w:rsidR="003E4827" w:rsidRPr="00E30335" w:rsidRDefault="003E4827" w:rsidP="007C7992">
            <w:pPr>
              <w:jc w:val="left"/>
              <w:rPr>
                <w:sz w:val="20"/>
                <w:lang w:val="en-CA" w:eastAsia="en-CA"/>
              </w:rPr>
            </w:pPr>
            <w:r w:rsidRPr="00E30335">
              <w:rPr>
                <w:sz w:val="20"/>
                <w:lang w:val="en-CA" w:eastAsia="en-CA"/>
              </w:rPr>
              <w:t xml:space="preserve">Administrative </w:t>
            </w:r>
          </w:p>
        </w:tc>
        <w:tc>
          <w:tcPr>
            <w:tcW w:w="1829" w:type="dxa"/>
            <w:shd w:val="clear" w:color="auto" w:fill="auto"/>
            <w:hideMark/>
          </w:tcPr>
          <w:p w:rsidR="003E4827" w:rsidRPr="00E30335" w:rsidRDefault="003E4827" w:rsidP="007C7992">
            <w:pPr>
              <w:jc w:val="left"/>
              <w:rPr>
                <w:sz w:val="20"/>
                <w:lang w:val="en-CA" w:eastAsia="en-CA"/>
              </w:rPr>
            </w:pPr>
            <w:r w:rsidRPr="00E30335">
              <w:rPr>
                <w:sz w:val="20"/>
                <w:lang w:val="en-CA" w:eastAsia="en-CA"/>
              </w:rPr>
              <w:t>Timely submission of progress reports</w:t>
            </w:r>
          </w:p>
        </w:tc>
        <w:tc>
          <w:tcPr>
            <w:tcW w:w="4331" w:type="dxa"/>
            <w:shd w:val="clear" w:color="auto" w:fill="auto"/>
            <w:hideMark/>
          </w:tcPr>
          <w:p w:rsidR="003E4827" w:rsidRPr="00E30335" w:rsidRDefault="003E4827" w:rsidP="007C7992">
            <w:pPr>
              <w:jc w:val="left"/>
              <w:rPr>
                <w:sz w:val="20"/>
                <w:lang w:val="en-CA" w:eastAsia="en-CA"/>
              </w:rPr>
            </w:pPr>
            <w:r w:rsidRPr="00E30335">
              <w:rPr>
                <w:sz w:val="20"/>
                <w:lang w:val="en-CA" w:eastAsia="en-CA"/>
              </w:rPr>
              <w:t>Timely submission of progress reports and business plans and responses unless otherwise agreed</w:t>
            </w:r>
          </w:p>
        </w:tc>
        <w:tc>
          <w:tcPr>
            <w:tcW w:w="1515" w:type="dxa"/>
          </w:tcPr>
          <w:p w:rsidR="003E4827" w:rsidRPr="00E30335" w:rsidRDefault="003E4827" w:rsidP="007C7992">
            <w:pPr>
              <w:jc w:val="right"/>
              <w:rPr>
                <w:sz w:val="20"/>
                <w:lang w:val="en-CA" w:eastAsia="en-CA"/>
              </w:rPr>
            </w:pPr>
            <w:r w:rsidRPr="00E30335">
              <w:rPr>
                <w:sz w:val="20"/>
                <w:lang w:val="en-CA" w:eastAsia="en-CA"/>
              </w:rPr>
              <w:t>On time</w:t>
            </w:r>
          </w:p>
        </w:tc>
      </w:tr>
    </w:tbl>
    <w:p w:rsidR="003E4827" w:rsidRPr="00E30335" w:rsidRDefault="003E4827" w:rsidP="007C7992">
      <w:pPr>
        <w:rPr>
          <w:sz w:val="20"/>
        </w:rPr>
      </w:pPr>
      <w:r w:rsidRPr="00E30335">
        <w:rPr>
          <w:sz w:val="20"/>
        </w:rPr>
        <w:t>* The target of an agency would be reduced if it could not submit a tranche owing to another cooperating or lead agency, if agreed by that agency.</w:t>
      </w:r>
    </w:p>
    <w:p w:rsidR="003E4827" w:rsidRPr="00E30335" w:rsidRDefault="003E4827" w:rsidP="007C7992">
      <w:pPr>
        <w:spacing w:after="240"/>
        <w:rPr>
          <w:sz w:val="20"/>
        </w:rPr>
      </w:pPr>
      <w:r w:rsidRPr="00E30335">
        <w:rPr>
          <w:sz w:val="20"/>
        </w:rPr>
        <w:t xml:space="preserve">** Project preparation should not be assessed if the Executive Committee has not taken a decision on its funding. </w:t>
      </w:r>
    </w:p>
    <w:p w:rsidR="00226509" w:rsidRPr="00E30335" w:rsidRDefault="00226509" w:rsidP="007C7992">
      <w:pPr>
        <w:pStyle w:val="sub-title"/>
        <w:keepNext/>
        <w:spacing w:after="240"/>
        <w:rPr>
          <w:noProof w:val="0"/>
          <w:lang w:val="en-GB"/>
        </w:rPr>
      </w:pPr>
      <w:r w:rsidRPr="00E30335">
        <w:rPr>
          <w:noProof w:val="0"/>
          <w:lang w:val="en-GB"/>
        </w:rPr>
        <w:t>Policy issues</w:t>
      </w:r>
    </w:p>
    <w:p w:rsidR="00400C25" w:rsidRPr="00E30335" w:rsidRDefault="00226509" w:rsidP="007C7992">
      <w:pPr>
        <w:pStyle w:val="Heading1"/>
      </w:pPr>
      <w:r w:rsidRPr="00E30335">
        <w:t xml:space="preserve">UNDP presents </w:t>
      </w:r>
      <w:r w:rsidR="005D2296" w:rsidRPr="00E30335">
        <w:t xml:space="preserve">the following </w:t>
      </w:r>
      <w:r w:rsidRPr="00E30335">
        <w:t xml:space="preserve">policy issues related to the cost guidelines </w:t>
      </w:r>
      <w:r w:rsidR="00E76ED0" w:rsidRPr="00E30335">
        <w:t>for</w:t>
      </w:r>
      <w:r w:rsidRPr="00E30335">
        <w:t xml:space="preserve"> HFC phase-down </w:t>
      </w:r>
      <w:r w:rsidR="005D2296" w:rsidRPr="00E30335">
        <w:t>under consideration</w:t>
      </w:r>
      <w:r w:rsidR="00400C25" w:rsidRPr="00E30335">
        <w:t xml:space="preserve"> by the Executive Committee, which were presented </w:t>
      </w:r>
      <w:r w:rsidRPr="00E30335">
        <w:t xml:space="preserve">during the </w:t>
      </w:r>
      <w:r w:rsidR="001940FB" w:rsidRPr="00E30335">
        <w:t>IACM</w:t>
      </w:r>
      <w:r w:rsidR="00BD18C0" w:rsidRPr="00E30335">
        <w:t>:</w:t>
      </w:r>
      <w:r w:rsidRPr="00E30335">
        <w:t xml:space="preserve"> </w:t>
      </w:r>
    </w:p>
    <w:p w:rsidR="00400C25" w:rsidRPr="00E30335" w:rsidRDefault="00973063" w:rsidP="007C7992">
      <w:pPr>
        <w:pStyle w:val="Heading2"/>
      </w:pPr>
      <w:r w:rsidRPr="00E30335">
        <w:t>C</w:t>
      </w:r>
      <w:r w:rsidR="00226509" w:rsidRPr="00E30335">
        <w:t xml:space="preserve">onsider funding the market transformation by using </w:t>
      </w:r>
      <w:r w:rsidR="00A43E83" w:rsidRPr="00E30335">
        <w:t xml:space="preserve">the incremental operating cost </w:t>
      </w:r>
      <w:r w:rsidR="00226509" w:rsidRPr="00E30335">
        <w:t>in a more flexible and inclusive manner, rather than bundled with specific eligible indus</w:t>
      </w:r>
      <w:r w:rsidR="00252479" w:rsidRPr="00E30335">
        <w:t>tries;</w:t>
      </w:r>
      <w:r w:rsidR="00226509" w:rsidRPr="00E30335">
        <w:t xml:space="preserve"> </w:t>
      </w:r>
    </w:p>
    <w:p w:rsidR="00400C25" w:rsidRPr="00E30335" w:rsidRDefault="005A2E5B" w:rsidP="007C7992">
      <w:pPr>
        <w:pStyle w:val="Heading2"/>
      </w:pPr>
      <w:r w:rsidRPr="00E30335">
        <w:t>C</w:t>
      </w:r>
      <w:r w:rsidR="002C456B" w:rsidRPr="00E30335">
        <w:t>hallenges</w:t>
      </w:r>
      <w:r w:rsidRPr="00E30335">
        <w:t xml:space="preserve"> </w:t>
      </w:r>
      <w:r w:rsidR="002C456B" w:rsidRPr="00E30335">
        <w:t>of LVC countries</w:t>
      </w:r>
      <w:r w:rsidR="00226509" w:rsidRPr="00E30335">
        <w:t xml:space="preserve"> in terms of the demonstration of alternative te</w:t>
      </w:r>
      <w:r w:rsidR="005B1C8E" w:rsidRPr="00E30335">
        <w:t xml:space="preserve">chnologies and ability to scale </w:t>
      </w:r>
      <w:r w:rsidR="00226509" w:rsidRPr="00E30335">
        <w:t>up</w:t>
      </w:r>
      <w:r w:rsidRPr="00E30335">
        <w:t xml:space="preserve"> with limited funding available;</w:t>
      </w:r>
      <w:r w:rsidR="00226509" w:rsidRPr="00E30335">
        <w:t xml:space="preserve"> </w:t>
      </w:r>
    </w:p>
    <w:p w:rsidR="00400C25" w:rsidRPr="00E30335" w:rsidRDefault="005A2E5B" w:rsidP="007C7992">
      <w:pPr>
        <w:pStyle w:val="Heading2"/>
      </w:pPr>
      <w:r w:rsidRPr="00E30335">
        <w:t xml:space="preserve">The </w:t>
      </w:r>
      <w:r w:rsidR="00226509" w:rsidRPr="00E30335">
        <w:t>assembly sub-sector in the servicing sector should be paid special attention and separated from other activities in the servicing sector with different treatment</w:t>
      </w:r>
      <w:r w:rsidRPr="00E30335">
        <w:t xml:space="preserve">; and </w:t>
      </w:r>
    </w:p>
    <w:p w:rsidR="00226509" w:rsidRPr="00E30335" w:rsidRDefault="00226509" w:rsidP="007C7992">
      <w:pPr>
        <w:pStyle w:val="Heading2"/>
      </w:pPr>
      <w:r w:rsidRPr="00E30335">
        <w:lastRenderedPageBreak/>
        <w:t>In the context of the Kigali Amendment, cost-effectiveness based on CO</w:t>
      </w:r>
      <w:r w:rsidRPr="00E30335">
        <w:rPr>
          <w:vertAlign w:val="subscript"/>
        </w:rPr>
        <w:t>2</w:t>
      </w:r>
      <w:r w:rsidR="00790689" w:rsidRPr="00E30335">
        <w:noBreakHyphen/>
      </w:r>
      <w:r w:rsidRPr="00E30335">
        <w:t>eq</w:t>
      </w:r>
      <w:r w:rsidR="00A3418E" w:rsidRPr="00E30335">
        <w:t>uivalent</w:t>
      </w:r>
      <w:r w:rsidRPr="00E30335">
        <w:t xml:space="preserve"> should be taken into account, and the communication and synergy with the broader climate actions on the national and international levels are necessary. </w:t>
      </w:r>
    </w:p>
    <w:p w:rsidR="003E4827" w:rsidRPr="00E30335" w:rsidRDefault="003E4827" w:rsidP="007C7992">
      <w:pPr>
        <w:keepNext/>
        <w:spacing w:after="240"/>
        <w:rPr>
          <w:b/>
          <w:bCs/>
        </w:rPr>
      </w:pPr>
      <w:r w:rsidRPr="00E30335">
        <w:rPr>
          <w:b/>
          <w:bCs/>
        </w:rPr>
        <w:t>RECOMMENDATION</w:t>
      </w:r>
    </w:p>
    <w:p w:rsidR="003E4827" w:rsidRPr="00E30335" w:rsidRDefault="003E4827" w:rsidP="007C7992">
      <w:pPr>
        <w:pStyle w:val="Heading1"/>
        <w:keepNext/>
      </w:pPr>
      <w:r w:rsidRPr="00E30335">
        <w:t>The Executive Committee may wish:</w:t>
      </w:r>
    </w:p>
    <w:p w:rsidR="003E4827" w:rsidRPr="00E30335" w:rsidRDefault="003E4827" w:rsidP="007C7992">
      <w:pPr>
        <w:pStyle w:val="Heading2"/>
      </w:pPr>
      <w:r w:rsidRPr="00E30335">
        <w:t>To note the UNDP business plan for 2020–2022</w:t>
      </w:r>
      <w:r w:rsidR="00A34446" w:rsidRPr="00E30335">
        <w:t>,</w:t>
      </w:r>
      <w:r w:rsidR="00CE6481">
        <w:t xml:space="preserve"> contained in document </w:t>
      </w:r>
      <w:r w:rsidRPr="00E30335">
        <w:t>UNEP/OzL.Pro/ExCom/84/</w:t>
      </w:r>
      <w:r w:rsidR="000C080B" w:rsidRPr="00E30335">
        <w:t>28</w:t>
      </w:r>
      <w:r w:rsidRPr="00E30335">
        <w:t>; and</w:t>
      </w:r>
    </w:p>
    <w:p w:rsidR="003E4827" w:rsidRPr="00E30335" w:rsidRDefault="003E4827" w:rsidP="007C7992">
      <w:pPr>
        <w:pStyle w:val="Heading2"/>
        <w:numPr>
          <w:ilvl w:val="1"/>
          <w:numId w:val="1"/>
        </w:numPr>
      </w:pPr>
      <w:r w:rsidRPr="00E30335">
        <w:t>To approve the performance indicators for UNDP as</w:t>
      </w:r>
      <w:r w:rsidR="00CE6481">
        <w:t xml:space="preserve"> set out in Table 5 of document </w:t>
      </w:r>
      <w:bookmarkStart w:id="0" w:name="_GoBack"/>
      <w:bookmarkEnd w:id="0"/>
      <w:r w:rsidRPr="00E30335">
        <w:t>UNEP/OzL.Pro/ExCom/84/</w:t>
      </w:r>
      <w:r w:rsidR="000C080B" w:rsidRPr="00E30335">
        <w:t>28</w:t>
      </w:r>
      <w:r w:rsidRPr="00E3033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052C5C" w:rsidTr="003E4827">
        <w:tc>
          <w:tcPr>
            <w:tcW w:w="1871" w:type="dxa"/>
          </w:tcPr>
          <w:p w:rsidR="00052C5C" w:rsidRPr="00052C5C" w:rsidRDefault="00052C5C" w:rsidP="007C7992">
            <w:pPr>
              <w:tabs>
                <w:tab w:val="left" w:pos="8280"/>
              </w:tabs>
            </w:pPr>
          </w:p>
        </w:tc>
        <w:tc>
          <w:tcPr>
            <w:tcW w:w="1872" w:type="dxa"/>
          </w:tcPr>
          <w:p w:rsidR="00052C5C" w:rsidRPr="00052C5C" w:rsidRDefault="00052C5C" w:rsidP="007C7992">
            <w:pPr>
              <w:tabs>
                <w:tab w:val="left" w:pos="8280"/>
              </w:tabs>
            </w:pPr>
          </w:p>
        </w:tc>
        <w:tc>
          <w:tcPr>
            <w:tcW w:w="1872" w:type="dxa"/>
            <w:tcBorders>
              <w:bottom w:val="single" w:sz="4" w:space="0" w:color="auto"/>
            </w:tcBorders>
          </w:tcPr>
          <w:p w:rsidR="00052C5C" w:rsidRPr="00052C5C" w:rsidRDefault="00052C5C" w:rsidP="007C7992">
            <w:pPr>
              <w:tabs>
                <w:tab w:val="left" w:pos="8280"/>
              </w:tabs>
            </w:pPr>
          </w:p>
        </w:tc>
        <w:tc>
          <w:tcPr>
            <w:tcW w:w="1872" w:type="dxa"/>
          </w:tcPr>
          <w:p w:rsidR="00052C5C" w:rsidRPr="00052C5C" w:rsidRDefault="00052C5C" w:rsidP="007C7992">
            <w:pPr>
              <w:tabs>
                <w:tab w:val="left" w:pos="8280"/>
              </w:tabs>
            </w:pPr>
          </w:p>
        </w:tc>
        <w:tc>
          <w:tcPr>
            <w:tcW w:w="1873" w:type="dxa"/>
          </w:tcPr>
          <w:p w:rsidR="00052C5C" w:rsidRPr="00052C5C" w:rsidRDefault="00052C5C" w:rsidP="007C7992">
            <w:pPr>
              <w:tabs>
                <w:tab w:val="left" w:pos="8280"/>
              </w:tabs>
            </w:pPr>
          </w:p>
        </w:tc>
      </w:tr>
    </w:tbl>
    <w:p w:rsidR="00052C5C" w:rsidRPr="00052C5C" w:rsidRDefault="00052C5C" w:rsidP="007C7992">
      <w:pPr>
        <w:tabs>
          <w:tab w:val="left" w:pos="8280"/>
        </w:tabs>
        <w:rPr>
          <w:lang w:val="en-CA"/>
        </w:rPr>
      </w:pPr>
    </w:p>
    <w:p w:rsidR="00052C5C" w:rsidRPr="00CE6481" w:rsidRDefault="00052C5C" w:rsidP="007C7992">
      <w:pPr>
        <w:tabs>
          <w:tab w:val="left" w:pos="8280"/>
        </w:tabs>
        <w:rPr>
          <w:lang w:val="en-CA"/>
        </w:rPr>
      </w:pPr>
    </w:p>
    <w:sectPr w:rsidR="00052C5C" w:rsidRPr="00CE6481" w:rsidSect="00896234">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27" w:rsidRDefault="003E4827" w:rsidP="004A504B">
      <w:r>
        <w:separator/>
      </w:r>
    </w:p>
  </w:endnote>
  <w:endnote w:type="continuationSeparator" w:id="0">
    <w:p w:rsidR="003E4827" w:rsidRDefault="003E482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CE6481">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7C227C">
    <w:pPr>
      <w:jc w:val="center"/>
    </w:pPr>
    <w:r>
      <w:fldChar w:fldCharType="begin"/>
    </w:r>
    <w:r>
      <w:instrText xml:space="preserve"> PAGE </w:instrText>
    </w:r>
    <w:r>
      <w:fldChar w:fldCharType="separate"/>
    </w:r>
    <w:r w:rsidR="00CE6481">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7C227C" w:rsidRDefault="007C227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27" w:rsidRDefault="003E4827" w:rsidP="004A504B">
      <w:r>
        <w:separator/>
      </w:r>
    </w:p>
  </w:footnote>
  <w:footnote w:type="continuationSeparator" w:id="0">
    <w:p w:rsidR="003E4827" w:rsidRDefault="003E4827" w:rsidP="004A504B">
      <w:r>
        <w:continuationSeparator/>
      </w:r>
    </w:p>
  </w:footnote>
  <w:footnote w:id="1">
    <w:p w:rsidR="003E4827" w:rsidRPr="0092521A" w:rsidRDefault="003E4827" w:rsidP="003E4827">
      <w:pPr>
        <w:pStyle w:val="FootnoteText"/>
      </w:pPr>
      <w:r w:rsidRPr="00750633">
        <w:rPr>
          <w:rStyle w:val="FootnoteReference"/>
        </w:rPr>
        <w:footnoteRef/>
      </w:r>
      <w:r w:rsidRPr="00750633">
        <w:t xml:space="preserve"> A draft business plan for 2020–2022 of UNDP was discussed at the Inter-agency coordination meeting (IACM) held in Montreal from 9 to 11 October 2019. The business plan contained in this document has addressed the issues raised at the meeting.</w:t>
      </w:r>
    </w:p>
  </w:footnote>
  <w:footnote w:id="2">
    <w:p w:rsidR="003E4827" w:rsidRPr="0092521A" w:rsidRDefault="003E4827" w:rsidP="003E4827">
      <w:pPr>
        <w:pStyle w:val="FootnoteText"/>
        <w:rPr>
          <w:lang w:val="en-CA"/>
        </w:rPr>
      </w:pPr>
      <w:r w:rsidRPr="00B643FA">
        <w:rPr>
          <w:rStyle w:val="FootnoteReference"/>
        </w:rPr>
        <w:footnoteRef/>
      </w:r>
      <w:r w:rsidRPr="00B643FA">
        <w:t xml:space="preserve"> UNDP’s </w:t>
      </w:r>
      <w:r w:rsidRPr="00B643FA">
        <w:rPr>
          <w:lang w:val="en-CA"/>
        </w:rPr>
        <w:t>20</w:t>
      </w:r>
      <w:r w:rsidR="00606549" w:rsidRPr="00B643FA">
        <w:rPr>
          <w:lang w:val="en-CA"/>
        </w:rPr>
        <w:t>20</w:t>
      </w:r>
      <w:r w:rsidRPr="00B643FA">
        <w:rPr>
          <w:lang w:val="en-CA"/>
        </w:rPr>
        <w:t xml:space="preserve"> core unit cost request has been submitted to the </w:t>
      </w:r>
      <w:r w:rsidR="00606549" w:rsidRPr="00B643FA">
        <w:rPr>
          <w:lang w:val="en-CA"/>
        </w:rPr>
        <w:t>84</w:t>
      </w:r>
      <w:r w:rsidR="00606549" w:rsidRPr="00B643FA">
        <w:rPr>
          <w:vertAlign w:val="superscript"/>
          <w:lang w:val="en-CA"/>
        </w:rPr>
        <w:t>th</w:t>
      </w:r>
      <w:r w:rsidR="00606549" w:rsidRPr="00B643FA">
        <w:rPr>
          <w:lang w:val="en-CA"/>
        </w:rPr>
        <w:t xml:space="preserve"> </w:t>
      </w:r>
      <w:r w:rsidRPr="00B643FA">
        <w:rPr>
          <w:lang w:val="en-CA"/>
        </w:rPr>
        <w:t>meeting (UNEP/OzL.Pro/ExCom/</w:t>
      </w:r>
      <w:r w:rsidR="00606549" w:rsidRPr="00B643FA">
        <w:rPr>
          <w:lang w:val="en-CA"/>
        </w:rPr>
        <w:t>84</w:t>
      </w:r>
      <w:r w:rsidRPr="00B643FA">
        <w:rPr>
          <w:lang w:val="en-CA"/>
        </w:rPr>
        <w:t>/</w:t>
      </w:r>
      <w:r w:rsidR="00B643FA" w:rsidRPr="00B643FA">
        <w:rPr>
          <w:lang w:val="en-CA"/>
        </w:rPr>
        <w:t>38</w:t>
      </w:r>
      <w:r w:rsidRPr="00B643FA">
        <w:rPr>
          <w:lang w:val="en-CA"/>
        </w:rPr>
        <w:t>).</w:t>
      </w:r>
    </w:p>
  </w:footnote>
  <w:footnote w:id="3">
    <w:p w:rsidR="003E4827" w:rsidRPr="00B307E7" w:rsidRDefault="003E4827" w:rsidP="003E4827">
      <w:pPr>
        <w:pStyle w:val="FootnoteText"/>
        <w:rPr>
          <w:lang w:val="en-CA"/>
        </w:rPr>
      </w:pPr>
      <w:r w:rsidRPr="00390D9D">
        <w:rPr>
          <w:rStyle w:val="FootnoteReference"/>
        </w:rPr>
        <w:footnoteRef/>
      </w:r>
      <w:r w:rsidRPr="00390D9D">
        <w:t xml:space="preserve"> UNEP/OzL.Pro/ExCom/</w:t>
      </w:r>
      <w:r w:rsidR="00CF6F49" w:rsidRPr="00390D9D">
        <w:t>84/</w:t>
      </w:r>
      <w:r w:rsidR="00390D9D" w:rsidRPr="00390D9D">
        <w:t>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C874CC">
    <w:fldSimple w:instr=" DOCPROPERTY &quot;Document number&quot;  \* MERGEFORMAT ">
      <w:r w:rsidR="00033FA3">
        <w:t>UNEP/OzL.Pro/ExCom/84/28</w:t>
      </w:r>
    </w:fldSimple>
  </w:p>
  <w:p w:rsidR="007C227C" w:rsidRPr="0033525D" w:rsidRDefault="007C227C"/>
  <w:p w:rsidR="007C227C" w:rsidRPr="0033525D" w:rsidRDefault="007C22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7C" w:rsidRPr="0033525D" w:rsidRDefault="00C874CC">
    <w:pPr>
      <w:jc w:val="right"/>
    </w:pPr>
    <w:fldSimple w:instr=" DOCPROPERTY &quot;Document number&quot;  \* MERGEFORMAT ">
      <w:r w:rsidR="00033FA3">
        <w:t>UNEP/OzL.Pro/ExCom/84/28</w:t>
      </w:r>
    </w:fldSimple>
  </w:p>
  <w:p w:rsidR="007C227C" w:rsidRPr="0033525D" w:rsidRDefault="007C227C"/>
  <w:p w:rsidR="007C227C" w:rsidRPr="0033525D" w:rsidRDefault="007C2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3E4827"/>
    <w:rsid w:val="00000FED"/>
    <w:rsid w:val="0000434E"/>
    <w:rsid w:val="00017C3F"/>
    <w:rsid w:val="000211A9"/>
    <w:rsid w:val="00031260"/>
    <w:rsid w:val="00033FA3"/>
    <w:rsid w:val="00035CF0"/>
    <w:rsid w:val="0003681A"/>
    <w:rsid w:val="00052C5C"/>
    <w:rsid w:val="00053D53"/>
    <w:rsid w:val="00061EC2"/>
    <w:rsid w:val="00080ED0"/>
    <w:rsid w:val="00085B8F"/>
    <w:rsid w:val="00090481"/>
    <w:rsid w:val="00092009"/>
    <w:rsid w:val="000A6C26"/>
    <w:rsid w:val="000C080B"/>
    <w:rsid w:val="000D52A4"/>
    <w:rsid w:val="000D551E"/>
    <w:rsid w:val="000E07BC"/>
    <w:rsid w:val="000E59CB"/>
    <w:rsid w:val="000F15E8"/>
    <w:rsid w:val="000F1CD4"/>
    <w:rsid w:val="000F4103"/>
    <w:rsid w:val="000F70A7"/>
    <w:rsid w:val="001076FD"/>
    <w:rsid w:val="00113CCA"/>
    <w:rsid w:val="00117C33"/>
    <w:rsid w:val="00122F25"/>
    <w:rsid w:val="00134019"/>
    <w:rsid w:val="00135980"/>
    <w:rsid w:val="00164719"/>
    <w:rsid w:val="00166FC4"/>
    <w:rsid w:val="001677AC"/>
    <w:rsid w:val="001804EA"/>
    <w:rsid w:val="00190A61"/>
    <w:rsid w:val="00192E31"/>
    <w:rsid w:val="001940FB"/>
    <w:rsid w:val="001A3342"/>
    <w:rsid w:val="001A3E3D"/>
    <w:rsid w:val="001A7049"/>
    <w:rsid w:val="001B1D88"/>
    <w:rsid w:val="001B1E40"/>
    <w:rsid w:val="001B6487"/>
    <w:rsid w:val="001C3C80"/>
    <w:rsid w:val="001C764E"/>
    <w:rsid w:val="001D22E5"/>
    <w:rsid w:val="001E1052"/>
    <w:rsid w:val="001E21B1"/>
    <w:rsid w:val="001E2F93"/>
    <w:rsid w:val="001E61E5"/>
    <w:rsid w:val="001F2159"/>
    <w:rsid w:val="00213B82"/>
    <w:rsid w:val="00214863"/>
    <w:rsid w:val="002156B4"/>
    <w:rsid w:val="00221429"/>
    <w:rsid w:val="00226509"/>
    <w:rsid w:val="00252479"/>
    <w:rsid w:val="00253222"/>
    <w:rsid w:val="00261287"/>
    <w:rsid w:val="00262847"/>
    <w:rsid w:val="00264ACF"/>
    <w:rsid w:val="00281BB2"/>
    <w:rsid w:val="002A0F1D"/>
    <w:rsid w:val="002B08D9"/>
    <w:rsid w:val="002B72E9"/>
    <w:rsid w:val="002C456B"/>
    <w:rsid w:val="002C7998"/>
    <w:rsid w:val="002E4210"/>
    <w:rsid w:val="002F1E53"/>
    <w:rsid w:val="002F263D"/>
    <w:rsid w:val="002F2CAA"/>
    <w:rsid w:val="0030052C"/>
    <w:rsid w:val="00302C39"/>
    <w:rsid w:val="003306E1"/>
    <w:rsid w:val="003320E4"/>
    <w:rsid w:val="00332D72"/>
    <w:rsid w:val="0033525D"/>
    <w:rsid w:val="00335D73"/>
    <w:rsid w:val="003414F3"/>
    <w:rsid w:val="00344E00"/>
    <w:rsid w:val="00346674"/>
    <w:rsid w:val="003512CB"/>
    <w:rsid w:val="00353961"/>
    <w:rsid w:val="0035613E"/>
    <w:rsid w:val="00363EE9"/>
    <w:rsid w:val="0036427C"/>
    <w:rsid w:val="0036613D"/>
    <w:rsid w:val="00366505"/>
    <w:rsid w:val="00376128"/>
    <w:rsid w:val="0037742E"/>
    <w:rsid w:val="00377D56"/>
    <w:rsid w:val="0038245A"/>
    <w:rsid w:val="003840E6"/>
    <w:rsid w:val="00385613"/>
    <w:rsid w:val="00385CFC"/>
    <w:rsid w:val="00390D9D"/>
    <w:rsid w:val="003919B9"/>
    <w:rsid w:val="0039337A"/>
    <w:rsid w:val="003A3189"/>
    <w:rsid w:val="003A3CA7"/>
    <w:rsid w:val="003A4417"/>
    <w:rsid w:val="003B33BD"/>
    <w:rsid w:val="003B569D"/>
    <w:rsid w:val="003B5BC6"/>
    <w:rsid w:val="003C0C29"/>
    <w:rsid w:val="003C3C0E"/>
    <w:rsid w:val="003D4FAC"/>
    <w:rsid w:val="003D6112"/>
    <w:rsid w:val="003D7E48"/>
    <w:rsid w:val="003E4827"/>
    <w:rsid w:val="003E5D27"/>
    <w:rsid w:val="003E7906"/>
    <w:rsid w:val="003F3C50"/>
    <w:rsid w:val="003F5FBE"/>
    <w:rsid w:val="00400C25"/>
    <w:rsid w:val="00406A6A"/>
    <w:rsid w:val="00406B22"/>
    <w:rsid w:val="004174B4"/>
    <w:rsid w:val="00432347"/>
    <w:rsid w:val="004328A7"/>
    <w:rsid w:val="00434C74"/>
    <w:rsid w:val="00456EB4"/>
    <w:rsid w:val="004718F3"/>
    <w:rsid w:val="004731B8"/>
    <w:rsid w:val="00475040"/>
    <w:rsid w:val="00493D40"/>
    <w:rsid w:val="004967B6"/>
    <w:rsid w:val="004A504B"/>
    <w:rsid w:val="004A6911"/>
    <w:rsid w:val="004B54E0"/>
    <w:rsid w:val="004B7384"/>
    <w:rsid w:val="004C4269"/>
    <w:rsid w:val="004D6236"/>
    <w:rsid w:val="004D6518"/>
    <w:rsid w:val="004D7F90"/>
    <w:rsid w:val="004E4DBB"/>
    <w:rsid w:val="004E4E41"/>
    <w:rsid w:val="004E7F9C"/>
    <w:rsid w:val="004F18A7"/>
    <w:rsid w:val="004F3493"/>
    <w:rsid w:val="004F5143"/>
    <w:rsid w:val="004F616C"/>
    <w:rsid w:val="00512B09"/>
    <w:rsid w:val="00515B2F"/>
    <w:rsid w:val="0053314C"/>
    <w:rsid w:val="00533796"/>
    <w:rsid w:val="00541607"/>
    <w:rsid w:val="00541C28"/>
    <w:rsid w:val="00555D75"/>
    <w:rsid w:val="00560DF0"/>
    <w:rsid w:val="0056759C"/>
    <w:rsid w:val="00583D98"/>
    <w:rsid w:val="0059513E"/>
    <w:rsid w:val="005A2E5B"/>
    <w:rsid w:val="005A4390"/>
    <w:rsid w:val="005A766C"/>
    <w:rsid w:val="005B1C8E"/>
    <w:rsid w:val="005B48FF"/>
    <w:rsid w:val="005D2296"/>
    <w:rsid w:val="005D2A35"/>
    <w:rsid w:val="005D2F39"/>
    <w:rsid w:val="005E1F33"/>
    <w:rsid w:val="00604C15"/>
    <w:rsid w:val="00606549"/>
    <w:rsid w:val="00606AC3"/>
    <w:rsid w:val="00614BE0"/>
    <w:rsid w:val="006158D5"/>
    <w:rsid w:val="0061676B"/>
    <w:rsid w:val="00625D83"/>
    <w:rsid w:val="00643923"/>
    <w:rsid w:val="006623E7"/>
    <w:rsid w:val="00662B80"/>
    <w:rsid w:val="00666830"/>
    <w:rsid w:val="00670F6C"/>
    <w:rsid w:val="00675795"/>
    <w:rsid w:val="006852C7"/>
    <w:rsid w:val="006852CE"/>
    <w:rsid w:val="006B13BE"/>
    <w:rsid w:val="006B2B45"/>
    <w:rsid w:val="006C1727"/>
    <w:rsid w:val="006C32FD"/>
    <w:rsid w:val="006C33E4"/>
    <w:rsid w:val="006C39CE"/>
    <w:rsid w:val="006D0FCC"/>
    <w:rsid w:val="006D1D2D"/>
    <w:rsid w:val="006D54FC"/>
    <w:rsid w:val="006D5F4F"/>
    <w:rsid w:val="006E1FC3"/>
    <w:rsid w:val="006E2A85"/>
    <w:rsid w:val="0070616B"/>
    <w:rsid w:val="00706FDA"/>
    <w:rsid w:val="00711F9A"/>
    <w:rsid w:val="00713810"/>
    <w:rsid w:val="007303A5"/>
    <w:rsid w:val="00730B3E"/>
    <w:rsid w:val="0073420B"/>
    <w:rsid w:val="0074589D"/>
    <w:rsid w:val="0074760E"/>
    <w:rsid w:val="00750633"/>
    <w:rsid w:val="00754ABA"/>
    <w:rsid w:val="00790689"/>
    <w:rsid w:val="007A1546"/>
    <w:rsid w:val="007A228C"/>
    <w:rsid w:val="007A368E"/>
    <w:rsid w:val="007A5868"/>
    <w:rsid w:val="007B04CE"/>
    <w:rsid w:val="007B6871"/>
    <w:rsid w:val="007B7A2F"/>
    <w:rsid w:val="007C0D4C"/>
    <w:rsid w:val="007C227C"/>
    <w:rsid w:val="007C3D33"/>
    <w:rsid w:val="007C743F"/>
    <w:rsid w:val="007C7992"/>
    <w:rsid w:val="007D294A"/>
    <w:rsid w:val="007D47D2"/>
    <w:rsid w:val="007D6EC0"/>
    <w:rsid w:val="007D7E1D"/>
    <w:rsid w:val="007F1526"/>
    <w:rsid w:val="00830858"/>
    <w:rsid w:val="00831979"/>
    <w:rsid w:val="00851352"/>
    <w:rsid w:val="00852FC6"/>
    <w:rsid w:val="0085304B"/>
    <w:rsid w:val="00863230"/>
    <w:rsid w:val="00867DB8"/>
    <w:rsid w:val="008717D8"/>
    <w:rsid w:val="0087215C"/>
    <w:rsid w:val="00874A13"/>
    <w:rsid w:val="00880E35"/>
    <w:rsid w:val="008875FE"/>
    <w:rsid w:val="00887F8E"/>
    <w:rsid w:val="00896234"/>
    <w:rsid w:val="00897E43"/>
    <w:rsid w:val="008C5738"/>
    <w:rsid w:val="008C7EAD"/>
    <w:rsid w:val="008D0CFE"/>
    <w:rsid w:val="008D3375"/>
    <w:rsid w:val="008D54C2"/>
    <w:rsid w:val="008D5E24"/>
    <w:rsid w:val="008D6152"/>
    <w:rsid w:val="008E5BBA"/>
    <w:rsid w:val="008F0F81"/>
    <w:rsid w:val="008F27BF"/>
    <w:rsid w:val="008F422D"/>
    <w:rsid w:val="00900274"/>
    <w:rsid w:val="009142EC"/>
    <w:rsid w:val="009154C3"/>
    <w:rsid w:val="00923540"/>
    <w:rsid w:val="00926767"/>
    <w:rsid w:val="009361D5"/>
    <w:rsid w:val="009428A4"/>
    <w:rsid w:val="009659F4"/>
    <w:rsid w:val="009709B0"/>
    <w:rsid w:val="00970D60"/>
    <w:rsid w:val="00972A8E"/>
    <w:rsid w:val="00973063"/>
    <w:rsid w:val="00975579"/>
    <w:rsid w:val="009960E5"/>
    <w:rsid w:val="009A7ADC"/>
    <w:rsid w:val="009C19B7"/>
    <w:rsid w:val="009D098B"/>
    <w:rsid w:val="009D6185"/>
    <w:rsid w:val="009D6CA2"/>
    <w:rsid w:val="009D7C51"/>
    <w:rsid w:val="009E196C"/>
    <w:rsid w:val="009F36BF"/>
    <w:rsid w:val="009F6A96"/>
    <w:rsid w:val="00A111B6"/>
    <w:rsid w:val="00A21612"/>
    <w:rsid w:val="00A2547B"/>
    <w:rsid w:val="00A26D27"/>
    <w:rsid w:val="00A3418E"/>
    <w:rsid w:val="00A34446"/>
    <w:rsid w:val="00A376EE"/>
    <w:rsid w:val="00A42A99"/>
    <w:rsid w:val="00A43E83"/>
    <w:rsid w:val="00A5151A"/>
    <w:rsid w:val="00A56465"/>
    <w:rsid w:val="00A57E0A"/>
    <w:rsid w:val="00A823F6"/>
    <w:rsid w:val="00A93BBA"/>
    <w:rsid w:val="00AA0A89"/>
    <w:rsid w:val="00AA6429"/>
    <w:rsid w:val="00AB434A"/>
    <w:rsid w:val="00AB4A23"/>
    <w:rsid w:val="00AC01AA"/>
    <w:rsid w:val="00AC4F72"/>
    <w:rsid w:val="00AE1E7C"/>
    <w:rsid w:val="00AE77AA"/>
    <w:rsid w:val="00AF741A"/>
    <w:rsid w:val="00B0107B"/>
    <w:rsid w:val="00B01ADB"/>
    <w:rsid w:val="00B04161"/>
    <w:rsid w:val="00B056F9"/>
    <w:rsid w:val="00B11E3D"/>
    <w:rsid w:val="00B17E82"/>
    <w:rsid w:val="00B23425"/>
    <w:rsid w:val="00B23751"/>
    <w:rsid w:val="00B41BAF"/>
    <w:rsid w:val="00B4575A"/>
    <w:rsid w:val="00B4719C"/>
    <w:rsid w:val="00B55614"/>
    <w:rsid w:val="00B575BA"/>
    <w:rsid w:val="00B643FA"/>
    <w:rsid w:val="00B76429"/>
    <w:rsid w:val="00B80938"/>
    <w:rsid w:val="00B956D4"/>
    <w:rsid w:val="00B97446"/>
    <w:rsid w:val="00BA45AA"/>
    <w:rsid w:val="00BA7432"/>
    <w:rsid w:val="00BC1AA0"/>
    <w:rsid w:val="00BC2495"/>
    <w:rsid w:val="00BC58CC"/>
    <w:rsid w:val="00BC7EB9"/>
    <w:rsid w:val="00BD18C0"/>
    <w:rsid w:val="00BD258F"/>
    <w:rsid w:val="00BD2643"/>
    <w:rsid w:val="00BD56B1"/>
    <w:rsid w:val="00BD6558"/>
    <w:rsid w:val="00BF3022"/>
    <w:rsid w:val="00BF3214"/>
    <w:rsid w:val="00BF5573"/>
    <w:rsid w:val="00C104A8"/>
    <w:rsid w:val="00C14B60"/>
    <w:rsid w:val="00C15867"/>
    <w:rsid w:val="00C2296D"/>
    <w:rsid w:val="00C23155"/>
    <w:rsid w:val="00C40C41"/>
    <w:rsid w:val="00C45885"/>
    <w:rsid w:val="00C50F22"/>
    <w:rsid w:val="00C55303"/>
    <w:rsid w:val="00C57971"/>
    <w:rsid w:val="00C65BD7"/>
    <w:rsid w:val="00C76BA4"/>
    <w:rsid w:val="00C82129"/>
    <w:rsid w:val="00C83A48"/>
    <w:rsid w:val="00C85865"/>
    <w:rsid w:val="00C85E85"/>
    <w:rsid w:val="00C874CC"/>
    <w:rsid w:val="00CA2EAE"/>
    <w:rsid w:val="00CA4AC1"/>
    <w:rsid w:val="00CB0316"/>
    <w:rsid w:val="00CB0B11"/>
    <w:rsid w:val="00CB5354"/>
    <w:rsid w:val="00CC299E"/>
    <w:rsid w:val="00CC6236"/>
    <w:rsid w:val="00CC6A14"/>
    <w:rsid w:val="00CC70A3"/>
    <w:rsid w:val="00CD4442"/>
    <w:rsid w:val="00CD53C3"/>
    <w:rsid w:val="00CD574E"/>
    <w:rsid w:val="00CE4C22"/>
    <w:rsid w:val="00CE6481"/>
    <w:rsid w:val="00CE682E"/>
    <w:rsid w:val="00CF41EC"/>
    <w:rsid w:val="00CF5D04"/>
    <w:rsid w:val="00CF6F49"/>
    <w:rsid w:val="00D03726"/>
    <w:rsid w:val="00D04DE4"/>
    <w:rsid w:val="00D0546C"/>
    <w:rsid w:val="00D063F1"/>
    <w:rsid w:val="00D13CD0"/>
    <w:rsid w:val="00D14D56"/>
    <w:rsid w:val="00D14F22"/>
    <w:rsid w:val="00D22563"/>
    <w:rsid w:val="00D4108B"/>
    <w:rsid w:val="00D4741C"/>
    <w:rsid w:val="00D51B89"/>
    <w:rsid w:val="00D57918"/>
    <w:rsid w:val="00D62899"/>
    <w:rsid w:val="00D66982"/>
    <w:rsid w:val="00D73DC6"/>
    <w:rsid w:val="00D74C1A"/>
    <w:rsid w:val="00D754C1"/>
    <w:rsid w:val="00D77393"/>
    <w:rsid w:val="00D77A35"/>
    <w:rsid w:val="00D81B3E"/>
    <w:rsid w:val="00D90C70"/>
    <w:rsid w:val="00D90E49"/>
    <w:rsid w:val="00D96ADE"/>
    <w:rsid w:val="00DA0CE2"/>
    <w:rsid w:val="00DC10A4"/>
    <w:rsid w:val="00DC6A10"/>
    <w:rsid w:val="00DE657E"/>
    <w:rsid w:val="00DE6D70"/>
    <w:rsid w:val="00DF27BD"/>
    <w:rsid w:val="00DF4704"/>
    <w:rsid w:val="00E024AA"/>
    <w:rsid w:val="00E250F1"/>
    <w:rsid w:val="00E30335"/>
    <w:rsid w:val="00E3550D"/>
    <w:rsid w:val="00E41335"/>
    <w:rsid w:val="00E52B50"/>
    <w:rsid w:val="00E614E0"/>
    <w:rsid w:val="00E6544F"/>
    <w:rsid w:val="00E73F7F"/>
    <w:rsid w:val="00E76ED0"/>
    <w:rsid w:val="00E85409"/>
    <w:rsid w:val="00E85874"/>
    <w:rsid w:val="00EA429F"/>
    <w:rsid w:val="00EA4F9E"/>
    <w:rsid w:val="00EA63CA"/>
    <w:rsid w:val="00EA6D3B"/>
    <w:rsid w:val="00EB00AD"/>
    <w:rsid w:val="00EB136C"/>
    <w:rsid w:val="00EB480E"/>
    <w:rsid w:val="00EB5EC6"/>
    <w:rsid w:val="00EB7FC9"/>
    <w:rsid w:val="00ED27E8"/>
    <w:rsid w:val="00ED7137"/>
    <w:rsid w:val="00EE02D8"/>
    <w:rsid w:val="00EE66BA"/>
    <w:rsid w:val="00F07A58"/>
    <w:rsid w:val="00F20C0D"/>
    <w:rsid w:val="00F21088"/>
    <w:rsid w:val="00F268BE"/>
    <w:rsid w:val="00F26E2B"/>
    <w:rsid w:val="00F327E7"/>
    <w:rsid w:val="00F32AD0"/>
    <w:rsid w:val="00F35746"/>
    <w:rsid w:val="00F36D3F"/>
    <w:rsid w:val="00F447C7"/>
    <w:rsid w:val="00F4554B"/>
    <w:rsid w:val="00F5211B"/>
    <w:rsid w:val="00F554A9"/>
    <w:rsid w:val="00F60DBA"/>
    <w:rsid w:val="00F716FD"/>
    <w:rsid w:val="00F80355"/>
    <w:rsid w:val="00F8283B"/>
    <w:rsid w:val="00F87C43"/>
    <w:rsid w:val="00F90997"/>
    <w:rsid w:val="00F94256"/>
    <w:rsid w:val="00FB0C81"/>
    <w:rsid w:val="00FC2200"/>
    <w:rsid w:val="00FC2540"/>
    <w:rsid w:val="00FD22DD"/>
    <w:rsid w:val="00FF0204"/>
    <w:rsid w:val="00FF3AED"/>
    <w:rsid w:val="00FF7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54A797"/>
  <w15:docId w15:val="{804467DF-50D6-40BB-84A6-A39ED20B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Title2">
    <w:name w:val="Title2"/>
    <w:rsid w:val="003E4827"/>
    <w:pPr>
      <w:jc w:val="center"/>
      <w:outlineLvl w:val="0"/>
    </w:pPr>
    <w:rPr>
      <w:b/>
      <w:caps/>
      <w:sz w:val="22"/>
      <w:szCs w:val="22"/>
      <w:lang w:val="en-GB"/>
    </w:rPr>
  </w:style>
  <w:style w:type="paragraph" w:customStyle="1" w:styleId="subhead">
    <w:name w:val="subhead"/>
    <w:basedOn w:val="Normal"/>
    <w:next w:val="Normal"/>
    <w:uiPriority w:val="99"/>
    <w:rsid w:val="003E4827"/>
    <w:pPr>
      <w:tabs>
        <w:tab w:val="left" w:pos="-720"/>
        <w:tab w:val="left" w:pos="0"/>
        <w:tab w:val="left" w:pos="720"/>
        <w:tab w:val="left" w:pos="1440"/>
        <w:tab w:val="left" w:pos="2160"/>
        <w:tab w:val="left" w:pos="2880"/>
        <w:tab w:val="left" w:pos="3600"/>
      </w:tabs>
      <w:jc w:val="center"/>
    </w:pPr>
    <w:rPr>
      <w:sz w:val="24"/>
      <w:szCs w:val="24"/>
      <w:lang w:val="en-US"/>
    </w:rPr>
  </w:style>
  <w:style w:type="paragraph" w:styleId="FootnoteText">
    <w:name w:val="footnote text"/>
    <w:basedOn w:val="Normal"/>
    <w:link w:val="FootnoteTextChar"/>
    <w:rsid w:val="003E4827"/>
    <w:rPr>
      <w:sz w:val="20"/>
      <w:szCs w:val="20"/>
    </w:rPr>
  </w:style>
  <w:style w:type="character" w:customStyle="1" w:styleId="FootnoteTextChar">
    <w:name w:val="Footnote Text Char"/>
    <w:basedOn w:val="DefaultParagraphFont"/>
    <w:link w:val="FootnoteText"/>
    <w:rsid w:val="003E4827"/>
    <w:rPr>
      <w:lang w:val="en-GB"/>
    </w:rPr>
  </w:style>
  <w:style w:type="character" w:styleId="FootnoteReference">
    <w:name w:val="footnote reference"/>
    <w:rsid w:val="003E4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5225">
      <w:bodyDiv w:val="1"/>
      <w:marLeft w:val="0"/>
      <w:marRight w:val="0"/>
      <w:marTop w:val="0"/>
      <w:marBottom w:val="0"/>
      <w:divBdr>
        <w:top w:val="none" w:sz="0" w:space="0" w:color="auto"/>
        <w:left w:val="none" w:sz="0" w:space="0" w:color="auto"/>
        <w:bottom w:val="none" w:sz="0" w:space="0" w:color="auto"/>
        <w:right w:val="none" w:sz="0" w:space="0" w:color="auto"/>
      </w:divBdr>
    </w:div>
    <w:div w:id="990446646">
      <w:bodyDiv w:val="1"/>
      <w:marLeft w:val="0"/>
      <w:marRight w:val="0"/>
      <w:marTop w:val="0"/>
      <w:marBottom w:val="0"/>
      <w:divBdr>
        <w:top w:val="none" w:sz="0" w:space="0" w:color="auto"/>
        <w:left w:val="none" w:sz="0" w:space="0" w:color="auto"/>
        <w:bottom w:val="none" w:sz="0" w:space="0" w:color="auto"/>
        <w:right w:val="none" w:sz="0" w:space="0" w:color="auto"/>
      </w:divBdr>
    </w:div>
    <w:div w:id="1051735972">
      <w:bodyDiv w:val="1"/>
      <w:marLeft w:val="0"/>
      <w:marRight w:val="0"/>
      <w:marTop w:val="0"/>
      <w:marBottom w:val="0"/>
      <w:divBdr>
        <w:top w:val="none" w:sz="0" w:space="0" w:color="auto"/>
        <w:left w:val="none" w:sz="0" w:space="0" w:color="auto"/>
        <w:bottom w:val="none" w:sz="0" w:space="0" w:color="auto"/>
        <w:right w:val="none" w:sz="0" w:space="0" w:color="auto"/>
      </w:divBdr>
    </w:div>
    <w:div w:id="1595825932">
      <w:bodyDiv w:val="1"/>
      <w:marLeft w:val="0"/>
      <w:marRight w:val="0"/>
      <w:marTop w:val="0"/>
      <w:marBottom w:val="0"/>
      <w:divBdr>
        <w:top w:val="none" w:sz="0" w:space="0" w:color="auto"/>
        <w:left w:val="none" w:sz="0" w:space="0" w:color="auto"/>
        <w:bottom w:val="none" w:sz="0" w:space="0" w:color="auto"/>
        <w:right w:val="none" w:sz="0" w:space="0" w:color="auto"/>
      </w:divBdr>
    </w:div>
    <w:div w:id="159960546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328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FC51483EAF9547AF5405F34A68D8CF" ma:contentTypeVersion="4" ma:contentTypeDescription="Create a new document." ma:contentTypeScope="" ma:versionID="bbbacc9f6101fc0892702c4e4b680072">
  <xsd:schema xmlns:xsd="http://www.w3.org/2001/XMLSchema" xmlns:p="http://schemas.microsoft.com/office/2006/metadata/properties" xmlns:ns2="6b03d5a6-c642-4a08-93b6-965b66bfac2e" xmlns:ns3="64e33b30-101d-41de-b951-961aab25ea29" targetNamespace="http://schemas.microsoft.com/office/2006/metadata/properties" ma:root="true" ma:fieldsID="39409073ccf1d849a0e0d716fd570e97"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100"/>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UNEP/OzL.Pro/ExCom/84/28</Document_x0020_Number>
    <DocumentType xmlns="64e33b30-101d-41de-b951-961aab25ea29">Pre-session</DocumentType>
  </documentManagement>
</p:properties>
</file>

<file path=customXml/itemProps1.xml><?xml version="1.0" encoding="utf-8"?>
<ds:datastoreItem xmlns:ds="http://schemas.openxmlformats.org/officeDocument/2006/customXml" ds:itemID="{AB249A28-D89C-47E2-B619-F824C6F49C45}"/>
</file>

<file path=customXml/itemProps2.xml><?xml version="1.0" encoding="utf-8"?>
<ds:datastoreItem xmlns:ds="http://schemas.openxmlformats.org/officeDocument/2006/customXml" ds:itemID="{75AAEDD1-0334-4D4E-BDC6-B0D90D8BF4BC}"/>
</file>

<file path=customXml/itemProps3.xml><?xml version="1.0" encoding="utf-8"?>
<ds:datastoreItem xmlns:ds="http://schemas.openxmlformats.org/officeDocument/2006/customXml" ds:itemID="{3AEF80BF-B75B-4CE5-A556-FA8A7A1CAF50}"/>
</file>

<file path=customXml/itemProps4.xml><?xml version="1.0" encoding="utf-8"?>
<ds:datastoreItem xmlns:ds="http://schemas.openxmlformats.org/officeDocument/2006/customXml" ds:itemID="{7FFDD7A8-E1C8-407C-9181-977B38127917}"/>
</file>

<file path=docProps/app.xml><?xml version="1.0" encoding="utf-8"?>
<Properties xmlns="http://schemas.openxmlformats.org/officeDocument/2006/extended-properties" xmlns:vt="http://schemas.openxmlformats.org/officeDocument/2006/docPropsVTypes">
  <Template>Eec84G</Template>
  <TotalTime>37</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UNDP Business Plan for 2020–2022</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business plan for 2020–2022</dc:title>
  <dc:creator>Laura Duong</dc:creator>
  <cp:lastModifiedBy>Muriel Aguiar</cp:lastModifiedBy>
  <cp:revision>26</cp:revision>
  <cp:lastPrinted>2001-05-26T16:40:00Z</cp:lastPrinted>
  <dcterms:created xsi:type="dcterms:W3CDTF">2019-11-19T21:23:00Z</dcterms:created>
  <dcterms:modified xsi:type="dcterms:W3CDTF">2019-11-21T00:20:00Z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UNEP/OzL.Pro/ExCom/84/28</vt:lpwstr>
  </property>
  <property fmtid="{D5CDD505-2E9C-101B-9397-08002B2CF9AE}" pid="3" name="Revision date">
    <vt:lpwstr>11/20/2019</vt:lpwstr>
  </property>
  <property fmtid="{D5CDD505-2E9C-101B-9397-08002B2CF9AE}" pid="4" name="ContentTypeId">
    <vt:lpwstr>0x010100D1FC51483EAF9547AF5405F34A68D8CF</vt:lpwstr>
  </property>
</Properties>
</file>