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0263" w14:textId="7382524F" w:rsidR="00EE66BA" w:rsidRPr="00753E0B" w:rsidRDefault="00264ACF" w:rsidP="00225A17">
      <w:pPr>
        <w:rPr>
          <w:lang w:val="en-CA"/>
        </w:rPr>
      </w:pPr>
      <w:r w:rsidRPr="00753E0B">
        <w:rPr>
          <w:noProof/>
          <w:lang w:val="en-CA" w:eastAsia="en-CA"/>
        </w:rPr>
        <w:drawing>
          <wp:anchor distT="0" distB="0" distL="114300" distR="114300" simplePos="0" relativeHeight="251658240" behindDoc="1" locked="0" layoutInCell="1" allowOverlap="1" wp14:anchorId="7BBF6610" wp14:editId="78BB612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p>
    <w:p w14:paraId="66C842D7" w14:textId="77777777" w:rsidR="00D0546C" w:rsidRPr="00753E0B" w:rsidRDefault="00D0546C" w:rsidP="00225A17">
      <w:pPr>
        <w:tabs>
          <w:tab w:val="left" w:pos="1410"/>
        </w:tabs>
        <w:rPr>
          <w:lang w:val="en-CA"/>
        </w:rPr>
      </w:pPr>
    </w:p>
    <w:p w14:paraId="2BB918C3" w14:textId="77777777" w:rsidR="00D0546C" w:rsidRPr="00753E0B" w:rsidRDefault="00D0546C" w:rsidP="00225A17">
      <w:pPr>
        <w:ind w:left="5040"/>
        <w:rPr>
          <w:lang w:val="en-CA"/>
        </w:rPr>
      </w:pPr>
    </w:p>
    <w:p w14:paraId="76F7B579" w14:textId="658D736D" w:rsidR="003919B9" w:rsidRPr="00753E0B" w:rsidRDefault="005A4390" w:rsidP="00225A17">
      <w:pPr>
        <w:ind w:left="5040"/>
        <w:rPr>
          <w:lang w:val="en-CA"/>
        </w:rPr>
      </w:pPr>
      <w:r w:rsidRPr="00753E0B">
        <w:rPr>
          <w:lang w:val="en-CA"/>
        </w:rPr>
        <w:t xml:space="preserve"> </w:t>
      </w:r>
      <w:r w:rsidRPr="00753E0B">
        <w:rPr>
          <w:lang w:val="en-CA"/>
        </w:rPr>
        <w:br/>
        <w:t xml:space="preserve">   </w:t>
      </w:r>
      <w:r w:rsidR="00D0546C" w:rsidRPr="00753E0B">
        <w:rPr>
          <w:lang w:val="en-CA"/>
        </w:rPr>
        <w:br/>
      </w:r>
      <w:r w:rsidR="00D0546C" w:rsidRPr="00753E0B">
        <w:rPr>
          <w:lang w:val="en-CA"/>
        </w:rPr>
        <w:br/>
      </w:r>
      <w:r w:rsidR="00D0546C" w:rsidRPr="00753E0B">
        <w:rPr>
          <w:lang w:val="en-CA"/>
        </w:rPr>
        <w:br/>
      </w:r>
      <w:r w:rsidR="00264ACF" w:rsidRPr="00753E0B">
        <w:rPr>
          <w:lang w:val="en-CA"/>
        </w:rPr>
        <w:t xml:space="preserve">   </w:t>
      </w:r>
      <w:r w:rsidR="00A632BD" w:rsidRPr="00753E0B">
        <w:rPr>
          <w:lang w:val="en-CA"/>
        </w:rPr>
        <w:fldChar w:fldCharType="begin"/>
      </w:r>
      <w:r w:rsidR="00A632BD" w:rsidRPr="00753E0B">
        <w:rPr>
          <w:lang w:val="en-CA"/>
        </w:rPr>
        <w:instrText xml:space="preserve"> DOCPROPERTY "Document number"  \* MERGEFORMAT </w:instrText>
      </w:r>
      <w:r w:rsidR="00A632BD" w:rsidRPr="00753E0B">
        <w:rPr>
          <w:lang w:val="en-CA"/>
        </w:rPr>
        <w:fldChar w:fldCharType="separate"/>
      </w:r>
      <w:r w:rsidR="00F845AF" w:rsidRPr="00753E0B">
        <w:rPr>
          <w:lang w:val="en-CA"/>
        </w:rPr>
        <w:t>UNEP/</w:t>
      </w:r>
      <w:proofErr w:type="spellStart"/>
      <w:r w:rsidR="00F845AF" w:rsidRPr="00753E0B">
        <w:rPr>
          <w:lang w:val="en-CA"/>
        </w:rPr>
        <w:t>OzL.Pro</w:t>
      </w:r>
      <w:proofErr w:type="spellEnd"/>
      <w:r w:rsidR="00F845AF" w:rsidRPr="00753E0B">
        <w:rPr>
          <w:lang w:val="en-CA"/>
        </w:rPr>
        <w:t>/</w:t>
      </w:r>
      <w:proofErr w:type="spellStart"/>
      <w:r w:rsidR="00F845AF" w:rsidRPr="00753E0B">
        <w:rPr>
          <w:lang w:val="en-CA"/>
        </w:rPr>
        <w:t>ExCom</w:t>
      </w:r>
      <w:proofErr w:type="spellEnd"/>
      <w:r w:rsidR="00F845AF" w:rsidRPr="00753E0B">
        <w:rPr>
          <w:lang w:val="en-CA"/>
        </w:rPr>
        <w:t>/84/22/Add.3</w:t>
      </w:r>
      <w:r w:rsidR="00A632BD" w:rsidRPr="00753E0B">
        <w:rPr>
          <w:lang w:val="en-CA"/>
        </w:rPr>
        <w:fldChar w:fldCharType="end"/>
      </w:r>
      <w:r w:rsidR="003919B9" w:rsidRPr="00753E0B">
        <w:rPr>
          <w:lang w:val="en-CA"/>
        </w:rPr>
        <w:br/>
        <w:t xml:space="preserve">   </w:t>
      </w:r>
      <w:r w:rsidR="003919B9" w:rsidRPr="00753E0B">
        <w:rPr>
          <w:lang w:val="en-CA"/>
        </w:rPr>
        <w:fldChar w:fldCharType="begin"/>
      </w:r>
      <w:r w:rsidR="003919B9" w:rsidRPr="00753E0B">
        <w:rPr>
          <w:lang w:val="en-CA"/>
        </w:rPr>
        <w:instrText xml:space="preserve"> DOCPROPERTY "Revision date" \@ "d MMMM YYYY"  \* MERGEFORMAT </w:instrText>
      </w:r>
      <w:r w:rsidR="003919B9" w:rsidRPr="00753E0B">
        <w:rPr>
          <w:lang w:val="en-CA"/>
        </w:rPr>
        <w:fldChar w:fldCharType="separate"/>
      </w:r>
      <w:r w:rsidR="00CB7150" w:rsidRPr="00753E0B">
        <w:rPr>
          <w:lang w:val="en-CA"/>
        </w:rPr>
        <w:t>13 December 2019</w:t>
      </w:r>
      <w:r w:rsidR="003919B9" w:rsidRPr="00753E0B">
        <w:rPr>
          <w:lang w:val="en-CA"/>
        </w:rPr>
        <w:fldChar w:fldCharType="end"/>
      </w:r>
    </w:p>
    <w:p w14:paraId="17F9CB7C" w14:textId="77777777" w:rsidR="003919B9" w:rsidRPr="00753E0B" w:rsidRDefault="003919B9" w:rsidP="00225A17">
      <w:pPr>
        <w:rPr>
          <w:lang w:val="en-CA"/>
        </w:rPr>
      </w:pPr>
    </w:p>
    <w:p w14:paraId="65001682" w14:textId="77777777" w:rsidR="00EE66BA" w:rsidRPr="00753E0B" w:rsidRDefault="00EE66BA" w:rsidP="00225A17">
      <w:pPr>
        <w:tabs>
          <w:tab w:val="left" w:pos="8280"/>
        </w:tabs>
        <w:rPr>
          <w:lang w:val="en-CA"/>
        </w:rPr>
      </w:pPr>
    </w:p>
    <w:p w14:paraId="4F6C577C" w14:textId="77777777" w:rsidR="003919B9" w:rsidRPr="00753E0B" w:rsidRDefault="003919B9" w:rsidP="00225A17">
      <w:pPr>
        <w:tabs>
          <w:tab w:val="left" w:pos="8280"/>
        </w:tabs>
        <w:rPr>
          <w:lang w:val="en-CA"/>
        </w:rPr>
      </w:pPr>
    </w:p>
    <w:p w14:paraId="0A651D39" w14:textId="77777777" w:rsidR="003919B9" w:rsidRPr="00753E0B" w:rsidRDefault="00D66982" w:rsidP="00225A17">
      <w:pPr>
        <w:tabs>
          <w:tab w:val="left" w:pos="3940"/>
        </w:tabs>
        <w:rPr>
          <w:lang w:val="en-CA"/>
        </w:rPr>
      </w:pPr>
      <w:r w:rsidRPr="00753E0B">
        <w:rPr>
          <w:lang w:val="en-CA"/>
        </w:rPr>
        <w:tab/>
      </w:r>
    </w:p>
    <w:p w14:paraId="641EB9C5" w14:textId="77777777" w:rsidR="003919B9" w:rsidRPr="00753E0B" w:rsidRDefault="003919B9" w:rsidP="00225A17">
      <w:pPr>
        <w:tabs>
          <w:tab w:val="left" w:pos="8280"/>
        </w:tabs>
        <w:rPr>
          <w:lang w:val="en-CA"/>
        </w:rPr>
      </w:pPr>
    </w:p>
    <w:p w14:paraId="09C99EE6" w14:textId="77777777" w:rsidR="003919B9" w:rsidRPr="00753E0B" w:rsidRDefault="003919B9" w:rsidP="00225A17">
      <w:pPr>
        <w:tabs>
          <w:tab w:val="left" w:pos="8280"/>
        </w:tabs>
        <w:rPr>
          <w:lang w:val="en-CA"/>
        </w:rPr>
      </w:pPr>
    </w:p>
    <w:p w14:paraId="16E1995A" w14:textId="77777777" w:rsidR="003919B9" w:rsidRPr="00753E0B" w:rsidRDefault="003919B9" w:rsidP="00225A17">
      <w:pPr>
        <w:tabs>
          <w:tab w:val="left" w:pos="8280"/>
        </w:tabs>
        <w:rPr>
          <w:lang w:val="en-CA"/>
        </w:rPr>
      </w:pPr>
    </w:p>
    <w:p w14:paraId="67C4C339" w14:textId="77777777" w:rsidR="003919B9" w:rsidRPr="00753E0B" w:rsidRDefault="003919B9" w:rsidP="00225A17">
      <w:pPr>
        <w:tabs>
          <w:tab w:val="left" w:pos="8280"/>
        </w:tabs>
        <w:rPr>
          <w:lang w:val="en-CA"/>
        </w:rPr>
      </w:pPr>
    </w:p>
    <w:p w14:paraId="02823E06" w14:textId="77777777" w:rsidR="003919B9" w:rsidRPr="00753E0B" w:rsidRDefault="003919B9" w:rsidP="00225A17">
      <w:pPr>
        <w:tabs>
          <w:tab w:val="left" w:pos="8280"/>
        </w:tabs>
        <w:rPr>
          <w:lang w:val="en-CA"/>
        </w:rPr>
      </w:pPr>
    </w:p>
    <w:p w14:paraId="54935030" w14:textId="0785E72F" w:rsidR="00981006" w:rsidRPr="00753E0B" w:rsidRDefault="00981006" w:rsidP="00225A17">
      <w:pPr>
        <w:tabs>
          <w:tab w:val="left" w:pos="8280"/>
        </w:tabs>
        <w:rPr>
          <w:b/>
          <w:lang w:val="en-CA"/>
        </w:rPr>
      </w:pPr>
    </w:p>
    <w:p w14:paraId="3702A129" w14:textId="77777777" w:rsidR="00CB7150" w:rsidRPr="00753E0B" w:rsidRDefault="00CB7150" w:rsidP="00225A17">
      <w:pPr>
        <w:tabs>
          <w:tab w:val="left" w:pos="8280"/>
        </w:tabs>
        <w:rPr>
          <w:b/>
          <w:lang w:val="en-CA"/>
        </w:rPr>
      </w:pPr>
    </w:p>
    <w:p w14:paraId="32783308" w14:textId="77777777" w:rsidR="00675C94" w:rsidRPr="00753E0B" w:rsidRDefault="00675C94" w:rsidP="00225A17">
      <w:pPr>
        <w:tabs>
          <w:tab w:val="left" w:pos="8280"/>
        </w:tabs>
        <w:rPr>
          <w:b/>
          <w:lang w:val="en-CA"/>
        </w:rPr>
      </w:pPr>
    </w:p>
    <w:p w14:paraId="484A7B78" w14:textId="77777777" w:rsidR="00722CF2" w:rsidRPr="00753E0B" w:rsidRDefault="00722CF2" w:rsidP="00225A17">
      <w:pPr>
        <w:tabs>
          <w:tab w:val="left" w:pos="8280"/>
        </w:tabs>
        <w:jc w:val="center"/>
        <w:rPr>
          <w:b/>
          <w:lang w:val="en-CA"/>
        </w:rPr>
      </w:pPr>
      <w:r w:rsidRPr="00753E0B">
        <w:rPr>
          <w:b/>
          <w:lang w:val="en-CA"/>
        </w:rPr>
        <w:t>Addendum</w:t>
      </w:r>
    </w:p>
    <w:p w14:paraId="6C6F81F5" w14:textId="77777777" w:rsidR="00981006" w:rsidRPr="00753E0B" w:rsidRDefault="00981006" w:rsidP="00225A17">
      <w:pPr>
        <w:tabs>
          <w:tab w:val="left" w:pos="8280"/>
        </w:tabs>
        <w:jc w:val="center"/>
        <w:rPr>
          <w:b/>
          <w:lang w:val="en-CA"/>
        </w:rPr>
      </w:pPr>
    </w:p>
    <w:p w14:paraId="0CD98C44" w14:textId="77777777" w:rsidR="00741F73" w:rsidRPr="00753E0B" w:rsidRDefault="00264492" w:rsidP="00292BC6">
      <w:pPr>
        <w:jc w:val="center"/>
        <w:rPr>
          <w:b/>
          <w:lang w:val="en-CA"/>
        </w:rPr>
      </w:pPr>
      <w:r w:rsidRPr="00753E0B">
        <w:rPr>
          <w:b/>
          <w:lang w:val="en-CA"/>
        </w:rPr>
        <w:t xml:space="preserve">REPORT ON </w:t>
      </w:r>
      <w:r w:rsidR="00D63C5B" w:rsidRPr="00753E0B">
        <w:rPr>
          <w:b/>
          <w:lang w:val="en-CA"/>
        </w:rPr>
        <w:t xml:space="preserve">THE </w:t>
      </w:r>
      <w:r w:rsidRPr="00753E0B">
        <w:rPr>
          <w:b/>
          <w:lang w:val="en-CA"/>
        </w:rPr>
        <w:t>PRODUCTION OF CARBON TETRACHLORIDE AND ITS FEEDSTOCK USES IN CHINA (DECISION 75/18 (</w:t>
      </w:r>
      <w:r w:rsidR="004E5722" w:rsidRPr="00753E0B">
        <w:rPr>
          <w:b/>
          <w:lang w:val="en-CA"/>
        </w:rPr>
        <w:t>b</w:t>
      </w:r>
      <w:r w:rsidRPr="00753E0B">
        <w:rPr>
          <w:b/>
          <w:lang w:val="en-CA"/>
        </w:rPr>
        <w:t>) (iii))</w:t>
      </w:r>
    </w:p>
    <w:p w14:paraId="10E6D4B6" w14:textId="6024056C" w:rsidR="00741F73" w:rsidRPr="00753E0B" w:rsidRDefault="00741F73" w:rsidP="00225A17">
      <w:pPr>
        <w:rPr>
          <w:u w:val="single"/>
          <w:lang w:val="en-CA"/>
        </w:rPr>
      </w:pPr>
    </w:p>
    <w:p w14:paraId="60F0F186" w14:textId="166E9419" w:rsidR="00D12804" w:rsidRPr="00753E0B" w:rsidRDefault="00D12804" w:rsidP="00225A17">
      <w:pPr>
        <w:rPr>
          <w:lang w:val="en-CA"/>
        </w:rPr>
      </w:pPr>
    </w:p>
    <w:p w14:paraId="0DCDC2EB" w14:textId="6E752D6F" w:rsidR="00D12804" w:rsidRPr="00753E0B" w:rsidRDefault="009C7A46" w:rsidP="009C7A46">
      <w:pPr>
        <w:rPr>
          <w:lang w:val="en-CA"/>
        </w:rPr>
      </w:pPr>
      <w:r w:rsidRPr="00753E0B">
        <w:rPr>
          <w:lang w:val="en-CA"/>
        </w:rPr>
        <w:tab/>
        <w:t>T</w:t>
      </w:r>
      <w:r w:rsidR="00CB7150" w:rsidRPr="00753E0B">
        <w:rPr>
          <w:lang w:val="en-CA"/>
        </w:rPr>
        <w:t>his document is being issued to provide information received subsequent to the issuance of document UNEP/OzL.Pro/ExCom/84/22/Add.2 as follows:</w:t>
      </w:r>
    </w:p>
    <w:p w14:paraId="7B8EA8B3" w14:textId="18494FF8" w:rsidR="00D12804" w:rsidRPr="00753E0B" w:rsidRDefault="00D12804" w:rsidP="00225A17">
      <w:pPr>
        <w:rPr>
          <w:u w:val="single"/>
          <w:lang w:val="en-CA"/>
        </w:rPr>
      </w:pPr>
    </w:p>
    <w:p w14:paraId="4F8D9A03" w14:textId="1DFB6A3F" w:rsidR="009C7A46" w:rsidRPr="00753E0B" w:rsidRDefault="009C7A46" w:rsidP="009C7A46">
      <w:pPr>
        <w:pStyle w:val="ListParagraph"/>
        <w:numPr>
          <w:ilvl w:val="0"/>
          <w:numId w:val="45"/>
        </w:numPr>
        <w:rPr>
          <w:lang w:val="en-CA"/>
        </w:rPr>
      </w:pPr>
      <w:r w:rsidRPr="00753E0B">
        <w:rPr>
          <w:b/>
          <w:lang w:val="en-CA"/>
        </w:rPr>
        <w:t>Add</w:t>
      </w:r>
      <w:r w:rsidR="00E40348">
        <w:rPr>
          <w:lang w:val="en-CA"/>
        </w:rPr>
        <w:t xml:space="preserve"> the following paragraph</w:t>
      </w:r>
      <w:bookmarkStart w:id="0" w:name="_GoBack"/>
      <w:bookmarkEnd w:id="0"/>
      <w:r w:rsidRPr="00753E0B">
        <w:rPr>
          <w:lang w:val="en-CA"/>
        </w:rPr>
        <w:t xml:space="preserve"> after paragraph </w:t>
      </w:r>
      <w:r w:rsidR="009E3C1E">
        <w:rPr>
          <w:lang w:val="en-CA"/>
        </w:rPr>
        <w:t>25</w:t>
      </w:r>
    </w:p>
    <w:p w14:paraId="53EC8BAA" w14:textId="77777777" w:rsidR="00D12804" w:rsidRPr="00753E0B" w:rsidRDefault="00D12804" w:rsidP="00225A17">
      <w:pPr>
        <w:rPr>
          <w:u w:val="single"/>
          <w:lang w:val="en-CA"/>
        </w:rPr>
      </w:pPr>
    </w:p>
    <w:p w14:paraId="027B12F4" w14:textId="0911D924" w:rsidR="00561D1D" w:rsidRPr="00753E0B" w:rsidRDefault="009C7A46" w:rsidP="00225A17">
      <w:pPr>
        <w:rPr>
          <w:b/>
          <w:lang w:val="en-CA"/>
        </w:rPr>
      </w:pPr>
      <w:r w:rsidRPr="00753E0B">
        <w:rPr>
          <w:b/>
          <w:lang w:val="en-CA"/>
        </w:rPr>
        <w:t>Summary</w:t>
      </w:r>
    </w:p>
    <w:p w14:paraId="0CC3EE28" w14:textId="7683B562" w:rsidR="009C7A46" w:rsidRPr="00753E0B" w:rsidRDefault="009C7A46" w:rsidP="00225A17">
      <w:pPr>
        <w:rPr>
          <w:b/>
          <w:lang w:val="en-CA"/>
        </w:rPr>
      </w:pPr>
    </w:p>
    <w:p w14:paraId="58B06E25" w14:textId="100368C2" w:rsidR="00DB2130" w:rsidRPr="00753E0B" w:rsidRDefault="005845AA" w:rsidP="00DB2130">
      <w:pPr>
        <w:rPr>
          <w:lang w:val="en-CA"/>
        </w:rPr>
      </w:pPr>
      <w:r>
        <w:rPr>
          <w:lang w:val="en-CA"/>
        </w:rPr>
        <w:t>25</w:t>
      </w:r>
      <w:r w:rsidR="002D4FDD" w:rsidRPr="00753E0B">
        <w:rPr>
          <w:lang w:val="en-CA"/>
        </w:rPr>
        <w:t>(</w:t>
      </w:r>
      <w:r w:rsidR="00CB7150" w:rsidRPr="00753E0B">
        <w:rPr>
          <w:lang w:val="en-CA"/>
        </w:rPr>
        <w:t>bis</w:t>
      </w:r>
      <w:r w:rsidR="002D4FDD" w:rsidRPr="00753E0B">
        <w:rPr>
          <w:lang w:val="en-CA"/>
        </w:rPr>
        <w:t xml:space="preserve">).   </w:t>
      </w:r>
      <w:r w:rsidR="00DB2130" w:rsidRPr="00753E0B">
        <w:rPr>
          <w:lang w:val="en-CA"/>
        </w:rPr>
        <w:t>Approximately two thirds of the CTC generated is converted in the CM production facilities to six non-ODS bulk chemicals: methyl chloride or hydrochloric acid (HCl), perchloroethylene (PCE), and chloroform; and minor quantities converted to HFC-245fa and HFC-365mfc. The conversion to PCE accounts for over half of the CTC converted by the CM producers, with methyl chloride or HCl accounting for a further 28 per cent and chloroform accounting for 16 per cent. The remaining approximately one third of the CTC generated is used as a feedstock by 21 registered feedstock users for the production of 11</w:t>
      </w:r>
      <w:r w:rsidR="00CB7150" w:rsidRPr="00753E0B">
        <w:rPr>
          <w:lang w:val="en-CA"/>
        </w:rPr>
        <w:t> </w:t>
      </w:r>
      <w:r w:rsidR="00DB2130" w:rsidRPr="00753E0B">
        <w:rPr>
          <w:lang w:val="en-CA"/>
        </w:rPr>
        <w:t>non</w:t>
      </w:r>
      <w:r w:rsidR="002D4FDD" w:rsidRPr="00753E0B">
        <w:rPr>
          <w:lang w:val="en-CA"/>
        </w:rPr>
        <w:noBreakHyphen/>
      </w:r>
      <w:r w:rsidR="00DB2130" w:rsidRPr="00753E0B">
        <w:rPr>
          <w:lang w:val="en-CA"/>
        </w:rPr>
        <w:t>ODS chemicals, with two chemicals— PCE and HFC-245fa—accounting for approximately 70</w:t>
      </w:r>
      <w:r w:rsidR="00CB7150" w:rsidRPr="00753E0B">
        <w:rPr>
          <w:lang w:val="en-CA"/>
        </w:rPr>
        <w:t> </w:t>
      </w:r>
      <w:r w:rsidR="00DB2130" w:rsidRPr="00753E0B">
        <w:rPr>
          <w:lang w:val="en-CA"/>
        </w:rPr>
        <w:t xml:space="preserve">per cent of that use. CTC is also used as a process agent and for laboratory and analytical uses that are given exemptions. Those uses accounted for less than 0.5 per cent of the CTC used in China. </w:t>
      </w:r>
    </w:p>
    <w:p w14:paraId="536FD7D5" w14:textId="77777777" w:rsidR="00783F60" w:rsidRPr="00753E0B" w:rsidRDefault="00783F60" w:rsidP="00DB2130">
      <w:pPr>
        <w:rPr>
          <w:lang w:val="en-CA"/>
        </w:rPr>
      </w:pPr>
    </w:p>
    <w:p w14:paraId="359FCE9E" w14:textId="205CEECA" w:rsidR="00783F60" w:rsidRPr="00753E0B" w:rsidRDefault="00783F60" w:rsidP="00783F60">
      <w:pPr>
        <w:pStyle w:val="ListParagraph"/>
        <w:numPr>
          <w:ilvl w:val="0"/>
          <w:numId w:val="45"/>
        </w:numPr>
        <w:rPr>
          <w:lang w:val="en-CA"/>
        </w:rPr>
      </w:pPr>
      <w:r w:rsidRPr="00753E0B">
        <w:rPr>
          <w:b/>
          <w:lang w:val="en-CA"/>
        </w:rPr>
        <w:t>Add</w:t>
      </w:r>
      <w:r w:rsidRPr="00753E0B">
        <w:rPr>
          <w:lang w:val="en-CA"/>
        </w:rPr>
        <w:t xml:space="preserve"> the following paragraphs after paragraph </w:t>
      </w:r>
      <w:r w:rsidR="005147BC" w:rsidRPr="00753E0B">
        <w:rPr>
          <w:lang w:val="en-CA"/>
        </w:rPr>
        <w:t>31</w:t>
      </w:r>
    </w:p>
    <w:p w14:paraId="4692BD08" w14:textId="1162A019" w:rsidR="00561D1D" w:rsidRPr="00753E0B" w:rsidRDefault="00561D1D" w:rsidP="00225A17">
      <w:pPr>
        <w:rPr>
          <w:u w:val="single"/>
          <w:lang w:val="en-CA"/>
        </w:rPr>
      </w:pPr>
    </w:p>
    <w:p w14:paraId="39BA6F79" w14:textId="752812C1" w:rsidR="0016516E" w:rsidRPr="00753E0B" w:rsidRDefault="005147BC" w:rsidP="005147BC">
      <w:pPr>
        <w:rPr>
          <w:lang w:val="en-CA"/>
        </w:rPr>
      </w:pPr>
      <w:r w:rsidRPr="00753E0B">
        <w:rPr>
          <w:lang w:val="en-CA"/>
        </w:rPr>
        <w:t>31</w:t>
      </w:r>
      <w:r w:rsidR="002D4FDD" w:rsidRPr="00753E0B">
        <w:rPr>
          <w:lang w:val="en-CA"/>
        </w:rPr>
        <w:t>(</w:t>
      </w:r>
      <w:r w:rsidRPr="00753E0B">
        <w:rPr>
          <w:lang w:val="en-CA"/>
        </w:rPr>
        <w:t>bis</w:t>
      </w:r>
      <w:r w:rsidR="002D4FDD" w:rsidRPr="00753E0B">
        <w:rPr>
          <w:lang w:val="en-CA"/>
        </w:rPr>
        <w:t xml:space="preserve">).   </w:t>
      </w:r>
      <w:r w:rsidR="00CB7150" w:rsidRPr="00753E0B">
        <w:rPr>
          <w:lang w:val="en-CA"/>
        </w:rPr>
        <w:t>T</w:t>
      </w:r>
      <w:r w:rsidR="0016516E" w:rsidRPr="00753E0B">
        <w:rPr>
          <w:lang w:val="en-CA"/>
        </w:rPr>
        <w:t xml:space="preserve">he World Bank </w:t>
      </w:r>
      <w:r w:rsidR="0016516E" w:rsidRPr="00753E0B">
        <w:rPr>
          <w:i/>
          <w:lang w:val="en-CA"/>
        </w:rPr>
        <w:t xml:space="preserve">inter alia </w:t>
      </w:r>
      <w:r w:rsidR="0016516E" w:rsidRPr="00753E0B">
        <w:rPr>
          <w:lang w:val="en-CA"/>
        </w:rPr>
        <w:t>clarified:</w:t>
      </w:r>
    </w:p>
    <w:p w14:paraId="7F237BD8" w14:textId="77777777" w:rsidR="0016516E" w:rsidRPr="00753E0B" w:rsidRDefault="0016516E" w:rsidP="0016516E">
      <w:pPr>
        <w:rPr>
          <w:lang w:val="en-CA"/>
        </w:rPr>
      </w:pPr>
    </w:p>
    <w:p w14:paraId="40534668" w14:textId="6641CB34" w:rsidR="0016516E" w:rsidRPr="00753E0B" w:rsidRDefault="0016516E" w:rsidP="0016516E">
      <w:pPr>
        <w:numPr>
          <w:ilvl w:val="1"/>
          <w:numId w:val="1"/>
        </w:numPr>
        <w:rPr>
          <w:lang w:val="en-CA"/>
        </w:rPr>
      </w:pPr>
      <w:r w:rsidRPr="00753E0B">
        <w:rPr>
          <w:lang w:val="en-CA"/>
        </w:rPr>
        <w:t>The Government requires feedstock producers and users to report their production and consumption to FECO on a quarterly basis. CM producers cannot sell CTC to non</w:t>
      </w:r>
      <w:r w:rsidR="00753E0B">
        <w:rPr>
          <w:lang w:val="en-CA"/>
        </w:rPr>
        <w:noBreakHyphen/>
      </w:r>
      <w:r w:rsidRPr="00753E0B">
        <w:rPr>
          <w:lang w:val="en-CA"/>
        </w:rPr>
        <w:t>registered feedstock users. Feedstock users are not allowed to sell CTC and can only use it for the use for which they were registered and that is specified in their environmental impact assessment (EIA);</w:t>
      </w:r>
    </w:p>
    <w:p w14:paraId="32DA317D" w14:textId="77777777" w:rsidR="005147BC" w:rsidRPr="00753E0B" w:rsidRDefault="005147BC" w:rsidP="005147BC">
      <w:pPr>
        <w:ind w:left="1440"/>
        <w:rPr>
          <w:lang w:val="en-CA"/>
        </w:rPr>
      </w:pPr>
    </w:p>
    <w:p w14:paraId="55C0C844" w14:textId="549B3AFD" w:rsidR="0016516E" w:rsidRPr="00753E0B" w:rsidRDefault="0016516E" w:rsidP="00CB7150">
      <w:pPr>
        <w:keepNext/>
        <w:keepLines/>
        <w:numPr>
          <w:ilvl w:val="1"/>
          <w:numId w:val="1"/>
        </w:numPr>
        <w:rPr>
          <w:lang w:val="en-CA"/>
        </w:rPr>
      </w:pPr>
      <w:r w:rsidRPr="00753E0B">
        <w:rPr>
          <w:lang w:val="en-CA"/>
        </w:rPr>
        <w:lastRenderedPageBreak/>
        <w:t>All CM producers have to be registered with FECO;</w:t>
      </w:r>
    </w:p>
    <w:p w14:paraId="3AC2FE2E" w14:textId="77777777" w:rsidR="005147BC" w:rsidRPr="00753E0B" w:rsidRDefault="005147BC" w:rsidP="00CB7150">
      <w:pPr>
        <w:pStyle w:val="ListParagraph"/>
        <w:keepNext/>
        <w:keepLines/>
        <w:rPr>
          <w:lang w:val="en-CA"/>
        </w:rPr>
      </w:pPr>
    </w:p>
    <w:p w14:paraId="5FCFB34A" w14:textId="7157346B" w:rsidR="0016516E" w:rsidRPr="00753E0B" w:rsidRDefault="0016516E" w:rsidP="00CB7150">
      <w:pPr>
        <w:keepNext/>
        <w:keepLines/>
        <w:numPr>
          <w:ilvl w:val="1"/>
          <w:numId w:val="1"/>
        </w:numPr>
        <w:rPr>
          <w:lang w:val="en-CA"/>
        </w:rPr>
      </w:pPr>
      <w:r w:rsidRPr="00753E0B">
        <w:rPr>
          <w:lang w:val="en-CA"/>
        </w:rPr>
        <w:t>Only three CMs producers are allowed to sell CTC for feedstock uses as they were part of the original producers covered by the CTC phase-out and historically sold CTC for feedstock uses prior to 2010;</w:t>
      </w:r>
    </w:p>
    <w:p w14:paraId="67A19AB8" w14:textId="77777777" w:rsidR="005147BC" w:rsidRPr="00753E0B" w:rsidRDefault="005147BC" w:rsidP="005147BC">
      <w:pPr>
        <w:pStyle w:val="ListParagraph"/>
        <w:rPr>
          <w:lang w:val="en-CA"/>
        </w:rPr>
      </w:pPr>
    </w:p>
    <w:p w14:paraId="3E1E0EE0" w14:textId="77777777" w:rsidR="0016516E" w:rsidRPr="00753E0B" w:rsidRDefault="0016516E" w:rsidP="0016516E">
      <w:pPr>
        <w:numPr>
          <w:ilvl w:val="1"/>
          <w:numId w:val="1"/>
        </w:numPr>
        <w:rPr>
          <w:lang w:val="en-CA"/>
        </w:rPr>
      </w:pPr>
      <w:r w:rsidRPr="00753E0B">
        <w:rPr>
          <w:lang w:val="en-CA"/>
        </w:rPr>
        <w:t>All CM producers must have conversion facilities to convert the CTC by-produced to other products, destroy excess CTC, or send the excess CTC to an accredited waste management facility for disposal. CMs producers are required to report the amount of residue produced, disposed, and stored to local Ecology and Environment Bureaus (EEBs);</w:t>
      </w:r>
    </w:p>
    <w:p w14:paraId="0BE5DC5F" w14:textId="77777777" w:rsidR="005147BC" w:rsidRPr="00753E0B" w:rsidRDefault="005147BC" w:rsidP="005147BC">
      <w:pPr>
        <w:ind w:left="1440"/>
        <w:rPr>
          <w:lang w:val="en-CA"/>
        </w:rPr>
      </w:pPr>
    </w:p>
    <w:p w14:paraId="222D7DEB" w14:textId="0F4602CB" w:rsidR="0016516E" w:rsidRPr="00753E0B" w:rsidRDefault="0016516E" w:rsidP="0016516E">
      <w:pPr>
        <w:numPr>
          <w:ilvl w:val="1"/>
          <w:numId w:val="1"/>
        </w:numPr>
        <w:rPr>
          <w:lang w:val="en-CA"/>
        </w:rPr>
      </w:pPr>
      <w:r w:rsidRPr="00753E0B">
        <w:rPr>
          <w:lang w:val="en-CA"/>
        </w:rPr>
        <w:t xml:space="preserve">There are no specific requirements for CTC emissions but for volatile organic hydrocarbons (VOCs), which includes CTC, a known carcinogen. Accordingly, enterprises, including the CM production facilities, do not monitor CTC emissions directly; rather, emissions of VOCs are monitored, including by local EEBs. There are no norms for levels of CTC emissions for storage, transport and handling of CTC; </w:t>
      </w:r>
    </w:p>
    <w:p w14:paraId="25581AE8" w14:textId="77777777" w:rsidR="005147BC" w:rsidRPr="00753E0B" w:rsidRDefault="005147BC" w:rsidP="005147BC">
      <w:pPr>
        <w:ind w:left="1440"/>
        <w:rPr>
          <w:lang w:val="en-CA"/>
        </w:rPr>
      </w:pPr>
    </w:p>
    <w:p w14:paraId="17FDBB2B" w14:textId="648E89A1" w:rsidR="005147BC" w:rsidRPr="00753E0B" w:rsidRDefault="0016516E" w:rsidP="003B2922">
      <w:pPr>
        <w:numPr>
          <w:ilvl w:val="1"/>
          <w:numId w:val="1"/>
        </w:numPr>
        <w:rPr>
          <w:lang w:val="en-CA"/>
        </w:rPr>
      </w:pPr>
      <w:r w:rsidRPr="00753E0B">
        <w:rPr>
          <w:lang w:val="en-CA"/>
        </w:rPr>
        <w:t>Feedstock users submit an EIA, and information on the CTC used and final products manufactured, as part of the annual registration process. CM producers that convert CTC have to follow the same process and must provide information on CTC used to FECO on a quarterly basis;</w:t>
      </w:r>
      <w:r w:rsidR="005147BC" w:rsidRPr="00753E0B">
        <w:rPr>
          <w:lang w:val="en-CA"/>
        </w:rPr>
        <w:t xml:space="preserve"> </w:t>
      </w:r>
    </w:p>
    <w:p w14:paraId="3E4F290A" w14:textId="77777777" w:rsidR="005147BC" w:rsidRPr="00753E0B" w:rsidRDefault="005147BC" w:rsidP="005147BC">
      <w:pPr>
        <w:pStyle w:val="ListParagraph"/>
        <w:rPr>
          <w:lang w:val="en-CA"/>
        </w:rPr>
      </w:pPr>
    </w:p>
    <w:p w14:paraId="0FA498EE" w14:textId="166A1B9C" w:rsidR="006E55BA" w:rsidRPr="00753E0B" w:rsidRDefault="0016516E" w:rsidP="003B2922">
      <w:pPr>
        <w:numPr>
          <w:ilvl w:val="1"/>
          <w:numId w:val="1"/>
        </w:numPr>
        <w:rPr>
          <w:lang w:val="en-CA"/>
        </w:rPr>
      </w:pPr>
      <w:r w:rsidRPr="00753E0B">
        <w:rPr>
          <w:lang w:val="en-CA"/>
        </w:rPr>
        <w:t>There are eight dealers registered with FECO that are allowed to sell CTC to registered feedstock users and among themselves. Sales are reported to FECO</w:t>
      </w:r>
      <w:r w:rsidR="001D1808" w:rsidRPr="00753E0B">
        <w:rPr>
          <w:lang w:val="en-CA"/>
        </w:rPr>
        <w:t>; and</w:t>
      </w:r>
    </w:p>
    <w:p w14:paraId="52C7794D" w14:textId="77777777" w:rsidR="001D1808" w:rsidRPr="00753E0B" w:rsidRDefault="001D1808" w:rsidP="001D1808">
      <w:pPr>
        <w:pStyle w:val="ListParagraph"/>
        <w:rPr>
          <w:lang w:val="en-CA"/>
        </w:rPr>
      </w:pPr>
    </w:p>
    <w:p w14:paraId="7FB1FF3E" w14:textId="6DC00F11" w:rsidR="001D1808" w:rsidRPr="00753E0B" w:rsidRDefault="001D1808" w:rsidP="003B2922">
      <w:pPr>
        <w:numPr>
          <w:ilvl w:val="1"/>
          <w:numId w:val="1"/>
        </w:numPr>
        <w:rPr>
          <w:lang w:val="en-CA"/>
        </w:rPr>
      </w:pPr>
      <w:r w:rsidRPr="00753E0B">
        <w:rPr>
          <w:rFonts w:eastAsiaTheme="minorEastAsia"/>
          <w:lang w:val="en-CA"/>
        </w:rPr>
        <w:t>Notwithstanding the increased production of HFC-245fa, HFC-365mfc and HFC</w:t>
      </w:r>
      <w:r w:rsidRPr="00753E0B">
        <w:rPr>
          <w:rFonts w:eastAsiaTheme="minorEastAsia"/>
          <w:lang w:val="en-CA"/>
        </w:rPr>
        <w:noBreakHyphen/>
        <w:t>236fa between 2015 and 2017, there is substantial spare capacity for those chemicals in China. All three production processes are liquid-phase reactions.</w:t>
      </w:r>
    </w:p>
    <w:p w14:paraId="4DA36271" w14:textId="77777777" w:rsidR="001D1808" w:rsidRPr="00753E0B" w:rsidRDefault="001D1808" w:rsidP="001D1808">
      <w:pPr>
        <w:pStyle w:val="ListParagraph"/>
        <w:rPr>
          <w:lang w:val="en-CA"/>
        </w:rPr>
      </w:pPr>
    </w:p>
    <w:p w14:paraId="1F1AE1EA" w14:textId="4BA53E34" w:rsidR="001D1808" w:rsidRPr="00753E0B" w:rsidRDefault="001D1808" w:rsidP="001D1808">
      <w:pPr>
        <w:pStyle w:val="ListParagraph"/>
        <w:numPr>
          <w:ilvl w:val="0"/>
          <w:numId w:val="45"/>
        </w:numPr>
        <w:rPr>
          <w:lang w:val="en-CA"/>
        </w:rPr>
      </w:pPr>
      <w:r w:rsidRPr="00753E0B">
        <w:rPr>
          <w:b/>
          <w:lang w:val="en-CA"/>
        </w:rPr>
        <w:t>Add</w:t>
      </w:r>
      <w:r w:rsidRPr="00753E0B">
        <w:rPr>
          <w:lang w:val="en-CA"/>
        </w:rPr>
        <w:t xml:space="preserve"> the following sentence </w:t>
      </w:r>
      <w:r w:rsidR="002D4FDD" w:rsidRPr="00753E0B">
        <w:rPr>
          <w:lang w:val="en-CA"/>
        </w:rPr>
        <w:t>at</w:t>
      </w:r>
      <w:r w:rsidRPr="00753E0B">
        <w:rPr>
          <w:lang w:val="en-CA"/>
        </w:rPr>
        <w:t xml:space="preserve"> the end of paragraph 32</w:t>
      </w:r>
    </w:p>
    <w:p w14:paraId="2D55DBCB" w14:textId="77777777" w:rsidR="001D1808" w:rsidRPr="00753E0B" w:rsidRDefault="001D1808" w:rsidP="001D1808">
      <w:pPr>
        <w:pStyle w:val="ListParagraph"/>
        <w:ind w:left="360"/>
        <w:rPr>
          <w:lang w:val="en-CA"/>
        </w:rPr>
      </w:pPr>
    </w:p>
    <w:p w14:paraId="7C0F0020" w14:textId="32CE7627" w:rsidR="001D1808" w:rsidRPr="00753E0B" w:rsidRDefault="00F37AD6" w:rsidP="00F37AD6">
      <w:pPr>
        <w:pStyle w:val="Heading1"/>
        <w:numPr>
          <w:ilvl w:val="0"/>
          <w:numId w:val="0"/>
        </w:numPr>
        <w:rPr>
          <w:lang w:val="en-CA"/>
        </w:rPr>
      </w:pPr>
      <w:r w:rsidRPr="00753E0B">
        <w:rPr>
          <w:lang w:val="en-CA"/>
        </w:rPr>
        <w:t>The Government considers the existing monitoring system, which does not use material use ratios due to the complexity of the industry in China, adequate.</w:t>
      </w:r>
    </w:p>
    <w:p w14:paraId="7D9308A0" w14:textId="1DBBBC11" w:rsidR="000E45FB" w:rsidRPr="00753E0B" w:rsidRDefault="000E45FB" w:rsidP="000E45FB">
      <w:pPr>
        <w:pStyle w:val="ListParagraph"/>
        <w:numPr>
          <w:ilvl w:val="0"/>
          <w:numId w:val="45"/>
        </w:numPr>
        <w:rPr>
          <w:lang w:val="en-CA"/>
        </w:rPr>
      </w:pPr>
      <w:r w:rsidRPr="00753E0B">
        <w:rPr>
          <w:b/>
          <w:lang w:val="en-CA"/>
        </w:rPr>
        <w:t>Add</w:t>
      </w:r>
      <w:r w:rsidRPr="00753E0B">
        <w:rPr>
          <w:lang w:val="en-CA"/>
        </w:rPr>
        <w:t xml:space="preserve"> the followi</w:t>
      </w:r>
      <w:r w:rsidR="00CB7150" w:rsidRPr="00753E0B">
        <w:rPr>
          <w:lang w:val="en-CA"/>
        </w:rPr>
        <w:t>ng paragraph after paragraph 36</w:t>
      </w:r>
    </w:p>
    <w:p w14:paraId="35977316" w14:textId="6A84525B" w:rsidR="000E45FB" w:rsidRPr="00753E0B" w:rsidRDefault="000E45FB" w:rsidP="000E45FB">
      <w:pPr>
        <w:rPr>
          <w:lang w:val="en-CA"/>
        </w:rPr>
      </w:pPr>
    </w:p>
    <w:p w14:paraId="7158568E" w14:textId="33C91D0B" w:rsidR="000E45FB" w:rsidRPr="00753E0B" w:rsidRDefault="000E45FB" w:rsidP="000E45FB">
      <w:pPr>
        <w:rPr>
          <w:lang w:val="en-CA"/>
        </w:rPr>
      </w:pPr>
      <w:r w:rsidRPr="00753E0B">
        <w:rPr>
          <w:lang w:val="en-CA"/>
        </w:rPr>
        <w:t>36</w:t>
      </w:r>
      <w:r w:rsidR="002D4FDD" w:rsidRPr="00753E0B">
        <w:rPr>
          <w:lang w:val="en-CA"/>
        </w:rPr>
        <w:t>(</w:t>
      </w:r>
      <w:r w:rsidRPr="00753E0B">
        <w:rPr>
          <w:lang w:val="en-CA"/>
        </w:rPr>
        <w:t>bis</w:t>
      </w:r>
      <w:r w:rsidR="002D4FDD" w:rsidRPr="00753E0B">
        <w:rPr>
          <w:lang w:val="en-CA"/>
        </w:rPr>
        <w:t>)</w:t>
      </w:r>
      <w:r w:rsidR="00415AD6" w:rsidRPr="00753E0B">
        <w:rPr>
          <w:lang w:val="en-CA"/>
        </w:rPr>
        <w:t>.</w:t>
      </w:r>
      <w:r w:rsidR="002D4FDD" w:rsidRPr="00753E0B">
        <w:rPr>
          <w:lang w:val="en-CA"/>
        </w:rPr>
        <w:t xml:space="preserve">   </w:t>
      </w:r>
      <w:r w:rsidR="00CB7150" w:rsidRPr="00753E0B">
        <w:rPr>
          <w:lang w:val="en-CA"/>
        </w:rPr>
        <w:t>T</w:t>
      </w:r>
      <w:r w:rsidRPr="00753E0B">
        <w:rPr>
          <w:lang w:val="en-CA"/>
        </w:rPr>
        <w:t>he Secretariat also noted that an additional scientific report published on resolving the budget discrepancy of CTC emissions from China in Atmospheric Chemistry and Physics in August 2018</w:t>
      </w:r>
      <w:r w:rsidRPr="00753E0B">
        <w:rPr>
          <w:rStyle w:val="FootnoteReference"/>
          <w:lang w:val="en-CA"/>
        </w:rPr>
        <w:footnoteReference w:id="1"/>
      </w:r>
      <w:r w:rsidR="00BE5B5C" w:rsidRPr="00753E0B">
        <w:rPr>
          <w:vertAlign w:val="superscript"/>
          <w:lang w:val="en-CA"/>
        </w:rPr>
        <w:t>(bis)</w:t>
      </w:r>
      <w:r w:rsidRPr="00753E0B">
        <w:rPr>
          <w:lang w:val="en-CA"/>
        </w:rPr>
        <w:t xml:space="preserve"> suggested that approximately 89 per cent of the CTC enhancements observed in that study are related to CTC emissions from the production on methyl chloride, methylene chloride, chloroform, and PCE and its use as a feedstock and process agent in chemical manufacturing industries.</w:t>
      </w:r>
    </w:p>
    <w:p w14:paraId="6846E469" w14:textId="77777777" w:rsidR="000E45FB" w:rsidRPr="00753E0B" w:rsidRDefault="000E45FB" w:rsidP="00CB7150">
      <w:pPr>
        <w:rPr>
          <w:lang w:val="en-CA"/>
        </w:rPr>
      </w:pPr>
    </w:p>
    <w:p w14:paraId="236129C8" w14:textId="0F31C238" w:rsidR="00F37AD6" w:rsidRPr="00753E0B" w:rsidRDefault="00F37AD6" w:rsidP="00CB7150">
      <w:pPr>
        <w:pStyle w:val="ListParagraph"/>
        <w:numPr>
          <w:ilvl w:val="0"/>
          <w:numId w:val="45"/>
        </w:numPr>
        <w:rPr>
          <w:lang w:val="en-CA"/>
        </w:rPr>
      </w:pPr>
      <w:r w:rsidRPr="00753E0B">
        <w:rPr>
          <w:b/>
          <w:lang w:val="en-CA"/>
        </w:rPr>
        <w:t>Add</w:t>
      </w:r>
      <w:r w:rsidRPr="00753E0B">
        <w:rPr>
          <w:lang w:val="en-CA"/>
        </w:rPr>
        <w:t xml:space="preserve"> the following </w:t>
      </w:r>
      <w:r w:rsidR="00A53A83" w:rsidRPr="00753E0B">
        <w:rPr>
          <w:lang w:val="en-CA"/>
        </w:rPr>
        <w:t>paragraphs after</w:t>
      </w:r>
      <w:r w:rsidRPr="00753E0B">
        <w:rPr>
          <w:lang w:val="en-CA"/>
        </w:rPr>
        <w:t xml:space="preserve"> paragraph </w:t>
      </w:r>
      <w:r w:rsidR="00A53A83" w:rsidRPr="00753E0B">
        <w:rPr>
          <w:lang w:val="en-CA"/>
        </w:rPr>
        <w:t>37</w:t>
      </w:r>
    </w:p>
    <w:p w14:paraId="155C079A" w14:textId="2FAA8F5C" w:rsidR="00F37AD6" w:rsidRPr="00753E0B" w:rsidRDefault="00F37AD6" w:rsidP="00CB7150">
      <w:pPr>
        <w:rPr>
          <w:lang w:val="en-CA"/>
        </w:rPr>
      </w:pPr>
    </w:p>
    <w:p w14:paraId="45EE53BE" w14:textId="7658239F" w:rsidR="00A53A83" w:rsidRPr="00753E0B" w:rsidRDefault="00A53A83" w:rsidP="00CB7150">
      <w:pPr>
        <w:pStyle w:val="Heading1"/>
        <w:numPr>
          <w:ilvl w:val="0"/>
          <w:numId w:val="0"/>
        </w:numPr>
        <w:rPr>
          <w:lang w:val="en-CA"/>
        </w:rPr>
      </w:pPr>
      <w:r w:rsidRPr="00753E0B">
        <w:rPr>
          <w:lang w:val="en-CA"/>
        </w:rPr>
        <w:t>37</w:t>
      </w:r>
      <w:r w:rsidR="002D4FDD" w:rsidRPr="00753E0B">
        <w:rPr>
          <w:lang w:val="en-CA"/>
        </w:rPr>
        <w:t>(</w:t>
      </w:r>
      <w:r w:rsidRPr="00753E0B">
        <w:rPr>
          <w:lang w:val="en-CA"/>
        </w:rPr>
        <w:t>bis</w:t>
      </w:r>
      <w:r w:rsidR="002D4FDD" w:rsidRPr="00753E0B">
        <w:rPr>
          <w:lang w:val="en-CA"/>
        </w:rPr>
        <w:t xml:space="preserve">).   </w:t>
      </w:r>
      <w:r w:rsidR="00CB7150" w:rsidRPr="00753E0B">
        <w:rPr>
          <w:lang w:val="en-CA"/>
        </w:rPr>
        <w:t>T</w:t>
      </w:r>
      <w:r w:rsidRPr="00753E0B">
        <w:rPr>
          <w:lang w:val="en-CA"/>
        </w:rPr>
        <w:t>he World Bank clarified that while the acetylene chlorination route is the preferred technology in China to produce PCE, one PCE producer and eight CM producers, one of which is also a registered CTC feedstock user, use the alkane chlorination route. The PCE producer that uses the alkane chlorination route is neither a registered CTC producer or user as CTC is produced and used in a closed loop.</w:t>
      </w:r>
    </w:p>
    <w:p w14:paraId="630F725E" w14:textId="79B847F2" w:rsidR="00A53A83" w:rsidRPr="00753E0B" w:rsidRDefault="00A53A83" w:rsidP="00A53A83">
      <w:pPr>
        <w:pStyle w:val="Heading1"/>
        <w:numPr>
          <w:ilvl w:val="0"/>
          <w:numId w:val="0"/>
        </w:numPr>
        <w:rPr>
          <w:lang w:val="en-CA"/>
        </w:rPr>
      </w:pPr>
      <w:r w:rsidRPr="00753E0B">
        <w:rPr>
          <w:lang w:val="en-CA"/>
        </w:rPr>
        <w:lastRenderedPageBreak/>
        <w:t>37</w:t>
      </w:r>
      <w:r w:rsidR="002D4FDD" w:rsidRPr="00753E0B">
        <w:rPr>
          <w:lang w:val="en-CA"/>
        </w:rPr>
        <w:t>(</w:t>
      </w:r>
      <w:r w:rsidRPr="00753E0B">
        <w:rPr>
          <w:lang w:val="en-CA"/>
        </w:rPr>
        <w:t>ter</w:t>
      </w:r>
      <w:r w:rsidR="002D4FDD" w:rsidRPr="00753E0B">
        <w:rPr>
          <w:lang w:val="en-CA"/>
        </w:rPr>
        <w:t xml:space="preserve">).   </w:t>
      </w:r>
      <w:r w:rsidR="005845AA">
        <w:rPr>
          <w:lang w:val="en-CA"/>
        </w:rPr>
        <w:t>The Government</w:t>
      </w:r>
      <w:r w:rsidRPr="00753E0B">
        <w:rPr>
          <w:lang w:val="en-CA"/>
        </w:rPr>
        <w:t xml:space="preserve"> is considering to require PCE producers that produce CTC as an intermediate product to register in the future. This new requirement would only apply to PCE producers that use the </w:t>
      </w:r>
      <w:r w:rsidR="00CB7150" w:rsidRPr="00753E0B">
        <w:rPr>
          <w:lang w:val="en-CA"/>
        </w:rPr>
        <w:t>C1</w:t>
      </w:r>
      <w:r w:rsidR="001C02AE">
        <w:rPr>
          <w:lang w:val="en-CA"/>
        </w:rPr>
        <w:noBreakHyphen/>
      </w:r>
      <w:r w:rsidR="00CB7150" w:rsidRPr="00753E0B">
        <w:rPr>
          <w:lang w:val="en-CA"/>
        </w:rPr>
        <w:t>C3 alkane chlorination route, and</w:t>
      </w:r>
      <w:r w:rsidRPr="00753E0B">
        <w:rPr>
          <w:lang w:val="en-CA"/>
        </w:rPr>
        <w:t xml:space="preserve"> would not apply to </w:t>
      </w:r>
      <w:r w:rsidR="00CB7150" w:rsidRPr="00753E0B">
        <w:rPr>
          <w:lang w:val="en-CA"/>
        </w:rPr>
        <w:t>produc</w:t>
      </w:r>
      <w:r w:rsidRPr="00753E0B">
        <w:rPr>
          <w:lang w:val="en-CA"/>
        </w:rPr>
        <w:t>ers that use the acetylene chlorination method as no CTC is used or generated in that process. CM producers that use the C1-C3 alkane chlorination route are already required to register and provide quarterly data to FECO, including both the quantity of CTC used and the quantity of PCE produced.</w:t>
      </w:r>
    </w:p>
    <w:p w14:paraId="6B11904F" w14:textId="483D0163" w:rsidR="002D4FDD" w:rsidRPr="00753E0B" w:rsidRDefault="002D4FDD" w:rsidP="002D4FDD">
      <w:pPr>
        <w:rPr>
          <w:lang w:val="en-CA"/>
        </w:rPr>
      </w:pPr>
    </w:p>
    <w:p w14:paraId="676B0F80" w14:textId="77777777" w:rsidR="002D4FDD" w:rsidRPr="00753E0B" w:rsidRDefault="002D4FDD" w:rsidP="002D4FDD">
      <w:pPr>
        <w:rPr>
          <w:lang w:val="en-CA"/>
        </w:rPr>
      </w:pPr>
    </w:p>
    <w:p w14:paraId="40300F83" w14:textId="2811BE5D" w:rsidR="002D4FDD" w:rsidRPr="00753E0B" w:rsidRDefault="002D4FDD" w:rsidP="002D4FDD">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D4FDD" w:rsidRPr="00753E0B" w14:paraId="5C57019F" w14:textId="77777777" w:rsidTr="002D4FDD">
        <w:tc>
          <w:tcPr>
            <w:tcW w:w="1870" w:type="dxa"/>
          </w:tcPr>
          <w:p w14:paraId="2B006DE7" w14:textId="77777777" w:rsidR="002D4FDD" w:rsidRPr="00753E0B" w:rsidRDefault="002D4FDD" w:rsidP="002D4FDD">
            <w:pPr>
              <w:rPr>
                <w:lang w:val="en-CA"/>
              </w:rPr>
            </w:pPr>
          </w:p>
        </w:tc>
        <w:tc>
          <w:tcPr>
            <w:tcW w:w="1870" w:type="dxa"/>
          </w:tcPr>
          <w:p w14:paraId="4A84F748" w14:textId="77777777" w:rsidR="002D4FDD" w:rsidRPr="00753E0B" w:rsidRDefault="002D4FDD" w:rsidP="002D4FDD">
            <w:pPr>
              <w:rPr>
                <w:lang w:val="en-CA"/>
              </w:rPr>
            </w:pPr>
          </w:p>
        </w:tc>
        <w:tc>
          <w:tcPr>
            <w:tcW w:w="1870" w:type="dxa"/>
            <w:tcBorders>
              <w:bottom w:val="single" w:sz="4" w:space="0" w:color="auto"/>
            </w:tcBorders>
          </w:tcPr>
          <w:p w14:paraId="6A0F601E" w14:textId="77777777" w:rsidR="002D4FDD" w:rsidRPr="00753E0B" w:rsidRDefault="002D4FDD" w:rsidP="002D4FDD">
            <w:pPr>
              <w:rPr>
                <w:lang w:val="en-CA"/>
              </w:rPr>
            </w:pPr>
          </w:p>
        </w:tc>
        <w:tc>
          <w:tcPr>
            <w:tcW w:w="1870" w:type="dxa"/>
          </w:tcPr>
          <w:p w14:paraId="6AE74C5E" w14:textId="77777777" w:rsidR="002D4FDD" w:rsidRPr="00753E0B" w:rsidRDefault="002D4FDD" w:rsidP="002D4FDD">
            <w:pPr>
              <w:rPr>
                <w:lang w:val="en-CA"/>
              </w:rPr>
            </w:pPr>
          </w:p>
        </w:tc>
        <w:tc>
          <w:tcPr>
            <w:tcW w:w="1870" w:type="dxa"/>
          </w:tcPr>
          <w:p w14:paraId="46699A73" w14:textId="77777777" w:rsidR="002D4FDD" w:rsidRPr="00753E0B" w:rsidRDefault="002D4FDD" w:rsidP="002D4FDD">
            <w:pPr>
              <w:rPr>
                <w:lang w:val="en-CA"/>
              </w:rPr>
            </w:pPr>
          </w:p>
        </w:tc>
      </w:tr>
    </w:tbl>
    <w:p w14:paraId="4BC0CA87" w14:textId="77777777" w:rsidR="002D4FDD" w:rsidRPr="00753E0B" w:rsidRDefault="002D4FDD" w:rsidP="002D4FDD">
      <w:pPr>
        <w:rPr>
          <w:lang w:val="en-CA"/>
        </w:rPr>
      </w:pPr>
    </w:p>
    <w:sectPr w:rsidR="002D4FDD" w:rsidRPr="00753E0B" w:rsidSect="00C8688D">
      <w:headerReference w:type="even" r:id="rId12"/>
      <w:headerReference w:type="default" r:id="rId13"/>
      <w:footerReference w:type="even" r:id="rId14"/>
      <w:footerReference w:type="default" r:id="rId15"/>
      <w:footnotePr>
        <w:numStart w:val="10"/>
      </w:footnotePr>
      <w:pgSz w:w="12240" w:h="15840" w:code="1"/>
      <w:pgMar w:top="720" w:right="1440" w:bottom="709" w:left="1440" w:header="720" w:footer="4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75E18" w16cid:durableId="218E0784"/>
  <w16cid:commentId w16cid:paraId="23D72A71" w16cid:durableId="218E0E08"/>
  <w16cid:commentId w16cid:paraId="0AA959AA" w16cid:durableId="218E19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0F70" w14:textId="77777777" w:rsidR="00717BDF" w:rsidRDefault="00717BDF" w:rsidP="004A504B">
      <w:r>
        <w:separator/>
      </w:r>
    </w:p>
  </w:endnote>
  <w:endnote w:type="continuationSeparator" w:id="0">
    <w:p w14:paraId="4F4B94D4" w14:textId="77777777" w:rsidR="00717BDF" w:rsidRDefault="00717BD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2C48" w14:textId="435AE953" w:rsidR="00EC3EF2" w:rsidRDefault="00EC3EF2">
    <w:pPr>
      <w:jc w:val="center"/>
      <w:rPr>
        <w:noProof/>
      </w:rPr>
    </w:pPr>
    <w:r>
      <w:fldChar w:fldCharType="begin"/>
    </w:r>
    <w:r>
      <w:instrText xml:space="preserve"> PAGE </w:instrText>
    </w:r>
    <w:r>
      <w:fldChar w:fldCharType="separate"/>
    </w:r>
    <w:r w:rsidR="00E4034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E863" w14:textId="0BCBEBA7" w:rsidR="00EC3EF2" w:rsidRPr="0033525D" w:rsidRDefault="00EC3EF2">
    <w:pPr>
      <w:jc w:val="center"/>
    </w:pPr>
    <w:r>
      <w:fldChar w:fldCharType="begin"/>
    </w:r>
    <w:r>
      <w:instrText xml:space="preserve"> PAGE </w:instrText>
    </w:r>
    <w:r>
      <w:fldChar w:fldCharType="separate"/>
    </w:r>
    <w:r w:rsidR="00E403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97DB" w14:textId="77777777" w:rsidR="00717BDF" w:rsidRDefault="00717BDF" w:rsidP="004A504B">
      <w:r>
        <w:separator/>
      </w:r>
    </w:p>
  </w:footnote>
  <w:footnote w:type="continuationSeparator" w:id="0">
    <w:p w14:paraId="202AB840" w14:textId="77777777" w:rsidR="00717BDF" w:rsidRDefault="00717BDF" w:rsidP="004A504B">
      <w:r>
        <w:continuationSeparator/>
      </w:r>
    </w:p>
  </w:footnote>
  <w:footnote w:id="1">
    <w:p w14:paraId="521E4902" w14:textId="031996FD" w:rsidR="000E45FB" w:rsidRDefault="000E45FB">
      <w:pPr>
        <w:pStyle w:val="FootnoteText"/>
      </w:pPr>
      <w:r>
        <w:rPr>
          <w:rStyle w:val="FootnoteReference"/>
        </w:rPr>
        <w:footnoteRef/>
      </w:r>
      <w:r w:rsidR="00BE5B5C" w:rsidRPr="00BE5B5C">
        <w:rPr>
          <w:vertAlign w:val="superscript"/>
        </w:rPr>
        <w:t>(bis)</w:t>
      </w:r>
      <w:r w:rsidR="00CB7150" w:rsidRPr="00CB7150">
        <w:t xml:space="preserve"> </w:t>
      </w:r>
      <w:r w:rsidRPr="000E45FB">
        <w:t>Park S., Li S., Mühle J, O'Doherty S, Weiss RF, Fang X., Reimann S., Prinn RG.</w:t>
      </w:r>
      <w:r>
        <w:t xml:space="preserve"> (2018)</w:t>
      </w:r>
      <w:r w:rsidRPr="000E45FB">
        <w:t xml:space="preserve">: </w:t>
      </w:r>
      <w:r>
        <w:t>T</w:t>
      </w:r>
      <w:r w:rsidRPr="000E45FB">
        <w:t>oward resolving the budget discrepancy of ozone-depleting carbon tetrachloride (CCl4): an analysis of top-down emissions from China</w:t>
      </w:r>
      <w:r>
        <w:t xml:space="preserve">.  </w:t>
      </w:r>
      <w:r w:rsidRPr="000E45FB">
        <w:rPr>
          <w:i/>
        </w:rPr>
        <w:t>Atmospheric Chemistry and Physics</w:t>
      </w:r>
      <w:r>
        <w:rPr>
          <w:i/>
        </w:rPr>
        <w:t xml:space="preserve">, 18. </w:t>
      </w:r>
      <w:hyperlink r:id="rId1" w:history="1">
        <w:r w:rsidR="00415AD6" w:rsidRPr="00E757A9">
          <w:rPr>
            <w:rStyle w:val="Hyperlink"/>
          </w:rPr>
          <w:t>https://doi.org/10.5194/acp-18-11729-2018</w:t>
        </w:r>
      </w:hyperlink>
    </w:p>
    <w:p w14:paraId="60767BD4" w14:textId="77777777" w:rsidR="00415AD6" w:rsidRPr="00A632BD" w:rsidRDefault="00415AD6">
      <w:pPr>
        <w:pStyle w:val="FootnoteText"/>
        <w:rPr>
          <w:lang w:val="en-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E416" w14:textId="1B5C6E20" w:rsidR="00EC3EF2" w:rsidRPr="0033525D" w:rsidRDefault="00F22898">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/84/22/Add.3</w:t>
    </w:r>
    <w:r>
      <w:fldChar w:fldCharType="end"/>
    </w:r>
  </w:p>
  <w:p w14:paraId="290FED9F" w14:textId="77777777" w:rsidR="00EC3EF2" w:rsidRPr="0033525D" w:rsidRDefault="00EC3EF2"/>
  <w:p w14:paraId="631BA721" w14:textId="77777777" w:rsidR="00EC3EF2" w:rsidRPr="0033525D" w:rsidRDefault="00EC3E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73B5" w14:textId="5847077D" w:rsidR="00EC3EF2" w:rsidRPr="0033525D" w:rsidRDefault="00F2289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/84/22/Add.3</w:t>
    </w:r>
    <w:r>
      <w:fldChar w:fldCharType="end"/>
    </w:r>
  </w:p>
  <w:p w14:paraId="789AD771" w14:textId="77777777" w:rsidR="00EC3EF2" w:rsidRPr="0033525D" w:rsidRDefault="00EC3EF2"/>
  <w:p w14:paraId="67481172" w14:textId="77777777" w:rsidR="00EC3EF2" w:rsidRPr="0033525D" w:rsidRDefault="00EC3E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7CC7B0E"/>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E613DA"/>
    <w:multiLevelType w:val="hybridMultilevel"/>
    <w:tmpl w:val="6AB4ED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86949C2"/>
    <w:multiLevelType w:val="hybridMultilevel"/>
    <w:tmpl w:val="CE74F5DA"/>
    <w:lvl w:ilvl="0" w:tplc="D512D054">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C1537D3"/>
    <w:multiLevelType w:val="hybridMultilevel"/>
    <w:tmpl w:val="4EA462E2"/>
    <w:lvl w:ilvl="0" w:tplc="AEFA5112">
      <w:start w:val="1"/>
      <w:numFmt w:val="bullet"/>
      <w:lvlText w:val=""/>
      <w:lvlJc w:val="left"/>
      <w:pPr>
        <w:ind w:left="654" w:hanging="370"/>
      </w:pPr>
      <w:rPr>
        <w:rFonts w:ascii="Symbol" w:hAnsi="Symbol" w:hint="default"/>
        <w:color w:val="auto"/>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DDD19A3"/>
    <w:multiLevelType w:val="hybridMultilevel"/>
    <w:tmpl w:val="593020F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5" w15:restartNumberingAfterBreak="0">
    <w:nsid w:val="26512342"/>
    <w:multiLevelType w:val="hybridMultilevel"/>
    <w:tmpl w:val="730C0C5E"/>
    <w:lvl w:ilvl="0" w:tplc="7BE8CFE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B34DFFA">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4045E1"/>
    <w:multiLevelType w:val="hybridMultilevel"/>
    <w:tmpl w:val="8D8A6942"/>
    <w:lvl w:ilvl="0" w:tplc="04090003">
      <w:start w:val="1"/>
      <w:numFmt w:val="bullet"/>
      <w:lvlText w:val=""/>
      <w:lvlJc w:val="left"/>
      <w:pPr>
        <w:ind w:left="1860" w:hanging="420"/>
      </w:pPr>
      <w:rPr>
        <w:rFonts w:ascii="Wingdings" w:hAnsi="Wingdings" w:hint="default"/>
      </w:rPr>
    </w:lvl>
    <w:lvl w:ilvl="1" w:tplc="0B6A4FF0">
      <w:start w:val="1"/>
      <w:numFmt w:val="bullet"/>
      <w:lvlText w:val=""/>
      <w:lvlJc w:val="left"/>
      <w:pPr>
        <w:ind w:left="2280" w:hanging="420"/>
      </w:pPr>
      <w:rPr>
        <w:rFonts w:ascii="Symbol" w:hAnsi="Symbol" w:hint="default"/>
      </w:rPr>
    </w:lvl>
    <w:lvl w:ilvl="2" w:tplc="04090005">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8" w15:restartNumberingAfterBreak="0">
    <w:nsid w:val="31B07C29"/>
    <w:multiLevelType w:val="multilevel"/>
    <w:tmpl w:val="FC06226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43B0811"/>
    <w:multiLevelType w:val="hybridMultilevel"/>
    <w:tmpl w:val="37CAA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576B03"/>
    <w:multiLevelType w:val="hybridMultilevel"/>
    <w:tmpl w:val="4C12CDF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EC3F84"/>
    <w:multiLevelType w:val="hybridMultilevel"/>
    <w:tmpl w:val="0D8CF604"/>
    <w:lvl w:ilvl="0" w:tplc="F488A810">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DFC2673"/>
    <w:multiLevelType w:val="hybridMultilevel"/>
    <w:tmpl w:val="F70AEA82"/>
    <w:lvl w:ilvl="0" w:tplc="E89EA7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7E97F47"/>
    <w:multiLevelType w:val="hybridMultilevel"/>
    <w:tmpl w:val="3BA245B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5" w15:restartNumberingAfterBreak="0">
    <w:nsid w:val="4BD6192D"/>
    <w:multiLevelType w:val="hybridMultilevel"/>
    <w:tmpl w:val="27DA1844"/>
    <w:lvl w:ilvl="0" w:tplc="10B89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9" w15:restartNumberingAfterBreak="0">
    <w:nsid w:val="65CA3FF9"/>
    <w:multiLevelType w:val="hybridMultilevel"/>
    <w:tmpl w:val="8C58A7A8"/>
    <w:lvl w:ilvl="0" w:tplc="AEFA5112">
      <w:start w:val="1"/>
      <w:numFmt w:val="bullet"/>
      <w:lvlText w:val=""/>
      <w:lvlJc w:val="left"/>
      <w:pPr>
        <w:ind w:left="1701" w:hanging="1417"/>
      </w:pPr>
      <w:rPr>
        <w:rFonts w:ascii="Symbol" w:hAnsi="Symbol" w:hint="default"/>
        <w:color w:val="auto"/>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30" w15:restartNumberingAfterBreak="0">
    <w:nsid w:val="6BA4509A"/>
    <w:multiLevelType w:val="hybridMultilevel"/>
    <w:tmpl w:val="D4241AC0"/>
    <w:lvl w:ilvl="0" w:tplc="F7A2C9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B37C50"/>
    <w:multiLevelType w:val="hybridMultilevel"/>
    <w:tmpl w:val="1B586E3C"/>
    <w:lvl w:ilvl="0" w:tplc="0B0ACF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7C395B"/>
    <w:multiLevelType w:val="hybridMultilevel"/>
    <w:tmpl w:val="3A74DEC8"/>
    <w:lvl w:ilvl="0" w:tplc="2904031A">
      <w:start w:val="1"/>
      <w:numFmt w:val="decimal"/>
      <w:lvlText w:val="%1."/>
      <w:lvlJc w:val="left"/>
      <w:pPr>
        <w:ind w:left="360" w:hanging="360"/>
      </w:pPr>
      <w:rPr>
        <w:sz w:val="22"/>
        <w:szCs w:val="22"/>
      </w:rPr>
    </w:lvl>
    <w:lvl w:ilvl="1" w:tplc="6E5EA35C">
      <w:start w:val="1"/>
      <w:numFmt w:val="lowerLetter"/>
      <w:lvlText w:val="(%2)"/>
      <w:lvlJc w:val="left"/>
      <w:pPr>
        <w:ind w:left="1440" w:hanging="720"/>
      </w:pPr>
      <w:rPr>
        <w:rFonts w:hint="default"/>
      </w:rPr>
    </w:lvl>
    <w:lvl w:ilvl="2" w:tplc="C658C8D4">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8A3718"/>
    <w:multiLevelType w:val="hybridMultilevel"/>
    <w:tmpl w:val="AC28294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FF13FD"/>
    <w:multiLevelType w:val="hybridMultilevel"/>
    <w:tmpl w:val="EB98CE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15:restartNumberingAfterBreak="0">
    <w:nsid w:val="7EA71E11"/>
    <w:multiLevelType w:val="hybridMultilevel"/>
    <w:tmpl w:val="A7C0F73C"/>
    <w:lvl w:ilvl="0" w:tplc="F712F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6"/>
  </w:num>
  <w:num w:numId="18">
    <w:abstractNumId w:val="27"/>
  </w:num>
  <w:num w:numId="19">
    <w:abstractNumId w:val="35"/>
  </w:num>
  <w:num w:numId="20">
    <w:abstractNumId w:val="19"/>
  </w:num>
  <w:num w:numId="21">
    <w:abstractNumId w:val="31"/>
  </w:num>
  <w:num w:numId="22">
    <w:abstractNumId w:val="10"/>
  </w:num>
  <w:num w:numId="23">
    <w:abstractNumId w:val="10"/>
  </w:num>
  <w:num w:numId="24">
    <w:abstractNumId w:val="10"/>
  </w:num>
  <w:num w:numId="25">
    <w:abstractNumId w:val="10"/>
  </w:num>
  <w:num w:numId="26">
    <w:abstractNumId w:val="23"/>
  </w:num>
  <w:num w:numId="27">
    <w:abstractNumId w:val="20"/>
  </w:num>
  <w:num w:numId="28">
    <w:abstractNumId w:val="28"/>
  </w:num>
  <w:num w:numId="29">
    <w:abstractNumId w:val="15"/>
  </w:num>
  <w:num w:numId="30">
    <w:abstractNumId w:val="18"/>
  </w:num>
  <w:num w:numId="31">
    <w:abstractNumId w:val="14"/>
  </w:num>
  <w:num w:numId="32">
    <w:abstractNumId w:val="29"/>
  </w:num>
  <w:num w:numId="33">
    <w:abstractNumId w:val="17"/>
  </w:num>
  <w:num w:numId="34">
    <w:abstractNumId w:val="24"/>
  </w:num>
  <w:num w:numId="35">
    <w:abstractNumId w:val="32"/>
  </w:num>
  <w:num w:numId="36">
    <w:abstractNumId w:val="30"/>
  </w:num>
  <w:num w:numId="37">
    <w:abstractNumId w:val="34"/>
  </w:num>
  <w:num w:numId="38">
    <w:abstractNumId w:val="13"/>
  </w:num>
  <w:num w:numId="39">
    <w:abstractNumId w:val="33"/>
  </w:num>
  <w:num w:numId="40">
    <w:abstractNumId w:val="21"/>
  </w:num>
  <w:num w:numId="41">
    <w:abstractNumId w:val="12"/>
  </w:num>
  <w:num w:numId="42">
    <w:abstractNumId w:val="22"/>
  </w:num>
  <w:num w:numId="43">
    <w:abstractNumId w:val="25"/>
  </w:num>
  <w:num w:numId="44">
    <w:abstractNumId w:val="36"/>
  </w:num>
  <w:num w:numId="45">
    <w:abstractNumId w:val="1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37"/>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8B0F7C"/>
    <w:rsid w:val="00000FED"/>
    <w:rsid w:val="0000434E"/>
    <w:rsid w:val="00017C3F"/>
    <w:rsid w:val="00020E35"/>
    <w:rsid w:val="000211A9"/>
    <w:rsid w:val="000247DC"/>
    <w:rsid w:val="00031260"/>
    <w:rsid w:val="0003681A"/>
    <w:rsid w:val="00042813"/>
    <w:rsid w:val="00052C5C"/>
    <w:rsid w:val="00061EC2"/>
    <w:rsid w:val="00065224"/>
    <w:rsid w:val="000757D7"/>
    <w:rsid w:val="00080ED0"/>
    <w:rsid w:val="00085B8F"/>
    <w:rsid w:val="00090481"/>
    <w:rsid w:val="00092009"/>
    <w:rsid w:val="00094471"/>
    <w:rsid w:val="000A1F11"/>
    <w:rsid w:val="000A6C26"/>
    <w:rsid w:val="000C26A3"/>
    <w:rsid w:val="000D52A4"/>
    <w:rsid w:val="000E07BC"/>
    <w:rsid w:val="000E3253"/>
    <w:rsid w:val="000E45FB"/>
    <w:rsid w:val="000E59CB"/>
    <w:rsid w:val="000F1CD4"/>
    <w:rsid w:val="000F30BC"/>
    <w:rsid w:val="000F4103"/>
    <w:rsid w:val="000F70A7"/>
    <w:rsid w:val="00113CCA"/>
    <w:rsid w:val="00117747"/>
    <w:rsid w:val="00122F25"/>
    <w:rsid w:val="00130205"/>
    <w:rsid w:val="0013107A"/>
    <w:rsid w:val="00135980"/>
    <w:rsid w:val="00142769"/>
    <w:rsid w:val="00145F66"/>
    <w:rsid w:val="00164719"/>
    <w:rsid w:val="0016516E"/>
    <w:rsid w:val="00166FC4"/>
    <w:rsid w:val="001677AC"/>
    <w:rsid w:val="001804EA"/>
    <w:rsid w:val="00190A61"/>
    <w:rsid w:val="001A3342"/>
    <w:rsid w:val="001A3E3D"/>
    <w:rsid w:val="001A7049"/>
    <w:rsid w:val="001B1D88"/>
    <w:rsid w:val="001B1E40"/>
    <w:rsid w:val="001B329D"/>
    <w:rsid w:val="001B383C"/>
    <w:rsid w:val="001B6487"/>
    <w:rsid w:val="001C02AE"/>
    <w:rsid w:val="001C3C80"/>
    <w:rsid w:val="001C764E"/>
    <w:rsid w:val="001C7C95"/>
    <w:rsid w:val="001D1808"/>
    <w:rsid w:val="001D2C9C"/>
    <w:rsid w:val="001D5CF4"/>
    <w:rsid w:val="001E1052"/>
    <w:rsid w:val="001E13F6"/>
    <w:rsid w:val="001E21B1"/>
    <w:rsid w:val="001E2F93"/>
    <w:rsid w:val="001E61E5"/>
    <w:rsid w:val="001F2159"/>
    <w:rsid w:val="00213B82"/>
    <w:rsid w:val="00214863"/>
    <w:rsid w:val="002156B4"/>
    <w:rsid w:val="00225A17"/>
    <w:rsid w:val="00253222"/>
    <w:rsid w:val="00257F14"/>
    <w:rsid w:val="00262847"/>
    <w:rsid w:val="00264492"/>
    <w:rsid w:val="00264ACF"/>
    <w:rsid w:val="00281BB2"/>
    <w:rsid w:val="00292BC6"/>
    <w:rsid w:val="002B08D9"/>
    <w:rsid w:val="002B72E9"/>
    <w:rsid w:val="002C7998"/>
    <w:rsid w:val="002D4FDD"/>
    <w:rsid w:val="002F1E53"/>
    <w:rsid w:val="002F263D"/>
    <w:rsid w:val="002F2CAA"/>
    <w:rsid w:val="002F3DCD"/>
    <w:rsid w:val="0030052C"/>
    <w:rsid w:val="003010F8"/>
    <w:rsid w:val="00317C8E"/>
    <w:rsid w:val="00321661"/>
    <w:rsid w:val="00321D6F"/>
    <w:rsid w:val="00324035"/>
    <w:rsid w:val="003306E1"/>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95F73"/>
    <w:rsid w:val="003A3189"/>
    <w:rsid w:val="003A3CA7"/>
    <w:rsid w:val="003B2723"/>
    <w:rsid w:val="003B33BD"/>
    <w:rsid w:val="003B569D"/>
    <w:rsid w:val="003B5BC6"/>
    <w:rsid w:val="003C0C29"/>
    <w:rsid w:val="003C1E00"/>
    <w:rsid w:val="003C3C0E"/>
    <w:rsid w:val="003C5333"/>
    <w:rsid w:val="003C7161"/>
    <w:rsid w:val="003D2ACB"/>
    <w:rsid w:val="003D4FAC"/>
    <w:rsid w:val="003D673C"/>
    <w:rsid w:val="003E7906"/>
    <w:rsid w:val="003F3C50"/>
    <w:rsid w:val="003F5FBE"/>
    <w:rsid w:val="0040668E"/>
    <w:rsid w:val="00406A6A"/>
    <w:rsid w:val="00406B22"/>
    <w:rsid w:val="0041277E"/>
    <w:rsid w:val="00415AD6"/>
    <w:rsid w:val="004174B4"/>
    <w:rsid w:val="00420117"/>
    <w:rsid w:val="004300F0"/>
    <w:rsid w:val="004328A7"/>
    <w:rsid w:val="00434C74"/>
    <w:rsid w:val="004519BA"/>
    <w:rsid w:val="00456EB4"/>
    <w:rsid w:val="00460AC3"/>
    <w:rsid w:val="004718F3"/>
    <w:rsid w:val="004731B8"/>
    <w:rsid w:val="00473CEE"/>
    <w:rsid w:val="00475040"/>
    <w:rsid w:val="00483CAF"/>
    <w:rsid w:val="004932C4"/>
    <w:rsid w:val="00493D40"/>
    <w:rsid w:val="004967B6"/>
    <w:rsid w:val="004A504B"/>
    <w:rsid w:val="004A6911"/>
    <w:rsid w:val="004B54E0"/>
    <w:rsid w:val="004B7384"/>
    <w:rsid w:val="004C4269"/>
    <w:rsid w:val="004D2362"/>
    <w:rsid w:val="004D6236"/>
    <w:rsid w:val="004D7F90"/>
    <w:rsid w:val="004E4DBB"/>
    <w:rsid w:val="004E4E41"/>
    <w:rsid w:val="004E5722"/>
    <w:rsid w:val="004E7F9C"/>
    <w:rsid w:val="004F0E59"/>
    <w:rsid w:val="004F18A7"/>
    <w:rsid w:val="004F3493"/>
    <w:rsid w:val="004F5143"/>
    <w:rsid w:val="00500BE0"/>
    <w:rsid w:val="00501A8E"/>
    <w:rsid w:val="00505EF1"/>
    <w:rsid w:val="00512B09"/>
    <w:rsid w:val="00513295"/>
    <w:rsid w:val="005147BC"/>
    <w:rsid w:val="00515B2F"/>
    <w:rsid w:val="005224AE"/>
    <w:rsid w:val="00523717"/>
    <w:rsid w:val="00533796"/>
    <w:rsid w:val="00535EB2"/>
    <w:rsid w:val="00555D75"/>
    <w:rsid w:val="00560DF0"/>
    <w:rsid w:val="00561D1D"/>
    <w:rsid w:val="0056759C"/>
    <w:rsid w:val="00571E91"/>
    <w:rsid w:val="005845AA"/>
    <w:rsid w:val="0059513E"/>
    <w:rsid w:val="005A0224"/>
    <w:rsid w:val="005A2438"/>
    <w:rsid w:val="005A4390"/>
    <w:rsid w:val="005B48FF"/>
    <w:rsid w:val="005D17B6"/>
    <w:rsid w:val="005E06FA"/>
    <w:rsid w:val="00604C15"/>
    <w:rsid w:val="00606A9B"/>
    <w:rsid w:val="006141BB"/>
    <w:rsid w:val="00614BE0"/>
    <w:rsid w:val="006158D5"/>
    <w:rsid w:val="00620E5F"/>
    <w:rsid w:val="00621739"/>
    <w:rsid w:val="00625D83"/>
    <w:rsid w:val="00646C45"/>
    <w:rsid w:val="00661B54"/>
    <w:rsid w:val="006623E7"/>
    <w:rsid w:val="00662B80"/>
    <w:rsid w:val="0066468D"/>
    <w:rsid w:val="00670F6C"/>
    <w:rsid w:val="00675795"/>
    <w:rsid w:val="00675C94"/>
    <w:rsid w:val="006852C7"/>
    <w:rsid w:val="006852CE"/>
    <w:rsid w:val="0068654E"/>
    <w:rsid w:val="006A222E"/>
    <w:rsid w:val="006B2D0F"/>
    <w:rsid w:val="006C1727"/>
    <w:rsid w:val="006C32FD"/>
    <w:rsid w:val="006C39CE"/>
    <w:rsid w:val="006D0FCC"/>
    <w:rsid w:val="006D1D2D"/>
    <w:rsid w:val="006D54FC"/>
    <w:rsid w:val="006E1FC3"/>
    <w:rsid w:val="006E55BA"/>
    <w:rsid w:val="006F278C"/>
    <w:rsid w:val="007029CF"/>
    <w:rsid w:val="0070616B"/>
    <w:rsid w:val="00706FDA"/>
    <w:rsid w:val="00711F9A"/>
    <w:rsid w:val="00713810"/>
    <w:rsid w:val="00717BDF"/>
    <w:rsid w:val="00722CF2"/>
    <w:rsid w:val="007303A5"/>
    <w:rsid w:val="00730B3E"/>
    <w:rsid w:val="0073420B"/>
    <w:rsid w:val="00741F73"/>
    <w:rsid w:val="00742DC7"/>
    <w:rsid w:val="0074760E"/>
    <w:rsid w:val="00753E0B"/>
    <w:rsid w:val="00754ABA"/>
    <w:rsid w:val="00775948"/>
    <w:rsid w:val="00782BED"/>
    <w:rsid w:val="00783F60"/>
    <w:rsid w:val="00794D65"/>
    <w:rsid w:val="007A1546"/>
    <w:rsid w:val="007A228C"/>
    <w:rsid w:val="007A23DE"/>
    <w:rsid w:val="007A368E"/>
    <w:rsid w:val="007A5868"/>
    <w:rsid w:val="007B04CE"/>
    <w:rsid w:val="007B2DC6"/>
    <w:rsid w:val="007B6871"/>
    <w:rsid w:val="007B7A2F"/>
    <w:rsid w:val="007C227C"/>
    <w:rsid w:val="007C3D33"/>
    <w:rsid w:val="007D294A"/>
    <w:rsid w:val="007D3E76"/>
    <w:rsid w:val="007D47D2"/>
    <w:rsid w:val="007D6EC0"/>
    <w:rsid w:val="007D7E1D"/>
    <w:rsid w:val="00801683"/>
    <w:rsid w:val="00814433"/>
    <w:rsid w:val="00831179"/>
    <w:rsid w:val="00831979"/>
    <w:rsid w:val="008471AF"/>
    <w:rsid w:val="00851352"/>
    <w:rsid w:val="00863230"/>
    <w:rsid w:val="008717D8"/>
    <w:rsid w:val="0087215C"/>
    <w:rsid w:val="00874A6C"/>
    <w:rsid w:val="00880E35"/>
    <w:rsid w:val="008875FE"/>
    <w:rsid w:val="00887F8E"/>
    <w:rsid w:val="00894F66"/>
    <w:rsid w:val="00896234"/>
    <w:rsid w:val="00897E43"/>
    <w:rsid w:val="008A3A93"/>
    <w:rsid w:val="008B0F7C"/>
    <w:rsid w:val="008C0645"/>
    <w:rsid w:val="008C5362"/>
    <w:rsid w:val="008C5738"/>
    <w:rsid w:val="008C7EAD"/>
    <w:rsid w:val="008D0CFE"/>
    <w:rsid w:val="008D3375"/>
    <w:rsid w:val="008D54C2"/>
    <w:rsid w:val="008D6152"/>
    <w:rsid w:val="008E6057"/>
    <w:rsid w:val="008F0F81"/>
    <w:rsid w:val="008F27BF"/>
    <w:rsid w:val="009142EC"/>
    <w:rsid w:val="009154C3"/>
    <w:rsid w:val="00923540"/>
    <w:rsid w:val="00926767"/>
    <w:rsid w:val="009361D5"/>
    <w:rsid w:val="00937E98"/>
    <w:rsid w:val="009428A4"/>
    <w:rsid w:val="00950591"/>
    <w:rsid w:val="009659F4"/>
    <w:rsid w:val="009709B0"/>
    <w:rsid w:val="00970D60"/>
    <w:rsid w:val="00981006"/>
    <w:rsid w:val="00983EEE"/>
    <w:rsid w:val="009917E7"/>
    <w:rsid w:val="009960E5"/>
    <w:rsid w:val="009A7ADC"/>
    <w:rsid w:val="009B6039"/>
    <w:rsid w:val="009B77A9"/>
    <w:rsid w:val="009C19B7"/>
    <w:rsid w:val="009C7A46"/>
    <w:rsid w:val="009D7C51"/>
    <w:rsid w:val="009E027E"/>
    <w:rsid w:val="009E196C"/>
    <w:rsid w:val="009E3C1E"/>
    <w:rsid w:val="009F36BF"/>
    <w:rsid w:val="009F48EF"/>
    <w:rsid w:val="009F5811"/>
    <w:rsid w:val="00A06859"/>
    <w:rsid w:val="00A111B6"/>
    <w:rsid w:val="00A16C62"/>
    <w:rsid w:val="00A20612"/>
    <w:rsid w:val="00A2547B"/>
    <w:rsid w:val="00A26D27"/>
    <w:rsid w:val="00A376EE"/>
    <w:rsid w:val="00A42A99"/>
    <w:rsid w:val="00A5151A"/>
    <w:rsid w:val="00A53A83"/>
    <w:rsid w:val="00A56465"/>
    <w:rsid w:val="00A566DA"/>
    <w:rsid w:val="00A57E0A"/>
    <w:rsid w:val="00A632BD"/>
    <w:rsid w:val="00A64146"/>
    <w:rsid w:val="00A7244F"/>
    <w:rsid w:val="00A809E6"/>
    <w:rsid w:val="00A823F6"/>
    <w:rsid w:val="00A87914"/>
    <w:rsid w:val="00A93BBA"/>
    <w:rsid w:val="00AA0A89"/>
    <w:rsid w:val="00AA5F7B"/>
    <w:rsid w:val="00AA6429"/>
    <w:rsid w:val="00AA7809"/>
    <w:rsid w:val="00AC01AA"/>
    <w:rsid w:val="00AC4F72"/>
    <w:rsid w:val="00AD6B7F"/>
    <w:rsid w:val="00AE77AA"/>
    <w:rsid w:val="00AF741A"/>
    <w:rsid w:val="00B01ADB"/>
    <w:rsid w:val="00B04161"/>
    <w:rsid w:val="00B056F9"/>
    <w:rsid w:val="00B11E3D"/>
    <w:rsid w:val="00B126E6"/>
    <w:rsid w:val="00B17E82"/>
    <w:rsid w:val="00B33E29"/>
    <w:rsid w:val="00B4575A"/>
    <w:rsid w:val="00B575BA"/>
    <w:rsid w:val="00B70380"/>
    <w:rsid w:val="00B76429"/>
    <w:rsid w:val="00B87312"/>
    <w:rsid w:val="00B956D4"/>
    <w:rsid w:val="00B97446"/>
    <w:rsid w:val="00BA7432"/>
    <w:rsid w:val="00BB6C78"/>
    <w:rsid w:val="00BC1AA0"/>
    <w:rsid w:val="00BC2495"/>
    <w:rsid w:val="00BC7EB9"/>
    <w:rsid w:val="00BD2643"/>
    <w:rsid w:val="00BD56B1"/>
    <w:rsid w:val="00BD6558"/>
    <w:rsid w:val="00BE5B5C"/>
    <w:rsid w:val="00BE67B9"/>
    <w:rsid w:val="00BE7A5A"/>
    <w:rsid w:val="00BF05A0"/>
    <w:rsid w:val="00BF3022"/>
    <w:rsid w:val="00BF3214"/>
    <w:rsid w:val="00BF5573"/>
    <w:rsid w:val="00C05C8A"/>
    <w:rsid w:val="00C104A8"/>
    <w:rsid w:val="00C14CC1"/>
    <w:rsid w:val="00C15867"/>
    <w:rsid w:val="00C2296D"/>
    <w:rsid w:val="00C23155"/>
    <w:rsid w:val="00C26651"/>
    <w:rsid w:val="00C3476B"/>
    <w:rsid w:val="00C356BA"/>
    <w:rsid w:val="00C40C41"/>
    <w:rsid w:val="00C45885"/>
    <w:rsid w:val="00C50F22"/>
    <w:rsid w:val="00C55303"/>
    <w:rsid w:val="00C57971"/>
    <w:rsid w:val="00C65BD7"/>
    <w:rsid w:val="00C76BA4"/>
    <w:rsid w:val="00C83A48"/>
    <w:rsid w:val="00C85865"/>
    <w:rsid w:val="00C85E85"/>
    <w:rsid w:val="00C8688D"/>
    <w:rsid w:val="00C92027"/>
    <w:rsid w:val="00C947B7"/>
    <w:rsid w:val="00CA2EAE"/>
    <w:rsid w:val="00CA4AC1"/>
    <w:rsid w:val="00CA4D65"/>
    <w:rsid w:val="00CB0316"/>
    <w:rsid w:val="00CB0B11"/>
    <w:rsid w:val="00CB47CC"/>
    <w:rsid w:val="00CB5354"/>
    <w:rsid w:val="00CB7150"/>
    <w:rsid w:val="00CC299E"/>
    <w:rsid w:val="00CC6236"/>
    <w:rsid w:val="00CC6A14"/>
    <w:rsid w:val="00CC70A3"/>
    <w:rsid w:val="00CD4442"/>
    <w:rsid w:val="00CD53C3"/>
    <w:rsid w:val="00CD574E"/>
    <w:rsid w:val="00CE1E69"/>
    <w:rsid w:val="00CE4C22"/>
    <w:rsid w:val="00CF1D45"/>
    <w:rsid w:val="00CF41EC"/>
    <w:rsid w:val="00CF57BE"/>
    <w:rsid w:val="00CF5D04"/>
    <w:rsid w:val="00D04DE4"/>
    <w:rsid w:val="00D0546C"/>
    <w:rsid w:val="00D063F1"/>
    <w:rsid w:val="00D12804"/>
    <w:rsid w:val="00D13CD0"/>
    <w:rsid w:val="00D14F22"/>
    <w:rsid w:val="00D22563"/>
    <w:rsid w:val="00D33CB4"/>
    <w:rsid w:val="00D42424"/>
    <w:rsid w:val="00D4741C"/>
    <w:rsid w:val="00D51B89"/>
    <w:rsid w:val="00D57918"/>
    <w:rsid w:val="00D57EE9"/>
    <w:rsid w:val="00D62899"/>
    <w:rsid w:val="00D63C5B"/>
    <w:rsid w:val="00D66982"/>
    <w:rsid w:val="00D73DC6"/>
    <w:rsid w:val="00D74C1A"/>
    <w:rsid w:val="00D754C1"/>
    <w:rsid w:val="00D77393"/>
    <w:rsid w:val="00D77A35"/>
    <w:rsid w:val="00D805D8"/>
    <w:rsid w:val="00D81B3E"/>
    <w:rsid w:val="00D86CFC"/>
    <w:rsid w:val="00D90C70"/>
    <w:rsid w:val="00D90E49"/>
    <w:rsid w:val="00D96ADE"/>
    <w:rsid w:val="00DA0CE2"/>
    <w:rsid w:val="00DB2130"/>
    <w:rsid w:val="00DC6817"/>
    <w:rsid w:val="00DC6A10"/>
    <w:rsid w:val="00DD7434"/>
    <w:rsid w:val="00DE657E"/>
    <w:rsid w:val="00DF4704"/>
    <w:rsid w:val="00E024AA"/>
    <w:rsid w:val="00E24259"/>
    <w:rsid w:val="00E250F1"/>
    <w:rsid w:val="00E25AD5"/>
    <w:rsid w:val="00E3550D"/>
    <w:rsid w:val="00E40348"/>
    <w:rsid w:val="00E41335"/>
    <w:rsid w:val="00E4267D"/>
    <w:rsid w:val="00E614E0"/>
    <w:rsid w:val="00E73F7F"/>
    <w:rsid w:val="00E765DA"/>
    <w:rsid w:val="00E85409"/>
    <w:rsid w:val="00EA429F"/>
    <w:rsid w:val="00EA4374"/>
    <w:rsid w:val="00EA4C3A"/>
    <w:rsid w:val="00EA4F9E"/>
    <w:rsid w:val="00EA63CA"/>
    <w:rsid w:val="00EA6D3B"/>
    <w:rsid w:val="00EB00AD"/>
    <w:rsid w:val="00EB136C"/>
    <w:rsid w:val="00EB480E"/>
    <w:rsid w:val="00EB5EC6"/>
    <w:rsid w:val="00EB7FC9"/>
    <w:rsid w:val="00EC1C3A"/>
    <w:rsid w:val="00EC3EF2"/>
    <w:rsid w:val="00ED27E8"/>
    <w:rsid w:val="00ED7137"/>
    <w:rsid w:val="00EE66BA"/>
    <w:rsid w:val="00F07A58"/>
    <w:rsid w:val="00F21088"/>
    <w:rsid w:val="00F22898"/>
    <w:rsid w:val="00F23BD6"/>
    <w:rsid w:val="00F268BE"/>
    <w:rsid w:val="00F26E2B"/>
    <w:rsid w:val="00F327E7"/>
    <w:rsid w:val="00F35746"/>
    <w:rsid w:val="00F36AC5"/>
    <w:rsid w:val="00F37AD6"/>
    <w:rsid w:val="00F447C7"/>
    <w:rsid w:val="00F471B3"/>
    <w:rsid w:val="00F5211B"/>
    <w:rsid w:val="00F554A9"/>
    <w:rsid w:val="00F716FD"/>
    <w:rsid w:val="00F80355"/>
    <w:rsid w:val="00F845AF"/>
    <w:rsid w:val="00F87C43"/>
    <w:rsid w:val="00F97620"/>
    <w:rsid w:val="00FA51C2"/>
    <w:rsid w:val="00FA7B9E"/>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CB1F05"/>
  <w15:docId w15:val="{CCDA6279-192D-4DD7-A770-66DD9F86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45"/>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 Char1, Char1 Char Char"/>
    <w:basedOn w:val="Normal"/>
    <w:link w:val="FootnoteTextChar"/>
    <w:uiPriority w:val="99"/>
    <w:unhideWhenUsed/>
    <w:qFormat/>
    <w:rsid w:val="00981006"/>
    <w:rPr>
      <w:sz w:val="20"/>
      <w:szCs w:val="20"/>
    </w:rPr>
  </w:style>
  <w:style w:type="character" w:customStyle="1" w:styleId="FootnoteTextChar">
    <w:name w:val="Footnote Text Char"/>
    <w:aliases w:val="Char1 Char,Char1 Char Char Char,Fußnotentextf Char, Char1 Char, Char1 Char Char Char"/>
    <w:basedOn w:val="DefaultParagraphFont"/>
    <w:link w:val="FootnoteText"/>
    <w:uiPriority w:val="99"/>
    <w:rsid w:val="00981006"/>
    <w:rPr>
      <w:lang w:val="en-GB"/>
    </w:rPr>
  </w:style>
  <w:style w:type="character" w:styleId="FootnoteReference">
    <w:name w:val="footnote reference"/>
    <w:aliases w:val="Footnote Text1,Footnote text"/>
    <w:basedOn w:val="DefaultParagraphFont"/>
    <w:uiPriority w:val="99"/>
    <w:unhideWhenUsed/>
    <w:rsid w:val="00981006"/>
    <w:rPr>
      <w:rFonts w:cs="Times New Roman"/>
      <w:vertAlign w:val="superscript"/>
    </w:rPr>
  </w:style>
  <w:style w:type="paragraph" w:styleId="ListParagraph">
    <w:name w:val="List Paragraph"/>
    <w:basedOn w:val="Normal"/>
    <w:link w:val="ListParagraphChar"/>
    <w:uiPriority w:val="34"/>
    <w:qFormat/>
    <w:rsid w:val="00981006"/>
    <w:pPr>
      <w:ind w:left="720"/>
      <w:contextualSpacing/>
    </w:pPr>
  </w:style>
  <w:style w:type="character" w:customStyle="1" w:styleId="ListParagraphChar">
    <w:name w:val="List Paragraph Char"/>
    <w:link w:val="ListParagraph"/>
    <w:uiPriority w:val="34"/>
    <w:locked/>
    <w:rsid w:val="00981006"/>
    <w:rPr>
      <w:sz w:val="22"/>
      <w:szCs w:val="22"/>
      <w:lang w:val="en-GB"/>
    </w:rPr>
  </w:style>
  <w:style w:type="paragraph" w:styleId="EndnoteText">
    <w:name w:val="endnote text"/>
    <w:basedOn w:val="Normal"/>
    <w:link w:val="EndnoteTextChar"/>
    <w:uiPriority w:val="99"/>
    <w:semiHidden/>
    <w:unhideWhenUsed/>
    <w:rsid w:val="00130205"/>
    <w:rPr>
      <w:sz w:val="20"/>
      <w:szCs w:val="20"/>
    </w:rPr>
  </w:style>
  <w:style w:type="character" w:customStyle="1" w:styleId="EndnoteTextChar">
    <w:name w:val="Endnote Text Char"/>
    <w:basedOn w:val="DefaultParagraphFont"/>
    <w:link w:val="EndnoteText"/>
    <w:uiPriority w:val="99"/>
    <w:semiHidden/>
    <w:rsid w:val="00130205"/>
    <w:rPr>
      <w:lang w:val="en-GB"/>
    </w:rPr>
  </w:style>
  <w:style w:type="character" w:styleId="EndnoteReference">
    <w:name w:val="endnote reference"/>
    <w:basedOn w:val="DefaultParagraphFont"/>
    <w:uiPriority w:val="99"/>
    <w:semiHidden/>
    <w:unhideWhenUsed/>
    <w:rsid w:val="00130205"/>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130205"/>
    <w:rPr>
      <w:sz w:val="22"/>
      <w:szCs w:val="22"/>
      <w:lang w:val="en-GB"/>
    </w:rPr>
  </w:style>
  <w:style w:type="character" w:styleId="Hyperlink">
    <w:name w:val="Hyperlink"/>
    <w:basedOn w:val="DefaultParagraphFont"/>
    <w:uiPriority w:val="99"/>
    <w:unhideWhenUsed/>
    <w:rsid w:val="00130205"/>
    <w:rPr>
      <w:color w:val="0000FF" w:themeColor="hyperlink"/>
      <w:u w:val="single"/>
    </w:rPr>
  </w:style>
  <w:style w:type="character" w:customStyle="1" w:styleId="HeaderChar">
    <w:name w:val="Header Char"/>
    <w:basedOn w:val="DefaultParagraphFont"/>
    <w:link w:val="Header"/>
    <w:uiPriority w:val="99"/>
    <w:rsid w:val="00130205"/>
    <w:rPr>
      <w:sz w:val="22"/>
      <w:szCs w:val="22"/>
      <w:lang w:val="en-GB"/>
    </w:rPr>
  </w:style>
  <w:style w:type="character" w:customStyle="1" w:styleId="FooterChar">
    <w:name w:val="Footer Char"/>
    <w:basedOn w:val="DefaultParagraphFont"/>
    <w:link w:val="Footer"/>
    <w:uiPriority w:val="99"/>
    <w:rsid w:val="00130205"/>
    <w:rPr>
      <w:sz w:val="22"/>
      <w:szCs w:val="22"/>
      <w:lang w:val="en-GB"/>
    </w:rPr>
  </w:style>
  <w:style w:type="table" w:customStyle="1" w:styleId="4-31">
    <w:name w:val="网格表 4 - 着色 31"/>
    <w:basedOn w:val="TableNormal"/>
    <w:uiPriority w:val="49"/>
    <w:rsid w:val="00130205"/>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网格表 4 - 着色 11"/>
    <w:basedOn w:val="TableNormal"/>
    <w:uiPriority w:val="49"/>
    <w:rsid w:val="00130205"/>
    <w:rPr>
      <w:rFonts w:asciiTheme="minorHAnsi" w:eastAsiaTheme="minorEastAsia"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30205"/>
    <w:pPr>
      <w:keepNext/>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zh-CN"/>
    </w:rPr>
  </w:style>
  <w:style w:type="paragraph" w:styleId="TOC2">
    <w:name w:val="toc 2"/>
    <w:basedOn w:val="Normal"/>
    <w:next w:val="Normal"/>
    <w:autoRedefine/>
    <w:uiPriority w:val="39"/>
    <w:unhideWhenUsed/>
    <w:rsid w:val="00130205"/>
    <w:pPr>
      <w:tabs>
        <w:tab w:val="right" w:leader="dot" w:pos="8302"/>
      </w:tabs>
      <w:spacing w:line="200" w:lineRule="atLeast"/>
      <w:ind w:firstLineChars="100" w:firstLine="180"/>
      <w:outlineLvl w:val="2"/>
    </w:pPr>
    <w:rPr>
      <w:rFonts w:asciiTheme="minorHAnsi" w:eastAsiaTheme="minorEastAsia" w:hAnsiTheme="minorHAnsi"/>
      <w:lang w:val="en-US" w:eastAsia="zh-CN"/>
    </w:rPr>
  </w:style>
  <w:style w:type="paragraph" w:styleId="TOC1">
    <w:name w:val="toc 1"/>
    <w:basedOn w:val="Normal"/>
    <w:next w:val="Normal"/>
    <w:autoRedefine/>
    <w:uiPriority w:val="39"/>
    <w:unhideWhenUsed/>
    <w:rsid w:val="00130205"/>
    <w:pPr>
      <w:tabs>
        <w:tab w:val="right" w:leader="dot" w:pos="8302"/>
      </w:tabs>
      <w:snapToGrid w:val="0"/>
      <w:spacing w:line="200" w:lineRule="atLeast"/>
      <w:outlineLvl w:val="2"/>
    </w:pPr>
    <w:rPr>
      <w:rFonts w:asciiTheme="minorHAnsi" w:eastAsiaTheme="minorEastAsia" w:hAnsiTheme="minorHAnsi"/>
      <w:b/>
      <w:noProof/>
      <w:lang w:val="en-US" w:eastAsia="zh-CN"/>
    </w:rPr>
  </w:style>
  <w:style w:type="paragraph" w:styleId="TOC3">
    <w:name w:val="toc 3"/>
    <w:basedOn w:val="Normal"/>
    <w:next w:val="Normal"/>
    <w:autoRedefine/>
    <w:uiPriority w:val="39"/>
    <w:unhideWhenUsed/>
    <w:rsid w:val="00130205"/>
    <w:pPr>
      <w:tabs>
        <w:tab w:val="right" w:leader="dot" w:pos="8302"/>
      </w:tabs>
      <w:spacing w:line="120" w:lineRule="atLeast"/>
      <w:ind w:firstLineChars="200" w:firstLine="360"/>
      <w:outlineLvl w:val="2"/>
    </w:pPr>
    <w:rPr>
      <w:rFonts w:asciiTheme="minorHAnsi" w:eastAsiaTheme="minorEastAsia" w:hAnsiTheme="minorHAnsi"/>
      <w:b/>
      <w:lang w:val="en-US" w:eastAsia="zh-CN"/>
    </w:rPr>
  </w:style>
  <w:style w:type="table" w:customStyle="1" w:styleId="TableNormal1">
    <w:name w:val="Table Normal1"/>
    <w:uiPriority w:val="2"/>
    <w:semiHidden/>
    <w:unhideWhenUsed/>
    <w:qFormat/>
    <w:rsid w:val="00130205"/>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205"/>
    <w:pPr>
      <w:widowControl w:val="0"/>
      <w:jc w:val="left"/>
    </w:pPr>
    <w:rPr>
      <w:rFonts w:asciiTheme="minorHAnsi" w:eastAsiaTheme="minorEastAsia" w:hAnsiTheme="minorHAnsi" w:cstheme="minorBidi"/>
      <w:lang w:val="en-US"/>
    </w:rPr>
  </w:style>
  <w:style w:type="table" w:customStyle="1" w:styleId="4-32">
    <w:name w:val="网格表 4 - 着色 32"/>
    <w:basedOn w:val="TableNormal"/>
    <w:uiPriority w:val="49"/>
    <w:rsid w:val="00130205"/>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30205"/>
    <w:rPr>
      <w:rFonts w:asciiTheme="minorHAnsi" w:eastAsiaTheme="minorEastAsia"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194/acp-18-11729-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UNEP/OzL.Pro/ExCom/84/22/Add.3</Document_x0020_Number>
    <DocumentType xmlns="64e33b30-101d-41de-b951-961aab25ea29">Pre-session</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69FA-024C-4F89-B4F1-ECB6FBB9357E}"/>
</file>

<file path=customXml/itemProps2.xml><?xml version="1.0" encoding="utf-8"?>
<ds:datastoreItem xmlns:ds="http://schemas.openxmlformats.org/officeDocument/2006/customXml" ds:itemID="{D4CBE962-B2CB-4D38-8BCB-1941E609411A}"/>
</file>

<file path=customXml/itemProps3.xml><?xml version="1.0" encoding="utf-8"?>
<ds:datastoreItem xmlns:ds="http://schemas.openxmlformats.org/officeDocument/2006/customXml" ds:itemID="{EE30500B-2151-4F12-B282-E3C38D7CDEC4}"/>
</file>

<file path=customXml/itemProps4.xml><?xml version="1.0" encoding="utf-8"?>
<ds:datastoreItem xmlns:ds="http://schemas.openxmlformats.org/officeDocument/2006/customXml" ds:itemID="{B3762124-626E-4FED-B5BB-4ED84C5B84DB}"/>
</file>

<file path=docProps/app.xml><?xml version="1.0" encoding="utf-8"?>
<Properties xmlns="http://schemas.openxmlformats.org/officeDocument/2006/extended-properties" xmlns:vt="http://schemas.openxmlformats.org/officeDocument/2006/docPropsVTypes">
  <Template>Eec84G</Template>
  <TotalTime>84</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Reports on projects with specific reporting requirements - Addendum 3</vt:lpstr>
    </vt:vector>
  </TitlesOfParts>
  <Company>UNMFS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production of carbon tetrachloride and its feedstock uses in China - Addendum 3</dc:title>
  <dc:subject>84th</dc:subject>
  <dc:creator>Despina Psillou</dc:creator>
  <cp:lastModifiedBy>Elina Yuen</cp:lastModifiedBy>
  <cp:revision>32</cp:revision>
  <cp:lastPrinted>2019-12-13T19:18:00Z</cp:lastPrinted>
  <dcterms:created xsi:type="dcterms:W3CDTF">2019-12-03T00:47:00Z</dcterms:created>
  <dcterms:modified xsi:type="dcterms:W3CDTF">2019-12-13T19:45:00Z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UNEP/OzL.Pro/ExCom/84/22/Add.3</vt:lpwstr>
  </property>
  <property fmtid="{D5CDD505-2E9C-101B-9397-08002B2CF9AE}" pid="3" name="Revision date">
    <vt:lpwstr>12/13/2019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