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Default Extension="png" ContentType="image/png"/>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84CAA" w14:textId="77777777" w:rsidR="00EE66BA" w:rsidRPr="00CE17E9" w:rsidRDefault="00264ACF" w:rsidP="00FB4800">
      <w:r w:rsidRPr="00CE17E9">
        <w:rPr>
          <w:noProof/>
          <w:lang w:val="en-CA" w:eastAsia="zh-CN"/>
        </w:rPr>
        <w:drawing>
          <wp:anchor distT="0" distB="0" distL="114300" distR="114300" simplePos="0" relativeHeight="251658240" behindDoc="1" locked="0" layoutInCell="1" allowOverlap="1" wp14:anchorId="48638C0F" wp14:editId="2E00FC2F">
            <wp:simplePos x="0" y="0"/>
            <wp:positionH relativeFrom="margin">
              <wp:align>right</wp:align>
            </wp:positionH>
            <wp:positionV relativeFrom="paragraph">
              <wp:posOffset>31750</wp:posOffset>
            </wp:positionV>
            <wp:extent cx="5943600" cy="29483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2948305"/>
                    </a:xfrm>
                    <a:prstGeom prst="rect">
                      <a:avLst/>
                    </a:prstGeom>
                  </pic:spPr>
                </pic:pic>
              </a:graphicData>
            </a:graphic>
            <wp14:sizeRelH relativeFrom="page">
              <wp14:pctWidth>0</wp14:pctWidth>
            </wp14:sizeRelH>
            <wp14:sizeRelV relativeFrom="page">
              <wp14:pctHeight>0</wp14:pctHeight>
            </wp14:sizeRelV>
          </wp:anchor>
        </w:drawing>
      </w:r>
      <w:r w:rsidR="006D1D2D" w:rsidRPr="00CE17E9">
        <w:t xml:space="preserve"> </w:t>
      </w:r>
    </w:p>
    <w:p w14:paraId="3DB1E9AE" w14:textId="77777777" w:rsidR="00D0546C" w:rsidRPr="00CE17E9" w:rsidRDefault="00D0546C" w:rsidP="00FB4800">
      <w:pPr>
        <w:tabs>
          <w:tab w:val="left" w:pos="1410"/>
        </w:tabs>
      </w:pPr>
    </w:p>
    <w:p w14:paraId="6D5E7C78" w14:textId="77777777" w:rsidR="00D0546C" w:rsidRPr="00CE17E9" w:rsidRDefault="00D0546C" w:rsidP="00FB4800">
      <w:pPr>
        <w:ind w:left="5040"/>
      </w:pPr>
    </w:p>
    <w:p w14:paraId="5CD9F3A4" w14:textId="279163D1" w:rsidR="003919B9" w:rsidRPr="00CE17E9" w:rsidRDefault="005A4390" w:rsidP="00FB4800">
      <w:pPr>
        <w:ind w:left="5040"/>
      </w:pPr>
      <w:r w:rsidRPr="00CE17E9">
        <w:t xml:space="preserve"> </w:t>
      </w:r>
      <w:r w:rsidRPr="00CE17E9">
        <w:br/>
      </w:r>
      <w:r w:rsidR="000A7C0C" w:rsidRPr="00CE17E9">
        <w:t xml:space="preserve"> </w:t>
      </w:r>
      <w:r w:rsidR="00D0546C" w:rsidRPr="00CE17E9">
        <w:br/>
      </w:r>
      <w:r w:rsidR="00D0546C" w:rsidRPr="00CE17E9">
        <w:br/>
      </w:r>
      <w:r w:rsidR="00D0546C" w:rsidRPr="00CE17E9">
        <w:br/>
      </w:r>
      <w:r w:rsidR="000A7C0C" w:rsidRPr="00CE17E9">
        <w:t xml:space="preserve"> </w:t>
      </w:r>
      <w:r w:rsidR="00CB18E5" w:rsidRPr="00CE17E9">
        <w:fldChar w:fldCharType="begin"/>
      </w:r>
      <w:r w:rsidR="00CB18E5" w:rsidRPr="00CE17E9">
        <w:instrText xml:space="preserve"> DOCPROPERTY "Document number"  \* MERGEFORMAT </w:instrText>
      </w:r>
      <w:r w:rsidR="00CB18E5" w:rsidRPr="00CE17E9">
        <w:fldChar w:fldCharType="separate"/>
      </w:r>
      <w:r w:rsidR="00F3354B" w:rsidRPr="00CE17E9">
        <w:t>UNEP/</w:t>
      </w:r>
      <w:proofErr w:type="spellStart"/>
      <w:r w:rsidR="00F3354B" w:rsidRPr="00CE17E9">
        <w:t>OzL.Pro</w:t>
      </w:r>
      <w:proofErr w:type="spellEnd"/>
      <w:r w:rsidR="00F3354B" w:rsidRPr="00CE17E9">
        <w:t>/</w:t>
      </w:r>
      <w:proofErr w:type="spellStart"/>
      <w:r w:rsidR="00F3354B" w:rsidRPr="00CE17E9">
        <w:t>ExCom</w:t>
      </w:r>
      <w:proofErr w:type="spellEnd"/>
      <w:r w:rsidR="00F3354B" w:rsidRPr="00CE17E9">
        <w:t>/84/17</w:t>
      </w:r>
      <w:r w:rsidR="00CB18E5" w:rsidRPr="00CE17E9">
        <w:fldChar w:fldCharType="end"/>
      </w:r>
      <w:r w:rsidR="003919B9" w:rsidRPr="00CE17E9">
        <w:br/>
      </w:r>
      <w:r w:rsidR="000A7C0C" w:rsidRPr="00CE17E9">
        <w:t xml:space="preserve"> </w:t>
      </w:r>
      <w:r w:rsidR="003919B9" w:rsidRPr="00CE17E9">
        <w:fldChar w:fldCharType="begin"/>
      </w:r>
      <w:r w:rsidR="003919B9" w:rsidRPr="00CE17E9">
        <w:instrText xml:space="preserve"> DOCPROPERTY "Revision date" \@ "d MMMM YYYY"  \* MERGEFORMAT </w:instrText>
      </w:r>
      <w:r w:rsidR="003919B9" w:rsidRPr="00CE17E9">
        <w:fldChar w:fldCharType="separate"/>
      </w:r>
      <w:r w:rsidR="00BD7BAE" w:rsidRPr="00CE17E9">
        <w:t>19 November 2019</w:t>
      </w:r>
      <w:r w:rsidR="003919B9" w:rsidRPr="00CE17E9">
        <w:fldChar w:fldCharType="end"/>
      </w:r>
    </w:p>
    <w:p w14:paraId="3064B1B9" w14:textId="77777777" w:rsidR="003919B9" w:rsidRPr="00CE17E9" w:rsidRDefault="003919B9" w:rsidP="00FB4800"/>
    <w:p w14:paraId="2202C333" w14:textId="77777777" w:rsidR="00EE66BA" w:rsidRPr="00CE17E9" w:rsidRDefault="00EE66BA" w:rsidP="00FB4800">
      <w:pPr>
        <w:tabs>
          <w:tab w:val="left" w:pos="8280"/>
        </w:tabs>
      </w:pPr>
    </w:p>
    <w:p w14:paraId="5F074FD2" w14:textId="77777777" w:rsidR="003919B9" w:rsidRPr="00CE17E9" w:rsidRDefault="003919B9" w:rsidP="00FB4800">
      <w:pPr>
        <w:tabs>
          <w:tab w:val="left" w:pos="8280"/>
        </w:tabs>
      </w:pPr>
    </w:p>
    <w:p w14:paraId="368E1264" w14:textId="77777777" w:rsidR="003919B9" w:rsidRPr="00CE17E9" w:rsidRDefault="00D66982" w:rsidP="00FB4800">
      <w:pPr>
        <w:tabs>
          <w:tab w:val="left" w:pos="3940"/>
        </w:tabs>
      </w:pPr>
      <w:r w:rsidRPr="00CE17E9">
        <w:tab/>
      </w:r>
    </w:p>
    <w:p w14:paraId="03645DC6" w14:textId="77777777" w:rsidR="003919B9" w:rsidRPr="00CE17E9" w:rsidRDefault="003919B9" w:rsidP="00FB4800">
      <w:pPr>
        <w:tabs>
          <w:tab w:val="left" w:pos="8280"/>
        </w:tabs>
      </w:pPr>
    </w:p>
    <w:p w14:paraId="3C6E276F" w14:textId="77777777" w:rsidR="003919B9" w:rsidRPr="00CE17E9" w:rsidRDefault="003919B9" w:rsidP="00FB4800">
      <w:pPr>
        <w:tabs>
          <w:tab w:val="left" w:pos="8280"/>
        </w:tabs>
      </w:pPr>
    </w:p>
    <w:p w14:paraId="68EB9122" w14:textId="77777777" w:rsidR="003919B9" w:rsidRPr="00CE17E9" w:rsidRDefault="003919B9" w:rsidP="00FB4800">
      <w:pPr>
        <w:tabs>
          <w:tab w:val="left" w:pos="8280"/>
        </w:tabs>
      </w:pPr>
    </w:p>
    <w:p w14:paraId="302BADF4" w14:textId="77777777" w:rsidR="003919B9" w:rsidRPr="00CE17E9" w:rsidRDefault="003919B9" w:rsidP="00FB4800">
      <w:pPr>
        <w:tabs>
          <w:tab w:val="left" w:pos="8280"/>
        </w:tabs>
      </w:pPr>
    </w:p>
    <w:p w14:paraId="16BD3300" w14:textId="77777777" w:rsidR="003919B9" w:rsidRPr="00CE17E9" w:rsidRDefault="003919B9" w:rsidP="00FB4800">
      <w:pPr>
        <w:tabs>
          <w:tab w:val="left" w:pos="8280"/>
        </w:tabs>
      </w:pPr>
    </w:p>
    <w:p w14:paraId="735A33CE" w14:textId="77777777" w:rsidR="003919B9" w:rsidRPr="00CE17E9" w:rsidRDefault="003919B9" w:rsidP="00FB4800">
      <w:pPr>
        <w:tabs>
          <w:tab w:val="left" w:pos="8280"/>
        </w:tabs>
      </w:pPr>
    </w:p>
    <w:p w14:paraId="66825780" w14:textId="77777777" w:rsidR="000E59CB" w:rsidRPr="00CE17E9" w:rsidRDefault="000E59CB" w:rsidP="00FB4800">
      <w:pPr>
        <w:tabs>
          <w:tab w:val="left" w:pos="8280"/>
        </w:tabs>
      </w:pPr>
    </w:p>
    <w:p w14:paraId="3163B878" w14:textId="77777777" w:rsidR="004731B8" w:rsidRPr="00CE17E9" w:rsidRDefault="004731B8" w:rsidP="00FB4800">
      <w:pPr>
        <w:tabs>
          <w:tab w:val="left" w:pos="8280"/>
        </w:tabs>
      </w:pPr>
    </w:p>
    <w:p w14:paraId="59A8ADCE" w14:textId="77777777" w:rsidR="006F066A" w:rsidRPr="00CE17E9" w:rsidRDefault="006F066A" w:rsidP="00FB4800">
      <w:pPr>
        <w:pStyle w:val="Heading"/>
        <w:jc w:val="center"/>
        <w:rPr>
          <w:caps/>
          <w:sz w:val="22"/>
          <w:szCs w:val="22"/>
          <w:u w:val="none"/>
          <w:lang w:val="en-CA"/>
        </w:rPr>
      </w:pPr>
      <w:r w:rsidRPr="00CE17E9">
        <w:rPr>
          <w:caps/>
          <w:sz w:val="22"/>
          <w:szCs w:val="22"/>
          <w:u w:val="none"/>
          <w:lang w:val="en-CA"/>
        </w:rPr>
        <w:t>PROGRESS REPORT Of BILATERAL COOPERATION as at 31 december 2018</w:t>
      </w:r>
    </w:p>
    <w:p w14:paraId="3720AC5A" w14:textId="77777777" w:rsidR="006F066A" w:rsidRPr="00CE17E9" w:rsidRDefault="006F066A" w:rsidP="00FB4800">
      <w:pPr>
        <w:pStyle w:val="Heading"/>
        <w:jc w:val="center"/>
        <w:rPr>
          <w:caps/>
          <w:sz w:val="22"/>
          <w:szCs w:val="22"/>
          <w:u w:val="none"/>
          <w:lang w:val="en-CA"/>
        </w:rPr>
      </w:pPr>
    </w:p>
    <w:p w14:paraId="7B80BD7A" w14:textId="48928073" w:rsidR="006F066A" w:rsidRPr="00CE17E9" w:rsidRDefault="006F066A" w:rsidP="00FB4800">
      <w:pPr>
        <w:pStyle w:val="Heading1"/>
        <w:rPr>
          <w:lang w:val="en-CA"/>
        </w:rPr>
      </w:pPr>
      <w:r w:rsidRPr="00CE17E9">
        <w:rPr>
          <w:snapToGrid w:val="0"/>
          <w:lang w:val="en-CA"/>
        </w:rPr>
        <w:t xml:space="preserve">The following </w:t>
      </w:r>
      <w:r w:rsidR="00FB4800" w:rsidRPr="00CE17E9">
        <w:rPr>
          <w:snapToGrid w:val="0"/>
          <w:lang w:val="en-CA"/>
        </w:rPr>
        <w:t xml:space="preserve">non-Article 5 </w:t>
      </w:r>
      <w:r w:rsidRPr="00CE17E9">
        <w:rPr>
          <w:snapToGrid w:val="0"/>
          <w:lang w:val="en-CA"/>
        </w:rPr>
        <w:t>countries currently involved in bilateral cooperation activities submitted progress report</w:t>
      </w:r>
      <w:r w:rsidRPr="00CE17E9">
        <w:rPr>
          <w:rStyle w:val="FootnoteReference"/>
          <w:snapToGrid w:val="0"/>
          <w:sz w:val="22"/>
          <w:szCs w:val="22"/>
          <w:lang w:val="en-CA"/>
        </w:rPr>
        <w:footnoteReference w:id="1"/>
      </w:r>
      <w:r w:rsidRPr="00CE17E9">
        <w:rPr>
          <w:snapToGrid w:val="0"/>
          <w:lang w:val="en-CA"/>
        </w:rPr>
        <w:t xml:space="preserve"> databases: </w:t>
      </w:r>
      <w:r w:rsidRPr="00CE17E9">
        <w:rPr>
          <w:lang w:val="en-CA"/>
        </w:rPr>
        <w:t xml:space="preserve">Australia, </w:t>
      </w:r>
      <w:r w:rsidR="00611B57" w:rsidRPr="00CE17E9">
        <w:rPr>
          <w:lang w:val="en-CA"/>
        </w:rPr>
        <w:t xml:space="preserve">Canada, </w:t>
      </w:r>
      <w:r w:rsidRPr="00CE17E9">
        <w:rPr>
          <w:lang w:val="en-CA"/>
        </w:rPr>
        <w:t>France, Germany, Italy, Japan, the Russian Federation and Spain</w:t>
      </w:r>
      <w:r w:rsidRPr="00CE17E9">
        <w:rPr>
          <w:snapToGrid w:val="0"/>
          <w:lang w:val="en-CA"/>
        </w:rPr>
        <w:t xml:space="preserve">. </w:t>
      </w:r>
      <w:r w:rsidRPr="00CE17E9">
        <w:rPr>
          <w:lang w:val="en-CA"/>
        </w:rPr>
        <w:t xml:space="preserve">Additional data from earlier progress reports for other </w:t>
      </w:r>
      <w:r w:rsidR="00FB4800" w:rsidRPr="00CE17E9">
        <w:rPr>
          <w:lang w:val="en-CA"/>
        </w:rPr>
        <w:t xml:space="preserve">non-Article 5 </w:t>
      </w:r>
      <w:r w:rsidRPr="00CE17E9">
        <w:rPr>
          <w:lang w:val="en-CA"/>
        </w:rPr>
        <w:t>countries previously involved in bilateral cooperation</w:t>
      </w:r>
      <w:r w:rsidRPr="00CE17E9">
        <w:rPr>
          <w:rStyle w:val="FootnoteReference"/>
          <w:sz w:val="22"/>
          <w:szCs w:val="22"/>
          <w:lang w:val="en-CA"/>
        </w:rPr>
        <w:footnoteReference w:id="2"/>
      </w:r>
      <w:r w:rsidRPr="00CE17E9">
        <w:rPr>
          <w:lang w:val="en-CA"/>
        </w:rPr>
        <w:t xml:space="preserve"> covering data for the projects already reported as financially completed are also included in the consolidated progress report.</w:t>
      </w:r>
      <w:r w:rsidRPr="00CE17E9">
        <w:rPr>
          <w:rStyle w:val="FootnoteReference"/>
          <w:sz w:val="22"/>
          <w:szCs w:val="22"/>
          <w:lang w:val="en-CA"/>
        </w:rPr>
        <w:footnoteReference w:id="3"/>
      </w:r>
    </w:p>
    <w:p w14:paraId="14F1E7C9" w14:textId="77777777" w:rsidR="006F066A" w:rsidRPr="00CE17E9" w:rsidRDefault="006F066A" w:rsidP="00FB4800">
      <w:pPr>
        <w:keepNext/>
        <w:rPr>
          <w:b/>
          <w:lang w:val="en-CA"/>
        </w:rPr>
      </w:pPr>
      <w:r w:rsidRPr="00CE17E9">
        <w:rPr>
          <w:b/>
          <w:lang w:val="en-CA"/>
        </w:rPr>
        <w:t>Scope of the document</w:t>
      </w:r>
    </w:p>
    <w:p w14:paraId="1F55C43E" w14:textId="77777777" w:rsidR="006F066A" w:rsidRPr="00CE17E9" w:rsidRDefault="006F066A" w:rsidP="00FB4800">
      <w:pPr>
        <w:keepNext/>
        <w:rPr>
          <w:lang w:val="en-CA"/>
        </w:rPr>
      </w:pPr>
    </w:p>
    <w:p w14:paraId="3856372C" w14:textId="77777777" w:rsidR="006F066A" w:rsidRPr="00CE17E9" w:rsidRDefault="006F066A" w:rsidP="00FB4800">
      <w:pPr>
        <w:pStyle w:val="Heading1"/>
        <w:rPr>
          <w:lang w:val="en-CA"/>
        </w:rPr>
      </w:pPr>
      <w:r w:rsidRPr="00CE17E9">
        <w:rPr>
          <w:lang w:val="en-CA"/>
        </w:rPr>
        <w:t>This document consists of the following parts:</w:t>
      </w:r>
    </w:p>
    <w:p w14:paraId="5E8F52BF" w14:textId="77777777" w:rsidR="006F066A" w:rsidRPr="00CE17E9" w:rsidRDefault="006F066A" w:rsidP="00FB4800">
      <w:pPr>
        <w:pStyle w:val="Heading2"/>
        <w:numPr>
          <w:ilvl w:val="0"/>
          <w:numId w:val="0"/>
        </w:numPr>
        <w:adjustRightInd w:val="0"/>
        <w:ind w:left="2160" w:hanging="1440"/>
        <w:textAlignment w:val="baseline"/>
        <w:rPr>
          <w:szCs w:val="28"/>
          <w:lang w:val="en-CA"/>
        </w:rPr>
      </w:pPr>
      <w:r w:rsidRPr="00CE17E9">
        <w:rPr>
          <w:szCs w:val="28"/>
          <w:lang w:val="en-CA"/>
        </w:rPr>
        <w:t>Part I:</w:t>
      </w:r>
      <w:r w:rsidRPr="00CE17E9">
        <w:rPr>
          <w:szCs w:val="28"/>
          <w:lang w:val="en-CA"/>
        </w:rPr>
        <w:tab/>
        <w:t xml:space="preserve">Projects approved under the </w:t>
      </w:r>
      <w:r w:rsidRPr="00CE17E9">
        <w:t>regular contributions to the Multilateral Fund. It presents a summary of progress in implementation of projects for 201</w:t>
      </w:r>
      <w:r w:rsidR="00611B57" w:rsidRPr="00CE17E9">
        <w:t>8</w:t>
      </w:r>
      <w:r w:rsidRPr="00CE17E9">
        <w:t xml:space="preserve"> and cumulative since 1991</w:t>
      </w:r>
      <w:r w:rsidR="00FB4800" w:rsidRPr="00CE17E9">
        <w:t xml:space="preserve"> addressing all controlled substances under the Montreal Protocol, including Annex F substances (HFCs)</w:t>
      </w:r>
      <w:r w:rsidRPr="00CE17E9">
        <w:t>; it contains a review on the status of implementation of each ongoing</w:t>
      </w:r>
      <w:r w:rsidRPr="00CE17E9">
        <w:rPr>
          <w:rStyle w:val="FootnoteReference"/>
          <w:lang w:val="en-CA"/>
        </w:rPr>
        <w:footnoteReference w:id="4"/>
      </w:r>
      <w:r w:rsidRPr="00CE17E9">
        <w:rPr>
          <w:lang w:val="en-CA"/>
        </w:rPr>
        <w:t xml:space="preserve"> </w:t>
      </w:r>
      <w:r w:rsidRPr="00CE17E9">
        <w:t>project at the country level; and it identifies projects with implementation delays and the potential impact on the phase-out of controlled substances, and projects with outstanding issues for consideration by the Executive Committee.</w:t>
      </w:r>
    </w:p>
    <w:p w14:paraId="3B665955" w14:textId="63BFD1CE" w:rsidR="00FB4800" w:rsidRPr="00CE17E9" w:rsidRDefault="006F066A" w:rsidP="00FB4800">
      <w:pPr>
        <w:pStyle w:val="Heading2"/>
        <w:widowControl/>
        <w:numPr>
          <w:ilvl w:val="0"/>
          <w:numId w:val="0"/>
        </w:numPr>
        <w:adjustRightInd w:val="0"/>
        <w:ind w:left="2160" w:hanging="1440"/>
        <w:textAlignment w:val="baseline"/>
        <w:rPr>
          <w:szCs w:val="28"/>
          <w:lang w:val="en-CA"/>
        </w:rPr>
      </w:pPr>
      <w:r w:rsidRPr="00CE17E9">
        <w:rPr>
          <w:szCs w:val="28"/>
          <w:lang w:val="en-CA"/>
        </w:rPr>
        <w:lastRenderedPageBreak/>
        <w:t>Part II:</w:t>
      </w:r>
      <w:r w:rsidRPr="00CE17E9">
        <w:rPr>
          <w:szCs w:val="28"/>
          <w:lang w:val="en-CA"/>
        </w:rPr>
        <w:tab/>
      </w:r>
      <w:r w:rsidR="00FB4800" w:rsidRPr="00CE17E9">
        <w:rPr>
          <w:szCs w:val="28"/>
          <w:lang w:val="en-CA"/>
        </w:rPr>
        <w:t>Projects approved under the additional voluntary contributions for fast start support for HFC phase-down. It provides a status of implementation</w:t>
      </w:r>
      <w:r w:rsidR="009047AA" w:rsidRPr="00CE17E9">
        <w:rPr>
          <w:szCs w:val="28"/>
          <w:lang w:val="en-CA"/>
        </w:rPr>
        <w:t xml:space="preserve"> of HFC phase</w:t>
      </w:r>
      <w:r w:rsidR="009047AA" w:rsidRPr="00CE17E9">
        <w:rPr>
          <w:szCs w:val="28"/>
          <w:lang w:val="en-CA"/>
        </w:rPr>
        <w:noBreakHyphen/>
      </w:r>
      <w:r w:rsidR="00FB4800" w:rsidRPr="00CE17E9">
        <w:rPr>
          <w:szCs w:val="28"/>
          <w:lang w:val="en-CA"/>
        </w:rPr>
        <w:t>down projects funded under the voluntary contributions.</w:t>
      </w:r>
    </w:p>
    <w:p w14:paraId="607DD397" w14:textId="77777777" w:rsidR="006F066A" w:rsidRPr="00CE17E9" w:rsidRDefault="00C07858" w:rsidP="00FB4800">
      <w:pPr>
        <w:ind w:firstLine="720"/>
        <w:rPr>
          <w:lang w:val="en-CA"/>
        </w:rPr>
      </w:pPr>
      <w:r w:rsidRPr="00CE17E9">
        <w:rPr>
          <w:lang w:val="en-CA"/>
        </w:rPr>
        <w:t>R</w:t>
      </w:r>
      <w:r w:rsidR="006F066A" w:rsidRPr="00CE17E9">
        <w:rPr>
          <w:lang w:val="en-CA"/>
        </w:rPr>
        <w:t>ecommendation.</w:t>
      </w:r>
    </w:p>
    <w:p w14:paraId="562B2D28" w14:textId="77777777" w:rsidR="006F066A" w:rsidRPr="00CE17E9" w:rsidRDefault="006F066A" w:rsidP="00FB4800">
      <w:pPr>
        <w:rPr>
          <w:lang w:val="en-CA"/>
        </w:rPr>
      </w:pPr>
    </w:p>
    <w:p w14:paraId="5170478C" w14:textId="77777777" w:rsidR="006F066A" w:rsidRPr="00CE17E9" w:rsidRDefault="006F066A" w:rsidP="00FB4800">
      <w:pPr>
        <w:pStyle w:val="Heading1"/>
        <w:rPr>
          <w:lang w:val="en-CA"/>
        </w:rPr>
      </w:pPr>
      <w:r w:rsidRPr="00CE17E9">
        <w:rPr>
          <w:lang w:val="en-CA"/>
        </w:rPr>
        <w:t>This document also contains the following annexes:</w:t>
      </w:r>
    </w:p>
    <w:p w14:paraId="5B75B4E7" w14:textId="77777777" w:rsidR="006F066A" w:rsidRPr="00CE17E9" w:rsidRDefault="006F066A" w:rsidP="00FB4800">
      <w:pPr>
        <w:ind w:left="2127" w:hanging="1407"/>
        <w:rPr>
          <w:lang w:val="en-CA"/>
        </w:rPr>
      </w:pPr>
      <w:r w:rsidRPr="00CE17E9">
        <w:rPr>
          <w:lang w:val="en-CA"/>
        </w:rPr>
        <w:t xml:space="preserve">Annex I: </w:t>
      </w:r>
      <w:r w:rsidRPr="00CE17E9">
        <w:rPr>
          <w:lang w:val="en-CA"/>
        </w:rPr>
        <w:tab/>
        <w:t>A summary status and a recommendation for each ongoing project with outstanding issues for consideration by the Executive Committee.</w:t>
      </w:r>
    </w:p>
    <w:p w14:paraId="4DA9E319" w14:textId="77777777" w:rsidR="006F066A" w:rsidRPr="00CE17E9" w:rsidRDefault="006F066A" w:rsidP="00FB4800">
      <w:pPr>
        <w:ind w:left="2127" w:hanging="1407"/>
        <w:rPr>
          <w:lang w:val="en-CA"/>
        </w:rPr>
      </w:pPr>
    </w:p>
    <w:p w14:paraId="097A267A" w14:textId="77777777" w:rsidR="006F066A" w:rsidRPr="00CE17E9" w:rsidRDefault="006F066A" w:rsidP="00FB4800">
      <w:pPr>
        <w:ind w:left="2127" w:hanging="1407"/>
        <w:rPr>
          <w:lang w:val="en-CA"/>
        </w:rPr>
      </w:pPr>
      <w:r w:rsidRPr="00CE17E9">
        <w:rPr>
          <w:lang w:val="en-CA"/>
        </w:rPr>
        <w:t xml:space="preserve">Annex II: </w:t>
      </w:r>
      <w:r w:rsidRPr="00CE17E9">
        <w:rPr>
          <w:lang w:val="en-CA"/>
        </w:rPr>
        <w:tab/>
        <w:t>An analysis of the progress report.</w:t>
      </w:r>
    </w:p>
    <w:p w14:paraId="2E22DB7B" w14:textId="77777777" w:rsidR="00B00646" w:rsidRPr="00CE17E9" w:rsidRDefault="00B00646" w:rsidP="00FB4800">
      <w:pPr>
        <w:ind w:left="2127" w:hanging="1407"/>
        <w:rPr>
          <w:lang w:val="en-CA"/>
        </w:rPr>
      </w:pPr>
    </w:p>
    <w:p w14:paraId="0A4ACA44" w14:textId="22422356" w:rsidR="00FB4800" w:rsidRPr="00CE17E9" w:rsidRDefault="009F666A" w:rsidP="00FB4800">
      <w:pPr>
        <w:rPr>
          <w:u w:val="single"/>
          <w:lang w:val="en-CA"/>
        </w:rPr>
      </w:pPr>
      <w:r w:rsidRPr="00CE17E9">
        <w:rPr>
          <w:u w:val="single"/>
          <w:lang w:val="en-CA"/>
        </w:rPr>
        <w:t>Measurements</w:t>
      </w:r>
      <w:r w:rsidR="00FB4800" w:rsidRPr="00CE17E9">
        <w:rPr>
          <w:u w:val="single"/>
          <w:lang w:val="en-CA"/>
        </w:rPr>
        <w:t xml:space="preserve"> used in the progress reports</w:t>
      </w:r>
    </w:p>
    <w:p w14:paraId="723E383D" w14:textId="77777777" w:rsidR="00FB4800" w:rsidRPr="00CE17E9" w:rsidRDefault="00FB4800" w:rsidP="00FB4800">
      <w:pPr>
        <w:rPr>
          <w:lang w:val="en-CA"/>
        </w:rPr>
      </w:pPr>
    </w:p>
    <w:p w14:paraId="58007C70" w14:textId="3C8126B9" w:rsidR="00FB4800" w:rsidRPr="00CE17E9" w:rsidRDefault="00FB4800" w:rsidP="00FB4800">
      <w:pPr>
        <w:pStyle w:val="Heading1"/>
        <w:rPr>
          <w:lang w:val="en-CA"/>
        </w:rPr>
      </w:pPr>
      <w:r w:rsidRPr="00CE17E9">
        <w:t>Prior to agreement on the Kigali Amendment, all controlled substances under the Montreal Protocol were ozone</w:t>
      </w:r>
      <w:r w:rsidRPr="00CE17E9">
        <w:noBreakHyphen/>
        <w:t>depleting substances, measured in ODP tonnes. Controlled substances under the Kigali Amendment are not ozone</w:t>
      </w:r>
      <w:r w:rsidRPr="00CE17E9">
        <w:noBreakHyphen/>
        <w:t xml:space="preserve">depleting substances, and their control targets are measured in </w:t>
      </w:r>
      <w:proofErr w:type="spellStart"/>
      <w:r w:rsidR="00EB1C46" w:rsidRPr="00CE17E9">
        <w:t>mt</w:t>
      </w:r>
      <w:proofErr w:type="spellEnd"/>
      <w:r w:rsidR="00EB1C46" w:rsidRPr="00CE17E9">
        <w:t xml:space="preserve"> </w:t>
      </w:r>
      <w:r w:rsidRPr="00CE17E9">
        <w:t>CO</w:t>
      </w:r>
      <w:r w:rsidRPr="00CE17E9">
        <w:rPr>
          <w:vertAlign w:val="subscript"/>
        </w:rPr>
        <w:t>2</w:t>
      </w:r>
      <w:r w:rsidRPr="00CE17E9">
        <w:t>-eq</w:t>
      </w:r>
      <w:r w:rsidR="00EB1C46" w:rsidRPr="00CE17E9">
        <w:t>.</w:t>
      </w:r>
      <w:r w:rsidRPr="00CE17E9">
        <w:t xml:space="preserve"> (i.e., consumption in metric tonnes (</w:t>
      </w:r>
      <w:proofErr w:type="spellStart"/>
      <w:r w:rsidRPr="00CE17E9">
        <w:t>mt</w:t>
      </w:r>
      <w:proofErr w:type="spellEnd"/>
      <w:r w:rsidRPr="00CE17E9">
        <w:t xml:space="preserve">) multiplied by the global warming-potential (GWP) of the substance). </w:t>
      </w:r>
      <w:r w:rsidRPr="00CE17E9">
        <w:rPr>
          <w:lang w:val="en-CA"/>
        </w:rPr>
        <w:t>Notwithstanding the two different measurements for reporting controlled substances, the progress report of bilateral cooperation submitted to the 84</w:t>
      </w:r>
      <w:r w:rsidRPr="00CE17E9">
        <w:rPr>
          <w:vertAlign w:val="superscript"/>
          <w:lang w:val="en-CA"/>
        </w:rPr>
        <w:t>th</w:t>
      </w:r>
      <w:r w:rsidRPr="00CE17E9">
        <w:rPr>
          <w:lang w:val="en-CA"/>
        </w:rPr>
        <w:t xml:space="preserve"> meeting are based on ODP tonnes for all controlled substances.</w:t>
      </w:r>
      <w:r w:rsidRPr="00CE17E9">
        <w:rPr>
          <w:rStyle w:val="FootnoteReference"/>
          <w:lang w:val="en-CA"/>
        </w:rPr>
        <w:footnoteReference w:id="5"/>
      </w:r>
      <w:r w:rsidRPr="00CE17E9">
        <w:rPr>
          <w:lang w:val="en-CA"/>
        </w:rPr>
        <w:t xml:space="preserve"> </w:t>
      </w:r>
    </w:p>
    <w:p w14:paraId="52B044C9" w14:textId="77777777" w:rsidR="00166259" w:rsidRPr="00CE17E9" w:rsidRDefault="00166259" w:rsidP="00166259">
      <w:pPr>
        <w:rPr>
          <w:b/>
          <w:lang w:val="en-CA"/>
        </w:rPr>
      </w:pPr>
      <w:r w:rsidRPr="00CE17E9">
        <w:rPr>
          <w:b/>
          <w:lang w:val="en-CA"/>
        </w:rPr>
        <w:t>An overview of HFC phase-down activities</w:t>
      </w:r>
    </w:p>
    <w:p w14:paraId="4F4BA19E" w14:textId="77777777" w:rsidR="00166259" w:rsidRPr="00CE17E9" w:rsidRDefault="00166259" w:rsidP="00166259">
      <w:pPr>
        <w:rPr>
          <w:lang w:val="en-CA"/>
        </w:rPr>
      </w:pPr>
    </w:p>
    <w:p w14:paraId="238418FF" w14:textId="05DF52FC" w:rsidR="00166259" w:rsidRPr="00CE17E9" w:rsidRDefault="00166259" w:rsidP="00B60E69">
      <w:pPr>
        <w:pStyle w:val="Heading1"/>
        <w:rPr>
          <w:lang w:val="en-CA"/>
        </w:rPr>
      </w:pPr>
      <w:r w:rsidRPr="00CE17E9">
        <w:rPr>
          <w:lang w:val="en-CA"/>
        </w:rPr>
        <w:t>A</w:t>
      </w:r>
      <w:r w:rsidR="00B00646" w:rsidRPr="00CE17E9">
        <w:rPr>
          <w:lang w:val="en-CA"/>
        </w:rPr>
        <w:t>s of 31 December 2018, the Executive Committee has approved 14 HFC</w:t>
      </w:r>
      <w:r w:rsidR="00344197" w:rsidRPr="00CE17E9">
        <w:rPr>
          <w:lang w:val="en-CA"/>
        </w:rPr>
        <w:t>-related activities (including three</w:t>
      </w:r>
      <w:r w:rsidR="00B00646" w:rsidRPr="00CE17E9">
        <w:rPr>
          <w:lang w:val="en-CA"/>
        </w:rPr>
        <w:t xml:space="preserve"> investment </w:t>
      </w:r>
      <w:r w:rsidRPr="00CE17E9">
        <w:rPr>
          <w:lang w:val="en-CA"/>
        </w:rPr>
        <w:t xml:space="preserve">projects </w:t>
      </w:r>
      <w:r w:rsidR="00B00646" w:rsidRPr="00CE17E9">
        <w:rPr>
          <w:lang w:val="en-CA"/>
        </w:rPr>
        <w:t>and 11 enabling ac</w:t>
      </w:r>
      <w:r w:rsidR="00AB11E9" w:rsidRPr="00CE17E9">
        <w:rPr>
          <w:lang w:val="en-CA"/>
        </w:rPr>
        <w:t>tivities) amounting to US $1.49 </w:t>
      </w:r>
      <w:r w:rsidR="00B00646" w:rsidRPr="00CE17E9">
        <w:rPr>
          <w:lang w:val="en-CA"/>
        </w:rPr>
        <w:t>million</w:t>
      </w:r>
      <w:r w:rsidRPr="00CE17E9">
        <w:rPr>
          <w:lang w:val="en-CA"/>
        </w:rPr>
        <w:t xml:space="preserve"> (from both the regular and additional voluntary contributions to the Fund). Approved HFC-investment projects will phase down </w:t>
      </w:r>
      <w:r w:rsidR="00E33D18" w:rsidRPr="00CE17E9">
        <w:rPr>
          <w:lang w:val="en-CA"/>
        </w:rPr>
        <w:t>74</w:t>
      </w:r>
      <w:r w:rsidRPr="00CE17E9">
        <w:rPr>
          <w:lang w:val="en-CA"/>
        </w:rPr>
        <w:t xml:space="preserve"> </w:t>
      </w:r>
      <w:proofErr w:type="spellStart"/>
      <w:r w:rsidRPr="00CE17E9">
        <w:rPr>
          <w:lang w:val="en-CA"/>
        </w:rPr>
        <w:t>mt</w:t>
      </w:r>
      <w:proofErr w:type="spellEnd"/>
      <w:r w:rsidRPr="00CE17E9">
        <w:rPr>
          <w:lang w:val="en-CA"/>
        </w:rPr>
        <w:t xml:space="preserve"> (</w:t>
      </w:r>
      <w:r w:rsidR="00A26C5B" w:rsidRPr="00CE17E9">
        <w:rPr>
          <w:lang w:val="en-CA"/>
        </w:rPr>
        <w:t>105,865</w:t>
      </w:r>
      <w:r w:rsidRPr="00CE17E9">
        <w:rPr>
          <w:lang w:val="en-CA"/>
        </w:rPr>
        <w:t xml:space="preserve"> </w:t>
      </w:r>
      <w:proofErr w:type="spellStart"/>
      <w:r w:rsidR="00A26C5B" w:rsidRPr="00CE17E9">
        <w:rPr>
          <w:lang w:val="en-CA"/>
        </w:rPr>
        <w:t>mt</w:t>
      </w:r>
      <w:proofErr w:type="spellEnd"/>
      <w:r w:rsidR="00A26C5B" w:rsidRPr="00CE17E9">
        <w:rPr>
          <w:lang w:val="en-CA"/>
        </w:rPr>
        <w:t xml:space="preserve"> </w:t>
      </w:r>
      <w:r w:rsidRPr="00CE17E9">
        <w:rPr>
          <w:lang w:val="en-CA"/>
        </w:rPr>
        <w:t>CO</w:t>
      </w:r>
      <w:r w:rsidRPr="00CE17E9">
        <w:rPr>
          <w:vertAlign w:val="subscript"/>
          <w:lang w:val="en-CA"/>
        </w:rPr>
        <w:t>2</w:t>
      </w:r>
      <w:r w:rsidRPr="00CE17E9">
        <w:rPr>
          <w:lang w:val="en-CA"/>
        </w:rPr>
        <w:noBreakHyphen/>
        <w:t>eq</w:t>
      </w:r>
      <w:r w:rsidR="00EB1C46" w:rsidRPr="00CE17E9">
        <w:rPr>
          <w:lang w:val="en-CA"/>
        </w:rPr>
        <w:t>.</w:t>
      </w:r>
      <w:r w:rsidRPr="00CE17E9">
        <w:rPr>
          <w:lang w:val="en-CA"/>
        </w:rPr>
        <w:t xml:space="preserve">) of HFCs. </w:t>
      </w:r>
      <w:r w:rsidR="00B60E69" w:rsidRPr="00CE17E9">
        <w:rPr>
          <w:lang w:val="en-CA"/>
        </w:rPr>
        <w:t>Regarding enabling activities, extension of the completion dates of four of these projects was approved at the 83</w:t>
      </w:r>
      <w:r w:rsidR="00B60E69" w:rsidRPr="00CE17E9">
        <w:rPr>
          <w:vertAlign w:val="superscript"/>
          <w:lang w:val="en-CA"/>
        </w:rPr>
        <w:t>rd</w:t>
      </w:r>
      <w:r w:rsidR="00B60E69" w:rsidRPr="00CE17E9">
        <w:rPr>
          <w:lang w:val="en-CA"/>
        </w:rPr>
        <w:t xml:space="preserve"> meeting and requests for extension </w:t>
      </w:r>
      <w:r w:rsidR="009F0107" w:rsidRPr="00CE17E9">
        <w:rPr>
          <w:lang w:val="en-CA"/>
        </w:rPr>
        <w:t>for four</w:t>
      </w:r>
      <w:r w:rsidR="00B60E69" w:rsidRPr="00CE17E9">
        <w:rPr>
          <w:lang w:val="en-CA"/>
        </w:rPr>
        <w:t xml:space="preserve"> others have been submitted to the 84</w:t>
      </w:r>
      <w:r w:rsidR="00B60E69" w:rsidRPr="00CE17E9">
        <w:rPr>
          <w:vertAlign w:val="superscript"/>
          <w:lang w:val="en-CA"/>
        </w:rPr>
        <w:t>th</w:t>
      </w:r>
      <w:r w:rsidR="00B60E69" w:rsidRPr="00CE17E9">
        <w:rPr>
          <w:lang w:val="en-CA"/>
        </w:rPr>
        <w:t xml:space="preserve"> meeting.</w:t>
      </w:r>
    </w:p>
    <w:p w14:paraId="5C507D7B" w14:textId="77777777" w:rsidR="00166259" w:rsidRPr="00CE17E9" w:rsidRDefault="00166259" w:rsidP="00166259">
      <w:pPr>
        <w:rPr>
          <w:b/>
          <w:lang w:val="en-CA"/>
        </w:rPr>
      </w:pPr>
      <w:r w:rsidRPr="00CE17E9">
        <w:rPr>
          <w:b/>
          <w:lang w:val="en-CA"/>
        </w:rPr>
        <w:t>Progress review process by the Secretariat</w:t>
      </w:r>
    </w:p>
    <w:p w14:paraId="16EAC0F6" w14:textId="77777777" w:rsidR="00166259" w:rsidRPr="00CE17E9" w:rsidRDefault="00166259" w:rsidP="00166259">
      <w:pPr>
        <w:rPr>
          <w:lang w:val="en-CA"/>
        </w:rPr>
      </w:pPr>
    </w:p>
    <w:p w14:paraId="46F958B6" w14:textId="77777777" w:rsidR="00166259" w:rsidRPr="00CE17E9" w:rsidRDefault="00166259" w:rsidP="00166259">
      <w:pPr>
        <w:pStyle w:val="Heading1"/>
        <w:rPr>
          <w:lang w:val="en-CA"/>
        </w:rPr>
      </w:pPr>
      <w:r w:rsidRPr="00CE17E9">
        <w:rPr>
          <w:lang w:val="en-CA"/>
        </w:rPr>
        <w:t>The Secretariat reviewed the status of implementation of each ongoing project on a country</w:t>
      </w:r>
      <w:r w:rsidRPr="00CE17E9">
        <w:rPr>
          <w:lang w:val="en-CA"/>
        </w:rPr>
        <w:noBreakHyphen/>
        <w:t>by</w:t>
      </w:r>
      <w:r w:rsidRPr="00CE17E9">
        <w:rPr>
          <w:lang w:val="en-CA"/>
        </w:rPr>
        <w:noBreakHyphen/>
        <w:t>country basis taking into account implementation delays that have occurred with respect to planned completion dates that had been reported in 2018, the potential impact of these delays on the phase</w:t>
      </w:r>
      <w:r w:rsidRPr="00CE17E9">
        <w:rPr>
          <w:lang w:val="en-CA"/>
        </w:rPr>
        <w:noBreakHyphen/>
        <w:t>out of controlled substances and the rate of planned disbursements. The Secretariat had several discussions with relevant bilateral agencies, where a number of issues on ongoing projects were raised and subsequently satisfactorily resolved.</w:t>
      </w:r>
    </w:p>
    <w:p w14:paraId="66CD128F" w14:textId="77777777" w:rsidR="006F066A" w:rsidRPr="00CE17E9" w:rsidRDefault="006F066A" w:rsidP="00A11EE6">
      <w:pPr>
        <w:pStyle w:val="sub-title"/>
        <w:ind w:left="1418" w:hanging="1418"/>
        <w:rPr>
          <w:rFonts w:ascii="Times New Roman Bold" w:hAnsi="Times New Roman Bold"/>
          <w:caps/>
          <w:noProof w:val="0"/>
          <w:szCs w:val="28"/>
          <w:lang w:val="en-CA"/>
        </w:rPr>
      </w:pPr>
      <w:r w:rsidRPr="00CE17E9">
        <w:rPr>
          <w:rFonts w:ascii="Times New Roman Bold" w:hAnsi="Times New Roman Bold"/>
          <w:caps/>
          <w:noProof w:val="0"/>
          <w:szCs w:val="28"/>
          <w:lang w:val="en-CA"/>
        </w:rPr>
        <w:t xml:space="preserve">Part I: </w:t>
      </w:r>
      <w:r w:rsidRPr="00CE17E9">
        <w:rPr>
          <w:rFonts w:ascii="Times New Roman Bold" w:hAnsi="Times New Roman Bold"/>
          <w:caps/>
          <w:noProof w:val="0"/>
          <w:szCs w:val="28"/>
          <w:lang w:val="en-CA"/>
        </w:rPr>
        <w:tab/>
        <w:t>Projects approved under the regular contributions to the Multilateral Fund</w:t>
      </w:r>
    </w:p>
    <w:p w14:paraId="644DECFC" w14:textId="77777777" w:rsidR="006F066A" w:rsidRPr="00CE17E9" w:rsidRDefault="006F066A" w:rsidP="00A11EE6">
      <w:pPr>
        <w:rPr>
          <w:lang w:val="en-CA"/>
        </w:rPr>
      </w:pPr>
    </w:p>
    <w:p w14:paraId="1C89751D" w14:textId="77777777" w:rsidR="006F066A" w:rsidRPr="00CE17E9" w:rsidRDefault="006F066A" w:rsidP="00A11EE6">
      <w:pPr>
        <w:rPr>
          <w:b/>
          <w:lang w:val="en-CA"/>
        </w:rPr>
      </w:pPr>
      <w:r w:rsidRPr="00CE17E9">
        <w:rPr>
          <w:b/>
          <w:lang w:val="en-CA"/>
        </w:rPr>
        <w:t>Summary of progress in implementation of projects for 201</w:t>
      </w:r>
      <w:r w:rsidR="00571604" w:rsidRPr="00CE17E9">
        <w:rPr>
          <w:b/>
          <w:lang w:val="en-CA"/>
        </w:rPr>
        <w:t>8</w:t>
      </w:r>
      <w:r w:rsidRPr="00CE17E9">
        <w:rPr>
          <w:b/>
          <w:lang w:val="en-CA"/>
        </w:rPr>
        <w:t xml:space="preserve"> and cumulative</w:t>
      </w:r>
    </w:p>
    <w:p w14:paraId="605E8CC9" w14:textId="77777777" w:rsidR="006F066A" w:rsidRPr="00CE17E9" w:rsidRDefault="006F066A" w:rsidP="00A11EE6">
      <w:pPr>
        <w:pStyle w:val="Heading1"/>
        <w:numPr>
          <w:ilvl w:val="0"/>
          <w:numId w:val="0"/>
        </w:numPr>
        <w:spacing w:after="0"/>
        <w:rPr>
          <w:lang w:val="en-CA"/>
        </w:rPr>
      </w:pPr>
      <w:bookmarkStart w:id="0" w:name="_GoBack"/>
      <w:bookmarkEnd w:id="0"/>
    </w:p>
    <w:p w14:paraId="264BDE27" w14:textId="77777777" w:rsidR="006F066A" w:rsidRPr="00CE17E9" w:rsidRDefault="006F066A" w:rsidP="00A11EE6">
      <w:pPr>
        <w:pStyle w:val="Heading1"/>
        <w:rPr>
          <w:lang w:val="en-CA"/>
        </w:rPr>
      </w:pPr>
      <w:r w:rsidRPr="00CE17E9">
        <w:rPr>
          <w:lang w:val="en-CA"/>
        </w:rPr>
        <w:t>Implementation of projects and activities by the bilateral agencies for 201</w:t>
      </w:r>
      <w:r w:rsidR="00571604" w:rsidRPr="00CE17E9">
        <w:rPr>
          <w:lang w:val="en-CA"/>
        </w:rPr>
        <w:t>8</w:t>
      </w:r>
      <w:r w:rsidRPr="00CE17E9">
        <w:rPr>
          <w:lang w:val="en-CA"/>
        </w:rPr>
        <w:t xml:space="preserve"> and cumulative since 1992 up to 31 December 201</w:t>
      </w:r>
      <w:r w:rsidR="00571604" w:rsidRPr="00CE17E9">
        <w:rPr>
          <w:lang w:val="en-CA"/>
        </w:rPr>
        <w:t>8</w:t>
      </w:r>
      <w:r w:rsidRPr="00CE17E9">
        <w:rPr>
          <w:lang w:val="en-CA"/>
        </w:rPr>
        <w:t xml:space="preserve"> is summarized as follows:</w:t>
      </w:r>
    </w:p>
    <w:p w14:paraId="47963D8F" w14:textId="77777777" w:rsidR="006F066A" w:rsidRPr="00CE17E9" w:rsidRDefault="006F066A" w:rsidP="00A11EE6">
      <w:pPr>
        <w:pStyle w:val="Heading2"/>
        <w:keepNext/>
        <w:keepLines/>
        <w:rPr>
          <w:lang w:val="en-CA"/>
        </w:rPr>
      </w:pPr>
      <w:r w:rsidRPr="00CE17E9">
        <w:rPr>
          <w:b/>
          <w:bCs/>
          <w:lang w:val="en-CA"/>
        </w:rPr>
        <w:lastRenderedPageBreak/>
        <w:t>Phase-out</w:t>
      </w:r>
      <w:r w:rsidR="009E1F3C" w:rsidRPr="00CE17E9">
        <w:rPr>
          <w:b/>
          <w:bCs/>
          <w:lang w:val="en-CA"/>
        </w:rPr>
        <w:t>:</w:t>
      </w:r>
      <w:r w:rsidR="00B00646" w:rsidRPr="00CE17E9">
        <w:rPr>
          <w:rStyle w:val="FootnoteReference"/>
          <w:bCs/>
          <w:lang w:val="en-CA"/>
        </w:rPr>
        <w:footnoteReference w:id="6"/>
      </w:r>
      <w:r w:rsidRPr="00CE17E9">
        <w:rPr>
          <w:lang w:val="en-CA"/>
        </w:rPr>
        <w:t xml:space="preserve"> In 201</w:t>
      </w:r>
      <w:r w:rsidR="00F21AEA" w:rsidRPr="00CE17E9">
        <w:rPr>
          <w:lang w:val="en-CA"/>
        </w:rPr>
        <w:t>8</w:t>
      </w:r>
      <w:r w:rsidRPr="00CE17E9">
        <w:rPr>
          <w:lang w:val="en-CA"/>
        </w:rPr>
        <w:t xml:space="preserve">, </w:t>
      </w:r>
      <w:r w:rsidR="00F21AEA" w:rsidRPr="00CE17E9">
        <w:rPr>
          <w:lang w:val="en-CA"/>
        </w:rPr>
        <w:t>12.2</w:t>
      </w:r>
      <w:r w:rsidRPr="00CE17E9">
        <w:rPr>
          <w:lang w:val="en-CA"/>
        </w:rPr>
        <w:t> ODP tonnes of consumption</w:t>
      </w:r>
      <w:r w:rsidR="00C05DD7" w:rsidRPr="00CE17E9">
        <w:rPr>
          <w:lang w:val="en-CA"/>
        </w:rPr>
        <w:t xml:space="preserve"> of controlled substances</w:t>
      </w:r>
      <w:r w:rsidRPr="00CE17E9">
        <w:rPr>
          <w:lang w:val="en-CA"/>
        </w:rPr>
        <w:t xml:space="preserve"> were phased out and an additional 16</w:t>
      </w:r>
      <w:r w:rsidR="00F21AEA" w:rsidRPr="00CE17E9">
        <w:rPr>
          <w:lang w:val="en-CA"/>
        </w:rPr>
        <w:t>2</w:t>
      </w:r>
      <w:r w:rsidRPr="00CE17E9">
        <w:rPr>
          <w:lang w:val="en-CA"/>
        </w:rPr>
        <w:t>.</w:t>
      </w:r>
      <w:r w:rsidR="00F21AEA" w:rsidRPr="00CE17E9">
        <w:rPr>
          <w:lang w:val="en-CA"/>
        </w:rPr>
        <w:t>8</w:t>
      </w:r>
      <w:r w:rsidRPr="00CE17E9">
        <w:rPr>
          <w:lang w:val="en-CA"/>
        </w:rPr>
        <w:t xml:space="preserve"> ODP tonnes of consumption </w:t>
      </w:r>
      <w:r w:rsidR="00B00646" w:rsidRPr="00CE17E9">
        <w:rPr>
          <w:lang w:val="en-CA"/>
        </w:rPr>
        <w:t xml:space="preserve">of controlled substances </w:t>
      </w:r>
      <w:r w:rsidRPr="00CE17E9">
        <w:rPr>
          <w:lang w:val="en-CA"/>
        </w:rPr>
        <w:t xml:space="preserve">were approved for phase-out. Since 1992, </w:t>
      </w:r>
      <w:r w:rsidR="00F21AEA" w:rsidRPr="00CE17E9">
        <w:rPr>
          <w:lang w:val="en-CA"/>
        </w:rPr>
        <w:t xml:space="preserve">9,122 </w:t>
      </w:r>
      <w:r w:rsidRPr="00CE17E9">
        <w:rPr>
          <w:lang w:val="en-CA"/>
        </w:rPr>
        <w:t>ODP tonnes of consumption</w:t>
      </w:r>
      <w:r w:rsidR="00B00646" w:rsidRPr="00CE17E9">
        <w:rPr>
          <w:lang w:val="en-CA"/>
        </w:rPr>
        <w:t xml:space="preserve"> of controlled substances</w:t>
      </w:r>
      <w:r w:rsidRPr="00CE17E9">
        <w:rPr>
          <w:lang w:val="en-CA"/>
        </w:rPr>
        <w:t xml:space="preserve"> had been phased out, of an expected total of </w:t>
      </w:r>
      <w:r w:rsidR="00F21AEA" w:rsidRPr="00CE17E9">
        <w:rPr>
          <w:lang w:val="en-CA"/>
        </w:rPr>
        <w:t xml:space="preserve">10,372 </w:t>
      </w:r>
      <w:r w:rsidRPr="00CE17E9">
        <w:rPr>
          <w:lang w:val="en-CA"/>
        </w:rPr>
        <w:t>ODP tonnes from projects approved (excluding cancelled and transferred projects);</w:t>
      </w:r>
    </w:p>
    <w:p w14:paraId="69C4640C" w14:textId="77777777" w:rsidR="006F066A" w:rsidRPr="00CE17E9" w:rsidRDefault="006F066A" w:rsidP="00FB4800">
      <w:pPr>
        <w:pStyle w:val="Heading2"/>
        <w:rPr>
          <w:lang w:val="en-CA"/>
        </w:rPr>
      </w:pPr>
      <w:r w:rsidRPr="00CE17E9">
        <w:rPr>
          <w:b/>
          <w:bCs/>
          <w:lang w:val="en-CA"/>
        </w:rPr>
        <w:t>Disbursements/approvals:</w:t>
      </w:r>
      <w:r w:rsidR="00872E58" w:rsidRPr="00CE17E9">
        <w:rPr>
          <w:lang w:val="en-CA"/>
        </w:rPr>
        <w:t xml:space="preserve"> In 2018</w:t>
      </w:r>
      <w:r w:rsidRPr="00CE17E9">
        <w:rPr>
          <w:lang w:val="en-CA"/>
        </w:rPr>
        <w:t>, US $</w:t>
      </w:r>
      <w:r w:rsidR="00872E58" w:rsidRPr="00CE17E9">
        <w:rPr>
          <w:lang w:val="en-CA"/>
        </w:rPr>
        <w:t>3.89</w:t>
      </w:r>
      <w:r w:rsidRPr="00CE17E9">
        <w:rPr>
          <w:lang w:val="en-CA"/>
        </w:rPr>
        <w:t> million was disbursed and US $</w:t>
      </w:r>
      <w:r w:rsidR="00872E58" w:rsidRPr="00CE17E9">
        <w:rPr>
          <w:lang w:val="en-CA"/>
        </w:rPr>
        <w:t>3.69</w:t>
      </w:r>
      <w:r w:rsidRPr="00CE17E9">
        <w:rPr>
          <w:lang w:val="en-CA"/>
        </w:rPr>
        <w:t> million was planned for disbursement based on the 201</w:t>
      </w:r>
      <w:r w:rsidR="00872E58" w:rsidRPr="00CE17E9">
        <w:rPr>
          <w:lang w:val="en-CA"/>
        </w:rPr>
        <w:t>7</w:t>
      </w:r>
      <w:r w:rsidRPr="00CE17E9">
        <w:rPr>
          <w:lang w:val="en-CA"/>
        </w:rPr>
        <w:t xml:space="preserve"> progress report, representing a rate of disbursement of </w:t>
      </w:r>
      <w:r w:rsidR="00872E58" w:rsidRPr="00CE17E9">
        <w:rPr>
          <w:lang w:val="en-CA"/>
        </w:rPr>
        <w:t>105</w:t>
      </w:r>
      <w:r w:rsidRPr="00CE17E9">
        <w:rPr>
          <w:lang w:val="en-CA"/>
        </w:rPr>
        <w:t xml:space="preserve"> per cent of that planned. Cumulatively, US $1</w:t>
      </w:r>
      <w:r w:rsidR="00872E58" w:rsidRPr="00CE17E9">
        <w:rPr>
          <w:lang w:val="en-CA"/>
        </w:rPr>
        <w:t>43.56</w:t>
      </w:r>
      <w:r w:rsidRPr="00CE17E9">
        <w:rPr>
          <w:lang w:val="en-CA"/>
        </w:rPr>
        <w:t xml:space="preserve"> million had been disbursed out of the total US $15</w:t>
      </w:r>
      <w:r w:rsidR="00872E58" w:rsidRPr="00CE17E9">
        <w:rPr>
          <w:lang w:val="en-CA"/>
        </w:rPr>
        <w:t>7.35</w:t>
      </w:r>
      <w:r w:rsidRPr="00CE17E9">
        <w:rPr>
          <w:lang w:val="en-CA"/>
        </w:rPr>
        <w:t xml:space="preserve"> million approved for disbursement (excluding agency support costs). This represents a rate of disbursement of 9</w:t>
      </w:r>
      <w:r w:rsidR="00872E58" w:rsidRPr="00CE17E9">
        <w:rPr>
          <w:lang w:val="en-CA"/>
        </w:rPr>
        <w:t>1</w:t>
      </w:r>
      <w:r w:rsidRPr="00CE17E9">
        <w:rPr>
          <w:lang w:val="en-CA"/>
        </w:rPr>
        <w:t> per cent. In 201</w:t>
      </w:r>
      <w:r w:rsidR="00872E58" w:rsidRPr="00CE17E9">
        <w:rPr>
          <w:lang w:val="en-CA"/>
        </w:rPr>
        <w:t>8</w:t>
      </w:r>
      <w:r w:rsidRPr="00CE17E9">
        <w:rPr>
          <w:lang w:val="en-CA"/>
        </w:rPr>
        <w:t>, US $</w:t>
      </w:r>
      <w:r w:rsidR="00872E58" w:rsidRPr="00CE17E9">
        <w:rPr>
          <w:lang w:val="en-CA"/>
        </w:rPr>
        <w:t>7.05</w:t>
      </w:r>
      <w:r w:rsidRPr="00CE17E9">
        <w:rPr>
          <w:lang w:val="en-CA"/>
        </w:rPr>
        <w:t> million was approved for implementation;</w:t>
      </w:r>
    </w:p>
    <w:p w14:paraId="2E3F1D0B" w14:textId="77777777" w:rsidR="006F066A" w:rsidRPr="00CE17E9" w:rsidRDefault="006F066A" w:rsidP="00FB4800">
      <w:pPr>
        <w:pStyle w:val="Heading2"/>
        <w:rPr>
          <w:lang w:val="en-CA"/>
        </w:rPr>
      </w:pPr>
      <w:r w:rsidRPr="00CE17E9">
        <w:rPr>
          <w:b/>
          <w:bCs/>
          <w:lang w:val="en-CA"/>
        </w:rPr>
        <w:t>Number of projects completed:</w:t>
      </w:r>
      <w:r w:rsidRPr="00CE17E9">
        <w:rPr>
          <w:lang w:val="en-CA"/>
        </w:rPr>
        <w:t xml:space="preserve"> In 201</w:t>
      </w:r>
      <w:r w:rsidR="001A2838" w:rsidRPr="00CE17E9">
        <w:rPr>
          <w:lang w:val="en-CA"/>
        </w:rPr>
        <w:t>8</w:t>
      </w:r>
      <w:r w:rsidRPr="00CE17E9">
        <w:rPr>
          <w:lang w:val="en-CA"/>
        </w:rPr>
        <w:t xml:space="preserve">, </w:t>
      </w:r>
      <w:r w:rsidR="001A2838" w:rsidRPr="00CE17E9">
        <w:rPr>
          <w:lang w:val="en-CA"/>
        </w:rPr>
        <w:t>eight</w:t>
      </w:r>
      <w:r w:rsidRPr="00CE17E9">
        <w:rPr>
          <w:lang w:val="en-CA"/>
        </w:rPr>
        <w:t> projects were completed. Since 1992, 6</w:t>
      </w:r>
      <w:r w:rsidR="001A2838" w:rsidRPr="00CE17E9">
        <w:rPr>
          <w:lang w:val="en-CA"/>
        </w:rPr>
        <w:t>31</w:t>
      </w:r>
      <w:r w:rsidRPr="00CE17E9">
        <w:rPr>
          <w:lang w:val="en-CA"/>
        </w:rPr>
        <w:t xml:space="preserve"> projects of the </w:t>
      </w:r>
      <w:r w:rsidR="001A2838" w:rsidRPr="00CE17E9">
        <w:rPr>
          <w:lang w:val="en-CA"/>
        </w:rPr>
        <w:t>686</w:t>
      </w:r>
      <w:r w:rsidRPr="00CE17E9">
        <w:rPr>
          <w:lang w:val="en-CA"/>
        </w:rPr>
        <w:t> projects</w:t>
      </w:r>
      <w:r w:rsidR="009E1F3C" w:rsidRPr="00CE17E9">
        <w:rPr>
          <w:lang w:val="en-CA"/>
        </w:rPr>
        <w:t xml:space="preserve"> approved</w:t>
      </w:r>
      <w:r w:rsidRPr="00CE17E9">
        <w:rPr>
          <w:lang w:val="en-CA"/>
        </w:rPr>
        <w:t xml:space="preserve"> (excluding closed or transferred projects) were completed. This represents a completion rate of 9</w:t>
      </w:r>
      <w:r w:rsidR="001A2838" w:rsidRPr="00CE17E9">
        <w:rPr>
          <w:lang w:val="en-CA"/>
        </w:rPr>
        <w:t>2</w:t>
      </w:r>
      <w:r w:rsidRPr="00CE17E9">
        <w:rPr>
          <w:lang w:val="en-CA"/>
        </w:rPr>
        <w:t> per cent;</w:t>
      </w:r>
    </w:p>
    <w:p w14:paraId="4649EC10" w14:textId="77777777" w:rsidR="006F066A" w:rsidRPr="00CE17E9" w:rsidRDefault="006F066A" w:rsidP="00FB4800">
      <w:pPr>
        <w:pStyle w:val="Heading2"/>
        <w:rPr>
          <w:lang w:val="en-CA"/>
        </w:rPr>
      </w:pPr>
      <w:r w:rsidRPr="00CE17E9">
        <w:rPr>
          <w:b/>
          <w:lang w:val="en-CA"/>
        </w:rPr>
        <w:t xml:space="preserve">Speed of delivery – investment projects: </w:t>
      </w:r>
      <w:r w:rsidRPr="00CE17E9">
        <w:rPr>
          <w:lang w:val="en-CA"/>
        </w:rPr>
        <w:t>Projects that were completed in 201</w:t>
      </w:r>
      <w:r w:rsidR="00466E11" w:rsidRPr="00CE17E9">
        <w:rPr>
          <w:lang w:val="en-CA"/>
        </w:rPr>
        <w:t>8</w:t>
      </w:r>
      <w:r w:rsidRPr="00CE17E9">
        <w:rPr>
          <w:lang w:val="en-CA"/>
        </w:rPr>
        <w:t xml:space="preserve"> were completed on average </w:t>
      </w:r>
      <w:r w:rsidR="00466E11" w:rsidRPr="00CE17E9">
        <w:rPr>
          <w:lang w:val="en-CA"/>
        </w:rPr>
        <w:t>30</w:t>
      </w:r>
      <w:r w:rsidRPr="00CE17E9">
        <w:rPr>
          <w:lang w:val="en-CA"/>
        </w:rPr>
        <w:t xml:space="preserve"> months after their approval. Since 1992, the average time for completion of investment projects has been 4</w:t>
      </w:r>
      <w:r w:rsidR="006C1C79" w:rsidRPr="00CE17E9">
        <w:rPr>
          <w:lang w:val="en-CA"/>
        </w:rPr>
        <w:t>0</w:t>
      </w:r>
      <w:r w:rsidRPr="00CE17E9">
        <w:rPr>
          <w:lang w:val="en-CA"/>
        </w:rPr>
        <w:t xml:space="preserve"> months after their approval. First disbursements under these projects occurred, on average, 1</w:t>
      </w:r>
      <w:r w:rsidR="006C1C79" w:rsidRPr="00CE17E9">
        <w:rPr>
          <w:lang w:val="en-CA"/>
        </w:rPr>
        <w:t>1</w:t>
      </w:r>
      <w:r w:rsidRPr="00CE17E9">
        <w:rPr>
          <w:lang w:val="en-CA"/>
        </w:rPr>
        <w:t xml:space="preserve"> months after they had been approved;</w:t>
      </w:r>
    </w:p>
    <w:p w14:paraId="1CF1FD14" w14:textId="77777777" w:rsidR="006F066A" w:rsidRPr="00CE17E9" w:rsidRDefault="006F066A" w:rsidP="00FB4800">
      <w:pPr>
        <w:pStyle w:val="Heading2"/>
        <w:rPr>
          <w:lang w:val="en-CA"/>
        </w:rPr>
      </w:pPr>
      <w:r w:rsidRPr="00CE17E9">
        <w:rPr>
          <w:b/>
          <w:lang w:val="en-CA"/>
        </w:rPr>
        <w:t>Speed of delivery – non investment projects:</w:t>
      </w:r>
      <w:r w:rsidRPr="00CE17E9">
        <w:rPr>
          <w:lang w:val="en-CA"/>
        </w:rPr>
        <w:t xml:space="preserve"> Projects that were completed in 201</w:t>
      </w:r>
      <w:r w:rsidR="00466E11" w:rsidRPr="00CE17E9">
        <w:rPr>
          <w:lang w:val="en-CA"/>
        </w:rPr>
        <w:t>8</w:t>
      </w:r>
      <w:r w:rsidRPr="00CE17E9">
        <w:rPr>
          <w:lang w:val="en-CA"/>
        </w:rPr>
        <w:t xml:space="preserve"> were completed 5</w:t>
      </w:r>
      <w:r w:rsidR="00466E11" w:rsidRPr="00CE17E9">
        <w:rPr>
          <w:lang w:val="en-CA"/>
        </w:rPr>
        <w:t>2</w:t>
      </w:r>
      <w:r w:rsidRPr="00CE17E9">
        <w:rPr>
          <w:lang w:val="en-CA"/>
        </w:rPr>
        <w:t xml:space="preserve"> months after </w:t>
      </w:r>
      <w:r w:rsidR="009E1F3C" w:rsidRPr="00CE17E9">
        <w:rPr>
          <w:lang w:val="en-CA"/>
        </w:rPr>
        <w:t>their</w:t>
      </w:r>
      <w:r w:rsidRPr="00CE17E9">
        <w:rPr>
          <w:lang w:val="en-CA"/>
        </w:rPr>
        <w:t xml:space="preserve"> approval. Since 1992, the average time for completion of non-investment projects has been 43 months after their approval. First disbursements under these projects occurred, on average, 13 months after they had been approved;</w:t>
      </w:r>
    </w:p>
    <w:p w14:paraId="0A86A4E3" w14:textId="77777777" w:rsidR="006F066A" w:rsidRPr="00CE17E9" w:rsidRDefault="006F066A" w:rsidP="00FB4800">
      <w:pPr>
        <w:pStyle w:val="Heading2"/>
        <w:rPr>
          <w:lang w:val="en-CA"/>
        </w:rPr>
      </w:pPr>
      <w:r w:rsidRPr="00CE17E9">
        <w:rPr>
          <w:b/>
          <w:bCs/>
          <w:lang w:val="en-CA"/>
        </w:rPr>
        <w:t xml:space="preserve">Project preparation: </w:t>
      </w:r>
      <w:r w:rsidRPr="00CE17E9">
        <w:rPr>
          <w:lang w:val="en-CA"/>
        </w:rPr>
        <w:t>Of the 12</w:t>
      </w:r>
      <w:r w:rsidR="006C1C79" w:rsidRPr="00CE17E9">
        <w:rPr>
          <w:lang w:val="en-CA"/>
        </w:rPr>
        <w:t>3</w:t>
      </w:r>
      <w:r w:rsidRPr="00CE17E9">
        <w:rPr>
          <w:lang w:val="en-CA"/>
        </w:rPr>
        <w:t> project preparation activities approved by the end of 201</w:t>
      </w:r>
      <w:r w:rsidR="006C1C79" w:rsidRPr="00CE17E9">
        <w:rPr>
          <w:lang w:val="en-CA"/>
        </w:rPr>
        <w:t>8</w:t>
      </w:r>
      <w:r w:rsidRPr="00CE17E9">
        <w:rPr>
          <w:lang w:val="en-CA"/>
        </w:rPr>
        <w:t>, 12</w:t>
      </w:r>
      <w:r w:rsidR="006C1C79" w:rsidRPr="00CE17E9">
        <w:rPr>
          <w:lang w:val="en-CA"/>
        </w:rPr>
        <w:t>2</w:t>
      </w:r>
      <w:r w:rsidRPr="00CE17E9">
        <w:rPr>
          <w:lang w:val="en-CA"/>
        </w:rPr>
        <w:t> have been completed</w:t>
      </w:r>
      <w:r w:rsidR="00A60E45" w:rsidRPr="00CE17E9">
        <w:rPr>
          <w:lang w:val="en-CA"/>
        </w:rPr>
        <w:t>, leaving one ongoing</w:t>
      </w:r>
      <w:r w:rsidRPr="00CE17E9">
        <w:rPr>
          <w:lang w:val="en-CA"/>
        </w:rPr>
        <w:t>. In 201</w:t>
      </w:r>
      <w:r w:rsidR="00466E11" w:rsidRPr="00CE17E9">
        <w:rPr>
          <w:lang w:val="en-CA"/>
        </w:rPr>
        <w:t>8</w:t>
      </w:r>
      <w:r w:rsidRPr="00CE17E9">
        <w:rPr>
          <w:lang w:val="en-CA"/>
        </w:rPr>
        <w:t xml:space="preserve">, </w:t>
      </w:r>
      <w:r w:rsidR="00466E11" w:rsidRPr="00CE17E9">
        <w:rPr>
          <w:lang w:val="en-CA"/>
        </w:rPr>
        <w:t>one</w:t>
      </w:r>
      <w:r w:rsidRPr="00CE17E9">
        <w:rPr>
          <w:lang w:val="en-CA"/>
        </w:rPr>
        <w:t xml:space="preserve"> project was completed;</w:t>
      </w:r>
    </w:p>
    <w:p w14:paraId="6A7049EA" w14:textId="77777777" w:rsidR="006F066A" w:rsidRPr="00CE17E9" w:rsidRDefault="006F066A" w:rsidP="00FB4800">
      <w:pPr>
        <w:pStyle w:val="Heading2"/>
        <w:rPr>
          <w:lang w:val="en-CA"/>
        </w:rPr>
      </w:pPr>
      <w:r w:rsidRPr="00CE17E9">
        <w:rPr>
          <w:b/>
          <w:bCs/>
          <w:lang w:val="en-CA"/>
        </w:rPr>
        <w:t>Implementation delays:</w:t>
      </w:r>
      <w:r w:rsidRPr="00CE17E9">
        <w:rPr>
          <w:lang w:val="en-CA"/>
        </w:rPr>
        <w:t xml:space="preserve"> There were a total of 3</w:t>
      </w:r>
      <w:r w:rsidR="00543E0D" w:rsidRPr="00CE17E9">
        <w:rPr>
          <w:lang w:val="en-CA"/>
        </w:rPr>
        <w:t>9</w:t>
      </w:r>
      <w:r w:rsidRPr="00CE17E9">
        <w:rPr>
          <w:lang w:val="en-CA"/>
        </w:rPr>
        <w:t> ongoing investment projects under implementation at the end of 201</w:t>
      </w:r>
      <w:r w:rsidR="00543E0D" w:rsidRPr="00CE17E9">
        <w:rPr>
          <w:lang w:val="en-CA"/>
        </w:rPr>
        <w:t>8</w:t>
      </w:r>
      <w:r w:rsidRPr="00CE17E9">
        <w:rPr>
          <w:lang w:val="en-CA"/>
        </w:rPr>
        <w:t xml:space="preserve">. These projects, on average, are experiencing a delay of </w:t>
      </w:r>
      <w:r w:rsidR="00543E0D" w:rsidRPr="00CE17E9">
        <w:rPr>
          <w:lang w:val="en-CA"/>
        </w:rPr>
        <w:t>23</w:t>
      </w:r>
      <w:r w:rsidRPr="00CE17E9">
        <w:rPr>
          <w:lang w:val="en-CA"/>
        </w:rPr>
        <w:t> months. However, there are no projects classified as “projects with implementation delays” that are subject to the procedures of project cancellation (as multi</w:t>
      </w:r>
      <w:r w:rsidRPr="00CE17E9">
        <w:rPr>
          <w:lang w:val="en-CA"/>
        </w:rPr>
        <w:noBreakHyphen/>
        <w:t>year agreements (MYAs) are not subject to those procedures); and</w:t>
      </w:r>
    </w:p>
    <w:p w14:paraId="70D091B6" w14:textId="77777777" w:rsidR="006F066A" w:rsidRPr="00CE17E9" w:rsidRDefault="006F066A" w:rsidP="00FB4800">
      <w:pPr>
        <w:pStyle w:val="Heading2"/>
        <w:rPr>
          <w:lang w:val="en-CA"/>
        </w:rPr>
      </w:pPr>
      <w:r w:rsidRPr="00CE17E9">
        <w:rPr>
          <w:b/>
          <w:lang w:val="en-CA"/>
        </w:rPr>
        <w:t>MYAs</w:t>
      </w:r>
      <w:r w:rsidRPr="00CE17E9">
        <w:rPr>
          <w:lang w:val="en-CA"/>
        </w:rPr>
        <w:t>: In 201</w:t>
      </w:r>
      <w:r w:rsidR="00543E0D" w:rsidRPr="00CE17E9">
        <w:rPr>
          <w:lang w:val="en-CA"/>
        </w:rPr>
        <w:t>8</w:t>
      </w:r>
      <w:r w:rsidRPr="00CE17E9">
        <w:rPr>
          <w:lang w:val="en-CA"/>
        </w:rPr>
        <w:t>, bila</w:t>
      </w:r>
      <w:r w:rsidR="006E784E" w:rsidRPr="00CE17E9">
        <w:rPr>
          <w:lang w:val="en-CA"/>
        </w:rPr>
        <w:t xml:space="preserve">teral agencies </w:t>
      </w:r>
      <w:r w:rsidR="00BE4310" w:rsidRPr="00CE17E9">
        <w:rPr>
          <w:lang w:val="en-CA"/>
        </w:rPr>
        <w:t>were</w:t>
      </w:r>
      <w:r w:rsidR="006E784E" w:rsidRPr="00CE17E9">
        <w:rPr>
          <w:lang w:val="en-CA"/>
        </w:rPr>
        <w:t xml:space="preserve"> implementing </w:t>
      </w:r>
      <w:r w:rsidRPr="00CE17E9">
        <w:rPr>
          <w:lang w:val="en-CA"/>
        </w:rPr>
        <w:t>3</w:t>
      </w:r>
      <w:r w:rsidR="006E784E" w:rsidRPr="00CE17E9">
        <w:rPr>
          <w:lang w:val="en-CA"/>
        </w:rPr>
        <w:t>1</w:t>
      </w:r>
      <w:r w:rsidRPr="00CE17E9">
        <w:rPr>
          <w:lang w:val="en-CA"/>
        </w:rPr>
        <w:t> MYAs for HCFC phase-out management plans (HPMPs). Since 1992, 8</w:t>
      </w:r>
      <w:r w:rsidR="006E784E" w:rsidRPr="00CE17E9">
        <w:rPr>
          <w:lang w:val="en-CA"/>
        </w:rPr>
        <w:t>1</w:t>
      </w:r>
      <w:r w:rsidRPr="00CE17E9">
        <w:rPr>
          <w:lang w:val="en-CA"/>
        </w:rPr>
        <w:t xml:space="preserve"> MYAs have been approved and </w:t>
      </w:r>
      <w:r w:rsidR="006E784E" w:rsidRPr="00CE17E9">
        <w:rPr>
          <w:lang w:val="en-CA"/>
        </w:rPr>
        <w:t>50</w:t>
      </w:r>
      <w:r w:rsidRPr="00CE17E9">
        <w:rPr>
          <w:lang w:val="en-CA"/>
        </w:rPr>
        <w:t> MYAs have been completed.</w:t>
      </w:r>
    </w:p>
    <w:p w14:paraId="0C72EF0D" w14:textId="77777777" w:rsidR="006F066A" w:rsidRPr="00CE17E9" w:rsidRDefault="006F066A" w:rsidP="00FB4800">
      <w:pPr>
        <w:pStyle w:val="a--"/>
        <w:suppressAutoHyphens w:val="0"/>
        <w:spacing w:after="240"/>
        <w:rPr>
          <w:sz w:val="22"/>
          <w:szCs w:val="22"/>
          <w:lang w:val="en-CA"/>
        </w:rPr>
      </w:pPr>
      <w:r w:rsidRPr="00CE17E9">
        <w:rPr>
          <w:sz w:val="22"/>
          <w:szCs w:val="22"/>
          <w:lang w:val="en-CA"/>
        </w:rPr>
        <w:t>Project implementation progress in 201</w:t>
      </w:r>
      <w:r w:rsidR="00956D57" w:rsidRPr="00CE17E9">
        <w:rPr>
          <w:sz w:val="22"/>
          <w:szCs w:val="22"/>
          <w:lang w:val="en-CA"/>
        </w:rPr>
        <w:t>8</w:t>
      </w:r>
    </w:p>
    <w:p w14:paraId="304989FC" w14:textId="343E2797" w:rsidR="006F066A" w:rsidRPr="00CE17E9" w:rsidRDefault="00C70D3B" w:rsidP="00FB4800">
      <w:pPr>
        <w:pStyle w:val="Heading1"/>
        <w:rPr>
          <w:lang w:val="en-CA"/>
        </w:rPr>
      </w:pPr>
      <w:r w:rsidRPr="00CE17E9">
        <w:rPr>
          <w:lang w:val="en-CA"/>
        </w:rPr>
        <w:t xml:space="preserve">Further to the review process, </w:t>
      </w:r>
      <w:r w:rsidR="006B149B" w:rsidRPr="00CE17E9">
        <w:rPr>
          <w:lang w:val="en-CA"/>
        </w:rPr>
        <w:t>a number of issues were resolved</w:t>
      </w:r>
      <w:r w:rsidR="00117042" w:rsidRPr="00CE17E9">
        <w:rPr>
          <w:lang w:val="en-CA"/>
        </w:rPr>
        <w:t xml:space="preserve">, except for </w:t>
      </w:r>
      <w:r w:rsidR="00811AE1" w:rsidRPr="00CE17E9">
        <w:rPr>
          <w:lang w:val="en-CA"/>
        </w:rPr>
        <w:t>one tranche</w:t>
      </w:r>
      <w:r w:rsidR="006F066A" w:rsidRPr="00CE17E9">
        <w:rPr>
          <w:lang w:val="en-CA"/>
        </w:rPr>
        <w:t xml:space="preserve"> of </w:t>
      </w:r>
      <w:r w:rsidR="00117042" w:rsidRPr="00CE17E9">
        <w:rPr>
          <w:lang w:val="en-CA"/>
        </w:rPr>
        <w:t xml:space="preserve">the </w:t>
      </w:r>
      <w:r w:rsidR="006F066A" w:rsidRPr="00CE17E9">
        <w:rPr>
          <w:lang w:val="en-CA"/>
        </w:rPr>
        <w:t xml:space="preserve">MYA for </w:t>
      </w:r>
      <w:r w:rsidR="00E41B18" w:rsidRPr="00CE17E9">
        <w:rPr>
          <w:lang w:val="en-CA"/>
        </w:rPr>
        <w:t>the phase</w:t>
      </w:r>
      <w:r w:rsidR="00E41B18" w:rsidRPr="00CE17E9">
        <w:rPr>
          <w:lang w:val="en-CA"/>
        </w:rPr>
        <w:noBreakHyphen/>
        <w:t xml:space="preserve">out of </w:t>
      </w:r>
      <w:r w:rsidR="006F066A" w:rsidRPr="00CE17E9">
        <w:rPr>
          <w:lang w:val="en-CA"/>
        </w:rPr>
        <w:t>HCFCs</w:t>
      </w:r>
      <w:r w:rsidR="00117042" w:rsidRPr="00CE17E9">
        <w:rPr>
          <w:lang w:val="en-CA"/>
        </w:rPr>
        <w:t xml:space="preserve"> with slow progress of implementation due to a change in the Government,</w:t>
      </w:r>
      <w:r w:rsidR="006F066A" w:rsidRPr="00CE17E9">
        <w:rPr>
          <w:lang w:val="en-CA"/>
        </w:rPr>
        <w:t xml:space="preserve"> as shown in Annex I to the present document. </w:t>
      </w:r>
      <w:r w:rsidR="009A7DB7" w:rsidRPr="00CE17E9">
        <w:rPr>
          <w:lang w:val="en-CA"/>
        </w:rPr>
        <w:t xml:space="preserve">A </w:t>
      </w:r>
      <w:r w:rsidR="006F066A" w:rsidRPr="00CE17E9">
        <w:rPr>
          <w:lang w:val="en-CA"/>
        </w:rPr>
        <w:t xml:space="preserve">brief description on the status of implementation and the outstanding issues are presented and a recommendation is proposed for consideration by the Executive Committee. </w:t>
      </w:r>
    </w:p>
    <w:p w14:paraId="103F4E3C" w14:textId="77777777" w:rsidR="008073F8" w:rsidRPr="00CE17E9" w:rsidRDefault="00DC4EE2" w:rsidP="00FB4800">
      <w:pPr>
        <w:pStyle w:val="Heading1"/>
        <w:rPr>
          <w:lang w:val="en-CA"/>
        </w:rPr>
      </w:pPr>
      <w:r w:rsidRPr="00CE17E9">
        <w:rPr>
          <w:lang w:val="en-CA"/>
        </w:rPr>
        <w:lastRenderedPageBreak/>
        <w:t>Of the 54 ongoing projects excluding project preparation, 21 have revised planned date</w:t>
      </w:r>
      <w:r w:rsidR="003F0E21" w:rsidRPr="00CE17E9">
        <w:rPr>
          <w:lang w:val="en-CA"/>
        </w:rPr>
        <w:t>s</w:t>
      </w:r>
      <w:r w:rsidRPr="00CE17E9">
        <w:rPr>
          <w:lang w:val="en-CA"/>
        </w:rPr>
        <w:t xml:space="preserve"> of completion since the 2017 progress report</w:t>
      </w:r>
      <w:r w:rsidR="008073F8" w:rsidRPr="00CE17E9">
        <w:rPr>
          <w:lang w:val="en-CA"/>
        </w:rPr>
        <w:t xml:space="preserve">. </w:t>
      </w:r>
    </w:p>
    <w:p w14:paraId="67A9046C" w14:textId="199C7B09" w:rsidR="008073F8" w:rsidRPr="00CE17E9" w:rsidRDefault="00665EEE" w:rsidP="00FB4800">
      <w:pPr>
        <w:pStyle w:val="Heading1"/>
        <w:rPr>
          <w:lang w:val="en-CA"/>
        </w:rPr>
      </w:pPr>
      <w:r w:rsidRPr="00CE17E9">
        <w:rPr>
          <w:lang w:val="en-CA"/>
        </w:rPr>
        <w:t>Detail</w:t>
      </w:r>
      <w:r w:rsidR="00180829" w:rsidRPr="00CE17E9">
        <w:rPr>
          <w:lang w:val="en-CA"/>
        </w:rPr>
        <w:t>s of</w:t>
      </w:r>
      <w:r w:rsidRPr="00CE17E9">
        <w:rPr>
          <w:lang w:val="en-CA"/>
        </w:rPr>
        <w:t xml:space="preserve"> progress in implementation of projects associated wit</w:t>
      </w:r>
      <w:r w:rsidR="00DE48B8" w:rsidRPr="00CE17E9">
        <w:rPr>
          <w:lang w:val="en-CA"/>
        </w:rPr>
        <w:t>h the HPMPs for China (</w:t>
      </w:r>
      <w:r w:rsidRPr="00CE17E9">
        <w:rPr>
          <w:lang w:val="en-CA"/>
        </w:rPr>
        <w:t xml:space="preserve">XPS foam and </w:t>
      </w:r>
      <w:r w:rsidR="00117042" w:rsidRPr="00CE17E9">
        <w:rPr>
          <w:lang w:val="en-CA"/>
        </w:rPr>
        <w:t xml:space="preserve">refrigeration servicing </w:t>
      </w:r>
      <w:r w:rsidRPr="00CE17E9">
        <w:rPr>
          <w:lang w:val="en-CA"/>
        </w:rPr>
        <w:t>sector plan</w:t>
      </w:r>
      <w:r w:rsidR="00DE48B8" w:rsidRPr="00CE17E9">
        <w:rPr>
          <w:lang w:val="en-CA"/>
        </w:rPr>
        <w:t>s</w:t>
      </w:r>
      <w:r w:rsidR="00117042" w:rsidRPr="00CE17E9">
        <w:rPr>
          <w:lang w:val="en-CA"/>
        </w:rPr>
        <w:t>)</w:t>
      </w:r>
      <w:r w:rsidR="007864CC" w:rsidRPr="00CE17E9">
        <w:rPr>
          <w:rStyle w:val="FootnoteReference"/>
          <w:lang w:val="en-CA"/>
        </w:rPr>
        <w:footnoteReference w:id="7"/>
      </w:r>
      <w:r w:rsidRPr="00CE17E9">
        <w:rPr>
          <w:lang w:val="en-CA"/>
        </w:rPr>
        <w:t xml:space="preserve"> (</w:t>
      </w:r>
      <w:r w:rsidR="00D00B8A" w:rsidRPr="00CE17E9">
        <w:rPr>
          <w:lang w:val="en-CA"/>
        </w:rPr>
        <w:t xml:space="preserve">implemented by </w:t>
      </w:r>
      <w:r w:rsidRPr="00CE17E9">
        <w:rPr>
          <w:lang w:val="en-CA"/>
        </w:rPr>
        <w:t>Germany and Japan), Egypt</w:t>
      </w:r>
      <w:r w:rsidR="007864CC" w:rsidRPr="00CE17E9">
        <w:rPr>
          <w:rStyle w:val="FootnoteReference"/>
          <w:lang w:val="en-CA"/>
        </w:rPr>
        <w:footnoteReference w:id="8"/>
      </w:r>
      <w:r w:rsidRPr="00CE17E9">
        <w:rPr>
          <w:lang w:val="en-CA"/>
        </w:rPr>
        <w:t xml:space="preserve"> (</w:t>
      </w:r>
      <w:r w:rsidR="00D00B8A" w:rsidRPr="00CE17E9">
        <w:rPr>
          <w:lang w:val="en-CA"/>
        </w:rPr>
        <w:t xml:space="preserve">implemented by </w:t>
      </w:r>
      <w:r w:rsidRPr="00CE17E9">
        <w:rPr>
          <w:lang w:val="en-CA"/>
        </w:rPr>
        <w:t xml:space="preserve">Germany), Iran </w:t>
      </w:r>
      <w:r w:rsidR="007864CC" w:rsidRPr="00CE17E9">
        <w:rPr>
          <w:lang w:val="en-CA"/>
        </w:rPr>
        <w:t>(Islamic Republic of)</w:t>
      </w:r>
      <w:r w:rsidR="007864CC" w:rsidRPr="00CE17E9">
        <w:rPr>
          <w:rStyle w:val="FootnoteReference"/>
          <w:lang w:val="en-CA"/>
        </w:rPr>
        <w:footnoteReference w:id="9"/>
      </w:r>
      <w:r w:rsidR="007864CC" w:rsidRPr="00CE17E9">
        <w:rPr>
          <w:lang w:val="en-CA"/>
        </w:rPr>
        <w:t xml:space="preserve"> </w:t>
      </w:r>
      <w:r w:rsidRPr="00CE17E9">
        <w:rPr>
          <w:lang w:val="en-CA"/>
        </w:rPr>
        <w:t>(</w:t>
      </w:r>
      <w:r w:rsidR="00D00B8A" w:rsidRPr="00CE17E9">
        <w:rPr>
          <w:lang w:val="en-CA"/>
        </w:rPr>
        <w:t xml:space="preserve">implemented by </w:t>
      </w:r>
      <w:r w:rsidRPr="00CE17E9">
        <w:rPr>
          <w:lang w:val="en-CA"/>
        </w:rPr>
        <w:t>Germany and Italy) and Tunisia</w:t>
      </w:r>
      <w:r w:rsidR="007864CC" w:rsidRPr="00CE17E9">
        <w:rPr>
          <w:rStyle w:val="FootnoteReference"/>
          <w:lang w:val="en-CA"/>
        </w:rPr>
        <w:footnoteReference w:id="10"/>
      </w:r>
      <w:r w:rsidRPr="00CE17E9">
        <w:rPr>
          <w:lang w:val="en-CA"/>
        </w:rPr>
        <w:t xml:space="preserve"> (</w:t>
      </w:r>
      <w:r w:rsidR="00D00B8A" w:rsidRPr="00CE17E9">
        <w:rPr>
          <w:lang w:val="en-CA"/>
        </w:rPr>
        <w:t xml:space="preserve">implemented by </w:t>
      </w:r>
      <w:r w:rsidRPr="00CE17E9">
        <w:rPr>
          <w:lang w:val="en-CA"/>
        </w:rPr>
        <w:t xml:space="preserve">France) </w:t>
      </w:r>
      <w:r w:rsidR="007864CC" w:rsidRPr="00CE17E9">
        <w:rPr>
          <w:lang w:val="en-CA"/>
        </w:rPr>
        <w:t>have been submitted to the 84</w:t>
      </w:r>
      <w:r w:rsidR="007864CC" w:rsidRPr="00CE17E9">
        <w:rPr>
          <w:vertAlign w:val="superscript"/>
          <w:lang w:val="en-CA"/>
        </w:rPr>
        <w:t>th</w:t>
      </w:r>
      <w:r w:rsidR="007864CC" w:rsidRPr="00CE17E9">
        <w:rPr>
          <w:lang w:val="en-CA"/>
        </w:rPr>
        <w:t> </w:t>
      </w:r>
      <w:r w:rsidRPr="00CE17E9">
        <w:rPr>
          <w:lang w:val="en-CA"/>
        </w:rPr>
        <w:t>meeting</w:t>
      </w:r>
      <w:r w:rsidR="00117042" w:rsidRPr="00CE17E9">
        <w:rPr>
          <w:lang w:val="en-CA"/>
        </w:rPr>
        <w:t xml:space="preserve"> and will be considered under their respective country project document</w:t>
      </w:r>
      <w:r w:rsidR="00E761FD" w:rsidRPr="00CE17E9">
        <w:rPr>
          <w:lang w:val="en-CA"/>
        </w:rPr>
        <w:t>.</w:t>
      </w:r>
      <w:r w:rsidR="006E1112" w:rsidRPr="00CE17E9">
        <w:t xml:space="preserve"> </w:t>
      </w:r>
      <w:r w:rsidR="00585A00" w:rsidRPr="00CE17E9">
        <w:t>Recommendations for outstanding issues for these projects, including approval of extension requests,</w:t>
      </w:r>
      <w:r w:rsidR="00585A00" w:rsidRPr="00CE17E9">
        <w:rPr>
          <w:lang w:val="en-CA"/>
        </w:rPr>
        <w:t xml:space="preserve"> </w:t>
      </w:r>
      <w:r w:rsidR="00585A00" w:rsidRPr="00CE17E9">
        <w:t xml:space="preserve">if any, </w:t>
      </w:r>
      <w:r w:rsidR="00585A00" w:rsidRPr="00CE17E9">
        <w:rPr>
          <w:lang w:val="en-CA"/>
        </w:rPr>
        <w:t>are addressed in the relevant sections of these documents</w:t>
      </w:r>
      <w:r w:rsidR="00585A00" w:rsidRPr="00CE17E9">
        <w:t xml:space="preserve">. </w:t>
      </w:r>
    </w:p>
    <w:p w14:paraId="70B038FD" w14:textId="7A09F238" w:rsidR="006F066A" w:rsidRPr="00CE17E9" w:rsidRDefault="006F066A" w:rsidP="00FB4800">
      <w:pPr>
        <w:pStyle w:val="Heading1"/>
        <w:keepNext/>
        <w:keepLines/>
        <w:numPr>
          <w:ilvl w:val="0"/>
          <w:numId w:val="0"/>
        </w:numPr>
        <w:ind w:left="1418" w:hanging="1418"/>
        <w:rPr>
          <w:rFonts w:ascii="Times New Roman Bold" w:hAnsi="Times New Roman Bold"/>
          <w:caps/>
          <w:szCs w:val="28"/>
          <w:lang w:val="en-CA"/>
        </w:rPr>
      </w:pPr>
      <w:r w:rsidRPr="00CE17E9">
        <w:rPr>
          <w:rFonts w:ascii="Times New Roman Bold" w:hAnsi="Times New Roman Bold"/>
          <w:caps/>
          <w:szCs w:val="28"/>
          <w:lang w:val="en-CA"/>
        </w:rPr>
        <w:t>Part II:</w:t>
      </w:r>
      <w:r w:rsidRPr="00CE17E9">
        <w:rPr>
          <w:rFonts w:ascii="Times New Roman Bold" w:hAnsi="Times New Roman Bold"/>
          <w:caps/>
          <w:szCs w:val="28"/>
          <w:lang w:val="en-CA"/>
        </w:rPr>
        <w:tab/>
      </w:r>
      <w:r w:rsidR="00117042" w:rsidRPr="00CE17E9">
        <w:rPr>
          <w:rFonts w:ascii="Times New Roman Bold" w:hAnsi="Times New Roman Bold"/>
          <w:b/>
          <w:caps/>
          <w:szCs w:val="28"/>
          <w:lang w:val="en-CA"/>
        </w:rPr>
        <w:t>Projects approved under the additional voluntary contributions for fast start support for HFC phase-down</w:t>
      </w:r>
    </w:p>
    <w:p w14:paraId="01D8FF60" w14:textId="05A94BF5" w:rsidR="00956D57" w:rsidRPr="00CE17E9" w:rsidRDefault="00A723BA" w:rsidP="00577C89">
      <w:pPr>
        <w:pStyle w:val="Heading1"/>
        <w:rPr>
          <w:lang w:val="en-CA"/>
        </w:rPr>
      </w:pPr>
      <w:r w:rsidRPr="00CE17E9">
        <w:rPr>
          <w:lang w:val="en-CA"/>
        </w:rPr>
        <w:t xml:space="preserve">As of 31 December 2018, the Executive Committee had approved seven HFC-related projects for two bilateral agencies (Germany and Italy) under the additional voluntary contributions amounting to US $480,000 (excluding agency support costs). </w:t>
      </w:r>
      <w:r w:rsidR="00577C89" w:rsidRPr="00CE17E9">
        <w:rPr>
          <w:lang w:val="en-CA"/>
        </w:rPr>
        <w:t xml:space="preserve">Of this amount, US $93,809 has been disbursed. </w:t>
      </w:r>
      <w:r w:rsidR="00B60E69" w:rsidRPr="00CE17E9">
        <w:rPr>
          <w:lang w:val="en-CA"/>
        </w:rPr>
        <w:t>A summary of the status of these projects is presented in Table 1.</w:t>
      </w:r>
    </w:p>
    <w:p w14:paraId="4B061F61" w14:textId="5768AA05" w:rsidR="00B536EB" w:rsidRPr="00CE17E9" w:rsidRDefault="00B536EB" w:rsidP="00B536EB">
      <w:pPr>
        <w:pStyle w:val="Heading1"/>
        <w:keepNext/>
        <w:numPr>
          <w:ilvl w:val="0"/>
          <w:numId w:val="0"/>
        </w:numPr>
        <w:spacing w:after="0"/>
        <w:rPr>
          <w:b/>
          <w:sz w:val="21"/>
          <w:szCs w:val="21"/>
          <w:lang w:val="en-CA"/>
        </w:rPr>
      </w:pPr>
      <w:r w:rsidRPr="00CE17E9">
        <w:rPr>
          <w:b/>
          <w:sz w:val="21"/>
          <w:szCs w:val="21"/>
          <w:lang w:val="en-CA"/>
        </w:rPr>
        <w:t xml:space="preserve">Table </w:t>
      </w:r>
      <w:r w:rsidR="00B60E69" w:rsidRPr="00CE17E9">
        <w:rPr>
          <w:b/>
          <w:sz w:val="21"/>
          <w:szCs w:val="21"/>
          <w:lang w:val="en-CA"/>
        </w:rPr>
        <w:t>1</w:t>
      </w:r>
      <w:r w:rsidRPr="00CE17E9">
        <w:rPr>
          <w:b/>
          <w:sz w:val="21"/>
          <w:szCs w:val="21"/>
          <w:lang w:val="en-CA"/>
        </w:rPr>
        <w:t>. HFC-related projects approved in 2018</w:t>
      </w:r>
    </w:p>
    <w:tbl>
      <w:tblPr>
        <w:tblW w:w="9356" w:type="dxa"/>
        <w:tblInd w:w="-5" w:type="dxa"/>
        <w:tblLayout w:type="fixed"/>
        <w:tblLook w:val="04A0" w:firstRow="1" w:lastRow="0" w:firstColumn="1" w:lastColumn="0" w:noHBand="0" w:noVBand="1"/>
      </w:tblPr>
      <w:tblGrid>
        <w:gridCol w:w="1843"/>
        <w:gridCol w:w="1073"/>
        <w:gridCol w:w="1073"/>
        <w:gridCol w:w="1051"/>
        <w:gridCol w:w="1096"/>
        <w:gridCol w:w="1073"/>
        <w:gridCol w:w="1073"/>
        <w:gridCol w:w="1074"/>
      </w:tblGrid>
      <w:tr w:rsidR="00CE17E9" w:rsidRPr="00CE17E9" w14:paraId="7F77EA3A" w14:textId="77777777" w:rsidTr="00191424">
        <w:trPr>
          <w:tblHeader/>
        </w:trPr>
        <w:tc>
          <w:tcPr>
            <w:tcW w:w="1843" w:type="dxa"/>
            <w:vMerge w:val="restart"/>
            <w:tcBorders>
              <w:top w:val="single" w:sz="4" w:space="0" w:color="auto"/>
              <w:left w:val="single" w:sz="4" w:space="0" w:color="auto"/>
              <w:right w:val="single" w:sz="4" w:space="0" w:color="auto"/>
            </w:tcBorders>
            <w:shd w:val="clear" w:color="auto" w:fill="auto"/>
            <w:noWrap/>
            <w:tcMar>
              <w:left w:w="57" w:type="dxa"/>
              <w:right w:w="57" w:type="dxa"/>
            </w:tcMar>
            <w:vAlign w:val="center"/>
            <w:hideMark/>
          </w:tcPr>
          <w:p w14:paraId="44EEB1FE" w14:textId="77777777" w:rsidR="00B536EB" w:rsidRPr="00CE17E9" w:rsidRDefault="00B536EB" w:rsidP="00191424">
            <w:pPr>
              <w:keepNext/>
              <w:jc w:val="left"/>
              <w:rPr>
                <w:b/>
                <w:bCs/>
                <w:sz w:val="21"/>
                <w:szCs w:val="21"/>
                <w:lang w:val="en-CA" w:eastAsia="en-CA"/>
              </w:rPr>
            </w:pPr>
            <w:r w:rsidRPr="00CE17E9">
              <w:rPr>
                <w:b/>
                <w:bCs/>
                <w:sz w:val="21"/>
                <w:szCs w:val="21"/>
                <w:lang w:val="en-CA" w:eastAsia="en-CA"/>
              </w:rPr>
              <w:t>Type</w:t>
            </w:r>
          </w:p>
        </w:tc>
        <w:tc>
          <w:tcPr>
            <w:tcW w:w="3197" w:type="dxa"/>
            <w:gridSpan w:val="3"/>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142F2A61" w14:textId="77777777" w:rsidR="00B536EB" w:rsidRPr="00CE17E9" w:rsidRDefault="00B536EB" w:rsidP="00191424">
            <w:pPr>
              <w:keepNext/>
              <w:jc w:val="center"/>
              <w:rPr>
                <w:b/>
                <w:bCs/>
                <w:sz w:val="21"/>
                <w:szCs w:val="21"/>
                <w:lang w:val="en-CA" w:eastAsia="en-CA"/>
              </w:rPr>
            </w:pPr>
            <w:r w:rsidRPr="00CE17E9">
              <w:rPr>
                <w:b/>
                <w:bCs/>
                <w:sz w:val="21"/>
                <w:szCs w:val="21"/>
                <w:lang w:val="en-CA" w:eastAsia="en-CA"/>
              </w:rPr>
              <w:t>Number of projects</w:t>
            </w:r>
          </w:p>
        </w:tc>
        <w:tc>
          <w:tcPr>
            <w:tcW w:w="4316" w:type="dxa"/>
            <w:gridSpan w:val="4"/>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70797B31" w14:textId="77777777" w:rsidR="00B536EB" w:rsidRPr="00CE17E9" w:rsidRDefault="00B536EB" w:rsidP="00191424">
            <w:pPr>
              <w:keepNext/>
              <w:jc w:val="center"/>
              <w:rPr>
                <w:b/>
                <w:bCs/>
                <w:sz w:val="21"/>
                <w:szCs w:val="21"/>
                <w:lang w:val="en-CA" w:eastAsia="en-CA"/>
              </w:rPr>
            </w:pPr>
            <w:r w:rsidRPr="00CE17E9">
              <w:rPr>
                <w:b/>
                <w:bCs/>
                <w:sz w:val="21"/>
                <w:szCs w:val="21"/>
                <w:lang w:val="en-CA" w:eastAsia="en-CA"/>
              </w:rPr>
              <w:t>Funding (US $)*</w:t>
            </w:r>
          </w:p>
        </w:tc>
      </w:tr>
      <w:tr w:rsidR="00CE17E9" w:rsidRPr="00CE17E9" w14:paraId="1DF0DC84" w14:textId="77777777" w:rsidTr="00191424">
        <w:trPr>
          <w:tblHeader/>
        </w:trPr>
        <w:tc>
          <w:tcPr>
            <w:tcW w:w="1843" w:type="dxa"/>
            <w:vMerge/>
            <w:tcBorders>
              <w:left w:val="single" w:sz="4" w:space="0" w:color="auto"/>
              <w:bottom w:val="single" w:sz="4" w:space="0" w:color="auto"/>
              <w:right w:val="single" w:sz="4" w:space="0" w:color="auto"/>
            </w:tcBorders>
            <w:shd w:val="clear" w:color="auto" w:fill="auto"/>
            <w:noWrap/>
            <w:tcMar>
              <w:left w:w="57" w:type="dxa"/>
              <w:right w:w="57" w:type="dxa"/>
            </w:tcMar>
            <w:hideMark/>
          </w:tcPr>
          <w:p w14:paraId="3661B4C6" w14:textId="77777777" w:rsidR="00B536EB" w:rsidRPr="00CE17E9" w:rsidRDefault="00B536EB" w:rsidP="00191424">
            <w:pPr>
              <w:keepNext/>
              <w:jc w:val="left"/>
              <w:rPr>
                <w:b/>
                <w:bCs/>
                <w:sz w:val="21"/>
                <w:szCs w:val="21"/>
                <w:lang w:val="en-CA" w:eastAsia="en-CA"/>
              </w:rPr>
            </w:pPr>
          </w:p>
        </w:tc>
        <w:tc>
          <w:tcPr>
            <w:tcW w:w="107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D60D397" w14:textId="77777777" w:rsidR="00B536EB" w:rsidRPr="00CE17E9" w:rsidRDefault="00B536EB" w:rsidP="00191424">
            <w:pPr>
              <w:keepNext/>
              <w:jc w:val="center"/>
              <w:rPr>
                <w:b/>
                <w:bCs/>
                <w:sz w:val="21"/>
                <w:szCs w:val="21"/>
                <w:lang w:val="en-CA" w:eastAsia="en-CA"/>
              </w:rPr>
            </w:pPr>
            <w:r w:rsidRPr="00CE17E9">
              <w:rPr>
                <w:b/>
                <w:bCs/>
                <w:sz w:val="21"/>
                <w:szCs w:val="21"/>
                <w:lang w:val="en-US" w:eastAsia="en-CA"/>
              </w:rPr>
              <w:t>Approved</w:t>
            </w:r>
          </w:p>
        </w:tc>
        <w:tc>
          <w:tcPr>
            <w:tcW w:w="107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6A22284" w14:textId="77777777" w:rsidR="00B536EB" w:rsidRPr="00CE17E9" w:rsidRDefault="00B536EB" w:rsidP="00191424">
            <w:pPr>
              <w:keepNext/>
              <w:jc w:val="center"/>
              <w:rPr>
                <w:b/>
                <w:bCs/>
                <w:sz w:val="21"/>
                <w:szCs w:val="21"/>
                <w:lang w:val="en-CA" w:eastAsia="en-CA"/>
              </w:rPr>
            </w:pPr>
            <w:r w:rsidRPr="00CE17E9">
              <w:rPr>
                <w:b/>
                <w:bCs/>
                <w:sz w:val="21"/>
                <w:szCs w:val="21"/>
                <w:lang w:val="en-US" w:eastAsia="en-CA"/>
              </w:rPr>
              <w:t>Completed</w:t>
            </w:r>
          </w:p>
        </w:tc>
        <w:tc>
          <w:tcPr>
            <w:tcW w:w="1051"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51319E9" w14:textId="77777777" w:rsidR="00B536EB" w:rsidRPr="00CE17E9" w:rsidRDefault="00B536EB" w:rsidP="00191424">
            <w:pPr>
              <w:keepNext/>
              <w:jc w:val="center"/>
              <w:rPr>
                <w:b/>
                <w:bCs/>
                <w:sz w:val="21"/>
                <w:szCs w:val="21"/>
                <w:lang w:val="en-US" w:eastAsia="en-CA"/>
              </w:rPr>
            </w:pPr>
            <w:r w:rsidRPr="00CE17E9">
              <w:rPr>
                <w:b/>
                <w:bCs/>
                <w:sz w:val="21"/>
                <w:szCs w:val="21"/>
                <w:lang w:val="en-US" w:eastAsia="en-CA"/>
              </w:rPr>
              <w:t>%</w:t>
            </w:r>
          </w:p>
          <w:p w14:paraId="78D5F86D" w14:textId="77777777" w:rsidR="00B536EB" w:rsidRPr="00CE17E9" w:rsidRDefault="00B536EB" w:rsidP="00191424">
            <w:pPr>
              <w:keepNext/>
              <w:jc w:val="center"/>
              <w:rPr>
                <w:b/>
                <w:bCs/>
                <w:sz w:val="21"/>
                <w:szCs w:val="21"/>
                <w:lang w:val="en-CA" w:eastAsia="en-CA"/>
              </w:rPr>
            </w:pPr>
            <w:r w:rsidRPr="00CE17E9">
              <w:rPr>
                <w:b/>
                <w:bCs/>
                <w:sz w:val="21"/>
                <w:szCs w:val="21"/>
                <w:lang w:val="en-US" w:eastAsia="en-CA"/>
              </w:rPr>
              <w:t>completed</w:t>
            </w:r>
          </w:p>
        </w:tc>
        <w:tc>
          <w:tcPr>
            <w:tcW w:w="1096"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3A8664F" w14:textId="77777777" w:rsidR="00B536EB" w:rsidRPr="00CE17E9" w:rsidRDefault="00B536EB" w:rsidP="00191424">
            <w:pPr>
              <w:keepNext/>
              <w:jc w:val="center"/>
              <w:rPr>
                <w:b/>
                <w:bCs/>
                <w:sz w:val="21"/>
                <w:szCs w:val="21"/>
                <w:lang w:val="en-CA" w:eastAsia="en-CA"/>
              </w:rPr>
            </w:pPr>
            <w:r w:rsidRPr="00CE17E9">
              <w:rPr>
                <w:b/>
                <w:bCs/>
                <w:sz w:val="21"/>
                <w:szCs w:val="21"/>
                <w:lang w:val="en-US" w:eastAsia="en-CA"/>
              </w:rPr>
              <w:t>Approved</w:t>
            </w:r>
          </w:p>
        </w:tc>
        <w:tc>
          <w:tcPr>
            <w:tcW w:w="107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E69B027" w14:textId="77777777" w:rsidR="00B536EB" w:rsidRPr="00CE17E9" w:rsidRDefault="00B536EB" w:rsidP="00191424">
            <w:pPr>
              <w:keepNext/>
              <w:jc w:val="center"/>
              <w:rPr>
                <w:b/>
                <w:bCs/>
                <w:sz w:val="21"/>
                <w:szCs w:val="21"/>
                <w:lang w:val="en-CA" w:eastAsia="en-CA"/>
              </w:rPr>
            </w:pPr>
            <w:r w:rsidRPr="00CE17E9">
              <w:rPr>
                <w:b/>
                <w:bCs/>
                <w:sz w:val="21"/>
                <w:szCs w:val="21"/>
                <w:lang w:val="en-US" w:eastAsia="en-CA"/>
              </w:rPr>
              <w:t>Disbursed</w:t>
            </w:r>
          </w:p>
        </w:tc>
        <w:tc>
          <w:tcPr>
            <w:tcW w:w="107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7979EA3" w14:textId="77777777" w:rsidR="00B536EB" w:rsidRPr="00CE17E9" w:rsidRDefault="00B536EB" w:rsidP="00191424">
            <w:pPr>
              <w:keepNext/>
              <w:jc w:val="center"/>
              <w:rPr>
                <w:b/>
                <w:bCs/>
                <w:sz w:val="21"/>
                <w:szCs w:val="21"/>
                <w:lang w:val="en-CA" w:eastAsia="en-CA"/>
              </w:rPr>
            </w:pPr>
            <w:r w:rsidRPr="00CE17E9">
              <w:rPr>
                <w:b/>
                <w:bCs/>
                <w:sz w:val="21"/>
                <w:szCs w:val="21"/>
                <w:lang w:val="en-US" w:eastAsia="en-CA"/>
              </w:rPr>
              <w:t>Balance</w:t>
            </w:r>
          </w:p>
        </w:tc>
        <w:tc>
          <w:tcPr>
            <w:tcW w:w="1074"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EAD9E37" w14:textId="77777777" w:rsidR="00B536EB" w:rsidRPr="00CE17E9" w:rsidRDefault="00B536EB" w:rsidP="00191424">
            <w:pPr>
              <w:keepNext/>
              <w:jc w:val="center"/>
              <w:rPr>
                <w:b/>
                <w:bCs/>
                <w:sz w:val="21"/>
                <w:szCs w:val="21"/>
                <w:lang w:val="en-US" w:eastAsia="en-CA"/>
              </w:rPr>
            </w:pPr>
            <w:r w:rsidRPr="00CE17E9">
              <w:rPr>
                <w:b/>
                <w:bCs/>
                <w:sz w:val="21"/>
                <w:szCs w:val="21"/>
                <w:lang w:val="en-US" w:eastAsia="en-CA"/>
              </w:rPr>
              <w:t>%</w:t>
            </w:r>
          </w:p>
          <w:p w14:paraId="659B9D5D" w14:textId="77777777" w:rsidR="00B536EB" w:rsidRPr="00CE17E9" w:rsidRDefault="00B536EB" w:rsidP="00191424">
            <w:pPr>
              <w:keepNext/>
              <w:jc w:val="center"/>
              <w:rPr>
                <w:b/>
                <w:bCs/>
                <w:sz w:val="21"/>
                <w:szCs w:val="21"/>
                <w:lang w:val="en-CA" w:eastAsia="en-CA"/>
              </w:rPr>
            </w:pPr>
            <w:r w:rsidRPr="00CE17E9">
              <w:rPr>
                <w:b/>
                <w:bCs/>
                <w:sz w:val="21"/>
                <w:szCs w:val="21"/>
                <w:lang w:val="en-US" w:eastAsia="en-CA"/>
              </w:rPr>
              <w:t>disbursed</w:t>
            </w:r>
          </w:p>
        </w:tc>
      </w:tr>
      <w:tr w:rsidR="00CE17E9" w:rsidRPr="00CE17E9" w14:paraId="6BF99B8D" w14:textId="77777777" w:rsidTr="00191424">
        <w:tc>
          <w:tcPr>
            <w:tcW w:w="184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14:paraId="3C4884BA" w14:textId="77777777" w:rsidR="00B536EB" w:rsidRPr="00CE17E9" w:rsidRDefault="00B536EB" w:rsidP="00191424">
            <w:pPr>
              <w:keepNext/>
              <w:jc w:val="left"/>
              <w:rPr>
                <w:sz w:val="21"/>
                <w:szCs w:val="21"/>
                <w:lang w:val="en-CA" w:eastAsia="en-CA"/>
              </w:rPr>
            </w:pPr>
            <w:r w:rsidRPr="00CE17E9">
              <w:rPr>
                <w:sz w:val="21"/>
                <w:szCs w:val="21"/>
                <w:lang w:val="en-CA" w:eastAsia="en-CA"/>
              </w:rPr>
              <w:t>Technical assistance - Enabling activities</w:t>
            </w:r>
          </w:p>
        </w:tc>
        <w:tc>
          <w:tcPr>
            <w:tcW w:w="1073" w:type="dxa"/>
            <w:tcBorders>
              <w:top w:val="nil"/>
              <w:left w:val="nil"/>
              <w:bottom w:val="single" w:sz="4" w:space="0" w:color="auto"/>
              <w:right w:val="single" w:sz="4" w:space="0" w:color="auto"/>
            </w:tcBorders>
            <w:shd w:val="clear" w:color="auto" w:fill="auto"/>
            <w:tcMar>
              <w:left w:w="57" w:type="dxa"/>
              <w:right w:w="57" w:type="dxa"/>
            </w:tcMar>
          </w:tcPr>
          <w:p w14:paraId="4518A611" w14:textId="77777777" w:rsidR="00B536EB" w:rsidRPr="00CE17E9" w:rsidRDefault="00B536EB" w:rsidP="00191424">
            <w:pPr>
              <w:jc w:val="right"/>
              <w:rPr>
                <w:sz w:val="21"/>
                <w:szCs w:val="21"/>
              </w:rPr>
            </w:pPr>
            <w:r w:rsidRPr="00CE17E9">
              <w:rPr>
                <w:sz w:val="21"/>
                <w:szCs w:val="21"/>
              </w:rPr>
              <w:t>7</w:t>
            </w:r>
          </w:p>
        </w:tc>
        <w:tc>
          <w:tcPr>
            <w:tcW w:w="1073" w:type="dxa"/>
            <w:tcBorders>
              <w:top w:val="nil"/>
              <w:left w:val="nil"/>
              <w:bottom w:val="single" w:sz="4" w:space="0" w:color="auto"/>
              <w:right w:val="single" w:sz="4" w:space="0" w:color="auto"/>
            </w:tcBorders>
            <w:shd w:val="clear" w:color="auto" w:fill="auto"/>
            <w:tcMar>
              <w:left w:w="57" w:type="dxa"/>
              <w:right w:w="57" w:type="dxa"/>
            </w:tcMar>
          </w:tcPr>
          <w:p w14:paraId="5DA7B37D" w14:textId="77777777" w:rsidR="00B536EB" w:rsidRPr="00CE17E9" w:rsidRDefault="00B536EB" w:rsidP="00191424">
            <w:pPr>
              <w:jc w:val="right"/>
              <w:rPr>
                <w:sz w:val="21"/>
                <w:szCs w:val="21"/>
              </w:rPr>
            </w:pPr>
            <w:r w:rsidRPr="00CE17E9">
              <w:rPr>
                <w:sz w:val="21"/>
                <w:szCs w:val="21"/>
              </w:rPr>
              <w:t>7</w:t>
            </w:r>
          </w:p>
        </w:tc>
        <w:tc>
          <w:tcPr>
            <w:tcW w:w="1051" w:type="dxa"/>
            <w:tcBorders>
              <w:top w:val="nil"/>
              <w:left w:val="nil"/>
              <w:bottom w:val="single" w:sz="4" w:space="0" w:color="auto"/>
              <w:right w:val="single" w:sz="4" w:space="0" w:color="auto"/>
            </w:tcBorders>
            <w:shd w:val="clear" w:color="auto" w:fill="auto"/>
            <w:tcMar>
              <w:left w:w="57" w:type="dxa"/>
              <w:right w:w="57" w:type="dxa"/>
            </w:tcMar>
          </w:tcPr>
          <w:p w14:paraId="059DB009" w14:textId="77777777" w:rsidR="00B536EB" w:rsidRPr="00CE17E9" w:rsidRDefault="00B536EB" w:rsidP="00191424">
            <w:pPr>
              <w:jc w:val="right"/>
              <w:rPr>
                <w:sz w:val="21"/>
                <w:szCs w:val="21"/>
              </w:rPr>
            </w:pPr>
            <w:r w:rsidRPr="00CE17E9">
              <w:rPr>
                <w:sz w:val="21"/>
                <w:szCs w:val="21"/>
              </w:rPr>
              <w:t>0</w:t>
            </w:r>
          </w:p>
        </w:tc>
        <w:tc>
          <w:tcPr>
            <w:tcW w:w="1096" w:type="dxa"/>
            <w:tcBorders>
              <w:top w:val="nil"/>
              <w:left w:val="nil"/>
              <w:bottom w:val="single" w:sz="4" w:space="0" w:color="auto"/>
              <w:right w:val="single" w:sz="4" w:space="0" w:color="auto"/>
            </w:tcBorders>
            <w:shd w:val="clear" w:color="auto" w:fill="auto"/>
            <w:tcMar>
              <w:left w:w="57" w:type="dxa"/>
              <w:right w:w="57" w:type="dxa"/>
            </w:tcMar>
          </w:tcPr>
          <w:p w14:paraId="0D76F2C9" w14:textId="77777777" w:rsidR="00B536EB" w:rsidRPr="00CE17E9" w:rsidRDefault="00B536EB" w:rsidP="00191424">
            <w:pPr>
              <w:jc w:val="right"/>
              <w:rPr>
                <w:sz w:val="21"/>
                <w:szCs w:val="21"/>
              </w:rPr>
            </w:pPr>
            <w:r w:rsidRPr="00CE17E9">
              <w:rPr>
                <w:sz w:val="21"/>
                <w:szCs w:val="21"/>
              </w:rPr>
              <w:t>480,000</w:t>
            </w:r>
          </w:p>
        </w:tc>
        <w:tc>
          <w:tcPr>
            <w:tcW w:w="1073" w:type="dxa"/>
            <w:tcBorders>
              <w:top w:val="nil"/>
              <w:left w:val="nil"/>
              <w:bottom w:val="single" w:sz="4" w:space="0" w:color="auto"/>
              <w:right w:val="single" w:sz="4" w:space="0" w:color="auto"/>
            </w:tcBorders>
            <w:shd w:val="clear" w:color="auto" w:fill="auto"/>
            <w:tcMar>
              <w:left w:w="57" w:type="dxa"/>
              <w:right w:w="57" w:type="dxa"/>
            </w:tcMar>
          </w:tcPr>
          <w:p w14:paraId="274CAE43" w14:textId="77777777" w:rsidR="00B536EB" w:rsidRPr="00CE17E9" w:rsidRDefault="00B536EB" w:rsidP="00191424">
            <w:pPr>
              <w:jc w:val="right"/>
              <w:rPr>
                <w:sz w:val="21"/>
                <w:szCs w:val="21"/>
              </w:rPr>
            </w:pPr>
            <w:r w:rsidRPr="00CE17E9">
              <w:rPr>
                <w:sz w:val="21"/>
                <w:szCs w:val="21"/>
              </w:rPr>
              <w:t>93,809</w:t>
            </w:r>
          </w:p>
        </w:tc>
        <w:tc>
          <w:tcPr>
            <w:tcW w:w="1073" w:type="dxa"/>
            <w:tcBorders>
              <w:top w:val="nil"/>
              <w:left w:val="nil"/>
              <w:bottom w:val="single" w:sz="4" w:space="0" w:color="auto"/>
              <w:right w:val="single" w:sz="4" w:space="0" w:color="auto"/>
            </w:tcBorders>
            <w:shd w:val="clear" w:color="auto" w:fill="auto"/>
            <w:tcMar>
              <w:left w:w="57" w:type="dxa"/>
              <w:right w:w="57" w:type="dxa"/>
            </w:tcMar>
          </w:tcPr>
          <w:p w14:paraId="43C5FE61" w14:textId="77777777" w:rsidR="00B536EB" w:rsidRPr="00CE17E9" w:rsidRDefault="00B536EB" w:rsidP="00191424">
            <w:pPr>
              <w:jc w:val="right"/>
              <w:rPr>
                <w:sz w:val="21"/>
                <w:szCs w:val="21"/>
              </w:rPr>
            </w:pPr>
            <w:r w:rsidRPr="00CE17E9">
              <w:rPr>
                <w:sz w:val="21"/>
                <w:szCs w:val="21"/>
              </w:rPr>
              <w:t>386,191</w:t>
            </w:r>
          </w:p>
        </w:tc>
        <w:tc>
          <w:tcPr>
            <w:tcW w:w="1074" w:type="dxa"/>
            <w:tcBorders>
              <w:top w:val="nil"/>
              <w:left w:val="nil"/>
              <w:bottom w:val="single" w:sz="4" w:space="0" w:color="auto"/>
              <w:right w:val="single" w:sz="4" w:space="0" w:color="auto"/>
            </w:tcBorders>
            <w:shd w:val="clear" w:color="auto" w:fill="auto"/>
            <w:tcMar>
              <w:left w:w="57" w:type="dxa"/>
              <w:right w:w="57" w:type="dxa"/>
            </w:tcMar>
          </w:tcPr>
          <w:p w14:paraId="1DBCB85D" w14:textId="77777777" w:rsidR="00B536EB" w:rsidRPr="00CE17E9" w:rsidRDefault="00B536EB" w:rsidP="00191424">
            <w:pPr>
              <w:jc w:val="right"/>
              <w:rPr>
                <w:sz w:val="21"/>
                <w:szCs w:val="21"/>
              </w:rPr>
            </w:pPr>
            <w:r w:rsidRPr="00CE17E9">
              <w:rPr>
                <w:sz w:val="21"/>
                <w:szCs w:val="21"/>
              </w:rPr>
              <w:t>20</w:t>
            </w:r>
          </w:p>
        </w:tc>
      </w:tr>
      <w:tr w:rsidR="00CE17E9" w:rsidRPr="00CE17E9" w14:paraId="5B5D3A37" w14:textId="77777777" w:rsidTr="00191424">
        <w:tc>
          <w:tcPr>
            <w:tcW w:w="1843"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61D17345" w14:textId="77777777" w:rsidR="00B536EB" w:rsidRPr="00CE17E9" w:rsidRDefault="00B536EB" w:rsidP="00191424">
            <w:pPr>
              <w:keepNext/>
              <w:jc w:val="left"/>
              <w:rPr>
                <w:b/>
                <w:bCs/>
                <w:sz w:val="21"/>
                <w:szCs w:val="21"/>
                <w:lang w:val="en-CA" w:eastAsia="en-CA"/>
              </w:rPr>
            </w:pPr>
            <w:r w:rsidRPr="00CE17E9">
              <w:rPr>
                <w:b/>
                <w:bCs/>
                <w:sz w:val="21"/>
                <w:szCs w:val="21"/>
                <w:lang w:val="en-CA" w:eastAsia="en-CA"/>
              </w:rPr>
              <w:t>Total</w:t>
            </w:r>
          </w:p>
        </w:tc>
        <w:tc>
          <w:tcPr>
            <w:tcW w:w="1073" w:type="dxa"/>
            <w:tcBorders>
              <w:top w:val="nil"/>
              <w:left w:val="nil"/>
              <w:bottom w:val="single" w:sz="4" w:space="0" w:color="auto"/>
              <w:right w:val="single" w:sz="4" w:space="0" w:color="auto"/>
            </w:tcBorders>
            <w:shd w:val="clear" w:color="auto" w:fill="auto"/>
            <w:noWrap/>
            <w:tcMar>
              <w:left w:w="57" w:type="dxa"/>
              <w:right w:w="57" w:type="dxa"/>
            </w:tcMar>
          </w:tcPr>
          <w:p w14:paraId="3B40126E" w14:textId="77777777" w:rsidR="00B536EB" w:rsidRPr="00CE17E9" w:rsidRDefault="00B536EB" w:rsidP="00191424">
            <w:pPr>
              <w:jc w:val="right"/>
              <w:rPr>
                <w:b/>
                <w:sz w:val="21"/>
                <w:szCs w:val="21"/>
              </w:rPr>
            </w:pPr>
            <w:r w:rsidRPr="00CE17E9">
              <w:rPr>
                <w:b/>
                <w:sz w:val="21"/>
                <w:szCs w:val="21"/>
              </w:rPr>
              <w:t>7</w:t>
            </w:r>
          </w:p>
        </w:tc>
        <w:tc>
          <w:tcPr>
            <w:tcW w:w="1073" w:type="dxa"/>
            <w:tcBorders>
              <w:top w:val="nil"/>
              <w:left w:val="nil"/>
              <w:bottom w:val="single" w:sz="4" w:space="0" w:color="auto"/>
              <w:right w:val="single" w:sz="4" w:space="0" w:color="auto"/>
            </w:tcBorders>
            <w:shd w:val="clear" w:color="auto" w:fill="auto"/>
            <w:noWrap/>
            <w:tcMar>
              <w:left w:w="57" w:type="dxa"/>
              <w:right w:w="57" w:type="dxa"/>
            </w:tcMar>
          </w:tcPr>
          <w:p w14:paraId="240FE32C" w14:textId="77777777" w:rsidR="00B536EB" w:rsidRPr="00CE17E9" w:rsidRDefault="00B536EB" w:rsidP="00191424">
            <w:pPr>
              <w:jc w:val="right"/>
              <w:rPr>
                <w:b/>
                <w:sz w:val="21"/>
                <w:szCs w:val="21"/>
              </w:rPr>
            </w:pPr>
            <w:r w:rsidRPr="00CE17E9">
              <w:rPr>
                <w:b/>
                <w:sz w:val="21"/>
                <w:szCs w:val="21"/>
              </w:rPr>
              <w:t>7</w:t>
            </w:r>
          </w:p>
        </w:tc>
        <w:tc>
          <w:tcPr>
            <w:tcW w:w="1051" w:type="dxa"/>
            <w:tcBorders>
              <w:top w:val="nil"/>
              <w:left w:val="nil"/>
              <w:bottom w:val="single" w:sz="4" w:space="0" w:color="auto"/>
              <w:right w:val="single" w:sz="4" w:space="0" w:color="auto"/>
            </w:tcBorders>
            <w:shd w:val="clear" w:color="auto" w:fill="auto"/>
            <w:noWrap/>
            <w:tcMar>
              <w:left w:w="57" w:type="dxa"/>
              <w:right w:w="57" w:type="dxa"/>
            </w:tcMar>
          </w:tcPr>
          <w:p w14:paraId="108AE754" w14:textId="77777777" w:rsidR="00B536EB" w:rsidRPr="00CE17E9" w:rsidRDefault="00B536EB" w:rsidP="00191424">
            <w:pPr>
              <w:jc w:val="right"/>
              <w:rPr>
                <w:b/>
                <w:sz w:val="21"/>
                <w:szCs w:val="21"/>
              </w:rPr>
            </w:pPr>
            <w:r w:rsidRPr="00CE17E9">
              <w:rPr>
                <w:b/>
                <w:sz w:val="21"/>
                <w:szCs w:val="21"/>
              </w:rPr>
              <w:t>0</w:t>
            </w:r>
          </w:p>
        </w:tc>
        <w:tc>
          <w:tcPr>
            <w:tcW w:w="1096" w:type="dxa"/>
            <w:tcBorders>
              <w:top w:val="nil"/>
              <w:left w:val="nil"/>
              <w:bottom w:val="single" w:sz="4" w:space="0" w:color="auto"/>
              <w:right w:val="single" w:sz="4" w:space="0" w:color="auto"/>
            </w:tcBorders>
            <w:shd w:val="clear" w:color="auto" w:fill="auto"/>
            <w:noWrap/>
            <w:tcMar>
              <w:left w:w="57" w:type="dxa"/>
              <w:right w:w="57" w:type="dxa"/>
            </w:tcMar>
          </w:tcPr>
          <w:p w14:paraId="3BD93AE9" w14:textId="77777777" w:rsidR="00B536EB" w:rsidRPr="00CE17E9" w:rsidRDefault="00B536EB" w:rsidP="00191424">
            <w:pPr>
              <w:jc w:val="right"/>
              <w:rPr>
                <w:b/>
                <w:sz w:val="21"/>
                <w:szCs w:val="21"/>
              </w:rPr>
            </w:pPr>
            <w:r w:rsidRPr="00CE17E9">
              <w:rPr>
                <w:b/>
                <w:sz w:val="21"/>
                <w:szCs w:val="21"/>
              </w:rPr>
              <w:t>480,000</w:t>
            </w:r>
          </w:p>
        </w:tc>
        <w:tc>
          <w:tcPr>
            <w:tcW w:w="1073" w:type="dxa"/>
            <w:tcBorders>
              <w:top w:val="nil"/>
              <w:left w:val="nil"/>
              <w:bottom w:val="single" w:sz="4" w:space="0" w:color="auto"/>
              <w:right w:val="single" w:sz="4" w:space="0" w:color="auto"/>
            </w:tcBorders>
            <w:shd w:val="clear" w:color="auto" w:fill="auto"/>
            <w:noWrap/>
            <w:tcMar>
              <w:left w:w="57" w:type="dxa"/>
              <w:right w:w="57" w:type="dxa"/>
            </w:tcMar>
          </w:tcPr>
          <w:p w14:paraId="17B5DBBB" w14:textId="77777777" w:rsidR="00B536EB" w:rsidRPr="00CE17E9" w:rsidRDefault="00B536EB" w:rsidP="00191424">
            <w:pPr>
              <w:jc w:val="right"/>
              <w:rPr>
                <w:b/>
                <w:sz w:val="21"/>
                <w:szCs w:val="21"/>
              </w:rPr>
            </w:pPr>
            <w:r w:rsidRPr="00CE17E9">
              <w:rPr>
                <w:b/>
                <w:sz w:val="21"/>
                <w:szCs w:val="21"/>
              </w:rPr>
              <w:t>93,809</w:t>
            </w:r>
          </w:p>
        </w:tc>
        <w:tc>
          <w:tcPr>
            <w:tcW w:w="1073" w:type="dxa"/>
            <w:tcBorders>
              <w:top w:val="nil"/>
              <w:left w:val="nil"/>
              <w:bottom w:val="single" w:sz="4" w:space="0" w:color="auto"/>
              <w:right w:val="single" w:sz="4" w:space="0" w:color="auto"/>
            </w:tcBorders>
            <w:shd w:val="clear" w:color="auto" w:fill="auto"/>
            <w:noWrap/>
            <w:tcMar>
              <w:left w:w="57" w:type="dxa"/>
              <w:right w:w="57" w:type="dxa"/>
            </w:tcMar>
          </w:tcPr>
          <w:p w14:paraId="36BB5BAB" w14:textId="77777777" w:rsidR="00B536EB" w:rsidRPr="00CE17E9" w:rsidRDefault="00B536EB" w:rsidP="00191424">
            <w:pPr>
              <w:jc w:val="right"/>
              <w:rPr>
                <w:b/>
                <w:sz w:val="21"/>
                <w:szCs w:val="21"/>
              </w:rPr>
            </w:pPr>
            <w:r w:rsidRPr="00CE17E9">
              <w:rPr>
                <w:b/>
                <w:sz w:val="21"/>
                <w:szCs w:val="21"/>
              </w:rPr>
              <w:t>386,191</w:t>
            </w:r>
          </w:p>
        </w:tc>
        <w:tc>
          <w:tcPr>
            <w:tcW w:w="1074" w:type="dxa"/>
            <w:tcBorders>
              <w:top w:val="nil"/>
              <w:left w:val="nil"/>
              <w:bottom w:val="single" w:sz="4" w:space="0" w:color="auto"/>
              <w:right w:val="single" w:sz="4" w:space="0" w:color="auto"/>
            </w:tcBorders>
            <w:shd w:val="clear" w:color="auto" w:fill="auto"/>
            <w:noWrap/>
            <w:tcMar>
              <w:left w:w="57" w:type="dxa"/>
              <w:right w:w="57" w:type="dxa"/>
            </w:tcMar>
          </w:tcPr>
          <w:p w14:paraId="4CB87494" w14:textId="77777777" w:rsidR="00B536EB" w:rsidRPr="00CE17E9" w:rsidRDefault="00B536EB" w:rsidP="00191424">
            <w:pPr>
              <w:jc w:val="right"/>
              <w:rPr>
                <w:b/>
                <w:sz w:val="21"/>
                <w:szCs w:val="21"/>
              </w:rPr>
            </w:pPr>
            <w:r w:rsidRPr="00CE17E9">
              <w:rPr>
                <w:b/>
                <w:sz w:val="21"/>
                <w:szCs w:val="21"/>
              </w:rPr>
              <w:t>20</w:t>
            </w:r>
          </w:p>
        </w:tc>
      </w:tr>
    </w:tbl>
    <w:p w14:paraId="228F31C4" w14:textId="3628B110" w:rsidR="00B536EB" w:rsidRPr="00CE17E9" w:rsidRDefault="00B536EB" w:rsidP="00B536EB">
      <w:pPr>
        <w:keepNext/>
        <w:rPr>
          <w:sz w:val="20"/>
          <w:szCs w:val="20"/>
          <w:lang w:val="en-CA"/>
        </w:rPr>
      </w:pPr>
      <w:r w:rsidRPr="00CE17E9">
        <w:rPr>
          <w:sz w:val="20"/>
          <w:szCs w:val="20"/>
          <w:lang w:val="en-CA"/>
        </w:rPr>
        <w:t>* Excludes agency support costs.</w:t>
      </w:r>
    </w:p>
    <w:p w14:paraId="521D83CF" w14:textId="77777777" w:rsidR="00B60E69" w:rsidRPr="00CE17E9" w:rsidRDefault="00B60E69" w:rsidP="00B536EB">
      <w:pPr>
        <w:keepNext/>
        <w:rPr>
          <w:sz w:val="20"/>
          <w:szCs w:val="20"/>
          <w:lang w:val="en-CA"/>
        </w:rPr>
      </w:pPr>
    </w:p>
    <w:p w14:paraId="7CC9C962" w14:textId="0F0DC901" w:rsidR="00956D57" w:rsidRPr="00CE17E9" w:rsidRDefault="000F73F0" w:rsidP="00FB4800">
      <w:pPr>
        <w:pStyle w:val="Heading1"/>
        <w:rPr>
          <w:lang w:val="en-CA"/>
        </w:rPr>
      </w:pPr>
      <w:r w:rsidRPr="00CE17E9">
        <w:rPr>
          <w:lang w:val="en-CA"/>
        </w:rPr>
        <w:t xml:space="preserve">Seven </w:t>
      </w:r>
      <w:r w:rsidR="00956D57" w:rsidRPr="00CE17E9">
        <w:rPr>
          <w:lang w:val="en-CA"/>
        </w:rPr>
        <w:t>enabling activities</w:t>
      </w:r>
      <w:r w:rsidRPr="00CE17E9">
        <w:rPr>
          <w:lang w:val="en-CA"/>
        </w:rPr>
        <w:t xml:space="preserve"> approved by the end of 2018 are </w:t>
      </w:r>
      <w:r w:rsidR="00956D57" w:rsidRPr="00CE17E9">
        <w:rPr>
          <w:lang w:val="en-CA"/>
        </w:rPr>
        <w:t xml:space="preserve">at various stages of </w:t>
      </w:r>
      <w:r w:rsidR="00D06469" w:rsidRPr="00CE17E9">
        <w:rPr>
          <w:lang w:val="en-CA"/>
        </w:rPr>
        <w:t>implementation.</w:t>
      </w:r>
      <w:r w:rsidR="000A7C0C" w:rsidRPr="00CE17E9">
        <w:rPr>
          <w:lang w:val="en-CA"/>
        </w:rPr>
        <w:t xml:space="preserve"> </w:t>
      </w:r>
      <w:r w:rsidR="00956D57" w:rsidRPr="00CE17E9">
        <w:rPr>
          <w:lang w:val="en-CA"/>
        </w:rPr>
        <w:t>Cumulatively, US $</w:t>
      </w:r>
      <w:r w:rsidR="005C5A44" w:rsidRPr="00CE17E9">
        <w:rPr>
          <w:lang w:val="en-CA"/>
        </w:rPr>
        <w:t xml:space="preserve">93,809 </w:t>
      </w:r>
      <w:r w:rsidR="00956D57" w:rsidRPr="00CE17E9">
        <w:rPr>
          <w:lang w:val="en-CA"/>
        </w:rPr>
        <w:t>had been disbursed out of the total US $</w:t>
      </w:r>
      <w:r w:rsidR="005C5A44" w:rsidRPr="00CE17E9">
        <w:rPr>
          <w:lang w:val="en-CA"/>
        </w:rPr>
        <w:t xml:space="preserve">480,000 </w:t>
      </w:r>
      <w:r w:rsidR="00956D57" w:rsidRPr="00CE17E9">
        <w:rPr>
          <w:lang w:val="en-CA"/>
        </w:rPr>
        <w:t xml:space="preserve">approved for disbursement (excluding support costs), representing a disbursement rate of </w:t>
      </w:r>
      <w:r w:rsidR="005C5A44" w:rsidRPr="00CE17E9">
        <w:rPr>
          <w:lang w:val="en-CA"/>
        </w:rPr>
        <w:t>20</w:t>
      </w:r>
      <w:r w:rsidR="00956D57" w:rsidRPr="00CE17E9">
        <w:rPr>
          <w:lang w:val="en-CA"/>
        </w:rPr>
        <w:t xml:space="preserve"> per cent.</w:t>
      </w:r>
    </w:p>
    <w:p w14:paraId="643FA7B1" w14:textId="77777777" w:rsidR="006F066A" w:rsidRPr="00CE17E9" w:rsidRDefault="005020E1" w:rsidP="00FB4800">
      <w:pPr>
        <w:keepNext/>
        <w:rPr>
          <w:b/>
          <w:lang w:val="en-CA"/>
        </w:rPr>
      </w:pPr>
      <w:r w:rsidRPr="00CE17E9">
        <w:rPr>
          <w:b/>
          <w:lang w:val="en-CA"/>
        </w:rPr>
        <w:t>R</w:t>
      </w:r>
      <w:r w:rsidR="006F066A" w:rsidRPr="00CE17E9">
        <w:rPr>
          <w:b/>
          <w:lang w:val="en-CA"/>
        </w:rPr>
        <w:t>ecommendation</w:t>
      </w:r>
    </w:p>
    <w:p w14:paraId="79112237" w14:textId="77777777" w:rsidR="006F066A" w:rsidRPr="00CE17E9" w:rsidRDefault="006F066A" w:rsidP="00FB4800">
      <w:pPr>
        <w:keepNext/>
        <w:rPr>
          <w:lang w:val="en-CA"/>
        </w:rPr>
      </w:pPr>
    </w:p>
    <w:p w14:paraId="215A8DEB" w14:textId="77777777" w:rsidR="006F066A" w:rsidRPr="00CE17E9" w:rsidRDefault="006F066A" w:rsidP="00FB4800">
      <w:pPr>
        <w:pStyle w:val="Heading1"/>
        <w:rPr>
          <w:lang w:val="en-CA"/>
        </w:rPr>
      </w:pPr>
      <w:r w:rsidRPr="00CE17E9">
        <w:rPr>
          <w:snapToGrid w:val="0"/>
          <w:lang w:val="en-CA"/>
        </w:rPr>
        <w:t>The Executive Committee may wish:</w:t>
      </w:r>
    </w:p>
    <w:p w14:paraId="2A03469D" w14:textId="77777777" w:rsidR="006F066A" w:rsidRPr="00CE17E9" w:rsidRDefault="006F066A" w:rsidP="00FB4800">
      <w:pPr>
        <w:pStyle w:val="Heading2"/>
        <w:rPr>
          <w:lang w:val="en-CA"/>
        </w:rPr>
      </w:pPr>
      <w:r w:rsidRPr="00CE17E9">
        <w:rPr>
          <w:snapToGrid w:val="0"/>
          <w:lang w:val="en-CA"/>
        </w:rPr>
        <w:t>To note</w:t>
      </w:r>
      <w:r w:rsidR="000D0409" w:rsidRPr="00CE17E9">
        <w:rPr>
          <w:snapToGrid w:val="0"/>
          <w:lang w:val="en-CA"/>
        </w:rPr>
        <w:t>,</w:t>
      </w:r>
      <w:r w:rsidRPr="00CE17E9">
        <w:rPr>
          <w:snapToGrid w:val="0"/>
          <w:lang w:val="en-CA"/>
        </w:rPr>
        <w:t xml:space="preserve"> with </w:t>
      </w:r>
      <w:r w:rsidRPr="00CE17E9">
        <w:rPr>
          <w:lang w:val="en-CA"/>
        </w:rPr>
        <w:t xml:space="preserve">appreciation, the progress reports submitted by the Governments of Australia, </w:t>
      </w:r>
      <w:r w:rsidR="007B57A0" w:rsidRPr="00CE17E9">
        <w:rPr>
          <w:lang w:val="en-CA"/>
        </w:rPr>
        <w:t xml:space="preserve">Canada, </w:t>
      </w:r>
      <w:r w:rsidRPr="00CE17E9">
        <w:rPr>
          <w:lang w:val="en-CA"/>
        </w:rPr>
        <w:t>France, Germany, Italy, Japan, the Russian Federation and Spain contained in document UNEP/</w:t>
      </w:r>
      <w:proofErr w:type="spellStart"/>
      <w:r w:rsidRPr="00CE17E9">
        <w:rPr>
          <w:lang w:val="en-CA"/>
        </w:rPr>
        <w:t>OzL.Pro</w:t>
      </w:r>
      <w:proofErr w:type="spellEnd"/>
      <w:r w:rsidRPr="00CE17E9">
        <w:rPr>
          <w:lang w:val="en-CA"/>
        </w:rPr>
        <w:t>/</w:t>
      </w:r>
      <w:proofErr w:type="spellStart"/>
      <w:r w:rsidRPr="00CE17E9">
        <w:rPr>
          <w:lang w:val="en-CA"/>
        </w:rPr>
        <w:t>ExCom</w:t>
      </w:r>
      <w:proofErr w:type="spellEnd"/>
      <w:r w:rsidRPr="00CE17E9">
        <w:rPr>
          <w:lang w:val="en-CA"/>
        </w:rPr>
        <w:t>/</w:t>
      </w:r>
      <w:r w:rsidR="007969EF" w:rsidRPr="00CE17E9">
        <w:rPr>
          <w:lang w:val="en-CA"/>
        </w:rPr>
        <w:t>84</w:t>
      </w:r>
      <w:r w:rsidRPr="00CE17E9">
        <w:rPr>
          <w:lang w:val="en-CA"/>
        </w:rPr>
        <w:t>/</w:t>
      </w:r>
      <w:r w:rsidR="00C37B8A" w:rsidRPr="00CE17E9">
        <w:rPr>
          <w:lang w:val="en-CA"/>
        </w:rPr>
        <w:t>17</w:t>
      </w:r>
      <w:r w:rsidRPr="00CE17E9">
        <w:rPr>
          <w:lang w:val="en-CA"/>
        </w:rPr>
        <w:t>; and</w:t>
      </w:r>
    </w:p>
    <w:p w14:paraId="5AB8D17F" w14:textId="6DB8F85F" w:rsidR="006F066A" w:rsidRPr="00CE17E9" w:rsidRDefault="006F066A" w:rsidP="00D0203F">
      <w:pPr>
        <w:pStyle w:val="Heading2"/>
        <w:keepNext/>
        <w:keepLines/>
        <w:rPr>
          <w:snapToGrid w:val="0"/>
          <w:lang w:val="en-CA"/>
        </w:rPr>
      </w:pPr>
      <w:r w:rsidRPr="00CE17E9">
        <w:rPr>
          <w:lang w:val="en-CA"/>
        </w:rPr>
        <w:t xml:space="preserve">To approve the recommendation related to </w:t>
      </w:r>
      <w:r w:rsidR="000A7C0C" w:rsidRPr="00CE17E9">
        <w:rPr>
          <w:lang w:val="en-CA"/>
        </w:rPr>
        <w:t xml:space="preserve">an </w:t>
      </w:r>
      <w:r w:rsidRPr="00CE17E9">
        <w:rPr>
          <w:lang w:val="en-CA"/>
        </w:rPr>
        <w:t>ongoing project with specific issues contained in Annex I to the present document.</w:t>
      </w:r>
    </w:p>
    <w:p w14:paraId="7F49D484" w14:textId="77777777" w:rsidR="006F066A" w:rsidRPr="00CE17E9" w:rsidRDefault="006F066A" w:rsidP="00FB4800">
      <w:pPr>
        <w:pStyle w:val="StyleHeader4Para4Left0Firstline0"/>
        <w:numPr>
          <w:ilvl w:val="0"/>
          <w:numId w:val="0"/>
        </w:numPr>
        <w:jc w:val="center"/>
        <w:rPr>
          <w:lang w:val="en-CA"/>
        </w:rPr>
        <w:sectPr w:rsidR="006F066A" w:rsidRPr="00CE17E9" w:rsidSect="00896234">
          <w:headerReference w:type="even" r:id="rId9"/>
          <w:headerReference w:type="default" r:id="rId10"/>
          <w:footerReference w:type="even" r:id="rId11"/>
          <w:footerReference w:type="default" r:id="rId12"/>
          <w:footerReference w:type="first" r:id="rId13"/>
          <w:pgSz w:w="12240" w:h="15840" w:code="1"/>
          <w:pgMar w:top="720" w:right="1440" w:bottom="864" w:left="1440" w:header="720" w:footer="475" w:gutter="0"/>
          <w:cols w:space="720"/>
          <w:titlePg/>
        </w:sectPr>
      </w:pPr>
    </w:p>
    <w:p w14:paraId="4E6AD4EC" w14:textId="77777777" w:rsidR="006F066A" w:rsidRPr="00CE17E9" w:rsidRDefault="006F066A" w:rsidP="00FB4800">
      <w:pPr>
        <w:keepNext/>
        <w:jc w:val="center"/>
        <w:rPr>
          <w:b/>
          <w:bCs/>
          <w:lang w:val="en-CA"/>
        </w:rPr>
      </w:pPr>
      <w:r w:rsidRPr="00CE17E9">
        <w:rPr>
          <w:b/>
          <w:bCs/>
          <w:lang w:val="en-CA"/>
        </w:rPr>
        <w:lastRenderedPageBreak/>
        <w:t>Annex I</w:t>
      </w:r>
    </w:p>
    <w:p w14:paraId="73773D12" w14:textId="77777777" w:rsidR="006F066A" w:rsidRPr="00CE17E9" w:rsidRDefault="006F066A" w:rsidP="00FB4800">
      <w:pPr>
        <w:keepNext/>
        <w:jc w:val="center"/>
        <w:rPr>
          <w:b/>
          <w:bCs/>
          <w:lang w:val="en-CA"/>
        </w:rPr>
      </w:pPr>
    </w:p>
    <w:p w14:paraId="406EC57D" w14:textId="10FD2E3A" w:rsidR="006F066A" w:rsidRPr="00CE17E9" w:rsidRDefault="006F066A" w:rsidP="00FB4800">
      <w:pPr>
        <w:pStyle w:val="Heading2"/>
        <w:numPr>
          <w:ilvl w:val="0"/>
          <w:numId w:val="0"/>
        </w:numPr>
        <w:jc w:val="center"/>
        <w:rPr>
          <w:b/>
          <w:lang w:val="en-CA"/>
        </w:rPr>
      </w:pPr>
      <w:r w:rsidRPr="00CE17E9">
        <w:rPr>
          <w:b/>
          <w:lang w:val="en-CA"/>
        </w:rPr>
        <w:t>ONGOING PROJECT WITH OUTSTANDING ISSUES IN THE PROGRESS REPORT FOR BILATERAL AGENCIES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9"/>
        <w:gridCol w:w="961"/>
        <w:gridCol w:w="2940"/>
        <w:gridCol w:w="1325"/>
        <w:gridCol w:w="3402"/>
        <w:gridCol w:w="3479"/>
      </w:tblGrid>
      <w:tr w:rsidR="00CE17E9" w:rsidRPr="00CE17E9" w14:paraId="175FB728" w14:textId="77777777" w:rsidTr="00577C89">
        <w:trPr>
          <w:trHeight w:val="233"/>
          <w:tblHeader/>
        </w:trPr>
        <w:tc>
          <w:tcPr>
            <w:tcW w:w="751" w:type="pct"/>
            <w:shd w:val="clear" w:color="auto" w:fill="auto"/>
            <w:hideMark/>
          </w:tcPr>
          <w:p w14:paraId="749B2041" w14:textId="77777777" w:rsidR="00F31C6F" w:rsidRPr="00CE17E9" w:rsidRDefault="00F31C6F" w:rsidP="00FB4800">
            <w:pPr>
              <w:jc w:val="center"/>
              <w:rPr>
                <w:b/>
                <w:bCs/>
                <w:sz w:val="20"/>
                <w:szCs w:val="20"/>
                <w:lang w:val="en-CA" w:eastAsia="en-CA"/>
              </w:rPr>
            </w:pPr>
            <w:r w:rsidRPr="00CE17E9">
              <w:rPr>
                <w:b/>
                <w:bCs/>
                <w:sz w:val="20"/>
                <w:szCs w:val="20"/>
                <w:lang w:val="en-CA" w:eastAsia="en-CA"/>
              </w:rPr>
              <w:t>Country/project code</w:t>
            </w:r>
          </w:p>
        </w:tc>
        <w:tc>
          <w:tcPr>
            <w:tcW w:w="337" w:type="pct"/>
          </w:tcPr>
          <w:p w14:paraId="7E314144" w14:textId="77777777" w:rsidR="00F31C6F" w:rsidRPr="00CE17E9" w:rsidRDefault="00F31C6F" w:rsidP="00FB4800">
            <w:pPr>
              <w:jc w:val="center"/>
              <w:rPr>
                <w:b/>
                <w:bCs/>
                <w:sz w:val="20"/>
                <w:szCs w:val="20"/>
                <w:lang w:val="en-CA" w:eastAsia="en-CA"/>
              </w:rPr>
            </w:pPr>
            <w:r w:rsidRPr="00CE17E9">
              <w:rPr>
                <w:b/>
                <w:bCs/>
                <w:sz w:val="20"/>
                <w:szCs w:val="20"/>
                <w:lang w:val="en-CA"/>
              </w:rPr>
              <w:t>Agency</w:t>
            </w:r>
          </w:p>
        </w:tc>
        <w:tc>
          <w:tcPr>
            <w:tcW w:w="1032" w:type="pct"/>
            <w:shd w:val="clear" w:color="auto" w:fill="auto"/>
            <w:hideMark/>
          </w:tcPr>
          <w:p w14:paraId="42A1BE05" w14:textId="77777777" w:rsidR="00F31C6F" w:rsidRPr="00CE17E9" w:rsidRDefault="00F31C6F" w:rsidP="00FB4800">
            <w:pPr>
              <w:jc w:val="center"/>
              <w:rPr>
                <w:b/>
                <w:bCs/>
                <w:sz w:val="20"/>
                <w:szCs w:val="20"/>
                <w:lang w:val="en-CA" w:eastAsia="en-CA"/>
              </w:rPr>
            </w:pPr>
            <w:r w:rsidRPr="00CE17E9">
              <w:rPr>
                <w:b/>
                <w:bCs/>
                <w:sz w:val="20"/>
                <w:szCs w:val="20"/>
                <w:lang w:val="en-CA" w:eastAsia="en-CA"/>
              </w:rPr>
              <w:t>Project title</w:t>
            </w:r>
          </w:p>
        </w:tc>
        <w:tc>
          <w:tcPr>
            <w:tcW w:w="465" w:type="pct"/>
            <w:tcMar>
              <w:left w:w="0" w:type="dxa"/>
              <w:right w:w="0" w:type="dxa"/>
            </w:tcMar>
          </w:tcPr>
          <w:p w14:paraId="5203AA72" w14:textId="14FAA0E3" w:rsidR="00F31C6F" w:rsidRPr="00CE17E9" w:rsidRDefault="00F31C6F" w:rsidP="00577C89">
            <w:pPr>
              <w:jc w:val="center"/>
              <w:rPr>
                <w:b/>
                <w:sz w:val="20"/>
                <w:szCs w:val="20"/>
                <w:lang w:val="en-CA" w:eastAsia="en-CA"/>
              </w:rPr>
            </w:pPr>
            <w:r w:rsidRPr="00CE17E9">
              <w:rPr>
                <w:b/>
                <w:sz w:val="20"/>
                <w:szCs w:val="20"/>
                <w:lang w:val="en-CA" w:eastAsia="en-CA"/>
              </w:rPr>
              <w:t>Disbursement (%)</w:t>
            </w:r>
          </w:p>
        </w:tc>
        <w:tc>
          <w:tcPr>
            <w:tcW w:w="1194" w:type="pct"/>
          </w:tcPr>
          <w:p w14:paraId="71AEAF14" w14:textId="77777777" w:rsidR="00F31C6F" w:rsidRPr="00CE17E9" w:rsidRDefault="00F31C6F" w:rsidP="00FB4800">
            <w:pPr>
              <w:jc w:val="center"/>
              <w:rPr>
                <w:b/>
                <w:sz w:val="20"/>
                <w:szCs w:val="20"/>
                <w:lang w:val="en-CA" w:eastAsia="en-CA"/>
              </w:rPr>
            </w:pPr>
            <w:r w:rsidRPr="00CE17E9">
              <w:rPr>
                <w:b/>
                <w:sz w:val="20"/>
                <w:szCs w:val="20"/>
              </w:rPr>
              <w:t>Status/Issues</w:t>
            </w:r>
          </w:p>
        </w:tc>
        <w:tc>
          <w:tcPr>
            <w:tcW w:w="1221" w:type="pct"/>
          </w:tcPr>
          <w:p w14:paraId="557F8009" w14:textId="77777777" w:rsidR="00F31C6F" w:rsidRPr="00CE17E9" w:rsidRDefault="00F31C6F" w:rsidP="00FB4800">
            <w:pPr>
              <w:jc w:val="center"/>
              <w:rPr>
                <w:b/>
                <w:sz w:val="20"/>
                <w:szCs w:val="20"/>
                <w:lang w:val="en-CA" w:eastAsia="en-CA"/>
              </w:rPr>
            </w:pPr>
            <w:r w:rsidRPr="00CE17E9">
              <w:rPr>
                <w:b/>
                <w:sz w:val="20"/>
                <w:szCs w:val="20"/>
                <w:lang w:val="en-CA" w:eastAsia="en-CA"/>
              </w:rPr>
              <w:t>Recommendation</w:t>
            </w:r>
          </w:p>
        </w:tc>
      </w:tr>
      <w:tr w:rsidR="00F31C6F" w:rsidRPr="00CE17E9" w14:paraId="3DC28B05" w14:textId="77777777" w:rsidTr="00372905">
        <w:trPr>
          <w:trHeight w:val="748"/>
        </w:trPr>
        <w:tc>
          <w:tcPr>
            <w:tcW w:w="751" w:type="pct"/>
            <w:shd w:val="clear" w:color="auto" w:fill="auto"/>
          </w:tcPr>
          <w:p w14:paraId="4E0243DC" w14:textId="77777777" w:rsidR="00F31C6F" w:rsidRPr="00CE17E9" w:rsidRDefault="00F31C6F" w:rsidP="00FB4800">
            <w:pPr>
              <w:jc w:val="left"/>
              <w:rPr>
                <w:sz w:val="20"/>
                <w:szCs w:val="20"/>
                <w:lang w:val="en-CA" w:eastAsia="en-CA"/>
              </w:rPr>
            </w:pPr>
            <w:r w:rsidRPr="00CE17E9">
              <w:rPr>
                <w:sz w:val="20"/>
                <w:szCs w:val="20"/>
                <w:lang w:val="en-CA" w:eastAsia="en-CA"/>
              </w:rPr>
              <w:t>Mauritius</w:t>
            </w:r>
          </w:p>
          <w:p w14:paraId="31268619" w14:textId="55F6D75F" w:rsidR="00F31C6F" w:rsidRPr="00CE17E9" w:rsidRDefault="00F31C6F" w:rsidP="000A7C0C">
            <w:pPr>
              <w:jc w:val="left"/>
              <w:rPr>
                <w:sz w:val="20"/>
                <w:szCs w:val="20"/>
                <w:lang w:val="en-CA" w:eastAsia="en-CA"/>
              </w:rPr>
            </w:pPr>
            <w:r w:rsidRPr="00CE17E9">
              <w:rPr>
                <w:sz w:val="20"/>
                <w:szCs w:val="20"/>
              </w:rPr>
              <w:t>MAR/PHA/79/INV/27</w:t>
            </w:r>
          </w:p>
        </w:tc>
        <w:tc>
          <w:tcPr>
            <w:tcW w:w="337" w:type="pct"/>
          </w:tcPr>
          <w:p w14:paraId="2DF33A7C" w14:textId="77777777" w:rsidR="00F31C6F" w:rsidRPr="00CE17E9" w:rsidRDefault="00F31C6F" w:rsidP="00FB4800">
            <w:pPr>
              <w:jc w:val="left"/>
              <w:rPr>
                <w:sz w:val="20"/>
                <w:szCs w:val="20"/>
                <w:lang w:val="en-CA" w:eastAsia="en-CA"/>
              </w:rPr>
            </w:pPr>
            <w:r w:rsidRPr="00CE17E9">
              <w:rPr>
                <w:sz w:val="20"/>
                <w:szCs w:val="20"/>
                <w:lang w:val="en-CA" w:eastAsia="en-CA"/>
              </w:rPr>
              <w:t>Germany</w:t>
            </w:r>
          </w:p>
        </w:tc>
        <w:tc>
          <w:tcPr>
            <w:tcW w:w="1032" w:type="pct"/>
            <w:shd w:val="clear" w:color="auto" w:fill="auto"/>
          </w:tcPr>
          <w:p w14:paraId="671772DF" w14:textId="77777777" w:rsidR="00F31C6F" w:rsidRPr="00CE17E9" w:rsidRDefault="00F31C6F" w:rsidP="00FB4800">
            <w:pPr>
              <w:rPr>
                <w:sz w:val="20"/>
                <w:szCs w:val="20"/>
                <w:lang w:val="en-CA" w:eastAsia="en-CA"/>
              </w:rPr>
            </w:pPr>
            <w:r w:rsidRPr="00CE17E9">
              <w:rPr>
                <w:sz w:val="20"/>
                <w:szCs w:val="20"/>
                <w:lang w:val="en-CA" w:eastAsia="en-CA"/>
              </w:rPr>
              <w:t>HCFC phase-out management plan (third tranche)</w:t>
            </w:r>
          </w:p>
        </w:tc>
        <w:tc>
          <w:tcPr>
            <w:tcW w:w="465" w:type="pct"/>
          </w:tcPr>
          <w:p w14:paraId="099ECE53" w14:textId="77777777" w:rsidR="00F31C6F" w:rsidRPr="00CE17E9" w:rsidRDefault="00F31C6F" w:rsidP="00FB4800">
            <w:pPr>
              <w:jc w:val="center"/>
              <w:rPr>
                <w:sz w:val="20"/>
                <w:szCs w:val="20"/>
                <w:lang w:val="en-CA" w:eastAsia="en-CA"/>
              </w:rPr>
            </w:pPr>
            <w:r w:rsidRPr="00CE17E9">
              <w:rPr>
                <w:sz w:val="20"/>
                <w:szCs w:val="20"/>
                <w:lang w:val="en-CA" w:eastAsia="en-CA"/>
              </w:rPr>
              <w:t>19</w:t>
            </w:r>
          </w:p>
        </w:tc>
        <w:tc>
          <w:tcPr>
            <w:tcW w:w="1194" w:type="pct"/>
          </w:tcPr>
          <w:p w14:paraId="2C5DFC8D" w14:textId="45D9C706" w:rsidR="00F31C6F" w:rsidRPr="00CE17E9" w:rsidRDefault="00F31C6F" w:rsidP="00FB4800">
            <w:pPr>
              <w:rPr>
                <w:sz w:val="20"/>
                <w:szCs w:val="20"/>
                <w:lang w:val="en-CA" w:eastAsia="en-CA"/>
              </w:rPr>
            </w:pPr>
            <w:r w:rsidRPr="00CE17E9">
              <w:rPr>
                <w:sz w:val="20"/>
                <w:szCs w:val="20"/>
                <w:lang w:val="en-CA" w:eastAsia="en-CA"/>
              </w:rPr>
              <w:t xml:space="preserve">Slow progress </w:t>
            </w:r>
            <w:r w:rsidR="000A7C0C" w:rsidRPr="00CE17E9">
              <w:rPr>
                <w:sz w:val="20"/>
                <w:szCs w:val="20"/>
                <w:lang w:val="en-CA" w:eastAsia="en-CA"/>
              </w:rPr>
              <w:t xml:space="preserve">in implementation </w:t>
            </w:r>
            <w:r w:rsidRPr="00CE17E9">
              <w:rPr>
                <w:sz w:val="20"/>
                <w:szCs w:val="20"/>
                <w:lang w:val="en-CA" w:eastAsia="en-CA"/>
              </w:rPr>
              <w:t>due to changes in the administrative set-up in the Government</w:t>
            </w:r>
          </w:p>
        </w:tc>
        <w:tc>
          <w:tcPr>
            <w:tcW w:w="1221" w:type="pct"/>
          </w:tcPr>
          <w:p w14:paraId="2CAE821E" w14:textId="2A9B3F4B" w:rsidR="00F31C6F" w:rsidRPr="00CE17E9" w:rsidRDefault="00F31C6F" w:rsidP="00FB4800">
            <w:pPr>
              <w:rPr>
                <w:sz w:val="20"/>
                <w:szCs w:val="20"/>
                <w:lang w:val="en-CA" w:eastAsia="en-CA"/>
              </w:rPr>
            </w:pPr>
            <w:r w:rsidRPr="00CE17E9">
              <w:rPr>
                <w:sz w:val="20"/>
                <w:szCs w:val="20"/>
                <w:lang w:val="en-CA" w:eastAsia="en-CA"/>
              </w:rPr>
              <w:t>To request a status report to the 85</w:t>
            </w:r>
            <w:r w:rsidRPr="00CE17E9">
              <w:rPr>
                <w:sz w:val="20"/>
                <w:szCs w:val="20"/>
                <w:vertAlign w:val="superscript"/>
                <w:lang w:val="en-CA" w:eastAsia="en-CA"/>
              </w:rPr>
              <w:t>th</w:t>
            </w:r>
            <w:r w:rsidRPr="00CE17E9">
              <w:rPr>
                <w:sz w:val="20"/>
                <w:szCs w:val="20"/>
                <w:lang w:val="en-CA" w:eastAsia="en-CA"/>
              </w:rPr>
              <w:t xml:space="preserve"> meeting on </w:t>
            </w:r>
            <w:r w:rsidR="000A7C0C" w:rsidRPr="00CE17E9">
              <w:rPr>
                <w:sz w:val="20"/>
                <w:szCs w:val="20"/>
                <w:lang w:val="en-CA" w:eastAsia="en-CA"/>
              </w:rPr>
              <w:t xml:space="preserve">progress in </w:t>
            </w:r>
            <w:r w:rsidR="00504A8E" w:rsidRPr="00CE17E9">
              <w:rPr>
                <w:sz w:val="20"/>
                <w:szCs w:val="20"/>
                <w:lang w:val="en-CA" w:eastAsia="en-CA"/>
              </w:rPr>
              <w:t xml:space="preserve">implementation and </w:t>
            </w:r>
            <w:r w:rsidRPr="00CE17E9">
              <w:rPr>
                <w:sz w:val="20"/>
                <w:szCs w:val="20"/>
                <w:lang w:val="en-CA" w:eastAsia="en-CA"/>
              </w:rPr>
              <w:t>the level of funds disbursement</w:t>
            </w:r>
            <w:r w:rsidR="000A7C0C" w:rsidRPr="00CE17E9">
              <w:rPr>
                <w:sz w:val="20"/>
                <w:szCs w:val="20"/>
                <w:lang w:val="en-CA" w:eastAsia="en-CA"/>
              </w:rPr>
              <w:t xml:space="preserve"> </w:t>
            </w:r>
          </w:p>
        </w:tc>
      </w:tr>
    </w:tbl>
    <w:p w14:paraId="6B5C1BA6" w14:textId="77777777" w:rsidR="00F31C6F" w:rsidRPr="00CE17E9" w:rsidRDefault="00F31C6F" w:rsidP="00FB4800"/>
    <w:p w14:paraId="73A1A591" w14:textId="77777777" w:rsidR="006F066A" w:rsidRPr="00CE17E9" w:rsidRDefault="006F066A" w:rsidP="00FB4800">
      <w:pPr>
        <w:autoSpaceDE w:val="0"/>
        <w:autoSpaceDN w:val="0"/>
        <w:adjustRightInd w:val="0"/>
        <w:jc w:val="left"/>
        <w:rPr>
          <w:bCs/>
          <w:lang w:val="en-CA"/>
        </w:rPr>
      </w:pPr>
    </w:p>
    <w:p w14:paraId="1B5995ED" w14:textId="77777777" w:rsidR="006F066A" w:rsidRPr="00CE17E9" w:rsidRDefault="006F066A" w:rsidP="00FB4800">
      <w:pPr>
        <w:rPr>
          <w:lang w:val="en-CA"/>
        </w:rPr>
      </w:pPr>
    </w:p>
    <w:p w14:paraId="56D96E74" w14:textId="77777777" w:rsidR="006F066A" w:rsidRPr="00CE17E9" w:rsidRDefault="006F066A" w:rsidP="00FB4800">
      <w:pPr>
        <w:rPr>
          <w:lang w:val="en-CA"/>
        </w:rPr>
      </w:pPr>
    </w:p>
    <w:p w14:paraId="6E6F2B4F" w14:textId="77777777" w:rsidR="006F066A" w:rsidRPr="00CE17E9" w:rsidRDefault="006F066A" w:rsidP="00FB4800">
      <w:pPr>
        <w:rPr>
          <w:lang w:val="en-CA"/>
        </w:rPr>
        <w:sectPr w:rsidR="006F066A" w:rsidRPr="00CE17E9" w:rsidSect="00543E0D">
          <w:headerReference w:type="even" r:id="rId14"/>
          <w:headerReference w:type="default" r:id="rId15"/>
          <w:footerReference w:type="even" r:id="rId16"/>
          <w:footerReference w:type="default" r:id="rId17"/>
          <w:headerReference w:type="first" r:id="rId18"/>
          <w:footerReference w:type="first" r:id="rId19"/>
          <w:pgSz w:w="15840" w:h="12240" w:orient="landscape" w:code="1"/>
          <w:pgMar w:top="1440" w:right="720" w:bottom="1440" w:left="864" w:header="720" w:footer="475" w:gutter="0"/>
          <w:pgNumType w:start="1"/>
          <w:cols w:space="720"/>
          <w:titlePg/>
          <w:docGrid w:linePitch="299"/>
        </w:sectPr>
      </w:pPr>
    </w:p>
    <w:p w14:paraId="39DD675E" w14:textId="77777777" w:rsidR="006F066A" w:rsidRPr="00CE17E9" w:rsidRDefault="006F066A" w:rsidP="00FB4800">
      <w:pPr>
        <w:pStyle w:val="Title1"/>
        <w:rPr>
          <w:caps w:val="0"/>
          <w:lang w:val="en-CA"/>
        </w:rPr>
      </w:pPr>
      <w:r w:rsidRPr="00CE17E9">
        <w:rPr>
          <w:caps w:val="0"/>
          <w:lang w:val="en-CA"/>
        </w:rPr>
        <w:lastRenderedPageBreak/>
        <w:t>Annex II</w:t>
      </w:r>
    </w:p>
    <w:p w14:paraId="7DD349C0" w14:textId="77777777" w:rsidR="006F066A" w:rsidRPr="00CE17E9" w:rsidRDefault="006F066A" w:rsidP="00FB4800">
      <w:pPr>
        <w:pStyle w:val="Title1"/>
        <w:rPr>
          <w:caps w:val="0"/>
          <w:lang w:val="en-CA"/>
        </w:rPr>
      </w:pPr>
    </w:p>
    <w:p w14:paraId="2DC14B54" w14:textId="77777777" w:rsidR="006F066A" w:rsidRPr="00CE17E9" w:rsidRDefault="006F066A" w:rsidP="00FB4800">
      <w:pPr>
        <w:pStyle w:val="Title1"/>
        <w:rPr>
          <w:lang w:val="en-CA"/>
        </w:rPr>
      </w:pPr>
      <w:r w:rsidRPr="00CE17E9">
        <w:rPr>
          <w:caps w:val="0"/>
          <w:lang w:val="en-CA"/>
        </w:rPr>
        <w:t xml:space="preserve">ANALYSIS OF THE PROGRESS REPORT OF BILATERAL AGENCIES </w:t>
      </w:r>
      <w:r w:rsidRPr="00CE17E9">
        <w:rPr>
          <w:caps w:val="0"/>
          <w:lang w:val="en-CA"/>
        </w:rPr>
        <w:br/>
        <w:t xml:space="preserve">AS AT 31 DECEMBER </w:t>
      </w:r>
      <w:r w:rsidRPr="00CE17E9">
        <w:rPr>
          <w:lang w:val="en-CA"/>
        </w:rPr>
        <w:t>201</w:t>
      </w:r>
      <w:r w:rsidR="00F87CA8" w:rsidRPr="00CE17E9">
        <w:rPr>
          <w:lang w:val="en-CA"/>
        </w:rPr>
        <w:t>8</w:t>
      </w:r>
    </w:p>
    <w:p w14:paraId="6B73A3AA" w14:textId="77777777" w:rsidR="006F066A" w:rsidRPr="00CE17E9" w:rsidRDefault="006F066A" w:rsidP="00FB4800">
      <w:pPr>
        <w:jc w:val="center"/>
        <w:rPr>
          <w:b/>
          <w:lang w:val="en-CA"/>
        </w:rPr>
      </w:pPr>
    </w:p>
    <w:p w14:paraId="4E5A9BE8" w14:textId="77777777" w:rsidR="006F066A" w:rsidRPr="00CE17E9" w:rsidRDefault="006F066A" w:rsidP="00FB4800">
      <w:pPr>
        <w:pStyle w:val="Heading1"/>
        <w:numPr>
          <w:ilvl w:val="0"/>
          <w:numId w:val="22"/>
        </w:numPr>
        <w:rPr>
          <w:lang w:val="en-CA"/>
        </w:rPr>
      </w:pPr>
      <w:r w:rsidRPr="00CE17E9">
        <w:rPr>
          <w:lang w:val="en-CA"/>
        </w:rPr>
        <w:t>This Annex consists of the following two parts:</w:t>
      </w:r>
    </w:p>
    <w:p w14:paraId="051BE389" w14:textId="77777777" w:rsidR="006F066A" w:rsidRPr="00CE17E9" w:rsidRDefault="006F066A" w:rsidP="00FB4800">
      <w:pPr>
        <w:pStyle w:val="Heading2"/>
        <w:keepNext/>
        <w:widowControl/>
        <w:numPr>
          <w:ilvl w:val="0"/>
          <w:numId w:val="0"/>
        </w:numPr>
        <w:adjustRightInd w:val="0"/>
        <w:ind w:left="2160" w:hanging="1440"/>
        <w:textAlignment w:val="baseline"/>
        <w:rPr>
          <w:szCs w:val="28"/>
          <w:lang w:val="en-CA"/>
        </w:rPr>
      </w:pPr>
      <w:r w:rsidRPr="00CE17E9">
        <w:rPr>
          <w:szCs w:val="28"/>
          <w:lang w:val="en-CA"/>
        </w:rPr>
        <w:t>Part I:</w:t>
      </w:r>
      <w:r w:rsidRPr="00CE17E9">
        <w:rPr>
          <w:szCs w:val="28"/>
          <w:lang w:val="en-CA"/>
        </w:rPr>
        <w:tab/>
        <w:t xml:space="preserve">Projects approved under the </w:t>
      </w:r>
      <w:r w:rsidRPr="00CE17E9">
        <w:t>regular contributions to the Multilateral Fund.</w:t>
      </w:r>
    </w:p>
    <w:p w14:paraId="19F4A07D" w14:textId="493B536D" w:rsidR="006F066A" w:rsidRPr="00CE17E9" w:rsidRDefault="006F066A" w:rsidP="00FB4800">
      <w:pPr>
        <w:pStyle w:val="Heading2"/>
        <w:widowControl/>
        <w:numPr>
          <w:ilvl w:val="0"/>
          <w:numId w:val="0"/>
        </w:numPr>
        <w:adjustRightInd w:val="0"/>
        <w:ind w:left="2160" w:hanging="1440"/>
        <w:textAlignment w:val="baseline"/>
        <w:rPr>
          <w:szCs w:val="28"/>
          <w:lang w:val="en-CA"/>
        </w:rPr>
      </w:pPr>
      <w:r w:rsidRPr="00CE17E9">
        <w:rPr>
          <w:szCs w:val="28"/>
          <w:lang w:val="en-CA"/>
        </w:rPr>
        <w:t>Part II:</w:t>
      </w:r>
      <w:r w:rsidRPr="00CE17E9">
        <w:rPr>
          <w:szCs w:val="28"/>
          <w:lang w:val="en-CA"/>
        </w:rPr>
        <w:tab/>
      </w:r>
      <w:r w:rsidR="00A445E8" w:rsidRPr="00CE17E9">
        <w:rPr>
          <w:szCs w:val="28"/>
          <w:lang w:val="en-CA"/>
        </w:rPr>
        <w:t>Projects approved under the additional voluntary contributions for fast start support for HFC phase-down.</w:t>
      </w:r>
    </w:p>
    <w:p w14:paraId="58BDAB35" w14:textId="77777777" w:rsidR="006F066A" w:rsidRPr="00CE17E9" w:rsidRDefault="006F066A" w:rsidP="00FB4800">
      <w:pPr>
        <w:pStyle w:val="sub-title"/>
        <w:keepNext/>
        <w:keepLines/>
        <w:ind w:left="1418" w:hanging="1418"/>
        <w:rPr>
          <w:rFonts w:ascii="Times New Roman Bold" w:hAnsi="Times New Roman Bold"/>
          <w:caps/>
          <w:noProof w:val="0"/>
          <w:szCs w:val="28"/>
          <w:lang w:val="en-CA"/>
        </w:rPr>
      </w:pPr>
      <w:r w:rsidRPr="00CE17E9">
        <w:rPr>
          <w:rFonts w:ascii="Times New Roman Bold" w:hAnsi="Times New Roman Bold"/>
          <w:caps/>
          <w:noProof w:val="0"/>
          <w:szCs w:val="28"/>
          <w:lang w:val="en-CA"/>
        </w:rPr>
        <w:t xml:space="preserve">Part I: </w:t>
      </w:r>
      <w:r w:rsidRPr="00CE17E9">
        <w:rPr>
          <w:rFonts w:ascii="Times New Roman Bold" w:hAnsi="Times New Roman Bold"/>
          <w:caps/>
          <w:noProof w:val="0"/>
          <w:szCs w:val="28"/>
          <w:lang w:val="en-CA"/>
        </w:rPr>
        <w:tab/>
        <w:t>Projects approved under the regular contributions to the Multilateral Fund</w:t>
      </w:r>
    </w:p>
    <w:p w14:paraId="7F5DFB3F" w14:textId="77777777" w:rsidR="006F066A" w:rsidRPr="00CE17E9" w:rsidRDefault="006F066A" w:rsidP="00FB4800">
      <w:pPr>
        <w:pStyle w:val="Title1"/>
        <w:rPr>
          <w:lang w:val="en-CA"/>
        </w:rPr>
      </w:pPr>
    </w:p>
    <w:p w14:paraId="537CAEC6" w14:textId="77777777" w:rsidR="006F066A" w:rsidRPr="00CE17E9" w:rsidRDefault="006F066A" w:rsidP="00FB4800">
      <w:pPr>
        <w:pStyle w:val="Heading1"/>
        <w:rPr>
          <w:lang w:val="en-CA"/>
        </w:rPr>
      </w:pPr>
      <w:r w:rsidRPr="00CE17E9">
        <w:rPr>
          <w:lang w:val="en-CA"/>
        </w:rPr>
        <w:t>As of 31 December 201</w:t>
      </w:r>
      <w:r w:rsidR="00F87CA8" w:rsidRPr="00CE17E9">
        <w:rPr>
          <w:lang w:val="en-CA"/>
        </w:rPr>
        <w:t>8</w:t>
      </w:r>
      <w:r w:rsidRPr="00CE17E9">
        <w:rPr>
          <w:lang w:val="en-CA"/>
        </w:rPr>
        <w:t>, the Executive Committee had approved US $</w:t>
      </w:r>
      <w:r w:rsidR="00F87CA8" w:rsidRPr="00CE17E9">
        <w:rPr>
          <w:lang w:val="en-CA"/>
        </w:rPr>
        <w:t>172.29</w:t>
      </w:r>
      <w:r w:rsidRPr="00CE17E9">
        <w:rPr>
          <w:lang w:val="en-CA"/>
        </w:rPr>
        <w:t> million, consisting of US $</w:t>
      </w:r>
      <w:r w:rsidR="00F87CA8" w:rsidRPr="00CE17E9">
        <w:rPr>
          <w:lang w:val="en-CA"/>
        </w:rPr>
        <w:t>157.35</w:t>
      </w:r>
      <w:r w:rsidRPr="00CE17E9">
        <w:rPr>
          <w:lang w:val="en-CA"/>
        </w:rPr>
        <w:t> million for the implementation of investment and non-investment projects and US $14.</w:t>
      </w:r>
      <w:r w:rsidR="00F87CA8" w:rsidRPr="00CE17E9">
        <w:rPr>
          <w:lang w:val="en-CA"/>
        </w:rPr>
        <w:t>93</w:t>
      </w:r>
      <w:r w:rsidRPr="00CE17E9">
        <w:rPr>
          <w:lang w:val="en-CA"/>
        </w:rPr>
        <w:t> million for agency support costs, as shown in Table 1. In 201</w:t>
      </w:r>
      <w:r w:rsidR="00F87CA8" w:rsidRPr="00CE17E9">
        <w:rPr>
          <w:lang w:val="en-CA"/>
        </w:rPr>
        <w:t>8, 16</w:t>
      </w:r>
      <w:r w:rsidRPr="00CE17E9">
        <w:rPr>
          <w:lang w:val="en-CA"/>
        </w:rPr>
        <w:t xml:space="preserve"> new projects and activities were approved. This level of funding is expected to result in the phase-out of </w:t>
      </w:r>
      <w:r w:rsidR="00F87CA8" w:rsidRPr="00CE17E9">
        <w:rPr>
          <w:lang w:val="en-CA"/>
        </w:rPr>
        <w:t xml:space="preserve">10,372 </w:t>
      </w:r>
      <w:r w:rsidRPr="00CE17E9">
        <w:rPr>
          <w:lang w:val="en-CA"/>
        </w:rPr>
        <w:t xml:space="preserve">ODP tonnes </w:t>
      </w:r>
      <w:r w:rsidR="000659BD" w:rsidRPr="00CE17E9">
        <w:rPr>
          <w:lang w:val="en-CA"/>
        </w:rPr>
        <w:t>of consumption of controlled substances</w:t>
      </w:r>
      <w:r w:rsidRPr="00CE17E9">
        <w:rPr>
          <w:lang w:val="en-CA"/>
        </w:rPr>
        <w:t xml:space="preserve">. </w:t>
      </w:r>
    </w:p>
    <w:p w14:paraId="7149CAC0" w14:textId="77777777" w:rsidR="006F066A" w:rsidRPr="00CE17E9" w:rsidRDefault="006F066A" w:rsidP="00FB4800">
      <w:pPr>
        <w:keepNext/>
        <w:suppressAutoHyphens/>
        <w:rPr>
          <w:b/>
          <w:lang w:val="en-CA"/>
        </w:rPr>
      </w:pPr>
      <w:r w:rsidRPr="00CE17E9">
        <w:rPr>
          <w:b/>
          <w:spacing w:val="-3"/>
          <w:lang w:val="en-CA"/>
        </w:rPr>
        <w:t xml:space="preserve">Table 1: Approved funding by sector for bilateral agencies as at 31 December </w:t>
      </w:r>
      <w:r w:rsidRPr="00CE17E9">
        <w:rPr>
          <w:b/>
          <w:lang w:val="en-CA"/>
        </w:rPr>
        <w:t>201</w:t>
      </w:r>
      <w:r w:rsidR="00F87CA8" w:rsidRPr="00CE17E9">
        <w:rPr>
          <w:b/>
          <w:lang w:val="en-CA"/>
        </w:rPr>
        <w:t>8</w:t>
      </w:r>
    </w:p>
    <w:tbl>
      <w:tblPr>
        <w:tblW w:w="9360" w:type="dxa"/>
        <w:tblInd w:w="-5" w:type="dxa"/>
        <w:tblLayout w:type="fixed"/>
        <w:tblLook w:val="04A0" w:firstRow="1" w:lastRow="0" w:firstColumn="1" w:lastColumn="0" w:noHBand="0" w:noVBand="1"/>
      </w:tblPr>
      <w:tblGrid>
        <w:gridCol w:w="4680"/>
        <w:gridCol w:w="4680"/>
      </w:tblGrid>
      <w:tr w:rsidR="00CE17E9" w:rsidRPr="00CE17E9" w14:paraId="3A5336BE" w14:textId="77777777" w:rsidTr="000A7C0C">
        <w:trPr>
          <w:trHeight w:val="58"/>
        </w:trPr>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42C60" w14:textId="77777777" w:rsidR="00F87CA8" w:rsidRPr="00CE17E9" w:rsidRDefault="00F87CA8" w:rsidP="000A7C0C">
            <w:pPr>
              <w:jc w:val="left"/>
              <w:rPr>
                <w:b/>
                <w:bCs/>
                <w:sz w:val="21"/>
                <w:szCs w:val="21"/>
                <w:lang w:val="en-CA" w:eastAsia="en-CA"/>
              </w:rPr>
            </w:pPr>
            <w:r w:rsidRPr="00CE17E9">
              <w:rPr>
                <w:b/>
                <w:bCs/>
                <w:sz w:val="21"/>
                <w:szCs w:val="21"/>
                <w:lang w:val="en-CA" w:eastAsia="en-CA"/>
              </w:rPr>
              <w:t>Sector</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14:paraId="505725D5" w14:textId="77777777" w:rsidR="00F87CA8" w:rsidRPr="00CE17E9" w:rsidRDefault="00F87CA8" w:rsidP="00FB4800">
            <w:pPr>
              <w:jc w:val="center"/>
              <w:rPr>
                <w:b/>
                <w:bCs/>
                <w:sz w:val="21"/>
                <w:szCs w:val="21"/>
                <w:lang w:val="en-CA" w:eastAsia="en-CA"/>
              </w:rPr>
            </w:pPr>
            <w:r w:rsidRPr="00CE17E9">
              <w:rPr>
                <w:b/>
                <w:bCs/>
                <w:sz w:val="21"/>
                <w:szCs w:val="21"/>
                <w:lang w:val="en-CA" w:eastAsia="en-CA"/>
              </w:rPr>
              <w:t>Funding (US $)</w:t>
            </w:r>
          </w:p>
        </w:tc>
      </w:tr>
      <w:tr w:rsidR="00CE17E9" w:rsidRPr="00CE17E9" w14:paraId="63673C1D" w14:textId="77777777" w:rsidTr="000A7C0C">
        <w:trPr>
          <w:trHeight w:val="100"/>
        </w:trPr>
        <w:tc>
          <w:tcPr>
            <w:tcW w:w="4680" w:type="dxa"/>
            <w:tcBorders>
              <w:top w:val="nil"/>
              <w:left w:val="single" w:sz="4" w:space="0" w:color="auto"/>
              <w:bottom w:val="single" w:sz="4" w:space="0" w:color="auto"/>
              <w:right w:val="single" w:sz="4" w:space="0" w:color="auto"/>
            </w:tcBorders>
            <w:shd w:val="clear" w:color="auto" w:fill="auto"/>
            <w:noWrap/>
            <w:vAlign w:val="center"/>
            <w:hideMark/>
          </w:tcPr>
          <w:p w14:paraId="2567F31D" w14:textId="77777777" w:rsidR="00F87CA8" w:rsidRPr="00CE17E9" w:rsidRDefault="00F87CA8" w:rsidP="00FB4800">
            <w:pPr>
              <w:jc w:val="left"/>
              <w:rPr>
                <w:sz w:val="21"/>
                <w:szCs w:val="21"/>
                <w:lang w:val="en-CA" w:eastAsia="en-CA"/>
              </w:rPr>
            </w:pPr>
            <w:r w:rsidRPr="00CE17E9">
              <w:rPr>
                <w:sz w:val="21"/>
                <w:szCs w:val="21"/>
                <w:lang w:val="en-CA" w:eastAsia="en-CA"/>
              </w:rPr>
              <w:t>Aerosol</w:t>
            </w:r>
          </w:p>
        </w:tc>
        <w:tc>
          <w:tcPr>
            <w:tcW w:w="4680" w:type="dxa"/>
            <w:tcBorders>
              <w:top w:val="nil"/>
              <w:left w:val="nil"/>
              <w:bottom w:val="single" w:sz="4" w:space="0" w:color="auto"/>
              <w:right w:val="single" w:sz="4" w:space="0" w:color="auto"/>
            </w:tcBorders>
            <w:shd w:val="clear" w:color="auto" w:fill="auto"/>
            <w:noWrap/>
            <w:tcMar>
              <w:left w:w="115" w:type="dxa"/>
              <w:right w:w="576" w:type="dxa"/>
            </w:tcMar>
            <w:vAlign w:val="center"/>
            <w:hideMark/>
          </w:tcPr>
          <w:p w14:paraId="1FE65C14" w14:textId="77777777" w:rsidR="00F87CA8" w:rsidRPr="00CE17E9" w:rsidRDefault="00F87CA8" w:rsidP="00FB4800">
            <w:pPr>
              <w:jc w:val="right"/>
              <w:rPr>
                <w:sz w:val="21"/>
                <w:szCs w:val="21"/>
                <w:lang w:val="en-CA" w:eastAsia="en-CA"/>
              </w:rPr>
            </w:pPr>
            <w:r w:rsidRPr="00CE17E9">
              <w:rPr>
                <w:sz w:val="21"/>
                <w:szCs w:val="21"/>
                <w:lang w:val="en-CA" w:eastAsia="en-CA"/>
              </w:rPr>
              <w:t>2,051,914</w:t>
            </w:r>
          </w:p>
        </w:tc>
      </w:tr>
      <w:tr w:rsidR="00CE17E9" w:rsidRPr="00CE17E9" w14:paraId="22AA14CC" w14:textId="77777777" w:rsidTr="000A7C0C">
        <w:trPr>
          <w:trHeight w:val="147"/>
        </w:trPr>
        <w:tc>
          <w:tcPr>
            <w:tcW w:w="4680" w:type="dxa"/>
            <w:tcBorders>
              <w:top w:val="nil"/>
              <w:left w:val="single" w:sz="4" w:space="0" w:color="auto"/>
              <w:bottom w:val="single" w:sz="4" w:space="0" w:color="auto"/>
              <w:right w:val="single" w:sz="4" w:space="0" w:color="auto"/>
            </w:tcBorders>
            <w:shd w:val="clear" w:color="auto" w:fill="auto"/>
            <w:noWrap/>
            <w:vAlign w:val="center"/>
            <w:hideMark/>
          </w:tcPr>
          <w:p w14:paraId="0A79FE01" w14:textId="77777777" w:rsidR="00F87CA8" w:rsidRPr="00CE17E9" w:rsidRDefault="00F87CA8" w:rsidP="00FB4800">
            <w:pPr>
              <w:jc w:val="left"/>
              <w:rPr>
                <w:sz w:val="21"/>
                <w:szCs w:val="21"/>
                <w:lang w:val="en-CA" w:eastAsia="en-CA"/>
              </w:rPr>
            </w:pPr>
            <w:r w:rsidRPr="00CE17E9">
              <w:rPr>
                <w:sz w:val="21"/>
                <w:szCs w:val="21"/>
                <w:lang w:val="en-CA" w:eastAsia="en-CA"/>
              </w:rPr>
              <w:t>Destruction</w:t>
            </w:r>
          </w:p>
        </w:tc>
        <w:tc>
          <w:tcPr>
            <w:tcW w:w="4680" w:type="dxa"/>
            <w:tcBorders>
              <w:top w:val="nil"/>
              <w:left w:val="nil"/>
              <w:bottom w:val="single" w:sz="4" w:space="0" w:color="auto"/>
              <w:right w:val="single" w:sz="4" w:space="0" w:color="auto"/>
            </w:tcBorders>
            <w:shd w:val="clear" w:color="auto" w:fill="auto"/>
            <w:noWrap/>
            <w:tcMar>
              <w:left w:w="115" w:type="dxa"/>
              <w:right w:w="576" w:type="dxa"/>
            </w:tcMar>
            <w:vAlign w:val="center"/>
            <w:hideMark/>
          </w:tcPr>
          <w:p w14:paraId="05121B33" w14:textId="77777777" w:rsidR="00F87CA8" w:rsidRPr="00CE17E9" w:rsidRDefault="00F87CA8" w:rsidP="00FB4800">
            <w:pPr>
              <w:jc w:val="right"/>
              <w:rPr>
                <w:sz w:val="21"/>
                <w:szCs w:val="21"/>
                <w:lang w:val="en-CA" w:eastAsia="en-CA"/>
              </w:rPr>
            </w:pPr>
            <w:r w:rsidRPr="00CE17E9">
              <w:rPr>
                <w:sz w:val="21"/>
                <w:szCs w:val="21"/>
                <w:lang w:val="en-CA" w:eastAsia="en-CA"/>
              </w:rPr>
              <w:t>1,526,282</w:t>
            </w:r>
          </w:p>
        </w:tc>
      </w:tr>
      <w:tr w:rsidR="00CE17E9" w:rsidRPr="00CE17E9" w14:paraId="025BA580" w14:textId="77777777" w:rsidTr="000A7C0C">
        <w:trPr>
          <w:trHeight w:val="192"/>
        </w:trPr>
        <w:tc>
          <w:tcPr>
            <w:tcW w:w="4680" w:type="dxa"/>
            <w:tcBorders>
              <w:top w:val="nil"/>
              <w:left w:val="single" w:sz="4" w:space="0" w:color="auto"/>
              <w:bottom w:val="single" w:sz="4" w:space="0" w:color="auto"/>
              <w:right w:val="single" w:sz="4" w:space="0" w:color="auto"/>
            </w:tcBorders>
            <w:shd w:val="clear" w:color="auto" w:fill="auto"/>
            <w:noWrap/>
            <w:vAlign w:val="center"/>
            <w:hideMark/>
          </w:tcPr>
          <w:p w14:paraId="71ECA275" w14:textId="77777777" w:rsidR="00F87CA8" w:rsidRPr="00CE17E9" w:rsidRDefault="00F87CA8" w:rsidP="00FB4800">
            <w:pPr>
              <w:jc w:val="left"/>
              <w:rPr>
                <w:sz w:val="21"/>
                <w:szCs w:val="21"/>
                <w:lang w:val="en-CA" w:eastAsia="en-CA"/>
              </w:rPr>
            </w:pPr>
            <w:r w:rsidRPr="00CE17E9">
              <w:rPr>
                <w:sz w:val="21"/>
                <w:szCs w:val="21"/>
                <w:lang w:val="en-CA" w:eastAsia="en-CA"/>
              </w:rPr>
              <w:t>Foam</w:t>
            </w:r>
          </w:p>
        </w:tc>
        <w:tc>
          <w:tcPr>
            <w:tcW w:w="4680" w:type="dxa"/>
            <w:tcBorders>
              <w:top w:val="nil"/>
              <w:left w:val="nil"/>
              <w:bottom w:val="single" w:sz="4" w:space="0" w:color="auto"/>
              <w:right w:val="single" w:sz="4" w:space="0" w:color="auto"/>
            </w:tcBorders>
            <w:shd w:val="clear" w:color="auto" w:fill="auto"/>
            <w:noWrap/>
            <w:tcMar>
              <w:left w:w="115" w:type="dxa"/>
              <w:right w:w="576" w:type="dxa"/>
            </w:tcMar>
            <w:vAlign w:val="center"/>
            <w:hideMark/>
          </w:tcPr>
          <w:p w14:paraId="1E21663B" w14:textId="77777777" w:rsidR="00F87CA8" w:rsidRPr="00CE17E9" w:rsidRDefault="00F87CA8" w:rsidP="00FB4800">
            <w:pPr>
              <w:jc w:val="right"/>
              <w:rPr>
                <w:sz w:val="21"/>
                <w:szCs w:val="21"/>
                <w:lang w:val="en-CA" w:eastAsia="en-CA"/>
              </w:rPr>
            </w:pPr>
            <w:r w:rsidRPr="00CE17E9">
              <w:rPr>
                <w:sz w:val="21"/>
                <w:szCs w:val="21"/>
                <w:lang w:val="en-CA" w:eastAsia="en-CA"/>
              </w:rPr>
              <w:t>8,093,857</w:t>
            </w:r>
          </w:p>
        </w:tc>
      </w:tr>
      <w:tr w:rsidR="00CE17E9" w:rsidRPr="00CE17E9" w14:paraId="0F8CF939" w14:textId="77777777" w:rsidTr="000A7C0C">
        <w:trPr>
          <w:trHeight w:val="97"/>
        </w:trPr>
        <w:tc>
          <w:tcPr>
            <w:tcW w:w="4680" w:type="dxa"/>
            <w:tcBorders>
              <w:top w:val="nil"/>
              <w:left w:val="single" w:sz="4" w:space="0" w:color="auto"/>
              <w:bottom w:val="single" w:sz="4" w:space="0" w:color="auto"/>
              <w:right w:val="single" w:sz="4" w:space="0" w:color="auto"/>
            </w:tcBorders>
            <w:shd w:val="clear" w:color="auto" w:fill="auto"/>
            <w:noWrap/>
            <w:vAlign w:val="center"/>
            <w:hideMark/>
          </w:tcPr>
          <w:p w14:paraId="10E8DE98" w14:textId="77777777" w:rsidR="00F87CA8" w:rsidRPr="00CE17E9" w:rsidRDefault="00F87CA8" w:rsidP="00FB4800">
            <w:pPr>
              <w:jc w:val="left"/>
              <w:rPr>
                <w:sz w:val="21"/>
                <w:szCs w:val="21"/>
                <w:lang w:val="en-CA" w:eastAsia="en-CA"/>
              </w:rPr>
            </w:pPr>
            <w:r w:rsidRPr="00CE17E9">
              <w:rPr>
                <w:sz w:val="21"/>
                <w:szCs w:val="21"/>
                <w:lang w:val="en-CA" w:eastAsia="en-CA"/>
              </w:rPr>
              <w:t>Halon</w:t>
            </w:r>
          </w:p>
        </w:tc>
        <w:tc>
          <w:tcPr>
            <w:tcW w:w="4680" w:type="dxa"/>
            <w:tcBorders>
              <w:top w:val="nil"/>
              <w:left w:val="nil"/>
              <w:bottom w:val="single" w:sz="4" w:space="0" w:color="auto"/>
              <w:right w:val="single" w:sz="4" w:space="0" w:color="auto"/>
            </w:tcBorders>
            <w:shd w:val="clear" w:color="auto" w:fill="auto"/>
            <w:noWrap/>
            <w:tcMar>
              <w:left w:w="115" w:type="dxa"/>
              <w:right w:w="576" w:type="dxa"/>
            </w:tcMar>
            <w:vAlign w:val="center"/>
            <w:hideMark/>
          </w:tcPr>
          <w:p w14:paraId="50B01E73" w14:textId="77777777" w:rsidR="00F87CA8" w:rsidRPr="00CE17E9" w:rsidRDefault="00F87CA8" w:rsidP="00FB4800">
            <w:pPr>
              <w:jc w:val="right"/>
              <w:rPr>
                <w:sz w:val="21"/>
                <w:szCs w:val="21"/>
                <w:lang w:val="en-CA" w:eastAsia="en-CA"/>
              </w:rPr>
            </w:pPr>
            <w:r w:rsidRPr="00CE17E9">
              <w:rPr>
                <w:sz w:val="21"/>
                <w:szCs w:val="21"/>
                <w:lang w:val="en-CA" w:eastAsia="en-CA"/>
              </w:rPr>
              <w:t>6,147,361</w:t>
            </w:r>
          </w:p>
        </w:tc>
      </w:tr>
      <w:tr w:rsidR="00CE17E9" w:rsidRPr="00CE17E9" w14:paraId="2A318F33" w14:textId="77777777" w:rsidTr="000A7C0C">
        <w:trPr>
          <w:trHeight w:val="58"/>
        </w:trPr>
        <w:tc>
          <w:tcPr>
            <w:tcW w:w="4680" w:type="dxa"/>
            <w:tcBorders>
              <w:top w:val="nil"/>
              <w:left w:val="single" w:sz="4" w:space="0" w:color="auto"/>
              <w:bottom w:val="single" w:sz="4" w:space="0" w:color="auto"/>
              <w:right w:val="single" w:sz="4" w:space="0" w:color="auto"/>
            </w:tcBorders>
            <w:shd w:val="clear" w:color="auto" w:fill="auto"/>
            <w:noWrap/>
            <w:vAlign w:val="center"/>
            <w:hideMark/>
          </w:tcPr>
          <w:p w14:paraId="2E41B236" w14:textId="77777777" w:rsidR="00F87CA8" w:rsidRPr="00CE17E9" w:rsidRDefault="00F87CA8" w:rsidP="00FB4800">
            <w:pPr>
              <w:jc w:val="left"/>
              <w:rPr>
                <w:sz w:val="21"/>
                <w:szCs w:val="21"/>
                <w:lang w:val="en-CA" w:eastAsia="en-CA"/>
              </w:rPr>
            </w:pPr>
            <w:r w:rsidRPr="00CE17E9">
              <w:rPr>
                <w:sz w:val="21"/>
                <w:szCs w:val="21"/>
                <w:lang w:val="en-CA" w:eastAsia="en-CA"/>
              </w:rPr>
              <w:t>Fumigants</w:t>
            </w:r>
          </w:p>
        </w:tc>
        <w:tc>
          <w:tcPr>
            <w:tcW w:w="4680" w:type="dxa"/>
            <w:tcBorders>
              <w:top w:val="nil"/>
              <w:left w:val="nil"/>
              <w:bottom w:val="single" w:sz="4" w:space="0" w:color="auto"/>
              <w:right w:val="single" w:sz="4" w:space="0" w:color="auto"/>
            </w:tcBorders>
            <w:shd w:val="clear" w:color="auto" w:fill="auto"/>
            <w:noWrap/>
            <w:tcMar>
              <w:left w:w="115" w:type="dxa"/>
              <w:right w:w="576" w:type="dxa"/>
            </w:tcMar>
            <w:vAlign w:val="center"/>
            <w:hideMark/>
          </w:tcPr>
          <w:p w14:paraId="295E856E" w14:textId="77777777" w:rsidR="00F87CA8" w:rsidRPr="00CE17E9" w:rsidRDefault="00F87CA8" w:rsidP="00FB4800">
            <w:pPr>
              <w:jc w:val="right"/>
              <w:rPr>
                <w:sz w:val="21"/>
                <w:szCs w:val="21"/>
                <w:lang w:val="en-CA" w:eastAsia="en-CA"/>
              </w:rPr>
            </w:pPr>
            <w:r w:rsidRPr="00CE17E9">
              <w:rPr>
                <w:sz w:val="21"/>
                <w:szCs w:val="21"/>
                <w:lang w:val="en-CA" w:eastAsia="en-CA"/>
              </w:rPr>
              <w:t>18,229,661</w:t>
            </w:r>
          </w:p>
        </w:tc>
      </w:tr>
      <w:tr w:rsidR="00CE17E9" w:rsidRPr="00CE17E9" w14:paraId="7B85F5BB" w14:textId="77777777" w:rsidTr="000A7C0C">
        <w:trPr>
          <w:trHeight w:val="58"/>
        </w:trPr>
        <w:tc>
          <w:tcPr>
            <w:tcW w:w="4680" w:type="dxa"/>
            <w:tcBorders>
              <w:top w:val="nil"/>
              <w:left w:val="single" w:sz="4" w:space="0" w:color="auto"/>
              <w:bottom w:val="single" w:sz="4" w:space="0" w:color="auto"/>
              <w:right w:val="single" w:sz="4" w:space="0" w:color="auto"/>
            </w:tcBorders>
            <w:shd w:val="clear" w:color="auto" w:fill="auto"/>
            <w:noWrap/>
            <w:vAlign w:val="center"/>
            <w:hideMark/>
          </w:tcPr>
          <w:p w14:paraId="4A4F60E2" w14:textId="77777777" w:rsidR="00F87CA8" w:rsidRPr="00CE17E9" w:rsidRDefault="00F87CA8" w:rsidP="00FB4800">
            <w:pPr>
              <w:jc w:val="left"/>
              <w:rPr>
                <w:sz w:val="21"/>
                <w:szCs w:val="21"/>
                <w:lang w:val="en-CA" w:eastAsia="en-CA"/>
              </w:rPr>
            </w:pPr>
            <w:r w:rsidRPr="00CE17E9">
              <w:rPr>
                <w:sz w:val="21"/>
                <w:szCs w:val="21"/>
                <w:lang w:val="en-CA" w:eastAsia="en-CA"/>
              </w:rPr>
              <w:t>Phase-out plan</w:t>
            </w:r>
          </w:p>
        </w:tc>
        <w:tc>
          <w:tcPr>
            <w:tcW w:w="4680" w:type="dxa"/>
            <w:tcBorders>
              <w:top w:val="nil"/>
              <w:left w:val="nil"/>
              <w:bottom w:val="single" w:sz="4" w:space="0" w:color="auto"/>
              <w:right w:val="single" w:sz="4" w:space="0" w:color="auto"/>
            </w:tcBorders>
            <w:shd w:val="clear" w:color="auto" w:fill="auto"/>
            <w:noWrap/>
            <w:tcMar>
              <w:left w:w="115" w:type="dxa"/>
              <w:right w:w="576" w:type="dxa"/>
            </w:tcMar>
            <w:vAlign w:val="center"/>
            <w:hideMark/>
          </w:tcPr>
          <w:p w14:paraId="62449145" w14:textId="77777777" w:rsidR="00F87CA8" w:rsidRPr="00CE17E9" w:rsidRDefault="00F87CA8" w:rsidP="00FB4800">
            <w:pPr>
              <w:jc w:val="right"/>
              <w:rPr>
                <w:sz w:val="21"/>
                <w:szCs w:val="21"/>
                <w:lang w:val="en-CA" w:eastAsia="en-CA"/>
              </w:rPr>
            </w:pPr>
            <w:r w:rsidRPr="00CE17E9">
              <w:rPr>
                <w:sz w:val="21"/>
                <w:szCs w:val="21"/>
                <w:lang w:val="en-CA" w:eastAsia="en-CA"/>
              </w:rPr>
              <w:t>63,160,785</w:t>
            </w:r>
          </w:p>
        </w:tc>
      </w:tr>
      <w:tr w:rsidR="00CE17E9" w:rsidRPr="00CE17E9" w14:paraId="342B719D" w14:textId="77777777" w:rsidTr="000A7C0C">
        <w:trPr>
          <w:trHeight w:val="79"/>
        </w:trPr>
        <w:tc>
          <w:tcPr>
            <w:tcW w:w="4680" w:type="dxa"/>
            <w:tcBorders>
              <w:top w:val="nil"/>
              <w:left w:val="single" w:sz="4" w:space="0" w:color="auto"/>
              <w:bottom w:val="single" w:sz="4" w:space="0" w:color="auto"/>
              <w:right w:val="single" w:sz="4" w:space="0" w:color="auto"/>
            </w:tcBorders>
            <w:shd w:val="clear" w:color="auto" w:fill="auto"/>
            <w:noWrap/>
            <w:vAlign w:val="center"/>
            <w:hideMark/>
          </w:tcPr>
          <w:p w14:paraId="5D30F5D3" w14:textId="77777777" w:rsidR="00F87CA8" w:rsidRPr="00CE17E9" w:rsidRDefault="00F87CA8" w:rsidP="00FB4800">
            <w:pPr>
              <w:jc w:val="left"/>
              <w:rPr>
                <w:sz w:val="21"/>
                <w:szCs w:val="21"/>
                <w:lang w:val="en-CA" w:eastAsia="en-CA"/>
              </w:rPr>
            </w:pPr>
            <w:r w:rsidRPr="00CE17E9">
              <w:rPr>
                <w:sz w:val="21"/>
                <w:szCs w:val="21"/>
                <w:lang w:val="en-CA" w:eastAsia="en-CA"/>
              </w:rPr>
              <w:t>Production</w:t>
            </w:r>
          </w:p>
        </w:tc>
        <w:tc>
          <w:tcPr>
            <w:tcW w:w="4680" w:type="dxa"/>
            <w:tcBorders>
              <w:top w:val="nil"/>
              <w:left w:val="nil"/>
              <w:bottom w:val="single" w:sz="4" w:space="0" w:color="auto"/>
              <w:right w:val="single" w:sz="4" w:space="0" w:color="auto"/>
            </w:tcBorders>
            <w:shd w:val="clear" w:color="auto" w:fill="auto"/>
            <w:noWrap/>
            <w:tcMar>
              <w:left w:w="115" w:type="dxa"/>
              <w:right w:w="576" w:type="dxa"/>
            </w:tcMar>
            <w:vAlign w:val="center"/>
            <w:hideMark/>
          </w:tcPr>
          <w:p w14:paraId="3A539943" w14:textId="77777777" w:rsidR="00F87CA8" w:rsidRPr="00CE17E9" w:rsidRDefault="00F87CA8" w:rsidP="00FB4800">
            <w:pPr>
              <w:jc w:val="right"/>
              <w:rPr>
                <w:sz w:val="21"/>
                <w:szCs w:val="21"/>
                <w:lang w:val="en-CA" w:eastAsia="en-CA"/>
              </w:rPr>
            </w:pPr>
            <w:r w:rsidRPr="00CE17E9">
              <w:rPr>
                <w:sz w:val="21"/>
                <w:szCs w:val="21"/>
                <w:lang w:val="en-CA" w:eastAsia="en-CA"/>
              </w:rPr>
              <w:t>10,000,000</w:t>
            </w:r>
          </w:p>
        </w:tc>
      </w:tr>
      <w:tr w:rsidR="00CE17E9" w:rsidRPr="00CE17E9" w14:paraId="0D80E506" w14:textId="77777777" w:rsidTr="000A7C0C">
        <w:trPr>
          <w:trHeight w:val="124"/>
        </w:trPr>
        <w:tc>
          <w:tcPr>
            <w:tcW w:w="4680" w:type="dxa"/>
            <w:tcBorders>
              <w:top w:val="nil"/>
              <w:left w:val="single" w:sz="4" w:space="0" w:color="auto"/>
              <w:bottom w:val="single" w:sz="4" w:space="0" w:color="auto"/>
              <w:right w:val="single" w:sz="4" w:space="0" w:color="auto"/>
            </w:tcBorders>
            <w:shd w:val="clear" w:color="auto" w:fill="auto"/>
            <w:noWrap/>
            <w:vAlign w:val="center"/>
            <w:hideMark/>
          </w:tcPr>
          <w:p w14:paraId="01B25873" w14:textId="77777777" w:rsidR="00F87CA8" w:rsidRPr="00CE17E9" w:rsidRDefault="00F87CA8" w:rsidP="00FB4800">
            <w:pPr>
              <w:jc w:val="left"/>
              <w:rPr>
                <w:sz w:val="21"/>
                <w:szCs w:val="21"/>
                <w:lang w:val="en-CA" w:eastAsia="en-CA"/>
              </w:rPr>
            </w:pPr>
            <w:r w:rsidRPr="00CE17E9">
              <w:rPr>
                <w:sz w:val="21"/>
                <w:szCs w:val="21"/>
                <w:lang w:val="en-CA" w:eastAsia="en-CA"/>
              </w:rPr>
              <w:t>Refrigeration</w:t>
            </w:r>
          </w:p>
        </w:tc>
        <w:tc>
          <w:tcPr>
            <w:tcW w:w="4680" w:type="dxa"/>
            <w:tcBorders>
              <w:top w:val="nil"/>
              <w:left w:val="nil"/>
              <w:bottom w:val="single" w:sz="4" w:space="0" w:color="auto"/>
              <w:right w:val="single" w:sz="4" w:space="0" w:color="auto"/>
            </w:tcBorders>
            <w:shd w:val="clear" w:color="auto" w:fill="auto"/>
            <w:noWrap/>
            <w:tcMar>
              <w:left w:w="115" w:type="dxa"/>
              <w:right w:w="576" w:type="dxa"/>
            </w:tcMar>
            <w:vAlign w:val="center"/>
            <w:hideMark/>
          </w:tcPr>
          <w:p w14:paraId="31F7E109" w14:textId="77777777" w:rsidR="00F87CA8" w:rsidRPr="00CE17E9" w:rsidRDefault="00F87CA8" w:rsidP="00FB4800">
            <w:pPr>
              <w:jc w:val="right"/>
              <w:rPr>
                <w:sz w:val="21"/>
                <w:szCs w:val="21"/>
                <w:lang w:val="en-CA" w:eastAsia="en-CA"/>
              </w:rPr>
            </w:pPr>
            <w:r w:rsidRPr="00CE17E9">
              <w:rPr>
                <w:sz w:val="21"/>
                <w:szCs w:val="21"/>
                <w:lang w:val="en-CA" w:eastAsia="en-CA"/>
              </w:rPr>
              <w:t>40,910,121</w:t>
            </w:r>
          </w:p>
        </w:tc>
      </w:tr>
      <w:tr w:rsidR="00CE17E9" w:rsidRPr="00CE17E9" w14:paraId="62AE6A92" w14:textId="77777777" w:rsidTr="000A7C0C">
        <w:trPr>
          <w:trHeight w:val="58"/>
        </w:trPr>
        <w:tc>
          <w:tcPr>
            <w:tcW w:w="4680" w:type="dxa"/>
            <w:tcBorders>
              <w:top w:val="nil"/>
              <w:left w:val="single" w:sz="4" w:space="0" w:color="auto"/>
              <w:bottom w:val="single" w:sz="4" w:space="0" w:color="auto"/>
              <w:right w:val="single" w:sz="4" w:space="0" w:color="auto"/>
            </w:tcBorders>
            <w:shd w:val="clear" w:color="auto" w:fill="auto"/>
            <w:noWrap/>
            <w:vAlign w:val="center"/>
            <w:hideMark/>
          </w:tcPr>
          <w:p w14:paraId="24DEDDFD" w14:textId="77777777" w:rsidR="00F87CA8" w:rsidRPr="00CE17E9" w:rsidRDefault="00F87CA8" w:rsidP="00FB4800">
            <w:pPr>
              <w:jc w:val="left"/>
              <w:rPr>
                <w:sz w:val="21"/>
                <w:szCs w:val="21"/>
                <w:lang w:val="en-CA" w:eastAsia="en-CA"/>
              </w:rPr>
            </w:pPr>
            <w:r w:rsidRPr="00CE17E9">
              <w:rPr>
                <w:sz w:val="21"/>
                <w:szCs w:val="21"/>
                <w:lang w:val="en-CA" w:eastAsia="en-CA"/>
              </w:rPr>
              <w:t>Several</w:t>
            </w:r>
          </w:p>
        </w:tc>
        <w:tc>
          <w:tcPr>
            <w:tcW w:w="4680" w:type="dxa"/>
            <w:tcBorders>
              <w:top w:val="nil"/>
              <w:left w:val="nil"/>
              <w:bottom w:val="single" w:sz="4" w:space="0" w:color="auto"/>
              <w:right w:val="single" w:sz="4" w:space="0" w:color="auto"/>
            </w:tcBorders>
            <w:shd w:val="clear" w:color="auto" w:fill="auto"/>
            <w:noWrap/>
            <w:tcMar>
              <w:left w:w="115" w:type="dxa"/>
              <w:right w:w="576" w:type="dxa"/>
            </w:tcMar>
            <w:vAlign w:val="center"/>
            <w:hideMark/>
          </w:tcPr>
          <w:p w14:paraId="14F6FF57" w14:textId="77777777" w:rsidR="00F87CA8" w:rsidRPr="00CE17E9" w:rsidRDefault="00F87CA8" w:rsidP="00FB4800">
            <w:pPr>
              <w:jc w:val="right"/>
              <w:rPr>
                <w:sz w:val="21"/>
                <w:szCs w:val="21"/>
                <w:lang w:val="en-CA" w:eastAsia="en-CA"/>
              </w:rPr>
            </w:pPr>
            <w:r w:rsidRPr="00CE17E9">
              <w:rPr>
                <w:sz w:val="21"/>
                <w:szCs w:val="21"/>
                <w:lang w:val="en-CA" w:eastAsia="en-CA"/>
              </w:rPr>
              <w:t>4,719,718</w:t>
            </w:r>
          </w:p>
        </w:tc>
      </w:tr>
      <w:tr w:rsidR="00CE17E9" w:rsidRPr="00CE17E9" w14:paraId="79B06065" w14:textId="77777777" w:rsidTr="000A7C0C">
        <w:trPr>
          <w:trHeight w:val="58"/>
        </w:trPr>
        <w:tc>
          <w:tcPr>
            <w:tcW w:w="4680" w:type="dxa"/>
            <w:tcBorders>
              <w:top w:val="nil"/>
              <w:left w:val="single" w:sz="4" w:space="0" w:color="auto"/>
              <w:bottom w:val="single" w:sz="4" w:space="0" w:color="auto"/>
              <w:right w:val="single" w:sz="4" w:space="0" w:color="auto"/>
            </w:tcBorders>
            <w:shd w:val="clear" w:color="auto" w:fill="auto"/>
            <w:noWrap/>
            <w:vAlign w:val="center"/>
            <w:hideMark/>
          </w:tcPr>
          <w:p w14:paraId="583B4532" w14:textId="77777777" w:rsidR="00F87CA8" w:rsidRPr="00CE17E9" w:rsidRDefault="00F87CA8" w:rsidP="00FB4800">
            <w:pPr>
              <w:jc w:val="left"/>
              <w:rPr>
                <w:sz w:val="21"/>
                <w:szCs w:val="21"/>
                <w:lang w:val="en-CA" w:eastAsia="en-CA"/>
              </w:rPr>
            </w:pPr>
            <w:r w:rsidRPr="00CE17E9">
              <w:rPr>
                <w:sz w:val="21"/>
                <w:szCs w:val="21"/>
                <w:lang w:val="en-CA" w:eastAsia="en-CA"/>
              </w:rPr>
              <w:t>Solvents</w:t>
            </w:r>
          </w:p>
        </w:tc>
        <w:tc>
          <w:tcPr>
            <w:tcW w:w="4680" w:type="dxa"/>
            <w:tcBorders>
              <w:top w:val="nil"/>
              <w:left w:val="nil"/>
              <w:bottom w:val="single" w:sz="4" w:space="0" w:color="auto"/>
              <w:right w:val="single" w:sz="4" w:space="0" w:color="auto"/>
            </w:tcBorders>
            <w:shd w:val="clear" w:color="auto" w:fill="auto"/>
            <w:noWrap/>
            <w:tcMar>
              <w:left w:w="115" w:type="dxa"/>
              <w:right w:w="576" w:type="dxa"/>
            </w:tcMar>
            <w:vAlign w:val="center"/>
            <w:hideMark/>
          </w:tcPr>
          <w:p w14:paraId="74DA670D" w14:textId="77777777" w:rsidR="00F87CA8" w:rsidRPr="00CE17E9" w:rsidRDefault="00F87CA8" w:rsidP="00FB4800">
            <w:pPr>
              <w:jc w:val="right"/>
              <w:rPr>
                <w:sz w:val="21"/>
                <w:szCs w:val="21"/>
                <w:lang w:val="en-CA" w:eastAsia="en-CA"/>
              </w:rPr>
            </w:pPr>
            <w:r w:rsidRPr="00CE17E9">
              <w:rPr>
                <w:sz w:val="21"/>
                <w:szCs w:val="21"/>
                <w:lang w:val="en-CA" w:eastAsia="en-CA"/>
              </w:rPr>
              <w:t>2,512,738</w:t>
            </w:r>
          </w:p>
        </w:tc>
      </w:tr>
      <w:tr w:rsidR="00CE17E9" w:rsidRPr="00CE17E9" w14:paraId="73306FDD" w14:textId="77777777" w:rsidTr="000A7C0C">
        <w:trPr>
          <w:trHeight w:val="58"/>
        </w:trPr>
        <w:tc>
          <w:tcPr>
            <w:tcW w:w="4680" w:type="dxa"/>
            <w:tcBorders>
              <w:top w:val="nil"/>
              <w:left w:val="single" w:sz="4" w:space="0" w:color="auto"/>
              <w:bottom w:val="single" w:sz="4" w:space="0" w:color="auto"/>
              <w:right w:val="single" w:sz="4" w:space="0" w:color="auto"/>
            </w:tcBorders>
            <w:shd w:val="clear" w:color="auto" w:fill="auto"/>
            <w:noWrap/>
            <w:vAlign w:val="center"/>
            <w:hideMark/>
          </w:tcPr>
          <w:p w14:paraId="7E6EFA80" w14:textId="77777777" w:rsidR="00F87CA8" w:rsidRPr="00CE17E9" w:rsidRDefault="00F87CA8" w:rsidP="00FB4800">
            <w:pPr>
              <w:jc w:val="left"/>
              <w:rPr>
                <w:b/>
                <w:bCs/>
                <w:sz w:val="21"/>
                <w:szCs w:val="21"/>
                <w:lang w:val="en-CA" w:eastAsia="en-CA"/>
              </w:rPr>
            </w:pPr>
            <w:r w:rsidRPr="00CE17E9">
              <w:rPr>
                <w:b/>
                <w:bCs/>
                <w:sz w:val="21"/>
                <w:szCs w:val="21"/>
                <w:lang w:val="en-CA" w:eastAsia="en-CA"/>
              </w:rPr>
              <w:t>Sub-total</w:t>
            </w:r>
          </w:p>
        </w:tc>
        <w:tc>
          <w:tcPr>
            <w:tcW w:w="4680" w:type="dxa"/>
            <w:tcBorders>
              <w:top w:val="nil"/>
              <w:left w:val="nil"/>
              <w:bottom w:val="single" w:sz="4" w:space="0" w:color="auto"/>
              <w:right w:val="single" w:sz="4" w:space="0" w:color="auto"/>
            </w:tcBorders>
            <w:shd w:val="clear" w:color="auto" w:fill="auto"/>
            <w:noWrap/>
            <w:tcMar>
              <w:left w:w="115" w:type="dxa"/>
              <w:right w:w="576" w:type="dxa"/>
            </w:tcMar>
            <w:vAlign w:val="center"/>
            <w:hideMark/>
          </w:tcPr>
          <w:p w14:paraId="028CEB6D" w14:textId="77777777" w:rsidR="00F87CA8" w:rsidRPr="00CE17E9" w:rsidRDefault="00F87CA8" w:rsidP="00FB4800">
            <w:pPr>
              <w:jc w:val="right"/>
              <w:rPr>
                <w:b/>
                <w:bCs/>
                <w:sz w:val="21"/>
                <w:szCs w:val="21"/>
                <w:lang w:val="en-CA" w:eastAsia="en-CA"/>
              </w:rPr>
            </w:pPr>
            <w:r w:rsidRPr="00CE17E9">
              <w:rPr>
                <w:b/>
                <w:bCs/>
                <w:sz w:val="21"/>
                <w:szCs w:val="21"/>
                <w:lang w:val="en-CA" w:eastAsia="en-CA"/>
              </w:rPr>
              <w:t>157,352,436</w:t>
            </w:r>
          </w:p>
        </w:tc>
      </w:tr>
      <w:tr w:rsidR="00CE17E9" w:rsidRPr="00CE17E9" w14:paraId="6D8D0939" w14:textId="77777777" w:rsidTr="000A7C0C">
        <w:trPr>
          <w:trHeight w:val="58"/>
        </w:trPr>
        <w:tc>
          <w:tcPr>
            <w:tcW w:w="4680" w:type="dxa"/>
            <w:tcBorders>
              <w:top w:val="nil"/>
              <w:left w:val="single" w:sz="4" w:space="0" w:color="auto"/>
              <w:bottom w:val="single" w:sz="4" w:space="0" w:color="auto"/>
              <w:right w:val="single" w:sz="4" w:space="0" w:color="auto"/>
            </w:tcBorders>
            <w:shd w:val="clear" w:color="auto" w:fill="auto"/>
            <w:noWrap/>
            <w:vAlign w:val="center"/>
            <w:hideMark/>
          </w:tcPr>
          <w:p w14:paraId="24406521" w14:textId="77777777" w:rsidR="00F87CA8" w:rsidRPr="00CE17E9" w:rsidRDefault="00F87CA8" w:rsidP="00FB4800">
            <w:pPr>
              <w:jc w:val="left"/>
              <w:rPr>
                <w:sz w:val="21"/>
                <w:szCs w:val="21"/>
                <w:lang w:val="en-CA" w:eastAsia="en-CA"/>
              </w:rPr>
            </w:pPr>
            <w:r w:rsidRPr="00CE17E9">
              <w:rPr>
                <w:sz w:val="21"/>
                <w:szCs w:val="21"/>
                <w:lang w:val="en-CA" w:eastAsia="en-CA"/>
              </w:rPr>
              <w:t>Agency support costs</w:t>
            </w:r>
          </w:p>
        </w:tc>
        <w:tc>
          <w:tcPr>
            <w:tcW w:w="4680" w:type="dxa"/>
            <w:tcBorders>
              <w:top w:val="nil"/>
              <w:left w:val="nil"/>
              <w:bottom w:val="single" w:sz="4" w:space="0" w:color="auto"/>
              <w:right w:val="single" w:sz="4" w:space="0" w:color="auto"/>
            </w:tcBorders>
            <w:shd w:val="clear" w:color="auto" w:fill="auto"/>
            <w:noWrap/>
            <w:tcMar>
              <w:left w:w="115" w:type="dxa"/>
              <w:right w:w="576" w:type="dxa"/>
            </w:tcMar>
            <w:vAlign w:val="center"/>
            <w:hideMark/>
          </w:tcPr>
          <w:p w14:paraId="5574667F" w14:textId="77777777" w:rsidR="00F87CA8" w:rsidRPr="00CE17E9" w:rsidRDefault="00F87CA8" w:rsidP="00FB4800">
            <w:pPr>
              <w:jc w:val="right"/>
              <w:rPr>
                <w:sz w:val="21"/>
                <w:szCs w:val="21"/>
                <w:lang w:val="en-CA" w:eastAsia="en-CA"/>
              </w:rPr>
            </w:pPr>
            <w:r w:rsidRPr="00CE17E9">
              <w:rPr>
                <w:sz w:val="21"/>
                <w:szCs w:val="21"/>
                <w:lang w:val="en-CA" w:eastAsia="en-CA"/>
              </w:rPr>
              <w:t>14,934,227</w:t>
            </w:r>
          </w:p>
        </w:tc>
      </w:tr>
      <w:tr w:rsidR="00CE17E9" w:rsidRPr="00CE17E9" w14:paraId="6FEFAFAF" w14:textId="77777777" w:rsidTr="000A7C0C">
        <w:trPr>
          <w:trHeight w:val="58"/>
        </w:trPr>
        <w:tc>
          <w:tcPr>
            <w:tcW w:w="4680" w:type="dxa"/>
            <w:tcBorders>
              <w:top w:val="nil"/>
              <w:left w:val="single" w:sz="4" w:space="0" w:color="auto"/>
              <w:bottom w:val="single" w:sz="4" w:space="0" w:color="auto"/>
              <w:right w:val="single" w:sz="4" w:space="0" w:color="auto"/>
            </w:tcBorders>
            <w:shd w:val="clear" w:color="auto" w:fill="auto"/>
            <w:noWrap/>
            <w:vAlign w:val="center"/>
            <w:hideMark/>
          </w:tcPr>
          <w:p w14:paraId="56A7CFE9" w14:textId="77777777" w:rsidR="00F87CA8" w:rsidRPr="00CE17E9" w:rsidRDefault="00F87CA8" w:rsidP="00FB4800">
            <w:pPr>
              <w:jc w:val="left"/>
              <w:rPr>
                <w:b/>
                <w:bCs/>
                <w:sz w:val="21"/>
                <w:szCs w:val="21"/>
                <w:lang w:val="en-CA" w:eastAsia="en-CA"/>
              </w:rPr>
            </w:pPr>
            <w:r w:rsidRPr="00CE17E9">
              <w:rPr>
                <w:b/>
                <w:bCs/>
                <w:sz w:val="21"/>
                <w:szCs w:val="21"/>
                <w:lang w:val="en-CA" w:eastAsia="en-CA"/>
              </w:rPr>
              <w:t>Total</w:t>
            </w:r>
          </w:p>
        </w:tc>
        <w:tc>
          <w:tcPr>
            <w:tcW w:w="4680" w:type="dxa"/>
            <w:tcBorders>
              <w:top w:val="nil"/>
              <w:left w:val="nil"/>
              <w:bottom w:val="single" w:sz="4" w:space="0" w:color="auto"/>
              <w:right w:val="single" w:sz="4" w:space="0" w:color="auto"/>
            </w:tcBorders>
            <w:shd w:val="clear" w:color="auto" w:fill="auto"/>
            <w:noWrap/>
            <w:tcMar>
              <w:left w:w="115" w:type="dxa"/>
              <w:right w:w="576" w:type="dxa"/>
            </w:tcMar>
            <w:vAlign w:val="center"/>
            <w:hideMark/>
          </w:tcPr>
          <w:p w14:paraId="7EDFEF63" w14:textId="77777777" w:rsidR="00F87CA8" w:rsidRPr="00CE17E9" w:rsidRDefault="00F87CA8" w:rsidP="00FB4800">
            <w:pPr>
              <w:jc w:val="right"/>
              <w:rPr>
                <w:b/>
                <w:bCs/>
                <w:sz w:val="21"/>
                <w:szCs w:val="21"/>
                <w:lang w:val="en-CA" w:eastAsia="en-CA"/>
              </w:rPr>
            </w:pPr>
            <w:r w:rsidRPr="00CE17E9">
              <w:rPr>
                <w:b/>
                <w:bCs/>
                <w:sz w:val="21"/>
                <w:szCs w:val="21"/>
                <w:lang w:val="en-CA" w:eastAsia="en-CA"/>
              </w:rPr>
              <w:t>172,286,664</w:t>
            </w:r>
          </w:p>
        </w:tc>
      </w:tr>
    </w:tbl>
    <w:p w14:paraId="5933BD31" w14:textId="77777777" w:rsidR="006F066A" w:rsidRPr="00CE17E9" w:rsidRDefault="006F066A" w:rsidP="00FB4800">
      <w:pPr>
        <w:keepNext/>
        <w:suppressAutoHyphens/>
        <w:jc w:val="left"/>
        <w:rPr>
          <w:b/>
          <w:caps/>
          <w:spacing w:val="-3"/>
          <w:lang w:val="en-CA"/>
        </w:rPr>
      </w:pPr>
    </w:p>
    <w:p w14:paraId="30EDDAF1" w14:textId="77777777" w:rsidR="006F066A" w:rsidRPr="00CE17E9" w:rsidRDefault="006F066A" w:rsidP="00FB4800">
      <w:pPr>
        <w:pStyle w:val="Heading1"/>
        <w:rPr>
          <w:lang w:val="en-CA"/>
        </w:rPr>
      </w:pPr>
      <w:r w:rsidRPr="00CE17E9">
        <w:rPr>
          <w:lang w:val="en-CA"/>
        </w:rPr>
        <w:t xml:space="preserve">A summary of the status of projects implemented by the bilateral agencies, by category, is presented in Table 2. </w:t>
      </w:r>
    </w:p>
    <w:p w14:paraId="2FF516BC" w14:textId="77777777" w:rsidR="006F066A" w:rsidRPr="00CE17E9" w:rsidRDefault="006F066A" w:rsidP="00FB4800">
      <w:pPr>
        <w:keepNext/>
        <w:rPr>
          <w:b/>
          <w:lang w:val="en-CA"/>
        </w:rPr>
      </w:pPr>
      <w:r w:rsidRPr="00CE17E9">
        <w:rPr>
          <w:b/>
          <w:lang w:val="en-CA"/>
        </w:rPr>
        <w:t xml:space="preserve">Table 2: </w:t>
      </w:r>
      <w:r w:rsidRPr="00CE17E9">
        <w:rPr>
          <w:b/>
          <w:spacing w:val="-3"/>
          <w:lang w:val="en-CA"/>
        </w:rPr>
        <w:t xml:space="preserve">Status of project implementation by </w:t>
      </w:r>
      <w:r w:rsidRPr="00CE17E9">
        <w:rPr>
          <w:b/>
          <w:lang w:val="en-CA"/>
        </w:rPr>
        <w:t>category</w:t>
      </w:r>
    </w:p>
    <w:tbl>
      <w:tblPr>
        <w:tblW w:w="9355" w:type="dxa"/>
        <w:tblLayout w:type="fixed"/>
        <w:tblLook w:val="04A0" w:firstRow="1" w:lastRow="0" w:firstColumn="1" w:lastColumn="0" w:noHBand="0" w:noVBand="1"/>
      </w:tblPr>
      <w:tblGrid>
        <w:gridCol w:w="1838"/>
        <w:gridCol w:w="992"/>
        <w:gridCol w:w="1134"/>
        <w:gridCol w:w="993"/>
        <w:gridCol w:w="1134"/>
        <w:gridCol w:w="1134"/>
        <w:gridCol w:w="1134"/>
        <w:gridCol w:w="996"/>
      </w:tblGrid>
      <w:tr w:rsidR="00CE17E9" w:rsidRPr="00CE17E9" w14:paraId="3730DA76" w14:textId="77777777" w:rsidTr="003E2895">
        <w:trPr>
          <w:trHeight w:val="228"/>
          <w:tblHeader/>
        </w:trPr>
        <w:tc>
          <w:tcPr>
            <w:tcW w:w="1838"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875F333" w14:textId="77777777" w:rsidR="001630AD" w:rsidRPr="00CE17E9" w:rsidRDefault="001630AD" w:rsidP="000A7C0C">
            <w:pPr>
              <w:jc w:val="left"/>
              <w:rPr>
                <w:b/>
                <w:bCs/>
                <w:sz w:val="20"/>
                <w:szCs w:val="20"/>
                <w:lang w:val="en-CA" w:eastAsia="en-CA"/>
              </w:rPr>
            </w:pPr>
            <w:r w:rsidRPr="00CE17E9">
              <w:rPr>
                <w:b/>
                <w:bCs/>
                <w:sz w:val="20"/>
                <w:szCs w:val="20"/>
                <w:lang w:val="en-CA" w:eastAsia="en-CA"/>
              </w:rPr>
              <w:t>Type</w:t>
            </w:r>
          </w:p>
        </w:tc>
        <w:tc>
          <w:tcPr>
            <w:tcW w:w="3119" w:type="dxa"/>
            <w:gridSpan w:val="3"/>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14:paraId="0FFFE19E" w14:textId="77777777" w:rsidR="001630AD" w:rsidRPr="00CE17E9" w:rsidRDefault="001630AD" w:rsidP="000A7C0C">
            <w:pPr>
              <w:jc w:val="center"/>
              <w:rPr>
                <w:b/>
                <w:bCs/>
                <w:sz w:val="20"/>
                <w:szCs w:val="20"/>
                <w:lang w:val="en-CA" w:eastAsia="en-CA"/>
              </w:rPr>
            </w:pPr>
            <w:r w:rsidRPr="00CE17E9">
              <w:rPr>
                <w:b/>
                <w:bCs/>
                <w:sz w:val="20"/>
                <w:szCs w:val="20"/>
                <w:lang w:val="en-CA" w:eastAsia="en-CA"/>
              </w:rPr>
              <w:t>Number of projects*</w:t>
            </w:r>
          </w:p>
        </w:tc>
        <w:tc>
          <w:tcPr>
            <w:tcW w:w="4398" w:type="dxa"/>
            <w:gridSpan w:val="4"/>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14:paraId="667F2810" w14:textId="77777777" w:rsidR="001630AD" w:rsidRPr="00CE17E9" w:rsidRDefault="001630AD" w:rsidP="000A7C0C">
            <w:pPr>
              <w:jc w:val="center"/>
              <w:rPr>
                <w:b/>
                <w:bCs/>
                <w:sz w:val="20"/>
                <w:szCs w:val="20"/>
                <w:lang w:val="en-CA" w:eastAsia="en-CA"/>
              </w:rPr>
            </w:pPr>
            <w:r w:rsidRPr="00CE17E9">
              <w:rPr>
                <w:b/>
                <w:bCs/>
                <w:sz w:val="20"/>
                <w:szCs w:val="20"/>
                <w:lang w:val="en-CA" w:eastAsia="en-CA"/>
              </w:rPr>
              <w:t>Funding (US $)**</w:t>
            </w:r>
          </w:p>
        </w:tc>
      </w:tr>
      <w:tr w:rsidR="00CE17E9" w:rsidRPr="00CE17E9" w14:paraId="4069748C" w14:textId="77777777" w:rsidTr="003E2895">
        <w:trPr>
          <w:trHeight w:val="166"/>
          <w:tblHeader/>
        </w:trPr>
        <w:tc>
          <w:tcPr>
            <w:tcW w:w="1838"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6839A2E0" w14:textId="77777777" w:rsidR="001630AD" w:rsidRPr="00CE17E9" w:rsidRDefault="001630AD" w:rsidP="000A7C0C">
            <w:pPr>
              <w:jc w:val="center"/>
              <w:rPr>
                <w:b/>
                <w:bCs/>
                <w:sz w:val="20"/>
                <w:szCs w:val="20"/>
                <w:lang w:val="en-CA" w:eastAsia="en-CA"/>
              </w:rPr>
            </w:pPr>
          </w:p>
        </w:tc>
        <w:tc>
          <w:tcPr>
            <w:tcW w:w="992" w:type="dxa"/>
            <w:tcBorders>
              <w:top w:val="nil"/>
              <w:left w:val="nil"/>
              <w:bottom w:val="single" w:sz="4" w:space="0" w:color="auto"/>
              <w:right w:val="single" w:sz="4" w:space="0" w:color="auto"/>
            </w:tcBorders>
            <w:shd w:val="clear" w:color="auto" w:fill="auto"/>
            <w:tcMar>
              <w:left w:w="0" w:type="dxa"/>
              <w:right w:w="57" w:type="dxa"/>
            </w:tcMar>
            <w:vAlign w:val="center"/>
            <w:hideMark/>
          </w:tcPr>
          <w:p w14:paraId="062A6C8E" w14:textId="77777777" w:rsidR="001630AD" w:rsidRPr="00CE17E9" w:rsidRDefault="001630AD" w:rsidP="000A7C0C">
            <w:pPr>
              <w:jc w:val="center"/>
              <w:rPr>
                <w:b/>
                <w:bCs/>
                <w:sz w:val="20"/>
                <w:szCs w:val="20"/>
                <w:lang w:val="en-CA" w:eastAsia="en-CA"/>
              </w:rPr>
            </w:pPr>
            <w:r w:rsidRPr="00CE17E9">
              <w:rPr>
                <w:b/>
                <w:bCs/>
                <w:sz w:val="20"/>
                <w:szCs w:val="20"/>
                <w:lang w:val="en-CA" w:eastAsia="en-CA"/>
              </w:rPr>
              <w:t>Approved</w:t>
            </w:r>
          </w:p>
        </w:tc>
        <w:tc>
          <w:tcPr>
            <w:tcW w:w="1134" w:type="dxa"/>
            <w:tcBorders>
              <w:top w:val="nil"/>
              <w:left w:val="nil"/>
              <w:bottom w:val="single" w:sz="4" w:space="0" w:color="auto"/>
              <w:right w:val="single" w:sz="4" w:space="0" w:color="auto"/>
            </w:tcBorders>
            <w:shd w:val="clear" w:color="auto" w:fill="auto"/>
            <w:tcMar>
              <w:left w:w="0" w:type="dxa"/>
              <w:right w:w="57" w:type="dxa"/>
            </w:tcMar>
            <w:vAlign w:val="center"/>
            <w:hideMark/>
          </w:tcPr>
          <w:p w14:paraId="24933CC2" w14:textId="77777777" w:rsidR="001630AD" w:rsidRPr="00CE17E9" w:rsidRDefault="001630AD" w:rsidP="000A7C0C">
            <w:pPr>
              <w:jc w:val="center"/>
              <w:rPr>
                <w:b/>
                <w:bCs/>
                <w:sz w:val="20"/>
                <w:szCs w:val="20"/>
                <w:lang w:val="en-CA" w:eastAsia="en-CA"/>
              </w:rPr>
            </w:pPr>
            <w:r w:rsidRPr="00CE17E9">
              <w:rPr>
                <w:b/>
                <w:bCs/>
                <w:sz w:val="20"/>
                <w:szCs w:val="20"/>
                <w:lang w:val="en-CA" w:eastAsia="en-CA"/>
              </w:rPr>
              <w:t>Completed</w:t>
            </w:r>
          </w:p>
        </w:tc>
        <w:tc>
          <w:tcPr>
            <w:tcW w:w="993" w:type="dxa"/>
            <w:tcBorders>
              <w:top w:val="nil"/>
              <w:left w:val="nil"/>
              <w:bottom w:val="single" w:sz="4" w:space="0" w:color="auto"/>
              <w:right w:val="single" w:sz="4" w:space="0" w:color="auto"/>
            </w:tcBorders>
            <w:shd w:val="clear" w:color="auto" w:fill="auto"/>
            <w:tcMar>
              <w:left w:w="0" w:type="dxa"/>
              <w:right w:w="57" w:type="dxa"/>
            </w:tcMar>
            <w:vAlign w:val="center"/>
            <w:hideMark/>
          </w:tcPr>
          <w:p w14:paraId="3F8EA8A8" w14:textId="77777777" w:rsidR="001630AD" w:rsidRPr="00CE17E9" w:rsidRDefault="001630AD" w:rsidP="000A7C0C">
            <w:pPr>
              <w:jc w:val="center"/>
              <w:rPr>
                <w:b/>
                <w:bCs/>
                <w:sz w:val="20"/>
                <w:szCs w:val="20"/>
                <w:lang w:val="en-CA" w:eastAsia="en-CA"/>
              </w:rPr>
            </w:pPr>
            <w:r w:rsidRPr="00CE17E9">
              <w:rPr>
                <w:b/>
                <w:bCs/>
                <w:sz w:val="20"/>
                <w:szCs w:val="20"/>
                <w:lang w:val="en-CA" w:eastAsia="en-CA"/>
              </w:rPr>
              <w:t>% completed</w:t>
            </w:r>
          </w:p>
        </w:tc>
        <w:tc>
          <w:tcPr>
            <w:tcW w:w="1134" w:type="dxa"/>
            <w:tcBorders>
              <w:top w:val="nil"/>
              <w:left w:val="nil"/>
              <w:bottom w:val="single" w:sz="4" w:space="0" w:color="auto"/>
              <w:right w:val="single" w:sz="4" w:space="0" w:color="auto"/>
            </w:tcBorders>
            <w:shd w:val="clear" w:color="auto" w:fill="auto"/>
            <w:tcMar>
              <w:left w:w="0" w:type="dxa"/>
              <w:right w:w="57" w:type="dxa"/>
            </w:tcMar>
            <w:vAlign w:val="center"/>
            <w:hideMark/>
          </w:tcPr>
          <w:p w14:paraId="5EE90820" w14:textId="77777777" w:rsidR="001630AD" w:rsidRPr="00CE17E9" w:rsidRDefault="001630AD" w:rsidP="000A7C0C">
            <w:pPr>
              <w:jc w:val="center"/>
              <w:rPr>
                <w:b/>
                <w:bCs/>
                <w:sz w:val="20"/>
                <w:szCs w:val="20"/>
                <w:lang w:val="en-CA" w:eastAsia="en-CA"/>
              </w:rPr>
            </w:pPr>
            <w:r w:rsidRPr="00CE17E9">
              <w:rPr>
                <w:b/>
                <w:bCs/>
                <w:sz w:val="20"/>
                <w:szCs w:val="20"/>
                <w:lang w:val="en-CA" w:eastAsia="en-CA"/>
              </w:rPr>
              <w:t>Approved</w:t>
            </w:r>
          </w:p>
        </w:tc>
        <w:tc>
          <w:tcPr>
            <w:tcW w:w="1134" w:type="dxa"/>
            <w:tcBorders>
              <w:top w:val="nil"/>
              <w:left w:val="nil"/>
              <w:bottom w:val="single" w:sz="4" w:space="0" w:color="auto"/>
              <w:right w:val="single" w:sz="4" w:space="0" w:color="auto"/>
            </w:tcBorders>
            <w:shd w:val="clear" w:color="auto" w:fill="auto"/>
            <w:tcMar>
              <w:left w:w="0" w:type="dxa"/>
              <w:right w:w="57" w:type="dxa"/>
            </w:tcMar>
            <w:vAlign w:val="center"/>
            <w:hideMark/>
          </w:tcPr>
          <w:p w14:paraId="2CE99E53" w14:textId="77777777" w:rsidR="001630AD" w:rsidRPr="00CE17E9" w:rsidRDefault="001630AD" w:rsidP="000A7C0C">
            <w:pPr>
              <w:jc w:val="center"/>
              <w:rPr>
                <w:b/>
                <w:bCs/>
                <w:sz w:val="20"/>
                <w:szCs w:val="20"/>
                <w:lang w:val="en-CA" w:eastAsia="en-CA"/>
              </w:rPr>
            </w:pPr>
            <w:r w:rsidRPr="00CE17E9">
              <w:rPr>
                <w:b/>
                <w:bCs/>
                <w:sz w:val="20"/>
                <w:szCs w:val="20"/>
                <w:lang w:val="en-CA" w:eastAsia="en-CA"/>
              </w:rPr>
              <w:t>Disbursed</w:t>
            </w:r>
          </w:p>
        </w:tc>
        <w:tc>
          <w:tcPr>
            <w:tcW w:w="1134" w:type="dxa"/>
            <w:tcBorders>
              <w:top w:val="nil"/>
              <w:left w:val="nil"/>
              <w:bottom w:val="single" w:sz="4" w:space="0" w:color="auto"/>
              <w:right w:val="single" w:sz="4" w:space="0" w:color="auto"/>
            </w:tcBorders>
            <w:shd w:val="clear" w:color="auto" w:fill="auto"/>
            <w:tcMar>
              <w:left w:w="0" w:type="dxa"/>
              <w:right w:w="57" w:type="dxa"/>
            </w:tcMar>
            <w:vAlign w:val="center"/>
            <w:hideMark/>
          </w:tcPr>
          <w:p w14:paraId="196BA2CF" w14:textId="77777777" w:rsidR="001630AD" w:rsidRPr="00CE17E9" w:rsidRDefault="001630AD" w:rsidP="000A7C0C">
            <w:pPr>
              <w:jc w:val="center"/>
              <w:rPr>
                <w:b/>
                <w:bCs/>
                <w:sz w:val="20"/>
                <w:szCs w:val="20"/>
                <w:lang w:val="en-CA" w:eastAsia="en-CA"/>
              </w:rPr>
            </w:pPr>
            <w:r w:rsidRPr="00CE17E9">
              <w:rPr>
                <w:b/>
                <w:bCs/>
                <w:sz w:val="20"/>
                <w:szCs w:val="20"/>
                <w:lang w:val="en-CA" w:eastAsia="en-CA"/>
              </w:rPr>
              <w:t>Balance</w:t>
            </w:r>
          </w:p>
        </w:tc>
        <w:tc>
          <w:tcPr>
            <w:tcW w:w="996" w:type="dxa"/>
            <w:tcBorders>
              <w:top w:val="nil"/>
              <w:left w:val="nil"/>
              <w:bottom w:val="single" w:sz="4" w:space="0" w:color="auto"/>
              <w:right w:val="single" w:sz="4" w:space="0" w:color="auto"/>
            </w:tcBorders>
            <w:shd w:val="clear" w:color="auto" w:fill="auto"/>
            <w:tcMar>
              <w:left w:w="0" w:type="dxa"/>
              <w:right w:w="57" w:type="dxa"/>
            </w:tcMar>
            <w:vAlign w:val="center"/>
            <w:hideMark/>
          </w:tcPr>
          <w:p w14:paraId="51518BB5" w14:textId="77777777" w:rsidR="001630AD" w:rsidRPr="00CE17E9" w:rsidRDefault="001630AD" w:rsidP="000A7C0C">
            <w:pPr>
              <w:jc w:val="center"/>
              <w:rPr>
                <w:b/>
                <w:bCs/>
                <w:sz w:val="20"/>
                <w:szCs w:val="20"/>
                <w:lang w:val="en-CA" w:eastAsia="en-CA"/>
              </w:rPr>
            </w:pPr>
            <w:r w:rsidRPr="00CE17E9">
              <w:rPr>
                <w:b/>
                <w:bCs/>
                <w:sz w:val="20"/>
                <w:szCs w:val="20"/>
                <w:lang w:val="en-CA" w:eastAsia="en-CA"/>
              </w:rPr>
              <w:t>% disbursed</w:t>
            </w:r>
          </w:p>
        </w:tc>
      </w:tr>
      <w:tr w:rsidR="00CE17E9" w:rsidRPr="00CE17E9" w14:paraId="3A2FDB09" w14:textId="77777777" w:rsidTr="000A7C0C">
        <w:trPr>
          <w:trHeight w:val="240"/>
        </w:trPr>
        <w:tc>
          <w:tcPr>
            <w:tcW w:w="183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28A8F7E0" w14:textId="77777777" w:rsidR="001630AD" w:rsidRPr="00CE17E9" w:rsidRDefault="001630AD" w:rsidP="00FB4800">
            <w:pPr>
              <w:jc w:val="left"/>
              <w:rPr>
                <w:sz w:val="20"/>
                <w:szCs w:val="20"/>
                <w:lang w:val="en-CA" w:eastAsia="en-CA"/>
              </w:rPr>
            </w:pPr>
            <w:r w:rsidRPr="00CE17E9">
              <w:rPr>
                <w:sz w:val="20"/>
                <w:szCs w:val="20"/>
                <w:lang w:val="en-CA" w:eastAsia="en-CA"/>
              </w:rPr>
              <w:t>Country programme</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753A1E1E" w14:textId="77777777" w:rsidR="001630AD" w:rsidRPr="00CE17E9" w:rsidRDefault="001630AD" w:rsidP="00FB4800">
            <w:pPr>
              <w:jc w:val="right"/>
              <w:rPr>
                <w:sz w:val="20"/>
                <w:szCs w:val="20"/>
                <w:lang w:val="en-CA" w:eastAsia="en-CA"/>
              </w:rPr>
            </w:pPr>
            <w:r w:rsidRPr="00CE17E9">
              <w:rPr>
                <w:sz w:val="20"/>
                <w:szCs w:val="20"/>
                <w:lang w:val="en-CA" w:eastAsia="en-CA"/>
              </w:rPr>
              <w:t>9</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51A26B9E" w14:textId="77777777" w:rsidR="001630AD" w:rsidRPr="00CE17E9" w:rsidRDefault="001630AD" w:rsidP="00FB4800">
            <w:pPr>
              <w:jc w:val="right"/>
              <w:rPr>
                <w:sz w:val="20"/>
                <w:szCs w:val="20"/>
                <w:lang w:val="en-CA" w:eastAsia="en-CA"/>
              </w:rPr>
            </w:pPr>
            <w:r w:rsidRPr="00CE17E9">
              <w:rPr>
                <w:sz w:val="20"/>
                <w:szCs w:val="20"/>
                <w:lang w:val="en-CA" w:eastAsia="en-CA"/>
              </w:rPr>
              <w:t>9</w:t>
            </w:r>
          </w:p>
        </w:tc>
        <w:tc>
          <w:tcPr>
            <w:tcW w:w="993" w:type="dxa"/>
            <w:tcBorders>
              <w:top w:val="nil"/>
              <w:left w:val="nil"/>
              <w:bottom w:val="single" w:sz="4" w:space="0" w:color="auto"/>
              <w:right w:val="single" w:sz="4" w:space="0" w:color="auto"/>
            </w:tcBorders>
            <w:shd w:val="clear" w:color="auto" w:fill="auto"/>
            <w:noWrap/>
            <w:tcMar>
              <w:left w:w="57" w:type="dxa"/>
              <w:right w:w="57" w:type="dxa"/>
            </w:tcMar>
            <w:hideMark/>
          </w:tcPr>
          <w:p w14:paraId="5F077D04" w14:textId="77777777" w:rsidR="001630AD" w:rsidRPr="00CE17E9" w:rsidRDefault="001630AD" w:rsidP="00FB4800">
            <w:pPr>
              <w:jc w:val="right"/>
              <w:rPr>
                <w:sz w:val="20"/>
                <w:szCs w:val="20"/>
                <w:lang w:val="en-CA" w:eastAsia="en-CA"/>
              </w:rPr>
            </w:pPr>
            <w:r w:rsidRPr="00CE17E9">
              <w:rPr>
                <w:sz w:val="20"/>
                <w:szCs w:val="20"/>
                <w:lang w:val="en-CA" w:eastAsia="en-CA"/>
              </w:rPr>
              <w:t>100</w:t>
            </w:r>
          </w:p>
        </w:tc>
        <w:tc>
          <w:tcPr>
            <w:tcW w:w="1134"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D53DC84" w14:textId="77777777" w:rsidR="001630AD" w:rsidRPr="00CE17E9" w:rsidRDefault="001630AD" w:rsidP="00FB4800">
            <w:pPr>
              <w:jc w:val="right"/>
              <w:rPr>
                <w:sz w:val="20"/>
                <w:szCs w:val="20"/>
                <w:lang w:val="en-CA" w:eastAsia="en-CA"/>
              </w:rPr>
            </w:pPr>
            <w:r w:rsidRPr="00CE17E9">
              <w:rPr>
                <w:sz w:val="20"/>
                <w:szCs w:val="20"/>
                <w:lang w:val="en-CA" w:eastAsia="en-CA"/>
              </w:rPr>
              <w:t>340,787</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553F9A87" w14:textId="77777777" w:rsidR="001630AD" w:rsidRPr="00CE17E9" w:rsidRDefault="001630AD" w:rsidP="00FB4800">
            <w:pPr>
              <w:jc w:val="right"/>
              <w:rPr>
                <w:sz w:val="20"/>
                <w:szCs w:val="20"/>
                <w:lang w:val="en-CA" w:eastAsia="en-CA"/>
              </w:rPr>
            </w:pPr>
            <w:r w:rsidRPr="00CE17E9">
              <w:rPr>
                <w:sz w:val="20"/>
                <w:szCs w:val="20"/>
                <w:lang w:val="en-CA" w:eastAsia="en-CA"/>
              </w:rPr>
              <w:t>340,787</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04182070" w14:textId="77777777" w:rsidR="001630AD" w:rsidRPr="00CE17E9" w:rsidRDefault="001630AD" w:rsidP="00FB4800">
            <w:pPr>
              <w:jc w:val="right"/>
              <w:rPr>
                <w:sz w:val="20"/>
                <w:szCs w:val="20"/>
                <w:lang w:val="en-CA" w:eastAsia="en-CA"/>
              </w:rPr>
            </w:pPr>
            <w:r w:rsidRPr="00CE17E9">
              <w:rPr>
                <w:sz w:val="20"/>
                <w:szCs w:val="20"/>
                <w:lang w:val="en-CA" w:eastAsia="en-CA"/>
              </w:rPr>
              <w:t>0</w:t>
            </w:r>
          </w:p>
        </w:tc>
        <w:tc>
          <w:tcPr>
            <w:tcW w:w="99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2CA111AD" w14:textId="77777777" w:rsidR="001630AD" w:rsidRPr="00CE17E9" w:rsidRDefault="001630AD" w:rsidP="00FB4800">
            <w:pPr>
              <w:jc w:val="right"/>
              <w:rPr>
                <w:sz w:val="20"/>
                <w:szCs w:val="20"/>
                <w:lang w:val="en-CA" w:eastAsia="en-CA"/>
              </w:rPr>
            </w:pPr>
            <w:r w:rsidRPr="00CE17E9">
              <w:rPr>
                <w:sz w:val="20"/>
                <w:szCs w:val="20"/>
                <w:lang w:val="en-CA" w:eastAsia="en-CA"/>
              </w:rPr>
              <w:t>100</w:t>
            </w:r>
          </w:p>
        </w:tc>
      </w:tr>
      <w:tr w:rsidR="00CE17E9" w:rsidRPr="00CE17E9" w14:paraId="2FB54C1D" w14:textId="77777777" w:rsidTr="000A7C0C">
        <w:trPr>
          <w:trHeight w:val="58"/>
        </w:trPr>
        <w:tc>
          <w:tcPr>
            <w:tcW w:w="183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58F2C328" w14:textId="77777777" w:rsidR="001630AD" w:rsidRPr="00CE17E9" w:rsidRDefault="001630AD" w:rsidP="00FB4800">
            <w:pPr>
              <w:jc w:val="left"/>
              <w:rPr>
                <w:sz w:val="20"/>
                <w:szCs w:val="20"/>
                <w:lang w:val="en-CA" w:eastAsia="en-CA"/>
              </w:rPr>
            </w:pPr>
            <w:r w:rsidRPr="00CE17E9">
              <w:rPr>
                <w:sz w:val="20"/>
                <w:szCs w:val="20"/>
                <w:lang w:val="en-CA" w:eastAsia="en-CA"/>
              </w:rPr>
              <w:t>Demonstration</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7435BC08" w14:textId="77777777" w:rsidR="001630AD" w:rsidRPr="00CE17E9" w:rsidRDefault="001630AD" w:rsidP="00FB4800">
            <w:pPr>
              <w:jc w:val="right"/>
              <w:rPr>
                <w:sz w:val="20"/>
                <w:szCs w:val="20"/>
                <w:lang w:val="en-CA" w:eastAsia="en-CA"/>
              </w:rPr>
            </w:pPr>
            <w:r w:rsidRPr="00CE17E9">
              <w:rPr>
                <w:sz w:val="20"/>
                <w:szCs w:val="20"/>
                <w:lang w:val="en-CA" w:eastAsia="en-CA"/>
              </w:rPr>
              <w:t>38</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4C7B6B54" w14:textId="77777777" w:rsidR="001630AD" w:rsidRPr="00CE17E9" w:rsidRDefault="001630AD" w:rsidP="00FB4800">
            <w:pPr>
              <w:jc w:val="right"/>
              <w:rPr>
                <w:sz w:val="20"/>
                <w:szCs w:val="20"/>
                <w:lang w:val="en-CA" w:eastAsia="en-CA"/>
              </w:rPr>
            </w:pPr>
            <w:r w:rsidRPr="00CE17E9">
              <w:rPr>
                <w:sz w:val="20"/>
                <w:szCs w:val="20"/>
                <w:lang w:val="en-CA" w:eastAsia="en-CA"/>
              </w:rPr>
              <w:t>37</w:t>
            </w:r>
          </w:p>
        </w:tc>
        <w:tc>
          <w:tcPr>
            <w:tcW w:w="993" w:type="dxa"/>
            <w:tcBorders>
              <w:top w:val="nil"/>
              <w:left w:val="nil"/>
              <w:bottom w:val="single" w:sz="4" w:space="0" w:color="auto"/>
              <w:right w:val="single" w:sz="4" w:space="0" w:color="auto"/>
            </w:tcBorders>
            <w:shd w:val="clear" w:color="auto" w:fill="auto"/>
            <w:noWrap/>
            <w:tcMar>
              <w:left w:w="57" w:type="dxa"/>
              <w:right w:w="57" w:type="dxa"/>
            </w:tcMar>
            <w:hideMark/>
          </w:tcPr>
          <w:p w14:paraId="35D14910" w14:textId="77777777" w:rsidR="001630AD" w:rsidRPr="00CE17E9" w:rsidRDefault="001630AD" w:rsidP="00FB4800">
            <w:pPr>
              <w:jc w:val="right"/>
              <w:rPr>
                <w:sz w:val="20"/>
                <w:szCs w:val="20"/>
                <w:lang w:val="en-CA" w:eastAsia="en-CA"/>
              </w:rPr>
            </w:pPr>
            <w:r w:rsidRPr="00CE17E9">
              <w:rPr>
                <w:sz w:val="20"/>
                <w:szCs w:val="20"/>
                <w:lang w:val="en-CA" w:eastAsia="en-CA"/>
              </w:rPr>
              <w:t>97</w:t>
            </w:r>
          </w:p>
        </w:tc>
        <w:tc>
          <w:tcPr>
            <w:tcW w:w="1134"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8ECB298" w14:textId="77777777" w:rsidR="001630AD" w:rsidRPr="00CE17E9" w:rsidRDefault="001630AD" w:rsidP="00FB4800">
            <w:pPr>
              <w:jc w:val="right"/>
              <w:rPr>
                <w:sz w:val="20"/>
                <w:szCs w:val="20"/>
                <w:lang w:val="en-CA" w:eastAsia="en-CA"/>
              </w:rPr>
            </w:pPr>
            <w:r w:rsidRPr="00CE17E9">
              <w:rPr>
                <w:sz w:val="20"/>
                <w:szCs w:val="20"/>
                <w:lang w:val="en-CA" w:eastAsia="en-CA"/>
              </w:rPr>
              <w:t>9,409,436</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6B8C4B81" w14:textId="77777777" w:rsidR="001630AD" w:rsidRPr="00CE17E9" w:rsidRDefault="001630AD" w:rsidP="00FB4800">
            <w:pPr>
              <w:jc w:val="right"/>
              <w:rPr>
                <w:sz w:val="20"/>
                <w:szCs w:val="20"/>
                <w:lang w:val="en-CA" w:eastAsia="en-CA"/>
              </w:rPr>
            </w:pPr>
            <w:r w:rsidRPr="00CE17E9">
              <w:rPr>
                <w:sz w:val="20"/>
                <w:szCs w:val="20"/>
                <w:lang w:val="en-CA" w:eastAsia="en-CA"/>
              </w:rPr>
              <w:t>9,047,340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00398F59" w14:textId="77777777" w:rsidR="001630AD" w:rsidRPr="00CE17E9" w:rsidRDefault="001630AD" w:rsidP="00FB4800">
            <w:pPr>
              <w:jc w:val="right"/>
              <w:rPr>
                <w:sz w:val="20"/>
                <w:szCs w:val="20"/>
                <w:lang w:val="en-CA" w:eastAsia="en-CA"/>
              </w:rPr>
            </w:pPr>
            <w:r w:rsidRPr="00CE17E9">
              <w:rPr>
                <w:sz w:val="20"/>
                <w:szCs w:val="20"/>
                <w:lang w:val="en-CA" w:eastAsia="en-CA"/>
              </w:rPr>
              <w:t>362,096</w:t>
            </w:r>
          </w:p>
        </w:tc>
        <w:tc>
          <w:tcPr>
            <w:tcW w:w="99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B3D09FF" w14:textId="77777777" w:rsidR="001630AD" w:rsidRPr="00CE17E9" w:rsidRDefault="001630AD" w:rsidP="00FB4800">
            <w:pPr>
              <w:jc w:val="right"/>
              <w:rPr>
                <w:sz w:val="20"/>
                <w:szCs w:val="20"/>
                <w:lang w:val="en-CA" w:eastAsia="en-CA"/>
              </w:rPr>
            </w:pPr>
            <w:r w:rsidRPr="00CE17E9">
              <w:rPr>
                <w:sz w:val="20"/>
                <w:szCs w:val="20"/>
                <w:lang w:val="en-CA" w:eastAsia="en-CA"/>
              </w:rPr>
              <w:t>96</w:t>
            </w:r>
          </w:p>
        </w:tc>
      </w:tr>
      <w:tr w:rsidR="00CE17E9" w:rsidRPr="00CE17E9" w14:paraId="21E745E9" w14:textId="77777777" w:rsidTr="000A7C0C">
        <w:trPr>
          <w:trHeight w:val="194"/>
        </w:trPr>
        <w:tc>
          <w:tcPr>
            <w:tcW w:w="183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5935B98B" w14:textId="77777777" w:rsidR="001630AD" w:rsidRPr="00CE17E9" w:rsidRDefault="001630AD" w:rsidP="00FB4800">
            <w:pPr>
              <w:jc w:val="left"/>
              <w:rPr>
                <w:sz w:val="20"/>
                <w:szCs w:val="20"/>
                <w:lang w:val="en-CA" w:eastAsia="en-CA"/>
              </w:rPr>
            </w:pPr>
            <w:r w:rsidRPr="00CE17E9">
              <w:rPr>
                <w:sz w:val="20"/>
                <w:szCs w:val="20"/>
                <w:lang w:val="en-CA" w:eastAsia="en-CA"/>
              </w:rPr>
              <w:t>Institutional strengthening (IS)</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7D1BEE7F" w14:textId="77777777" w:rsidR="001630AD" w:rsidRPr="00CE17E9" w:rsidRDefault="001630AD" w:rsidP="00FB4800">
            <w:pPr>
              <w:jc w:val="right"/>
              <w:rPr>
                <w:sz w:val="20"/>
                <w:szCs w:val="20"/>
                <w:lang w:val="en-CA" w:eastAsia="en-CA"/>
              </w:rPr>
            </w:pPr>
            <w:r w:rsidRPr="00CE17E9">
              <w:rPr>
                <w:sz w:val="20"/>
                <w:szCs w:val="20"/>
                <w:lang w:val="en-CA" w:eastAsia="en-CA"/>
              </w:rPr>
              <w:t>7</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339978A5" w14:textId="77777777" w:rsidR="001630AD" w:rsidRPr="00CE17E9" w:rsidRDefault="001630AD" w:rsidP="00FB4800">
            <w:pPr>
              <w:jc w:val="right"/>
              <w:rPr>
                <w:sz w:val="20"/>
                <w:szCs w:val="20"/>
                <w:lang w:val="en-CA" w:eastAsia="en-CA"/>
              </w:rPr>
            </w:pPr>
            <w:r w:rsidRPr="00CE17E9">
              <w:rPr>
                <w:sz w:val="20"/>
                <w:szCs w:val="20"/>
                <w:lang w:val="en-CA" w:eastAsia="en-CA"/>
              </w:rPr>
              <w:t>7</w:t>
            </w:r>
          </w:p>
        </w:tc>
        <w:tc>
          <w:tcPr>
            <w:tcW w:w="993" w:type="dxa"/>
            <w:tcBorders>
              <w:top w:val="nil"/>
              <w:left w:val="nil"/>
              <w:bottom w:val="single" w:sz="4" w:space="0" w:color="auto"/>
              <w:right w:val="single" w:sz="4" w:space="0" w:color="auto"/>
            </w:tcBorders>
            <w:shd w:val="clear" w:color="auto" w:fill="auto"/>
            <w:noWrap/>
            <w:tcMar>
              <w:left w:w="57" w:type="dxa"/>
              <w:right w:w="57" w:type="dxa"/>
            </w:tcMar>
            <w:hideMark/>
          </w:tcPr>
          <w:p w14:paraId="21B62B2F" w14:textId="77777777" w:rsidR="001630AD" w:rsidRPr="00CE17E9" w:rsidRDefault="001630AD" w:rsidP="00FB4800">
            <w:pPr>
              <w:jc w:val="right"/>
              <w:rPr>
                <w:sz w:val="20"/>
                <w:szCs w:val="20"/>
                <w:lang w:val="en-CA" w:eastAsia="en-CA"/>
              </w:rPr>
            </w:pPr>
            <w:r w:rsidRPr="00CE17E9">
              <w:rPr>
                <w:sz w:val="20"/>
                <w:szCs w:val="20"/>
                <w:lang w:val="en-CA" w:eastAsia="en-CA"/>
              </w:rPr>
              <w:t>100</w:t>
            </w:r>
          </w:p>
        </w:tc>
        <w:tc>
          <w:tcPr>
            <w:tcW w:w="1134"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4A36A5C" w14:textId="77777777" w:rsidR="001630AD" w:rsidRPr="00CE17E9" w:rsidRDefault="001630AD" w:rsidP="00FB4800">
            <w:pPr>
              <w:jc w:val="right"/>
              <w:rPr>
                <w:sz w:val="20"/>
                <w:szCs w:val="20"/>
                <w:lang w:val="en-CA" w:eastAsia="en-CA"/>
              </w:rPr>
            </w:pPr>
            <w:r w:rsidRPr="00CE17E9">
              <w:rPr>
                <w:sz w:val="20"/>
                <w:szCs w:val="20"/>
                <w:lang w:val="en-CA" w:eastAsia="en-CA"/>
              </w:rPr>
              <w:t>883,376</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6C3445C7" w14:textId="77777777" w:rsidR="001630AD" w:rsidRPr="00CE17E9" w:rsidRDefault="001630AD" w:rsidP="00FB4800">
            <w:pPr>
              <w:jc w:val="right"/>
              <w:rPr>
                <w:sz w:val="20"/>
                <w:szCs w:val="20"/>
                <w:lang w:val="en-CA" w:eastAsia="en-CA"/>
              </w:rPr>
            </w:pPr>
            <w:r w:rsidRPr="00CE17E9">
              <w:rPr>
                <w:sz w:val="20"/>
                <w:szCs w:val="20"/>
                <w:lang w:val="en-CA" w:eastAsia="en-CA"/>
              </w:rPr>
              <w:t>883,376</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2C65D4E3" w14:textId="77777777" w:rsidR="001630AD" w:rsidRPr="00CE17E9" w:rsidRDefault="001630AD" w:rsidP="00FB4800">
            <w:pPr>
              <w:jc w:val="right"/>
              <w:rPr>
                <w:sz w:val="20"/>
                <w:szCs w:val="20"/>
                <w:lang w:val="en-CA" w:eastAsia="en-CA"/>
              </w:rPr>
            </w:pPr>
            <w:r w:rsidRPr="00CE17E9">
              <w:rPr>
                <w:sz w:val="20"/>
                <w:szCs w:val="20"/>
                <w:lang w:val="en-CA" w:eastAsia="en-CA"/>
              </w:rPr>
              <w:t>0</w:t>
            </w:r>
          </w:p>
        </w:tc>
        <w:tc>
          <w:tcPr>
            <w:tcW w:w="99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59A4CA07" w14:textId="77777777" w:rsidR="001630AD" w:rsidRPr="00CE17E9" w:rsidRDefault="001630AD" w:rsidP="00FB4800">
            <w:pPr>
              <w:jc w:val="right"/>
              <w:rPr>
                <w:sz w:val="20"/>
                <w:szCs w:val="20"/>
                <w:lang w:val="en-CA" w:eastAsia="en-CA"/>
              </w:rPr>
            </w:pPr>
            <w:r w:rsidRPr="00CE17E9">
              <w:rPr>
                <w:sz w:val="20"/>
                <w:szCs w:val="20"/>
                <w:lang w:val="en-CA" w:eastAsia="en-CA"/>
              </w:rPr>
              <w:t>100</w:t>
            </w:r>
          </w:p>
        </w:tc>
      </w:tr>
      <w:tr w:rsidR="00CE17E9" w:rsidRPr="00CE17E9" w14:paraId="2AB3D10B" w14:textId="77777777" w:rsidTr="000A7C0C">
        <w:trPr>
          <w:trHeight w:val="240"/>
        </w:trPr>
        <w:tc>
          <w:tcPr>
            <w:tcW w:w="183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4071CD8B" w14:textId="77777777" w:rsidR="001630AD" w:rsidRPr="00CE17E9" w:rsidRDefault="001630AD" w:rsidP="00FB4800">
            <w:pPr>
              <w:jc w:val="left"/>
              <w:rPr>
                <w:sz w:val="20"/>
                <w:szCs w:val="20"/>
                <w:lang w:val="en-CA" w:eastAsia="en-CA"/>
              </w:rPr>
            </w:pPr>
            <w:r w:rsidRPr="00CE17E9">
              <w:rPr>
                <w:sz w:val="20"/>
                <w:szCs w:val="20"/>
                <w:lang w:val="en-CA" w:eastAsia="en-CA"/>
              </w:rPr>
              <w:t>Investment</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68E7156D" w14:textId="77777777" w:rsidR="001630AD" w:rsidRPr="00CE17E9" w:rsidRDefault="001630AD" w:rsidP="00FB4800">
            <w:pPr>
              <w:jc w:val="right"/>
              <w:rPr>
                <w:sz w:val="20"/>
                <w:szCs w:val="20"/>
                <w:lang w:val="en-CA" w:eastAsia="en-CA"/>
              </w:rPr>
            </w:pPr>
            <w:r w:rsidRPr="00CE17E9">
              <w:rPr>
                <w:sz w:val="20"/>
                <w:szCs w:val="20"/>
                <w:lang w:val="en-CA" w:eastAsia="en-CA"/>
              </w:rPr>
              <w:t>226</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042DDED4" w14:textId="77777777" w:rsidR="001630AD" w:rsidRPr="00CE17E9" w:rsidRDefault="001630AD" w:rsidP="00FB4800">
            <w:pPr>
              <w:jc w:val="right"/>
              <w:rPr>
                <w:sz w:val="20"/>
                <w:szCs w:val="20"/>
                <w:lang w:val="en-CA" w:eastAsia="en-CA"/>
              </w:rPr>
            </w:pPr>
            <w:r w:rsidRPr="00CE17E9">
              <w:rPr>
                <w:sz w:val="20"/>
                <w:szCs w:val="20"/>
                <w:lang w:val="en-CA" w:eastAsia="en-CA"/>
              </w:rPr>
              <w:t>187</w:t>
            </w:r>
          </w:p>
        </w:tc>
        <w:tc>
          <w:tcPr>
            <w:tcW w:w="993" w:type="dxa"/>
            <w:tcBorders>
              <w:top w:val="nil"/>
              <w:left w:val="nil"/>
              <w:bottom w:val="single" w:sz="4" w:space="0" w:color="auto"/>
              <w:right w:val="single" w:sz="4" w:space="0" w:color="auto"/>
            </w:tcBorders>
            <w:shd w:val="clear" w:color="auto" w:fill="auto"/>
            <w:noWrap/>
            <w:tcMar>
              <w:left w:w="57" w:type="dxa"/>
              <w:right w:w="57" w:type="dxa"/>
            </w:tcMar>
            <w:hideMark/>
          </w:tcPr>
          <w:p w14:paraId="6ECA1187" w14:textId="77777777" w:rsidR="001630AD" w:rsidRPr="00CE17E9" w:rsidRDefault="001630AD" w:rsidP="00FB4800">
            <w:pPr>
              <w:jc w:val="right"/>
              <w:rPr>
                <w:sz w:val="20"/>
                <w:szCs w:val="20"/>
                <w:lang w:val="en-CA" w:eastAsia="en-CA"/>
              </w:rPr>
            </w:pPr>
            <w:r w:rsidRPr="00CE17E9">
              <w:rPr>
                <w:sz w:val="20"/>
                <w:szCs w:val="20"/>
                <w:lang w:val="en-CA" w:eastAsia="en-CA"/>
              </w:rPr>
              <w:t>83</w:t>
            </w:r>
          </w:p>
        </w:tc>
        <w:tc>
          <w:tcPr>
            <w:tcW w:w="1134"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90F4FD1" w14:textId="77777777" w:rsidR="001630AD" w:rsidRPr="00CE17E9" w:rsidRDefault="001630AD" w:rsidP="00FB4800">
            <w:pPr>
              <w:jc w:val="right"/>
              <w:rPr>
                <w:sz w:val="20"/>
                <w:szCs w:val="20"/>
                <w:lang w:val="en-CA" w:eastAsia="en-CA"/>
              </w:rPr>
            </w:pPr>
            <w:r w:rsidRPr="00CE17E9">
              <w:rPr>
                <w:sz w:val="20"/>
                <w:szCs w:val="20"/>
                <w:lang w:val="en-CA" w:eastAsia="en-CA"/>
              </w:rPr>
              <w:t>105,184,994</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3B75F4CB" w14:textId="77777777" w:rsidR="001630AD" w:rsidRPr="00CE17E9" w:rsidRDefault="001630AD" w:rsidP="00FB4800">
            <w:pPr>
              <w:jc w:val="right"/>
              <w:rPr>
                <w:sz w:val="20"/>
                <w:szCs w:val="20"/>
                <w:lang w:val="en-CA" w:eastAsia="en-CA"/>
              </w:rPr>
            </w:pPr>
            <w:r w:rsidRPr="00CE17E9">
              <w:rPr>
                <w:sz w:val="20"/>
                <w:szCs w:val="20"/>
                <w:lang w:val="en-CA" w:eastAsia="en-CA"/>
              </w:rPr>
              <w:t>96,121,871</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373CF0DB" w14:textId="77777777" w:rsidR="001630AD" w:rsidRPr="00CE17E9" w:rsidRDefault="001630AD" w:rsidP="00FB4800">
            <w:pPr>
              <w:jc w:val="right"/>
              <w:rPr>
                <w:sz w:val="20"/>
                <w:szCs w:val="20"/>
                <w:lang w:val="en-CA" w:eastAsia="en-CA"/>
              </w:rPr>
            </w:pPr>
            <w:r w:rsidRPr="00CE17E9">
              <w:rPr>
                <w:sz w:val="20"/>
                <w:szCs w:val="20"/>
                <w:lang w:val="en-CA" w:eastAsia="en-CA"/>
              </w:rPr>
              <w:t>9,063,124</w:t>
            </w:r>
          </w:p>
        </w:tc>
        <w:tc>
          <w:tcPr>
            <w:tcW w:w="99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7F0C49F" w14:textId="77777777" w:rsidR="001630AD" w:rsidRPr="00CE17E9" w:rsidRDefault="001630AD" w:rsidP="00FB4800">
            <w:pPr>
              <w:jc w:val="right"/>
              <w:rPr>
                <w:sz w:val="20"/>
                <w:szCs w:val="20"/>
                <w:lang w:val="en-CA" w:eastAsia="en-CA"/>
              </w:rPr>
            </w:pPr>
            <w:r w:rsidRPr="00CE17E9">
              <w:rPr>
                <w:sz w:val="20"/>
                <w:szCs w:val="20"/>
                <w:lang w:val="en-CA" w:eastAsia="en-CA"/>
              </w:rPr>
              <w:t>91</w:t>
            </w:r>
          </w:p>
        </w:tc>
      </w:tr>
      <w:tr w:rsidR="00CE17E9" w:rsidRPr="00CE17E9" w14:paraId="104567CF" w14:textId="77777777" w:rsidTr="000A7C0C">
        <w:trPr>
          <w:trHeight w:val="58"/>
        </w:trPr>
        <w:tc>
          <w:tcPr>
            <w:tcW w:w="183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4F675F33" w14:textId="77777777" w:rsidR="001630AD" w:rsidRPr="00CE17E9" w:rsidRDefault="001630AD" w:rsidP="00FB4800">
            <w:pPr>
              <w:jc w:val="left"/>
              <w:rPr>
                <w:sz w:val="20"/>
                <w:szCs w:val="20"/>
                <w:lang w:val="en-CA" w:eastAsia="en-CA"/>
              </w:rPr>
            </w:pPr>
            <w:r w:rsidRPr="00CE17E9">
              <w:rPr>
                <w:sz w:val="20"/>
                <w:szCs w:val="20"/>
                <w:lang w:val="en-CA" w:eastAsia="en-CA"/>
              </w:rPr>
              <w:t>Project preparation</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4BBBF6F3" w14:textId="77777777" w:rsidR="001630AD" w:rsidRPr="00CE17E9" w:rsidRDefault="001630AD" w:rsidP="00FB4800">
            <w:pPr>
              <w:jc w:val="right"/>
              <w:rPr>
                <w:sz w:val="20"/>
                <w:szCs w:val="20"/>
                <w:lang w:val="en-CA" w:eastAsia="en-CA"/>
              </w:rPr>
            </w:pPr>
            <w:r w:rsidRPr="00CE17E9">
              <w:rPr>
                <w:sz w:val="20"/>
                <w:szCs w:val="20"/>
                <w:lang w:val="en-CA" w:eastAsia="en-CA"/>
              </w:rPr>
              <w:t>123</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04FDB6CD" w14:textId="77777777" w:rsidR="001630AD" w:rsidRPr="00CE17E9" w:rsidRDefault="001630AD" w:rsidP="00FB4800">
            <w:pPr>
              <w:jc w:val="right"/>
              <w:rPr>
                <w:sz w:val="20"/>
                <w:szCs w:val="20"/>
                <w:lang w:val="en-CA" w:eastAsia="en-CA"/>
              </w:rPr>
            </w:pPr>
            <w:r w:rsidRPr="00CE17E9">
              <w:rPr>
                <w:sz w:val="20"/>
                <w:szCs w:val="20"/>
                <w:lang w:val="en-CA" w:eastAsia="en-CA"/>
              </w:rPr>
              <w:t>122</w:t>
            </w:r>
          </w:p>
        </w:tc>
        <w:tc>
          <w:tcPr>
            <w:tcW w:w="993" w:type="dxa"/>
            <w:tcBorders>
              <w:top w:val="nil"/>
              <w:left w:val="nil"/>
              <w:bottom w:val="single" w:sz="4" w:space="0" w:color="auto"/>
              <w:right w:val="single" w:sz="4" w:space="0" w:color="auto"/>
            </w:tcBorders>
            <w:shd w:val="clear" w:color="auto" w:fill="auto"/>
            <w:noWrap/>
            <w:tcMar>
              <w:left w:w="57" w:type="dxa"/>
              <w:right w:w="57" w:type="dxa"/>
            </w:tcMar>
            <w:hideMark/>
          </w:tcPr>
          <w:p w14:paraId="145A86E1" w14:textId="77777777" w:rsidR="001630AD" w:rsidRPr="00CE17E9" w:rsidRDefault="001630AD" w:rsidP="00FB4800">
            <w:pPr>
              <w:jc w:val="right"/>
              <w:rPr>
                <w:sz w:val="20"/>
                <w:szCs w:val="20"/>
                <w:lang w:val="en-CA" w:eastAsia="en-CA"/>
              </w:rPr>
            </w:pPr>
            <w:r w:rsidRPr="00CE17E9">
              <w:rPr>
                <w:sz w:val="20"/>
                <w:szCs w:val="20"/>
                <w:lang w:val="en-CA" w:eastAsia="en-CA"/>
              </w:rPr>
              <w:t>99</w:t>
            </w:r>
          </w:p>
        </w:tc>
        <w:tc>
          <w:tcPr>
            <w:tcW w:w="1134"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FF52640" w14:textId="77777777" w:rsidR="001630AD" w:rsidRPr="00CE17E9" w:rsidRDefault="001630AD" w:rsidP="00FB4800">
            <w:pPr>
              <w:jc w:val="right"/>
              <w:rPr>
                <w:sz w:val="20"/>
                <w:szCs w:val="20"/>
                <w:lang w:val="en-CA" w:eastAsia="en-CA"/>
              </w:rPr>
            </w:pPr>
            <w:r w:rsidRPr="00CE17E9">
              <w:rPr>
                <w:sz w:val="20"/>
                <w:szCs w:val="20"/>
                <w:lang w:val="en-CA" w:eastAsia="en-CA"/>
              </w:rPr>
              <w:t>5,446,111</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2AC94E27" w14:textId="77777777" w:rsidR="001630AD" w:rsidRPr="00CE17E9" w:rsidRDefault="001630AD" w:rsidP="00FB4800">
            <w:pPr>
              <w:jc w:val="right"/>
              <w:rPr>
                <w:sz w:val="20"/>
                <w:szCs w:val="20"/>
                <w:lang w:val="en-CA" w:eastAsia="en-CA"/>
              </w:rPr>
            </w:pPr>
            <w:r w:rsidRPr="00CE17E9">
              <w:rPr>
                <w:sz w:val="20"/>
                <w:szCs w:val="20"/>
                <w:lang w:val="en-CA" w:eastAsia="en-CA"/>
              </w:rPr>
              <w:t>5,416,111</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07C7ED09" w14:textId="77777777" w:rsidR="001630AD" w:rsidRPr="00CE17E9" w:rsidRDefault="001630AD" w:rsidP="00FB4800">
            <w:pPr>
              <w:jc w:val="right"/>
              <w:rPr>
                <w:sz w:val="20"/>
                <w:szCs w:val="20"/>
                <w:lang w:val="en-CA" w:eastAsia="en-CA"/>
              </w:rPr>
            </w:pPr>
            <w:r w:rsidRPr="00CE17E9">
              <w:rPr>
                <w:sz w:val="20"/>
                <w:szCs w:val="20"/>
                <w:lang w:val="en-CA" w:eastAsia="en-CA"/>
              </w:rPr>
              <w:t>30,000</w:t>
            </w:r>
          </w:p>
        </w:tc>
        <w:tc>
          <w:tcPr>
            <w:tcW w:w="99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1BDD34F5" w14:textId="77777777" w:rsidR="001630AD" w:rsidRPr="00CE17E9" w:rsidRDefault="001630AD" w:rsidP="00FB4800">
            <w:pPr>
              <w:jc w:val="right"/>
              <w:rPr>
                <w:sz w:val="20"/>
                <w:szCs w:val="20"/>
                <w:lang w:val="en-CA" w:eastAsia="en-CA"/>
              </w:rPr>
            </w:pPr>
            <w:r w:rsidRPr="00CE17E9">
              <w:rPr>
                <w:sz w:val="20"/>
                <w:szCs w:val="20"/>
                <w:lang w:val="en-CA" w:eastAsia="en-CA"/>
              </w:rPr>
              <w:t>99</w:t>
            </w:r>
          </w:p>
        </w:tc>
      </w:tr>
      <w:tr w:rsidR="00CE17E9" w:rsidRPr="00CE17E9" w14:paraId="2B921151" w14:textId="77777777" w:rsidTr="000A7C0C">
        <w:trPr>
          <w:trHeight w:val="58"/>
        </w:trPr>
        <w:tc>
          <w:tcPr>
            <w:tcW w:w="183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51AC2AA4" w14:textId="77777777" w:rsidR="001630AD" w:rsidRPr="00CE17E9" w:rsidRDefault="001630AD" w:rsidP="00FB4800">
            <w:pPr>
              <w:jc w:val="left"/>
              <w:rPr>
                <w:sz w:val="20"/>
                <w:szCs w:val="20"/>
                <w:lang w:val="en-CA" w:eastAsia="en-CA"/>
              </w:rPr>
            </w:pPr>
            <w:r w:rsidRPr="00CE17E9">
              <w:rPr>
                <w:sz w:val="20"/>
                <w:szCs w:val="20"/>
                <w:lang w:val="en-CA" w:eastAsia="en-CA"/>
              </w:rPr>
              <w:t>Technical assistance</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54ECC97E" w14:textId="77777777" w:rsidR="001630AD" w:rsidRPr="00CE17E9" w:rsidRDefault="001630AD" w:rsidP="00FB4800">
            <w:pPr>
              <w:jc w:val="right"/>
              <w:rPr>
                <w:sz w:val="20"/>
                <w:szCs w:val="20"/>
                <w:lang w:val="en-CA" w:eastAsia="en-CA"/>
              </w:rPr>
            </w:pPr>
            <w:r w:rsidRPr="00CE17E9">
              <w:rPr>
                <w:sz w:val="20"/>
                <w:szCs w:val="20"/>
                <w:lang w:val="en-CA" w:eastAsia="en-CA"/>
              </w:rPr>
              <w:t>210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1AFAC08A" w14:textId="77777777" w:rsidR="001630AD" w:rsidRPr="00CE17E9" w:rsidRDefault="001630AD" w:rsidP="00FB4800">
            <w:pPr>
              <w:jc w:val="right"/>
              <w:rPr>
                <w:sz w:val="20"/>
                <w:szCs w:val="20"/>
                <w:lang w:val="en-CA" w:eastAsia="en-CA"/>
              </w:rPr>
            </w:pPr>
            <w:r w:rsidRPr="00CE17E9">
              <w:rPr>
                <w:sz w:val="20"/>
                <w:szCs w:val="20"/>
                <w:lang w:val="en-CA" w:eastAsia="en-CA"/>
              </w:rPr>
              <w:t>196</w:t>
            </w:r>
          </w:p>
        </w:tc>
        <w:tc>
          <w:tcPr>
            <w:tcW w:w="993" w:type="dxa"/>
            <w:tcBorders>
              <w:top w:val="nil"/>
              <w:left w:val="nil"/>
              <w:bottom w:val="single" w:sz="4" w:space="0" w:color="auto"/>
              <w:right w:val="single" w:sz="4" w:space="0" w:color="auto"/>
            </w:tcBorders>
            <w:shd w:val="clear" w:color="auto" w:fill="auto"/>
            <w:noWrap/>
            <w:tcMar>
              <w:left w:w="57" w:type="dxa"/>
              <w:right w:w="57" w:type="dxa"/>
            </w:tcMar>
            <w:hideMark/>
          </w:tcPr>
          <w:p w14:paraId="20B938D7" w14:textId="77777777" w:rsidR="001630AD" w:rsidRPr="00CE17E9" w:rsidRDefault="001630AD" w:rsidP="00FB4800">
            <w:pPr>
              <w:jc w:val="right"/>
              <w:rPr>
                <w:sz w:val="20"/>
                <w:szCs w:val="20"/>
                <w:lang w:val="en-CA" w:eastAsia="en-CA"/>
              </w:rPr>
            </w:pPr>
            <w:r w:rsidRPr="00CE17E9">
              <w:rPr>
                <w:sz w:val="20"/>
                <w:szCs w:val="20"/>
                <w:lang w:val="en-CA" w:eastAsia="en-CA"/>
              </w:rPr>
              <w:t>93</w:t>
            </w:r>
          </w:p>
        </w:tc>
        <w:tc>
          <w:tcPr>
            <w:tcW w:w="1134"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CC64740" w14:textId="77777777" w:rsidR="001630AD" w:rsidRPr="00CE17E9" w:rsidRDefault="001630AD" w:rsidP="00FB4800">
            <w:pPr>
              <w:jc w:val="right"/>
              <w:rPr>
                <w:sz w:val="20"/>
                <w:szCs w:val="20"/>
                <w:lang w:val="en-CA" w:eastAsia="en-CA"/>
              </w:rPr>
            </w:pPr>
            <w:r w:rsidRPr="00CE17E9">
              <w:rPr>
                <w:sz w:val="20"/>
                <w:szCs w:val="20"/>
                <w:lang w:val="en-CA" w:eastAsia="en-CA"/>
              </w:rPr>
              <w:t>27,666,316</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5DA85676" w14:textId="77777777" w:rsidR="001630AD" w:rsidRPr="00CE17E9" w:rsidRDefault="001630AD" w:rsidP="00FB4800">
            <w:pPr>
              <w:jc w:val="right"/>
              <w:rPr>
                <w:sz w:val="20"/>
                <w:szCs w:val="20"/>
                <w:lang w:val="en-CA" w:eastAsia="en-CA"/>
              </w:rPr>
            </w:pPr>
            <w:r w:rsidRPr="00CE17E9">
              <w:rPr>
                <w:sz w:val="20"/>
                <w:szCs w:val="20"/>
                <w:lang w:val="en-CA" w:eastAsia="en-CA"/>
              </w:rPr>
              <w:t>23,326,856</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1E09E295" w14:textId="77777777" w:rsidR="001630AD" w:rsidRPr="00CE17E9" w:rsidRDefault="001630AD" w:rsidP="00FB4800">
            <w:pPr>
              <w:jc w:val="right"/>
              <w:rPr>
                <w:sz w:val="20"/>
                <w:szCs w:val="20"/>
                <w:lang w:val="en-CA" w:eastAsia="en-CA"/>
              </w:rPr>
            </w:pPr>
            <w:r w:rsidRPr="00CE17E9">
              <w:rPr>
                <w:sz w:val="20"/>
                <w:szCs w:val="20"/>
                <w:lang w:val="en-CA" w:eastAsia="en-CA"/>
              </w:rPr>
              <w:t>4,339,461</w:t>
            </w:r>
          </w:p>
        </w:tc>
        <w:tc>
          <w:tcPr>
            <w:tcW w:w="99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7C462F50" w14:textId="77777777" w:rsidR="001630AD" w:rsidRPr="00CE17E9" w:rsidRDefault="001630AD" w:rsidP="00FB4800">
            <w:pPr>
              <w:jc w:val="right"/>
              <w:rPr>
                <w:sz w:val="20"/>
                <w:szCs w:val="20"/>
                <w:lang w:val="en-CA" w:eastAsia="en-CA"/>
              </w:rPr>
            </w:pPr>
            <w:r w:rsidRPr="00CE17E9">
              <w:rPr>
                <w:sz w:val="20"/>
                <w:szCs w:val="20"/>
                <w:lang w:val="en-CA" w:eastAsia="en-CA"/>
              </w:rPr>
              <w:t>84</w:t>
            </w:r>
          </w:p>
        </w:tc>
      </w:tr>
      <w:tr w:rsidR="00CE17E9" w:rsidRPr="00CE17E9" w14:paraId="3F02A95B" w14:textId="77777777" w:rsidTr="000A7C0C">
        <w:trPr>
          <w:trHeight w:val="58"/>
        </w:trPr>
        <w:tc>
          <w:tcPr>
            <w:tcW w:w="183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1DAF10A4" w14:textId="77777777" w:rsidR="001630AD" w:rsidRPr="00CE17E9" w:rsidRDefault="001630AD" w:rsidP="00FB4800">
            <w:pPr>
              <w:jc w:val="left"/>
              <w:rPr>
                <w:sz w:val="20"/>
                <w:szCs w:val="20"/>
                <w:lang w:val="en-CA" w:eastAsia="en-CA"/>
              </w:rPr>
            </w:pPr>
            <w:r w:rsidRPr="00CE17E9">
              <w:rPr>
                <w:sz w:val="20"/>
                <w:szCs w:val="20"/>
                <w:lang w:val="en-CA" w:eastAsia="en-CA"/>
              </w:rPr>
              <w:t>Training</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601E309A" w14:textId="77777777" w:rsidR="001630AD" w:rsidRPr="00CE17E9" w:rsidRDefault="001630AD" w:rsidP="00FB4800">
            <w:pPr>
              <w:jc w:val="right"/>
              <w:rPr>
                <w:sz w:val="20"/>
                <w:szCs w:val="20"/>
                <w:lang w:val="en-CA" w:eastAsia="en-CA"/>
              </w:rPr>
            </w:pPr>
            <w:r w:rsidRPr="00CE17E9">
              <w:rPr>
                <w:sz w:val="20"/>
                <w:szCs w:val="20"/>
                <w:lang w:val="en-CA" w:eastAsia="en-CA"/>
              </w:rPr>
              <w:t>73</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013B79A9" w14:textId="77777777" w:rsidR="001630AD" w:rsidRPr="00CE17E9" w:rsidRDefault="001630AD" w:rsidP="00FB4800">
            <w:pPr>
              <w:jc w:val="right"/>
              <w:rPr>
                <w:sz w:val="20"/>
                <w:szCs w:val="20"/>
                <w:lang w:val="en-CA" w:eastAsia="en-CA"/>
              </w:rPr>
            </w:pPr>
            <w:r w:rsidRPr="00CE17E9">
              <w:rPr>
                <w:sz w:val="20"/>
                <w:szCs w:val="20"/>
                <w:lang w:val="en-CA" w:eastAsia="en-CA"/>
              </w:rPr>
              <w:t>73</w:t>
            </w:r>
          </w:p>
        </w:tc>
        <w:tc>
          <w:tcPr>
            <w:tcW w:w="993" w:type="dxa"/>
            <w:tcBorders>
              <w:top w:val="nil"/>
              <w:left w:val="nil"/>
              <w:bottom w:val="single" w:sz="4" w:space="0" w:color="auto"/>
              <w:right w:val="single" w:sz="4" w:space="0" w:color="auto"/>
            </w:tcBorders>
            <w:shd w:val="clear" w:color="auto" w:fill="auto"/>
            <w:noWrap/>
            <w:tcMar>
              <w:left w:w="57" w:type="dxa"/>
              <w:right w:w="57" w:type="dxa"/>
            </w:tcMar>
            <w:hideMark/>
          </w:tcPr>
          <w:p w14:paraId="61B70995" w14:textId="77777777" w:rsidR="001630AD" w:rsidRPr="00CE17E9" w:rsidRDefault="001630AD" w:rsidP="00FB4800">
            <w:pPr>
              <w:jc w:val="right"/>
              <w:rPr>
                <w:sz w:val="20"/>
                <w:szCs w:val="20"/>
                <w:lang w:val="en-CA" w:eastAsia="en-CA"/>
              </w:rPr>
            </w:pPr>
            <w:r w:rsidRPr="00CE17E9">
              <w:rPr>
                <w:sz w:val="20"/>
                <w:szCs w:val="20"/>
                <w:lang w:val="en-CA" w:eastAsia="en-CA"/>
              </w:rPr>
              <w:t>100</w:t>
            </w:r>
          </w:p>
        </w:tc>
        <w:tc>
          <w:tcPr>
            <w:tcW w:w="1134"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5F77405" w14:textId="77777777" w:rsidR="001630AD" w:rsidRPr="00CE17E9" w:rsidRDefault="001630AD" w:rsidP="00FB4800">
            <w:pPr>
              <w:jc w:val="right"/>
              <w:rPr>
                <w:sz w:val="20"/>
                <w:szCs w:val="20"/>
                <w:lang w:val="en-CA" w:eastAsia="en-CA"/>
              </w:rPr>
            </w:pPr>
            <w:r w:rsidRPr="00CE17E9">
              <w:rPr>
                <w:sz w:val="20"/>
                <w:szCs w:val="20"/>
                <w:lang w:val="en-CA" w:eastAsia="en-CA"/>
              </w:rPr>
              <w:t>8,421,416</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412AAF6B" w14:textId="77777777" w:rsidR="001630AD" w:rsidRPr="00CE17E9" w:rsidRDefault="001630AD" w:rsidP="00FB4800">
            <w:pPr>
              <w:jc w:val="right"/>
              <w:rPr>
                <w:sz w:val="20"/>
                <w:szCs w:val="20"/>
                <w:lang w:val="en-CA" w:eastAsia="en-CA"/>
              </w:rPr>
            </w:pPr>
            <w:r w:rsidRPr="00CE17E9">
              <w:rPr>
                <w:sz w:val="20"/>
                <w:szCs w:val="20"/>
                <w:lang w:val="en-CA" w:eastAsia="en-CA"/>
              </w:rPr>
              <w:t>8,421,416</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1D988047" w14:textId="77777777" w:rsidR="001630AD" w:rsidRPr="00CE17E9" w:rsidRDefault="001630AD" w:rsidP="00FB4800">
            <w:pPr>
              <w:jc w:val="right"/>
              <w:rPr>
                <w:sz w:val="20"/>
                <w:szCs w:val="20"/>
                <w:lang w:val="en-CA" w:eastAsia="en-CA"/>
              </w:rPr>
            </w:pPr>
            <w:r w:rsidRPr="00CE17E9">
              <w:rPr>
                <w:sz w:val="20"/>
                <w:szCs w:val="20"/>
                <w:lang w:val="en-CA" w:eastAsia="en-CA"/>
              </w:rPr>
              <w:t>0</w:t>
            </w:r>
          </w:p>
        </w:tc>
        <w:tc>
          <w:tcPr>
            <w:tcW w:w="99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7E7DE68D" w14:textId="77777777" w:rsidR="001630AD" w:rsidRPr="00CE17E9" w:rsidRDefault="001630AD" w:rsidP="00FB4800">
            <w:pPr>
              <w:jc w:val="right"/>
              <w:rPr>
                <w:sz w:val="20"/>
                <w:szCs w:val="20"/>
                <w:lang w:val="en-CA" w:eastAsia="en-CA"/>
              </w:rPr>
            </w:pPr>
            <w:r w:rsidRPr="00CE17E9">
              <w:rPr>
                <w:sz w:val="20"/>
                <w:szCs w:val="20"/>
                <w:lang w:val="en-CA" w:eastAsia="en-CA"/>
              </w:rPr>
              <w:t>100</w:t>
            </w:r>
          </w:p>
        </w:tc>
      </w:tr>
      <w:tr w:rsidR="00CE17E9" w:rsidRPr="00CE17E9" w14:paraId="46801E30" w14:textId="77777777" w:rsidTr="000A7C0C">
        <w:trPr>
          <w:trHeight w:val="58"/>
        </w:trPr>
        <w:tc>
          <w:tcPr>
            <w:tcW w:w="183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427E4E5" w14:textId="77777777" w:rsidR="001630AD" w:rsidRPr="00CE17E9" w:rsidRDefault="001630AD" w:rsidP="003E2895">
            <w:pPr>
              <w:keepNext/>
              <w:jc w:val="left"/>
              <w:rPr>
                <w:b/>
                <w:bCs/>
                <w:sz w:val="20"/>
                <w:szCs w:val="20"/>
                <w:lang w:val="en-CA" w:eastAsia="en-CA"/>
              </w:rPr>
            </w:pPr>
            <w:r w:rsidRPr="00CE17E9">
              <w:rPr>
                <w:b/>
                <w:bCs/>
                <w:sz w:val="20"/>
                <w:szCs w:val="20"/>
                <w:lang w:val="en-CA" w:eastAsia="en-CA"/>
              </w:rPr>
              <w:lastRenderedPageBreak/>
              <w:t>Total</w:t>
            </w:r>
          </w:p>
        </w:tc>
        <w:tc>
          <w:tcPr>
            <w:tcW w:w="992" w:type="dxa"/>
            <w:tcBorders>
              <w:top w:val="nil"/>
              <w:left w:val="nil"/>
              <w:bottom w:val="single" w:sz="4" w:space="0" w:color="auto"/>
              <w:right w:val="single" w:sz="4" w:space="0" w:color="auto"/>
            </w:tcBorders>
            <w:shd w:val="clear" w:color="auto" w:fill="auto"/>
            <w:tcMar>
              <w:left w:w="57" w:type="dxa"/>
              <w:right w:w="57" w:type="dxa"/>
            </w:tcMar>
            <w:hideMark/>
          </w:tcPr>
          <w:p w14:paraId="6985010D" w14:textId="77777777" w:rsidR="001630AD" w:rsidRPr="00CE17E9" w:rsidRDefault="001630AD" w:rsidP="003E2895">
            <w:pPr>
              <w:keepNext/>
              <w:jc w:val="right"/>
              <w:rPr>
                <w:b/>
                <w:bCs/>
                <w:sz w:val="20"/>
                <w:szCs w:val="20"/>
                <w:lang w:val="en-CA" w:eastAsia="en-CA"/>
              </w:rPr>
            </w:pPr>
            <w:r w:rsidRPr="00CE17E9">
              <w:rPr>
                <w:b/>
                <w:bCs/>
                <w:sz w:val="20"/>
                <w:szCs w:val="20"/>
                <w:lang w:val="en-CA" w:eastAsia="en-CA"/>
              </w:rPr>
              <w:t>686</w:t>
            </w:r>
          </w:p>
        </w:tc>
        <w:tc>
          <w:tcPr>
            <w:tcW w:w="1134" w:type="dxa"/>
            <w:tcBorders>
              <w:top w:val="nil"/>
              <w:left w:val="nil"/>
              <w:bottom w:val="single" w:sz="4" w:space="0" w:color="auto"/>
              <w:right w:val="single" w:sz="4" w:space="0" w:color="auto"/>
            </w:tcBorders>
            <w:shd w:val="clear" w:color="auto" w:fill="auto"/>
            <w:tcMar>
              <w:left w:w="57" w:type="dxa"/>
              <w:right w:w="57" w:type="dxa"/>
            </w:tcMar>
            <w:hideMark/>
          </w:tcPr>
          <w:p w14:paraId="2E864416" w14:textId="77777777" w:rsidR="001630AD" w:rsidRPr="00CE17E9" w:rsidRDefault="001630AD" w:rsidP="003E2895">
            <w:pPr>
              <w:keepNext/>
              <w:jc w:val="right"/>
              <w:rPr>
                <w:b/>
                <w:bCs/>
                <w:sz w:val="20"/>
                <w:szCs w:val="20"/>
                <w:lang w:val="en-CA" w:eastAsia="en-CA"/>
              </w:rPr>
            </w:pPr>
            <w:r w:rsidRPr="00CE17E9">
              <w:rPr>
                <w:b/>
                <w:bCs/>
                <w:sz w:val="20"/>
                <w:szCs w:val="20"/>
                <w:lang w:val="en-CA" w:eastAsia="en-CA"/>
              </w:rPr>
              <w:t>631</w:t>
            </w:r>
          </w:p>
        </w:tc>
        <w:tc>
          <w:tcPr>
            <w:tcW w:w="993" w:type="dxa"/>
            <w:tcBorders>
              <w:top w:val="nil"/>
              <w:left w:val="nil"/>
              <w:bottom w:val="single" w:sz="4" w:space="0" w:color="auto"/>
              <w:right w:val="single" w:sz="4" w:space="0" w:color="auto"/>
            </w:tcBorders>
            <w:shd w:val="clear" w:color="auto" w:fill="auto"/>
            <w:noWrap/>
            <w:tcMar>
              <w:left w:w="57" w:type="dxa"/>
              <w:right w:w="57" w:type="dxa"/>
            </w:tcMar>
            <w:hideMark/>
          </w:tcPr>
          <w:p w14:paraId="6FEEDD33" w14:textId="77777777" w:rsidR="001630AD" w:rsidRPr="00CE17E9" w:rsidRDefault="001630AD" w:rsidP="003E2895">
            <w:pPr>
              <w:keepNext/>
              <w:jc w:val="right"/>
              <w:rPr>
                <w:b/>
                <w:bCs/>
                <w:sz w:val="20"/>
                <w:szCs w:val="20"/>
                <w:lang w:val="en-CA" w:eastAsia="en-CA"/>
              </w:rPr>
            </w:pPr>
            <w:r w:rsidRPr="00CE17E9">
              <w:rPr>
                <w:b/>
                <w:bCs/>
                <w:sz w:val="20"/>
                <w:szCs w:val="20"/>
                <w:lang w:val="en-CA" w:eastAsia="en-CA"/>
              </w:rPr>
              <w:t>92</w:t>
            </w:r>
          </w:p>
        </w:tc>
        <w:tc>
          <w:tcPr>
            <w:tcW w:w="1134"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9A8EC3B" w14:textId="77777777" w:rsidR="001630AD" w:rsidRPr="00CE17E9" w:rsidRDefault="001630AD" w:rsidP="003E2895">
            <w:pPr>
              <w:keepNext/>
              <w:jc w:val="right"/>
              <w:rPr>
                <w:b/>
                <w:bCs/>
                <w:sz w:val="20"/>
                <w:szCs w:val="20"/>
                <w:lang w:val="en-CA" w:eastAsia="en-CA"/>
              </w:rPr>
            </w:pPr>
            <w:r w:rsidRPr="00CE17E9">
              <w:rPr>
                <w:b/>
                <w:bCs/>
                <w:sz w:val="20"/>
                <w:szCs w:val="20"/>
                <w:lang w:val="en-CA" w:eastAsia="en-CA"/>
              </w:rPr>
              <w:t>157,352,436</w:t>
            </w:r>
          </w:p>
        </w:tc>
        <w:tc>
          <w:tcPr>
            <w:tcW w:w="1134" w:type="dxa"/>
            <w:tcBorders>
              <w:top w:val="nil"/>
              <w:left w:val="nil"/>
              <w:bottom w:val="single" w:sz="4" w:space="0" w:color="auto"/>
              <w:right w:val="single" w:sz="4" w:space="0" w:color="auto"/>
            </w:tcBorders>
            <w:shd w:val="clear" w:color="auto" w:fill="auto"/>
            <w:tcMar>
              <w:left w:w="57" w:type="dxa"/>
              <w:right w:w="57" w:type="dxa"/>
            </w:tcMar>
            <w:hideMark/>
          </w:tcPr>
          <w:p w14:paraId="207B7345" w14:textId="77777777" w:rsidR="001630AD" w:rsidRPr="00CE17E9" w:rsidRDefault="001630AD" w:rsidP="003E2895">
            <w:pPr>
              <w:keepNext/>
              <w:jc w:val="right"/>
              <w:rPr>
                <w:b/>
                <w:bCs/>
                <w:sz w:val="20"/>
                <w:szCs w:val="20"/>
                <w:lang w:val="en-CA" w:eastAsia="en-CA"/>
              </w:rPr>
            </w:pPr>
            <w:r w:rsidRPr="00CE17E9">
              <w:rPr>
                <w:b/>
                <w:bCs/>
                <w:sz w:val="20"/>
                <w:szCs w:val="20"/>
                <w:lang w:val="en-CA" w:eastAsia="en-CA"/>
              </w:rPr>
              <w:t>143,557,756</w:t>
            </w:r>
          </w:p>
        </w:tc>
        <w:tc>
          <w:tcPr>
            <w:tcW w:w="1134" w:type="dxa"/>
            <w:tcBorders>
              <w:top w:val="nil"/>
              <w:left w:val="nil"/>
              <w:bottom w:val="single" w:sz="4" w:space="0" w:color="auto"/>
              <w:right w:val="single" w:sz="4" w:space="0" w:color="auto"/>
            </w:tcBorders>
            <w:shd w:val="clear" w:color="auto" w:fill="auto"/>
            <w:tcMar>
              <w:left w:w="57" w:type="dxa"/>
              <w:right w:w="57" w:type="dxa"/>
            </w:tcMar>
            <w:hideMark/>
          </w:tcPr>
          <w:p w14:paraId="3B01DDC2" w14:textId="77777777" w:rsidR="001630AD" w:rsidRPr="00CE17E9" w:rsidRDefault="001630AD" w:rsidP="003E2895">
            <w:pPr>
              <w:keepNext/>
              <w:jc w:val="right"/>
              <w:rPr>
                <w:b/>
                <w:bCs/>
                <w:sz w:val="20"/>
                <w:szCs w:val="20"/>
                <w:lang w:val="en-CA" w:eastAsia="en-CA"/>
              </w:rPr>
            </w:pPr>
            <w:r w:rsidRPr="00CE17E9">
              <w:rPr>
                <w:b/>
                <w:bCs/>
                <w:sz w:val="20"/>
                <w:szCs w:val="20"/>
                <w:lang w:val="en-CA" w:eastAsia="en-CA"/>
              </w:rPr>
              <w:t>13,794,680</w:t>
            </w:r>
          </w:p>
        </w:tc>
        <w:tc>
          <w:tcPr>
            <w:tcW w:w="99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51A51E16" w14:textId="77777777" w:rsidR="001630AD" w:rsidRPr="00CE17E9" w:rsidRDefault="001630AD" w:rsidP="003E2895">
            <w:pPr>
              <w:keepNext/>
              <w:jc w:val="right"/>
              <w:rPr>
                <w:b/>
                <w:bCs/>
                <w:sz w:val="20"/>
                <w:szCs w:val="20"/>
                <w:lang w:val="en-CA" w:eastAsia="en-CA"/>
              </w:rPr>
            </w:pPr>
            <w:r w:rsidRPr="00CE17E9">
              <w:rPr>
                <w:b/>
                <w:bCs/>
                <w:sz w:val="20"/>
                <w:szCs w:val="20"/>
                <w:lang w:val="en-CA" w:eastAsia="en-CA"/>
              </w:rPr>
              <w:t>91</w:t>
            </w:r>
          </w:p>
        </w:tc>
      </w:tr>
    </w:tbl>
    <w:p w14:paraId="3C12FC5E" w14:textId="77777777" w:rsidR="006F066A" w:rsidRPr="00CE17E9" w:rsidRDefault="006F066A" w:rsidP="003E2895">
      <w:pPr>
        <w:keepNext/>
        <w:rPr>
          <w:sz w:val="18"/>
          <w:szCs w:val="18"/>
          <w:lang w:val="en-CA"/>
        </w:rPr>
      </w:pPr>
      <w:r w:rsidRPr="00CE17E9">
        <w:rPr>
          <w:sz w:val="18"/>
          <w:szCs w:val="18"/>
          <w:lang w:val="en-CA"/>
        </w:rPr>
        <w:t>* Excludes closed and transferred projects.</w:t>
      </w:r>
    </w:p>
    <w:p w14:paraId="3F686F53" w14:textId="77777777" w:rsidR="006F066A" w:rsidRPr="00CE17E9" w:rsidRDefault="006F066A" w:rsidP="00FB4800">
      <w:pPr>
        <w:rPr>
          <w:sz w:val="18"/>
          <w:szCs w:val="18"/>
          <w:lang w:val="en-CA"/>
        </w:rPr>
      </w:pPr>
      <w:r w:rsidRPr="00CE17E9">
        <w:rPr>
          <w:sz w:val="18"/>
          <w:szCs w:val="18"/>
          <w:lang w:val="en-CA"/>
        </w:rPr>
        <w:t xml:space="preserve">** Excludes agency support costs. </w:t>
      </w:r>
    </w:p>
    <w:p w14:paraId="2483A071" w14:textId="77777777" w:rsidR="004B3759" w:rsidRPr="00CE17E9" w:rsidRDefault="004B3759" w:rsidP="00FB4800">
      <w:pPr>
        <w:rPr>
          <w:lang w:val="en-CA"/>
        </w:rPr>
      </w:pPr>
    </w:p>
    <w:p w14:paraId="68AEC7FE" w14:textId="77777777" w:rsidR="006F066A" w:rsidRPr="00CE17E9" w:rsidRDefault="006F066A" w:rsidP="00FB4800">
      <w:pPr>
        <w:pStyle w:val="Heading1"/>
        <w:rPr>
          <w:lang w:val="en-CA"/>
        </w:rPr>
      </w:pPr>
      <w:r w:rsidRPr="00CE17E9">
        <w:rPr>
          <w:lang w:val="en-CA"/>
        </w:rPr>
        <w:t xml:space="preserve">Table 3 presents an overview of </w:t>
      </w:r>
      <w:r w:rsidR="004B3759" w:rsidRPr="00CE17E9">
        <w:rPr>
          <w:lang w:val="en-CA"/>
        </w:rPr>
        <w:t xml:space="preserve">the </w:t>
      </w:r>
      <w:r w:rsidRPr="00CE17E9">
        <w:rPr>
          <w:lang w:val="en-CA"/>
        </w:rPr>
        <w:t>status of project implementation by year</w:t>
      </w:r>
      <w:r w:rsidRPr="00CE17E9">
        <w:rPr>
          <w:rStyle w:val="FootnoteReference"/>
          <w:sz w:val="22"/>
          <w:szCs w:val="22"/>
          <w:lang w:val="en-CA"/>
        </w:rPr>
        <w:footnoteReference w:id="11"/>
      </w:r>
      <w:r w:rsidRPr="00CE17E9">
        <w:rPr>
          <w:lang w:val="en-CA"/>
        </w:rPr>
        <w:t xml:space="preserve">. All projects and activities approved between 1992 to the end of 2009, have now been completed. </w:t>
      </w:r>
    </w:p>
    <w:p w14:paraId="143B5D47" w14:textId="77777777" w:rsidR="006F066A" w:rsidRPr="00CE17E9" w:rsidRDefault="006F066A" w:rsidP="00FB4800">
      <w:pPr>
        <w:suppressAutoHyphens/>
        <w:rPr>
          <w:b/>
          <w:spacing w:val="-3"/>
          <w:lang w:val="en-CA"/>
        </w:rPr>
      </w:pPr>
      <w:r w:rsidRPr="00CE17E9">
        <w:rPr>
          <w:b/>
          <w:spacing w:val="-3"/>
          <w:lang w:val="en-CA"/>
        </w:rPr>
        <w:t>Table 3: Status of project implementation by year</w:t>
      </w:r>
    </w:p>
    <w:tbl>
      <w:tblPr>
        <w:tblW w:w="9356" w:type="dxa"/>
        <w:tblInd w:w="-5" w:type="dxa"/>
        <w:tblLayout w:type="fixed"/>
        <w:tblLook w:val="04A0" w:firstRow="1" w:lastRow="0" w:firstColumn="1" w:lastColumn="0" w:noHBand="0" w:noVBand="1"/>
      </w:tblPr>
      <w:tblGrid>
        <w:gridCol w:w="851"/>
        <w:gridCol w:w="992"/>
        <w:gridCol w:w="1134"/>
        <w:gridCol w:w="1134"/>
        <w:gridCol w:w="1311"/>
        <w:gridCol w:w="1311"/>
        <w:gridCol w:w="1311"/>
        <w:gridCol w:w="1312"/>
      </w:tblGrid>
      <w:tr w:rsidR="00CE17E9" w:rsidRPr="00CE17E9" w14:paraId="41EC4428" w14:textId="77777777" w:rsidTr="000A7C0C">
        <w:trPr>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447625E3" w14:textId="77777777" w:rsidR="00A723BA" w:rsidRPr="00CE17E9" w:rsidRDefault="00A723BA" w:rsidP="00FB4800">
            <w:pPr>
              <w:jc w:val="left"/>
              <w:rPr>
                <w:b/>
                <w:bCs/>
                <w:sz w:val="21"/>
                <w:szCs w:val="21"/>
                <w:lang w:val="en-CA" w:eastAsia="en-CA"/>
              </w:rPr>
            </w:pPr>
            <w:r w:rsidRPr="00CE17E9">
              <w:rPr>
                <w:b/>
                <w:bCs/>
                <w:sz w:val="21"/>
                <w:szCs w:val="21"/>
                <w:lang w:val="en-CA" w:eastAsia="en-CA"/>
              </w:rPr>
              <w:t>Year</w:t>
            </w:r>
          </w:p>
        </w:tc>
        <w:tc>
          <w:tcPr>
            <w:tcW w:w="3260" w:type="dxa"/>
            <w:gridSpan w:val="3"/>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14:paraId="03985F0B" w14:textId="77777777" w:rsidR="00A723BA" w:rsidRPr="00CE17E9" w:rsidRDefault="00A723BA" w:rsidP="00FB4800">
            <w:pPr>
              <w:jc w:val="center"/>
              <w:rPr>
                <w:b/>
                <w:bCs/>
                <w:sz w:val="21"/>
                <w:szCs w:val="21"/>
                <w:lang w:val="en-CA" w:eastAsia="en-CA"/>
              </w:rPr>
            </w:pPr>
            <w:r w:rsidRPr="00CE17E9">
              <w:rPr>
                <w:b/>
                <w:bCs/>
                <w:sz w:val="21"/>
                <w:szCs w:val="21"/>
                <w:lang w:val="en-CA" w:eastAsia="en-CA"/>
              </w:rPr>
              <w:t>Number of projects*</w:t>
            </w:r>
          </w:p>
        </w:tc>
        <w:tc>
          <w:tcPr>
            <w:tcW w:w="5245" w:type="dxa"/>
            <w:gridSpan w:val="4"/>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14:paraId="0782D9DA" w14:textId="77777777" w:rsidR="00A723BA" w:rsidRPr="00CE17E9" w:rsidRDefault="00A723BA" w:rsidP="00FB4800">
            <w:pPr>
              <w:jc w:val="center"/>
              <w:rPr>
                <w:b/>
                <w:bCs/>
                <w:sz w:val="21"/>
                <w:szCs w:val="21"/>
                <w:lang w:val="en-CA" w:eastAsia="en-CA"/>
              </w:rPr>
            </w:pPr>
            <w:r w:rsidRPr="00CE17E9">
              <w:rPr>
                <w:b/>
                <w:bCs/>
                <w:sz w:val="21"/>
                <w:szCs w:val="21"/>
                <w:lang w:val="en-CA" w:eastAsia="en-CA"/>
              </w:rPr>
              <w:t>Funding (US$)**</w:t>
            </w:r>
          </w:p>
        </w:tc>
      </w:tr>
      <w:tr w:rsidR="00CE17E9" w:rsidRPr="00CE17E9" w14:paraId="33696840" w14:textId="77777777" w:rsidTr="000A7C0C">
        <w:trPr>
          <w:tblHeader/>
        </w:trPr>
        <w:tc>
          <w:tcPr>
            <w:tcW w:w="85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FFF82B5" w14:textId="77777777" w:rsidR="00A723BA" w:rsidRPr="00CE17E9" w:rsidRDefault="00A723BA" w:rsidP="00FB4800">
            <w:pPr>
              <w:jc w:val="left"/>
              <w:rPr>
                <w:b/>
                <w:bCs/>
                <w:sz w:val="21"/>
                <w:szCs w:val="21"/>
                <w:lang w:val="en-CA" w:eastAsia="en-CA"/>
              </w:rPr>
            </w:pP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28461ADE" w14:textId="77777777" w:rsidR="00A723BA" w:rsidRPr="00CE17E9" w:rsidRDefault="00A723BA" w:rsidP="00FB4800">
            <w:pPr>
              <w:jc w:val="center"/>
              <w:rPr>
                <w:b/>
                <w:bCs/>
                <w:sz w:val="21"/>
                <w:szCs w:val="21"/>
                <w:lang w:val="en-CA" w:eastAsia="en-CA"/>
              </w:rPr>
            </w:pPr>
            <w:r w:rsidRPr="00CE17E9">
              <w:rPr>
                <w:b/>
                <w:bCs/>
                <w:sz w:val="21"/>
                <w:szCs w:val="21"/>
                <w:lang w:val="en-CA" w:eastAsia="en-CA"/>
              </w:rPr>
              <w:t>Approved</w:t>
            </w:r>
          </w:p>
        </w:tc>
        <w:tc>
          <w:tcPr>
            <w:tcW w:w="113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24818A92" w14:textId="77777777" w:rsidR="00A723BA" w:rsidRPr="00CE17E9" w:rsidRDefault="00A723BA" w:rsidP="00FB4800">
            <w:pPr>
              <w:jc w:val="center"/>
              <w:rPr>
                <w:b/>
                <w:bCs/>
                <w:sz w:val="21"/>
                <w:szCs w:val="21"/>
                <w:lang w:val="en-CA" w:eastAsia="en-CA"/>
              </w:rPr>
            </w:pPr>
            <w:r w:rsidRPr="00CE17E9">
              <w:rPr>
                <w:b/>
                <w:bCs/>
                <w:sz w:val="21"/>
                <w:szCs w:val="21"/>
                <w:lang w:val="en-CA" w:eastAsia="en-CA"/>
              </w:rPr>
              <w:t>Completed</w:t>
            </w:r>
          </w:p>
        </w:tc>
        <w:tc>
          <w:tcPr>
            <w:tcW w:w="113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18ADC74D" w14:textId="77777777" w:rsidR="00A723BA" w:rsidRPr="00CE17E9" w:rsidRDefault="00A723BA" w:rsidP="00FB4800">
            <w:pPr>
              <w:jc w:val="center"/>
              <w:rPr>
                <w:b/>
                <w:bCs/>
                <w:sz w:val="21"/>
                <w:szCs w:val="21"/>
                <w:lang w:val="en-CA" w:eastAsia="en-CA"/>
              </w:rPr>
            </w:pPr>
            <w:r w:rsidRPr="00CE17E9">
              <w:rPr>
                <w:b/>
                <w:bCs/>
                <w:sz w:val="21"/>
                <w:szCs w:val="21"/>
                <w:lang w:val="en-CA" w:eastAsia="en-CA"/>
              </w:rPr>
              <w:t>% completed</w:t>
            </w:r>
          </w:p>
        </w:tc>
        <w:tc>
          <w:tcPr>
            <w:tcW w:w="131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5DC39AA8" w14:textId="77777777" w:rsidR="00A723BA" w:rsidRPr="00CE17E9" w:rsidRDefault="00A723BA" w:rsidP="00FB4800">
            <w:pPr>
              <w:jc w:val="center"/>
              <w:rPr>
                <w:b/>
                <w:bCs/>
                <w:sz w:val="21"/>
                <w:szCs w:val="21"/>
                <w:lang w:val="en-CA" w:eastAsia="en-CA"/>
              </w:rPr>
            </w:pPr>
            <w:r w:rsidRPr="00CE17E9">
              <w:rPr>
                <w:b/>
                <w:bCs/>
                <w:sz w:val="21"/>
                <w:szCs w:val="21"/>
                <w:lang w:val="en-CA" w:eastAsia="en-CA"/>
              </w:rPr>
              <w:t>Approved</w:t>
            </w:r>
          </w:p>
        </w:tc>
        <w:tc>
          <w:tcPr>
            <w:tcW w:w="131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3410F606" w14:textId="77777777" w:rsidR="00A723BA" w:rsidRPr="00CE17E9" w:rsidRDefault="00A723BA" w:rsidP="00FB4800">
            <w:pPr>
              <w:jc w:val="center"/>
              <w:rPr>
                <w:b/>
                <w:bCs/>
                <w:sz w:val="21"/>
                <w:szCs w:val="21"/>
                <w:lang w:val="en-CA" w:eastAsia="en-CA"/>
              </w:rPr>
            </w:pPr>
            <w:r w:rsidRPr="00CE17E9">
              <w:rPr>
                <w:b/>
                <w:bCs/>
                <w:sz w:val="21"/>
                <w:szCs w:val="21"/>
                <w:lang w:val="en-CA" w:eastAsia="en-CA"/>
              </w:rPr>
              <w:t>Disbursed</w:t>
            </w:r>
          </w:p>
        </w:tc>
        <w:tc>
          <w:tcPr>
            <w:tcW w:w="131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09BB199A" w14:textId="77777777" w:rsidR="00A723BA" w:rsidRPr="00CE17E9" w:rsidRDefault="00A723BA" w:rsidP="00FB4800">
            <w:pPr>
              <w:jc w:val="center"/>
              <w:rPr>
                <w:b/>
                <w:bCs/>
                <w:sz w:val="21"/>
                <w:szCs w:val="21"/>
                <w:lang w:val="en-CA" w:eastAsia="en-CA"/>
              </w:rPr>
            </w:pPr>
            <w:r w:rsidRPr="00CE17E9">
              <w:rPr>
                <w:b/>
                <w:bCs/>
                <w:sz w:val="21"/>
                <w:szCs w:val="21"/>
                <w:lang w:val="en-CA" w:eastAsia="en-CA"/>
              </w:rPr>
              <w:t>Balance</w:t>
            </w:r>
          </w:p>
        </w:tc>
        <w:tc>
          <w:tcPr>
            <w:tcW w:w="131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69D1DF1E" w14:textId="77777777" w:rsidR="00A723BA" w:rsidRPr="00CE17E9" w:rsidRDefault="00A723BA" w:rsidP="00FB4800">
            <w:pPr>
              <w:jc w:val="center"/>
              <w:rPr>
                <w:b/>
                <w:bCs/>
                <w:sz w:val="21"/>
                <w:szCs w:val="21"/>
                <w:lang w:val="en-CA" w:eastAsia="en-CA"/>
              </w:rPr>
            </w:pPr>
            <w:r w:rsidRPr="00CE17E9">
              <w:rPr>
                <w:b/>
                <w:bCs/>
                <w:sz w:val="21"/>
                <w:szCs w:val="21"/>
                <w:lang w:val="en-CA" w:eastAsia="en-CA"/>
              </w:rPr>
              <w:t>% disbursed</w:t>
            </w:r>
          </w:p>
        </w:tc>
      </w:tr>
      <w:tr w:rsidR="00CE17E9" w:rsidRPr="00CE17E9" w14:paraId="0F49BB5C" w14:textId="77777777" w:rsidTr="000A7C0C">
        <w:tc>
          <w:tcPr>
            <w:tcW w:w="851"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6DD13DBB" w14:textId="77777777" w:rsidR="00A723BA" w:rsidRPr="00CE17E9" w:rsidRDefault="00A723BA" w:rsidP="00FB4800">
            <w:pPr>
              <w:jc w:val="left"/>
              <w:rPr>
                <w:sz w:val="21"/>
                <w:szCs w:val="21"/>
                <w:lang w:val="en-CA" w:eastAsia="en-CA"/>
              </w:rPr>
            </w:pPr>
            <w:r w:rsidRPr="00CE17E9">
              <w:rPr>
                <w:sz w:val="21"/>
                <w:szCs w:val="21"/>
                <w:lang w:val="en-CA" w:eastAsia="en-CA"/>
              </w:rPr>
              <w:t>1992</w:t>
            </w:r>
          </w:p>
        </w:tc>
        <w:tc>
          <w:tcPr>
            <w:tcW w:w="992"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0F3A3103" w14:textId="77777777" w:rsidR="00A723BA" w:rsidRPr="00CE17E9" w:rsidRDefault="00A723BA" w:rsidP="00FB4800">
            <w:pPr>
              <w:jc w:val="right"/>
              <w:rPr>
                <w:sz w:val="21"/>
                <w:szCs w:val="21"/>
                <w:lang w:val="en-CA" w:eastAsia="en-CA"/>
              </w:rPr>
            </w:pPr>
            <w:r w:rsidRPr="00CE17E9">
              <w:rPr>
                <w:sz w:val="21"/>
                <w:szCs w:val="21"/>
                <w:lang w:val="en-CA" w:eastAsia="en-CA"/>
              </w:rPr>
              <w:t>18</w:t>
            </w:r>
          </w:p>
        </w:tc>
        <w:tc>
          <w:tcPr>
            <w:tcW w:w="1134"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46770027" w14:textId="77777777" w:rsidR="00A723BA" w:rsidRPr="00CE17E9" w:rsidRDefault="00A723BA" w:rsidP="00FB4800">
            <w:pPr>
              <w:jc w:val="right"/>
              <w:rPr>
                <w:sz w:val="21"/>
                <w:szCs w:val="21"/>
                <w:lang w:val="en-CA" w:eastAsia="en-CA"/>
              </w:rPr>
            </w:pPr>
            <w:r w:rsidRPr="00CE17E9">
              <w:rPr>
                <w:sz w:val="21"/>
                <w:szCs w:val="21"/>
                <w:lang w:val="en-CA" w:eastAsia="en-CA"/>
              </w:rPr>
              <w:t>18</w:t>
            </w:r>
          </w:p>
        </w:tc>
        <w:tc>
          <w:tcPr>
            <w:tcW w:w="1134"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5E4DBD9F" w14:textId="77777777" w:rsidR="00A723BA" w:rsidRPr="00CE17E9" w:rsidRDefault="00A723BA" w:rsidP="00FB4800">
            <w:pPr>
              <w:jc w:val="right"/>
              <w:rPr>
                <w:sz w:val="21"/>
                <w:szCs w:val="21"/>
                <w:lang w:val="en-CA" w:eastAsia="en-CA"/>
              </w:rPr>
            </w:pPr>
            <w:r w:rsidRPr="00CE17E9">
              <w:rPr>
                <w:sz w:val="21"/>
                <w:szCs w:val="21"/>
                <w:lang w:val="en-CA" w:eastAsia="en-CA"/>
              </w:rPr>
              <w:t>100</w:t>
            </w:r>
          </w:p>
        </w:tc>
        <w:tc>
          <w:tcPr>
            <w:tcW w:w="1311"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6770545A" w14:textId="77777777" w:rsidR="00A723BA" w:rsidRPr="00CE17E9" w:rsidRDefault="00A723BA" w:rsidP="00FB4800">
            <w:pPr>
              <w:jc w:val="right"/>
              <w:rPr>
                <w:sz w:val="21"/>
                <w:szCs w:val="21"/>
                <w:lang w:val="en-CA" w:eastAsia="en-CA"/>
              </w:rPr>
            </w:pPr>
            <w:r w:rsidRPr="00CE17E9">
              <w:rPr>
                <w:sz w:val="21"/>
                <w:szCs w:val="21"/>
                <w:lang w:val="en-CA" w:eastAsia="en-CA"/>
              </w:rPr>
              <w:t>2,883,669</w:t>
            </w:r>
          </w:p>
        </w:tc>
        <w:tc>
          <w:tcPr>
            <w:tcW w:w="1311"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5B60E77F" w14:textId="77777777" w:rsidR="00A723BA" w:rsidRPr="00CE17E9" w:rsidRDefault="00A723BA" w:rsidP="00FB4800">
            <w:pPr>
              <w:jc w:val="right"/>
              <w:rPr>
                <w:sz w:val="21"/>
                <w:szCs w:val="21"/>
                <w:lang w:val="en-CA" w:eastAsia="en-CA"/>
              </w:rPr>
            </w:pPr>
            <w:r w:rsidRPr="00CE17E9">
              <w:rPr>
                <w:sz w:val="21"/>
                <w:szCs w:val="21"/>
                <w:lang w:val="en-CA" w:eastAsia="en-CA"/>
              </w:rPr>
              <w:t>2,883,669</w:t>
            </w:r>
          </w:p>
        </w:tc>
        <w:tc>
          <w:tcPr>
            <w:tcW w:w="1311"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2F9DD512" w14:textId="77777777" w:rsidR="00A723BA" w:rsidRPr="00CE17E9" w:rsidRDefault="00A723BA" w:rsidP="00FB4800">
            <w:pPr>
              <w:jc w:val="right"/>
              <w:rPr>
                <w:sz w:val="21"/>
                <w:szCs w:val="21"/>
                <w:lang w:val="en-CA" w:eastAsia="en-CA"/>
              </w:rPr>
            </w:pPr>
            <w:r w:rsidRPr="00CE17E9">
              <w:rPr>
                <w:sz w:val="21"/>
                <w:szCs w:val="21"/>
                <w:lang w:val="en-CA" w:eastAsia="en-CA"/>
              </w:rPr>
              <w:t>0</w:t>
            </w:r>
          </w:p>
        </w:tc>
        <w:tc>
          <w:tcPr>
            <w:tcW w:w="1312"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5503D686" w14:textId="77777777" w:rsidR="00A723BA" w:rsidRPr="00CE17E9" w:rsidRDefault="00A723BA" w:rsidP="00FB4800">
            <w:pPr>
              <w:jc w:val="right"/>
              <w:rPr>
                <w:sz w:val="21"/>
                <w:szCs w:val="21"/>
                <w:lang w:val="en-CA" w:eastAsia="en-CA"/>
              </w:rPr>
            </w:pPr>
            <w:r w:rsidRPr="00CE17E9">
              <w:rPr>
                <w:sz w:val="21"/>
                <w:szCs w:val="21"/>
                <w:lang w:val="en-CA" w:eastAsia="en-CA"/>
              </w:rPr>
              <w:t>100</w:t>
            </w:r>
          </w:p>
        </w:tc>
      </w:tr>
      <w:tr w:rsidR="00CE17E9" w:rsidRPr="00CE17E9" w14:paraId="09FDAFD4" w14:textId="77777777" w:rsidTr="000A7C0C">
        <w:tc>
          <w:tcPr>
            <w:tcW w:w="851"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1AA56262" w14:textId="77777777" w:rsidR="00A723BA" w:rsidRPr="00CE17E9" w:rsidRDefault="00A723BA" w:rsidP="00FB4800">
            <w:pPr>
              <w:jc w:val="left"/>
              <w:rPr>
                <w:sz w:val="21"/>
                <w:szCs w:val="21"/>
                <w:lang w:val="en-CA" w:eastAsia="en-CA"/>
              </w:rPr>
            </w:pPr>
            <w:r w:rsidRPr="00CE17E9">
              <w:rPr>
                <w:sz w:val="21"/>
                <w:szCs w:val="21"/>
                <w:lang w:val="en-CA" w:eastAsia="en-CA"/>
              </w:rPr>
              <w:t>1993</w:t>
            </w:r>
          </w:p>
        </w:tc>
        <w:tc>
          <w:tcPr>
            <w:tcW w:w="992"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55BC18A6" w14:textId="77777777" w:rsidR="00A723BA" w:rsidRPr="00CE17E9" w:rsidRDefault="00A723BA" w:rsidP="00FB4800">
            <w:pPr>
              <w:jc w:val="right"/>
              <w:rPr>
                <w:sz w:val="21"/>
                <w:szCs w:val="21"/>
                <w:lang w:val="en-CA" w:eastAsia="en-CA"/>
              </w:rPr>
            </w:pPr>
            <w:r w:rsidRPr="00CE17E9">
              <w:rPr>
                <w:sz w:val="21"/>
                <w:szCs w:val="21"/>
                <w:lang w:val="en-CA" w:eastAsia="en-CA"/>
              </w:rPr>
              <w:t>10</w:t>
            </w:r>
          </w:p>
        </w:tc>
        <w:tc>
          <w:tcPr>
            <w:tcW w:w="1134"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2C0A8A59" w14:textId="77777777" w:rsidR="00A723BA" w:rsidRPr="00CE17E9" w:rsidRDefault="00A723BA" w:rsidP="00FB4800">
            <w:pPr>
              <w:jc w:val="right"/>
              <w:rPr>
                <w:sz w:val="21"/>
                <w:szCs w:val="21"/>
                <w:lang w:val="en-CA" w:eastAsia="en-CA"/>
              </w:rPr>
            </w:pPr>
            <w:r w:rsidRPr="00CE17E9">
              <w:rPr>
                <w:sz w:val="21"/>
                <w:szCs w:val="21"/>
                <w:lang w:val="en-CA" w:eastAsia="en-CA"/>
              </w:rPr>
              <w:t>10</w:t>
            </w:r>
          </w:p>
        </w:tc>
        <w:tc>
          <w:tcPr>
            <w:tcW w:w="1134"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2B6A3D58" w14:textId="77777777" w:rsidR="00A723BA" w:rsidRPr="00CE17E9" w:rsidRDefault="00A723BA" w:rsidP="00FB4800">
            <w:pPr>
              <w:jc w:val="right"/>
              <w:rPr>
                <w:sz w:val="21"/>
                <w:szCs w:val="21"/>
                <w:lang w:val="en-CA" w:eastAsia="en-CA"/>
              </w:rPr>
            </w:pPr>
            <w:r w:rsidRPr="00CE17E9">
              <w:rPr>
                <w:sz w:val="21"/>
                <w:szCs w:val="21"/>
                <w:lang w:val="en-CA" w:eastAsia="en-CA"/>
              </w:rPr>
              <w:t>100</w:t>
            </w:r>
          </w:p>
        </w:tc>
        <w:tc>
          <w:tcPr>
            <w:tcW w:w="1311"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25C0179C" w14:textId="77777777" w:rsidR="00A723BA" w:rsidRPr="00CE17E9" w:rsidRDefault="00A723BA" w:rsidP="00FB4800">
            <w:pPr>
              <w:jc w:val="right"/>
              <w:rPr>
                <w:sz w:val="21"/>
                <w:szCs w:val="21"/>
                <w:lang w:val="en-CA" w:eastAsia="en-CA"/>
              </w:rPr>
            </w:pPr>
            <w:r w:rsidRPr="00CE17E9">
              <w:rPr>
                <w:sz w:val="21"/>
                <w:szCs w:val="21"/>
                <w:lang w:val="en-CA" w:eastAsia="en-CA"/>
              </w:rPr>
              <w:t>1,445,586</w:t>
            </w:r>
          </w:p>
        </w:tc>
        <w:tc>
          <w:tcPr>
            <w:tcW w:w="1311"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55568FD1" w14:textId="77777777" w:rsidR="00A723BA" w:rsidRPr="00CE17E9" w:rsidRDefault="00A723BA" w:rsidP="00FB4800">
            <w:pPr>
              <w:jc w:val="right"/>
              <w:rPr>
                <w:sz w:val="21"/>
                <w:szCs w:val="21"/>
                <w:lang w:val="en-CA" w:eastAsia="en-CA"/>
              </w:rPr>
            </w:pPr>
            <w:r w:rsidRPr="00CE17E9">
              <w:rPr>
                <w:sz w:val="21"/>
                <w:szCs w:val="21"/>
                <w:lang w:val="en-CA" w:eastAsia="en-CA"/>
              </w:rPr>
              <w:t>1,445,586</w:t>
            </w:r>
          </w:p>
        </w:tc>
        <w:tc>
          <w:tcPr>
            <w:tcW w:w="1311"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74D81E16" w14:textId="77777777" w:rsidR="00A723BA" w:rsidRPr="00CE17E9" w:rsidRDefault="00A723BA" w:rsidP="00FB4800">
            <w:pPr>
              <w:jc w:val="right"/>
              <w:rPr>
                <w:sz w:val="21"/>
                <w:szCs w:val="21"/>
                <w:lang w:val="en-CA" w:eastAsia="en-CA"/>
              </w:rPr>
            </w:pPr>
            <w:r w:rsidRPr="00CE17E9">
              <w:rPr>
                <w:sz w:val="21"/>
                <w:szCs w:val="21"/>
                <w:lang w:val="en-CA" w:eastAsia="en-CA"/>
              </w:rPr>
              <w:t>0</w:t>
            </w:r>
          </w:p>
        </w:tc>
        <w:tc>
          <w:tcPr>
            <w:tcW w:w="1312"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2207380B" w14:textId="77777777" w:rsidR="00A723BA" w:rsidRPr="00CE17E9" w:rsidRDefault="00A723BA" w:rsidP="00FB4800">
            <w:pPr>
              <w:jc w:val="right"/>
              <w:rPr>
                <w:sz w:val="21"/>
                <w:szCs w:val="21"/>
                <w:lang w:val="en-CA" w:eastAsia="en-CA"/>
              </w:rPr>
            </w:pPr>
            <w:r w:rsidRPr="00CE17E9">
              <w:rPr>
                <w:sz w:val="21"/>
                <w:szCs w:val="21"/>
                <w:lang w:val="en-CA" w:eastAsia="en-CA"/>
              </w:rPr>
              <w:t>100</w:t>
            </w:r>
          </w:p>
        </w:tc>
      </w:tr>
      <w:tr w:rsidR="00CE17E9" w:rsidRPr="00CE17E9" w14:paraId="476D424C" w14:textId="77777777" w:rsidTr="000A7C0C">
        <w:tc>
          <w:tcPr>
            <w:tcW w:w="851"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644F0379" w14:textId="77777777" w:rsidR="00A723BA" w:rsidRPr="00CE17E9" w:rsidRDefault="00A723BA" w:rsidP="00FB4800">
            <w:pPr>
              <w:jc w:val="left"/>
              <w:rPr>
                <w:sz w:val="21"/>
                <w:szCs w:val="21"/>
                <w:lang w:val="en-CA" w:eastAsia="en-CA"/>
              </w:rPr>
            </w:pPr>
            <w:r w:rsidRPr="00CE17E9">
              <w:rPr>
                <w:sz w:val="21"/>
                <w:szCs w:val="21"/>
                <w:lang w:val="en-CA" w:eastAsia="en-CA"/>
              </w:rPr>
              <w:t>1994</w:t>
            </w:r>
          </w:p>
        </w:tc>
        <w:tc>
          <w:tcPr>
            <w:tcW w:w="992"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46452048" w14:textId="77777777" w:rsidR="00A723BA" w:rsidRPr="00CE17E9" w:rsidRDefault="00A723BA" w:rsidP="00FB4800">
            <w:pPr>
              <w:jc w:val="right"/>
              <w:rPr>
                <w:sz w:val="21"/>
                <w:szCs w:val="21"/>
                <w:lang w:val="en-CA" w:eastAsia="en-CA"/>
              </w:rPr>
            </w:pPr>
            <w:r w:rsidRPr="00CE17E9">
              <w:rPr>
                <w:sz w:val="21"/>
                <w:szCs w:val="21"/>
                <w:lang w:val="en-CA" w:eastAsia="en-CA"/>
              </w:rPr>
              <w:t>30</w:t>
            </w:r>
          </w:p>
        </w:tc>
        <w:tc>
          <w:tcPr>
            <w:tcW w:w="1134"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64F45680" w14:textId="77777777" w:rsidR="00A723BA" w:rsidRPr="00CE17E9" w:rsidRDefault="00A723BA" w:rsidP="00FB4800">
            <w:pPr>
              <w:jc w:val="right"/>
              <w:rPr>
                <w:sz w:val="21"/>
                <w:szCs w:val="21"/>
                <w:lang w:val="en-CA" w:eastAsia="en-CA"/>
              </w:rPr>
            </w:pPr>
            <w:r w:rsidRPr="00CE17E9">
              <w:rPr>
                <w:sz w:val="21"/>
                <w:szCs w:val="21"/>
                <w:lang w:val="en-CA" w:eastAsia="en-CA"/>
              </w:rPr>
              <w:t>30</w:t>
            </w:r>
          </w:p>
        </w:tc>
        <w:tc>
          <w:tcPr>
            <w:tcW w:w="1134"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0CA75F5E" w14:textId="77777777" w:rsidR="00A723BA" w:rsidRPr="00CE17E9" w:rsidRDefault="00A723BA" w:rsidP="00FB4800">
            <w:pPr>
              <w:jc w:val="right"/>
              <w:rPr>
                <w:sz w:val="21"/>
                <w:szCs w:val="21"/>
                <w:lang w:val="en-CA" w:eastAsia="en-CA"/>
              </w:rPr>
            </w:pPr>
            <w:r w:rsidRPr="00CE17E9">
              <w:rPr>
                <w:sz w:val="21"/>
                <w:szCs w:val="21"/>
                <w:lang w:val="en-CA" w:eastAsia="en-CA"/>
              </w:rPr>
              <w:t>100</w:t>
            </w:r>
          </w:p>
        </w:tc>
        <w:tc>
          <w:tcPr>
            <w:tcW w:w="1311"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0C025E16" w14:textId="77777777" w:rsidR="00A723BA" w:rsidRPr="00CE17E9" w:rsidRDefault="00A723BA" w:rsidP="00FB4800">
            <w:pPr>
              <w:jc w:val="right"/>
              <w:rPr>
                <w:sz w:val="21"/>
                <w:szCs w:val="21"/>
                <w:lang w:val="en-CA" w:eastAsia="en-CA"/>
              </w:rPr>
            </w:pPr>
            <w:r w:rsidRPr="00CE17E9">
              <w:rPr>
                <w:sz w:val="21"/>
                <w:szCs w:val="21"/>
                <w:lang w:val="en-CA" w:eastAsia="en-CA"/>
              </w:rPr>
              <w:t>3,190,374</w:t>
            </w:r>
          </w:p>
        </w:tc>
        <w:tc>
          <w:tcPr>
            <w:tcW w:w="1311"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51E029AA" w14:textId="77777777" w:rsidR="00A723BA" w:rsidRPr="00CE17E9" w:rsidRDefault="00A723BA" w:rsidP="00FB4800">
            <w:pPr>
              <w:jc w:val="right"/>
              <w:rPr>
                <w:sz w:val="21"/>
                <w:szCs w:val="21"/>
                <w:lang w:val="en-CA" w:eastAsia="en-CA"/>
              </w:rPr>
            </w:pPr>
            <w:r w:rsidRPr="00CE17E9">
              <w:rPr>
                <w:sz w:val="21"/>
                <w:szCs w:val="21"/>
                <w:lang w:val="en-CA" w:eastAsia="en-CA"/>
              </w:rPr>
              <w:t>3,190,374</w:t>
            </w:r>
          </w:p>
        </w:tc>
        <w:tc>
          <w:tcPr>
            <w:tcW w:w="1311"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1FAB3707" w14:textId="77777777" w:rsidR="00A723BA" w:rsidRPr="00CE17E9" w:rsidRDefault="00A723BA" w:rsidP="00FB4800">
            <w:pPr>
              <w:jc w:val="right"/>
              <w:rPr>
                <w:sz w:val="21"/>
                <w:szCs w:val="21"/>
                <w:lang w:val="en-CA" w:eastAsia="en-CA"/>
              </w:rPr>
            </w:pPr>
            <w:r w:rsidRPr="00CE17E9">
              <w:rPr>
                <w:sz w:val="21"/>
                <w:szCs w:val="21"/>
                <w:lang w:val="en-CA" w:eastAsia="en-CA"/>
              </w:rPr>
              <w:t>0</w:t>
            </w:r>
          </w:p>
        </w:tc>
        <w:tc>
          <w:tcPr>
            <w:tcW w:w="1312"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066AB9F9" w14:textId="77777777" w:rsidR="00A723BA" w:rsidRPr="00CE17E9" w:rsidRDefault="00A723BA" w:rsidP="00FB4800">
            <w:pPr>
              <w:jc w:val="right"/>
              <w:rPr>
                <w:sz w:val="21"/>
                <w:szCs w:val="21"/>
                <w:lang w:val="en-CA" w:eastAsia="en-CA"/>
              </w:rPr>
            </w:pPr>
            <w:r w:rsidRPr="00CE17E9">
              <w:rPr>
                <w:sz w:val="21"/>
                <w:szCs w:val="21"/>
                <w:lang w:val="en-CA" w:eastAsia="en-CA"/>
              </w:rPr>
              <w:t>100</w:t>
            </w:r>
          </w:p>
        </w:tc>
      </w:tr>
      <w:tr w:rsidR="00CE17E9" w:rsidRPr="00CE17E9" w14:paraId="23A5B496" w14:textId="77777777" w:rsidTr="000A7C0C">
        <w:tc>
          <w:tcPr>
            <w:tcW w:w="851"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45954A55" w14:textId="77777777" w:rsidR="00A723BA" w:rsidRPr="00CE17E9" w:rsidRDefault="00A723BA" w:rsidP="00FB4800">
            <w:pPr>
              <w:jc w:val="left"/>
              <w:rPr>
                <w:sz w:val="21"/>
                <w:szCs w:val="21"/>
                <w:lang w:val="en-CA" w:eastAsia="en-CA"/>
              </w:rPr>
            </w:pPr>
            <w:r w:rsidRPr="00CE17E9">
              <w:rPr>
                <w:sz w:val="21"/>
                <w:szCs w:val="21"/>
                <w:lang w:val="en-CA" w:eastAsia="en-CA"/>
              </w:rPr>
              <w:t>1995</w:t>
            </w:r>
          </w:p>
        </w:tc>
        <w:tc>
          <w:tcPr>
            <w:tcW w:w="992"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0B5167DD" w14:textId="77777777" w:rsidR="00A723BA" w:rsidRPr="00CE17E9" w:rsidRDefault="00A723BA" w:rsidP="00FB4800">
            <w:pPr>
              <w:jc w:val="right"/>
              <w:rPr>
                <w:sz w:val="21"/>
                <w:szCs w:val="21"/>
                <w:lang w:val="en-CA" w:eastAsia="en-CA"/>
              </w:rPr>
            </w:pPr>
            <w:r w:rsidRPr="00CE17E9">
              <w:rPr>
                <w:sz w:val="21"/>
                <w:szCs w:val="21"/>
                <w:lang w:val="en-CA" w:eastAsia="en-CA"/>
              </w:rPr>
              <w:t>17</w:t>
            </w:r>
          </w:p>
        </w:tc>
        <w:tc>
          <w:tcPr>
            <w:tcW w:w="1134"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4D0A399D" w14:textId="77777777" w:rsidR="00A723BA" w:rsidRPr="00CE17E9" w:rsidRDefault="00A723BA" w:rsidP="00FB4800">
            <w:pPr>
              <w:jc w:val="right"/>
              <w:rPr>
                <w:sz w:val="21"/>
                <w:szCs w:val="21"/>
                <w:lang w:val="en-CA" w:eastAsia="en-CA"/>
              </w:rPr>
            </w:pPr>
            <w:r w:rsidRPr="00CE17E9">
              <w:rPr>
                <w:sz w:val="21"/>
                <w:szCs w:val="21"/>
                <w:lang w:val="en-CA" w:eastAsia="en-CA"/>
              </w:rPr>
              <w:t>17</w:t>
            </w:r>
          </w:p>
        </w:tc>
        <w:tc>
          <w:tcPr>
            <w:tcW w:w="1134"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1C511BF2" w14:textId="77777777" w:rsidR="00A723BA" w:rsidRPr="00CE17E9" w:rsidRDefault="00A723BA" w:rsidP="00FB4800">
            <w:pPr>
              <w:jc w:val="right"/>
              <w:rPr>
                <w:sz w:val="21"/>
                <w:szCs w:val="21"/>
                <w:lang w:val="en-CA" w:eastAsia="en-CA"/>
              </w:rPr>
            </w:pPr>
            <w:r w:rsidRPr="00CE17E9">
              <w:rPr>
                <w:sz w:val="21"/>
                <w:szCs w:val="21"/>
                <w:lang w:val="en-CA" w:eastAsia="en-CA"/>
              </w:rPr>
              <w:t>100</w:t>
            </w:r>
          </w:p>
        </w:tc>
        <w:tc>
          <w:tcPr>
            <w:tcW w:w="1311"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6EA9D992" w14:textId="77777777" w:rsidR="00A723BA" w:rsidRPr="00CE17E9" w:rsidRDefault="00A723BA" w:rsidP="00FB4800">
            <w:pPr>
              <w:jc w:val="right"/>
              <w:rPr>
                <w:sz w:val="21"/>
                <w:szCs w:val="21"/>
                <w:lang w:val="en-CA" w:eastAsia="en-CA"/>
              </w:rPr>
            </w:pPr>
            <w:r w:rsidRPr="00CE17E9">
              <w:rPr>
                <w:sz w:val="21"/>
                <w:szCs w:val="21"/>
                <w:lang w:val="en-CA" w:eastAsia="en-CA"/>
              </w:rPr>
              <w:t>4,654,902</w:t>
            </w:r>
          </w:p>
        </w:tc>
        <w:tc>
          <w:tcPr>
            <w:tcW w:w="1311"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050C9AE5" w14:textId="77777777" w:rsidR="00A723BA" w:rsidRPr="00CE17E9" w:rsidRDefault="00A723BA" w:rsidP="00FB4800">
            <w:pPr>
              <w:jc w:val="right"/>
              <w:rPr>
                <w:sz w:val="21"/>
                <w:szCs w:val="21"/>
                <w:lang w:val="en-CA" w:eastAsia="en-CA"/>
              </w:rPr>
            </w:pPr>
            <w:r w:rsidRPr="00CE17E9">
              <w:rPr>
                <w:sz w:val="21"/>
                <w:szCs w:val="21"/>
                <w:lang w:val="en-CA" w:eastAsia="en-CA"/>
              </w:rPr>
              <w:t>4,654,902</w:t>
            </w:r>
          </w:p>
        </w:tc>
        <w:tc>
          <w:tcPr>
            <w:tcW w:w="1311"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4F9F098C" w14:textId="77777777" w:rsidR="00A723BA" w:rsidRPr="00CE17E9" w:rsidRDefault="00A723BA" w:rsidP="00FB4800">
            <w:pPr>
              <w:jc w:val="right"/>
              <w:rPr>
                <w:sz w:val="21"/>
                <w:szCs w:val="21"/>
                <w:lang w:val="en-CA" w:eastAsia="en-CA"/>
              </w:rPr>
            </w:pPr>
            <w:r w:rsidRPr="00CE17E9">
              <w:rPr>
                <w:sz w:val="21"/>
                <w:szCs w:val="21"/>
                <w:lang w:val="en-CA" w:eastAsia="en-CA"/>
              </w:rPr>
              <w:t>0</w:t>
            </w:r>
          </w:p>
        </w:tc>
        <w:tc>
          <w:tcPr>
            <w:tcW w:w="1312"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233E2F34" w14:textId="77777777" w:rsidR="00A723BA" w:rsidRPr="00CE17E9" w:rsidRDefault="00A723BA" w:rsidP="00FB4800">
            <w:pPr>
              <w:jc w:val="right"/>
              <w:rPr>
                <w:sz w:val="21"/>
                <w:szCs w:val="21"/>
                <w:lang w:val="en-CA" w:eastAsia="en-CA"/>
              </w:rPr>
            </w:pPr>
            <w:r w:rsidRPr="00CE17E9">
              <w:rPr>
                <w:sz w:val="21"/>
                <w:szCs w:val="21"/>
                <w:lang w:val="en-CA" w:eastAsia="en-CA"/>
              </w:rPr>
              <w:t>100</w:t>
            </w:r>
          </w:p>
        </w:tc>
      </w:tr>
      <w:tr w:rsidR="00CE17E9" w:rsidRPr="00CE17E9" w14:paraId="6D598704" w14:textId="77777777" w:rsidTr="000A7C0C">
        <w:tc>
          <w:tcPr>
            <w:tcW w:w="851"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270D980A" w14:textId="77777777" w:rsidR="00A723BA" w:rsidRPr="00CE17E9" w:rsidRDefault="00A723BA" w:rsidP="00FB4800">
            <w:pPr>
              <w:jc w:val="left"/>
              <w:rPr>
                <w:sz w:val="21"/>
                <w:szCs w:val="21"/>
                <w:lang w:val="en-CA" w:eastAsia="en-CA"/>
              </w:rPr>
            </w:pPr>
            <w:r w:rsidRPr="00CE17E9">
              <w:rPr>
                <w:sz w:val="21"/>
                <w:szCs w:val="21"/>
                <w:lang w:val="en-CA" w:eastAsia="en-CA"/>
              </w:rPr>
              <w:t>1996</w:t>
            </w:r>
          </w:p>
        </w:tc>
        <w:tc>
          <w:tcPr>
            <w:tcW w:w="992"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4F8E7E4A" w14:textId="77777777" w:rsidR="00A723BA" w:rsidRPr="00CE17E9" w:rsidRDefault="00A723BA" w:rsidP="00FB4800">
            <w:pPr>
              <w:jc w:val="right"/>
              <w:rPr>
                <w:sz w:val="21"/>
                <w:szCs w:val="21"/>
                <w:lang w:val="en-CA" w:eastAsia="en-CA"/>
              </w:rPr>
            </w:pPr>
            <w:r w:rsidRPr="00CE17E9">
              <w:rPr>
                <w:sz w:val="21"/>
                <w:szCs w:val="21"/>
                <w:lang w:val="en-CA" w:eastAsia="en-CA"/>
              </w:rPr>
              <w:t>26</w:t>
            </w:r>
          </w:p>
        </w:tc>
        <w:tc>
          <w:tcPr>
            <w:tcW w:w="1134"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288FC1BD" w14:textId="77777777" w:rsidR="00A723BA" w:rsidRPr="00CE17E9" w:rsidRDefault="00A723BA" w:rsidP="00FB4800">
            <w:pPr>
              <w:jc w:val="right"/>
              <w:rPr>
                <w:sz w:val="21"/>
                <w:szCs w:val="21"/>
                <w:lang w:val="en-CA" w:eastAsia="en-CA"/>
              </w:rPr>
            </w:pPr>
            <w:r w:rsidRPr="00CE17E9">
              <w:rPr>
                <w:sz w:val="21"/>
                <w:szCs w:val="21"/>
                <w:lang w:val="en-CA" w:eastAsia="en-CA"/>
              </w:rPr>
              <w:t>26</w:t>
            </w:r>
          </w:p>
        </w:tc>
        <w:tc>
          <w:tcPr>
            <w:tcW w:w="1134"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2E0835DF" w14:textId="77777777" w:rsidR="00A723BA" w:rsidRPr="00CE17E9" w:rsidRDefault="00A723BA" w:rsidP="00FB4800">
            <w:pPr>
              <w:jc w:val="right"/>
              <w:rPr>
                <w:sz w:val="21"/>
                <w:szCs w:val="21"/>
                <w:lang w:val="en-CA" w:eastAsia="en-CA"/>
              </w:rPr>
            </w:pPr>
            <w:r w:rsidRPr="00CE17E9">
              <w:rPr>
                <w:sz w:val="21"/>
                <w:szCs w:val="21"/>
                <w:lang w:val="en-CA" w:eastAsia="en-CA"/>
              </w:rPr>
              <w:t>100</w:t>
            </w:r>
          </w:p>
        </w:tc>
        <w:tc>
          <w:tcPr>
            <w:tcW w:w="1311"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0C07670F" w14:textId="77777777" w:rsidR="00A723BA" w:rsidRPr="00CE17E9" w:rsidRDefault="00A723BA" w:rsidP="00FB4800">
            <w:pPr>
              <w:jc w:val="right"/>
              <w:rPr>
                <w:sz w:val="21"/>
                <w:szCs w:val="21"/>
                <w:lang w:val="en-CA" w:eastAsia="en-CA"/>
              </w:rPr>
            </w:pPr>
            <w:r w:rsidRPr="00CE17E9">
              <w:rPr>
                <w:sz w:val="21"/>
                <w:szCs w:val="21"/>
                <w:lang w:val="en-CA" w:eastAsia="en-CA"/>
              </w:rPr>
              <w:t>3,468,211</w:t>
            </w:r>
          </w:p>
        </w:tc>
        <w:tc>
          <w:tcPr>
            <w:tcW w:w="1311"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13096306" w14:textId="77777777" w:rsidR="00A723BA" w:rsidRPr="00CE17E9" w:rsidRDefault="00A723BA" w:rsidP="00FB4800">
            <w:pPr>
              <w:jc w:val="right"/>
              <w:rPr>
                <w:sz w:val="21"/>
                <w:szCs w:val="21"/>
                <w:lang w:val="en-CA" w:eastAsia="en-CA"/>
              </w:rPr>
            </w:pPr>
            <w:r w:rsidRPr="00CE17E9">
              <w:rPr>
                <w:sz w:val="21"/>
                <w:szCs w:val="21"/>
                <w:lang w:val="en-CA" w:eastAsia="en-CA"/>
              </w:rPr>
              <w:t>3,468,211</w:t>
            </w:r>
          </w:p>
        </w:tc>
        <w:tc>
          <w:tcPr>
            <w:tcW w:w="1311"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6A2895F9" w14:textId="77777777" w:rsidR="00A723BA" w:rsidRPr="00CE17E9" w:rsidRDefault="00A723BA" w:rsidP="00FB4800">
            <w:pPr>
              <w:jc w:val="right"/>
              <w:rPr>
                <w:sz w:val="21"/>
                <w:szCs w:val="21"/>
                <w:lang w:val="en-CA" w:eastAsia="en-CA"/>
              </w:rPr>
            </w:pPr>
            <w:r w:rsidRPr="00CE17E9">
              <w:rPr>
                <w:sz w:val="21"/>
                <w:szCs w:val="21"/>
                <w:lang w:val="en-CA" w:eastAsia="en-CA"/>
              </w:rPr>
              <w:t>0</w:t>
            </w:r>
          </w:p>
        </w:tc>
        <w:tc>
          <w:tcPr>
            <w:tcW w:w="1312"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320E6586" w14:textId="77777777" w:rsidR="00A723BA" w:rsidRPr="00CE17E9" w:rsidRDefault="00A723BA" w:rsidP="00FB4800">
            <w:pPr>
              <w:jc w:val="right"/>
              <w:rPr>
                <w:sz w:val="21"/>
                <w:szCs w:val="21"/>
                <w:lang w:val="en-CA" w:eastAsia="en-CA"/>
              </w:rPr>
            </w:pPr>
            <w:r w:rsidRPr="00CE17E9">
              <w:rPr>
                <w:sz w:val="21"/>
                <w:szCs w:val="21"/>
                <w:lang w:val="en-CA" w:eastAsia="en-CA"/>
              </w:rPr>
              <w:t>100</w:t>
            </w:r>
          </w:p>
        </w:tc>
      </w:tr>
      <w:tr w:rsidR="00CE17E9" w:rsidRPr="00CE17E9" w14:paraId="68FD8573" w14:textId="77777777" w:rsidTr="000A7C0C">
        <w:tc>
          <w:tcPr>
            <w:tcW w:w="851"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1E9D8D48" w14:textId="77777777" w:rsidR="00A723BA" w:rsidRPr="00CE17E9" w:rsidRDefault="00A723BA" w:rsidP="00FB4800">
            <w:pPr>
              <w:jc w:val="left"/>
              <w:rPr>
                <w:sz w:val="21"/>
                <w:szCs w:val="21"/>
                <w:lang w:val="en-CA" w:eastAsia="en-CA"/>
              </w:rPr>
            </w:pPr>
            <w:r w:rsidRPr="00CE17E9">
              <w:rPr>
                <w:sz w:val="21"/>
                <w:szCs w:val="21"/>
                <w:lang w:val="en-CA" w:eastAsia="en-CA"/>
              </w:rPr>
              <w:t>1997</w:t>
            </w:r>
          </w:p>
        </w:tc>
        <w:tc>
          <w:tcPr>
            <w:tcW w:w="992"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1D41BB21" w14:textId="77777777" w:rsidR="00A723BA" w:rsidRPr="00CE17E9" w:rsidRDefault="00A723BA" w:rsidP="00FB4800">
            <w:pPr>
              <w:jc w:val="right"/>
              <w:rPr>
                <w:sz w:val="21"/>
                <w:szCs w:val="21"/>
                <w:lang w:val="en-CA" w:eastAsia="en-CA"/>
              </w:rPr>
            </w:pPr>
            <w:r w:rsidRPr="00CE17E9">
              <w:rPr>
                <w:sz w:val="21"/>
                <w:szCs w:val="21"/>
                <w:lang w:val="en-CA" w:eastAsia="en-CA"/>
              </w:rPr>
              <w:t>32</w:t>
            </w:r>
          </w:p>
        </w:tc>
        <w:tc>
          <w:tcPr>
            <w:tcW w:w="1134"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7DB4AEC3" w14:textId="77777777" w:rsidR="00A723BA" w:rsidRPr="00CE17E9" w:rsidRDefault="00A723BA" w:rsidP="00FB4800">
            <w:pPr>
              <w:jc w:val="right"/>
              <w:rPr>
                <w:sz w:val="21"/>
                <w:szCs w:val="21"/>
                <w:lang w:val="en-CA" w:eastAsia="en-CA"/>
              </w:rPr>
            </w:pPr>
            <w:r w:rsidRPr="00CE17E9">
              <w:rPr>
                <w:sz w:val="21"/>
                <w:szCs w:val="21"/>
                <w:lang w:val="en-CA" w:eastAsia="en-CA"/>
              </w:rPr>
              <w:t>32</w:t>
            </w:r>
          </w:p>
        </w:tc>
        <w:tc>
          <w:tcPr>
            <w:tcW w:w="1134"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17A15D83" w14:textId="77777777" w:rsidR="00A723BA" w:rsidRPr="00CE17E9" w:rsidRDefault="00A723BA" w:rsidP="00FB4800">
            <w:pPr>
              <w:jc w:val="right"/>
              <w:rPr>
                <w:sz w:val="21"/>
                <w:szCs w:val="21"/>
                <w:lang w:val="en-CA" w:eastAsia="en-CA"/>
              </w:rPr>
            </w:pPr>
            <w:r w:rsidRPr="00CE17E9">
              <w:rPr>
                <w:sz w:val="21"/>
                <w:szCs w:val="21"/>
                <w:lang w:val="en-CA" w:eastAsia="en-CA"/>
              </w:rPr>
              <w:t>100</w:t>
            </w:r>
          </w:p>
        </w:tc>
        <w:tc>
          <w:tcPr>
            <w:tcW w:w="1311"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248D2902" w14:textId="77777777" w:rsidR="00A723BA" w:rsidRPr="00CE17E9" w:rsidRDefault="00A723BA" w:rsidP="00FB4800">
            <w:pPr>
              <w:jc w:val="right"/>
              <w:rPr>
                <w:sz w:val="21"/>
                <w:szCs w:val="21"/>
                <w:lang w:val="en-CA" w:eastAsia="en-CA"/>
              </w:rPr>
            </w:pPr>
            <w:r w:rsidRPr="00CE17E9">
              <w:rPr>
                <w:sz w:val="21"/>
                <w:szCs w:val="21"/>
                <w:lang w:val="en-CA" w:eastAsia="en-CA"/>
              </w:rPr>
              <w:t>4,040,251</w:t>
            </w:r>
          </w:p>
        </w:tc>
        <w:tc>
          <w:tcPr>
            <w:tcW w:w="1311"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566AF0F7" w14:textId="77777777" w:rsidR="00A723BA" w:rsidRPr="00CE17E9" w:rsidRDefault="00A723BA" w:rsidP="00FB4800">
            <w:pPr>
              <w:jc w:val="right"/>
              <w:rPr>
                <w:sz w:val="21"/>
                <w:szCs w:val="21"/>
                <w:lang w:val="en-CA" w:eastAsia="en-CA"/>
              </w:rPr>
            </w:pPr>
            <w:r w:rsidRPr="00CE17E9">
              <w:rPr>
                <w:sz w:val="21"/>
                <w:szCs w:val="21"/>
                <w:lang w:val="en-CA" w:eastAsia="en-CA"/>
              </w:rPr>
              <w:t>4,040,251</w:t>
            </w:r>
          </w:p>
        </w:tc>
        <w:tc>
          <w:tcPr>
            <w:tcW w:w="1311"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5FAB1942" w14:textId="77777777" w:rsidR="00A723BA" w:rsidRPr="00CE17E9" w:rsidRDefault="00A723BA" w:rsidP="00FB4800">
            <w:pPr>
              <w:jc w:val="right"/>
              <w:rPr>
                <w:sz w:val="21"/>
                <w:szCs w:val="21"/>
                <w:lang w:val="en-CA" w:eastAsia="en-CA"/>
              </w:rPr>
            </w:pPr>
            <w:r w:rsidRPr="00CE17E9">
              <w:rPr>
                <w:sz w:val="21"/>
                <w:szCs w:val="21"/>
                <w:lang w:val="en-CA" w:eastAsia="en-CA"/>
              </w:rPr>
              <w:t>0</w:t>
            </w:r>
          </w:p>
        </w:tc>
        <w:tc>
          <w:tcPr>
            <w:tcW w:w="1312"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41F4D789" w14:textId="77777777" w:rsidR="00A723BA" w:rsidRPr="00CE17E9" w:rsidRDefault="00A723BA" w:rsidP="00FB4800">
            <w:pPr>
              <w:jc w:val="right"/>
              <w:rPr>
                <w:sz w:val="21"/>
                <w:szCs w:val="21"/>
                <w:lang w:val="en-CA" w:eastAsia="en-CA"/>
              </w:rPr>
            </w:pPr>
            <w:r w:rsidRPr="00CE17E9">
              <w:rPr>
                <w:sz w:val="21"/>
                <w:szCs w:val="21"/>
                <w:lang w:val="en-CA" w:eastAsia="en-CA"/>
              </w:rPr>
              <w:t>100</w:t>
            </w:r>
          </w:p>
        </w:tc>
      </w:tr>
      <w:tr w:rsidR="00CE17E9" w:rsidRPr="00CE17E9" w14:paraId="0D85E452" w14:textId="77777777" w:rsidTr="000A7C0C">
        <w:tc>
          <w:tcPr>
            <w:tcW w:w="851"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60F56F15" w14:textId="77777777" w:rsidR="00A723BA" w:rsidRPr="00CE17E9" w:rsidRDefault="00A723BA" w:rsidP="00FB4800">
            <w:pPr>
              <w:jc w:val="left"/>
              <w:rPr>
                <w:sz w:val="21"/>
                <w:szCs w:val="21"/>
                <w:lang w:val="en-CA" w:eastAsia="en-CA"/>
              </w:rPr>
            </w:pPr>
            <w:r w:rsidRPr="00CE17E9">
              <w:rPr>
                <w:sz w:val="21"/>
                <w:szCs w:val="21"/>
                <w:lang w:val="en-CA" w:eastAsia="en-CA"/>
              </w:rPr>
              <w:t>1998</w:t>
            </w:r>
          </w:p>
        </w:tc>
        <w:tc>
          <w:tcPr>
            <w:tcW w:w="992"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42B35E75" w14:textId="77777777" w:rsidR="00A723BA" w:rsidRPr="00CE17E9" w:rsidRDefault="00A723BA" w:rsidP="00FB4800">
            <w:pPr>
              <w:jc w:val="right"/>
              <w:rPr>
                <w:sz w:val="21"/>
                <w:szCs w:val="21"/>
                <w:lang w:val="en-CA" w:eastAsia="en-CA"/>
              </w:rPr>
            </w:pPr>
            <w:r w:rsidRPr="00CE17E9">
              <w:rPr>
                <w:sz w:val="21"/>
                <w:szCs w:val="21"/>
                <w:lang w:val="en-CA" w:eastAsia="en-CA"/>
              </w:rPr>
              <w:t>39</w:t>
            </w:r>
          </w:p>
        </w:tc>
        <w:tc>
          <w:tcPr>
            <w:tcW w:w="1134"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763B8292" w14:textId="77777777" w:rsidR="00A723BA" w:rsidRPr="00CE17E9" w:rsidRDefault="00A723BA" w:rsidP="00FB4800">
            <w:pPr>
              <w:jc w:val="right"/>
              <w:rPr>
                <w:sz w:val="21"/>
                <w:szCs w:val="21"/>
                <w:lang w:val="en-CA" w:eastAsia="en-CA"/>
              </w:rPr>
            </w:pPr>
            <w:r w:rsidRPr="00CE17E9">
              <w:rPr>
                <w:sz w:val="21"/>
                <w:szCs w:val="21"/>
                <w:lang w:val="en-CA" w:eastAsia="en-CA"/>
              </w:rPr>
              <w:t>39</w:t>
            </w:r>
          </w:p>
        </w:tc>
        <w:tc>
          <w:tcPr>
            <w:tcW w:w="1134"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640D1399" w14:textId="77777777" w:rsidR="00A723BA" w:rsidRPr="00CE17E9" w:rsidRDefault="00A723BA" w:rsidP="00FB4800">
            <w:pPr>
              <w:jc w:val="right"/>
              <w:rPr>
                <w:sz w:val="21"/>
                <w:szCs w:val="21"/>
                <w:lang w:val="en-CA" w:eastAsia="en-CA"/>
              </w:rPr>
            </w:pPr>
            <w:r w:rsidRPr="00CE17E9">
              <w:rPr>
                <w:sz w:val="21"/>
                <w:szCs w:val="21"/>
                <w:lang w:val="en-CA" w:eastAsia="en-CA"/>
              </w:rPr>
              <w:t>100</w:t>
            </w:r>
          </w:p>
        </w:tc>
        <w:tc>
          <w:tcPr>
            <w:tcW w:w="1311"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64B5B876" w14:textId="77777777" w:rsidR="00A723BA" w:rsidRPr="00CE17E9" w:rsidRDefault="00A723BA" w:rsidP="00FB4800">
            <w:pPr>
              <w:jc w:val="right"/>
              <w:rPr>
                <w:sz w:val="21"/>
                <w:szCs w:val="21"/>
                <w:lang w:val="en-CA" w:eastAsia="en-CA"/>
              </w:rPr>
            </w:pPr>
            <w:r w:rsidRPr="00CE17E9">
              <w:rPr>
                <w:sz w:val="21"/>
                <w:szCs w:val="21"/>
                <w:lang w:val="en-CA" w:eastAsia="en-CA"/>
              </w:rPr>
              <w:t>4,108,525</w:t>
            </w:r>
          </w:p>
        </w:tc>
        <w:tc>
          <w:tcPr>
            <w:tcW w:w="1311"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2A726594" w14:textId="77777777" w:rsidR="00A723BA" w:rsidRPr="00CE17E9" w:rsidRDefault="00A723BA" w:rsidP="00FB4800">
            <w:pPr>
              <w:jc w:val="right"/>
              <w:rPr>
                <w:sz w:val="21"/>
                <w:szCs w:val="21"/>
                <w:lang w:val="en-CA" w:eastAsia="en-CA"/>
              </w:rPr>
            </w:pPr>
            <w:r w:rsidRPr="00CE17E9">
              <w:rPr>
                <w:sz w:val="21"/>
                <w:szCs w:val="21"/>
                <w:lang w:val="en-CA" w:eastAsia="en-CA"/>
              </w:rPr>
              <w:t>4,108,525</w:t>
            </w:r>
          </w:p>
        </w:tc>
        <w:tc>
          <w:tcPr>
            <w:tcW w:w="1311"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01AFA906" w14:textId="77777777" w:rsidR="00A723BA" w:rsidRPr="00CE17E9" w:rsidRDefault="00A723BA" w:rsidP="00FB4800">
            <w:pPr>
              <w:jc w:val="right"/>
              <w:rPr>
                <w:sz w:val="21"/>
                <w:szCs w:val="21"/>
                <w:lang w:val="en-CA" w:eastAsia="en-CA"/>
              </w:rPr>
            </w:pPr>
            <w:r w:rsidRPr="00CE17E9">
              <w:rPr>
                <w:sz w:val="21"/>
                <w:szCs w:val="21"/>
                <w:lang w:val="en-CA" w:eastAsia="en-CA"/>
              </w:rPr>
              <w:t>0</w:t>
            </w:r>
          </w:p>
        </w:tc>
        <w:tc>
          <w:tcPr>
            <w:tcW w:w="1312"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4AF3FEE1" w14:textId="77777777" w:rsidR="00A723BA" w:rsidRPr="00CE17E9" w:rsidRDefault="00A723BA" w:rsidP="00FB4800">
            <w:pPr>
              <w:jc w:val="right"/>
              <w:rPr>
                <w:sz w:val="21"/>
                <w:szCs w:val="21"/>
                <w:lang w:val="en-CA" w:eastAsia="en-CA"/>
              </w:rPr>
            </w:pPr>
            <w:r w:rsidRPr="00CE17E9">
              <w:rPr>
                <w:sz w:val="21"/>
                <w:szCs w:val="21"/>
                <w:lang w:val="en-CA" w:eastAsia="en-CA"/>
              </w:rPr>
              <w:t>100</w:t>
            </w:r>
          </w:p>
        </w:tc>
      </w:tr>
      <w:tr w:rsidR="00CE17E9" w:rsidRPr="00CE17E9" w14:paraId="317E24E6" w14:textId="77777777" w:rsidTr="000A7C0C">
        <w:tc>
          <w:tcPr>
            <w:tcW w:w="851"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6494DB74" w14:textId="77777777" w:rsidR="00A723BA" w:rsidRPr="00CE17E9" w:rsidRDefault="00A723BA" w:rsidP="00FB4800">
            <w:pPr>
              <w:jc w:val="left"/>
              <w:rPr>
                <w:sz w:val="21"/>
                <w:szCs w:val="21"/>
                <w:lang w:val="en-CA" w:eastAsia="en-CA"/>
              </w:rPr>
            </w:pPr>
            <w:r w:rsidRPr="00CE17E9">
              <w:rPr>
                <w:sz w:val="21"/>
                <w:szCs w:val="21"/>
                <w:lang w:val="en-CA" w:eastAsia="en-CA"/>
              </w:rPr>
              <w:t>1999</w:t>
            </w:r>
          </w:p>
        </w:tc>
        <w:tc>
          <w:tcPr>
            <w:tcW w:w="992"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3DB3DDCA" w14:textId="77777777" w:rsidR="00A723BA" w:rsidRPr="00CE17E9" w:rsidRDefault="00A723BA" w:rsidP="00FB4800">
            <w:pPr>
              <w:jc w:val="right"/>
              <w:rPr>
                <w:sz w:val="21"/>
                <w:szCs w:val="21"/>
                <w:lang w:val="en-CA" w:eastAsia="en-CA"/>
              </w:rPr>
            </w:pPr>
            <w:r w:rsidRPr="00CE17E9">
              <w:rPr>
                <w:sz w:val="21"/>
                <w:szCs w:val="21"/>
                <w:lang w:val="en-CA" w:eastAsia="en-CA"/>
              </w:rPr>
              <w:t>59</w:t>
            </w:r>
          </w:p>
        </w:tc>
        <w:tc>
          <w:tcPr>
            <w:tcW w:w="1134"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38505065" w14:textId="77777777" w:rsidR="00A723BA" w:rsidRPr="00CE17E9" w:rsidRDefault="00A723BA" w:rsidP="00FB4800">
            <w:pPr>
              <w:jc w:val="right"/>
              <w:rPr>
                <w:sz w:val="21"/>
                <w:szCs w:val="21"/>
                <w:lang w:val="en-CA" w:eastAsia="en-CA"/>
              </w:rPr>
            </w:pPr>
            <w:r w:rsidRPr="00CE17E9">
              <w:rPr>
                <w:sz w:val="21"/>
                <w:szCs w:val="21"/>
                <w:lang w:val="en-CA" w:eastAsia="en-CA"/>
              </w:rPr>
              <w:t>59</w:t>
            </w:r>
          </w:p>
        </w:tc>
        <w:tc>
          <w:tcPr>
            <w:tcW w:w="1134"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7C290D80" w14:textId="77777777" w:rsidR="00A723BA" w:rsidRPr="00CE17E9" w:rsidRDefault="00A723BA" w:rsidP="00FB4800">
            <w:pPr>
              <w:jc w:val="right"/>
              <w:rPr>
                <w:sz w:val="21"/>
                <w:szCs w:val="21"/>
                <w:lang w:val="en-CA" w:eastAsia="en-CA"/>
              </w:rPr>
            </w:pPr>
            <w:r w:rsidRPr="00CE17E9">
              <w:rPr>
                <w:sz w:val="21"/>
                <w:szCs w:val="21"/>
                <w:lang w:val="en-CA" w:eastAsia="en-CA"/>
              </w:rPr>
              <w:t>100</w:t>
            </w:r>
          </w:p>
        </w:tc>
        <w:tc>
          <w:tcPr>
            <w:tcW w:w="1311"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4DF7ED65" w14:textId="77777777" w:rsidR="00A723BA" w:rsidRPr="00CE17E9" w:rsidRDefault="00A723BA" w:rsidP="00FB4800">
            <w:pPr>
              <w:jc w:val="right"/>
              <w:rPr>
                <w:sz w:val="21"/>
                <w:szCs w:val="21"/>
                <w:lang w:val="en-CA" w:eastAsia="en-CA"/>
              </w:rPr>
            </w:pPr>
            <w:r w:rsidRPr="00CE17E9">
              <w:rPr>
                <w:sz w:val="21"/>
                <w:szCs w:val="21"/>
                <w:lang w:val="en-CA" w:eastAsia="en-CA"/>
              </w:rPr>
              <w:t>12,131,407</w:t>
            </w:r>
          </w:p>
        </w:tc>
        <w:tc>
          <w:tcPr>
            <w:tcW w:w="1311"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3B5B2C4F" w14:textId="77777777" w:rsidR="00A723BA" w:rsidRPr="00CE17E9" w:rsidRDefault="00A723BA" w:rsidP="00FB4800">
            <w:pPr>
              <w:jc w:val="right"/>
              <w:rPr>
                <w:sz w:val="21"/>
                <w:szCs w:val="21"/>
                <w:lang w:val="en-CA" w:eastAsia="en-CA"/>
              </w:rPr>
            </w:pPr>
            <w:r w:rsidRPr="00CE17E9">
              <w:rPr>
                <w:sz w:val="21"/>
                <w:szCs w:val="21"/>
                <w:lang w:val="en-CA" w:eastAsia="en-CA"/>
              </w:rPr>
              <w:t>12,131,407</w:t>
            </w:r>
          </w:p>
        </w:tc>
        <w:tc>
          <w:tcPr>
            <w:tcW w:w="1311"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33BFACC4" w14:textId="77777777" w:rsidR="00A723BA" w:rsidRPr="00CE17E9" w:rsidRDefault="00A723BA" w:rsidP="00FB4800">
            <w:pPr>
              <w:jc w:val="right"/>
              <w:rPr>
                <w:sz w:val="21"/>
                <w:szCs w:val="21"/>
                <w:lang w:val="en-CA" w:eastAsia="en-CA"/>
              </w:rPr>
            </w:pPr>
            <w:r w:rsidRPr="00CE17E9">
              <w:rPr>
                <w:sz w:val="21"/>
                <w:szCs w:val="21"/>
                <w:lang w:val="en-CA" w:eastAsia="en-CA"/>
              </w:rPr>
              <w:t>0</w:t>
            </w:r>
          </w:p>
        </w:tc>
        <w:tc>
          <w:tcPr>
            <w:tcW w:w="1312"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5B539B6A" w14:textId="77777777" w:rsidR="00A723BA" w:rsidRPr="00CE17E9" w:rsidRDefault="00A723BA" w:rsidP="00FB4800">
            <w:pPr>
              <w:jc w:val="right"/>
              <w:rPr>
                <w:sz w:val="21"/>
                <w:szCs w:val="21"/>
                <w:lang w:val="en-CA" w:eastAsia="en-CA"/>
              </w:rPr>
            </w:pPr>
            <w:r w:rsidRPr="00CE17E9">
              <w:rPr>
                <w:sz w:val="21"/>
                <w:szCs w:val="21"/>
                <w:lang w:val="en-CA" w:eastAsia="en-CA"/>
              </w:rPr>
              <w:t>100</w:t>
            </w:r>
          </w:p>
        </w:tc>
      </w:tr>
      <w:tr w:rsidR="00CE17E9" w:rsidRPr="00CE17E9" w14:paraId="70787B92" w14:textId="77777777" w:rsidTr="000A7C0C">
        <w:tc>
          <w:tcPr>
            <w:tcW w:w="851"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4F5A5AE7" w14:textId="77777777" w:rsidR="00A723BA" w:rsidRPr="00CE17E9" w:rsidRDefault="00A723BA" w:rsidP="00FB4800">
            <w:pPr>
              <w:jc w:val="left"/>
              <w:rPr>
                <w:sz w:val="21"/>
                <w:szCs w:val="21"/>
                <w:lang w:val="en-CA" w:eastAsia="en-CA"/>
              </w:rPr>
            </w:pPr>
            <w:r w:rsidRPr="00CE17E9">
              <w:rPr>
                <w:sz w:val="21"/>
                <w:szCs w:val="21"/>
                <w:lang w:val="en-CA" w:eastAsia="en-CA"/>
              </w:rPr>
              <w:t>2000</w:t>
            </w:r>
          </w:p>
        </w:tc>
        <w:tc>
          <w:tcPr>
            <w:tcW w:w="992"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585E3778" w14:textId="77777777" w:rsidR="00A723BA" w:rsidRPr="00CE17E9" w:rsidRDefault="00A723BA" w:rsidP="00FB4800">
            <w:pPr>
              <w:jc w:val="right"/>
              <w:rPr>
                <w:sz w:val="21"/>
                <w:szCs w:val="21"/>
                <w:lang w:val="en-CA" w:eastAsia="en-CA"/>
              </w:rPr>
            </w:pPr>
            <w:r w:rsidRPr="00CE17E9">
              <w:rPr>
                <w:sz w:val="21"/>
                <w:szCs w:val="21"/>
                <w:lang w:val="en-CA" w:eastAsia="en-CA"/>
              </w:rPr>
              <w:t>29</w:t>
            </w:r>
          </w:p>
        </w:tc>
        <w:tc>
          <w:tcPr>
            <w:tcW w:w="1134"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3182D17C" w14:textId="77777777" w:rsidR="00A723BA" w:rsidRPr="00CE17E9" w:rsidRDefault="00A723BA" w:rsidP="00FB4800">
            <w:pPr>
              <w:jc w:val="right"/>
              <w:rPr>
                <w:sz w:val="21"/>
                <w:szCs w:val="21"/>
                <w:lang w:val="en-CA" w:eastAsia="en-CA"/>
              </w:rPr>
            </w:pPr>
            <w:r w:rsidRPr="00CE17E9">
              <w:rPr>
                <w:sz w:val="21"/>
                <w:szCs w:val="21"/>
                <w:lang w:val="en-CA" w:eastAsia="en-CA"/>
              </w:rPr>
              <w:t>29</w:t>
            </w:r>
          </w:p>
        </w:tc>
        <w:tc>
          <w:tcPr>
            <w:tcW w:w="1134"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02AB4231" w14:textId="77777777" w:rsidR="00A723BA" w:rsidRPr="00CE17E9" w:rsidRDefault="00A723BA" w:rsidP="00FB4800">
            <w:pPr>
              <w:jc w:val="right"/>
              <w:rPr>
                <w:sz w:val="21"/>
                <w:szCs w:val="21"/>
                <w:lang w:val="en-CA" w:eastAsia="en-CA"/>
              </w:rPr>
            </w:pPr>
            <w:r w:rsidRPr="00CE17E9">
              <w:rPr>
                <w:sz w:val="21"/>
                <w:szCs w:val="21"/>
                <w:lang w:val="en-CA" w:eastAsia="en-CA"/>
              </w:rPr>
              <w:t>100</w:t>
            </w:r>
          </w:p>
        </w:tc>
        <w:tc>
          <w:tcPr>
            <w:tcW w:w="1311"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7F16F17E" w14:textId="77777777" w:rsidR="00A723BA" w:rsidRPr="00CE17E9" w:rsidRDefault="00A723BA" w:rsidP="00FB4800">
            <w:pPr>
              <w:jc w:val="right"/>
              <w:rPr>
                <w:sz w:val="21"/>
                <w:szCs w:val="21"/>
                <w:lang w:val="en-CA" w:eastAsia="en-CA"/>
              </w:rPr>
            </w:pPr>
            <w:r w:rsidRPr="00CE17E9">
              <w:rPr>
                <w:sz w:val="21"/>
                <w:szCs w:val="21"/>
                <w:lang w:val="en-CA" w:eastAsia="en-CA"/>
              </w:rPr>
              <w:t>4,808,878</w:t>
            </w:r>
          </w:p>
        </w:tc>
        <w:tc>
          <w:tcPr>
            <w:tcW w:w="1311"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2E3B689C" w14:textId="77777777" w:rsidR="00A723BA" w:rsidRPr="00CE17E9" w:rsidRDefault="00A723BA" w:rsidP="00FB4800">
            <w:pPr>
              <w:jc w:val="right"/>
              <w:rPr>
                <w:sz w:val="21"/>
                <w:szCs w:val="21"/>
                <w:lang w:val="en-CA" w:eastAsia="en-CA"/>
              </w:rPr>
            </w:pPr>
            <w:r w:rsidRPr="00CE17E9">
              <w:rPr>
                <w:sz w:val="21"/>
                <w:szCs w:val="21"/>
                <w:lang w:val="en-CA" w:eastAsia="en-CA"/>
              </w:rPr>
              <w:t>4,808,878</w:t>
            </w:r>
          </w:p>
        </w:tc>
        <w:tc>
          <w:tcPr>
            <w:tcW w:w="1311"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38290090" w14:textId="77777777" w:rsidR="00A723BA" w:rsidRPr="00CE17E9" w:rsidRDefault="00A723BA" w:rsidP="00FB4800">
            <w:pPr>
              <w:jc w:val="right"/>
              <w:rPr>
                <w:sz w:val="21"/>
                <w:szCs w:val="21"/>
                <w:lang w:val="en-CA" w:eastAsia="en-CA"/>
              </w:rPr>
            </w:pPr>
            <w:r w:rsidRPr="00CE17E9">
              <w:rPr>
                <w:sz w:val="21"/>
                <w:szCs w:val="21"/>
                <w:lang w:val="en-CA" w:eastAsia="en-CA"/>
              </w:rPr>
              <w:t>0</w:t>
            </w:r>
          </w:p>
        </w:tc>
        <w:tc>
          <w:tcPr>
            <w:tcW w:w="1312"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180770A0" w14:textId="77777777" w:rsidR="00A723BA" w:rsidRPr="00CE17E9" w:rsidRDefault="00A723BA" w:rsidP="00FB4800">
            <w:pPr>
              <w:jc w:val="right"/>
              <w:rPr>
                <w:sz w:val="21"/>
                <w:szCs w:val="21"/>
                <w:lang w:val="en-CA" w:eastAsia="en-CA"/>
              </w:rPr>
            </w:pPr>
            <w:r w:rsidRPr="00CE17E9">
              <w:rPr>
                <w:sz w:val="21"/>
                <w:szCs w:val="21"/>
                <w:lang w:val="en-CA" w:eastAsia="en-CA"/>
              </w:rPr>
              <w:t>100</w:t>
            </w:r>
          </w:p>
        </w:tc>
      </w:tr>
      <w:tr w:rsidR="00CE17E9" w:rsidRPr="00CE17E9" w14:paraId="312450E2" w14:textId="77777777" w:rsidTr="000A7C0C">
        <w:tc>
          <w:tcPr>
            <w:tcW w:w="851"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59297AE3" w14:textId="77777777" w:rsidR="00A723BA" w:rsidRPr="00CE17E9" w:rsidRDefault="00A723BA" w:rsidP="00FB4800">
            <w:pPr>
              <w:jc w:val="left"/>
              <w:rPr>
                <w:sz w:val="21"/>
                <w:szCs w:val="21"/>
                <w:lang w:val="en-CA" w:eastAsia="en-CA"/>
              </w:rPr>
            </w:pPr>
            <w:r w:rsidRPr="00CE17E9">
              <w:rPr>
                <w:sz w:val="21"/>
                <w:szCs w:val="21"/>
                <w:lang w:val="en-CA" w:eastAsia="en-CA"/>
              </w:rPr>
              <w:t>2001</w:t>
            </w:r>
          </w:p>
        </w:tc>
        <w:tc>
          <w:tcPr>
            <w:tcW w:w="992"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275C3134" w14:textId="77777777" w:rsidR="00A723BA" w:rsidRPr="00CE17E9" w:rsidRDefault="00A723BA" w:rsidP="00FB4800">
            <w:pPr>
              <w:jc w:val="right"/>
              <w:rPr>
                <w:sz w:val="21"/>
                <w:szCs w:val="21"/>
                <w:lang w:val="en-CA" w:eastAsia="en-CA"/>
              </w:rPr>
            </w:pPr>
            <w:r w:rsidRPr="00CE17E9">
              <w:rPr>
                <w:sz w:val="21"/>
                <w:szCs w:val="21"/>
                <w:lang w:val="en-CA" w:eastAsia="en-CA"/>
              </w:rPr>
              <w:t>41</w:t>
            </w:r>
          </w:p>
        </w:tc>
        <w:tc>
          <w:tcPr>
            <w:tcW w:w="1134"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16D87075" w14:textId="77777777" w:rsidR="00A723BA" w:rsidRPr="00CE17E9" w:rsidRDefault="00A723BA" w:rsidP="00FB4800">
            <w:pPr>
              <w:jc w:val="right"/>
              <w:rPr>
                <w:sz w:val="21"/>
                <w:szCs w:val="21"/>
                <w:lang w:val="en-CA" w:eastAsia="en-CA"/>
              </w:rPr>
            </w:pPr>
            <w:r w:rsidRPr="00CE17E9">
              <w:rPr>
                <w:sz w:val="21"/>
                <w:szCs w:val="21"/>
                <w:lang w:val="en-CA" w:eastAsia="en-CA"/>
              </w:rPr>
              <w:t>41</w:t>
            </w:r>
          </w:p>
        </w:tc>
        <w:tc>
          <w:tcPr>
            <w:tcW w:w="1134"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085F06CF" w14:textId="77777777" w:rsidR="00A723BA" w:rsidRPr="00CE17E9" w:rsidRDefault="00A723BA" w:rsidP="00FB4800">
            <w:pPr>
              <w:jc w:val="right"/>
              <w:rPr>
                <w:sz w:val="21"/>
                <w:szCs w:val="21"/>
                <w:lang w:val="en-CA" w:eastAsia="en-CA"/>
              </w:rPr>
            </w:pPr>
            <w:r w:rsidRPr="00CE17E9">
              <w:rPr>
                <w:sz w:val="21"/>
                <w:szCs w:val="21"/>
                <w:lang w:val="en-CA" w:eastAsia="en-CA"/>
              </w:rPr>
              <w:t>100</w:t>
            </w:r>
          </w:p>
        </w:tc>
        <w:tc>
          <w:tcPr>
            <w:tcW w:w="1311"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4094DF8F" w14:textId="77777777" w:rsidR="00A723BA" w:rsidRPr="00CE17E9" w:rsidRDefault="00A723BA" w:rsidP="00FB4800">
            <w:pPr>
              <w:jc w:val="right"/>
              <w:rPr>
                <w:sz w:val="21"/>
                <w:szCs w:val="21"/>
                <w:lang w:val="en-CA" w:eastAsia="en-CA"/>
              </w:rPr>
            </w:pPr>
            <w:r w:rsidRPr="00CE17E9">
              <w:rPr>
                <w:sz w:val="21"/>
                <w:szCs w:val="21"/>
                <w:lang w:val="en-CA" w:eastAsia="en-CA"/>
              </w:rPr>
              <w:t>7,523,213</w:t>
            </w:r>
          </w:p>
        </w:tc>
        <w:tc>
          <w:tcPr>
            <w:tcW w:w="1311"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2A5138CF" w14:textId="77777777" w:rsidR="00A723BA" w:rsidRPr="00CE17E9" w:rsidRDefault="00A723BA" w:rsidP="00FB4800">
            <w:pPr>
              <w:jc w:val="right"/>
              <w:rPr>
                <w:sz w:val="21"/>
                <w:szCs w:val="21"/>
                <w:lang w:val="en-CA" w:eastAsia="en-CA"/>
              </w:rPr>
            </w:pPr>
            <w:r w:rsidRPr="00CE17E9">
              <w:rPr>
                <w:sz w:val="21"/>
                <w:szCs w:val="21"/>
                <w:lang w:val="en-CA" w:eastAsia="en-CA"/>
              </w:rPr>
              <w:t>7,523,213</w:t>
            </w:r>
          </w:p>
        </w:tc>
        <w:tc>
          <w:tcPr>
            <w:tcW w:w="1311"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08FD1819" w14:textId="77777777" w:rsidR="00A723BA" w:rsidRPr="00CE17E9" w:rsidRDefault="00A723BA" w:rsidP="00FB4800">
            <w:pPr>
              <w:jc w:val="right"/>
              <w:rPr>
                <w:sz w:val="21"/>
                <w:szCs w:val="21"/>
                <w:lang w:val="en-CA" w:eastAsia="en-CA"/>
              </w:rPr>
            </w:pPr>
            <w:r w:rsidRPr="00CE17E9">
              <w:rPr>
                <w:sz w:val="21"/>
                <w:szCs w:val="21"/>
                <w:lang w:val="en-CA" w:eastAsia="en-CA"/>
              </w:rPr>
              <w:t>0</w:t>
            </w:r>
          </w:p>
        </w:tc>
        <w:tc>
          <w:tcPr>
            <w:tcW w:w="1312"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709221B7" w14:textId="77777777" w:rsidR="00A723BA" w:rsidRPr="00CE17E9" w:rsidRDefault="00A723BA" w:rsidP="00FB4800">
            <w:pPr>
              <w:jc w:val="right"/>
              <w:rPr>
                <w:sz w:val="21"/>
                <w:szCs w:val="21"/>
                <w:lang w:val="en-CA" w:eastAsia="en-CA"/>
              </w:rPr>
            </w:pPr>
            <w:r w:rsidRPr="00CE17E9">
              <w:rPr>
                <w:sz w:val="21"/>
                <w:szCs w:val="21"/>
                <w:lang w:val="en-CA" w:eastAsia="en-CA"/>
              </w:rPr>
              <w:t>100</w:t>
            </w:r>
          </w:p>
        </w:tc>
      </w:tr>
      <w:tr w:rsidR="00CE17E9" w:rsidRPr="00CE17E9" w14:paraId="7B9FB8BE" w14:textId="77777777" w:rsidTr="000A7C0C">
        <w:tc>
          <w:tcPr>
            <w:tcW w:w="851"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593FBB0D" w14:textId="77777777" w:rsidR="00A723BA" w:rsidRPr="00CE17E9" w:rsidRDefault="00A723BA" w:rsidP="00FB4800">
            <w:pPr>
              <w:jc w:val="left"/>
              <w:rPr>
                <w:sz w:val="21"/>
                <w:szCs w:val="21"/>
                <w:lang w:val="en-CA" w:eastAsia="en-CA"/>
              </w:rPr>
            </w:pPr>
            <w:r w:rsidRPr="00CE17E9">
              <w:rPr>
                <w:sz w:val="21"/>
                <w:szCs w:val="21"/>
                <w:lang w:val="en-CA" w:eastAsia="en-CA"/>
              </w:rPr>
              <w:t>2002</w:t>
            </w:r>
          </w:p>
        </w:tc>
        <w:tc>
          <w:tcPr>
            <w:tcW w:w="992"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7CF7D077" w14:textId="77777777" w:rsidR="00A723BA" w:rsidRPr="00CE17E9" w:rsidRDefault="00A723BA" w:rsidP="00FB4800">
            <w:pPr>
              <w:jc w:val="right"/>
              <w:rPr>
                <w:sz w:val="21"/>
                <w:szCs w:val="21"/>
                <w:lang w:val="en-CA" w:eastAsia="en-CA"/>
              </w:rPr>
            </w:pPr>
            <w:r w:rsidRPr="00CE17E9">
              <w:rPr>
                <w:sz w:val="21"/>
                <w:szCs w:val="21"/>
                <w:lang w:val="en-CA" w:eastAsia="en-CA"/>
              </w:rPr>
              <w:t>61</w:t>
            </w:r>
          </w:p>
        </w:tc>
        <w:tc>
          <w:tcPr>
            <w:tcW w:w="1134"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4A0550E7" w14:textId="77777777" w:rsidR="00A723BA" w:rsidRPr="00CE17E9" w:rsidRDefault="00A723BA" w:rsidP="00FB4800">
            <w:pPr>
              <w:jc w:val="right"/>
              <w:rPr>
                <w:sz w:val="21"/>
                <w:szCs w:val="21"/>
                <w:lang w:val="en-CA" w:eastAsia="en-CA"/>
              </w:rPr>
            </w:pPr>
            <w:r w:rsidRPr="00CE17E9">
              <w:rPr>
                <w:sz w:val="21"/>
                <w:szCs w:val="21"/>
                <w:lang w:val="en-CA" w:eastAsia="en-CA"/>
              </w:rPr>
              <w:t>61</w:t>
            </w:r>
          </w:p>
        </w:tc>
        <w:tc>
          <w:tcPr>
            <w:tcW w:w="1134"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48FD8882" w14:textId="77777777" w:rsidR="00A723BA" w:rsidRPr="00CE17E9" w:rsidRDefault="00A723BA" w:rsidP="00FB4800">
            <w:pPr>
              <w:jc w:val="right"/>
              <w:rPr>
                <w:sz w:val="21"/>
                <w:szCs w:val="21"/>
                <w:lang w:val="en-CA" w:eastAsia="en-CA"/>
              </w:rPr>
            </w:pPr>
            <w:r w:rsidRPr="00CE17E9">
              <w:rPr>
                <w:sz w:val="21"/>
                <w:szCs w:val="21"/>
                <w:lang w:val="en-CA" w:eastAsia="en-CA"/>
              </w:rPr>
              <w:t>100</w:t>
            </w:r>
          </w:p>
        </w:tc>
        <w:tc>
          <w:tcPr>
            <w:tcW w:w="1311"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416AADDB" w14:textId="77777777" w:rsidR="00A723BA" w:rsidRPr="00CE17E9" w:rsidRDefault="00A723BA" w:rsidP="00FB4800">
            <w:pPr>
              <w:jc w:val="right"/>
              <w:rPr>
                <w:sz w:val="21"/>
                <w:szCs w:val="21"/>
                <w:lang w:val="en-CA" w:eastAsia="en-CA"/>
              </w:rPr>
            </w:pPr>
            <w:r w:rsidRPr="00CE17E9">
              <w:rPr>
                <w:sz w:val="21"/>
                <w:szCs w:val="21"/>
                <w:lang w:val="en-CA" w:eastAsia="en-CA"/>
              </w:rPr>
              <w:t>7,910,174</w:t>
            </w:r>
          </w:p>
        </w:tc>
        <w:tc>
          <w:tcPr>
            <w:tcW w:w="1311"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349C811A" w14:textId="77777777" w:rsidR="00A723BA" w:rsidRPr="00CE17E9" w:rsidRDefault="00A723BA" w:rsidP="00FB4800">
            <w:pPr>
              <w:jc w:val="right"/>
              <w:rPr>
                <w:sz w:val="21"/>
                <w:szCs w:val="21"/>
                <w:lang w:val="en-CA" w:eastAsia="en-CA"/>
              </w:rPr>
            </w:pPr>
            <w:r w:rsidRPr="00CE17E9">
              <w:rPr>
                <w:sz w:val="21"/>
                <w:szCs w:val="21"/>
                <w:lang w:val="en-CA" w:eastAsia="en-CA"/>
              </w:rPr>
              <w:t>7,910,174</w:t>
            </w:r>
          </w:p>
        </w:tc>
        <w:tc>
          <w:tcPr>
            <w:tcW w:w="1311"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7311946A" w14:textId="77777777" w:rsidR="00A723BA" w:rsidRPr="00CE17E9" w:rsidRDefault="00A723BA" w:rsidP="00FB4800">
            <w:pPr>
              <w:jc w:val="right"/>
              <w:rPr>
                <w:sz w:val="21"/>
                <w:szCs w:val="21"/>
                <w:lang w:val="en-CA" w:eastAsia="en-CA"/>
              </w:rPr>
            </w:pPr>
            <w:r w:rsidRPr="00CE17E9">
              <w:rPr>
                <w:sz w:val="21"/>
                <w:szCs w:val="21"/>
                <w:lang w:val="en-CA" w:eastAsia="en-CA"/>
              </w:rPr>
              <w:t>0</w:t>
            </w:r>
          </w:p>
        </w:tc>
        <w:tc>
          <w:tcPr>
            <w:tcW w:w="1312"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04779BC6" w14:textId="77777777" w:rsidR="00A723BA" w:rsidRPr="00CE17E9" w:rsidRDefault="00A723BA" w:rsidP="00FB4800">
            <w:pPr>
              <w:jc w:val="right"/>
              <w:rPr>
                <w:sz w:val="21"/>
                <w:szCs w:val="21"/>
                <w:lang w:val="en-CA" w:eastAsia="en-CA"/>
              </w:rPr>
            </w:pPr>
            <w:r w:rsidRPr="00CE17E9">
              <w:rPr>
                <w:sz w:val="21"/>
                <w:szCs w:val="21"/>
                <w:lang w:val="en-CA" w:eastAsia="en-CA"/>
              </w:rPr>
              <w:t>100</w:t>
            </w:r>
          </w:p>
        </w:tc>
      </w:tr>
      <w:tr w:rsidR="00CE17E9" w:rsidRPr="00CE17E9" w14:paraId="23987711" w14:textId="77777777" w:rsidTr="000A7C0C">
        <w:tc>
          <w:tcPr>
            <w:tcW w:w="851"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397F4B9B" w14:textId="77777777" w:rsidR="00A723BA" w:rsidRPr="00CE17E9" w:rsidRDefault="00A723BA" w:rsidP="00FB4800">
            <w:pPr>
              <w:jc w:val="left"/>
              <w:rPr>
                <w:sz w:val="21"/>
                <w:szCs w:val="21"/>
                <w:lang w:val="en-CA" w:eastAsia="en-CA"/>
              </w:rPr>
            </w:pPr>
            <w:r w:rsidRPr="00CE17E9">
              <w:rPr>
                <w:sz w:val="21"/>
                <w:szCs w:val="21"/>
                <w:lang w:val="en-CA" w:eastAsia="en-CA"/>
              </w:rPr>
              <w:t>2003</w:t>
            </w:r>
          </w:p>
        </w:tc>
        <w:tc>
          <w:tcPr>
            <w:tcW w:w="992"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63845971" w14:textId="77777777" w:rsidR="00A723BA" w:rsidRPr="00CE17E9" w:rsidRDefault="00A723BA" w:rsidP="00FB4800">
            <w:pPr>
              <w:jc w:val="right"/>
              <w:rPr>
                <w:sz w:val="21"/>
                <w:szCs w:val="21"/>
                <w:lang w:val="en-CA" w:eastAsia="en-CA"/>
              </w:rPr>
            </w:pPr>
            <w:r w:rsidRPr="00CE17E9">
              <w:rPr>
                <w:sz w:val="21"/>
                <w:szCs w:val="21"/>
                <w:lang w:val="en-CA" w:eastAsia="en-CA"/>
              </w:rPr>
              <w:t>32</w:t>
            </w:r>
          </w:p>
        </w:tc>
        <w:tc>
          <w:tcPr>
            <w:tcW w:w="1134"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67681F9C" w14:textId="77777777" w:rsidR="00A723BA" w:rsidRPr="00CE17E9" w:rsidRDefault="00A723BA" w:rsidP="00FB4800">
            <w:pPr>
              <w:jc w:val="right"/>
              <w:rPr>
                <w:sz w:val="21"/>
                <w:szCs w:val="21"/>
                <w:lang w:val="en-CA" w:eastAsia="en-CA"/>
              </w:rPr>
            </w:pPr>
            <w:r w:rsidRPr="00CE17E9">
              <w:rPr>
                <w:sz w:val="21"/>
                <w:szCs w:val="21"/>
                <w:lang w:val="en-CA" w:eastAsia="en-CA"/>
              </w:rPr>
              <w:t>32</w:t>
            </w:r>
          </w:p>
        </w:tc>
        <w:tc>
          <w:tcPr>
            <w:tcW w:w="1134"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2091A287" w14:textId="77777777" w:rsidR="00A723BA" w:rsidRPr="00CE17E9" w:rsidRDefault="00A723BA" w:rsidP="00FB4800">
            <w:pPr>
              <w:jc w:val="right"/>
              <w:rPr>
                <w:sz w:val="21"/>
                <w:szCs w:val="21"/>
                <w:lang w:val="en-CA" w:eastAsia="en-CA"/>
              </w:rPr>
            </w:pPr>
            <w:r w:rsidRPr="00CE17E9">
              <w:rPr>
                <w:sz w:val="21"/>
                <w:szCs w:val="21"/>
                <w:lang w:val="en-CA" w:eastAsia="en-CA"/>
              </w:rPr>
              <w:t>100</w:t>
            </w:r>
          </w:p>
        </w:tc>
        <w:tc>
          <w:tcPr>
            <w:tcW w:w="1311"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0E14DC61" w14:textId="77777777" w:rsidR="00A723BA" w:rsidRPr="00CE17E9" w:rsidRDefault="00A723BA" w:rsidP="00FB4800">
            <w:pPr>
              <w:jc w:val="right"/>
              <w:rPr>
                <w:sz w:val="21"/>
                <w:szCs w:val="21"/>
                <w:lang w:val="en-CA" w:eastAsia="en-CA"/>
              </w:rPr>
            </w:pPr>
            <w:r w:rsidRPr="00CE17E9">
              <w:rPr>
                <w:sz w:val="21"/>
                <w:szCs w:val="21"/>
                <w:lang w:val="en-CA" w:eastAsia="en-CA"/>
              </w:rPr>
              <w:t>6,810,120</w:t>
            </w:r>
          </w:p>
        </w:tc>
        <w:tc>
          <w:tcPr>
            <w:tcW w:w="1311"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515725B7" w14:textId="77777777" w:rsidR="00A723BA" w:rsidRPr="00CE17E9" w:rsidRDefault="00A723BA" w:rsidP="00FB4800">
            <w:pPr>
              <w:jc w:val="right"/>
              <w:rPr>
                <w:sz w:val="21"/>
                <w:szCs w:val="21"/>
                <w:lang w:val="en-CA" w:eastAsia="en-CA"/>
              </w:rPr>
            </w:pPr>
            <w:r w:rsidRPr="00CE17E9">
              <w:rPr>
                <w:sz w:val="21"/>
                <w:szCs w:val="21"/>
                <w:lang w:val="en-CA" w:eastAsia="en-CA"/>
              </w:rPr>
              <w:t>6,810,120</w:t>
            </w:r>
          </w:p>
        </w:tc>
        <w:tc>
          <w:tcPr>
            <w:tcW w:w="1311"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174ECB54" w14:textId="77777777" w:rsidR="00A723BA" w:rsidRPr="00CE17E9" w:rsidRDefault="00A723BA" w:rsidP="00FB4800">
            <w:pPr>
              <w:jc w:val="right"/>
              <w:rPr>
                <w:sz w:val="21"/>
                <w:szCs w:val="21"/>
                <w:lang w:val="en-CA" w:eastAsia="en-CA"/>
              </w:rPr>
            </w:pPr>
            <w:r w:rsidRPr="00CE17E9">
              <w:rPr>
                <w:sz w:val="21"/>
                <w:szCs w:val="21"/>
                <w:lang w:val="en-CA" w:eastAsia="en-CA"/>
              </w:rPr>
              <w:t>0</w:t>
            </w:r>
          </w:p>
        </w:tc>
        <w:tc>
          <w:tcPr>
            <w:tcW w:w="1312"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44DB13EE" w14:textId="77777777" w:rsidR="00A723BA" w:rsidRPr="00CE17E9" w:rsidRDefault="00A723BA" w:rsidP="00FB4800">
            <w:pPr>
              <w:jc w:val="right"/>
              <w:rPr>
                <w:sz w:val="21"/>
                <w:szCs w:val="21"/>
                <w:lang w:val="en-CA" w:eastAsia="en-CA"/>
              </w:rPr>
            </w:pPr>
            <w:r w:rsidRPr="00CE17E9">
              <w:rPr>
                <w:sz w:val="21"/>
                <w:szCs w:val="21"/>
                <w:lang w:val="en-CA" w:eastAsia="en-CA"/>
              </w:rPr>
              <w:t>100</w:t>
            </w:r>
          </w:p>
        </w:tc>
      </w:tr>
      <w:tr w:rsidR="00CE17E9" w:rsidRPr="00CE17E9" w14:paraId="40BD5EC3" w14:textId="77777777" w:rsidTr="000A7C0C">
        <w:tc>
          <w:tcPr>
            <w:tcW w:w="851"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2B1C8658" w14:textId="77777777" w:rsidR="00A723BA" w:rsidRPr="00CE17E9" w:rsidRDefault="00A723BA" w:rsidP="00FB4800">
            <w:pPr>
              <w:jc w:val="left"/>
              <w:rPr>
                <w:sz w:val="21"/>
                <w:szCs w:val="21"/>
                <w:lang w:val="en-CA" w:eastAsia="en-CA"/>
              </w:rPr>
            </w:pPr>
            <w:r w:rsidRPr="00CE17E9">
              <w:rPr>
                <w:sz w:val="21"/>
                <w:szCs w:val="21"/>
                <w:lang w:val="en-CA" w:eastAsia="en-CA"/>
              </w:rPr>
              <w:t>2004</w:t>
            </w:r>
          </w:p>
        </w:tc>
        <w:tc>
          <w:tcPr>
            <w:tcW w:w="992"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005A962B" w14:textId="77777777" w:rsidR="00A723BA" w:rsidRPr="00CE17E9" w:rsidRDefault="00A723BA" w:rsidP="00FB4800">
            <w:pPr>
              <w:jc w:val="right"/>
              <w:rPr>
                <w:sz w:val="21"/>
                <w:szCs w:val="21"/>
                <w:lang w:val="en-CA" w:eastAsia="en-CA"/>
              </w:rPr>
            </w:pPr>
            <w:r w:rsidRPr="00CE17E9">
              <w:rPr>
                <w:sz w:val="21"/>
                <w:szCs w:val="21"/>
                <w:lang w:val="en-CA" w:eastAsia="en-CA"/>
              </w:rPr>
              <w:t>30</w:t>
            </w:r>
          </w:p>
        </w:tc>
        <w:tc>
          <w:tcPr>
            <w:tcW w:w="1134"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2E3FABF1" w14:textId="77777777" w:rsidR="00A723BA" w:rsidRPr="00CE17E9" w:rsidRDefault="00A723BA" w:rsidP="00FB4800">
            <w:pPr>
              <w:jc w:val="right"/>
              <w:rPr>
                <w:sz w:val="21"/>
                <w:szCs w:val="21"/>
                <w:lang w:val="en-CA" w:eastAsia="en-CA"/>
              </w:rPr>
            </w:pPr>
            <w:r w:rsidRPr="00CE17E9">
              <w:rPr>
                <w:sz w:val="21"/>
                <w:szCs w:val="21"/>
                <w:lang w:val="en-CA" w:eastAsia="en-CA"/>
              </w:rPr>
              <w:t>30</w:t>
            </w:r>
          </w:p>
        </w:tc>
        <w:tc>
          <w:tcPr>
            <w:tcW w:w="1134"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5BB3F87E" w14:textId="77777777" w:rsidR="00A723BA" w:rsidRPr="00CE17E9" w:rsidRDefault="00A723BA" w:rsidP="00FB4800">
            <w:pPr>
              <w:jc w:val="right"/>
              <w:rPr>
                <w:sz w:val="21"/>
                <w:szCs w:val="21"/>
                <w:lang w:val="en-CA" w:eastAsia="en-CA"/>
              </w:rPr>
            </w:pPr>
            <w:r w:rsidRPr="00CE17E9">
              <w:rPr>
                <w:sz w:val="21"/>
                <w:szCs w:val="21"/>
                <w:lang w:val="en-CA" w:eastAsia="en-CA"/>
              </w:rPr>
              <w:t>100</w:t>
            </w:r>
          </w:p>
        </w:tc>
        <w:tc>
          <w:tcPr>
            <w:tcW w:w="1311"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2250EDFD" w14:textId="77777777" w:rsidR="00A723BA" w:rsidRPr="00CE17E9" w:rsidRDefault="00A723BA" w:rsidP="00FB4800">
            <w:pPr>
              <w:jc w:val="right"/>
              <w:rPr>
                <w:sz w:val="21"/>
                <w:szCs w:val="21"/>
                <w:lang w:val="en-CA" w:eastAsia="en-CA"/>
              </w:rPr>
            </w:pPr>
            <w:r w:rsidRPr="00CE17E9">
              <w:rPr>
                <w:sz w:val="21"/>
                <w:szCs w:val="21"/>
                <w:lang w:val="en-CA" w:eastAsia="en-CA"/>
              </w:rPr>
              <w:t>15,005,412</w:t>
            </w:r>
          </w:p>
        </w:tc>
        <w:tc>
          <w:tcPr>
            <w:tcW w:w="1311"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15C6D230" w14:textId="77777777" w:rsidR="00A723BA" w:rsidRPr="00CE17E9" w:rsidRDefault="00A723BA" w:rsidP="00FB4800">
            <w:pPr>
              <w:jc w:val="right"/>
              <w:rPr>
                <w:sz w:val="21"/>
                <w:szCs w:val="21"/>
                <w:lang w:val="en-CA" w:eastAsia="en-CA"/>
              </w:rPr>
            </w:pPr>
            <w:r w:rsidRPr="00CE17E9">
              <w:rPr>
                <w:sz w:val="21"/>
                <w:szCs w:val="21"/>
                <w:lang w:val="en-CA" w:eastAsia="en-CA"/>
              </w:rPr>
              <w:t>15,005,412</w:t>
            </w:r>
          </w:p>
        </w:tc>
        <w:tc>
          <w:tcPr>
            <w:tcW w:w="1311"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077A35A9" w14:textId="77777777" w:rsidR="00A723BA" w:rsidRPr="00CE17E9" w:rsidRDefault="00A723BA" w:rsidP="00FB4800">
            <w:pPr>
              <w:jc w:val="right"/>
              <w:rPr>
                <w:sz w:val="21"/>
                <w:szCs w:val="21"/>
                <w:lang w:val="en-CA" w:eastAsia="en-CA"/>
              </w:rPr>
            </w:pPr>
            <w:r w:rsidRPr="00CE17E9">
              <w:rPr>
                <w:sz w:val="21"/>
                <w:szCs w:val="21"/>
                <w:lang w:val="en-CA" w:eastAsia="en-CA"/>
              </w:rPr>
              <w:t>0</w:t>
            </w:r>
          </w:p>
        </w:tc>
        <w:tc>
          <w:tcPr>
            <w:tcW w:w="1312"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76694D0A" w14:textId="77777777" w:rsidR="00A723BA" w:rsidRPr="00CE17E9" w:rsidRDefault="00A723BA" w:rsidP="00FB4800">
            <w:pPr>
              <w:jc w:val="right"/>
              <w:rPr>
                <w:sz w:val="21"/>
                <w:szCs w:val="21"/>
                <w:lang w:val="en-CA" w:eastAsia="en-CA"/>
              </w:rPr>
            </w:pPr>
            <w:r w:rsidRPr="00CE17E9">
              <w:rPr>
                <w:sz w:val="21"/>
                <w:szCs w:val="21"/>
                <w:lang w:val="en-CA" w:eastAsia="en-CA"/>
              </w:rPr>
              <w:t>100</w:t>
            </w:r>
          </w:p>
        </w:tc>
      </w:tr>
      <w:tr w:rsidR="00CE17E9" w:rsidRPr="00CE17E9" w14:paraId="640C986D" w14:textId="77777777" w:rsidTr="000A7C0C">
        <w:tc>
          <w:tcPr>
            <w:tcW w:w="851"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3BE9287F" w14:textId="77777777" w:rsidR="00A723BA" w:rsidRPr="00CE17E9" w:rsidRDefault="00A723BA" w:rsidP="00FB4800">
            <w:pPr>
              <w:jc w:val="left"/>
              <w:rPr>
                <w:sz w:val="21"/>
                <w:szCs w:val="21"/>
                <w:lang w:val="en-CA" w:eastAsia="en-CA"/>
              </w:rPr>
            </w:pPr>
            <w:r w:rsidRPr="00CE17E9">
              <w:rPr>
                <w:sz w:val="21"/>
                <w:szCs w:val="21"/>
                <w:lang w:val="en-CA" w:eastAsia="en-CA"/>
              </w:rPr>
              <w:t>2005</w:t>
            </w:r>
          </w:p>
        </w:tc>
        <w:tc>
          <w:tcPr>
            <w:tcW w:w="992"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7AC358D0" w14:textId="77777777" w:rsidR="00A723BA" w:rsidRPr="00CE17E9" w:rsidRDefault="00A723BA" w:rsidP="00FB4800">
            <w:pPr>
              <w:jc w:val="right"/>
              <w:rPr>
                <w:sz w:val="21"/>
                <w:szCs w:val="21"/>
                <w:lang w:val="en-CA" w:eastAsia="en-CA"/>
              </w:rPr>
            </w:pPr>
            <w:r w:rsidRPr="00CE17E9">
              <w:rPr>
                <w:sz w:val="21"/>
                <w:szCs w:val="21"/>
                <w:lang w:val="en-CA" w:eastAsia="en-CA"/>
              </w:rPr>
              <w:t>28</w:t>
            </w:r>
          </w:p>
        </w:tc>
        <w:tc>
          <w:tcPr>
            <w:tcW w:w="1134"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33332B1C" w14:textId="77777777" w:rsidR="00A723BA" w:rsidRPr="00CE17E9" w:rsidRDefault="00A723BA" w:rsidP="00FB4800">
            <w:pPr>
              <w:jc w:val="right"/>
              <w:rPr>
                <w:sz w:val="21"/>
                <w:szCs w:val="21"/>
                <w:lang w:val="en-CA" w:eastAsia="en-CA"/>
              </w:rPr>
            </w:pPr>
            <w:r w:rsidRPr="00CE17E9">
              <w:rPr>
                <w:sz w:val="21"/>
                <w:szCs w:val="21"/>
                <w:lang w:val="en-CA" w:eastAsia="en-CA"/>
              </w:rPr>
              <w:t>28</w:t>
            </w:r>
          </w:p>
        </w:tc>
        <w:tc>
          <w:tcPr>
            <w:tcW w:w="1134"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4D099B47" w14:textId="77777777" w:rsidR="00A723BA" w:rsidRPr="00CE17E9" w:rsidRDefault="00A723BA" w:rsidP="00FB4800">
            <w:pPr>
              <w:jc w:val="right"/>
              <w:rPr>
                <w:sz w:val="21"/>
                <w:szCs w:val="21"/>
                <w:lang w:val="en-CA" w:eastAsia="en-CA"/>
              </w:rPr>
            </w:pPr>
            <w:r w:rsidRPr="00CE17E9">
              <w:rPr>
                <w:sz w:val="21"/>
                <w:szCs w:val="21"/>
                <w:lang w:val="en-CA" w:eastAsia="en-CA"/>
              </w:rPr>
              <w:t>100</w:t>
            </w:r>
          </w:p>
        </w:tc>
        <w:tc>
          <w:tcPr>
            <w:tcW w:w="1311"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0496BEED" w14:textId="77777777" w:rsidR="00A723BA" w:rsidRPr="00CE17E9" w:rsidRDefault="00A723BA" w:rsidP="00FB4800">
            <w:pPr>
              <w:jc w:val="right"/>
              <w:rPr>
                <w:sz w:val="21"/>
                <w:szCs w:val="21"/>
                <w:lang w:val="en-CA" w:eastAsia="en-CA"/>
              </w:rPr>
            </w:pPr>
            <w:r w:rsidRPr="00CE17E9">
              <w:rPr>
                <w:sz w:val="21"/>
                <w:szCs w:val="21"/>
                <w:lang w:val="en-CA" w:eastAsia="en-CA"/>
              </w:rPr>
              <w:t>18,586,034</w:t>
            </w:r>
          </w:p>
        </w:tc>
        <w:tc>
          <w:tcPr>
            <w:tcW w:w="1311"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26272C31" w14:textId="77777777" w:rsidR="00A723BA" w:rsidRPr="00CE17E9" w:rsidRDefault="00A723BA" w:rsidP="00FB4800">
            <w:pPr>
              <w:jc w:val="right"/>
              <w:rPr>
                <w:sz w:val="21"/>
                <w:szCs w:val="21"/>
                <w:lang w:val="en-CA" w:eastAsia="en-CA"/>
              </w:rPr>
            </w:pPr>
            <w:r w:rsidRPr="00CE17E9">
              <w:rPr>
                <w:sz w:val="21"/>
                <w:szCs w:val="21"/>
                <w:lang w:val="en-CA" w:eastAsia="en-CA"/>
              </w:rPr>
              <w:t>18,183,034</w:t>
            </w:r>
          </w:p>
        </w:tc>
        <w:tc>
          <w:tcPr>
            <w:tcW w:w="1311"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47D72014" w14:textId="77777777" w:rsidR="00A723BA" w:rsidRPr="00CE17E9" w:rsidRDefault="00A723BA" w:rsidP="00FB4800">
            <w:pPr>
              <w:jc w:val="right"/>
              <w:rPr>
                <w:sz w:val="21"/>
                <w:szCs w:val="21"/>
                <w:lang w:val="en-CA" w:eastAsia="en-CA"/>
              </w:rPr>
            </w:pPr>
            <w:r w:rsidRPr="00CE17E9">
              <w:rPr>
                <w:sz w:val="21"/>
                <w:szCs w:val="21"/>
                <w:lang w:val="en-CA" w:eastAsia="en-CA"/>
              </w:rPr>
              <w:t>403,000</w:t>
            </w:r>
          </w:p>
        </w:tc>
        <w:tc>
          <w:tcPr>
            <w:tcW w:w="1312"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22F675A9" w14:textId="77777777" w:rsidR="00A723BA" w:rsidRPr="00CE17E9" w:rsidRDefault="00A723BA" w:rsidP="00FB4800">
            <w:pPr>
              <w:jc w:val="right"/>
              <w:rPr>
                <w:sz w:val="21"/>
                <w:szCs w:val="21"/>
                <w:lang w:val="en-CA" w:eastAsia="en-CA"/>
              </w:rPr>
            </w:pPr>
            <w:r w:rsidRPr="00CE17E9">
              <w:rPr>
                <w:sz w:val="21"/>
                <w:szCs w:val="21"/>
                <w:lang w:val="en-CA" w:eastAsia="en-CA"/>
              </w:rPr>
              <w:t>98</w:t>
            </w:r>
          </w:p>
        </w:tc>
      </w:tr>
      <w:tr w:rsidR="00CE17E9" w:rsidRPr="00CE17E9" w14:paraId="527D99A1" w14:textId="77777777" w:rsidTr="000A7C0C">
        <w:tc>
          <w:tcPr>
            <w:tcW w:w="851"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52408B1A" w14:textId="77777777" w:rsidR="00A723BA" w:rsidRPr="00CE17E9" w:rsidRDefault="00A723BA" w:rsidP="00FB4800">
            <w:pPr>
              <w:jc w:val="left"/>
              <w:rPr>
                <w:sz w:val="21"/>
                <w:szCs w:val="21"/>
                <w:lang w:val="en-CA" w:eastAsia="en-CA"/>
              </w:rPr>
            </w:pPr>
            <w:r w:rsidRPr="00CE17E9">
              <w:rPr>
                <w:sz w:val="21"/>
                <w:szCs w:val="21"/>
                <w:lang w:val="en-CA" w:eastAsia="en-CA"/>
              </w:rPr>
              <w:t>2006</w:t>
            </w:r>
          </w:p>
        </w:tc>
        <w:tc>
          <w:tcPr>
            <w:tcW w:w="992"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112547CE" w14:textId="77777777" w:rsidR="00A723BA" w:rsidRPr="00CE17E9" w:rsidRDefault="00A723BA" w:rsidP="00FB4800">
            <w:pPr>
              <w:jc w:val="right"/>
              <w:rPr>
                <w:sz w:val="21"/>
                <w:szCs w:val="21"/>
                <w:lang w:val="en-CA" w:eastAsia="en-CA"/>
              </w:rPr>
            </w:pPr>
            <w:r w:rsidRPr="00CE17E9">
              <w:rPr>
                <w:sz w:val="21"/>
                <w:szCs w:val="21"/>
                <w:lang w:val="en-CA" w:eastAsia="en-CA"/>
              </w:rPr>
              <w:t>25</w:t>
            </w:r>
          </w:p>
        </w:tc>
        <w:tc>
          <w:tcPr>
            <w:tcW w:w="1134"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5E4057C4" w14:textId="77777777" w:rsidR="00A723BA" w:rsidRPr="00CE17E9" w:rsidRDefault="00A723BA" w:rsidP="00FB4800">
            <w:pPr>
              <w:jc w:val="right"/>
              <w:rPr>
                <w:sz w:val="21"/>
                <w:szCs w:val="21"/>
                <w:lang w:val="en-CA" w:eastAsia="en-CA"/>
              </w:rPr>
            </w:pPr>
            <w:r w:rsidRPr="00CE17E9">
              <w:rPr>
                <w:sz w:val="21"/>
                <w:szCs w:val="21"/>
                <w:lang w:val="en-CA" w:eastAsia="en-CA"/>
              </w:rPr>
              <w:t>25</w:t>
            </w:r>
          </w:p>
        </w:tc>
        <w:tc>
          <w:tcPr>
            <w:tcW w:w="1134"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6573E14D" w14:textId="77777777" w:rsidR="00A723BA" w:rsidRPr="00CE17E9" w:rsidRDefault="00A723BA" w:rsidP="00FB4800">
            <w:pPr>
              <w:jc w:val="right"/>
              <w:rPr>
                <w:sz w:val="21"/>
                <w:szCs w:val="21"/>
                <w:lang w:val="en-CA" w:eastAsia="en-CA"/>
              </w:rPr>
            </w:pPr>
            <w:r w:rsidRPr="00CE17E9">
              <w:rPr>
                <w:sz w:val="21"/>
                <w:szCs w:val="21"/>
                <w:lang w:val="en-CA" w:eastAsia="en-CA"/>
              </w:rPr>
              <w:t>100</w:t>
            </w:r>
          </w:p>
        </w:tc>
        <w:tc>
          <w:tcPr>
            <w:tcW w:w="1311"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299744C7" w14:textId="77777777" w:rsidR="00A723BA" w:rsidRPr="00CE17E9" w:rsidRDefault="00A723BA" w:rsidP="00FB4800">
            <w:pPr>
              <w:jc w:val="right"/>
              <w:rPr>
                <w:sz w:val="21"/>
                <w:szCs w:val="21"/>
                <w:lang w:val="en-CA" w:eastAsia="en-CA"/>
              </w:rPr>
            </w:pPr>
            <w:r w:rsidRPr="00CE17E9">
              <w:rPr>
                <w:sz w:val="21"/>
                <w:szCs w:val="21"/>
                <w:lang w:val="en-CA" w:eastAsia="en-CA"/>
              </w:rPr>
              <w:t>7,128,813</w:t>
            </w:r>
          </w:p>
        </w:tc>
        <w:tc>
          <w:tcPr>
            <w:tcW w:w="1311"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2B365F29" w14:textId="77777777" w:rsidR="00A723BA" w:rsidRPr="00CE17E9" w:rsidRDefault="00A723BA" w:rsidP="00FB4800">
            <w:pPr>
              <w:jc w:val="right"/>
              <w:rPr>
                <w:sz w:val="21"/>
                <w:szCs w:val="21"/>
                <w:lang w:val="en-CA" w:eastAsia="en-CA"/>
              </w:rPr>
            </w:pPr>
            <w:r w:rsidRPr="00CE17E9">
              <w:rPr>
                <w:sz w:val="21"/>
                <w:szCs w:val="21"/>
                <w:lang w:val="en-CA" w:eastAsia="en-CA"/>
              </w:rPr>
              <w:t>7,128,808</w:t>
            </w:r>
          </w:p>
        </w:tc>
        <w:tc>
          <w:tcPr>
            <w:tcW w:w="1311"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5FED6BB4" w14:textId="77777777" w:rsidR="00A723BA" w:rsidRPr="00CE17E9" w:rsidRDefault="00A723BA" w:rsidP="00FB4800">
            <w:pPr>
              <w:jc w:val="right"/>
              <w:rPr>
                <w:sz w:val="21"/>
                <w:szCs w:val="21"/>
                <w:lang w:val="en-CA" w:eastAsia="en-CA"/>
              </w:rPr>
            </w:pPr>
            <w:r w:rsidRPr="00CE17E9">
              <w:rPr>
                <w:sz w:val="21"/>
                <w:szCs w:val="21"/>
                <w:lang w:val="en-CA" w:eastAsia="en-CA"/>
              </w:rPr>
              <w:t>5</w:t>
            </w:r>
          </w:p>
        </w:tc>
        <w:tc>
          <w:tcPr>
            <w:tcW w:w="1312"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3249C0FE" w14:textId="77777777" w:rsidR="00A723BA" w:rsidRPr="00CE17E9" w:rsidRDefault="00A723BA" w:rsidP="00FB4800">
            <w:pPr>
              <w:jc w:val="right"/>
              <w:rPr>
                <w:sz w:val="21"/>
                <w:szCs w:val="21"/>
                <w:lang w:val="en-CA" w:eastAsia="en-CA"/>
              </w:rPr>
            </w:pPr>
            <w:r w:rsidRPr="00CE17E9">
              <w:rPr>
                <w:sz w:val="21"/>
                <w:szCs w:val="21"/>
                <w:lang w:val="en-CA" w:eastAsia="en-CA"/>
              </w:rPr>
              <w:t>100</w:t>
            </w:r>
          </w:p>
        </w:tc>
      </w:tr>
      <w:tr w:rsidR="00CE17E9" w:rsidRPr="00CE17E9" w14:paraId="1B96E440" w14:textId="77777777" w:rsidTr="000A7C0C">
        <w:tc>
          <w:tcPr>
            <w:tcW w:w="851"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377B88A9" w14:textId="77777777" w:rsidR="00A723BA" w:rsidRPr="00CE17E9" w:rsidRDefault="00A723BA" w:rsidP="00FB4800">
            <w:pPr>
              <w:jc w:val="left"/>
              <w:rPr>
                <w:sz w:val="21"/>
                <w:szCs w:val="21"/>
                <w:lang w:val="en-CA" w:eastAsia="en-CA"/>
              </w:rPr>
            </w:pPr>
            <w:r w:rsidRPr="00CE17E9">
              <w:rPr>
                <w:sz w:val="21"/>
                <w:szCs w:val="21"/>
                <w:lang w:val="en-CA" w:eastAsia="en-CA"/>
              </w:rPr>
              <w:t>2007</w:t>
            </w:r>
          </w:p>
        </w:tc>
        <w:tc>
          <w:tcPr>
            <w:tcW w:w="992"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193686B3" w14:textId="77777777" w:rsidR="00A723BA" w:rsidRPr="00CE17E9" w:rsidRDefault="00A723BA" w:rsidP="00FB4800">
            <w:pPr>
              <w:jc w:val="right"/>
              <w:rPr>
                <w:sz w:val="21"/>
                <w:szCs w:val="21"/>
                <w:lang w:val="en-CA" w:eastAsia="en-CA"/>
              </w:rPr>
            </w:pPr>
            <w:r w:rsidRPr="00CE17E9">
              <w:rPr>
                <w:sz w:val="21"/>
                <w:szCs w:val="21"/>
                <w:lang w:val="en-CA" w:eastAsia="en-CA"/>
              </w:rPr>
              <w:t>13</w:t>
            </w:r>
          </w:p>
        </w:tc>
        <w:tc>
          <w:tcPr>
            <w:tcW w:w="1134"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5BDA498E" w14:textId="77777777" w:rsidR="00A723BA" w:rsidRPr="00CE17E9" w:rsidRDefault="00A723BA" w:rsidP="00FB4800">
            <w:pPr>
              <w:jc w:val="right"/>
              <w:rPr>
                <w:sz w:val="21"/>
                <w:szCs w:val="21"/>
                <w:lang w:val="en-CA" w:eastAsia="en-CA"/>
              </w:rPr>
            </w:pPr>
            <w:r w:rsidRPr="00CE17E9">
              <w:rPr>
                <w:sz w:val="21"/>
                <w:szCs w:val="21"/>
                <w:lang w:val="en-CA" w:eastAsia="en-CA"/>
              </w:rPr>
              <w:t>13</w:t>
            </w:r>
          </w:p>
        </w:tc>
        <w:tc>
          <w:tcPr>
            <w:tcW w:w="1134"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6044C631" w14:textId="77777777" w:rsidR="00A723BA" w:rsidRPr="00CE17E9" w:rsidRDefault="00A723BA" w:rsidP="00FB4800">
            <w:pPr>
              <w:jc w:val="right"/>
              <w:rPr>
                <w:sz w:val="21"/>
                <w:szCs w:val="21"/>
                <w:lang w:val="en-CA" w:eastAsia="en-CA"/>
              </w:rPr>
            </w:pPr>
            <w:r w:rsidRPr="00CE17E9">
              <w:rPr>
                <w:sz w:val="21"/>
                <w:szCs w:val="21"/>
                <w:lang w:val="en-CA" w:eastAsia="en-CA"/>
              </w:rPr>
              <w:t>100</w:t>
            </w:r>
          </w:p>
        </w:tc>
        <w:tc>
          <w:tcPr>
            <w:tcW w:w="1311"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49743E6F" w14:textId="77777777" w:rsidR="00A723BA" w:rsidRPr="00CE17E9" w:rsidRDefault="00A723BA" w:rsidP="00FB4800">
            <w:pPr>
              <w:jc w:val="right"/>
              <w:rPr>
                <w:sz w:val="21"/>
                <w:szCs w:val="21"/>
                <w:lang w:val="en-CA" w:eastAsia="en-CA"/>
              </w:rPr>
            </w:pPr>
            <w:r w:rsidRPr="00CE17E9">
              <w:rPr>
                <w:sz w:val="21"/>
                <w:szCs w:val="21"/>
                <w:lang w:val="en-CA" w:eastAsia="en-CA"/>
              </w:rPr>
              <w:t>3,138,440</w:t>
            </w:r>
          </w:p>
        </w:tc>
        <w:tc>
          <w:tcPr>
            <w:tcW w:w="1311"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0B8C131A" w14:textId="77777777" w:rsidR="00A723BA" w:rsidRPr="00CE17E9" w:rsidRDefault="00A723BA" w:rsidP="00FB4800">
            <w:pPr>
              <w:jc w:val="right"/>
              <w:rPr>
                <w:sz w:val="21"/>
                <w:szCs w:val="21"/>
                <w:lang w:val="en-CA" w:eastAsia="en-CA"/>
              </w:rPr>
            </w:pPr>
            <w:r w:rsidRPr="00CE17E9">
              <w:rPr>
                <w:sz w:val="21"/>
                <w:szCs w:val="21"/>
                <w:lang w:val="en-CA" w:eastAsia="en-CA"/>
              </w:rPr>
              <w:t>3,138,440</w:t>
            </w:r>
          </w:p>
        </w:tc>
        <w:tc>
          <w:tcPr>
            <w:tcW w:w="1311"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17C579B4" w14:textId="77777777" w:rsidR="00A723BA" w:rsidRPr="00CE17E9" w:rsidRDefault="00A723BA" w:rsidP="00FB4800">
            <w:pPr>
              <w:jc w:val="right"/>
              <w:rPr>
                <w:sz w:val="21"/>
                <w:szCs w:val="21"/>
                <w:lang w:val="en-CA" w:eastAsia="en-CA"/>
              </w:rPr>
            </w:pPr>
            <w:r w:rsidRPr="00CE17E9">
              <w:rPr>
                <w:sz w:val="21"/>
                <w:szCs w:val="21"/>
                <w:lang w:val="en-CA" w:eastAsia="en-CA"/>
              </w:rPr>
              <w:t>0</w:t>
            </w:r>
          </w:p>
        </w:tc>
        <w:tc>
          <w:tcPr>
            <w:tcW w:w="1312"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0DDABD25" w14:textId="77777777" w:rsidR="00A723BA" w:rsidRPr="00CE17E9" w:rsidRDefault="00A723BA" w:rsidP="00FB4800">
            <w:pPr>
              <w:jc w:val="right"/>
              <w:rPr>
                <w:sz w:val="21"/>
                <w:szCs w:val="21"/>
                <w:lang w:val="en-CA" w:eastAsia="en-CA"/>
              </w:rPr>
            </w:pPr>
            <w:r w:rsidRPr="00CE17E9">
              <w:rPr>
                <w:sz w:val="21"/>
                <w:szCs w:val="21"/>
                <w:lang w:val="en-CA" w:eastAsia="en-CA"/>
              </w:rPr>
              <w:t>100</w:t>
            </w:r>
          </w:p>
        </w:tc>
      </w:tr>
      <w:tr w:rsidR="00CE17E9" w:rsidRPr="00CE17E9" w14:paraId="662E3A1B" w14:textId="77777777" w:rsidTr="000A7C0C">
        <w:tc>
          <w:tcPr>
            <w:tcW w:w="851"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06BF1A62" w14:textId="77777777" w:rsidR="00A723BA" w:rsidRPr="00CE17E9" w:rsidRDefault="00A723BA" w:rsidP="00FB4800">
            <w:pPr>
              <w:jc w:val="left"/>
              <w:rPr>
                <w:sz w:val="21"/>
                <w:szCs w:val="21"/>
                <w:lang w:val="en-CA" w:eastAsia="en-CA"/>
              </w:rPr>
            </w:pPr>
            <w:r w:rsidRPr="00CE17E9">
              <w:rPr>
                <w:sz w:val="21"/>
                <w:szCs w:val="21"/>
                <w:lang w:val="en-CA" w:eastAsia="en-CA"/>
              </w:rPr>
              <w:t>2008</w:t>
            </w:r>
          </w:p>
        </w:tc>
        <w:tc>
          <w:tcPr>
            <w:tcW w:w="992"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6C63DEBE" w14:textId="77777777" w:rsidR="00A723BA" w:rsidRPr="00CE17E9" w:rsidRDefault="00A723BA" w:rsidP="00FB4800">
            <w:pPr>
              <w:jc w:val="right"/>
              <w:rPr>
                <w:sz w:val="21"/>
                <w:szCs w:val="21"/>
                <w:lang w:val="en-CA" w:eastAsia="en-CA"/>
              </w:rPr>
            </w:pPr>
            <w:r w:rsidRPr="00CE17E9">
              <w:rPr>
                <w:sz w:val="21"/>
                <w:szCs w:val="21"/>
                <w:lang w:val="en-CA" w:eastAsia="en-CA"/>
              </w:rPr>
              <w:t>33</w:t>
            </w:r>
          </w:p>
        </w:tc>
        <w:tc>
          <w:tcPr>
            <w:tcW w:w="1134"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4E650141" w14:textId="77777777" w:rsidR="00A723BA" w:rsidRPr="00CE17E9" w:rsidRDefault="00A723BA" w:rsidP="00FB4800">
            <w:pPr>
              <w:jc w:val="right"/>
              <w:rPr>
                <w:sz w:val="21"/>
                <w:szCs w:val="21"/>
                <w:lang w:val="en-CA" w:eastAsia="en-CA"/>
              </w:rPr>
            </w:pPr>
            <w:r w:rsidRPr="00CE17E9">
              <w:rPr>
                <w:sz w:val="21"/>
                <w:szCs w:val="21"/>
                <w:lang w:val="en-CA" w:eastAsia="en-CA"/>
              </w:rPr>
              <w:t>33</w:t>
            </w:r>
          </w:p>
        </w:tc>
        <w:tc>
          <w:tcPr>
            <w:tcW w:w="1134"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13EDF98D" w14:textId="77777777" w:rsidR="00A723BA" w:rsidRPr="00CE17E9" w:rsidRDefault="00A723BA" w:rsidP="00FB4800">
            <w:pPr>
              <w:jc w:val="right"/>
              <w:rPr>
                <w:sz w:val="21"/>
                <w:szCs w:val="21"/>
                <w:lang w:val="en-CA" w:eastAsia="en-CA"/>
              </w:rPr>
            </w:pPr>
            <w:r w:rsidRPr="00CE17E9">
              <w:rPr>
                <w:sz w:val="21"/>
                <w:szCs w:val="21"/>
                <w:lang w:val="en-CA" w:eastAsia="en-CA"/>
              </w:rPr>
              <w:t>100</w:t>
            </w:r>
          </w:p>
        </w:tc>
        <w:tc>
          <w:tcPr>
            <w:tcW w:w="1311"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2B8B4F05" w14:textId="77777777" w:rsidR="00A723BA" w:rsidRPr="00CE17E9" w:rsidRDefault="00A723BA" w:rsidP="00FB4800">
            <w:pPr>
              <w:jc w:val="right"/>
              <w:rPr>
                <w:sz w:val="21"/>
                <w:szCs w:val="21"/>
                <w:lang w:val="en-CA" w:eastAsia="en-CA"/>
              </w:rPr>
            </w:pPr>
            <w:r w:rsidRPr="00CE17E9">
              <w:rPr>
                <w:sz w:val="21"/>
                <w:szCs w:val="21"/>
                <w:lang w:val="en-CA" w:eastAsia="en-CA"/>
              </w:rPr>
              <w:t>7,533,773</w:t>
            </w:r>
          </w:p>
        </w:tc>
        <w:tc>
          <w:tcPr>
            <w:tcW w:w="1311"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1A634085" w14:textId="77777777" w:rsidR="00A723BA" w:rsidRPr="00CE17E9" w:rsidRDefault="00A723BA" w:rsidP="00FB4800">
            <w:pPr>
              <w:jc w:val="right"/>
              <w:rPr>
                <w:sz w:val="21"/>
                <w:szCs w:val="21"/>
                <w:lang w:val="en-CA" w:eastAsia="en-CA"/>
              </w:rPr>
            </w:pPr>
            <w:r w:rsidRPr="00CE17E9">
              <w:rPr>
                <w:sz w:val="21"/>
                <w:szCs w:val="21"/>
                <w:lang w:val="en-CA" w:eastAsia="en-CA"/>
              </w:rPr>
              <w:t>7,531,037</w:t>
            </w:r>
          </w:p>
        </w:tc>
        <w:tc>
          <w:tcPr>
            <w:tcW w:w="1311"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6CAEEFA7" w14:textId="77777777" w:rsidR="00A723BA" w:rsidRPr="00CE17E9" w:rsidRDefault="00A723BA" w:rsidP="00FB4800">
            <w:pPr>
              <w:jc w:val="right"/>
              <w:rPr>
                <w:sz w:val="21"/>
                <w:szCs w:val="21"/>
                <w:lang w:val="en-CA" w:eastAsia="en-CA"/>
              </w:rPr>
            </w:pPr>
            <w:r w:rsidRPr="00CE17E9">
              <w:rPr>
                <w:sz w:val="21"/>
                <w:szCs w:val="21"/>
                <w:lang w:val="en-CA" w:eastAsia="en-CA"/>
              </w:rPr>
              <w:t>2,736</w:t>
            </w:r>
          </w:p>
        </w:tc>
        <w:tc>
          <w:tcPr>
            <w:tcW w:w="1312"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0E2CC27F" w14:textId="77777777" w:rsidR="00A723BA" w:rsidRPr="00CE17E9" w:rsidRDefault="00A723BA" w:rsidP="00FB4800">
            <w:pPr>
              <w:jc w:val="right"/>
              <w:rPr>
                <w:sz w:val="21"/>
                <w:szCs w:val="21"/>
                <w:lang w:val="en-CA" w:eastAsia="en-CA"/>
              </w:rPr>
            </w:pPr>
            <w:r w:rsidRPr="00CE17E9">
              <w:rPr>
                <w:sz w:val="21"/>
                <w:szCs w:val="21"/>
                <w:lang w:val="en-CA" w:eastAsia="en-CA"/>
              </w:rPr>
              <w:t>100</w:t>
            </w:r>
          </w:p>
        </w:tc>
      </w:tr>
      <w:tr w:rsidR="00CE17E9" w:rsidRPr="00CE17E9" w14:paraId="691F52C4" w14:textId="77777777" w:rsidTr="000A7C0C">
        <w:tc>
          <w:tcPr>
            <w:tcW w:w="851"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167811F3" w14:textId="77777777" w:rsidR="00A723BA" w:rsidRPr="00CE17E9" w:rsidRDefault="00A723BA" w:rsidP="00FB4800">
            <w:pPr>
              <w:jc w:val="left"/>
              <w:rPr>
                <w:sz w:val="21"/>
                <w:szCs w:val="21"/>
                <w:lang w:val="en-CA" w:eastAsia="en-CA"/>
              </w:rPr>
            </w:pPr>
            <w:r w:rsidRPr="00CE17E9">
              <w:rPr>
                <w:sz w:val="21"/>
                <w:szCs w:val="21"/>
                <w:lang w:val="en-CA" w:eastAsia="en-CA"/>
              </w:rPr>
              <w:t>2009</w:t>
            </w:r>
          </w:p>
        </w:tc>
        <w:tc>
          <w:tcPr>
            <w:tcW w:w="992"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17555F96" w14:textId="77777777" w:rsidR="00A723BA" w:rsidRPr="00CE17E9" w:rsidRDefault="00A723BA" w:rsidP="00FB4800">
            <w:pPr>
              <w:jc w:val="right"/>
              <w:rPr>
                <w:sz w:val="21"/>
                <w:szCs w:val="21"/>
                <w:lang w:val="en-CA" w:eastAsia="en-CA"/>
              </w:rPr>
            </w:pPr>
            <w:r w:rsidRPr="00CE17E9">
              <w:rPr>
                <w:sz w:val="21"/>
                <w:szCs w:val="21"/>
                <w:lang w:val="en-CA" w:eastAsia="en-CA"/>
              </w:rPr>
              <w:t>21</w:t>
            </w:r>
          </w:p>
        </w:tc>
        <w:tc>
          <w:tcPr>
            <w:tcW w:w="1134"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4140BBD5" w14:textId="77777777" w:rsidR="00A723BA" w:rsidRPr="00CE17E9" w:rsidRDefault="00A723BA" w:rsidP="00FB4800">
            <w:pPr>
              <w:jc w:val="right"/>
              <w:rPr>
                <w:sz w:val="21"/>
                <w:szCs w:val="21"/>
                <w:lang w:val="en-CA" w:eastAsia="en-CA"/>
              </w:rPr>
            </w:pPr>
            <w:r w:rsidRPr="00CE17E9">
              <w:rPr>
                <w:sz w:val="21"/>
                <w:szCs w:val="21"/>
                <w:lang w:val="en-CA" w:eastAsia="en-CA"/>
              </w:rPr>
              <w:t>21</w:t>
            </w:r>
          </w:p>
        </w:tc>
        <w:tc>
          <w:tcPr>
            <w:tcW w:w="1134"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6B72B903" w14:textId="77777777" w:rsidR="00A723BA" w:rsidRPr="00CE17E9" w:rsidRDefault="00A723BA" w:rsidP="00FB4800">
            <w:pPr>
              <w:jc w:val="right"/>
              <w:rPr>
                <w:sz w:val="21"/>
                <w:szCs w:val="21"/>
                <w:lang w:val="en-CA" w:eastAsia="en-CA"/>
              </w:rPr>
            </w:pPr>
            <w:r w:rsidRPr="00CE17E9">
              <w:rPr>
                <w:sz w:val="21"/>
                <w:szCs w:val="21"/>
                <w:lang w:val="en-CA" w:eastAsia="en-CA"/>
              </w:rPr>
              <w:t>100</w:t>
            </w:r>
          </w:p>
        </w:tc>
        <w:tc>
          <w:tcPr>
            <w:tcW w:w="1311"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2B3091BE" w14:textId="77777777" w:rsidR="00A723BA" w:rsidRPr="00CE17E9" w:rsidRDefault="00A723BA" w:rsidP="00FB4800">
            <w:pPr>
              <w:jc w:val="right"/>
              <w:rPr>
                <w:sz w:val="21"/>
                <w:szCs w:val="21"/>
                <w:lang w:val="en-CA" w:eastAsia="en-CA"/>
              </w:rPr>
            </w:pPr>
            <w:r w:rsidRPr="00CE17E9">
              <w:rPr>
                <w:sz w:val="21"/>
                <w:szCs w:val="21"/>
                <w:lang w:val="en-CA" w:eastAsia="en-CA"/>
              </w:rPr>
              <w:t>2,347,228</w:t>
            </w:r>
          </w:p>
        </w:tc>
        <w:tc>
          <w:tcPr>
            <w:tcW w:w="1311"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0153DE00" w14:textId="77777777" w:rsidR="00A723BA" w:rsidRPr="00CE17E9" w:rsidRDefault="00A723BA" w:rsidP="00FB4800">
            <w:pPr>
              <w:jc w:val="right"/>
              <w:rPr>
                <w:sz w:val="21"/>
                <w:szCs w:val="21"/>
                <w:lang w:val="en-CA" w:eastAsia="en-CA"/>
              </w:rPr>
            </w:pPr>
            <w:r w:rsidRPr="00CE17E9">
              <w:rPr>
                <w:sz w:val="21"/>
                <w:szCs w:val="21"/>
                <w:lang w:val="en-CA" w:eastAsia="en-CA"/>
              </w:rPr>
              <w:t>2,347,228</w:t>
            </w:r>
          </w:p>
        </w:tc>
        <w:tc>
          <w:tcPr>
            <w:tcW w:w="1311"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09784D6A" w14:textId="77777777" w:rsidR="00A723BA" w:rsidRPr="00CE17E9" w:rsidRDefault="00A723BA" w:rsidP="00FB4800">
            <w:pPr>
              <w:jc w:val="right"/>
              <w:rPr>
                <w:sz w:val="21"/>
                <w:szCs w:val="21"/>
                <w:lang w:val="en-CA" w:eastAsia="en-CA"/>
              </w:rPr>
            </w:pPr>
            <w:r w:rsidRPr="00CE17E9">
              <w:rPr>
                <w:sz w:val="21"/>
                <w:szCs w:val="21"/>
                <w:lang w:val="en-CA" w:eastAsia="en-CA"/>
              </w:rPr>
              <w:t>0</w:t>
            </w:r>
          </w:p>
        </w:tc>
        <w:tc>
          <w:tcPr>
            <w:tcW w:w="1312"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673EA3D0" w14:textId="77777777" w:rsidR="00A723BA" w:rsidRPr="00CE17E9" w:rsidRDefault="00A723BA" w:rsidP="00FB4800">
            <w:pPr>
              <w:jc w:val="right"/>
              <w:rPr>
                <w:sz w:val="21"/>
                <w:szCs w:val="21"/>
                <w:lang w:val="en-CA" w:eastAsia="en-CA"/>
              </w:rPr>
            </w:pPr>
            <w:r w:rsidRPr="00CE17E9">
              <w:rPr>
                <w:sz w:val="21"/>
                <w:szCs w:val="21"/>
                <w:lang w:val="en-CA" w:eastAsia="en-CA"/>
              </w:rPr>
              <w:t>100</w:t>
            </w:r>
          </w:p>
        </w:tc>
      </w:tr>
      <w:tr w:rsidR="00CE17E9" w:rsidRPr="00CE17E9" w14:paraId="61993422" w14:textId="77777777" w:rsidTr="000A7C0C">
        <w:tc>
          <w:tcPr>
            <w:tcW w:w="851"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71B71672" w14:textId="77777777" w:rsidR="00A723BA" w:rsidRPr="00CE17E9" w:rsidRDefault="00A723BA" w:rsidP="00FB4800">
            <w:pPr>
              <w:jc w:val="left"/>
              <w:rPr>
                <w:sz w:val="21"/>
                <w:szCs w:val="21"/>
                <w:lang w:val="en-CA" w:eastAsia="en-CA"/>
              </w:rPr>
            </w:pPr>
            <w:r w:rsidRPr="00CE17E9">
              <w:rPr>
                <w:sz w:val="21"/>
                <w:szCs w:val="21"/>
                <w:lang w:val="en-CA" w:eastAsia="en-CA"/>
              </w:rPr>
              <w:t>2010</w:t>
            </w:r>
          </w:p>
        </w:tc>
        <w:tc>
          <w:tcPr>
            <w:tcW w:w="992"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17E50D2D" w14:textId="77777777" w:rsidR="00A723BA" w:rsidRPr="00CE17E9" w:rsidRDefault="00A723BA" w:rsidP="00FB4800">
            <w:pPr>
              <w:jc w:val="right"/>
              <w:rPr>
                <w:sz w:val="21"/>
                <w:szCs w:val="21"/>
                <w:lang w:val="en-CA" w:eastAsia="en-CA"/>
              </w:rPr>
            </w:pPr>
            <w:r w:rsidRPr="00CE17E9">
              <w:rPr>
                <w:sz w:val="21"/>
                <w:szCs w:val="21"/>
                <w:lang w:val="en-CA" w:eastAsia="en-CA"/>
              </w:rPr>
              <w:t>20</w:t>
            </w:r>
          </w:p>
        </w:tc>
        <w:tc>
          <w:tcPr>
            <w:tcW w:w="1134"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49373144" w14:textId="77777777" w:rsidR="00A723BA" w:rsidRPr="00CE17E9" w:rsidRDefault="00A723BA" w:rsidP="00FB4800">
            <w:pPr>
              <w:jc w:val="right"/>
              <w:rPr>
                <w:sz w:val="21"/>
                <w:szCs w:val="21"/>
                <w:lang w:val="en-CA" w:eastAsia="en-CA"/>
              </w:rPr>
            </w:pPr>
            <w:r w:rsidRPr="00CE17E9">
              <w:rPr>
                <w:sz w:val="21"/>
                <w:szCs w:val="21"/>
                <w:lang w:val="en-CA" w:eastAsia="en-CA"/>
              </w:rPr>
              <w:t>19</w:t>
            </w:r>
          </w:p>
        </w:tc>
        <w:tc>
          <w:tcPr>
            <w:tcW w:w="1134"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6569E733" w14:textId="77777777" w:rsidR="00A723BA" w:rsidRPr="00CE17E9" w:rsidRDefault="00A723BA" w:rsidP="00FB4800">
            <w:pPr>
              <w:jc w:val="right"/>
              <w:rPr>
                <w:sz w:val="21"/>
                <w:szCs w:val="21"/>
                <w:lang w:val="en-CA" w:eastAsia="en-CA"/>
              </w:rPr>
            </w:pPr>
            <w:r w:rsidRPr="00CE17E9">
              <w:rPr>
                <w:sz w:val="21"/>
                <w:szCs w:val="21"/>
                <w:lang w:val="en-CA" w:eastAsia="en-CA"/>
              </w:rPr>
              <w:t>95</w:t>
            </w:r>
          </w:p>
        </w:tc>
        <w:tc>
          <w:tcPr>
            <w:tcW w:w="1311"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2AD78624" w14:textId="77777777" w:rsidR="00A723BA" w:rsidRPr="00CE17E9" w:rsidRDefault="00A723BA" w:rsidP="00FB4800">
            <w:pPr>
              <w:jc w:val="right"/>
              <w:rPr>
                <w:sz w:val="21"/>
                <w:szCs w:val="21"/>
                <w:lang w:val="en-CA" w:eastAsia="en-CA"/>
              </w:rPr>
            </w:pPr>
            <w:r w:rsidRPr="00CE17E9">
              <w:rPr>
                <w:sz w:val="21"/>
                <w:szCs w:val="21"/>
                <w:lang w:val="en-CA" w:eastAsia="en-CA"/>
              </w:rPr>
              <w:t>3,278,515</w:t>
            </w:r>
          </w:p>
        </w:tc>
        <w:tc>
          <w:tcPr>
            <w:tcW w:w="1311"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2941DB29" w14:textId="77777777" w:rsidR="00A723BA" w:rsidRPr="00CE17E9" w:rsidRDefault="00A723BA" w:rsidP="00FB4800">
            <w:pPr>
              <w:jc w:val="right"/>
              <w:rPr>
                <w:sz w:val="21"/>
                <w:szCs w:val="21"/>
                <w:lang w:val="en-CA" w:eastAsia="en-CA"/>
              </w:rPr>
            </w:pPr>
            <w:r w:rsidRPr="00CE17E9">
              <w:rPr>
                <w:sz w:val="21"/>
                <w:szCs w:val="21"/>
                <w:lang w:val="en-CA" w:eastAsia="en-CA"/>
              </w:rPr>
              <w:t>3,278,389</w:t>
            </w:r>
          </w:p>
        </w:tc>
        <w:tc>
          <w:tcPr>
            <w:tcW w:w="1311"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5E8183B1" w14:textId="77777777" w:rsidR="00A723BA" w:rsidRPr="00CE17E9" w:rsidRDefault="00A723BA" w:rsidP="00FB4800">
            <w:pPr>
              <w:jc w:val="right"/>
              <w:rPr>
                <w:sz w:val="21"/>
                <w:szCs w:val="21"/>
                <w:lang w:val="en-CA" w:eastAsia="en-CA"/>
              </w:rPr>
            </w:pPr>
            <w:r w:rsidRPr="00CE17E9">
              <w:rPr>
                <w:sz w:val="21"/>
                <w:szCs w:val="21"/>
                <w:lang w:val="en-CA" w:eastAsia="en-CA"/>
              </w:rPr>
              <w:t>126</w:t>
            </w:r>
          </w:p>
        </w:tc>
        <w:tc>
          <w:tcPr>
            <w:tcW w:w="1312"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29A6084D" w14:textId="77777777" w:rsidR="00A723BA" w:rsidRPr="00CE17E9" w:rsidRDefault="00A723BA" w:rsidP="00FB4800">
            <w:pPr>
              <w:jc w:val="right"/>
              <w:rPr>
                <w:sz w:val="21"/>
                <w:szCs w:val="21"/>
                <w:lang w:val="en-CA" w:eastAsia="en-CA"/>
              </w:rPr>
            </w:pPr>
            <w:r w:rsidRPr="00CE17E9">
              <w:rPr>
                <w:sz w:val="21"/>
                <w:szCs w:val="21"/>
                <w:lang w:val="en-CA" w:eastAsia="en-CA"/>
              </w:rPr>
              <w:t>100</w:t>
            </w:r>
          </w:p>
        </w:tc>
      </w:tr>
      <w:tr w:rsidR="00CE17E9" w:rsidRPr="00CE17E9" w14:paraId="059B7303" w14:textId="77777777" w:rsidTr="000A7C0C">
        <w:tc>
          <w:tcPr>
            <w:tcW w:w="851"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4D71E51A" w14:textId="77777777" w:rsidR="00A723BA" w:rsidRPr="00CE17E9" w:rsidRDefault="00A723BA" w:rsidP="00FB4800">
            <w:pPr>
              <w:jc w:val="left"/>
              <w:rPr>
                <w:sz w:val="21"/>
                <w:szCs w:val="21"/>
                <w:lang w:val="en-CA" w:eastAsia="en-CA"/>
              </w:rPr>
            </w:pPr>
            <w:r w:rsidRPr="00CE17E9">
              <w:rPr>
                <w:sz w:val="21"/>
                <w:szCs w:val="21"/>
                <w:lang w:val="en-CA" w:eastAsia="en-CA"/>
              </w:rPr>
              <w:t>2011</w:t>
            </w:r>
          </w:p>
        </w:tc>
        <w:tc>
          <w:tcPr>
            <w:tcW w:w="992"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256EEDBD" w14:textId="77777777" w:rsidR="00A723BA" w:rsidRPr="00CE17E9" w:rsidRDefault="00A723BA" w:rsidP="00FB4800">
            <w:pPr>
              <w:jc w:val="right"/>
              <w:rPr>
                <w:sz w:val="21"/>
                <w:szCs w:val="21"/>
                <w:lang w:val="en-CA" w:eastAsia="en-CA"/>
              </w:rPr>
            </w:pPr>
            <w:r w:rsidRPr="00CE17E9">
              <w:rPr>
                <w:sz w:val="21"/>
                <w:szCs w:val="21"/>
                <w:lang w:val="en-CA" w:eastAsia="en-CA"/>
              </w:rPr>
              <w:t>20</w:t>
            </w:r>
          </w:p>
        </w:tc>
        <w:tc>
          <w:tcPr>
            <w:tcW w:w="1134"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2BA33697" w14:textId="77777777" w:rsidR="00A723BA" w:rsidRPr="00CE17E9" w:rsidRDefault="00A723BA" w:rsidP="00FB4800">
            <w:pPr>
              <w:jc w:val="right"/>
              <w:rPr>
                <w:sz w:val="21"/>
                <w:szCs w:val="21"/>
                <w:lang w:val="en-CA" w:eastAsia="en-CA"/>
              </w:rPr>
            </w:pPr>
            <w:r w:rsidRPr="00CE17E9">
              <w:rPr>
                <w:sz w:val="21"/>
                <w:szCs w:val="21"/>
                <w:lang w:val="en-CA" w:eastAsia="en-CA"/>
              </w:rPr>
              <w:t>19</w:t>
            </w:r>
          </w:p>
        </w:tc>
        <w:tc>
          <w:tcPr>
            <w:tcW w:w="1134"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2F720AE9" w14:textId="77777777" w:rsidR="00A723BA" w:rsidRPr="00CE17E9" w:rsidRDefault="00A723BA" w:rsidP="00FB4800">
            <w:pPr>
              <w:jc w:val="right"/>
              <w:rPr>
                <w:sz w:val="21"/>
                <w:szCs w:val="21"/>
                <w:lang w:val="en-CA" w:eastAsia="en-CA"/>
              </w:rPr>
            </w:pPr>
            <w:r w:rsidRPr="00CE17E9">
              <w:rPr>
                <w:sz w:val="21"/>
                <w:szCs w:val="21"/>
                <w:lang w:val="en-CA" w:eastAsia="en-CA"/>
              </w:rPr>
              <w:t>95</w:t>
            </w:r>
          </w:p>
        </w:tc>
        <w:tc>
          <w:tcPr>
            <w:tcW w:w="1311"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45194E22" w14:textId="77777777" w:rsidR="00A723BA" w:rsidRPr="00CE17E9" w:rsidRDefault="00A723BA" w:rsidP="00FB4800">
            <w:pPr>
              <w:jc w:val="right"/>
              <w:rPr>
                <w:sz w:val="21"/>
                <w:szCs w:val="21"/>
                <w:lang w:val="en-CA" w:eastAsia="en-CA"/>
              </w:rPr>
            </w:pPr>
            <w:r w:rsidRPr="00CE17E9">
              <w:rPr>
                <w:sz w:val="21"/>
                <w:szCs w:val="21"/>
                <w:lang w:val="en-CA" w:eastAsia="en-CA"/>
              </w:rPr>
              <w:t>6,823,868</w:t>
            </w:r>
          </w:p>
        </w:tc>
        <w:tc>
          <w:tcPr>
            <w:tcW w:w="1311"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76D73EBF" w14:textId="77777777" w:rsidR="00A723BA" w:rsidRPr="00CE17E9" w:rsidRDefault="00A723BA" w:rsidP="00FB4800">
            <w:pPr>
              <w:jc w:val="right"/>
              <w:rPr>
                <w:sz w:val="21"/>
                <w:szCs w:val="21"/>
                <w:lang w:val="en-CA" w:eastAsia="en-CA"/>
              </w:rPr>
            </w:pPr>
            <w:r w:rsidRPr="00CE17E9">
              <w:rPr>
                <w:sz w:val="21"/>
                <w:szCs w:val="21"/>
                <w:lang w:val="en-CA" w:eastAsia="en-CA"/>
              </w:rPr>
              <w:t>6,714,903</w:t>
            </w:r>
          </w:p>
        </w:tc>
        <w:tc>
          <w:tcPr>
            <w:tcW w:w="1311"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3A8F21C5" w14:textId="77777777" w:rsidR="00A723BA" w:rsidRPr="00CE17E9" w:rsidRDefault="00A723BA" w:rsidP="00FB4800">
            <w:pPr>
              <w:jc w:val="right"/>
              <w:rPr>
                <w:sz w:val="21"/>
                <w:szCs w:val="21"/>
                <w:lang w:val="en-CA" w:eastAsia="en-CA"/>
              </w:rPr>
            </w:pPr>
            <w:r w:rsidRPr="00CE17E9">
              <w:rPr>
                <w:sz w:val="21"/>
                <w:szCs w:val="21"/>
                <w:lang w:val="en-CA" w:eastAsia="en-CA"/>
              </w:rPr>
              <w:t>108,965</w:t>
            </w:r>
          </w:p>
        </w:tc>
        <w:tc>
          <w:tcPr>
            <w:tcW w:w="1312"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200F4A20" w14:textId="77777777" w:rsidR="00A723BA" w:rsidRPr="00CE17E9" w:rsidRDefault="00A723BA" w:rsidP="00FB4800">
            <w:pPr>
              <w:jc w:val="right"/>
              <w:rPr>
                <w:sz w:val="21"/>
                <w:szCs w:val="21"/>
                <w:lang w:val="en-CA" w:eastAsia="en-CA"/>
              </w:rPr>
            </w:pPr>
            <w:r w:rsidRPr="00CE17E9">
              <w:rPr>
                <w:sz w:val="21"/>
                <w:szCs w:val="21"/>
                <w:lang w:val="en-CA" w:eastAsia="en-CA"/>
              </w:rPr>
              <w:t>98</w:t>
            </w:r>
          </w:p>
        </w:tc>
      </w:tr>
      <w:tr w:rsidR="00CE17E9" w:rsidRPr="00CE17E9" w14:paraId="707613FE" w14:textId="77777777" w:rsidTr="000A7C0C">
        <w:tc>
          <w:tcPr>
            <w:tcW w:w="851"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3797F536" w14:textId="77777777" w:rsidR="00A723BA" w:rsidRPr="00CE17E9" w:rsidRDefault="00A723BA" w:rsidP="00FB4800">
            <w:pPr>
              <w:jc w:val="left"/>
              <w:rPr>
                <w:sz w:val="21"/>
                <w:szCs w:val="21"/>
                <w:lang w:val="en-CA" w:eastAsia="en-CA"/>
              </w:rPr>
            </w:pPr>
            <w:r w:rsidRPr="00CE17E9">
              <w:rPr>
                <w:sz w:val="21"/>
                <w:szCs w:val="21"/>
                <w:lang w:val="en-CA" w:eastAsia="en-CA"/>
              </w:rPr>
              <w:t>2012</w:t>
            </w:r>
          </w:p>
        </w:tc>
        <w:tc>
          <w:tcPr>
            <w:tcW w:w="992"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5BA6D828" w14:textId="77777777" w:rsidR="00A723BA" w:rsidRPr="00CE17E9" w:rsidRDefault="00A723BA" w:rsidP="00FB4800">
            <w:pPr>
              <w:jc w:val="right"/>
              <w:rPr>
                <w:sz w:val="21"/>
                <w:szCs w:val="21"/>
                <w:lang w:val="en-CA" w:eastAsia="en-CA"/>
              </w:rPr>
            </w:pPr>
            <w:r w:rsidRPr="00CE17E9">
              <w:rPr>
                <w:sz w:val="21"/>
                <w:szCs w:val="21"/>
                <w:lang w:val="en-CA" w:eastAsia="en-CA"/>
              </w:rPr>
              <w:t>11</w:t>
            </w:r>
          </w:p>
        </w:tc>
        <w:tc>
          <w:tcPr>
            <w:tcW w:w="1134"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2ABF5192" w14:textId="77777777" w:rsidR="00A723BA" w:rsidRPr="00CE17E9" w:rsidRDefault="00A723BA" w:rsidP="00FB4800">
            <w:pPr>
              <w:jc w:val="right"/>
              <w:rPr>
                <w:sz w:val="21"/>
                <w:szCs w:val="21"/>
                <w:lang w:val="en-CA" w:eastAsia="en-CA"/>
              </w:rPr>
            </w:pPr>
            <w:r w:rsidRPr="00CE17E9">
              <w:rPr>
                <w:sz w:val="21"/>
                <w:szCs w:val="21"/>
                <w:lang w:val="en-CA" w:eastAsia="en-CA"/>
              </w:rPr>
              <w:t>11</w:t>
            </w:r>
          </w:p>
        </w:tc>
        <w:tc>
          <w:tcPr>
            <w:tcW w:w="1134"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08A91C1E" w14:textId="77777777" w:rsidR="00A723BA" w:rsidRPr="00CE17E9" w:rsidRDefault="00A723BA" w:rsidP="00FB4800">
            <w:pPr>
              <w:jc w:val="right"/>
              <w:rPr>
                <w:sz w:val="21"/>
                <w:szCs w:val="21"/>
                <w:lang w:val="en-CA" w:eastAsia="en-CA"/>
              </w:rPr>
            </w:pPr>
            <w:r w:rsidRPr="00CE17E9">
              <w:rPr>
                <w:sz w:val="21"/>
                <w:szCs w:val="21"/>
                <w:lang w:val="en-CA" w:eastAsia="en-CA"/>
              </w:rPr>
              <w:t>100</w:t>
            </w:r>
          </w:p>
        </w:tc>
        <w:tc>
          <w:tcPr>
            <w:tcW w:w="1311"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5AA868B7" w14:textId="77777777" w:rsidR="00A723BA" w:rsidRPr="00CE17E9" w:rsidRDefault="00A723BA" w:rsidP="00FB4800">
            <w:pPr>
              <w:jc w:val="right"/>
              <w:rPr>
                <w:sz w:val="21"/>
                <w:szCs w:val="21"/>
                <w:lang w:val="en-CA" w:eastAsia="en-CA"/>
              </w:rPr>
            </w:pPr>
            <w:r w:rsidRPr="00CE17E9">
              <w:rPr>
                <w:sz w:val="21"/>
                <w:szCs w:val="21"/>
                <w:lang w:val="en-CA" w:eastAsia="en-CA"/>
              </w:rPr>
              <w:t>6,597,912</w:t>
            </w:r>
          </w:p>
        </w:tc>
        <w:tc>
          <w:tcPr>
            <w:tcW w:w="1311"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09C608B4" w14:textId="77777777" w:rsidR="00A723BA" w:rsidRPr="00CE17E9" w:rsidRDefault="00A723BA" w:rsidP="00FB4800">
            <w:pPr>
              <w:jc w:val="right"/>
              <w:rPr>
                <w:sz w:val="21"/>
                <w:szCs w:val="21"/>
                <w:lang w:val="en-CA" w:eastAsia="en-CA"/>
              </w:rPr>
            </w:pPr>
            <w:r w:rsidRPr="00CE17E9">
              <w:rPr>
                <w:sz w:val="21"/>
                <w:szCs w:val="21"/>
                <w:lang w:val="en-CA" w:eastAsia="en-CA"/>
              </w:rPr>
              <w:t>6,594,959</w:t>
            </w:r>
          </w:p>
        </w:tc>
        <w:tc>
          <w:tcPr>
            <w:tcW w:w="1311"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0D489B2A" w14:textId="77777777" w:rsidR="00A723BA" w:rsidRPr="00CE17E9" w:rsidRDefault="00A723BA" w:rsidP="00FB4800">
            <w:pPr>
              <w:jc w:val="right"/>
              <w:rPr>
                <w:sz w:val="21"/>
                <w:szCs w:val="21"/>
                <w:lang w:val="en-CA" w:eastAsia="en-CA"/>
              </w:rPr>
            </w:pPr>
            <w:r w:rsidRPr="00CE17E9">
              <w:rPr>
                <w:sz w:val="21"/>
                <w:szCs w:val="21"/>
                <w:lang w:val="en-CA" w:eastAsia="en-CA"/>
              </w:rPr>
              <w:t>2,953</w:t>
            </w:r>
          </w:p>
        </w:tc>
        <w:tc>
          <w:tcPr>
            <w:tcW w:w="1312"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35754F75" w14:textId="77777777" w:rsidR="00A723BA" w:rsidRPr="00CE17E9" w:rsidRDefault="00A723BA" w:rsidP="00FB4800">
            <w:pPr>
              <w:jc w:val="right"/>
              <w:rPr>
                <w:sz w:val="21"/>
                <w:szCs w:val="21"/>
                <w:lang w:val="en-CA" w:eastAsia="en-CA"/>
              </w:rPr>
            </w:pPr>
            <w:r w:rsidRPr="00CE17E9">
              <w:rPr>
                <w:sz w:val="21"/>
                <w:szCs w:val="21"/>
                <w:lang w:val="en-CA" w:eastAsia="en-CA"/>
              </w:rPr>
              <w:t>100</w:t>
            </w:r>
          </w:p>
        </w:tc>
      </w:tr>
      <w:tr w:rsidR="00CE17E9" w:rsidRPr="00CE17E9" w14:paraId="2EDB603E" w14:textId="77777777" w:rsidTr="000A7C0C">
        <w:tc>
          <w:tcPr>
            <w:tcW w:w="851"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7CE9E4F7" w14:textId="77777777" w:rsidR="00A723BA" w:rsidRPr="00CE17E9" w:rsidRDefault="00A723BA" w:rsidP="00FB4800">
            <w:pPr>
              <w:jc w:val="left"/>
              <w:rPr>
                <w:sz w:val="21"/>
                <w:szCs w:val="21"/>
                <w:lang w:val="en-CA" w:eastAsia="en-CA"/>
              </w:rPr>
            </w:pPr>
            <w:r w:rsidRPr="00CE17E9">
              <w:rPr>
                <w:sz w:val="21"/>
                <w:szCs w:val="21"/>
                <w:lang w:val="en-CA" w:eastAsia="en-CA"/>
              </w:rPr>
              <w:t>2013</w:t>
            </w:r>
          </w:p>
        </w:tc>
        <w:tc>
          <w:tcPr>
            <w:tcW w:w="992"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3401D4F0" w14:textId="77777777" w:rsidR="00A723BA" w:rsidRPr="00CE17E9" w:rsidRDefault="00A723BA" w:rsidP="00FB4800">
            <w:pPr>
              <w:jc w:val="right"/>
              <w:rPr>
                <w:sz w:val="21"/>
                <w:szCs w:val="21"/>
                <w:lang w:val="en-CA" w:eastAsia="en-CA"/>
              </w:rPr>
            </w:pPr>
            <w:r w:rsidRPr="00CE17E9">
              <w:rPr>
                <w:sz w:val="21"/>
                <w:szCs w:val="21"/>
                <w:lang w:val="en-CA" w:eastAsia="en-CA"/>
              </w:rPr>
              <w:t>7</w:t>
            </w:r>
          </w:p>
        </w:tc>
        <w:tc>
          <w:tcPr>
            <w:tcW w:w="1134"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4552C2BE" w14:textId="77777777" w:rsidR="00A723BA" w:rsidRPr="00CE17E9" w:rsidRDefault="00A723BA" w:rsidP="00FB4800">
            <w:pPr>
              <w:jc w:val="right"/>
              <w:rPr>
                <w:sz w:val="21"/>
                <w:szCs w:val="21"/>
                <w:lang w:val="en-CA" w:eastAsia="en-CA"/>
              </w:rPr>
            </w:pPr>
            <w:r w:rsidRPr="00CE17E9">
              <w:rPr>
                <w:sz w:val="21"/>
                <w:szCs w:val="21"/>
                <w:lang w:val="en-CA" w:eastAsia="en-CA"/>
              </w:rPr>
              <w:t>4</w:t>
            </w:r>
          </w:p>
        </w:tc>
        <w:tc>
          <w:tcPr>
            <w:tcW w:w="1134"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1305DEC6" w14:textId="77777777" w:rsidR="00A723BA" w:rsidRPr="00CE17E9" w:rsidRDefault="00A723BA" w:rsidP="00FB4800">
            <w:pPr>
              <w:jc w:val="right"/>
              <w:rPr>
                <w:sz w:val="21"/>
                <w:szCs w:val="21"/>
                <w:lang w:val="en-CA" w:eastAsia="en-CA"/>
              </w:rPr>
            </w:pPr>
            <w:r w:rsidRPr="00CE17E9">
              <w:rPr>
                <w:sz w:val="21"/>
                <w:szCs w:val="21"/>
                <w:lang w:val="en-CA" w:eastAsia="en-CA"/>
              </w:rPr>
              <w:t>57</w:t>
            </w:r>
          </w:p>
        </w:tc>
        <w:tc>
          <w:tcPr>
            <w:tcW w:w="1311"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63400D0C" w14:textId="77777777" w:rsidR="00A723BA" w:rsidRPr="00CE17E9" w:rsidRDefault="00A723BA" w:rsidP="00FB4800">
            <w:pPr>
              <w:jc w:val="right"/>
              <w:rPr>
                <w:sz w:val="21"/>
                <w:szCs w:val="21"/>
                <w:lang w:val="en-CA" w:eastAsia="en-CA"/>
              </w:rPr>
            </w:pPr>
            <w:r w:rsidRPr="00CE17E9">
              <w:rPr>
                <w:sz w:val="21"/>
                <w:szCs w:val="21"/>
                <w:lang w:val="en-CA" w:eastAsia="en-CA"/>
              </w:rPr>
              <w:t>2,276,412</w:t>
            </w:r>
          </w:p>
        </w:tc>
        <w:tc>
          <w:tcPr>
            <w:tcW w:w="1311"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2B416B43" w14:textId="77777777" w:rsidR="00A723BA" w:rsidRPr="00CE17E9" w:rsidRDefault="00A723BA" w:rsidP="00FB4800">
            <w:pPr>
              <w:jc w:val="right"/>
              <w:rPr>
                <w:sz w:val="21"/>
                <w:szCs w:val="21"/>
                <w:lang w:val="en-CA" w:eastAsia="en-CA"/>
              </w:rPr>
            </w:pPr>
            <w:r w:rsidRPr="00CE17E9">
              <w:rPr>
                <w:sz w:val="21"/>
                <w:szCs w:val="21"/>
                <w:lang w:val="en-CA" w:eastAsia="en-CA"/>
              </w:rPr>
              <w:t>2,147,760</w:t>
            </w:r>
          </w:p>
        </w:tc>
        <w:tc>
          <w:tcPr>
            <w:tcW w:w="1311"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07BCC462" w14:textId="77777777" w:rsidR="00A723BA" w:rsidRPr="00CE17E9" w:rsidRDefault="00A723BA" w:rsidP="00FB4800">
            <w:pPr>
              <w:jc w:val="right"/>
              <w:rPr>
                <w:sz w:val="21"/>
                <w:szCs w:val="21"/>
                <w:lang w:val="en-CA" w:eastAsia="en-CA"/>
              </w:rPr>
            </w:pPr>
            <w:r w:rsidRPr="00CE17E9">
              <w:rPr>
                <w:sz w:val="21"/>
                <w:szCs w:val="21"/>
                <w:lang w:val="en-CA" w:eastAsia="en-CA"/>
              </w:rPr>
              <w:t>128,652</w:t>
            </w:r>
          </w:p>
        </w:tc>
        <w:tc>
          <w:tcPr>
            <w:tcW w:w="1312"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6FC68B50" w14:textId="77777777" w:rsidR="00A723BA" w:rsidRPr="00CE17E9" w:rsidRDefault="00A723BA" w:rsidP="00FB4800">
            <w:pPr>
              <w:jc w:val="right"/>
              <w:rPr>
                <w:sz w:val="21"/>
                <w:szCs w:val="21"/>
                <w:lang w:val="en-CA" w:eastAsia="en-CA"/>
              </w:rPr>
            </w:pPr>
            <w:r w:rsidRPr="00CE17E9">
              <w:rPr>
                <w:sz w:val="21"/>
                <w:szCs w:val="21"/>
                <w:lang w:val="en-CA" w:eastAsia="en-CA"/>
              </w:rPr>
              <w:t>94</w:t>
            </w:r>
          </w:p>
        </w:tc>
      </w:tr>
      <w:tr w:rsidR="00CE17E9" w:rsidRPr="00CE17E9" w14:paraId="51803C9C" w14:textId="77777777" w:rsidTr="000A7C0C">
        <w:tc>
          <w:tcPr>
            <w:tcW w:w="851"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3107FED2" w14:textId="77777777" w:rsidR="00A723BA" w:rsidRPr="00CE17E9" w:rsidRDefault="00A723BA" w:rsidP="00FB4800">
            <w:pPr>
              <w:jc w:val="left"/>
              <w:rPr>
                <w:sz w:val="21"/>
                <w:szCs w:val="21"/>
                <w:lang w:val="en-CA" w:eastAsia="en-CA"/>
              </w:rPr>
            </w:pPr>
            <w:r w:rsidRPr="00CE17E9">
              <w:rPr>
                <w:sz w:val="21"/>
                <w:szCs w:val="21"/>
                <w:lang w:val="en-CA" w:eastAsia="en-CA"/>
              </w:rPr>
              <w:t>2014</w:t>
            </w:r>
          </w:p>
        </w:tc>
        <w:tc>
          <w:tcPr>
            <w:tcW w:w="992"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1AC77F08" w14:textId="77777777" w:rsidR="00A723BA" w:rsidRPr="00CE17E9" w:rsidRDefault="00A723BA" w:rsidP="00FB4800">
            <w:pPr>
              <w:jc w:val="right"/>
              <w:rPr>
                <w:sz w:val="21"/>
                <w:szCs w:val="21"/>
                <w:lang w:val="en-CA" w:eastAsia="en-CA"/>
              </w:rPr>
            </w:pPr>
            <w:r w:rsidRPr="00CE17E9">
              <w:rPr>
                <w:sz w:val="21"/>
                <w:szCs w:val="21"/>
                <w:lang w:val="en-CA" w:eastAsia="en-CA"/>
              </w:rPr>
              <w:t>15</w:t>
            </w:r>
          </w:p>
        </w:tc>
        <w:tc>
          <w:tcPr>
            <w:tcW w:w="1134"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726106FB" w14:textId="77777777" w:rsidR="00A723BA" w:rsidRPr="00CE17E9" w:rsidRDefault="00A723BA" w:rsidP="00FB4800">
            <w:pPr>
              <w:jc w:val="right"/>
              <w:rPr>
                <w:sz w:val="21"/>
                <w:szCs w:val="21"/>
                <w:lang w:val="en-CA" w:eastAsia="en-CA"/>
              </w:rPr>
            </w:pPr>
            <w:r w:rsidRPr="00CE17E9">
              <w:rPr>
                <w:sz w:val="21"/>
                <w:szCs w:val="21"/>
                <w:lang w:val="en-CA" w:eastAsia="en-CA"/>
              </w:rPr>
              <w:t>12</w:t>
            </w:r>
          </w:p>
        </w:tc>
        <w:tc>
          <w:tcPr>
            <w:tcW w:w="1134"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0F55CA6A" w14:textId="77777777" w:rsidR="00A723BA" w:rsidRPr="00CE17E9" w:rsidRDefault="00A723BA" w:rsidP="00FB4800">
            <w:pPr>
              <w:jc w:val="right"/>
              <w:rPr>
                <w:sz w:val="21"/>
                <w:szCs w:val="21"/>
                <w:lang w:val="en-CA" w:eastAsia="en-CA"/>
              </w:rPr>
            </w:pPr>
            <w:r w:rsidRPr="00CE17E9">
              <w:rPr>
                <w:sz w:val="21"/>
                <w:szCs w:val="21"/>
                <w:lang w:val="en-CA" w:eastAsia="en-CA"/>
              </w:rPr>
              <w:t>80</w:t>
            </w:r>
          </w:p>
        </w:tc>
        <w:tc>
          <w:tcPr>
            <w:tcW w:w="1311"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69430877" w14:textId="77777777" w:rsidR="00A723BA" w:rsidRPr="00CE17E9" w:rsidRDefault="00A723BA" w:rsidP="00FB4800">
            <w:pPr>
              <w:jc w:val="right"/>
              <w:rPr>
                <w:sz w:val="21"/>
                <w:szCs w:val="21"/>
                <w:lang w:val="en-CA" w:eastAsia="en-CA"/>
              </w:rPr>
            </w:pPr>
            <w:r w:rsidRPr="00CE17E9">
              <w:rPr>
                <w:sz w:val="21"/>
                <w:szCs w:val="21"/>
                <w:lang w:val="en-CA" w:eastAsia="en-CA"/>
              </w:rPr>
              <w:t>1,463,524</w:t>
            </w:r>
          </w:p>
        </w:tc>
        <w:tc>
          <w:tcPr>
            <w:tcW w:w="1311"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4BA8B3C4" w14:textId="77777777" w:rsidR="00A723BA" w:rsidRPr="00CE17E9" w:rsidRDefault="00A723BA" w:rsidP="00FB4800">
            <w:pPr>
              <w:jc w:val="right"/>
              <w:rPr>
                <w:sz w:val="21"/>
                <w:szCs w:val="21"/>
                <w:lang w:val="en-CA" w:eastAsia="en-CA"/>
              </w:rPr>
            </w:pPr>
            <w:r w:rsidRPr="00CE17E9">
              <w:rPr>
                <w:sz w:val="21"/>
                <w:szCs w:val="21"/>
                <w:lang w:val="en-CA" w:eastAsia="en-CA"/>
              </w:rPr>
              <w:t>1,326,086</w:t>
            </w:r>
          </w:p>
        </w:tc>
        <w:tc>
          <w:tcPr>
            <w:tcW w:w="1311"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22054DAE" w14:textId="77777777" w:rsidR="00A723BA" w:rsidRPr="00CE17E9" w:rsidRDefault="00A723BA" w:rsidP="00FB4800">
            <w:pPr>
              <w:jc w:val="right"/>
              <w:rPr>
                <w:sz w:val="21"/>
                <w:szCs w:val="21"/>
                <w:lang w:val="en-CA" w:eastAsia="en-CA"/>
              </w:rPr>
            </w:pPr>
            <w:r w:rsidRPr="00CE17E9">
              <w:rPr>
                <w:sz w:val="21"/>
                <w:szCs w:val="21"/>
                <w:lang w:val="en-CA" w:eastAsia="en-CA"/>
              </w:rPr>
              <w:t>137,438</w:t>
            </w:r>
          </w:p>
        </w:tc>
        <w:tc>
          <w:tcPr>
            <w:tcW w:w="1312"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4081E022" w14:textId="77777777" w:rsidR="00A723BA" w:rsidRPr="00CE17E9" w:rsidRDefault="00A723BA" w:rsidP="00FB4800">
            <w:pPr>
              <w:jc w:val="right"/>
              <w:rPr>
                <w:sz w:val="21"/>
                <w:szCs w:val="21"/>
                <w:lang w:val="en-CA" w:eastAsia="en-CA"/>
              </w:rPr>
            </w:pPr>
            <w:r w:rsidRPr="00CE17E9">
              <w:rPr>
                <w:sz w:val="21"/>
                <w:szCs w:val="21"/>
                <w:lang w:val="en-CA" w:eastAsia="en-CA"/>
              </w:rPr>
              <w:t>91</w:t>
            </w:r>
          </w:p>
        </w:tc>
      </w:tr>
      <w:tr w:rsidR="00CE17E9" w:rsidRPr="00CE17E9" w14:paraId="5DACB3EE" w14:textId="77777777" w:rsidTr="000A7C0C">
        <w:tc>
          <w:tcPr>
            <w:tcW w:w="851"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3FA218B8" w14:textId="77777777" w:rsidR="00A723BA" w:rsidRPr="00CE17E9" w:rsidRDefault="00A723BA" w:rsidP="00FB4800">
            <w:pPr>
              <w:jc w:val="left"/>
              <w:rPr>
                <w:sz w:val="21"/>
                <w:szCs w:val="21"/>
                <w:lang w:val="en-CA" w:eastAsia="en-CA"/>
              </w:rPr>
            </w:pPr>
            <w:r w:rsidRPr="00CE17E9">
              <w:rPr>
                <w:sz w:val="21"/>
                <w:szCs w:val="21"/>
                <w:lang w:val="en-CA" w:eastAsia="en-CA"/>
              </w:rPr>
              <w:t>2015</w:t>
            </w:r>
          </w:p>
        </w:tc>
        <w:tc>
          <w:tcPr>
            <w:tcW w:w="992"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489B21D6" w14:textId="77777777" w:rsidR="00A723BA" w:rsidRPr="00CE17E9" w:rsidRDefault="00A723BA" w:rsidP="00FB4800">
            <w:pPr>
              <w:jc w:val="right"/>
              <w:rPr>
                <w:sz w:val="21"/>
                <w:szCs w:val="21"/>
                <w:lang w:val="en-CA" w:eastAsia="en-CA"/>
              </w:rPr>
            </w:pPr>
            <w:r w:rsidRPr="00CE17E9">
              <w:rPr>
                <w:sz w:val="21"/>
                <w:szCs w:val="21"/>
                <w:lang w:val="en-CA" w:eastAsia="en-CA"/>
              </w:rPr>
              <w:t>27</w:t>
            </w:r>
          </w:p>
        </w:tc>
        <w:tc>
          <w:tcPr>
            <w:tcW w:w="1134"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026DE42A" w14:textId="77777777" w:rsidR="00A723BA" w:rsidRPr="00CE17E9" w:rsidRDefault="00A723BA" w:rsidP="00FB4800">
            <w:pPr>
              <w:jc w:val="right"/>
              <w:rPr>
                <w:sz w:val="21"/>
                <w:szCs w:val="21"/>
                <w:lang w:val="en-CA" w:eastAsia="en-CA"/>
              </w:rPr>
            </w:pPr>
            <w:r w:rsidRPr="00CE17E9">
              <w:rPr>
                <w:sz w:val="21"/>
                <w:szCs w:val="21"/>
                <w:lang w:val="en-CA" w:eastAsia="en-CA"/>
              </w:rPr>
              <w:t>19</w:t>
            </w:r>
          </w:p>
        </w:tc>
        <w:tc>
          <w:tcPr>
            <w:tcW w:w="1134"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4CD6D56E" w14:textId="77777777" w:rsidR="00A723BA" w:rsidRPr="00CE17E9" w:rsidRDefault="00A723BA" w:rsidP="00FB4800">
            <w:pPr>
              <w:jc w:val="right"/>
              <w:rPr>
                <w:sz w:val="21"/>
                <w:szCs w:val="21"/>
                <w:lang w:val="en-CA" w:eastAsia="en-CA"/>
              </w:rPr>
            </w:pPr>
            <w:r w:rsidRPr="00CE17E9">
              <w:rPr>
                <w:sz w:val="21"/>
                <w:szCs w:val="21"/>
                <w:lang w:val="en-CA" w:eastAsia="en-CA"/>
              </w:rPr>
              <w:t>70</w:t>
            </w:r>
          </w:p>
        </w:tc>
        <w:tc>
          <w:tcPr>
            <w:tcW w:w="1311"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68C6C350" w14:textId="77777777" w:rsidR="00A723BA" w:rsidRPr="00CE17E9" w:rsidRDefault="00A723BA" w:rsidP="00FB4800">
            <w:pPr>
              <w:jc w:val="right"/>
              <w:rPr>
                <w:sz w:val="21"/>
                <w:szCs w:val="21"/>
                <w:lang w:val="en-CA" w:eastAsia="en-CA"/>
              </w:rPr>
            </w:pPr>
            <w:r w:rsidRPr="00CE17E9">
              <w:rPr>
                <w:sz w:val="21"/>
                <w:szCs w:val="21"/>
                <w:lang w:val="en-CA" w:eastAsia="en-CA"/>
              </w:rPr>
              <w:t>4,921,949</w:t>
            </w:r>
          </w:p>
        </w:tc>
        <w:tc>
          <w:tcPr>
            <w:tcW w:w="1311"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2C3FC98D" w14:textId="77777777" w:rsidR="00A723BA" w:rsidRPr="00CE17E9" w:rsidRDefault="00A723BA" w:rsidP="00FB4800">
            <w:pPr>
              <w:jc w:val="right"/>
              <w:rPr>
                <w:sz w:val="21"/>
                <w:szCs w:val="21"/>
                <w:lang w:val="en-CA" w:eastAsia="en-CA"/>
              </w:rPr>
            </w:pPr>
            <w:r w:rsidRPr="00CE17E9">
              <w:rPr>
                <w:sz w:val="21"/>
                <w:szCs w:val="21"/>
                <w:lang w:val="en-CA" w:eastAsia="en-CA"/>
              </w:rPr>
              <w:t>4,300,860</w:t>
            </w:r>
          </w:p>
        </w:tc>
        <w:tc>
          <w:tcPr>
            <w:tcW w:w="1311"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2623F8DF" w14:textId="77777777" w:rsidR="00A723BA" w:rsidRPr="00CE17E9" w:rsidRDefault="00A723BA" w:rsidP="00FB4800">
            <w:pPr>
              <w:jc w:val="right"/>
              <w:rPr>
                <w:sz w:val="21"/>
                <w:szCs w:val="21"/>
                <w:lang w:val="en-CA" w:eastAsia="en-CA"/>
              </w:rPr>
            </w:pPr>
            <w:r w:rsidRPr="00CE17E9">
              <w:rPr>
                <w:sz w:val="21"/>
                <w:szCs w:val="21"/>
                <w:lang w:val="en-CA" w:eastAsia="en-CA"/>
              </w:rPr>
              <w:t>621,089</w:t>
            </w:r>
          </w:p>
        </w:tc>
        <w:tc>
          <w:tcPr>
            <w:tcW w:w="1312"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4D0F43E6" w14:textId="77777777" w:rsidR="00A723BA" w:rsidRPr="00CE17E9" w:rsidRDefault="00A723BA" w:rsidP="00FB4800">
            <w:pPr>
              <w:jc w:val="right"/>
              <w:rPr>
                <w:sz w:val="21"/>
                <w:szCs w:val="21"/>
                <w:lang w:val="en-CA" w:eastAsia="en-CA"/>
              </w:rPr>
            </w:pPr>
            <w:r w:rsidRPr="00CE17E9">
              <w:rPr>
                <w:sz w:val="21"/>
                <w:szCs w:val="21"/>
                <w:lang w:val="en-CA" w:eastAsia="en-CA"/>
              </w:rPr>
              <w:t>87</w:t>
            </w:r>
          </w:p>
        </w:tc>
      </w:tr>
      <w:tr w:rsidR="00CE17E9" w:rsidRPr="00CE17E9" w14:paraId="06B88736" w14:textId="77777777" w:rsidTr="000A7C0C">
        <w:tc>
          <w:tcPr>
            <w:tcW w:w="851"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457FA872" w14:textId="77777777" w:rsidR="00A723BA" w:rsidRPr="00CE17E9" w:rsidRDefault="00A723BA" w:rsidP="00FB4800">
            <w:pPr>
              <w:jc w:val="left"/>
              <w:rPr>
                <w:sz w:val="21"/>
                <w:szCs w:val="21"/>
                <w:lang w:val="en-CA" w:eastAsia="en-CA"/>
              </w:rPr>
            </w:pPr>
            <w:r w:rsidRPr="00CE17E9">
              <w:rPr>
                <w:sz w:val="21"/>
                <w:szCs w:val="21"/>
                <w:lang w:val="en-CA" w:eastAsia="en-CA"/>
              </w:rPr>
              <w:t>2016</w:t>
            </w:r>
          </w:p>
        </w:tc>
        <w:tc>
          <w:tcPr>
            <w:tcW w:w="992"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4D6E0856" w14:textId="77777777" w:rsidR="00A723BA" w:rsidRPr="00CE17E9" w:rsidRDefault="00A723BA" w:rsidP="00FB4800">
            <w:pPr>
              <w:jc w:val="right"/>
              <w:rPr>
                <w:sz w:val="21"/>
                <w:szCs w:val="21"/>
                <w:lang w:val="en-CA" w:eastAsia="en-CA"/>
              </w:rPr>
            </w:pPr>
            <w:r w:rsidRPr="00CE17E9">
              <w:rPr>
                <w:sz w:val="21"/>
                <w:szCs w:val="21"/>
                <w:lang w:val="en-CA" w:eastAsia="en-CA"/>
              </w:rPr>
              <w:t>17</w:t>
            </w:r>
          </w:p>
        </w:tc>
        <w:tc>
          <w:tcPr>
            <w:tcW w:w="1134"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1142ACCD" w14:textId="77777777" w:rsidR="00A723BA" w:rsidRPr="00CE17E9" w:rsidRDefault="00A723BA" w:rsidP="00FB4800">
            <w:pPr>
              <w:jc w:val="right"/>
              <w:rPr>
                <w:sz w:val="21"/>
                <w:szCs w:val="21"/>
                <w:lang w:val="en-CA" w:eastAsia="en-CA"/>
              </w:rPr>
            </w:pPr>
            <w:r w:rsidRPr="00CE17E9">
              <w:rPr>
                <w:sz w:val="21"/>
                <w:szCs w:val="21"/>
                <w:lang w:val="en-CA" w:eastAsia="en-CA"/>
              </w:rPr>
              <w:t>2</w:t>
            </w:r>
          </w:p>
        </w:tc>
        <w:tc>
          <w:tcPr>
            <w:tcW w:w="1134"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45EBFAFB" w14:textId="77777777" w:rsidR="00A723BA" w:rsidRPr="00CE17E9" w:rsidRDefault="00A723BA" w:rsidP="00FB4800">
            <w:pPr>
              <w:jc w:val="right"/>
              <w:rPr>
                <w:sz w:val="21"/>
                <w:szCs w:val="21"/>
                <w:lang w:val="en-CA" w:eastAsia="en-CA"/>
              </w:rPr>
            </w:pPr>
            <w:r w:rsidRPr="00CE17E9">
              <w:rPr>
                <w:sz w:val="21"/>
                <w:szCs w:val="21"/>
                <w:lang w:val="en-CA" w:eastAsia="en-CA"/>
              </w:rPr>
              <w:t>12</w:t>
            </w:r>
          </w:p>
        </w:tc>
        <w:tc>
          <w:tcPr>
            <w:tcW w:w="1311"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0908461B" w14:textId="77777777" w:rsidR="00A723BA" w:rsidRPr="00CE17E9" w:rsidRDefault="00A723BA" w:rsidP="00FB4800">
            <w:pPr>
              <w:jc w:val="right"/>
              <w:rPr>
                <w:sz w:val="21"/>
                <w:szCs w:val="21"/>
                <w:lang w:val="en-CA" w:eastAsia="en-CA"/>
              </w:rPr>
            </w:pPr>
            <w:r w:rsidRPr="00CE17E9">
              <w:rPr>
                <w:sz w:val="21"/>
                <w:szCs w:val="21"/>
                <w:lang w:val="en-CA" w:eastAsia="en-CA"/>
              </w:rPr>
              <w:t>5,619,083</w:t>
            </w:r>
          </w:p>
        </w:tc>
        <w:tc>
          <w:tcPr>
            <w:tcW w:w="1311"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1D7621E6" w14:textId="77777777" w:rsidR="00A723BA" w:rsidRPr="00CE17E9" w:rsidRDefault="00A723BA" w:rsidP="00FB4800">
            <w:pPr>
              <w:jc w:val="right"/>
              <w:rPr>
                <w:sz w:val="21"/>
                <w:szCs w:val="21"/>
                <w:lang w:val="en-CA" w:eastAsia="en-CA"/>
              </w:rPr>
            </w:pPr>
            <w:r w:rsidRPr="00CE17E9">
              <w:rPr>
                <w:sz w:val="21"/>
                <w:szCs w:val="21"/>
                <w:lang w:val="en-CA" w:eastAsia="en-CA"/>
              </w:rPr>
              <w:t>2,119,027</w:t>
            </w:r>
          </w:p>
        </w:tc>
        <w:tc>
          <w:tcPr>
            <w:tcW w:w="1311"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57FF2ED9" w14:textId="77777777" w:rsidR="00A723BA" w:rsidRPr="00CE17E9" w:rsidRDefault="00A723BA" w:rsidP="00FB4800">
            <w:pPr>
              <w:jc w:val="right"/>
              <w:rPr>
                <w:sz w:val="21"/>
                <w:szCs w:val="21"/>
                <w:lang w:val="en-CA" w:eastAsia="en-CA"/>
              </w:rPr>
            </w:pPr>
            <w:r w:rsidRPr="00CE17E9">
              <w:rPr>
                <w:sz w:val="21"/>
                <w:szCs w:val="21"/>
                <w:lang w:val="en-CA" w:eastAsia="en-CA"/>
              </w:rPr>
              <w:t>3,500,056</w:t>
            </w:r>
          </w:p>
        </w:tc>
        <w:tc>
          <w:tcPr>
            <w:tcW w:w="1312"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73B520CE" w14:textId="77777777" w:rsidR="00A723BA" w:rsidRPr="00CE17E9" w:rsidRDefault="00A723BA" w:rsidP="00FB4800">
            <w:pPr>
              <w:jc w:val="right"/>
              <w:rPr>
                <w:sz w:val="21"/>
                <w:szCs w:val="21"/>
                <w:lang w:val="en-CA" w:eastAsia="en-CA"/>
              </w:rPr>
            </w:pPr>
            <w:r w:rsidRPr="00CE17E9">
              <w:rPr>
                <w:sz w:val="21"/>
                <w:szCs w:val="21"/>
                <w:lang w:val="en-CA" w:eastAsia="en-CA"/>
              </w:rPr>
              <w:t>38</w:t>
            </w:r>
          </w:p>
        </w:tc>
      </w:tr>
      <w:tr w:rsidR="00CE17E9" w:rsidRPr="00CE17E9" w14:paraId="52885AF1" w14:textId="77777777" w:rsidTr="000A7C0C">
        <w:tc>
          <w:tcPr>
            <w:tcW w:w="851"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7027C635" w14:textId="77777777" w:rsidR="00A723BA" w:rsidRPr="00CE17E9" w:rsidRDefault="00A723BA" w:rsidP="00FB4800">
            <w:pPr>
              <w:jc w:val="left"/>
              <w:rPr>
                <w:sz w:val="21"/>
                <w:szCs w:val="21"/>
                <w:lang w:val="en-CA" w:eastAsia="en-CA"/>
              </w:rPr>
            </w:pPr>
            <w:r w:rsidRPr="00CE17E9">
              <w:rPr>
                <w:sz w:val="21"/>
                <w:szCs w:val="21"/>
                <w:lang w:val="en-CA" w:eastAsia="en-CA"/>
              </w:rPr>
              <w:t>2017</w:t>
            </w:r>
          </w:p>
        </w:tc>
        <w:tc>
          <w:tcPr>
            <w:tcW w:w="992"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40EBC3CF" w14:textId="77777777" w:rsidR="00A723BA" w:rsidRPr="00CE17E9" w:rsidRDefault="00A723BA" w:rsidP="00FB4800">
            <w:pPr>
              <w:jc w:val="right"/>
              <w:rPr>
                <w:sz w:val="21"/>
                <w:szCs w:val="21"/>
                <w:lang w:val="en-CA" w:eastAsia="en-CA"/>
              </w:rPr>
            </w:pPr>
            <w:r w:rsidRPr="00CE17E9">
              <w:rPr>
                <w:sz w:val="21"/>
                <w:szCs w:val="21"/>
                <w:lang w:val="en-CA" w:eastAsia="en-CA"/>
              </w:rPr>
              <w:t>9</w:t>
            </w:r>
          </w:p>
        </w:tc>
        <w:tc>
          <w:tcPr>
            <w:tcW w:w="1134"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2FC3AD0C" w14:textId="77777777" w:rsidR="00A723BA" w:rsidRPr="00CE17E9" w:rsidRDefault="00A723BA" w:rsidP="00FB4800">
            <w:pPr>
              <w:jc w:val="right"/>
              <w:rPr>
                <w:sz w:val="21"/>
                <w:szCs w:val="21"/>
                <w:lang w:val="en-CA" w:eastAsia="en-CA"/>
              </w:rPr>
            </w:pPr>
            <w:r w:rsidRPr="00CE17E9">
              <w:rPr>
                <w:sz w:val="21"/>
                <w:szCs w:val="21"/>
                <w:lang w:val="en-CA" w:eastAsia="en-CA"/>
              </w:rPr>
              <w:t>1</w:t>
            </w:r>
          </w:p>
        </w:tc>
        <w:tc>
          <w:tcPr>
            <w:tcW w:w="1134"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00D27ED4" w14:textId="77777777" w:rsidR="00A723BA" w:rsidRPr="00CE17E9" w:rsidRDefault="00A723BA" w:rsidP="00FB4800">
            <w:pPr>
              <w:jc w:val="right"/>
              <w:rPr>
                <w:sz w:val="21"/>
                <w:szCs w:val="21"/>
                <w:lang w:val="en-CA" w:eastAsia="en-CA"/>
              </w:rPr>
            </w:pPr>
            <w:r w:rsidRPr="00CE17E9">
              <w:rPr>
                <w:sz w:val="21"/>
                <w:szCs w:val="21"/>
                <w:lang w:val="en-CA" w:eastAsia="en-CA"/>
              </w:rPr>
              <w:t>11</w:t>
            </w:r>
          </w:p>
        </w:tc>
        <w:tc>
          <w:tcPr>
            <w:tcW w:w="1311"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265839D9" w14:textId="77777777" w:rsidR="00A723BA" w:rsidRPr="00CE17E9" w:rsidRDefault="00A723BA" w:rsidP="00FB4800">
            <w:pPr>
              <w:jc w:val="right"/>
              <w:rPr>
                <w:sz w:val="21"/>
                <w:szCs w:val="21"/>
                <w:lang w:val="en-CA" w:eastAsia="en-CA"/>
              </w:rPr>
            </w:pPr>
            <w:r w:rsidRPr="00CE17E9">
              <w:rPr>
                <w:sz w:val="21"/>
                <w:szCs w:val="21"/>
                <w:lang w:val="en-CA" w:eastAsia="en-CA"/>
              </w:rPr>
              <w:t>2,605,614</w:t>
            </w:r>
          </w:p>
        </w:tc>
        <w:tc>
          <w:tcPr>
            <w:tcW w:w="1311"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21B00178" w14:textId="77777777" w:rsidR="00A723BA" w:rsidRPr="00CE17E9" w:rsidRDefault="00A723BA" w:rsidP="00FB4800">
            <w:pPr>
              <w:jc w:val="right"/>
              <w:rPr>
                <w:sz w:val="21"/>
                <w:szCs w:val="21"/>
                <w:lang w:val="en-CA" w:eastAsia="en-CA"/>
              </w:rPr>
            </w:pPr>
            <w:r w:rsidRPr="00CE17E9">
              <w:rPr>
                <w:sz w:val="21"/>
                <w:szCs w:val="21"/>
                <w:lang w:val="en-CA" w:eastAsia="en-CA"/>
              </w:rPr>
              <w:t>716,093</w:t>
            </w:r>
          </w:p>
        </w:tc>
        <w:tc>
          <w:tcPr>
            <w:tcW w:w="1311"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78350A15" w14:textId="77777777" w:rsidR="00A723BA" w:rsidRPr="00CE17E9" w:rsidRDefault="00A723BA" w:rsidP="00FB4800">
            <w:pPr>
              <w:jc w:val="right"/>
              <w:rPr>
                <w:sz w:val="21"/>
                <w:szCs w:val="21"/>
                <w:lang w:val="en-CA" w:eastAsia="en-CA"/>
              </w:rPr>
            </w:pPr>
            <w:r w:rsidRPr="00CE17E9">
              <w:rPr>
                <w:sz w:val="21"/>
                <w:szCs w:val="21"/>
                <w:lang w:val="en-CA" w:eastAsia="en-CA"/>
              </w:rPr>
              <w:t>1,889,521</w:t>
            </w:r>
          </w:p>
        </w:tc>
        <w:tc>
          <w:tcPr>
            <w:tcW w:w="1312"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25D0B3A4" w14:textId="77777777" w:rsidR="00A723BA" w:rsidRPr="00CE17E9" w:rsidRDefault="00A723BA" w:rsidP="00FB4800">
            <w:pPr>
              <w:jc w:val="right"/>
              <w:rPr>
                <w:sz w:val="21"/>
                <w:szCs w:val="21"/>
                <w:lang w:val="en-CA" w:eastAsia="en-CA"/>
              </w:rPr>
            </w:pPr>
            <w:r w:rsidRPr="00CE17E9">
              <w:rPr>
                <w:sz w:val="21"/>
                <w:szCs w:val="21"/>
                <w:lang w:val="en-CA" w:eastAsia="en-CA"/>
              </w:rPr>
              <w:t>27</w:t>
            </w:r>
          </w:p>
        </w:tc>
      </w:tr>
      <w:tr w:rsidR="00CE17E9" w:rsidRPr="00CE17E9" w14:paraId="03CC2349" w14:textId="77777777" w:rsidTr="000A7C0C">
        <w:tc>
          <w:tcPr>
            <w:tcW w:w="851"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5415AA83" w14:textId="77777777" w:rsidR="00A723BA" w:rsidRPr="00CE17E9" w:rsidRDefault="00A723BA" w:rsidP="00FB4800">
            <w:pPr>
              <w:jc w:val="left"/>
              <w:rPr>
                <w:sz w:val="21"/>
                <w:szCs w:val="21"/>
                <w:lang w:val="en-CA" w:eastAsia="en-CA"/>
              </w:rPr>
            </w:pPr>
            <w:r w:rsidRPr="00CE17E9">
              <w:rPr>
                <w:sz w:val="21"/>
                <w:szCs w:val="21"/>
                <w:lang w:val="en-CA" w:eastAsia="en-CA"/>
              </w:rPr>
              <w:t>2018</w:t>
            </w:r>
          </w:p>
        </w:tc>
        <w:tc>
          <w:tcPr>
            <w:tcW w:w="992"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5E3B510F" w14:textId="77777777" w:rsidR="00A723BA" w:rsidRPr="00CE17E9" w:rsidRDefault="00A723BA" w:rsidP="00FB4800">
            <w:pPr>
              <w:jc w:val="right"/>
              <w:rPr>
                <w:sz w:val="21"/>
                <w:szCs w:val="21"/>
                <w:lang w:val="en-CA" w:eastAsia="en-CA"/>
              </w:rPr>
            </w:pPr>
            <w:r w:rsidRPr="00CE17E9">
              <w:rPr>
                <w:sz w:val="21"/>
                <w:szCs w:val="21"/>
                <w:lang w:val="en-CA" w:eastAsia="en-CA"/>
              </w:rPr>
              <w:t>16</w:t>
            </w:r>
          </w:p>
        </w:tc>
        <w:tc>
          <w:tcPr>
            <w:tcW w:w="1134"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24A194C0" w14:textId="77777777" w:rsidR="00A723BA" w:rsidRPr="00CE17E9" w:rsidRDefault="00A723BA" w:rsidP="00FB4800">
            <w:pPr>
              <w:jc w:val="right"/>
              <w:rPr>
                <w:sz w:val="21"/>
                <w:szCs w:val="21"/>
                <w:lang w:val="en-CA" w:eastAsia="en-CA"/>
              </w:rPr>
            </w:pPr>
            <w:r w:rsidRPr="00CE17E9">
              <w:rPr>
                <w:sz w:val="21"/>
                <w:szCs w:val="21"/>
                <w:lang w:val="en-CA" w:eastAsia="en-CA"/>
              </w:rPr>
              <w:t>0</w:t>
            </w:r>
          </w:p>
        </w:tc>
        <w:tc>
          <w:tcPr>
            <w:tcW w:w="1134"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65D45D98" w14:textId="77777777" w:rsidR="00A723BA" w:rsidRPr="00CE17E9" w:rsidRDefault="00A723BA" w:rsidP="00FB4800">
            <w:pPr>
              <w:jc w:val="right"/>
              <w:rPr>
                <w:sz w:val="21"/>
                <w:szCs w:val="21"/>
                <w:lang w:val="en-CA" w:eastAsia="en-CA"/>
              </w:rPr>
            </w:pPr>
            <w:r w:rsidRPr="00CE17E9">
              <w:rPr>
                <w:sz w:val="21"/>
                <w:szCs w:val="21"/>
                <w:lang w:val="en-CA" w:eastAsia="en-CA"/>
              </w:rPr>
              <w:t>0</w:t>
            </w:r>
          </w:p>
        </w:tc>
        <w:tc>
          <w:tcPr>
            <w:tcW w:w="1311"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1F1773E0" w14:textId="77777777" w:rsidR="00A723BA" w:rsidRPr="00CE17E9" w:rsidRDefault="00A723BA" w:rsidP="00FB4800">
            <w:pPr>
              <w:jc w:val="right"/>
              <w:rPr>
                <w:sz w:val="21"/>
                <w:szCs w:val="21"/>
                <w:lang w:val="en-CA" w:eastAsia="en-CA"/>
              </w:rPr>
            </w:pPr>
            <w:r w:rsidRPr="00CE17E9">
              <w:rPr>
                <w:sz w:val="21"/>
                <w:szCs w:val="21"/>
                <w:lang w:val="en-CA" w:eastAsia="en-CA"/>
              </w:rPr>
              <w:t>7,050,550</w:t>
            </w:r>
          </w:p>
        </w:tc>
        <w:tc>
          <w:tcPr>
            <w:tcW w:w="1311"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61C5222D" w14:textId="77777777" w:rsidR="00A723BA" w:rsidRPr="00CE17E9" w:rsidRDefault="00A723BA" w:rsidP="00FB4800">
            <w:pPr>
              <w:jc w:val="right"/>
              <w:rPr>
                <w:sz w:val="21"/>
                <w:szCs w:val="21"/>
                <w:lang w:val="en-CA" w:eastAsia="en-CA"/>
              </w:rPr>
            </w:pPr>
            <w:r w:rsidRPr="00CE17E9">
              <w:rPr>
                <w:sz w:val="21"/>
                <w:szCs w:val="21"/>
                <w:lang w:val="en-CA" w:eastAsia="en-CA"/>
              </w:rPr>
              <w:t>50,411</w:t>
            </w:r>
          </w:p>
        </w:tc>
        <w:tc>
          <w:tcPr>
            <w:tcW w:w="1311"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62BD1554" w14:textId="77777777" w:rsidR="00A723BA" w:rsidRPr="00CE17E9" w:rsidRDefault="00A723BA" w:rsidP="00FB4800">
            <w:pPr>
              <w:jc w:val="right"/>
              <w:rPr>
                <w:sz w:val="21"/>
                <w:szCs w:val="21"/>
                <w:lang w:val="en-CA" w:eastAsia="en-CA"/>
              </w:rPr>
            </w:pPr>
            <w:r w:rsidRPr="00CE17E9">
              <w:rPr>
                <w:sz w:val="21"/>
                <w:szCs w:val="21"/>
                <w:lang w:val="en-CA" w:eastAsia="en-CA"/>
              </w:rPr>
              <w:t>7,000,139</w:t>
            </w:r>
          </w:p>
        </w:tc>
        <w:tc>
          <w:tcPr>
            <w:tcW w:w="1312"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0AE81076" w14:textId="77777777" w:rsidR="00A723BA" w:rsidRPr="00CE17E9" w:rsidRDefault="00A723BA" w:rsidP="00FB4800">
            <w:pPr>
              <w:jc w:val="right"/>
              <w:rPr>
                <w:sz w:val="21"/>
                <w:szCs w:val="21"/>
                <w:lang w:val="en-CA" w:eastAsia="en-CA"/>
              </w:rPr>
            </w:pPr>
            <w:r w:rsidRPr="00CE17E9">
              <w:rPr>
                <w:sz w:val="21"/>
                <w:szCs w:val="21"/>
                <w:lang w:val="en-CA" w:eastAsia="en-CA"/>
              </w:rPr>
              <w:t>1</w:t>
            </w:r>
          </w:p>
        </w:tc>
      </w:tr>
      <w:tr w:rsidR="00CE17E9" w:rsidRPr="00CE17E9" w14:paraId="302D4CD4" w14:textId="77777777" w:rsidTr="000A7C0C">
        <w:tc>
          <w:tcPr>
            <w:tcW w:w="851"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497265A3" w14:textId="77777777" w:rsidR="00A723BA" w:rsidRPr="00CE17E9" w:rsidRDefault="00A723BA" w:rsidP="00FB4800">
            <w:pPr>
              <w:jc w:val="left"/>
              <w:rPr>
                <w:b/>
                <w:bCs/>
                <w:sz w:val="21"/>
                <w:szCs w:val="21"/>
                <w:lang w:val="en-CA" w:eastAsia="en-CA"/>
              </w:rPr>
            </w:pPr>
            <w:r w:rsidRPr="00CE17E9">
              <w:rPr>
                <w:b/>
                <w:bCs/>
                <w:sz w:val="21"/>
                <w:szCs w:val="21"/>
                <w:lang w:val="en-CA" w:eastAsia="en-CA"/>
              </w:rPr>
              <w:t>Total</w:t>
            </w:r>
          </w:p>
        </w:tc>
        <w:tc>
          <w:tcPr>
            <w:tcW w:w="992"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44B1E7F2" w14:textId="77777777" w:rsidR="00A723BA" w:rsidRPr="00CE17E9" w:rsidRDefault="00A723BA" w:rsidP="00FB4800">
            <w:pPr>
              <w:jc w:val="right"/>
              <w:rPr>
                <w:b/>
                <w:bCs/>
                <w:sz w:val="21"/>
                <w:szCs w:val="21"/>
                <w:lang w:val="en-CA" w:eastAsia="en-CA"/>
              </w:rPr>
            </w:pPr>
            <w:r w:rsidRPr="00CE17E9">
              <w:rPr>
                <w:b/>
                <w:bCs/>
                <w:sz w:val="21"/>
                <w:szCs w:val="21"/>
                <w:lang w:val="en-CA" w:eastAsia="en-CA"/>
              </w:rPr>
              <w:t>686</w:t>
            </w:r>
          </w:p>
        </w:tc>
        <w:tc>
          <w:tcPr>
            <w:tcW w:w="1134"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781BFE8F" w14:textId="77777777" w:rsidR="00A723BA" w:rsidRPr="00CE17E9" w:rsidRDefault="00A723BA" w:rsidP="00FB4800">
            <w:pPr>
              <w:jc w:val="right"/>
              <w:rPr>
                <w:b/>
                <w:bCs/>
                <w:sz w:val="21"/>
                <w:szCs w:val="21"/>
                <w:lang w:val="en-CA" w:eastAsia="en-CA"/>
              </w:rPr>
            </w:pPr>
            <w:r w:rsidRPr="00CE17E9">
              <w:rPr>
                <w:b/>
                <w:bCs/>
                <w:sz w:val="21"/>
                <w:szCs w:val="21"/>
                <w:lang w:val="en-CA" w:eastAsia="en-CA"/>
              </w:rPr>
              <w:t>631</w:t>
            </w:r>
          </w:p>
        </w:tc>
        <w:tc>
          <w:tcPr>
            <w:tcW w:w="1134"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6501B75F" w14:textId="77777777" w:rsidR="00A723BA" w:rsidRPr="00CE17E9" w:rsidRDefault="00A723BA" w:rsidP="00FB4800">
            <w:pPr>
              <w:jc w:val="right"/>
              <w:rPr>
                <w:b/>
                <w:bCs/>
                <w:sz w:val="21"/>
                <w:szCs w:val="21"/>
                <w:lang w:val="en-CA" w:eastAsia="en-CA"/>
              </w:rPr>
            </w:pPr>
            <w:r w:rsidRPr="00CE17E9">
              <w:rPr>
                <w:b/>
                <w:bCs/>
                <w:sz w:val="21"/>
                <w:szCs w:val="21"/>
                <w:lang w:val="en-CA" w:eastAsia="en-CA"/>
              </w:rPr>
              <w:t>92</w:t>
            </w:r>
          </w:p>
        </w:tc>
        <w:tc>
          <w:tcPr>
            <w:tcW w:w="1311"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0DE4A86F" w14:textId="77777777" w:rsidR="00A723BA" w:rsidRPr="00CE17E9" w:rsidRDefault="00A723BA" w:rsidP="00FB4800">
            <w:pPr>
              <w:jc w:val="right"/>
              <w:rPr>
                <w:b/>
                <w:bCs/>
                <w:sz w:val="21"/>
                <w:szCs w:val="21"/>
                <w:lang w:val="en-CA" w:eastAsia="en-CA"/>
              </w:rPr>
            </w:pPr>
            <w:r w:rsidRPr="00CE17E9">
              <w:rPr>
                <w:b/>
                <w:bCs/>
                <w:sz w:val="21"/>
                <w:szCs w:val="21"/>
                <w:lang w:val="en-CA" w:eastAsia="en-CA"/>
              </w:rPr>
              <w:t>157,352,436</w:t>
            </w:r>
          </w:p>
        </w:tc>
        <w:tc>
          <w:tcPr>
            <w:tcW w:w="1311"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181E538A" w14:textId="77777777" w:rsidR="00A723BA" w:rsidRPr="00CE17E9" w:rsidRDefault="00A723BA" w:rsidP="00FB4800">
            <w:pPr>
              <w:jc w:val="right"/>
              <w:rPr>
                <w:b/>
                <w:bCs/>
                <w:sz w:val="21"/>
                <w:szCs w:val="21"/>
                <w:lang w:val="en-CA" w:eastAsia="en-CA"/>
              </w:rPr>
            </w:pPr>
            <w:r w:rsidRPr="00CE17E9">
              <w:rPr>
                <w:b/>
                <w:bCs/>
                <w:sz w:val="21"/>
                <w:szCs w:val="21"/>
                <w:lang w:val="en-CA" w:eastAsia="en-CA"/>
              </w:rPr>
              <w:t>143,557,756</w:t>
            </w:r>
          </w:p>
        </w:tc>
        <w:tc>
          <w:tcPr>
            <w:tcW w:w="1311"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5E7784DC" w14:textId="77777777" w:rsidR="00A723BA" w:rsidRPr="00CE17E9" w:rsidRDefault="00A723BA" w:rsidP="00FB4800">
            <w:pPr>
              <w:jc w:val="right"/>
              <w:rPr>
                <w:b/>
                <w:bCs/>
                <w:sz w:val="21"/>
                <w:szCs w:val="21"/>
                <w:lang w:val="en-CA" w:eastAsia="en-CA"/>
              </w:rPr>
            </w:pPr>
            <w:r w:rsidRPr="00CE17E9">
              <w:rPr>
                <w:b/>
                <w:bCs/>
                <w:sz w:val="21"/>
                <w:szCs w:val="21"/>
                <w:lang w:val="en-CA" w:eastAsia="en-CA"/>
              </w:rPr>
              <w:t>13,794,680</w:t>
            </w:r>
          </w:p>
        </w:tc>
        <w:tc>
          <w:tcPr>
            <w:tcW w:w="1312" w:type="dxa"/>
            <w:tcBorders>
              <w:top w:val="nil"/>
              <w:left w:val="nil"/>
              <w:bottom w:val="single" w:sz="4" w:space="0" w:color="auto"/>
              <w:right w:val="single" w:sz="4" w:space="0" w:color="auto"/>
            </w:tcBorders>
            <w:shd w:val="clear" w:color="auto" w:fill="auto"/>
            <w:noWrap/>
            <w:tcMar>
              <w:left w:w="57" w:type="dxa"/>
              <w:right w:w="144" w:type="dxa"/>
            </w:tcMar>
            <w:vAlign w:val="center"/>
            <w:hideMark/>
          </w:tcPr>
          <w:p w14:paraId="2A30E0D0" w14:textId="77777777" w:rsidR="00A723BA" w:rsidRPr="00CE17E9" w:rsidRDefault="00A723BA" w:rsidP="00FB4800">
            <w:pPr>
              <w:jc w:val="right"/>
              <w:rPr>
                <w:b/>
                <w:bCs/>
                <w:sz w:val="21"/>
                <w:szCs w:val="21"/>
                <w:lang w:val="en-CA" w:eastAsia="en-CA"/>
              </w:rPr>
            </w:pPr>
            <w:r w:rsidRPr="00CE17E9">
              <w:rPr>
                <w:b/>
                <w:bCs/>
                <w:sz w:val="21"/>
                <w:szCs w:val="21"/>
                <w:lang w:val="en-CA" w:eastAsia="en-CA"/>
              </w:rPr>
              <w:t>91</w:t>
            </w:r>
          </w:p>
        </w:tc>
      </w:tr>
    </w:tbl>
    <w:p w14:paraId="54E91C82" w14:textId="77777777" w:rsidR="006F066A" w:rsidRPr="00CE17E9" w:rsidRDefault="006F066A" w:rsidP="00FB4800">
      <w:pPr>
        <w:rPr>
          <w:sz w:val="20"/>
          <w:szCs w:val="20"/>
          <w:lang w:val="en-CA"/>
        </w:rPr>
      </w:pPr>
      <w:r w:rsidRPr="00CE17E9">
        <w:rPr>
          <w:sz w:val="20"/>
          <w:szCs w:val="20"/>
          <w:lang w:val="en-CA"/>
        </w:rPr>
        <w:t>* Excludes closed and transferred projects.</w:t>
      </w:r>
    </w:p>
    <w:p w14:paraId="0DF7899C" w14:textId="77777777" w:rsidR="006F066A" w:rsidRPr="00CE17E9" w:rsidRDefault="006F066A" w:rsidP="00FB4800">
      <w:pPr>
        <w:rPr>
          <w:sz w:val="20"/>
          <w:szCs w:val="20"/>
          <w:lang w:val="en-CA"/>
        </w:rPr>
      </w:pPr>
      <w:r w:rsidRPr="00CE17E9">
        <w:rPr>
          <w:sz w:val="20"/>
          <w:szCs w:val="20"/>
          <w:lang w:val="en-CA"/>
        </w:rPr>
        <w:t xml:space="preserve">** Excludes agency support costs. </w:t>
      </w:r>
    </w:p>
    <w:p w14:paraId="6C66EC1A" w14:textId="77777777" w:rsidR="000659BD" w:rsidRPr="00CE17E9" w:rsidRDefault="000659BD" w:rsidP="00FB4800">
      <w:pPr>
        <w:rPr>
          <w:sz w:val="20"/>
          <w:szCs w:val="20"/>
          <w:lang w:val="en-CA"/>
        </w:rPr>
      </w:pPr>
    </w:p>
    <w:p w14:paraId="437C97C2" w14:textId="04BFDEAB" w:rsidR="000659BD" w:rsidRPr="00CE17E9" w:rsidRDefault="000659BD" w:rsidP="00FB4800">
      <w:pPr>
        <w:pStyle w:val="Heading1"/>
        <w:rPr>
          <w:lang w:val="en-CA"/>
        </w:rPr>
      </w:pPr>
      <w:r w:rsidRPr="00CE17E9">
        <w:rPr>
          <w:lang w:val="en-CA"/>
        </w:rPr>
        <w:t xml:space="preserve">Table 4 presents a summary of HFC-related projects approved under regular </w:t>
      </w:r>
      <w:r w:rsidR="00224DCC" w:rsidRPr="00CE17E9">
        <w:rPr>
          <w:lang w:val="en-CA"/>
        </w:rPr>
        <w:t>contributions.</w:t>
      </w:r>
    </w:p>
    <w:p w14:paraId="1DD6C020" w14:textId="6A8C34C5" w:rsidR="000659BD" w:rsidRPr="00CE17E9" w:rsidRDefault="000659BD" w:rsidP="00A445E8">
      <w:pPr>
        <w:keepNext/>
        <w:rPr>
          <w:b/>
          <w:lang w:val="en-CA"/>
        </w:rPr>
      </w:pPr>
      <w:r w:rsidRPr="00CE17E9">
        <w:rPr>
          <w:b/>
          <w:lang w:val="en-CA"/>
        </w:rPr>
        <w:lastRenderedPageBreak/>
        <w:t xml:space="preserve">Table 4. HFC-related projects approved under regular </w:t>
      </w:r>
      <w:r w:rsidR="00224DCC" w:rsidRPr="00CE17E9">
        <w:rPr>
          <w:b/>
          <w:lang w:val="en-CA"/>
        </w:rPr>
        <w:t>contributions</w:t>
      </w:r>
    </w:p>
    <w:tbl>
      <w:tblPr>
        <w:tblW w:w="9356" w:type="dxa"/>
        <w:tblInd w:w="-5" w:type="dxa"/>
        <w:tblLook w:val="04A0" w:firstRow="1" w:lastRow="0" w:firstColumn="1" w:lastColumn="0" w:noHBand="0" w:noVBand="1"/>
      </w:tblPr>
      <w:tblGrid>
        <w:gridCol w:w="1843"/>
        <w:gridCol w:w="1134"/>
        <w:gridCol w:w="1048"/>
        <w:gridCol w:w="1078"/>
        <w:gridCol w:w="1134"/>
        <w:gridCol w:w="993"/>
        <w:gridCol w:w="1134"/>
        <w:gridCol w:w="992"/>
      </w:tblGrid>
      <w:tr w:rsidR="00CE17E9" w:rsidRPr="00CE17E9" w14:paraId="152DDB68" w14:textId="77777777" w:rsidTr="00224DCC">
        <w:trPr>
          <w:trHeight w:val="264"/>
          <w:tblHeader/>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52954C83" w14:textId="77777777" w:rsidR="005F40D2" w:rsidRPr="00CE17E9" w:rsidRDefault="005F40D2" w:rsidP="00224DCC">
            <w:pPr>
              <w:jc w:val="left"/>
              <w:rPr>
                <w:b/>
                <w:bCs/>
                <w:sz w:val="20"/>
                <w:szCs w:val="20"/>
                <w:lang w:val="en-CA" w:eastAsia="en-CA"/>
              </w:rPr>
            </w:pPr>
            <w:r w:rsidRPr="00CE17E9">
              <w:rPr>
                <w:b/>
                <w:bCs/>
                <w:sz w:val="20"/>
                <w:szCs w:val="20"/>
                <w:lang w:val="en-CA" w:eastAsia="en-CA"/>
              </w:rPr>
              <w:t>Type</w:t>
            </w:r>
          </w:p>
        </w:tc>
        <w:tc>
          <w:tcPr>
            <w:tcW w:w="3260" w:type="dxa"/>
            <w:gridSpan w:val="3"/>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14:paraId="44A522F8" w14:textId="77777777" w:rsidR="005F40D2" w:rsidRPr="00CE17E9" w:rsidRDefault="005F40D2" w:rsidP="00224DCC">
            <w:pPr>
              <w:jc w:val="left"/>
              <w:rPr>
                <w:b/>
                <w:bCs/>
                <w:sz w:val="20"/>
                <w:szCs w:val="20"/>
                <w:lang w:val="en-CA" w:eastAsia="en-CA"/>
              </w:rPr>
            </w:pPr>
            <w:r w:rsidRPr="00CE17E9">
              <w:rPr>
                <w:b/>
                <w:bCs/>
                <w:sz w:val="20"/>
                <w:szCs w:val="20"/>
                <w:lang w:val="en-CA" w:eastAsia="en-CA"/>
              </w:rPr>
              <w:t>Number of projects</w:t>
            </w:r>
          </w:p>
        </w:tc>
        <w:tc>
          <w:tcPr>
            <w:tcW w:w="4253" w:type="dxa"/>
            <w:gridSpan w:val="4"/>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14:paraId="0E3B54B8" w14:textId="77777777" w:rsidR="005F40D2" w:rsidRPr="00CE17E9" w:rsidRDefault="005F40D2" w:rsidP="00224DCC">
            <w:pPr>
              <w:jc w:val="left"/>
              <w:rPr>
                <w:b/>
                <w:bCs/>
                <w:sz w:val="20"/>
                <w:szCs w:val="20"/>
                <w:lang w:val="en-CA" w:eastAsia="en-CA"/>
              </w:rPr>
            </w:pPr>
            <w:r w:rsidRPr="00CE17E9">
              <w:rPr>
                <w:b/>
                <w:bCs/>
                <w:sz w:val="20"/>
                <w:szCs w:val="20"/>
                <w:lang w:val="en-CA" w:eastAsia="en-CA"/>
              </w:rPr>
              <w:t>Funding (US $)*</w:t>
            </w:r>
          </w:p>
        </w:tc>
      </w:tr>
      <w:tr w:rsidR="00CE17E9" w:rsidRPr="00CE17E9" w14:paraId="5662EB1B" w14:textId="77777777" w:rsidTr="00224DCC">
        <w:trPr>
          <w:trHeight w:val="224"/>
          <w:tblHeader/>
        </w:trPr>
        <w:tc>
          <w:tcPr>
            <w:tcW w:w="184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B46DFFA" w14:textId="77777777" w:rsidR="005F40D2" w:rsidRPr="00CE17E9" w:rsidRDefault="005F40D2" w:rsidP="00224DCC">
            <w:pPr>
              <w:jc w:val="left"/>
              <w:rPr>
                <w:b/>
                <w:bCs/>
                <w:sz w:val="20"/>
                <w:szCs w:val="20"/>
                <w:lang w:val="en-CA" w:eastAsia="en-CA"/>
              </w:rPr>
            </w:pP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90B4055" w14:textId="77777777" w:rsidR="005F40D2" w:rsidRPr="00CE17E9" w:rsidRDefault="005F40D2" w:rsidP="00224DCC">
            <w:pPr>
              <w:jc w:val="center"/>
              <w:rPr>
                <w:b/>
                <w:bCs/>
                <w:sz w:val="20"/>
                <w:szCs w:val="20"/>
                <w:lang w:val="en-CA" w:eastAsia="en-CA"/>
              </w:rPr>
            </w:pPr>
            <w:r w:rsidRPr="00CE17E9">
              <w:rPr>
                <w:b/>
                <w:bCs/>
                <w:sz w:val="20"/>
                <w:szCs w:val="20"/>
                <w:lang w:val="en-US" w:eastAsia="en-CA"/>
              </w:rPr>
              <w:t>Approved</w:t>
            </w:r>
          </w:p>
        </w:tc>
        <w:tc>
          <w:tcPr>
            <w:tcW w:w="104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FAFAD70" w14:textId="77777777" w:rsidR="005F40D2" w:rsidRPr="00CE17E9" w:rsidRDefault="005F40D2" w:rsidP="00224DCC">
            <w:pPr>
              <w:jc w:val="center"/>
              <w:rPr>
                <w:b/>
                <w:bCs/>
                <w:sz w:val="20"/>
                <w:szCs w:val="20"/>
                <w:lang w:val="en-CA" w:eastAsia="en-CA"/>
              </w:rPr>
            </w:pPr>
            <w:r w:rsidRPr="00CE17E9">
              <w:rPr>
                <w:b/>
                <w:bCs/>
                <w:sz w:val="20"/>
                <w:szCs w:val="20"/>
                <w:lang w:val="en-US" w:eastAsia="en-CA"/>
              </w:rPr>
              <w:t>Completed</w:t>
            </w:r>
          </w:p>
        </w:tc>
        <w:tc>
          <w:tcPr>
            <w:tcW w:w="107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19D49C6" w14:textId="77777777" w:rsidR="005F40D2" w:rsidRPr="00CE17E9" w:rsidRDefault="005F40D2" w:rsidP="00224DCC">
            <w:pPr>
              <w:jc w:val="center"/>
              <w:rPr>
                <w:b/>
                <w:bCs/>
                <w:sz w:val="20"/>
                <w:szCs w:val="20"/>
                <w:lang w:val="en-CA" w:eastAsia="en-CA"/>
              </w:rPr>
            </w:pPr>
            <w:r w:rsidRPr="00CE17E9">
              <w:rPr>
                <w:b/>
                <w:bCs/>
                <w:sz w:val="20"/>
                <w:szCs w:val="20"/>
                <w:lang w:val="en-US" w:eastAsia="en-CA"/>
              </w:rPr>
              <w:t>% completed</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A241196" w14:textId="77777777" w:rsidR="005F40D2" w:rsidRPr="00CE17E9" w:rsidRDefault="005F40D2" w:rsidP="00224DCC">
            <w:pPr>
              <w:jc w:val="center"/>
              <w:rPr>
                <w:b/>
                <w:bCs/>
                <w:sz w:val="20"/>
                <w:szCs w:val="20"/>
                <w:lang w:val="en-CA" w:eastAsia="en-CA"/>
              </w:rPr>
            </w:pPr>
            <w:r w:rsidRPr="00CE17E9">
              <w:rPr>
                <w:b/>
                <w:bCs/>
                <w:sz w:val="20"/>
                <w:szCs w:val="20"/>
                <w:lang w:val="en-US" w:eastAsia="en-CA"/>
              </w:rPr>
              <w:t>Approved</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4C38D79" w14:textId="77777777" w:rsidR="005F40D2" w:rsidRPr="00CE17E9" w:rsidRDefault="005F40D2" w:rsidP="00224DCC">
            <w:pPr>
              <w:jc w:val="center"/>
              <w:rPr>
                <w:b/>
                <w:bCs/>
                <w:sz w:val="20"/>
                <w:szCs w:val="20"/>
                <w:lang w:val="en-CA" w:eastAsia="en-CA"/>
              </w:rPr>
            </w:pPr>
            <w:r w:rsidRPr="00CE17E9">
              <w:rPr>
                <w:b/>
                <w:bCs/>
                <w:sz w:val="20"/>
                <w:szCs w:val="20"/>
                <w:lang w:val="en-US" w:eastAsia="en-CA"/>
              </w:rPr>
              <w:t>Disbursed</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D171699" w14:textId="77777777" w:rsidR="005F40D2" w:rsidRPr="00CE17E9" w:rsidRDefault="005F40D2" w:rsidP="00224DCC">
            <w:pPr>
              <w:jc w:val="center"/>
              <w:rPr>
                <w:b/>
                <w:bCs/>
                <w:sz w:val="20"/>
                <w:szCs w:val="20"/>
                <w:lang w:val="en-CA" w:eastAsia="en-CA"/>
              </w:rPr>
            </w:pPr>
            <w:r w:rsidRPr="00CE17E9">
              <w:rPr>
                <w:b/>
                <w:bCs/>
                <w:sz w:val="20"/>
                <w:szCs w:val="20"/>
                <w:lang w:val="en-US" w:eastAsia="en-CA"/>
              </w:rPr>
              <w:t>Balance</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9CADBE6" w14:textId="77777777" w:rsidR="005F40D2" w:rsidRPr="00CE17E9" w:rsidRDefault="005F40D2" w:rsidP="00224DCC">
            <w:pPr>
              <w:jc w:val="center"/>
              <w:rPr>
                <w:b/>
                <w:bCs/>
                <w:sz w:val="20"/>
                <w:szCs w:val="20"/>
                <w:lang w:val="en-CA" w:eastAsia="en-CA"/>
              </w:rPr>
            </w:pPr>
            <w:r w:rsidRPr="00CE17E9">
              <w:rPr>
                <w:b/>
                <w:bCs/>
                <w:sz w:val="20"/>
                <w:szCs w:val="20"/>
                <w:lang w:val="en-US" w:eastAsia="en-CA"/>
              </w:rPr>
              <w:t>% disbursed</w:t>
            </w:r>
          </w:p>
        </w:tc>
      </w:tr>
      <w:tr w:rsidR="00CE17E9" w:rsidRPr="00CE17E9" w14:paraId="068015FB" w14:textId="77777777" w:rsidTr="007043C1">
        <w:trPr>
          <w:trHeight w:val="264"/>
        </w:trPr>
        <w:tc>
          <w:tcPr>
            <w:tcW w:w="184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14:paraId="2BE261DF" w14:textId="77777777" w:rsidR="005F40D2" w:rsidRPr="00CE17E9" w:rsidRDefault="005F40D2" w:rsidP="00FB4800">
            <w:pPr>
              <w:jc w:val="left"/>
              <w:rPr>
                <w:sz w:val="20"/>
                <w:szCs w:val="20"/>
                <w:lang w:val="en-CA" w:eastAsia="en-CA"/>
              </w:rPr>
            </w:pPr>
            <w:r w:rsidRPr="00CE17E9">
              <w:rPr>
                <w:sz w:val="20"/>
                <w:szCs w:val="20"/>
                <w:lang w:val="en-CA" w:eastAsia="en-CA"/>
              </w:rPr>
              <w:t>Investment</w:t>
            </w:r>
            <w:r w:rsidR="00C22527" w:rsidRPr="00CE17E9">
              <w:rPr>
                <w:sz w:val="20"/>
                <w:szCs w:val="20"/>
                <w:lang w:val="en-CA" w:eastAsia="en-CA"/>
              </w:rPr>
              <w:t>**</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26D1738B" w14:textId="77777777" w:rsidR="005F40D2" w:rsidRPr="00CE17E9" w:rsidRDefault="005F40D2" w:rsidP="00FB4800">
            <w:pPr>
              <w:jc w:val="right"/>
              <w:rPr>
                <w:sz w:val="20"/>
                <w:szCs w:val="20"/>
                <w:lang w:val="en-CA" w:eastAsia="en-CA"/>
              </w:rPr>
            </w:pPr>
            <w:r w:rsidRPr="00CE17E9">
              <w:rPr>
                <w:sz w:val="20"/>
                <w:szCs w:val="20"/>
                <w:lang w:val="en-CA" w:eastAsia="en-CA"/>
              </w:rPr>
              <w:t>3</w:t>
            </w:r>
          </w:p>
        </w:tc>
        <w:tc>
          <w:tcPr>
            <w:tcW w:w="1048" w:type="dxa"/>
            <w:tcBorders>
              <w:top w:val="nil"/>
              <w:left w:val="nil"/>
              <w:bottom w:val="single" w:sz="4" w:space="0" w:color="auto"/>
              <w:right w:val="single" w:sz="4" w:space="0" w:color="auto"/>
            </w:tcBorders>
            <w:shd w:val="clear" w:color="auto" w:fill="auto"/>
            <w:tcMar>
              <w:left w:w="57" w:type="dxa"/>
              <w:right w:w="57" w:type="dxa"/>
            </w:tcMar>
            <w:hideMark/>
          </w:tcPr>
          <w:p w14:paraId="4C4A5291" w14:textId="77777777" w:rsidR="005F40D2" w:rsidRPr="00CE17E9" w:rsidRDefault="005F40D2" w:rsidP="00FB4800">
            <w:pPr>
              <w:jc w:val="right"/>
              <w:rPr>
                <w:sz w:val="20"/>
                <w:szCs w:val="20"/>
                <w:lang w:val="en-CA" w:eastAsia="en-CA"/>
              </w:rPr>
            </w:pPr>
            <w:r w:rsidRPr="00CE17E9">
              <w:rPr>
                <w:sz w:val="20"/>
                <w:szCs w:val="20"/>
                <w:lang w:val="en-CA" w:eastAsia="en-CA"/>
              </w:rPr>
              <w:t>0</w:t>
            </w:r>
          </w:p>
        </w:tc>
        <w:tc>
          <w:tcPr>
            <w:tcW w:w="1078" w:type="dxa"/>
            <w:tcBorders>
              <w:top w:val="nil"/>
              <w:left w:val="nil"/>
              <w:bottom w:val="single" w:sz="4" w:space="0" w:color="auto"/>
              <w:right w:val="single" w:sz="4" w:space="0" w:color="auto"/>
            </w:tcBorders>
            <w:shd w:val="clear" w:color="auto" w:fill="auto"/>
            <w:noWrap/>
            <w:tcMar>
              <w:left w:w="57" w:type="dxa"/>
              <w:right w:w="57" w:type="dxa"/>
            </w:tcMar>
            <w:hideMark/>
          </w:tcPr>
          <w:p w14:paraId="5A4E71EC" w14:textId="77777777" w:rsidR="005F40D2" w:rsidRPr="00CE17E9" w:rsidRDefault="005F40D2" w:rsidP="00FB4800">
            <w:pPr>
              <w:jc w:val="right"/>
              <w:rPr>
                <w:sz w:val="20"/>
                <w:szCs w:val="20"/>
                <w:lang w:val="en-CA" w:eastAsia="en-CA"/>
              </w:rPr>
            </w:pPr>
            <w:r w:rsidRPr="00CE17E9">
              <w:rPr>
                <w:sz w:val="20"/>
                <w:szCs w:val="20"/>
                <w:lang w:val="en-CA" w:eastAsia="en-CA"/>
              </w:rPr>
              <w:t>0</w:t>
            </w:r>
          </w:p>
        </w:tc>
        <w:tc>
          <w:tcPr>
            <w:tcW w:w="1134" w:type="dxa"/>
            <w:tcBorders>
              <w:top w:val="nil"/>
              <w:left w:val="nil"/>
              <w:bottom w:val="single" w:sz="4" w:space="0" w:color="auto"/>
              <w:right w:val="single" w:sz="4" w:space="0" w:color="auto"/>
            </w:tcBorders>
            <w:shd w:val="clear" w:color="auto" w:fill="auto"/>
            <w:tcMar>
              <w:left w:w="57" w:type="dxa"/>
              <w:right w:w="57" w:type="dxa"/>
            </w:tcMar>
            <w:hideMark/>
          </w:tcPr>
          <w:p w14:paraId="0E753E22" w14:textId="77777777" w:rsidR="005F40D2" w:rsidRPr="00CE17E9" w:rsidRDefault="005F40D2" w:rsidP="00FB4800">
            <w:pPr>
              <w:jc w:val="right"/>
              <w:rPr>
                <w:sz w:val="20"/>
                <w:szCs w:val="20"/>
                <w:lang w:val="en-CA" w:eastAsia="en-CA"/>
              </w:rPr>
            </w:pPr>
            <w:r w:rsidRPr="00CE17E9">
              <w:rPr>
                <w:sz w:val="20"/>
                <w:szCs w:val="20"/>
                <w:lang w:val="en-CA" w:eastAsia="en-CA"/>
              </w:rPr>
              <w:t>764,988</w:t>
            </w:r>
          </w:p>
        </w:tc>
        <w:tc>
          <w:tcPr>
            <w:tcW w:w="993" w:type="dxa"/>
            <w:tcBorders>
              <w:top w:val="nil"/>
              <w:left w:val="nil"/>
              <w:bottom w:val="single" w:sz="4" w:space="0" w:color="auto"/>
              <w:right w:val="single" w:sz="4" w:space="0" w:color="auto"/>
            </w:tcBorders>
            <w:shd w:val="clear" w:color="auto" w:fill="auto"/>
            <w:tcMar>
              <w:left w:w="57" w:type="dxa"/>
              <w:right w:w="57" w:type="dxa"/>
            </w:tcMar>
            <w:hideMark/>
          </w:tcPr>
          <w:p w14:paraId="42DD5832" w14:textId="77777777" w:rsidR="005F40D2" w:rsidRPr="00CE17E9" w:rsidRDefault="005F40D2" w:rsidP="00FB4800">
            <w:pPr>
              <w:jc w:val="right"/>
              <w:rPr>
                <w:sz w:val="20"/>
                <w:szCs w:val="20"/>
                <w:lang w:val="en-CA" w:eastAsia="en-CA"/>
              </w:rPr>
            </w:pPr>
            <w:r w:rsidRPr="00CE17E9">
              <w:rPr>
                <w:sz w:val="20"/>
                <w:szCs w:val="20"/>
                <w:lang w:val="en-CA" w:eastAsia="en-CA"/>
              </w:rPr>
              <w:t>0</w:t>
            </w:r>
          </w:p>
        </w:tc>
        <w:tc>
          <w:tcPr>
            <w:tcW w:w="1134" w:type="dxa"/>
            <w:tcBorders>
              <w:top w:val="nil"/>
              <w:left w:val="nil"/>
              <w:bottom w:val="single" w:sz="4" w:space="0" w:color="auto"/>
              <w:right w:val="single" w:sz="4" w:space="0" w:color="auto"/>
            </w:tcBorders>
            <w:shd w:val="clear" w:color="auto" w:fill="auto"/>
            <w:tcMar>
              <w:left w:w="57" w:type="dxa"/>
              <w:right w:w="57" w:type="dxa"/>
            </w:tcMar>
            <w:hideMark/>
          </w:tcPr>
          <w:p w14:paraId="408D58B2" w14:textId="77777777" w:rsidR="005F40D2" w:rsidRPr="00CE17E9" w:rsidRDefault="005F40D2" w:rsidP="00FB4800">
            <w:pPr>
              <w:jc w:val="right"/>
              <w:rPr>
                <w:sz w:val="20"/>
                <w:szCs w:val="20"/>
                <w:lang w:val="en-CA" w:eastAsia="en-CA"/>
              </w:rPr>
            </w:pPr>
            <w:r w:rsidRPr="00CE17E9">
              <w:rPr>
                <w:sz w:val="20"/>
                <w:szCs w:val="20"/>
                <w:lang w:val="en-CA" w:eastAsia="en-CA"/>
              </w:rPr>
              <w:t>764,988</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09907909" w14:textId="77777777" w:rsidR="005F40D2" w:rsidRPr="00CE17E9" w:rsidRDefault="005F40D2" w:rsidP="00FB4800">
            <w:pPr>
              <w:jc w:val="right"/>
              <w:rPr>
                <w:sz w:val="20"/>
                <w:szCs w:val="20"/>
                <w:lang w:val="en-CA" w:eastAsia="en-CA"/>
              </w:rPr>
            </w:pPr>
            <w:r w:rsidRPr="00CE17E9">
              <w:rPr>
                <w:sz w:val="20"/>
                <w:szCs w:val="20"/>
                <w:lang w:val="en-CA" w:eastAsia="en-CA"/>
              </w:rPr>
              <w:t>0</w:t>
            </w:r>
          </w:p>
        </w:tc>
      </w:tr>
      <w:tr w:rsidR="00CE17E9" w:rsidRPr="00CE17E9" w14:paraId="15504FA9" w14:textId="77777777" w:rsidTr="007043C1">
        <w:trPr>
          <w:trHeight w:val="54"/>
        </w:trPr>
        <w:tc>
          <w:tcPr>
            <w:tcW w:w="184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14:paraId="7AD7EB23" w14:textId="77777777" w:rsidR="005F40D2" w:rsidRPr="00CE17E9" w:rsidRDefault="005F40D2" w:rsidP="00FB4800">
            <w:pPr>
              <w:jc w:val="left"/>
              <w:rPr>
                <w:sz w:val="20"/>
                <w:szCs w:val="20"/>
                <w:lang w:val="en-CA" w:eastAsia="en-CA"/>
              </w:rPr>
            </w:pPr>
            <w:r w:rsidRPr="00CE17E9">
              <w:rPr>
                <w:sz w:val="20"/>
                <w:szCs w:val="20"/>
                <w:lang w:val="en-CA" w:eastAsia="en-CA"/>
              </w:rPr>
              <w:t>Technical assistance - Enabling activities</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48649D51" w14:textId="77777777" w:rsidR="005F40D2" w:rsidRPr="00CE17E9" w:rsidRDefault="005F40D2" w:rsidP="00FB4800">
            <w:pPr>
              <w:jc w:val="right"/>
              <w:rPr>
                <w:sz w:val="20"/>
                <w:szCs w:val="20"/>
                <w:lang w:val="en-CA" w:eastAsia="en-CA"/>
              </w:rPr>
            </w:pPr>
            <w:r w:rsidRPr="00CE17E9">
              <w:rPr>
                <w:sz w:val="20"/>
                <w:szCs w:val="20"/>
                <w:lang w:val="en-CA" w:eastAsia="en-CA"/>
              </w:rPr>
              <w:t>4</w:t>
            </w:r>
          </w:p>
        </w:tc>
        <w:tc>
          <w:tcPr>
            <w:tcW w:w="1048" w:type="dxa"/>
            <w:tcBorders>
              <w:top w:val="nil"/>
              <w:left w:val="nil"/>
              <w:bottom w:val="single" w:sz="4" w:space="0" w:color="auto"/>
              <w:right w:val="single" w:sz="4" w:space="0" w:color="auto"/>
            </w:tcBorders>
            <w:shd w:val="clear" w:color="auto" w:fill="auto"/>
            <w:tcMar>
              <w:left w:w="57" w:type="dxa"/>
              <w:right w:w="57" w:type="dxa"/>
            </w:tcMar>
            <w:hideMark/>
          </w:tcPr>
          <w:p w14:paraId="56F41327" w14:textId="77777777" w:rsidR="005F40D2" w:rsidRPr="00CE17E9" w:rsidRDefault="005F40D2" w:rsidP="00FB4800">
            <w:pPr>
              <w:jc w:val="right"/>
              <w:rPr>
                <w:sz w:val="20"/>
                <w:szCs w:val="20"/>
                <w:lang w:val="en-CA" w:eastAsia="en-CA"/>
              </w:rPr>
            </w:pPr>
            <w:r w:rsidRPr="00CE17E9">
              <w:rPr>
                <w:sz w:val="20"/>
                <w:szCs w:val="20"/>
                <w:lang w:val="en-CA" w:eastAsia="en-CA"/>
              </w:rPr>
              <w:t>0</w:t>
            </w:r>
          </w:p>
        </w:tc>
        <w:tc>
          <w:tcPr>
            <w:tcW w:w="1078" w:type="dxa"/>
            <w:tcBorders>
              <w:top w:val="nil"/>
              <w:left w:val="nil"/>
              <w:bottom w:val="single" w:sz="4" w:space="0" w:color="auto"/>
              <w:right w:val="single" w:sz="4" w:space="0" w:color="auto"/>
            </w:tcBorders>
            <w:shd w:val="clear" w:color="auto" w:fill="auto"/>
            <w:noWrap/>
            <w:tcMar>
              <w:left w:w="57" w:type="dxa"/>
              <w:right w:w="57" w:type="dxa"/>
            </w:tcMar>
            <w:hideMark/>
          </w:tcPr>
          <w:p w14:paraId="6C8F9A21" w14:textId="77777777" w:rsidR="005F40D2" w:rsidRPr="00CE17E9" w:rsidRDefault="005F40D2" w:rsidP="00FB4800">
            <w:pPr>
              <w:jc w:val="right"/>
              <w:rPr>
                <w:sz w:val="20"/>
                <w:szCs w:val="20"/>
                <w:lang w:val="en-CA" w:eastAsia="en-CA"/>
              </w:rPr>
            </w:pPr>
            <w:r w:rsidRPr="00CE17E9">
              <w:rPr>
                <w:sz w:val="20"/>
                <w:szCs w:val="20"/>
                <w:lang w:val="en-CA" w:eastAsia="en-CA"/>
              </w:rPr>
              <w:t>0</w:t>
            </w:r>
          </w:p>
        </w:tc>
        <w:tc>
          <w:tcPr>
            <w:tcW w:w="1134" w:type="dxa"/>
            <w:tcBorders>
              <w:top w:val="nil"/>
              <w:left w:val="nil"/>
              <w:bottom w:val="single" w:sz="4" w:space="0" w:color="auto"/>
              <w:right w:val="single" w:sz="4" w:space="0" w:color="auto"/>
            </w:tcBorders>
            <w:shd w:val="clear" w:color="auto" w:fill="auto"/>
            <w:tcMar>
              <w:left w:w="57" w:type="dxa"/>
              <w:right w:w="57" w:type="dxa"/>
            </w:tcMar>
            <w:hideMark/>
          </w:tcPr>
          <w:p w14:paraId="5C18D175" w14:textId="77777777" w:rsidR="005F40D2" w:rsidRPr="00CE17E9" w:rsidRDefault="005F40D2" w:rsidP="00FB4800">
            <w:pPr>
              <w:jc w:val="right"/>
              <w:rPr>
                <w:sz w:val="20"/>
                <w:szCs w:val="20"/>
                <w:lang w:val="en-CA" w:eastAsia="en-CA"/>
              </w:rPr>
            </w:pPr>
            <w:r w:rsidRPr="00CE17E9">
              <w:rPr>
                <w:sz w:val="20"/>
                <w:szCs w:val="20"/>
                <w:lang w:val="en-CA" w:eastAsia="en-CA"/>
              </w:rPr>
              <w:t>250,000</w:t>
            </w:r>
          </w:p>
        </w:tc>
        <w:tc>
          <w:tcPr>
            <w:tcW w:w="993" w:type="dxa"/>
            <w:tcBorders>
              <w:top w:val="nil"/>
              <w:left w:val="nil"/>
              <w:bottom w:val="single" w:sz="4" w:space="0" w:color="auto"/>
              <w:right w:val="single" w:sz="4" w:space="0" w:color="auto"/>
            </w:tcBorders>
            <w:shd w:val="clear" w:color="auto" w:fill="auto"/>
            <w:tcMar>
              <w:left w:w="57" w:type="dxa"/>
              <w:right w:w="57" w:type="dxa"/>
            </w:tcMar>
            <w:hideMark/>
          </w:tcPr>
          <w:p w14:paraId="3F285DE1" w14:textId="77777777" w:rsidR="005F40D2" w:rsidRPr="00CE17E9" w:rsidRDefault="005F40D2" w:rsidP="00FB4800">
            <w:pPr>
              <w:jc w:val="right"/>
              <w:rPr>
                <w:sz w:val="20"/>
                <w:szCs w:val="20"/>
                <w:lang w:val="en-CA" w:eastAsia="en-CA"/>
              </w:rPr>
            </w:pPr>
            <w:r w:rsidRPr="00CE17E9">
              <w:rPr>
                <w:sz w:val="20"/>
                <w:szCs w:val="20"/>
                <w:lang w:val="en-CA" w:eastAsia="en-CA"/>
              </w:rPr>
              <w:t>0</w:t>
            </w:r>
          </w:p>
        </w:tc>
        <w:tc>
          <w:tcPr>
            <w:tcW w:w="1134" w:type="dxa"/>
            <w:tcBorders>
              <w:top w:val="nil"/>
              <w:left w:val="nil"/>
              <w:bottom w:val="single" w:sz="4" w:space="0" w:color="auto"/>
              <w:right w:val="single" w:sz="4" w:space="0" w:color="auto"/>
            </w:tcBorders>
            <w:shd w:val="clear" w:color="auto" w:fill="auto"/>
            <w:tcMar>
              <w:left w:w="57" w:type="dxa"/>
              <w:right w:w="57" w:type="dxa"/>
            </w:tcMar>
            <w:hideMark/>
          </w:tcPr>
          <w:p w14:paraId="0AA65B8E" w14:textId="77777777" w:rsidR="005F40D2" w:rsidRPr="00CE17E9" w:rsidRDefault="005F40D2" w:rsidP="00FB4800">
            <w:pPr>
              <w:jc w:val="right"/>
              <w:rPr>
                <w:sz w:val="20"/>
                <w:szCs w:val="20"/>
                <w:lang w:val="en-CA" w:eastAsia="en-CA"/>
              </w:rPr>
            </w:pPr>
            <w:r w:rsidRPr="00CE17E9">
              <w:rPr>
                <w:sz w:val="20"/>
                <w:szCs w:val="20"/>
                <w:lang w:val="en-CA" w:eastAsia="en-CA"/>
              </w:rPr>
              <w:t>250,000</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2B130FC2" w14:textId="77777777" w:rsidR="005F40D2" w:rsidRPr="00CE17E9" w:rsidRDefault="005F40D2" w:rsidP="00FB4800">
            <w:pPr>
              <w:jc w:val="right"/>
              <w:rPr>
                <w:sz w:val="20"/>
                <w:szCs w:val="20"/>
                <w:lang w:val="en-CA" w:eastAsia="en-CA"/>
              </w:rPr>
            </w:pPr>
            <w:r w:rsidRPr="00CE17E9">
              <w:rPr>
                <w:sz w:val="20"/>
                <w:szCs w:val="20"/>
                <w:lang w:val="en-CA" w:eastAsia="en-CA"/>
              </w:rPr>
              <w:t>0</w:t>
            </w:r>
          </w:p>
        </w:tc>
      </w:tr>
      <w:tr w:rsidR="00CE17E9" w:rsidRPr="00CE17E9" w14:paraId="26BE07DE" w14:textId="77777777" w:rsidTr="007043C1">
        <w:trPr>
          <w:trHeight w:val="264"/>
        </w:trPr>
        <w:tc>
          <w:tcPr>
            <w:tcW w:w="184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14:paraId="450CB320" w14:textId="77777777" w:rsidR="005F40D2" w:rsidRPr="00CE17E9" w:rsidRDefault="005F40D2" w:rsidP="00FB4800">
            <w:pPr>
              <w:jc w:val="left"/>
              <w:rPr>
                <w:b/>
                <w:bCs/>
                <w:sz w:val="20"/>
                <w:szCs w:val="20"/>
                <w:lang w:val="en-CA" w:eastAsia="en-CA"/>
              </w:rPr>
            </w:pPr>
            <w:r w:rsidRPr="00CE17E9">
              <w:rPr>
                <w:b/>
                <w:bCs/>
                <w:sz w:val="20"/>
                <w:szCs w:val="20"/>
                <w:lang w:val="en-CA" w:eastAsia="en-CA"/>
              </w:rPr>
              <w:t>Total</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1340BD53" w14:textId="77777777" w:rsidR="005F40D2" w:rsidRPr="00CE17E9" w:rsidRDefault="005F40D2" w:rsidP="00FB4800">
            <w:pPr>
              <w:jc w:val="right"/>
              <w:rPr>
                <w:sz w:val="20"/>
                <w:szCs w:val="20"/>
                <w:lang w:val="en-CA" w:eastAsia="en-CA"/>
              </w:rPr>
            </w:pPr>
            <w:r w:rsidRPr="00CE17E9">
              <w:rPr>
                <w:sz w:val="20"/>
                <w:szCs w:val="20"/>
                <w:lang w:val="en-CA" w:eastAsia="en-CA"/>
              </w:rPr>
              <w:t>7</w:t>
            </w:r>
          </w:p>
        </w:tc>
        <w:tc>
          <w:tcPr>
            <w:tcW w:w="1048" w:type="dxa"/>
            <w:tcBorders>
              <w:top w:val="nil"/>
              <w:left w:val="nil"/>
              <w:bottom w:val="single" w:sz="4" w:space="0" w:color="auto"/>
              <w:right w:val="single" w:sz="4" w:space="0" w:color="auto"/>
            </w:tcBorders>
            <w:shd w:val="clear" w:color="auto" w:fill="auto"/>
            <w:tcMar>
              <w:left w:w="57" w:type="dxa"/>
              <w:right w:w="57" w:type="dxa"/>
            </w:tcMar>
            <w:hideMark/>
          </w:tcPr>
          <w:p w14:paraId="35ABE5CE" w14:textId="77777777" w:rsidR="005F40D2" w:rsidRPr="00CE17E9" w:rsidRDefault="005F40D2" w:rsidP="00FB4800">
            <w:pPr>
              <w:jc w:val="right"/>
              <w:rPr>
                <w:b/>
                <w:bCs/>
                <w:sz w:val="20"/>
                <w:szCs w:val="20"/>
                <w:lang w:val="en-CA" w:eastAsia="en-CA"/>
              </w:rPr>
            </w:pPr>
            <w:r w:rsidRPr="00CE17E9">
              <w:rPr>
                <w:b/>
                <w:bCs/>
                <w:sz w:val="20"/>
                <w:szCs w:val="20"/>
                <w:lang w:val="en-CA" w:eastAsia="en-CA"/>
              </w:rPr>
              <w:t>0</w:t>
            </w:r>
          </w:p>
        </w:tc>
        <w:tc>
          <w:tcPr>
            <w:tcW w:w="1078" w:type="dxa"/>
            <w:tcBorders>
              <w:top w:val="nil"/>
              <w:left w:val="nil"/>
              <w:bottom w:val="single" w:sz="4" w:space="0" w:color="auto"/>
              <w:right w:val="single" w:sz="4" w:space="0" w:color="auto"/>
            </w:tcBorders>
            <w:shd w:val="clear" w:color="auto" w:fill="auto"/>
            <w:noWrap/>
            <w:tcMar>
              <w:left w:w="57" w:type="dxa"/>
              <w:right w:w="57" w:type="dxa"/>
            </w:tcMar>
            <w:hideMark/>
          </w:tcPr>
          <w:p w14:paraId="1E9BE2B6" w14:textId="77777777" w:rsidR="005F40D2" w:rsidRPr="00CE17E9" w:rsidRDefault="005F40D2" w:rsidP="00FB4800">
            <w:pPr>
              <w:jc w:val="right"/>
              <w:rPr>
                <w:b/>
                <w:bCs/>
                <w:sz w:val="20"/>
                <w:szCs w:val="20"/>
                <w:lang w:val="en-CA" w:eastAsia="en-CA"/>
              </w:rPr>
            </w:pPr>
            <w:r w:rsidRPr="00CE17E9">
              <w:rPr>
                <w:b/>
                <w:bCs/>
                <w:sz w:val="20"/>
                <w:szCs w:val="20"/>
                <w:lang w:val="en-CA" w:eastAsia="en-CA"/>
              </w:rPr>
              <w:t>0</w:t>
            </w:r>
          </w:p>
        </w:tc>
        <w:tc>
          <w:tcPr>
            <w:tcW w:w="1134" w:type="dxa"/>
            <w:tcBorders>
              <w:top w:val="nil"/>
              <w:left w:val="nil"/>
              <w:bottom w:val="single" w:sz="4" w:space="0" w:color="auto"/>
              <w:right w:val="single" w:sz="4" w:space="0" w:color="auto"/>
            </w:tcBorders>
            <w:shd w:val="clear" w:color="auto" w:fill="auto"/>
            <w:tcMar>
              <w:left w:w="57" w:type="dxa"/>
              <w:right w:w="57" w:type="dxa"/>
            </w:tcMar>
            <w:hideMark/>
          </w:tcPr>
          <w:p w14:paraId="5D550F8C" w14:textId="77777777" w:rsidR="005F40D2" w:rsidRPr="00CE17E9" w:rsidRDefault="005F40D2" w:rsidP="00FB4800">
            <w:pPr>
              <w:jc w:val="right"/>
              <w:rPr>
                <w:b/>
                <w:bCs/>
                <w:sz w:val="20"/>
                <w:szCs w:val="20"/>
                <w:lang w:val="en-CA" w:eastAsia="en-CA"/>
              </w:rPr>
            </w:pPr>
            <w:r w:rsidRPr="00CE17E9">
              <w:rPr>
                <w:b/>
                <w:bCs/>
                <w:sz w:val="20"/>
                <w:szCs w:val="20"/>
                <w:lang w:val="en-CA" w:eastAsia="en-CA"/>
              </w:rPr>
              <w:t>1,014,988</w:t>
            </w:r>
          </w:p>
        </w:tc>
        <w:tc>
          <w:tcPr>
            <w:tcW w:w="993" w:type="dxa"/>
            <w:tcBorders>
              <w:top w:val="nil"/>
              <w:left w:val="nil"/>
              <w:bottom w:val="single" w:sz="4" w:space="0" w:color="auto"/>
              <w:right w:val="single" w:sz="4" w:space="0" w:color="auto"/>
            </w:tcBorders>
            <w:shd w:val="clear" w:color="auto" w:fill="auto"/>
            <w:tcMar>
              <w:left w:w="57" w:type="dxa"/>
              <w:right w:w="57" w:type="dxa"/>
            </w:tcMar>
            <w:hideMark/>
          </w:tcPr>
          <w:p w14:paraId="234246E0" w14:textId="77777777" w:rsidR="005F40D2" w:rsidRPr="00CE17E9" w:rsidRDefault="005F40D2" w:rsidP="00FB4800">
            <w:pPr>
              <w:jc w:val="right"/>
              <w:rPr>
                <w:b/>
                <w:bCs/>
                <w:sz w:val="20"/>
                <w:szCs w:val="20"/>
                <w:lang w:val="en-CA" w:eastAsia="en-CA"/>
              </w:rPr>
            </w:pPr>
            <w:r w:rsidRPr="00CE17E9">
              <w:rPr>
                <w:b/>
                <w:bCs/>
                <w:sz w:val="20"/>
                <w:szCs w:val="20"/>
                <w:lang w:val="en-CA" w:eastAsia="en-CA"/>
              </w:rPr>
              <w:t>0</w:t>
            </w:r>
          </w:p>
        </w:tc>
        <w:tc>
          <w:tcPr>
            <w:tcW w:w="1134" w:type="dxa"/>
            <w:tcBorders>
              <w:top w:val="nil"/>
              <w:left w:val="nil"/>
              <w:bottom w:val="single" w:sz="4" w:space="0" w:color="auto"/>
              <w:right w:val="single" w:sz="4" w:space="0" w:color="auto"/>
            </w:tcBorders>
            <w:shd w:val="clear" w:color="auto" w:fill="auto"/>
            <w:tcMar>
              <w:left w:w="57" w:type="dxa"/>
              <w:right w:w="57" w:type="dxa"/>
            </w:tcMar>
            <w:hideMark/>
          </w:tcPr>
          <w:p w14:paraId="40A5D11F" w14:textId="77777777" w:rsidR="005F40D2" w:rsidRPr="00CE17E9" w:rsidRDefault="005F40D2" w:rsidP="00FB4800">
            <w:pPr>
              <w:jc w:val="right"/>
              <w:rPr>
                <w:b/>
                <w:bCs/>
                <w:sz w:val="20"/>
                <w:szCs w:val="20"/>
                <w:lang w:val="en-CA" w:eastAsia="en-CA"/>
              </w:rPr>
            </w:pPr>
            <w:r w:rsidRPr="00CE17E9">
              <w:rPr>
                <w:b/>
                <w:bCs/>
                <w:sz w:val="20"/>
                <w:szCs w:val="20"/>
                <w:lang w:val="en-CA" w:eastAsia="en-CA"/>
              </w:rPr>
              <w:t>1,014,988</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3454729F" w14:textId="77777777" w:rsidR="005F40D2" w:rsidRPr="00CE17E9" w:rsidRDefault="005F40D2" w:rsidP="00FB4800">
            <w:pPr>
              <w:jc w:val="right"/>
              <w:rPr>
                <w:b/>
                <w:bCs/>
                <w:sz w:val="20"/>
                <w:szCs w:val="20"/>
                <w:lang w:val="en-CA" w:eastAsia="en-CA"/>
              </w:rPr>
            </w:pPr>
            <w:r w:rsidRPr="00CE17E9">
              <w:rPr>
                <w:b/>
                <w:bCs/>
                <w:sz w:val="20"/>
                <w:szCs w:val="20"/>
                <w:lang w:val="en-CA" w:eastAsia="en-CA"/>
              </w:rPr>
              <w:t>0</w:t>
            </w:r>
          </w:p>
        </w:tc>
      </w:tr>
    </w:tbl>
    <w:p w14:paraId="63409BC6" w14:textId="77777777" w:rsidR="000659BD" w:rsidRPr="00CE17E9" w:rsidRDefault="000659BD" w:rsidP="00FB4800">
      <w:pPr>
        <w:rPr>
          <w:sz w:val="19"/>
          <w:szCs w:val="19"/>
          <w:lang w:val="en-CA"/>
        </w:rPr>
      </w:pPr>
      <w:r w:rsidRPr="00CE17E9">
        <w:rPr>
          <w:sz w:val="19"/>
          <w:szCs w:val="19"/>
          <w:lang w:val="en-CA"/>
        </w:rPr>
        <w:t xml:space="preserve">*Excludes agency support costs. </w:t>
      </w:r>
    </w:p>
    <w:p w14:paraId="40A4E9C0" w14:textId="1C056EC6" w:rsidR="00C22527" w:rsidRPr="00CE17E9" w:rsidRDefault="00C22527" w:rsidP="00FB4800">
      <w:pPr>
        <w:rPr>
          <w:sz w:val="19"/>
          <w:szCs w:val="19"/>
          <w:lang w:val="en-CA"/>
        </w:rPr>
      </w:pPr>
      <w:r w:rsidRPr="00CE17E9">
        <w:rPr>
          <w:sz w:val="19"/>
          <w:szCs w:val="19"/>
          <w:lang w:val="en-CA"/>
        </w:rPr>
        <w:t xml:space="preserve">** </w:t>
      </w:r>
      <w:r w:rsidR="00B60E69" w:rsidRPr="00CE17E9">
        <w:rPr>
          <w:sz w:val="19"/>
          <w:szCs w:val="19"/>
          <w:lang w:val="en-CA"/>
        </w:rPr>
        <w:t>74</w:t>
      </w:r>
      <w:r w:rsidR="009064F2" w:rsidRPr="00CE17E9">
        <w:rPr>
          <w:sz w:val="19"/>
          <w:szCs w:val="19"/>
          <w:lang w:val="en-CA"/>
        </w:rPr>
        <w:t xml:space="preserve"> </w:t>
      </w:r>
      <w:proofErr w:type="spellStart"/>
      <w:r w:rsidR="009064F2" w:rsidRPr="00CE17E9">
        <w:rPr>
          <w:sz w:val="19"/>
          <w:szCs w:val="19"/>
          <w:lang w:val="en-CA"/>
        </w:rPr>
        <w:t>mt</w:t>
      </w:r>
      <w:proofErr w:type="spellEnd"/>
      <w:r w:rsidR="009064F2" w:rsidRPr="00CE17E9">
        <w:rPr>
          <w:sz w:val="19"/>
          <w:szCs w:val="19"/>
          <w:lang w:val="en-CA"/>
        </w:rPr>
        <w:t xml:space="preserve"> </w:t>
      </w:r>
      <w:r w:rsidR="006A4B3C" w:rsidRPr="00CE17E9">
        <w:rPr>
          <w:sz w:val="19"/>
          <w:szCs w:val="19"/>
          <w:lang w:val="en-CA"/>
        </w:rPr>
        <w:t>(</w:t>
      </w:r>
      <w:r w:rsidR="00B60E69" w:rsidRPr="00CE17E9">
        <w:rPr>
          <w:sz w:val="19"/>
          <w:szCs w:val="19"/>
          <w:lang w:val="en-CA"/>
        </w:rPr>
        <w:t>105,865</w:t>
      </w:r>
      <w:r w:rsidR="00EB1C46" w:rsidRPr="00CE17E9">
        <w:rPr>
          <w:sz w:val="19"/>
          <w:szCs w:val="19"/>
          <w:lang w:val="en-CA"/>
        </w:rPr>
        <w:t xml:space="preserve"> </w:t>
      </w:r>
      <w:proofErr w:type="spellStart"/>
      <w:r w:rsidR="00EB1C46" w:rsidRPr="00CE17E9">
        <w:rPr>
          <w:sz w:val="19"/>
          <w:szCs w:val="19"/>
          <w:lang w:val="en-CA"/>
        </w:rPr>
        <w:t>mt</w:t>
      </w:r>
      <w:proofErr w:type="spellEnd"/>
      <w:r w:rsidR="006A4B3C" w:rsidRPr="00CE17E9">
        <w:rPr>
          <w:sz w:val="19"/>
          <w:szCs w:val="19"/>
          <w:lang w:val="en-CA"/>
        </w:rPr>
        <w:t xml:space="preserve"> CO</w:t>
      </w:r>
      <w:r w:rsidR="006A4B3C" w:rsidRPr="00CE17E9">
        <w:rPr>
          <w:sz w:val="19"/>
          <w:szCs w:val="19"/>
          <w:vertAlign w:val="subscript"/>
          <w:lang w:val="en-CA"/>
        </w:rPr>
        <w:t>2</w:t>
      </w:r>
      <w:r w:rsidR="006A4B3C" w:rsidRPr="00CE17E9">
        <w:rPr>
          <w:sz w:val="19"/>
          <w:szCs w:val="19"/>
          <w:lang w:val="en-CA"/>
        </w:rPr>
        <w:t>-eq</w:t>
      </w:r>
      <w:r w:rsidR="00EB1C46" w:rsidRPr="00CE17E9">
        <w:rPr>
          <w:sz w:val="19"/>
          <w:szCs w:val="19"/>
          <w:lang w:val="en-CA"/>
        </w:rPr>
        <w:t>.</w:t>
      </w:r>
      <w:r w:rsidR="006A4B3C" w:rsidRPr="00CE17E9">
        <w:rPr>
          <w:sz w:val="19"/>
          <w:szCs w:val="19"/>
          <w:lang w:val="en-CA"/>
        </w:rPr>
        <w:t>) of HFCs to be phased out.</w:t>
      </w:r>
    </w:p>
    <w:p w14:paraId="11A83708" w14:textId="77777777" w:rsidR="000659BD" w:rsidRPr="00CE17E9" w:rsidRDefault="000659BD" w:rsidP="00FB4800">
      <w:pPr>
        <w:rPr>
          <w:sz w:val="20"/>
          <w:szCs w:val="20"/>
          <w:lang w:val="en-CA"/>
        </w:rPr>
      </w:pPr>
    </w:p>
    <w:p w14:paraId="7D53DDEF" w14:textId="46033078" w:rsidR="000659BD" w:rsidRPr="00CE17E9" w:rsidRDefault="000659BD" w:rsidP="00FB4800">
      <w:pPr>
        <w:pStyle w:val="Heading1"/>
        <w:rPr>
          <w:lang w:val="en-CA"/>
        </w:rPr>
      </w:pPr>
      <w:r w:rsidRPr="00CE17E9">
        <w:rPr>
          <w:lang w:val="en-CA"/>
        </w:rPr>
        <w:t xml:space="preserve">There are currently </w:t>
      </w:r>
      <w:r w:rsidR="005F40D2" w:rsidRPr="00CE17E9">
        <w:rPr>
          <w:lang w:val="en-CA"/>
        </w:rPr>
        <w:t>seven HFC-related activities (including three investment and four</w:t>
      </w:r>
      <w:r w:rsidRPr="00CE17E9">
        <w:rPr>
          <w:lang w:val="en-CA"/>
        </w:rPr>
        <w:t xml:space="preserve"> enabling activities</w:t>
      </w:r>
      <w:r w:rsidR="005F40D2" w:rsidRPr="00CE17E9">
        <w:rPr>
          <w:lang w:val="en-CA"/>
        </w:rPr>
        <w:t>)</w:t>
      </w:r>
      <w:r w:rsidRPr="00CE17E9">
        <w:rPr>
          <w:lang w:val="en-CA"/>
        </w:rPr>
        <w:t xml:space="preserve"> approved under regular </w:t>
      </w:r>
      <w:r w:rsidR="005D06AC" w:rsidRPr="00CE17E9">
        <w:rPr>
          <w:lang w:val="en-CA"/>
        </w:rPr>
        <w:t xml:space="preserve">contributions </w:t>
      </w:r>
      <w:r w:rsidRPr="00CE17E9">
        <w:rPr>
          <w:lang w:val="en-CA"/>
        </w:rPr>
        <w:t>at a total value of US $</w:t>
      </w:r>
      <w:r w:rsidR="005F40D2" w:rsidRPr="00CE17E9">
        <w:rPr>
          <w:lang w:val="en-CA"/>
        </w:rPr>
        <w:t>1,014,988</w:t>
      </w:r>
      <w:r w:rsidR="005D06AC" w:rsidRPr="00CE17E9">
        <w:rPr>
          <w:lang w:val="en-CA"/>
        </w:rPr>
        <w:t>, with no f</w:t>
      </w:r>
      <w:r w:rsidR="005F40D2" w:rsidRPr="00CE17E9">
        <w:rPr>
          <w:lang w:val="en-CA"/>
        </w:rPr>
        <w:t>unds disburse</w:t>
      </w:r>
      <w:r w:rsidR="005D06AC" w:rsidRPr="00CE17E9">
        <w:rPr>
          <w:lang w:val="en-CA"/>
        </w:rPr>
        <w:t>ment</w:t>
      </w:r>
      <w:r w:rsidR="005F40D2" w:rsidRPr="00CE17E9">
        <w:rPr>
          <w:lang w:val="en-CA"/>
        </w:rPr>
        <w:t>.</w:t>
      </w:r>
      <w:r w:rsidRPr="00CE17E9">
        <w:rPr>
          <w:lang w:val="en-CA"/>
        </w:rPr>
        <w:t xml:space="preserve"> These projects are </w:t>
      </w:r>
      <w:r w:rsidR="000E6CB1" w:rsidRPr="00CE17E9">
        <w:rPr>
          <w:lang w:val="en-CA"/>
        </w:rPr>
        <w:t>at</w:t>
      </w:r>
      <w:r w:rsidRPr="00CE17E9">
        <w:rPr>
          <w:lang w:val="en-CA"/>
        </w:rPr>
        <w:t xml:space="preserve"> various stages of implementation and are expected to be completed on time in 2020.</w:t>
      </w:r>
    </w:p>
    <w:p w14:paraId="6B8CD5D9" w14:textId="09A34CC6" w:rsidR="006F066A" w:rsidRPr="00CE17E9" w:rsidRDefault="006F066A" w:rsidP="00FB4800">
      <w:pPr>
        <w:pStyle w:val="Heading1"/>
        <w:keepNext/>
        <w:keepLines/>
        <w:numPr>
          <w:ilvl w:val="0"/>
          <w:numId w:val="0"/>
        </w:numPr>
        <w:ind w:left="1418" w:hanging="1418"/>
        <w:rPr>
          <w:rFonts w:ascii="Times New Roman Bold" w:hAnsi="Times New Roman Bold"/>
          <w:caps/>
          <w:szCs w:val="28"/>
          <w:lang w:val="en-CA"/>
        </w:rPr>
      </w:pPr>
      <w:r w:rsidRPr="00CE17E9">
        <w:rPr>
          <w:rFonts w:ascii="Times New Roman Bold" w:hAnsi="Times New Roman Bold"/>
          <w:caps/>
          <w:szCs w:val="28"/>
          <w:lang w:val="en-CA"/>
        </w:rPr>
        <w:t>Part II:</w:t>
      </w:r>
      <w:r w:rsidRPr="00CE17E9">
        <w:rPr>
          <w:rFonts w:ascii="Times New Roman Bold" w:hAnsi="Times New Roman Bold"/>
          <w:caps/>
          <w:szCs w:val="28"/>
          <w:lang w:val="en-CA"/>
        </w:rPr>
        <w:tab/>
      </w:r>
      <w:r w:rsidR="005D06AC" w:rsidRPr="00CE17E9">
        <w:rPr>
          <w:rFonts w:ascii="Times New Roman Bold" w:hAnsi="Times New Roman Bold"/>
          <w:b/>
          <w:caps/>
          <w:szCs w:val="28"/>
          <w:lang w:val="en-CA"/>
        </w:rPr>
        <w:t>Projects approved under the additional voluntary contributions for fast start support for HFC phase-down</w:t>
      </w:r>
    </w:p>
    <w:p w14:paraId="14F4C931" w14:textId="77777777" w:rsidR="006F066A" w:rsidRPr="00CE17E9" w:rsidRDefault="00A723BA" w:rsidP="00FB4800">
      <w:pPr>
        <w:pStyle w:val="Heading1"/>
        <w:rPr>
          <w:lang w:val="en-CA"/>
        </w:rPr>
      </w:pPr>
      <w:r w:rsidRPr="00CE17E9">
        <w:rPr>
          <w:lang w:val="en-CA"/>
        </w:rPr>
        <w:t>As of 31 December 2018</w:t>
      </w:r>
      <w:r w:rsidR="006F066A" w:rsidRPr="00CE17E9">
        <w:rPr>
          <w:lang w:val="en-CA"/>
        </w:rPr>
        <w:t>, the Executive Committee had approved seven HFC-related projects for two bilateral agencies (Germany and Italy) under the additional voluntary contributions amounting to US $480,000 (excluding agency support costs). A summary of the status of these projec</w:t>
      </w:r>
      <w:r w:rsidR="00521863" w:rsidRPr="00CE17E9">
        <w:rPr>
          <w:lang w:val="en-CA"/>
        </w:rPr>
        <w:t>ts is presented in Table 5</w:t>
      </w:r>
      <w:r w:rsidR="006F066A" w:rsidRPr="00CE17E9">
        <w:rPr>
          <w:lang w:val="en-CA"/>
        </w:rPr>
        <w:t xml:space="preserve">. </w:t>
      </w:r>
    </w:p>
    <w:p w14:paraId="0DD70AE3" w14:textId="77777777" w:rsidR="006F066A" w:rsidRPr="00CE17E9" w:rsidRDefault="00521863" w:rsidP="00FB4800">
      <w:pPr>
        <w:pStyle w:val="Heading1"/>
        <w:keepNext/>
        <w:numPr>
          <w:ilvl w:val="0"/>
          <w:numId w:val="0"/>
        </w:numPr>
        <w:spacing w:after="0"/>
        <w:rPr>
          <w:b/>
          <w:sz w:val="21"/>
          <w:szCs w:val="21"/>
          <w:lang w:val="en-CA"/>
        </w:rPr>
      </w:pPr>
      <w:r w:rsidRPr="00CE17E9">
        <w:rPr>
          <w:b/>
          <w:sz w:val="21"/>
          <w:szCs w:val="21"/>
          <w:lang w:val="en-CA"/>
        </w:rPr>
        <w:t>Table 5</w:t>
      </w:r>
      <w:r w:rsidR="006F066A" w:rsidRPr="00CE17E9">
        <w:rPr>
          <w:b/>
          <w:sz w:val="21"/>
          <w:szCs w:val="21"/>
          <w:lang w:val="en-CA"/>
        </w:rPr>
        <w:t>. HFC-related projects approved in 201</w:t>
      </w:r>
      <w:r w:rsidR="00A723BA" w:rsidRPr="00CE17E9">
        <w:rPr>
          <w:b/>
          <w:sz w:val="21"/>
          <w:szCs w:val="21"/>
          <w:lang w:val="en-CA"/>
        </w:rPr>
        <w:t>8</w:t>
      </w:r>
    </w:p>
    <w:tbl>
      <w:tblPr>
        <w:tblW w:w="9356" w:type="dxa"/>
        <w:tblInd w:w="-5" w:type="dxa"/>
        <w:tblLayout w:type="fixed"/>
        <w:tblLook w:val="04A0" w:firstRow="1" w:lastRow="0" w:firstColumn="1" w:lastColumn="0" w:noHBand="0" w:noVBand="1"/>
      </w:tblPr>
      <w:tblGrid>
        <w:gridCol w:w="1843"/>
        <w:gridCol w:w="1073"/>
        <w:gridCol w:w="1073"/>
        <w:gridCol w:w="1051"/>
        <w:gridCol w:w="1096"/>
        <w:gridCol w:w="1073"/>
        <w:gridCol w:w="1073"/>
        <w:gridCol w:w="1074"/>
      </w:tblGrid>
      <w:tr w:rsidR="00CE17E9" w:rsidRPr="00CE17E9" w14:paraId="6B989718" w14:textId="77777777" w:rsidTr="00A445E8">
        <w:trPr>
          <w:tblHeader/>
        </w:trPr>
        <w:tc>
          <w:tcPr>
            <w:tcW w:w="1843" w:type="dxa"/>
            <w:vMerge w:val="restart"/>
            <w:tcBorders>
              <w:top w:val="single" w:sz="4" w:space="0" w:color="auto"/>
              <w:left w:val="single" w:sz="4" w:space="0" w:color="auto"/>
              <w:right w:val="single" w:sz="4" w:space="0" w:color="auto"/>
            </w:tcBorders>
            <w:shd w:val="clear" w:color="auto" w:fill="auto"/>
            <w:noWrap/>
            <w:tcMar>
              <w:left w:w="57" w:type="dxa"/>
              <w:right w:w="57" w:type="dxa"/>
            </w:tcMar>
            <w:vAlign w:val="center"/>
            <w:hideMark/>
          </w:tcPr>
          <w:p w14:paraId="0DC94EC8" w14:textId="77777777" w:rsidR="006F066A" w:rsidRPr="00CE17E9" w:rsidRDefault="006F066A" w:rsidP="00A445E8">
            <w:pPr>
              <w:keepNext/>
              <w:jc w:val="left"/>
              <w:rPr>
                <w:b/>
                <w:bCs/>
                <w:sz w:val="21"/>
                <w:szCs w:val="21"/>
                <w:lang w:val="en-CA" w:eastAsia="en-CA"/>
              </w:rPr>
            </w:pPr>
            <w:r w:rsidRPr="00CE17E9">
              <w:rPr>
                <w:b/>
                <w:bCs/>
                <w:sz w:val="21"/>
                <w:szCs w:val="21"/>
                <w:lang w:val="en-CA" w:eastAsia="en-CA"/>
              </w:rPr>
              <w:t>Type</w:t>
            </w:r>
          </w:p>
        </w:tc>
        <w:tc>
          <w:tcPr>
            <w:tcW w:w="3197" w:type="dxa"/>
            <w:gridSpan w:val="3"/>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7EDFF77D" w14:textId="77777777" w:rsidR="006F066A" w:rsidRPr="00CE17E9" w:rsidRDefault="006F066A" w:rsidP="00FB4800">
            <w:pPr>
              <w:keepNext/>
              <w:jc w:val="center"/>
              <w:rPr>
                <w:b/>
                <w:bCs/>
                <w:sz w:val="21"/>
                <w:szCs w:val="21"/>
                <w:lang w:val="en-CA" w:eastAsia="en-CA"/>
              </w:rPr>
            </w:pPr>
            <w:r w:rsidRPr="00CE17E9">
              <w:rPr>
                <w:b/>
                <w:bCs/>
                <w:sz w:val="21"/>
                <w:szCs w:val="21"/>
                <w:lang w:val="en-CA" w:eastAsia="en-CA"/>
              </w:rPr>
              <w:t>Number of projects</w:t>
            </w:r>
          </w:p>
        </w:tc>
        <w:tc>
          <w:tcPr>
            <w:tcW w:w="4316" w:type="dxa"/>
            <w:gridSpan w:val="4"/>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71267663" w14:textId="77777777" w:rsidR="006F066A" w:rsidRPr="00CE17E9" w:rsidRDefault="006F066A" w:rsidP="00FB4800">
            <w:pPr>
              <w:keepNext/>
              <w:jc w:val="center"/>
              <w:rPr>
                <w:b/>
                <w:bCs/>
                <w:sz w:val="21"/>
                <w:szCs w:val="21"/>
                <w:lang w:val="en-CA" w:eastAsia="en-CA"/>
              </w:rPr>
            </w:pPr>
            <w:r w:rsidRPr="00CE17E9">
              <w:rPr>
                <w:b/>
                <w:bCs/>
                <w:sz w:val="21"/>
                <w:szCs w:val="21"/>
                <w:lang w:val="en-CA" w:eastAsia="en-CA"/>
              </w:rPr>
              <w:t>Funding (US $)*</w:t>
            </w:r>
          </w:p>
        </w:tc>
      </w:tr>
      <w:tr w:rsidR="00CE17E9" w:rsidRPr="00CE17E9" w14:paraId="49CE44F2" w14:textId="77777777" w:rsidTr="006108DC">
        <w:trPr>
          <w:tblHeader/>
        </w:trPr>
        <w:tc>
          <w:tcPr>
            <w:tcW w:w="1843" w:type="dxa"/>
            <w:vMerge/>
            <w:tcBorders>
              <w:left w:val="single" w:sz="4" w:space="0" w:color="auto"/>
              <w:bottom w:val="single" w:sz="4" w:space="0" w:color="auto"/>
              <w:right w:val="single" w:sz="4" w:space="0" w:color="auto"/>
            </w:tcBorders>
            <w:shd w:val="clear" w:color="auto" w:fill="auto"/>
            <w:noWrap/>
            <w:tcMar>
              <w:left w:w="57" w:type="dxa"/>
              <w:right w:w="57" w:type="dxa"/>
            </w:tcMar>
            <w:hideMark/>
          </w:tcPr>
          <w:p w14:paraId="57E9598C" w14:textId="77777777" w:rsidR="006F066A" w:rsidRPr="00CE17E9" w:rsidRDefault="006F066A" w:rsidP="00FB4800">
            <w:pPr>
              <w:keepNext/>
              <w:jc w:val="left"/>
              <w:rPr>
                <w:b/>
                <w:bCs/>
                <w:sz w:val="21"/>
                <w:szCs w:val="21"/>
                <w:lang w:val="en-CA" w:eastAsia="en-CA"/>
              </w:rPr>
            </w:pPr>
          </w:p>
        </w:tc>
        <w:tc>
          <w:tcPr>
            <w:tcW w:w="107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E1D2401" w14:textId="77777777" w:rsidR="006F066A" w:rsidRPr="00CE17E9" w:rsidRDefault="006F066A" w:rsidP="00A445E8">
            <w:pPr>
              <w:keepNext/>
              <w:jc w:val="center"/>
              <w:rPr>
                <w:b/>
                <w:bCs/>
                <w:sz w:val="21"/>
                <w:szCs w:val="21"/>
                <w:lang w:val="en-CA" w:eastAsia="en-CA"/>
              </w:rPr>
            </w:pPr>
            <w:r w:rsidRPr="00CE17E9">
              <w:rPr>
                <w:b/>
                <w:bCs/>
                <w:sz w:val="21"/>
                <w:szCs w:val="21"/>
                <w:lang w:val="en-US" w:eastAsia="en-CA"/>
              </w:rPr>
              <w:t>Approved</w:t>
            </w:r>
          </w:p>
        </w:tc>
        <w:tc>
          <w:tcPr>
            <w:tcW w:w="107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EFB1388" w14:textId="77777777" w:rsidR="006F066A" w:rsidRPr="00CE17E9" w:rsidRDefault="006F066A" w:rsidP="00A445E8">
            <w:pPr>
              <w:keepNext/>
              <w:jc w:val="center"/>
              <w:rPr>
                <w:b/>
                <w:bCs/>
                <w:sz w:val="21"/>
                <w:szCs w:val="21"/>
                <w:lang w:val="en-CA" w:eastAsia="en-CA"/>
              </w:rPr>
            </w:pPr>
            <w:r w:rsidRPr="00CE17E9">
              <w:rPr>
                <w:b/>
                <w:bCs/>
                <w:sz w:val="21"/>
                <w:szCs w:val="21"/>
                <w:lang w:val="en-US" w:eastAsia="en-CA"/>
              </w:rPr>
              <w:t>Completed</w:t>
            </w:r>
          </w:p>
        </w:tc>
        <w:tc>
          <w:tcPr>
            <w:tcW w:w="1051"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12901B9" w14:textId="77777777" w:rsidR="006F066A" w:rsidRPr="00CE17E9" w:rsidRDefault="006F066A" w:rsidP="00A445E8">
            <w:pPr>
              <w:keepNext/>
              <w:jc w:val="center"/>
              <w:rPr>
                <w:b/>
                <w:bCs/>
                <w:sz w:val="21"/>
                <w:szCs w:val="21"/>
                <w:lang w:val="en-US" w:eastAsia="en-CA"/>
              </w:rPr>
            </w:pPr>
            <w:r w:rsidRPr="00CE17E9">
              <w:rPr>
                <w:b/>
                <w:bCs/>
                <w:sz w:val="21"/>
                <w:szCs w:val="21"/>
                <w:lang w:val="en-US" w:eastAsia="en-CA"/>
              </w:rPr>
              <w:t>%</w:t>
            </w:r>
          </w:p>
          <w:p w14:paraId="4D3414AF" w14:textId="77777777" w:rsidR="006F066A" w:rsidRPr="00CE17E9" w:rsidRDefault="006F066A" w:rsidP="00A445E8">
            <w:pPr>
              <w:keepNext/>
              <w:jc w:val="center"/>
              <w:rPr>
                <w:b/>
                <w:bCs/>
                <w:sz w:val="21"/>
                <w:szCs w:val="21"/>
                <w:lang w:val="en-CA" w:eastAsia="en-CA"/>
              </w:rPr>
            </w:pPr>
            <w:r w:rsidRPr="00CE17E9">
              <w:rPr>
                <w:b/>
                <w:bCs/>
                <w:sz w:val="21"/>
                <w:szCs w:val="21"/>
                <w:lang w:val="en-US" w:eastAsia="en-CA"/>
              </w:rPr>
              <w:t>completed</w:t>
            </w:r>
          </w:p>
        </w:tc>
        <w:tc>
          <w:tcPr>
            <w:tcW w:w="1096"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20A6ECA" w14:textId="77777777" w:rsidR="006F066A" w:rsidRPr="00CE17E9" w:rsidRDefault="006F066A" w:rsidP="00A445E8">
            <w:pPr>
              <w:keepNext/>
              <w:jc w:val="center"/>
              <w:rPr>
                <w:b/>
                <w:bCs/>
                <w:sz w:val="21"/>
                <w:szCs w:val="21"/>
                <w:lang w:val="en-CA" w:eastAsia="en-CA"/>
              </w:rPr>
            </w:pPr>
            <w:r w:rsidRPr="00CE17E9">
              <w:rPr>
                <w:b/>
                <w:bCs/>
                <w:sz w:val="21"/>
                <w:szCs w:val="21"/>
                <w:lang w:val="en-US" w:eastAsia="en-CA"/>
              </w:rPr>
              <w:t>Approved</w:t>
            </w:r>
          </w:p>
        </w:tc>
        <w:tc>
          <w:tcPr>
            <w:tcW w:w="107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54926D4" w14:textId="77777777" w:rsidR="006F066A" w:rsidRPr="00CE17E9" w:rsidRDefault="006F066A" w:rsidP="00A445E8">
            <w:pPr>
              <w:keepNext/>
              <w:jc w:val="center"/>
              <w:rPr>
                <w:b/>
                <w:bCs/>
                <w:sz w:val="21"/>
                <w:szCs w:val="21"/>
                <w:lang w:val="en-CA" w:eastAsia="en-CA"/>
              </w:rPr>
            </w:pPr>
            <w:r w:rsidRPr="00CE17E9">
              <w:rPr>
                <w:b/>
                <w:bCs/>
                <w:sz w:val="21"/>
                <w:szCs w:val="21"/>
                <w:lang w:val="en-US" w:eastAsia="en-CA"/>
              </w:rPr>
              <w:t>Disbursed</w:t>
            </w:r>
          </w:p>
        </w:tc>
        <w:tc>
          <w:tcPr>
            <w:tcW w:w="107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2637EFD" w14:textId="77777777" w:rsidR="006F066A" w:rsidRPr="00CE17E9" w:rsidRDefault="006F066A" w:rsidP="00A445E8">
            <w:pPr>
              <w:keepNext/>
              <w:jc w:val="center"/>
              <w:rPr>
                <w:b/>
                <w:bCs/>
                <w:sz w:val="21"/>
                <w:szCs w:val="21"/>
                <w:lang w:val="en-CA" w:eastAsia="en-CA"/>
              </w:rPr>
            </w:pPr>
            <w:r w:rsidRPr="00CE17E9">
              <w:rPr>
                <w:b/>
                <w:bCs/>
                <w:sz w:val="21"/>
                <w:szCs w:val="21"/>
                <w:lang w:val="en-US" w:eastAsia="en-CA"/>
              </w:rPr>
              <w:t>Balance</w:t>
            </w:r>
          </w:p>
        </w:tc>
        <w:tc>
          <w:tcPr>
            <w:tcW w:w="1074"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E0B7FEF" w14:textId="77777777" w:rsidR="006F066A" w:rsidRPr="00CE17E9" w:rsidRDefault="006F066A" w:rsidP="00A445E8">
            <w:pPr>
              <w:keepNext/>
              <w:jc w:val="center"/>
              <w:rPr>
                <w:b/>
                <w:bCs/>
                <w:sz w:val="21"/>
                <w:szCs w:val="21"/>
                <w:lang w:val="en-US" w:eastAsia="en-CA"/>
              </w:rPr>
            </w:pPr>
            <w:r w:rsidRPr="00CE17E9">
              <w:rPr>
                <w:b/>
                <w:bCs/>
                <w:sz w:val="21"/>
                <w:szCs w:val="21"/>
                <w:lang w:val="en-US" w:eastAsia="en-CA"/>
              </w:rPr>
              <w:t>%</w:t>
            </w:r>
          </w:p>
          <w:p w14:paraId="7A37CD5C" w14:textId="77777777" w:rsidR="006F066A" w:rsidRPr="00CE17E9" w:rsidRDefault="006F066A" w:rsidP="00A445E8">
            <w:pPr>
              <w:keepNext/>
              <w:jc w:val="center"/>
              <w:rPr>
                <w:b/>
                <w:bCs/>
                <w:sz w:val="21"/>
                <w:szCs w:val="21"/>
                <w:lang w:val="en-CA" w:eastAsia="en-CA"/>
              </w:rPr>
            </w:pPr>
            <w:r w:rsidRPr="00CE17E9">
              <w:rPr>
                <w:b/>
                <w:bCs/>
                <w:sz w:val="21"/>
                <w:szCs w:val="21"/>
                <w:lang w:val="en-US" w:eastAsia="en-CA"/>
              </w:rPr>
              <w:t>disbursed</w:t>
            </w:r>
          </w:p>
        </w:tc>
      </w:tr>
      <w:tr w:rsidR="00CE17E9" w:rsidRPr="00CE17E9" w14:paraId="2C9B6B23" w14:textId="77777777" w:rsidTr="00A445E8">
        <w:tc>
          <w:tcPr>
            <w:tcW w:w="184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14:paraId="0937E1F1" w14:textId="77777777" w:rsidR="00A723BA" w:rsidRPr="00CE17E9" w:rsidRDefault="00A723BA" w:rsidP="00FB4800">
            <w:pPr>
              <w:keepNext/>
              <w:jc w:val="left"/>
              <w:rPr>
                <w:sz w:val="21"/>
                <w:szCs w:val="21"/>
                <w:lang w:val="en-CA" w:eastAsia="en-CA"/>
              </w:rPr>
            </w:pPr>
            <w:r w:rsidRPr="00CE17E9">
              <w:rPr>
                <w:sz w:val="21"/>
                <w:szCs w:val="21"/>
                <w:lang w:val="en-CA" w:eastAsia="en-CA"/>
              </w:rPr>
              <w:t>Technical assistance - Enabling activities</w:t>
            </w:r>
          </w:p>
        </w:tc>
        <w:tc>
          <w:tcPr>
            <w:tcW w:w="1073" w:type="dxa"/>
            <w:tcBorders>
              <w:top w:val="nil"/>
              <w:left w:val="nil"/>
              <w:bottom w:val="single" w:sz="4" w:space="0" w:color="auto"/>
              <w:right w:val="single" w:sz="4" w:space="0" w:color="auto"/>
            </w:tcBorders>
            <w:shd w:val="clear" w:color="auto" w:fill="auto"/>
            <w:tcMar>
              <w:left w:w="57" w:type="dxa"/>
              <w:right w:w="57" w:type="dxa"/>
            </w:tcMar>
          </w:tcPr>
          <w:p w14:paraId="3FE38EDA" w14:textId="77777777" w:rsidR="00A723BA" w:rsidRPr="00CE17E9" w:rsidRDefault="00A723BA" w:rsidP="00FB4800">
            <w:pPr>
              <w:jc w:val="right"/>
              <w:rPr>
                <w:sz w:val="21"/>
                <w:szCs w:val="21"/>
              </w:rPr>
            </w:pPr>
            <w:r w:rsidRPr="00CE17E9">
              <w:rPr>
                <w:sz w:val="21"/>
                <w:szCs w:val="21"/>
              </w:rPr>
              <w:t>7</w:t>
            </w:r>
          </w:p>
        </w:tc>
        <w:tc>
          <w:tcPr>
            <w:tcW w:w="1073" w:type="dxa"/>
            <w:tcBorders>
              <w:top w:val="nil"/>
              <w:left w:val="nil"/>
              <w:bottom w:val="single" w:sz="4" w:space="0" w:color="auto"/>
              <w:right w:val="single" w:sz="4" w:space="0" w:color="auto"/>
            </w:tcBorders>
            <w:shd w:val="clear" w:color="auto" w:fill="auto"/>
            <w:tcMar>
              <w:left w:w="57" w:type="dxa"/>
              <w:right w:w="57" w:type="dxa"/>
            </w:tcMar>
          </w:tcPr>
          <w:p w14:paraId="17EC12CC" w14:textId="20AA615B" w:rsidR="00A723BA" w:rsidRPr="00CE17E9" w:rsidRDefault="00CB18E5" w:rsidP="00FB4800">
            <w:pPr>
              <w:jc w:val="right"/>
              <w:rPr>
                <w:sz w:val="21"/>
                <w:szCs w:val="21"/>
              </w:rPr>
            </w:pPr>
            <w:r w:rsidRPr="00CE17E9">
              <w:rPr>
                <w:sz w:val="21"/>
                <w:szCs w:val="21"/>
              </w:rPr>
              <w:t>0</w:t>
            </w:r>
          </w:p>
        </w:tc>
        <w:tc>
          <w:tcPr>
            <w:tcW w:w="1051" w:type="dxa"/>
            <w:tcBorders>
              <w:top w:val="nil"/>
              <w:left w:val="nil"/>
              <w:bottom w:val="single" w:sz="4" w:space="0" w:color="auto"/>
              <w:right w:val="single" w:sz="4" w:space="0" w:color="auto"/>
            </w:tcBorders>
            <w:shd w:val="clear" w:color="auto" w:fill="auto"/>
            <w:tcMar>
              <w:left w:w="57" w:type="dxa"/>
              <w:right w:w="57" w:type="dxa"/>
            </w:tcMar>
          </w:tcPr>
          <w:p w14:paraId="5699C82B" w14:textId="77777777" w:rsidR="00A723BA" w:rsidRPr="00CE17E9" w:rsidRDefault="00A723BA" w:rsidP="00FB4800">
            <w:pPr>
              <w:jc w:val="right"/>
              <w:rPr>
                <w:sz w:val="21"/>
                <w:szCs w:val="21"/>
              </w:rPr>
            </w:pPr>
            <w:r w:rsidRPr="00CE17E9">
              <w:rPr>
                <w:sz w:val="21"/>
                <w:szCs w:val="21"/>
              </w:rPr>
              <w:t>0</w:t>
            </w:r>
          </w:p>
        </w:tc>
        <w:tc>
          <w:tcPr>
            <w:tcW w:w="1096" w:type="dxa"/>
            <w:tcBorders>
              <w:top w:val="nil"/>
              <w:left w:val="nil"/>
              <w:bottom w:val="single" w:sz="4" w:space="0" w:color="auto"/>
              <w:right w:val="single" w:sz="4" w:space="0" w:color="auto"/>
            </w:tcBorders>
            <w:shd w:val="clear" w:color="auto" w:fill="auto"/>
            <w:tcMar>
              <w:left w:w="57" w:type="dxa"/>
              <w:right w:w="57" w:type="dxa"/>
            </w:tcMar>
          </w:tcPr>
          <w:p w14:paraId="64A0EBF7" w14:textId="77777777" w:rsidR="00A723BA" w:rsidRPr="00CE17E9" w:rsidRDefault="00A723BA" w:rsidP="00FB4800">
            <w:pPr>
              <w:jc w:val="right"/>
              <w:rPr>
                <w:sz w:val="21"/>
                <w:szCs w:val="21"/>
              </w:rPr>
            </w:pPr>
            <w:r w:rsidRPr="00CE17E9">
              <w:rPr>
                <w:sz w:val="21"/>
                <w:szCs w:val="21"/>
              </w:rPr>
              <w:t>480,000</w:t>
            </w:r>
          </w:p>
        </w:tc>
        <w:tc>
          <w:tcPr>
            <w:tcW w:w="1073" w:type="dxa"/>
            <w:tcBorders>
              <w:top w:val="nil"/>
              <w:left w:val="nil"/>
              <w:bottom w:val="single" w:sz="4" w:space="0" w:color="auto"/>
              <w:right w:val="single" w:sz="4" w:space="0" w:color="auto"/>
            </w:tcBorders>
            <w:shd w:val="clear" w:color="auto" w:fill="auto"/>
            <w:tcMar>
              <w:left w:w="57" w:type="dxa"/>
              <w:right w:w="57" w:type="dxa"/>
            </w:tcMar>
          </w:tcPr>
          <w:p w14:paraId="0C89547A" w14:textId="77777777" w:rsidR="00A723BA" w:rsidRPr="00CE17E9" w:rsidRDefault="00A723BA" w:rsidP="00FB4800">
            <w:pPr>
              <w:jc w:val="right"/>
              <w:rPr>
                <w:sz w:val="21"/>
                <w:szCs w:val="21"/>
              </w:rPr>
            </w:pPr>
            <w:r w:rsidRPr="00CE17E9">
              <w:rPr>
                <w:sz w:val="21"/>
                <w:szCs w:val="21"/>
              </w:rPr>
              <w:t>93,809</w:t>
            </w:r>
          </w:p>
        </w:tc>
        <w:tc>
          <w:tcPr>
            <w:tcW w:w="1073" w:type="dxa"/>
            <w:tcBorders>
              <w:top w:val="nil"/>
              <w:left w:val="nil"/>
              <w:bottom w:val="single" w:sz="4" w:space="0" w:color="auto"/>
              <w:right w:val="single" w:sz="4" w:space="0" w:color="auto"/>
            </w:tcBorders>
            <w:shd w:val="clear" w:color="auto" w:fill="auto"/>
            <w:tcMar>
              <w:left w:w="57" w:type="dxa"/>
              <w:right w:w="57" w:type="dxa"/>
            </w:tcMar>
          </w:tcPr>
          <w:p w14:paraId="0B7A7576" w14:textId="77777777" w:rsidR="00A723BA" w:rsidRPr="00CE17E9" w:rsidRDefault="00A723BA" w:rsidP="00FB4800">
            <w:pPr>
              <w:jc w:val="right"/>
              <w:rPr>
                <w:sz w:val="21"/>
                <w:szCs w:val="21"/>
              </w:rPr>
            </w:pPr>
            <w:r w:rsidRPr="00CE17E9">
              <w:rPr>
                <w:sz w:val="21"/>
                <w:szCs w:val="21"/>
              </w:rPr>
              <w:t>386,191</w:t>
            </w:r>
          </w:p>
        </w:tc>
        <w:tc>
          <w:tcPr>
            <w:tcW w:w="1074" w:type="dxa"/>
            <w:tcBorders>
              <w:top w:val="nil"/>
              <w:left w:val="nil"/>
              <w:bottom w:val="single" w:sz="4" w:space="0" w:color="auto"/>
              <w:right w:val="single" w:sz="4" w:space="0" w:color="auto"/>
            </w:tcBorders>
            <w:shd w:val="clear" w:color="auto" w:fill="auto"/>
            <w:tcMar>
              <w:left w:w="57" w:type="dxa"/>
              <w:right w:w="57" w:type="dxa"/>
            </w:tcMar>
          </w:tcPr>
          <w:p w14:paraId="73F8D8A0" w14:textId="77777777" w:rsidR="00A723BA" w:rsidRPr="00CE17E9" w:rsidRDefault="00A723BA" w:rsidP="00FB4800">
            <w:pPr>
              <w:jc w:val="right"/>
              <w:rPr>
                <w:sz w:val="21"/>
                <w:szCs w:val="21"/>
              </w:rPr>
            </w:pPr>
            <w:r w:rsidRPr="00CE17E9">
              <w:rPr>
                <w:sz w:val="21"/>
                <w:szCs w:val="21"/>
              </w:rPr>
              <w:t>20</w:t>
            </w:r>
          </w:p>
        </w:tc>
      </w:tr>
      <w:tr w:rsidR="00CE17E9" w:rsidRPr="00CE17E9" w14:paraId="47BF9021" w14:textId="77777777" w:rsidTr="00A445E8">
        <w:tc>
          <w:tcPr>
            <w:tcW w:w="1843"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6169DEAD" w14:textId="77777777" w:rsidR="00A723BA" w:rsidRPr="00CE17E9" w:rsidRDefault="00A723BA" w:rsidP="00FB4800">
            <w:pPr>
              <w:keepNext/>
              <w:jc w:val="left"/>
              <w:rPr>
                <w:b/>
                <w:bCs/>
                <w:sz w:val="21"/>
                <w:szCs w:val="21"/>
                <w:lang w:val="en-CA" w:eastAsia="en-CA"/>
              </w:rPr>
            </w:pPr>
            <w:r w:rsidRPr="00CE17E9">
              <w:rPr>
                <w:b/>
                <w:bCs/>
                <w:sz w:val="21"/>
                <w:szCs w:val="21"/>
                <w:lang w:val="en-CA" w:eastAsia="en-CA"/>
              </w:rPr>
              <w:t>Total</w:t>
            </w:r>
          </w:p>
        </w:tc>
        <w:tc>
          <w:tcPr>
            <w:tcW w:w="1073" w:type="dxa"/>
            <w:tcBorders>
              <w:top w:val="nil"/>
              <w:left w:val="nil"/>
              <w:bottom w:val="single" w:sz="4" w:space="0" w:color="auto"/>
              <w:right w:val="single" w:sz="4" w:space="0" w:color="auto"/>
            </w:tcBorders>
            <w:shd w:val="clear" w:color="auto" w:fill="auto"/>
            <w:noWrap/>
            <w:tcMar>
              <w:left w:w="57" w:type="dxa"/>
              <w:right w:w="57" w:type="dxa"/>
            </w:tcMar>
          </w:tcPr>
          <w:p w14:paraId="35907F32" w14:textId="77777777" w:rsidR="00A723BA" w:rsidRPr="00CE17E9" w:rsidRDefault="00A723BA" w:rsidP="00FB4800">
            <w:pPr>
              <w:jc w:val="right"/>
              <w:rPr>
                <w:b/>
                <w:sz w:val="21"/>
                <w:szCs w:val="21"/>
              </w:rPr>
            </w:pPr>
            <w:r w:rsidRPr="00CE17E9">
              <w:rPr>
                <w:b/>
                <w:sz w:val="21"/>
                <w:szCs w:val="21"/>
              </w:rPr>
              <w:t>7</w:t>
            </w:r>
          </w:p>
        </w:tc>
        <w:tc>
          <w:tcPr>
            <w:tcW w:w="1073" w:type="dxa"/>
            <w:tcBorders>
              <w:top w:val="nil"/>
              <w:left w:val="nil"/>
              <w:bottom w:val="single" w:sz="4" w:space="0" w:color="auto"/>
              <w:right w:val="single" w:sz="4" w:space="0" w:color="auto"/>
            </w:tcBorders>
            <w:shd w:val="clear" w:color="auto" w:fill="auto"/>
            <w:noWrap/>
            <w:tcMar>
              <w:left w:w="57" w:type="dxa"/>
              <w:right w:w="57" w:type="dxa"/>
            </w:tcMar>
          </w:tcPr>
          <w:p w14:paraId="036C6DAB" w14:textId="08FA312A" w:rsidR="00A723BA" w:rsidRPr="00CE17E9" w:rsidRDefault="00CB18E5" w:rsidP="00FB4800">
            <w:pPr>
              <w:jc w:val="right"/>
              <w:rPr>
                <w:b/>
                <w:sz w:val="21"/>
                <w:szCs w:val="21"/>
              </w:rPr>
            </w:pPr>
            <w:r w:rsidRPr="00CE17E9">
              <w:rPr>
                <w:b/>
                <w:sz w:val="21"/>
                <w:szCs w:val="21"/>
              </w:rPr>
              <w:t>0</w:t>
            </w:r>
          </w:p>
        </w:tc>
        <w:tc>
          <w:tcPr>
            <w:tcW w:w="1051" w:type="dxa"/>
            <w:tcBorders>
              <w:top w:val="nil"/>
              <w:left w:val="nil"/>
              <w:bottom w:val="single" w:sz="4" w:space="0" w:color="auto"/>
              <w:right w:val="single" w:sz="4" w:space="0" w:color="auto"/>
            </w:tcBorders>
            <w:shd w:val="clear" w:color="auto" w:fill="auto"/>
            <w:noWrap/>
            <w:tcMar>
              <w:left w:w="57" w:type="dxa"/>
              <w:right w:w="57" w:type="dxa"/>
            </w:tcMar>
          </w:tcPr>
          <w:p w14:paraId="71B7FE0D" w14:textId="77777777" w:rsidR="00A723BA" w:rsidRPr="00CE17E9" w:rsidRDefault="00A723BA" w:rsidP="00FB4800">
            <w:pPr>
              <w:jc w:val="right"/>
              <w:rPr>
                <w:b/>
                <w:sz w:val="21"/>
                <w:szCs w:val="21"/>
              </w:rPr>
            </w:pPr>
            <w:r w:rsidRPr="00CE17E9">
              <w:rPr>
                <w:b/>
                <w:sz w:val="21"/>
                <w:szCs w:val="21"/>
              </w:rPr>
              <w:t>0</w:t>
            </w:r>
          </w:p>
        </w:tc>
        <w:tc>
          <w:tcPr>
            <w:tcW w:w="1096" w:type="dxa"/>
            <w:tcBorders>
              <w:top w:val="nil"/>
              <w:left w:val="nil"/>
              <w:bottom w:val="single" w:sz="4" w:space="0" w:color="auto"/>
              <w:right w:val="single" w:sz="4" w:space="0" w:color="auto"/>
            </w:tcBorders>
            <w:shd w:val="clear" w:color="auto" w:fill="auto"/>
            <w:noWrap/>
            <w:tcMar>
              <w:left w:w="57" w:type="dxa"/>
              <w:right w:w="57" w:type="dxa"/>
            </w:tcMar>
          </w:tcPr>
          <w:p w14:paraId="3A9A3D1F" w14:textId="77777777" w:rsidR="00A723BA" w:rsidRPr="00CE17E9" w:rsidRDefault="00A723BA" w:rsidP="00FB4800">
            <w:pPr>
              <w:jc w:val="right"/>
              <w:rPr>
                <w:b/>
                <w:sz w:val="21"/>
                <w:szCs w:val="21"/>
              </w:rPr>
            </w:pPr>
            <w:r w:rsidRPr="00CE17E9">
              <w:rPr>
                <w:b/>
                <w:sz w:val="21"/>
                <w:szCs w:val="21"/>
              </w:rPr>
              <w:t>480,000</w:t>
            </w:r>
          </w:p>
        </w:tc>
        <w:tc>
          <w:tcPr>
            <w:tcW w:w="1073" w:type="dxa"/>
            <w:tcBorders>
              <w:top w:val="nil"/>
              <w:left w:val="nil"/>
              <w:bottom w:val="single" w:sz="4" w:space="0" w:color="auto"/>
              <w:right w:val="single" w:sz="4" w:space="0" w:color="auto"/>
            </w:tcBorders>
            <w:shd w:val="clear" w:color="auto" w:fill="auto"/>
            <w:noWrap/>
            <w:tcMar>
              <w:left w:w="57" w:type="dxa"/>
              <w:right w:w="57" w:type="dxa"/>
            </w:tcMar>
          </w:tcPr>
          <w:p w14:paraId="4A27A69A" w14:textId="77777777" w:rsidR="00A723BA" w:rsidRPr="00CE17E9" w:rsidRDefault="00A723BA" w:rsidP="00FB4800">
            <w:pPr>
              <w:jc w:val="right"/>
              <w:rPr>
                <w:b/>
                <w:sz w:val="21"/>
                <w:szCs w:val="21"/>
              </w:rPr>
            </w:pPr>
            <w:r w:rsidRPr="00CE17E9">
              <w:rPr>
                <w:b/>
                <w:sz w:val="21"/>
                <w:szCs w:val="21"/>
              </w:rPr>
              <w:t>93,809</w:t>
            </w:r>
          </w:p>
        </w:tc>
        <w:tc>
          <w:tcPr>
            <w:tcW w:w="1073" w:type="dxa"/>
            <w:tcBorders>
              <w:top w:val="nil"/>
              <w:left w:val="nil"/>
              <w:bottom w:val="single" w:sz="4" w:space="0" w:color="auto"/>
              <w:right w:val="single" w:sz="4" w:space="0" w:color="auto"/>
            </w:tcBorders>
            <w:shd w:val="clear" w:color="auto" w:fill="auto"/>
            <w:noWrap/>
            <w:tcMar>
              <w:left w:w="57" w:type="dxa"/>
              <w:right w:w="57" w:type="dxa"/>
            </w:tcMar>
          </w:tcPr>
          <w:p w14:paraId="6E2F41B4" w14:textId="77777777" w:rsidR="00A723BA" w:rsidRPr="00CE17E9" w:rsidRDefault="00A723BA" w:rsidP="00FB4800">
            <w:pPr>
              <w:jc w:val="right"/>
              <w:rPr>
                <w:b/>
                <w:sz w:val="21"/>
                <w:szCs w:val="21"/>
              </w:rPr>
            </w:pPr>
            <w:r w:rsidRPr="00CE17E9">
              <w:rPr>
                <w:b/>
                <w:sz w:val="21"/>
                <w:szCs w:val="21"/>
              </w:rPr>
              <w:t>386,191</w:t>
            </w:r>
          </w:p>
        </w:tc>
        <w:tc>
          <w:tcPr>
            <w:tcW w:w="1074" w:type="dxa"/>
            <w:tcBorders>
              <w:top w:val="nil"/>
              <w:left w:val="nil"/>
              <w:bottom w:val="single" w:sz="4" w:space="0" w:color="auto"/>
              <w:right w:val="single" w:sz="4" w:space="0" w:color="auto"/>
            </w:tcBorders>
            <w:shd w:val="clear" w:color="auto" w:fill="auto"/>
            <w:noWrap/>
            <w:tcMar>
              <w:left w:w="57" w:type="dxa"/>
              <w:right w:w="57" w:type="dxa"/>
            </w:tcMar>
          </w:tcPr>
          <w:p w14:paraId="25F8757A" w14:textId="77777777" w:rsidR="00A723BA" w:rsidRPr="00CE17E9" w:rsidRDefault="00A723BA" w:rsidP="00FB4800">
            <w:pPr>
              <w:jc w:val="right"/>
              <w:rPr>
                <w:b/>
                <w:sz w:val="21"/>
                <w:szCs w:val="21"/>
              </w:rPr>
            </w:pPr>
            <w:r w:rsidRPr="00CE17E9">
              <w:rPr>
                <w:b/>
                <w:sz w:val="21"/>
                <w:szCs w:val="21"/>
              </w:rPr>
              <w:t>20</w:t>
            </w:r>
          </w:p>
        </w:tc>
      </w:tr>
    </w:tbl>
    <w:p w14:paraId="1B090E6B" w14:textId="77777777" w:rsidR="006F066A" w:rsidRPr="00CE17E9" w:rsidRDefault="006F066A" w:rsidP="00FB4800">
      <w:pPr>
        <w:keepNext/>
        <w:rPr>
          <w:sz w:val="20"/>
          <w:szCs w:val="20"/>
          <w:lang w:val="en-CA"/>
        </w:rPr>
      </w:pPr>
      <w:r w:rsidRPr="00CE17E9">
        <w:rPr>
          <w:sz w:val="20"/>
          <w:szCs w:val="20"/>
          <w:lang w:val="en-CA"/>
        </w:rPr>
        <w:t>* Excludes agency support costs.</w:t>
      </w:r>
    </w:p>
    <w:p w14:paraId="457ADCD6" w14:textId="39CF3392" w:rsidR="006F066A" w:rsidRPr="00CE17E9" w:rsidRDefault="006F066A" w:rsidP="00FB4800">
      <w:pPr>
        <w:keepNext/>
        <w:rPr>
          <w:lang w:val="en-CA"/>
        </w:rPr>
      </w:pPr>
    </w:p>
    <w:p w14:paraId="5CFA2A46" w14:textId="180DB2BE" w:rsidR="00A445E8" w:rsidRPr="00CE17E9" w:rsidRDefault="00A445E8" w:rsidP="00A445E8">
      <w:pPr>
        <w:pStyle w:val="Heading1"/>
        <w:rPr>
          <w:lang w:val="en-CA"/>
        </w:rPr>
      </w:pPr>
      <w:r w:rsidRPr="00CE17E9">
        <w:rPr>
          <w:lang w:val="en-CA"/>
        </w:rPr>
        <w:t>Seven enabling activities approved by the end of 2018 are at various stages of implementation</w:t>
      </w:r>
      <w:r w:rsidR="00B60E69" w:rsidRPr="00CE17E9">
        <w:rPr>
          <w:lang w:val="en-CA"/>
        </w:rPr>
        <w:t>.</w:t>
      </w:r>
      <w:r w:rsidRPr="00CE17E9">
        <w:rPr>
          <w:lang w:val="en-CA"/>
        </w:rPr>
        <w:t xml:space="preserve"> Cumulatively, US $93,809 had been disbursed out of the total US $480,000 approved for disbursement (excluding support costs), representing a disbursement rate of 20 per cent.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052C5C" w:rsidRPr="00CE17E9" w14:paraId="4352D86F" w14:textId="77777777" w:rsidTr="006F066A">
        <w:tc>
          <w:tcPr>
            <w:tcW w:w="1871" w:type="dxa"/>
          </w:tcPr>
          <w:p w14:paraId="1576DFE7" w14:textId="77777777" w:rsidR="00052C5C" w:rsidRPr="00CE17E9" w:rsidRDefault="00052C5C" w:rsidP="00FB4800">
            <w:pPr>
              <w:tabs>
                <w:tab w:val="left" w:pos="8280"/>
              </w:tabs>
            </w:pPr>
          </w:p>
        </w:tc>
        <w:tc>
          <w:tcPr>
            <w:tcW w:w="1872" w:type="dxa"/>
          </w:tcPr>
          <w:p w14:paraId="0C785273" w14:textId="77777777" w:rsidR="00052C5C" w:rsidRPr="00CE17E9" w:rsidRDefault="00052C5C" w:rsidP="00FB4800">
            <w:pPr>
              <w:tabs>
                <w:tab w:val="left" w:pos="8280"/>
              </w:tabs>
            </w:pPr>
          </w:p>
        </w:tc>
        <w:tc>
          <w:tcPr>
            <w:tcW w:w="1872" w:type="dxa"/>
            <w:tcBorders>
              <w:bottom w:val="single" w:sz="4" w:space="0" w:color="auto"/>
            </w:tcBorders>
          </w:tcPr>
          <w:p w14:paraId="7EFFBBB9" w14:textId="77777777" w:rsidR="00052C5C" w:rsidRPr="00CE17E9" w:rsidRDefault="00052C5C" w:rsidP="00FB4800">
            <w:pPr>
              <w:tabs>
                <w:tab w:val="left" w:pos="8280"/>
              </w:tabs>
            </w:pPr>
          </w:p>
        </w:tc>
        <w:tc>
          <w:tcPr>
            <w:tcW w:w="1872" w:type="dxa"/>
          </w:tcPr>
          <w:p w14:paraId="33D1A005" w14:textId="77777777" w:rsidR="00052C5C" w:rsidRPr="00CE17E9" w:rsidRDefault="00052C5C" w:rsidP="00FB4800">
            <w:pPr>
              <w:tabs>
                <w:tab w:val="left" w:pos="8280"/>
              </w:tabs>
            </w:pPr>
          </w:p>
        </w:tc>
        <w:tc>
          <w:tcPr>
            <w:tcW w:w="1873" w:type="dxa"/>
          </w:tcPr>
          <w:p w14:paraId="0BF4A461" w14:textId="77777777" w:rsidR="00052C5C" w:rsidRPr="00CE17E9" w:rsidRDefault="00052C5C" w:rsidP="00FB4800">
            <w:pPr>
              <w:tabs>
                <w:tab w:val="left" w:pos="8280"/>
              </w:tabs>
            </w:pPr>
          </w:p>
        </w:tc>
      </w:tr>
    </w:tbl>
    <w:p w14:paraId="5C45E0D5" w14:textId="77777777" w:rsidR="00052C5C" w:rsidRPr="00CE17E9" w:rsidRDefault="00052C5C" w:rsidP="00FB4800">
      <w:pPr>
        <w:tabs>
          <w:tab w:val="left" w:pos="8280"/>
        </w:tabs>
        <w:rPr>
          <w:lang w:val="en-CA"/>
        </w:rPr>
      </w:pPr>
    </w:p>
    <w:p w14:paraId="7FCF224B" w14:textId="77777777" w:rsidR="00052C5C" w:rsidRPr="00CE17E9" w:rsidRDefault="00052C5C" w:rsidP="00FB4800">
      <w:pPr>
        <w:tabs>
          <w:tab w:val="left" w:pos="8280"/>
        </w:tabs>
        <w:rPr>
          <w:lang w:val="en-CA"/>
        </w:rPr>
      </w:pPr>
    </w:p>
    <w:sectPr w:rsidR="00052C5C" w:rsidRPr="00CE17E9" w:rsidSect="006F066A">
      <w:headerReference w:type="even" r:id="rId20"/>
      <w:headerReference w:type="default" r:id="rId21"/>
      <w:footerReference w:type="even" r:id="rId22"/>
      <w:footerReference w:type="default" r:id="rId23"/>
      <w:headerReference w:type="first" r:id="rId24"/>
      <w:footerReference w:type="first" r:id="rId25"/>
      <w:footnotePr>
        <w:numRestart w:val="eachSect"/>
      </w:footnotePr>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B535F" w14:textId="77777777" w:rsidR="00A26C5B" w:rsidRDefault="00A26C5B" w:rsidP="004A504B">
      <w:r>
        <w:separator/>
      </w:r>
    </w:p>
  </w:endnote>
  <w:endnote w:type="continuationSeparator" w:id="0">
    <w:p w14:paraId="02F813D3" w14:textId="77777777" w:rsidR="00A26C5B" w:rsidRDefault="00A26C5B"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331A3" w14:textId="0D85179A" w:rsidR="00A26C5B" w:rsidRPr="0033525D" w:rsidRDefault="00A26C5B">
    <w:pPr>
      <w:jc w:val="center"/>
    </w:pPr>
    <w:r>
      <w:fldChar w:fldCharType="begin"/>
    </w:r>
    <w:r>
      <w:instrText xml:space="preserve"> PAGE </w:instrText>
    </w:r>
    <w:r>
      <w:fldChar w:fldCharType="separate"/>
    </w:r>
    <w:r w:rsidR="00A11EE6">
      <w:rPr>
        <w:noProof/>
      </w:rPr>
      <w:t>4</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A4DBD" w14:textId="23B8D3C6" w:rsidR="00A26C5B" w:rsidRPr="0033525D" w:rsidRDefault="00A26C5B">
    <w:pPr>
      <w:jc w:val="center"/>
    </w:pPr>
    <w:r>
      <w:fldChar w:fldCharType="begin"/>
    </w:r>
    <w:r>
      <w:instrText xml:space="preserve"> PAGE </w:instrText>
    </w:r>
    <w:r>
      <w:fldChar w:fldCharType="separate"/>
    </w:r>
    <w:r w:rsidR="00A11EE6">
      <w:rPr>
        <w:noProof/>
      </w:rPr>
      <w:t>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CDCFF" w14:textId="77777777" w:rsidR="00A26C5B" w:rsidRDefault="00A26C5B"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79770550" w14:textId="77777777" w:rsidR="00A26C5B" w:rsidRDefault="00A26C5B"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53C6D" w14:textId="77777777" w:rsidR="00A26C5B" w:rsidRPr="0033525D" w:rsidRDefault="00A26C5B">
    <w:pP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32BD2" w14:textId="77777777" w:rsidR="00A26C5B" w:rsidRPr="0033525D" w:rsidRDefault="00A26C5B">
    <w:pPr>
      <w:jc w:val="center"/>
    </w:pPr>
    <w:r>
      <w:fldChar w:fldCharType="begin"/>
    </w:r>
    <w:r>
      <w:instrText xml:space="preserve"> PAGE </w:instrText>
    </w:r>
    <w:r>
      <w:fldChar w:fldCharType="separate"/>
    </w:r>
    <w:r>
      <w:rPr>
        <w:noProof/>
      </w:rPr>
      <w:t>3</w:t>
    </w:r>
    <w:r>
      <w:rPr>
        <w:noProo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512730"/>
      <w:docPartObj>
        <w:docPartGallery w:val="Page Numbers (Bottom of Page)"/>
        <w:docPartUnique/>
      </w:docPartObj>
    </w:sdtPr>
    <w:sdtEndPr>
      <w:rPr>
        <w:noProof/>
      </w:rPr>
    </w:sdtEndPr>
    <w:sdtContent>
      <w:p w14:paraId="200FCAF7" w14:textId="2EAE1F62" w:rsidR="00A26C5B" w:rsidRDefault="00A26C5B">
        <w:pPr>
          <w:pStyle w:val="Footer"/>
          <w:jc w:val="center"/>
        </w:pPr>
        <w:r>
          <w:fldChar w:fldCharType="begin"/>
        </w:r>
        <w:r>
          <w:instrText xml:space="preserve"> PAGE   \* MERGEFORMAT </w:instrText>
        </w:r>
        <w:r>
          <w:fldChar w:fldCharType="separate"/>
        </w:r>
        <w:r w:rsidR="00A11EE6">
          <w:rPr>
            <w:noProof/>
          </w:rPr>
          <w:t>1</w:t>
        </w:r>
        <w:r>
          <w:rPr>
            <w:noProof/>
          </w:rPr>
          <w:fldChar w:fldCharType="end"/>
        </w:r>
      </w:p>
    </w:sdtContent>
  </w:sdt>
  <w:p w14:paraId="18EA17DC" w14:textId="77777777" w:rsidR="00A26C5B" w:rsidRPr="00D510FB" w:rsidRDefault="00A26C5B" w:rsidP="00543E0D">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0621E" w14:textId="5553F9EC" w:rsidR="00A26C5B" w:rsidRPr="0033525D" w:rsidRDefault="00A26C5B">
    <w:pPr>
      <w:jc w:val="center"/>
    </w:pPr>
    <w:r>
      <w:fldChar w:fldCharType="begin"/>
    </w:r>
    <w:r>
      <w:instrText xml:space="preserve"> PAGE </w:instrText>
    </w:r>
    <w:r>
      <w:fldChar w:fldCharType="separate"/>
    </w:r>
    <w:r w:rsidR="00A11EE6">
      <w:rPr>
        <w:noProof/>
      </w:rPr>
      <w:t>2</w:t>
    </w:r>
    <w:r>
      <w:rPr>
        <w:noProof/>
      </w:rP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E5E1D" w14:textId="7B5B657E" w:rsidR="00A26C5B" w:rsidRPr="0033525D" w:rsidRDefault="00A26C5B">
    <w:pPr>
      <w:jc w:val="center"/>
    </w:pPr>
    <w:r>
      <w:fldChar w:fldCharType="begin"/>
    </w:r>
    <w:r>
      <w:instrText xml:space="preserve"> PAGE </w:instrText>
    </w:r>
    <w:r>
      <w:fldChar w:fldCharType="separate"/>
    </w:r>
    <w:r w:rsidR="00A11EE6">
      <w:rPr>
        <w:noProof/>
      </w:rPr>
      <w:t>3</w:t>
    </w:r>
    <w:r>
      <w:rPr>
        <w:noProof/>
      </w:rPr>
      <w:fldChar w:fldCharType="end"/>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4853860"/>
      <w:docPartObj>
        <w:docPartGallery w:val="Page Numbers (Bottom of Page)"/>
        <w:docPartUnique/>
      </w:docPartObj>
    </w:sdtPr>
    <w:sdtEndPr>
      <w:rPr>
        <w:noProof/>
      </w:rPr>
    </w:sdtEndPr>
    <w:sdtContent>
      <w:p w14:paraId="5DFA6B2E" w14:textId="017162F4" w:rsidR="00A26C5B" w:rsidRDefault="00A26C5B">
        <w:pPr>
          <w:pStyle w:val="Footer"/>
          <w:jc w:val="center"/>
        </w:pPr>
        <w:r>
          <w:fldChar w:fldCharType="begin"/>
        </w:r>
        <w:r>
          <w:instrText xml:space="preserve"> PAGE   \* MERGEFORMAT </w:instrText>
        </w:r>
        <w:r>
          <w:fldChar w:fldCharType="separate"/>
        </w:r>
        <w:r w:rsidR="00A11EE6">
          <w:rPr>
            <w:noProof/>
          </w:rPr>
          <w:t>1</w:t>
        </w:r>
        <w:r>
          <w:rPr>
            <w:noProof/>
          </w:rPr>
          <w:fldChar w:fldCharType="end"/>
        </w:r>
      </w:p>
    </w:sdtContent>
  </w:sdt>
  <w:p w14:paraId="6AEEB227" w14:textId="77777777" w:rsidR="00A26C5B" w:rsidRPr="006F066A" w:rsidRDefault="00A26C5B" w:rsidP="006F06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C2439" w14:textId="77777777" w:rsidR="00A26C5B" w:rsidRDefault="00A26C5B" w:rsidP="004A504B">
      <w:r>
        <w:separator/>
      </w:r>
    </w:p>
  </w:footnote>
  <w:footnote w:type="continuationSeparator" w:id="0">
    <w:p w14:paraId="1FC8E016" w14:textId="77777777" w:rsidR="00A26C5B" w:rsidRDefault="00A26C5B" w:rsidP="004A504B">
      <w:r>
        <w:continuationSeparator/>
      </w:r>
    </w:p>
  </w:footnote>
  <w:footnote w:id="1">
    <w:p w14:paraId="5A207EFC" w14:textId="77777777" w:rsidR="00A26C5B" w:rsidRPr="003052AB" w:rsidRDefault="00A26C5B" w:rsidP="006F066A">
      <w:pPr>
        <w:pStyle w:val="Heading1"/>
        <w:numPr>
          <w:ilvl w:val="0"/>
          <w:numId w:val="0"/>
        </w:numPr>
        <w:spacing w:after="0"/>
        <w:rPr>
          <w:sz w:val="20"/>
          <w:szCs w:val="20"/>
        </w:rPr>
      </w:pPr>
      <w:r w:rsidRPr="003052AB">
        <w:rPr>
          <w:rStyle w:val="FootnoteReference"/>
          <w:sz w:val="20"/>
          <w:szCs w:val="20"/>
        </w:rPr>
        <w:footnoteRef/>
      </w:r>
      <w:r w:rsidRPr="003052AB">
        <w:rPr>
          <w:sz w:val="20"/>
          <w:szCs w:val="20"/>
        </w:rPr>
        <w:t xml:space="preserve"> Progress reports are the only vehicle for indicating the final closure of all funding accounts associated with projects approved by the Executive Committee for bilateral cooperation.</w:t>
      </w:r>
    </w:p>
  </w:footnote>
  <w:footnote w:id="2">
    <w:p w14:paraId="2BB46E2D" w14:textId="77777777" w:rsidR="00A26C5B" w:rsidRPr="003052AB" w:rsidRDefault="00A26C5B" w:rsidP="006F066A">
      <w:pPr>
        <w:pStyle w:val="Heading1"/>
        <w:numPr>
          <w:ilvl w:val="0"/>
          <w:numId w:val="0"/>
        </w:numPr>
        <w:spacing w:after="0"/>
        <w:rPr>
          <w:sz w:val="20"/>
          <w:szCs w:val="20"/>
        </w:rPr>
      </w:pPr>
      <w:r w:rsidRPr="003052AB">
        <w:rPr>
          <w:rStyle w:val="FootnoteReference"/>
          <w:sz w:val="20"/>
          <w:szCs w:val="20"/>
        </w:rPr>
        <w:footnoteRef/>
      </w:r>
      <w:r w:rsidRPr="003052AB">
        <w:rPr>
          <w:sz w:val="20"/>
          <w:szCs w:val="20"/>
        </w:rPr>
        <w:t xml:space="preserve"> Austria, Belgium, the Czech Republic, Denmark, Finland, Hungary, Israel, Poland, Portugal, Singapore, the Slovak Republic, South Africa, Sweden, Switzerland, the United Kingdom of Great Britain and Northern Ireland, and the United States of America.</w:t>
      </w:r>
    </w:p>
  </w:footnote>
  <w:footnote w:id="3">
    <w:p w14:paraId="43F38C04" w14:textId="77777777" w:rsidR="00A26C5B" w:rsidRPr="003052AB" w:rsidRDefault="00A26C5B" w:rsidP="006F066A">
      <w:pPr>
        <w:pStyle w:val="FootnoteText"/>
        <w:spacing w:after="0"/>
      </w:pPr>
      <w:r w:rsidRPr="003052AB">
        <w:rPr>
          <w:rStyle w:val="FootnoteReference"/>
          <w:sz w:val="20"/>
          <w:szCs w:val="20"/>
        </w:rPr>
        <w:footnoteRef/>
      </w:r>
      <w:r w:rsidRPr="003052AB">
        <w:t xml:space="preserve"> </w:t>
      </w:r>
      <w:r w:rsidRPr="003052AB">
        <w:rPr>
          <w:lang w:val="en-CA"/>
        </w:rPr>
        <w:t>UNEP/</w:t>
      </w:r>
      <w:proofErr w:type="spellStart"/>
      <w:r w:rsidRPr="003052AB">
        <w:rPr>
          <w:lang w:val="en-CA"/>
        </w:rPr>
        <w:t>OzL.Pro</w:t>
      </w:r>
      <w:proofErr w:type="spellEnd"/>
      <w:r w:rsidRPr="003052AB">
        <w:rPr>
          <w:lang w:val="en-CA"/>
        </w:rPr>
        <w:t>/</w:t>
      </w:r>
      <w:proofErr w:type="spellStart"/>
      <w:r w:rsidRPr="003052AB">
        <w:rPr>
          <w:lang w:val="en-CA"/>
        </w:rPr>
        <w:t>ExCom</w:t>
      </w:r>
      <w:proofErr w:type="spellEnd"/>
      <w:r w:rsidRPr="003052AB">
        <w:rPr>
          <w:lang w:val="en-CA"/>
        </w:rPr>
        <w:t>/84/16</w:t>
      </w:r>
    </w:p>
  </w:footnote>
  <w:footnote w:id="4">
    <w:p w14:paraId="714F3CDB" w14:textId="77777777" w:rsidR="00A26C5B" w:rsidRPr="004545D4" w:rsidRDefault="00A26C5B" w:rsidP="006F066A">
      <w:pPr>
        <w:pStyle w:val="FootnoteText"/>
        <w:spacing w:after="0"/>
        <w:ind w:left="0" w:firstLine="0"/>
        <w:jc w:val="both"/>
        <w:rPr>
          <w:lang w:val="en-GB"/>
        </w:rPr>
      </w:pPr>
      <w:r w:rsidRPr="003052AB">
        <w:rPr>
          <w:rStyle w:val="FootnoteReference"/>
          <w:lang w:val="en-GB"/>
        </w:rPr>
        <w:footnoteRef/>
      </w:r>
      <w:r w:rsidRPr="003052AB">
        <w:rPr>
          <w:lang w:val="en-GB"/>
        </w:rPr>
        <w:t xml:space="preserve"> Ongoing projects are all projects that were under implementation as at 31 December 2018. Key indicators of progress include: percentage of funds disbursed and percentage of projects that have begun disbursing funds; funding expected to be disbursed by the end of the year as a percentage of the approved funding; the average length of projected delay in implementation; and information provided in the remarks column in the progress report database.</w:t>
      </w:r>
    </w:p>
  </w:footnote>
  <w:footnote w:id="5">
    <w:p w14:paraId="02EF6CA9" w14:textId="77777777" w:rsidR="00A26C5B" w:rsidRPr="00FB4800" w:rsidRDefault="00A26C5B" w:rsidP="00FB4800">
      <w:pPr>
        <w:pStyle w:val="FootnoteText"/>
        <w:spacing w:after="0"/>
        <w:ind w:left="0" w:firstLine="0"/>
        <w:jc w:val="both"/>
      </w:pPr>
      <w:r>
        <w:rPr>
          <w:rStyle w:val="FootnoteReference"/>
        </w:rPr>
        <w:footnoteRef/>
      </w:r>
      <w:r>
        <w:t xml:space="preserve"> The issue of the two different measurements of controlled substances is discussed in the consolidated progress report (</w:t>
      </w:r>
      <w:r w:rsidRPr="00FB4800">
        <w:t>UNEP/</w:t>
      </w:r>
      <w:proofErr w:type="spellStart"/>
      <w:r w:rsidRPr="00FB4800">
        <w:t>OzL.Pro</w:t>
      </w:r>
      <w:proofErr w:type="spellEnd"/>
      <w:r w:rsidRPr="00FB4800">
        <w:t>/</w:t>
      </w:r>
      <w:proofErr w:type="spellStart"/>
      <w:r w:rsidRPr="00FB4800">
        <w:t>ExCom</w:t>
      </w:r>
      <w:proofErr w:type="spellEnd"/>
      <w:r w:rsidRPr="00FB4800">
        <w:t>/84/16</w:t>
      </w:r>
      <w:r>
        <w:t>).</w:t>
      </w:r>
    </w:p>
  </w:footnote>
  <w:footnote w:id="6">
    <w:p w14:paraId="36284E2F" w14:textId="1769BF63" w:rsidR="00A26C5B" w:rsidRPr="00372905" w:rsidRDefault="00A26C5B" w:rsidP="00B00646">
      <w:pPr>
        <w:pStyle w:val="FootnoteText"/>
        <w:spacing w:after="0"/>
        <w:ind w:left="0" w:firstLine="0"/>
        <w:jc w:val="both"/>
      </w:pPr>
      <w:r w:rsidRPr="00372905">
        <w:rPr>
          <w:rStyle w:val="FootnoteReference"/>
        </w:rPr>
        <w:footnoteRef/>
      </w:r>
      <w:r w:rsidRPr="00372905">
        <w:t xml:space="preserve"> The phase-out includes approvals for HFC investment projects of </w:t>
      </w:r>
      <w:r>
        <w:rPr>
          <w:lang w:val="en-CA"/>
        </w:rPr>
        <w:t>74</w:t>
      </w:r>
      <w:r w:rsidRPr="00372905">
        <w:rPr>
          <w:lang w:val="en-CA"/>
        </w:rPr>
        <w:t xml:space="preserve"> </w:t>
      </w:r>
      <w:proofErr w:type="spellStart"/>
      <w:r w:rsidRPr="00372905">
        <w:rPr>
          <w:lang w:val="en-CA"/>
        </w:rPr>
        <w:t>mt</w:t>
      </w:r>
      <w:proofErr w:type="spellEnd"/>
      <w:r w:rsidRPr="00372905">
        <w:rPr>
          <w:lang w:val="en-CA"/>
        </w:rPr>
        <w:t xml:space="preserve"> with </w:t>
      </w:r>
      <w:proofErr w:type="spellStart"/>
      <w:r>
        <w:rPr>
          <w:lang w:val="en-CA"/>
        </w:rPr>
        <w:t>mt</w:t>
      </w:r>
      <w:proofErr w:type="spellEnd"/>
      <w:r w:rsidRPr="00372905">
        <w:rPr>
          <w:lang w:val="en-CA"/>
        </w:rPr>
        <w:t xml:space="preserve"> CO</w:t>
      </w:r>
      <w:r w:rsidRPr="00372905">
        <w:rPr>
          <w:vertAlign w:val="subscript"/>
          <w:lang w:val="en-CA"/>
        </w:rPr>
        <w:t>2</w:t>
      </w:r>
      <w:r w:rsidRPr="00372905">
        <w:rPr>
          <w:lang w:val="en-CA"/>
        </w:rPr>
        <w:t>-eq</w:t>
      </w:r>
      <w:r w:rsidR="00EB1C46">
        <w:rPr>
          <w:lang w:val="en-CA"/>
        </w:rPr>
        <w:t>.</w:t>
      </w:r>
      <w:r w:rsidRPr="00372905">
        <w:rPr>
          <w:lang w:val="en-CA"/>
        </w:rPr>
        <w:t xml:space="preserve"> of </w:t>
      </w:r>
      <w:r>
        <w:rPr>
          <w:lang w:val="en-CA"/>
        </w:rPr>
        <w:t>105,865</w:t>
      </w:r>
      <w:r w:rsidRPr="00372905">
        <w:rPr>
          <w:lang w:val="en-CA"/>
        </w:rPr>
        <w:t>.</w:t>
      </w:r>
    </w:p>
  </w:footnote>
  <w:footnote w:id="7">
    <w:p w14:paraId="434C4328" w14:textId="77777777" w:rsidR="00A26C5B" w:rsidRPr="007864CC" w:rsidRDefault="00A26C5B" w:rsidP="007864CC">
      <w:pPr>
        <w:pStyle w:val="FootnoteText"/>
        <w:spacing w:after="0"/>
      </w:pPr>
      <w:r>
        <w:rPr>
          <w:rStyle w:val="FootnoteReference"/>
        </w:rPr>
        <w:footnoteRef/>
      </w:r>
      <w:r>
        <w:t xml:space="preserve"> UNEP/</w:t>
      </w:r>
      <w:proofErr w:type="spellStart"/>
      <w:r>
        <w:t>OzL.Pro</w:t>
      </w:r>
      <w:proofErr w:type="spellEnd"/>
      <w:r>
        <w:t>/</w:t>
      </w:r>
      <w:proofErr w:type="spellStart"/>
      <w:r>
        <w:t>ExCom</w:t>
      </w:r>
      <w:proofErr w:type="spellEnd"/>
      <w:r>
        <w:t>/84/42</w:t>
      </w:r>
    </w:p>
  </w:footnote>
  <w:footnote w:id="8">
    <w:p w14:paraId="5FB93D75" w14:textId="77777777" w:rsidR="00A26C5B" w:rsidRPr="007864CC" w:rsidRDefault="00A26C5B" w:rsidP="007864CC">
      <w:pPr>
        <w:pStyle w:val="FootnoteText"/>
        <w:spacing w:after="0"/>
      </w:pPr>
      <w:r>
        <w:rPr>
          <w:rStyle w:val="FootnoteReference"/>
        </w:rPr>
        <w:footnoteRef/>
      </w:r>
      <w:r>
        <w:t xml:space="preserve"> UNEP/</w:t>
      </w:r>
      <w:proofErr w:type="spellStart"/>
      <w:r>
        <w:t>OzL.Pro</w:t>
      </w:r>
      <w:proofErr w:type="spellEnd"/>
      <w:r>
        <w:t>/</w:t>
      </w:r>
      <w:proofErr w:type="spellStart"/>
      <w:r>
        <w:t>ExCom</w:t>
      </w:r>
      <w:proofErr w:type="spellEnd"/>
      <w:r>
        <w:t>/84/49</w:t>
      </w:r>
    </w:p>
  </w:footnote>
  <w:footnote w:id="9">
    <w:p w14:paraId="607788DE" w14:textId="77777777" w:rsidR="00A26C5B" w:rsidRPr="007864CC" w:rsidRDefault="00A26C5B" w:rsidP="007864CC">
      <w:pPr>
        <w:pStyle w:val="FootnoteText"/>
        <w:spacing w:after="0"/>
      </w:pPr>
      <w:r>
        <w:rPr>
          <w:rStyle w:val="FootnoteReference"/>
        </w:rPr>
        <w:footnoteRef/>
      </w:r>
      <w:r>
        <w:t xml:space="preserve"> UNEP/</w:t>
      </w:r>
      <w:proofErr w:type="spellStart"/>
      <w:r>
        <w:t>OzL.Pro</w:t>
      </w:r>
      <w:proofErr w:type="spellEnd"/>
      <w:r>
        <w:t>/</w:t>
      </w:r>
      <w:proofErr w:type="spellStart"/>
      <w:r>
        <w:t>ExCom</w:t>
      </w:r>
      <w:proofErr w:type="spellEnd"/>
      <w:r>
        <w:t>/84/51</w:t>
      </w:r>
    </w:p>
  </w:footnote>
  <w:footnote w:id="10">
    <w:p w14:paraId="64CAA4E8" w14:textId="77777777" w:rsidR="00A26C5B" w:rsidRPr="007864CC" w:rsidRDefault="00A26C5B" w:rsidP="007864CC">
      <w:pPr>
        <w:pStyle w:val="FootnoteText"/>
        <w:spacing w:after="0"/>
      </w:pPr>
      <w:r>
        <w:rPr>
          <w:rStyle w:val="FootnoteReference"/>
        </w:rPr>
        <w:footnoteRef/>
      </w:r>
      <w:r>
        <w:t xml:space="preserve"> UNEP/</w:t>
      </w:r>
      <w:proofErr w:type="spellStart"/>
      <w:r>
        <w:t>OzL.Pro</w:t>
      </w:r>
      <w:proofErr w:type="spellEnd"/>
      <w:r>
        <w:t>/</w:t>
      </w:r>
      <w:proofErr w:type="spellStart"/>
      <w:r>
        <w:t>ExCom</w:t>
      </w:r>
      <w:proofErr w:type="spellEnd"/>
      <w:r>
        <w:t>/84/60</w:t>
      </w:r>
    </w:p>
  </w:footnote>
  <w:footnote w:id="11">
    <w:p w14:paraId="4D254693" w14:textId="77777777" w:rsidR="00A26C5B" w:rsidRPr="00FA3960" w:rsidRDefault="00A26C5B" w:rsidP="006F066A">
      <w:pPr>
        <w:pStyle w:val="FootnoteText"/>
        <w:spacing w:after="0"/>
        <w:ind w:left="0" w:firstLine="0"/>
        <w:jc w:val="both"/>
      </w:pPr>
      <w:r w:rsidRPr="00AC5FA2">
        <w:rPr>
          <w:rStyle w:val="FootnoteReference"/>
        </w:rPr>
        <w:footnoteRef/>
      </w:r>
      <w:r w:rsidRPr="00AC5FA2">
        <w:t xml:space="preserve"> The data is presented according to the year when a project was approved by the Executive Committee. It treats all approvals (investment and non-investment projects) equally (i.e., an investment project or a funding tranche of an MYA of US $1 million is considered one project, same as a country </w:t>
      </w:r>
      <w:proofErr w:type="spellStart"/>
      <w:r w:rsidRPr="00AC5FA2">
        <w:t>programme</w:t>
      </w:r>
      <w:proofErr w:type="spellEnd"/>
      <w:r w:rsidRPr="00AC5FA2">
        <w:t xml:space="preserve"> preparation of US $30,000. Key indicators from the annual summary are: the percentage of projects completed, ODP phased out, and percentage of funds disbursed. In reviewing the data on funds disbursed, it should be noted that there are three types of disbursements: during implementation, after implementation and for retroactively-financed projects.</w:t>
      </w:r>
      <w:r w:rsidRPr="00FA3960">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26705" w14:textId="77777777" w:rsidR="00A26C5B" w:rsidRPr="0033525D" w:rsidRDefault="00CB18E5">
    <w:r>
      <w:fldChar w:fldCharType="begin"/>
    </w:r>
    <w:r>
      <w:instrText xml:space="preserve"> DOCPROPERTY "Document number"  \* MERGEFORMAT </w:instrText>
    </w:r>
    <w:r>
      <w:fldChar w:fldCharType="separate"/>
    </w:r>
    <w:r w:rsidR="00A26C5B">
      <w:t>UNEP/</w:t>
    </w:r>
    <w:proofErr w:type="spellStart"/>
    <w:r w:rsidR="00A26C5B">
      <w:t>OzL.Pro</w:t>
    </w:r>
    <w:proofErr w:type="spellEnd"/>
    <w:r w:rsidR="00A26C5B">
      <w:t>/</w:t>
    </w:r>
    <w:proofErr w:type="spellStart"/>
    <w:r w:rsidR="00A26C5B">
      <w:t>ExCom</w:t>
    </w:r>
    <w:proofErr w:type="spellEnd"/>
    <w:r w:rsidR="00A26C5B">
      <w:t>/84/17</w:t>
    </w:r>
    <w:r>
      <w:fldChar w:fldCharType="end"/>
    </w:r>
  </w:p>
  <w:p w14:paraId="0566D860" w14:textId="77777777" w:rsidR="00A26C5B" w:rsidRPr="0033525D" w:rsidRDefault="00A26C5B"/>
  <w:p w14:paraId="55879F22" w14:textId="77777777" w:rsidR="00A26C5B" w:rsidRPr="0033525D" w:rsidRDefault="00A26C5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E6B0D" w14:textId="77777777" w:rsidR="00A26C5B" w:rsidRPr="0033525D" w:rsidRDefault="00CB18E5">
    <w:pPr>
      <w:jc w:val="right"/>
    </w:pPr>
    <w:r>
      <w:fldChar w:fldCharType="begin"/>
    </w:r>
    <w:r>
      <w:instrText xml:space="preserve"> DOCPROPERTY "Document number"  \* MERGEFORMAT </w:instrText>
    </w:r>
    <w:r>
      <w:fldChar w:fldCharType="separate"/>
    </w:r>
    <w:r w:rsidR="00A26C5B">
      <w:t>UNEP/</w:t>
    </w:r>
    <w:proofErr w:type="spellStart"/>
    <w:r w:rsidR="00A26C5B">
      <w:t>OzL.Pro</w:t>
    </w:r>
    <w:proofErr w:type="spellEnd"/>
    <w:r w:rsidR="00A26C5B">
      <w:t>/</w:t>
    </w:r>
    <w:proofErr w:type="spellStart"/>
    <w:r w:rsidR="00A26C5B">
      <w:t>ExCom</w:t>
    </w:r>
    <w:proofErr w:type="spellEnd"/>
    <w:r w:rsidR="00A26C5B">
      <w:t>/84/17</w:t>
    </w:r>
    <w:r>
      <w:fldChar w:fldCharType="end"/>
    </w:r>
  </w:p>
  <w:p w14:paraId="57FD80C7" w14:textId="77777777" w:rsidR="00A26C5B" w:rsidRPr="0033525D" w:rsidRDefault="00A26C5B"/>
  <w:p w14:paraId="33422ED5" w14:textId="77777777" w:rsidR="00A26C5B" w:rsidRPr="0033525D" w:rsidRDefault="00A26C5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1A9C3" w14:textId="77777777" w:rsidR="00A26C5B" w:rsidRPr="0033525D" w:rsidRDefault="00CB18E5">
    <w:r>
      <w:fldChar w:fldCharType="begin"/>
    </w:r>
    <w:r>
      <w:instrText xml:space="preserve"> DOCPROPERTY "Document number"  \* MERGEFORMAT </w:instrText>
    </w:r>
    <w:r>
      <w:fldChar w:fldCharType="separate"/>
    </w:r>
    <w:r w:rsidR="00A26C5B">
      <w:t>UNEP/</w:t>
    </w:r>
    <w:proofErr w:type="spellStart"/>
    <w:r w:rsidR="00A26C5B">
      <w:t>OzL.Pro</w:t>
    </w:r>
    <w:proofErr w:type="spellEnd"/>
    <w:r w:rsidR="00A26C5B">
      <w:t>/</w:t>
    </w:r>
    <w:proofErr w:type="spellStart"/>
    <w:r w:rsidR="00A26C5B">
      <w:t>ExCom</w:t>
    </w:r>
    <w:proofErr w:type="spellEnd"/>
    <w:r w:rsidR="00A26C5B">
      <w:t>/82/15</w:t>
    </w:r>
    <w:r>
      <w:fldChar w:fldCharType="end"/>
    </w:r>
  </w:p>
  <w:p w14:paraId="007A71EA" w14:textId="77777777" w:rsidR="00A26C5B" w:rsidRPr="0033525D" w:rsidRDefault="00A26C5B">
    <w:r>
      <w:t>Annex I</w:t>
    </w:r>
  </w:p>
  <w:p w14:paraId="7470C9D7" w14:textId="77777777" w:rsidR="00A26C5B" w:rsidRPr="0033525D" w:rsidRDefault="00A26C5B"/>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76DEC" w14:textId="77777777" w:rsidR="00A26C5B" w:rsidRDefault="00CB18E5">
    <w:pPr>
      <w:jc w:val="right"/>
    </w:pPr>
    <w:r>
      <w:fldChar w:fldCharType="begin"/>
    </w:r>
    <w:r>
      <w:instrText xml:space="preserve"> DOCPROPERTY "Document number"  \* MERGEFORMAT </w:instrText>
    </w:r>
    <w:r>
      <w:fldChar w:fldCharType="separate"/>
    </w:r>
    <w:r w:rsidR="00A26C5B">
      <w:t>UNEP/</w:t>
    </w:r>
    <w:proofErr w:type="spellStart"/>
    <w:r w:rsidR="00A26C5B">
      <w:t>OzL.Pro</w:t>
    </w:r>
    <w:proofErr w:type="spellEnd"/>
    <w:r w:rsidR="00A26C5B">
      <w:t>/</w:t>
    </w:r>
    <w:proofErr w:type="spellStart"/>
    <w:r w:rsidR="00A26C5B">
      <w:t>ExCom</w:t>
    </w:r>
    <w:proofErr w:type="spellEnd"/>
    <w:r w:rsidR="00A26C5B">
      <w:t>/82/15</w:t>
    </w:r>
    <w:r>
      <w:fldChar w:fldCharType="end"/>
    </w:r>
  </w:p>
  <w:p w14:paraId="6A90EA6C" w14:textId="77777777" w:rsidR="00A26C5B" w:rsidRPr="0033525D" w:rsidRDefault="00A26C5B" w:rsidP="00543E0D">
    <w:pPr>
      <w:jc w:val="right"/>
    </w:pPr>
    <w:r>
      <w:t>Annex I</w:t>
    </w:r>
  </w:p>
  <w:p w14:paraId="547E1C75" w14:textId="77777777" w:rsidR="00A26C5B" w:rsidRPr="0033525D" w:rsidRDefault="00A26C5B">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190CE" w14:textId="77777777" w:rsidR="00A26C5B" w:rsidRPr="0033525D" w:rsidRDefault="00CB18E5" w:rsidP="00543E0D">
    <w:pPr>
      <w:jc w:val="right"/>
    </w:pPr>
    <w:r>
      <w:fldChar w:fldCharType="begin"/>
    </w:r>
    <w:r>
      <w:instrText xml:space="preserve"> DOCPROPERTY "Document number"  \* MERGEFORMAT </w:instrText>
    </w:r>
    <w:r>
      <w:fldChar w:fldCharType="separate"/>
    </w:r>
    <w:r w:rsidR="00A26C5B">
      <w:t>UNEP/</w:t>
    </w:r>
    <w:proofErr w:type="spellStart"/>
    <w:r w:rsidR="00A26C5B">
      <w:t>OzL.Pro</w:t>
    </w:r>
    <w:proofErr w:type="spellEnd"/>
    <w:r w:rsidR="00A26C5B">
      <w:t>/</w:t>
    </w:r>
    <w:proofErr w:type="spellStart"/>
    <w:r w:rsidR="00A26C5B">
      <w:t>ExCom</w:t>
    </w:r>
    <w:proofErr w:type="spellEnd"/>
    <w:r w:rsidR="00A26C5B">
      <w:t>/84/17</w:t>
    </w:r>
    <w:r>
      <w:fldChar w:fldCharType="end"/>
    </w:r>
  </w:p>
  <w:p w14:paraId="36AD1304" w14:textId="77777777" w:rsidR="00A26C5B" w:rsidRDefault="00A26C5B" w:rsidP="00543E0D">
    <w:pPr>
      <w:pStyle w:val="Header"/>
      <w:jc w:val="right"/>
    </w:pPr>
    <w:r>
      <w:t xml:space="preserve">Annex I </w:t>
    </w:r>
  </w:p>
  <w:p w14:paraId="28BF54AD" w14:textId="77777777" w:rsidR="00A26C5B" w:rsidRDefault="00A26C5B" w:rsidP="00543E0D">
    <w:pPr>
      <w:pStyle w:val="Header"/>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60674" w14:textId="77777777" w:rsidR="00A26C5B" w:rsidRPr="0033525D" w:rsidRDefault="00CB18E5" w:rsidP="006F066A">
    <w:pPr>
      <w:jc w:val="left"/>
    </w:pPr>
    <w:r>
      <w:fldChar w:fldCharType="begin"/>
    </w:r>
    <w:r>
      <w:instrText xml:space="preserve"> DOCPROPERTY "Document number"  \* MERGEFORMAT </w:instrText>
    </w:r>
    <w:r>
      <w:fldChar w:fldCharType="separate"/>
    </w:r>
    <w:r w:rsidR="00A26C5B">
      <w:t>UNEP/</w:t>
    </w:r>
    <w:proofErr w:type="spellStart"/>
    <w:r w:rsidR="00A26C5B">
      <w:t>OzL.Pro</w:t>
    </w:r>
    <w:proofErr w:type="spellEnd"/>
    <w:r w:rsidR="00A26C5B">
      <w:t>/</w:t>
    </w:r>
    <w:proofErr w:type="spellStart"/>
    <w:r w:rsidR="00A26C5B">
      <w:t>ExCom</w:t>
    </w:r>
    <w:proofErr w:type="spellEnd"/>
    <w:r w:rsidR="00A26C5B">
      <w:t>/84/17</w:t>
    </w:r>
    <w:r>
      <w:fldChar w:fldCharType="end"/>
    </w:r>
  </w:p>
  <w:p w14:paraId="3DC27DFC" w14:textId="77777777" w:rsidR="00A26C5B" w:rsidRDefault="00A26C5B" w:rsidP="006F066A">
    <w:pPr>
      <w:pStyle w:val="Header"/>
      <w:jc w:val="left"/>
    </w:pPr>
    <w:r>
      <w:t>Annex II</w:t>
    </w:r>
  </w:p>
  <w:p w14:paraId="69681153" w14:textId="77777777" w:rsidR="00A26C5B" w:rsidRDefault="00A26C5B" w:rsidP="006F066A">
    <w:pPr>
      <w:pStyle w:val="Header"/>
      <w:jc w:val="lef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E0BA3" w14:textId="77777777" w:rsidR="00A26C5B" w:rsidRPr="0033525D" w:rsidRDefault="00CB18E5" w:rsidP="006F066A">
    <w:pPr>
      <w:jc w:val="right"/>
    </w:pPr>
    <w:r>
      <w:fldChar w:fldCharType="begin"/>
    </w:r>
    <w:r>
      <w:instrText xml:space="preserve"> DOCPROPERTY "Document number"  \* MERGEFORMAT </w:instrText>
    </w:r>
    <w:r>
      <w:fldChar w:fldCharType="separate"/>
    </w:r>
    <w:r w:rsidR="00A26C5B">
      <w:t>UNEP/</w:t>
    </w:r>
    <w:proofErr w:type="spellStart"/>
    <w:r w:rsidR="00A26C5B">
      <w:t>OzL.Pro</w:t>
    </w:r>
    <w:proofErr w:type="spellEnd"/>
    <w:r w:rsidR="00A26C5B">
      <w:t>/</w:t>
    </w:r>
    <w:proofErr w:type="spellStart"/>
    <w:r w:rsidR="00A26C5B">
      <w:t>ExCom</w:t>
    </w:r>
    <w:proofErr w:type="spellEnd"/>
    <w:r w:rsidR="00A26C5B">
      <w:t>/84/17</w:t>
    </w:r>
    <w:r>
      <w:fldChar w:fldCharType="end"/>
    </w:r>
  </w:p>
  <w:p w14:paraId="73517123" w14:textId="77777777" w:rsidR="00A26C5B" w:rsidRDefault="00A26C5B" w:rsidP="006F066A">
    <w:pPr>
      <w:pStyle w:val="Header"/>
      <w:jc w:val="right"/>
    </w:pPr>
    <w:r>
      <w:t>Annex II</w:t>
    </w:r>
  </w:p>
  <w:p w14:paraId="166E2E8C" w14:textId="77777777" w:rsidR="00A26C5B" w:rsidRDefault="00A26C5B" w:rsidP="006F066A">
    <w:pPr>
      <w:pStyle w:val="Header"/>
      <w:jc w:val="righ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E688D" w14:textId="77777777" w:rsidR="00A26C5B" w:rsidRPr="0033525D" w:rsidRDefault="00CB18E5" w:rsidP="00543E0D">
    <w:pPr>
      <w:jc w:val="right"/>
    </w:pPr>
    <w:r>
      <w:fldChar w:fldCharType="begin"/>
    </w:r>
    <w:r>
      <w:instrText xml:space="preserve"> DOCPROPERTY "Document number"  \* MERGEFORMAT </w:instrText>
    </w:r>
    <w:r>
      <w:fldChar w:fldCharType="separate"/>
    </w:r>
    <w:r w:rsidR="00A26C5B">
      <w:t>UNEP/</w:t>
    </w:r>
    <w:proofErr w:type="spellStart"/>
    <w:r w:rsidR="00A26C5B">
      <w:t>OzL.Pro</w:t>
    </w:r>
    <w:proofErr w:type="spellEnd"/>
    <w:r w:rsidR="00A26C5B">
      <w:t>/</w:t>
    </w:r>
    <w:proofErr w:type="spellStart"/>
    <w:r w:rsidR="00A26C5B">
      <w:t>ExCom</w:t>
    </w:r>
    <w:proofErr w:type="spellEnd"/>
    <w:r w:rsidR="00A26C5B">
      <w:t>/84/17</w:t>
    </w:r>
    <w:r>
      <w:fldChar w:fldCharType="end"/>
    </w:r>
  </w:p>
  <w:p w14:paraId="5DFDE2FB" w14:textId="77777777" w:rsidR="00A26C5B" w:rsidRDefault="00A26C5B" w:rsidP="00543E0D">
    <w:pPr>
      <w:pStyle w:val="Header"/>
      <w:jc w:val="right"/>
    </w:pPr>
    <w:r>
      <w:t>Annex II</w:t>
    </w:r>
  </w:p>
  <w:p w14:paraId="6FF99777" w14:textId="77777777" w:rsidR="00A26C5B" w:rsidRDefault="00A26C5B" w:rsidP="00543E0D">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5"/>
  </w:num>
  <w:num w:numId="20">
    <w:abstractNumId w:val="1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6F066A"/>
    <w:rsid w:val="00000FED"/>
    <w:rsid w:val="00002353"/>
    <w:rsid w:val="0000434E"/>
    <w:rsid w:val="00017C3F"/>
    <w:rsid w:val="000211A9"/>
    <w:rsid w:val="00031260"/>
    <w:rsid w:val="0003681A"/>
    <w:rsid w:val="0005013B"/>
    <w:rsid w:val="00052C5C"/>
    <w:rsid w:val="00061EC2"/>
    <w:rsid w:val="000659BD"/>
    <w:rsid w:val="00080ED0"/>
    <w:rsid w:val="00085B8F"/>
    <w:rsid w:val="00090481"/>
    <w:rsid w:val="00092009"/>
    <w:rsid w:val="000A6C26"/>
    <w:rsid w:val="000A7C0C"/>
    <w:rsid w:val="000D0409"/>
    <w:rsid w:val="000D52A4"/>
    <w:rsid w:val="000E07BC"/>
    <w:rsid w:val="000E59CB"/>
    <w:rsid w:val="000E6CB1"/>
    <w:rsid w:val="000F1CD4"/>
    <w:rsid w:val="000F4103"/>
    <w:rsid w:val="000F6FDC"/>
    <w:rsid w:val="000F70A7"/>
    <w:rsid w:val="000F73F0"/>
    <w:rsid w:val="00113CCA"/>
    <w:rsid w:val="00117042"/>
    <w:rsid w:val="00122F25"/>
    <w:rsid w:val="00135980"/>
    <w:rsid w:val="00153C40"/>
    <w:rsid w:val="001630AD"/>
    <w:rsid w:val="00164719"/>
    <w:rsid w:val="00166259"/>
    <w:rsid w:val="00166FC4"/>
    <w:rsid w:val="001677AC"/>
    <w:rsid w:val="001804EA"/>
    <w:rsid w:val="00180829"/>
    <w:rsid w:val="00190A61"/>
    <w:rsid w:val="001A2838"/>
    <w:rsid w:val="001A3342"/>
    <w:rsid w:val="001A3E3D"/>
    <w:rsid w:val="001A7049"/>
    <w:rsid w:val="001B1BD2"/>
    <w:rsid w:val="001B1D88"/>
    <w:rsid w:val="001B1E40"/>
    <w:rsid w:val="001B6487"/>
    <w:rsid w:val="001C1679"/>
    <w:rsid w:val="001C3C80"/>
    <w:rsid w:val="001C764E"/>
    <w:rsid w:val="001E1052"/>
    <w:rsid w:val="001E21B1"/>
    <w:rsid w:val="001E2F93"/>
    <w:rsid w:val="001E61E5"/>
    <w:rsid w:val="001F2159"/>
    <w:rsid w:val="00213B82"/>
    <w:rsid w:val="00214863"/>
    <w:rsid w:val="002156B4"/>
    <w:rsid w:val="00224DCC"/>
    <w:rsid w:val="00253222"/>
    <w:rsid w:val="0026238B"/>
    <w:rsid w:val="00262847"/>
    <w:rsid w:val="00264ACF"/>
    <w:rsid w:val="00281BB2"/>
    <w:rsid w:val="002B08D9"/>
    <w:rsid w:val="002B72E9"/>
    <w:rsid w:val="002C7998"/>
    <w:rsid w:val="002E47CD"/>
    <w:rsid w:val="002F1E53"/>
    <w:rsid w:val="002F263D"/>
    <w:rsid w:val="002F2CAA"/>
    <w:rsid w:val="0030052C"/>
    <w:rsid w:val="003052AB"/>
    <w:rsid w:val="003306E1"/>
    <w:rsid w:val="003320E4"/>
    <w:rsid w:val="0033525D"/>
    <w:rsid w:val="003414F3"/>
    <w:rsid w:val="00344197"/>
    <w:rsid w:val="00346674"/>
    <w:rsid w:val="003512CB"/>
    <w:rsid w:val="0035613E"/>
    <w:rsid w:val="00363EE9"/>
    <w:rsid w:val="0036427C"/>
    <w:rsid w:val="00366505"/>
    <w:rsid w:val="00372905"/>
    <w:rsid w:val="00376128"/>
    <w:rsid w:val="0037742E"/>
    <w:rsid w:val="00377D56"/>
    <w:rsid w:val="00380454"/>
    <w:rsid w:val="0038245A"/>
    <w:rsid w:val="003840E6"/>
    <w:rsid w:val="00385613"/>
    <w:rsid w:val="00385CFC"/>
    <w:rsid w:val="003919B9"/>
    <w:rsid w:val="0039337A"/>
    <w:rsid w:val="003A1850"/>
    <w:rsid w:val="003A3189"/>
    <w:rsid w:val="003A3CA7"/>
    <w:rsid w:val="003B33BD"/>
    <w:rsid w:val="003B569D"/>
    <w:rsid w:val="003B5BC6"/>
    <w:rsid w:val="003C0C29"/>
    <w:rsid w:val="003C3C0E"/>
    <w:rsid w:val="003D4FAC"/>
    <w:rsid w:val="003E2895"/>
    <w:rsid w:val="003E7906"/>
    <w:rsid w:val="003F0E21"/>
    <w:rsid w:val="003F3C50"/>
    <w:rsid w:val="003F5FBE"/>
    <w:rsid w:val="00406A6A"/>
    <w:rsid w:val="00406B22"/>
    <w:rsid w:val="004174B4"/>
    <w:rsid w:val="004328A7"/>
    <w:rsid w:val="00434C74"/>
    <w:rsid w:val="00446A8D"/>
    <w:rsid w:val="00456EB4"/>
    <w:rsid w:val="00466E11"/>
    <w:rsid w:val="004718F3"/>
    <w:rsid w:val="004731B8"/>
    <w:rsid w:val="004746D5"/>
    <w:rsid w:val="00475040"/>
    <w:rsid w:val="00493D40"/>
    <w:rsid w:val="004967B6"/>
    <w:rsid w:val="004972F0"/>
    <w:rsid w:val="004A504B"/>
    <w:rsid w:val="004A6911"/>
    <w:rsid w:val="004B3759"/>
    <w:rsid w:val="004B54E0"/>
    <w:rsid w:val="004B7384"/>
    <w:rsid w:val="004C4269"/>
    <w:rsid w:val="004C7386"/>
    <w:rsid w:val="004D6236"/>
    <w:rsid w:val="004D7F90"/>
    <w:rsid w:val="004E4DBB"/>
    <w:rsid w:val="004E4E41"/>
    <w:rsid w:val="004E7F9C"/>
    <w:rsid w:val="004F18A7"/>
    <w:rsid w:val="004F3493"/>
    <w:rsid w:val="004F5143"/>
    <w:rsid w:val="005020E1"/>
    <w:rsid w:val="00504A8E"/>
    <w:rsid w:val="00512B09"/>
    <w:rsid w:val="00515B2F"/>
    <w:rsid w:val="00521863"/>
    <w:rsid w:val="00523A94"/>
    <w:rsid w:val="00533796"/>
    <w:rsid w:val="00543E0D"/>
    <w:rsid w:val="00555D75"/>
    <w:rsid w:val="00560DF0"/>
    <w:rsid w:val="0056759C"/>
    <w:rsid w:val="00571604"/>
    <w:rsid w:val="005726EC"/>
    <w:rsid w:val="00577C89"/>
    <w:rsid w:val="00585A00"/>
    <w:rsid w:val="0059513E"/>
    <w:rsid w:val="005A4390"/>
    <w:rsid w:val="005B2F60"/>
    <w:rsid w:val="005B48FF"/>
    <w:rsid w:val="005C5A44"/>
    <w:rsid w:val="005D06AC"/>
    <w:rsid w:val="005F2655"/>
    <w:rsid w:val="005F40D2"/>
    <w:rsid w:val="00604C15"/>
    <w:rsid w:val="006108DC"/>
    <w:rsid w:val="00611B57"/>
    <w:rsid w:val="00614BE0"/>
    <w:rsid w:val="006158D5"/>
    <w:rsid w:val="00625D83"/>
    <w:rsid w:val="00653CEA"/>
    <w:rsid w:val="006623E7"/>
    <w:rsid w:val="00662B80"/>
    <w:rsid w:val="00665EEE"/>
    <w:rsid w:val="00670F6C"/>
    <w:rsid w:val="00675795"/>
    <w:rsid w:val="006852C7"/>
    <w:rsid w:val="006852CE"/>
    <w:rsid w:val="006928C0"/>
    <w:rsid w:val="006A4B3C"/>
    <w:rsid w:val="006B149B"/>
    <w:rsid w:val="006C1727"/>
    <w:rsid w:val="006C1C79"/>
    <w:rsid w:val="006C32FD"/>
    <w:rsid w:val="006C39CE"/>
    <w:rsid w:val="006D0FCC"/>
    <w:rsid w:val="006D1D2D"/>
    <w:rsid w:val="006D3536"/>
    <w:rsid w:val="006D54FC"/>
    <w:rsid w:val="006E1112"/>
    <w:rsid w:val="006E1FC3"/>
    <w:rsid w:val="006E784E"/>
    <w:rsid w:val="006F066A"/>
    <w:rsid w:val="007043C1"/>
    <w:rsid w:val="0070616B"/>
    <w:rsid w:val="00706FDA"/>
    <w:rsid w:val="00711F9A"/>
    <w:rsid w:val="00713810"/>
    <w:rsid w:val="007303A5"/>
    <w:rsid w:val="00730B3E"/>
    <w:rsid w:val="0073420B"/>
    <w:rsid w:val="0074760E"/>
    <w:rsid w:val="00750188"/>
    <w:rsid w:val="007504D2"/>
    <w:rsid w:val="007526A3"/>
    <w:rsid w:val="00754ABA"/>
    <w:rsid w:val="007864CC"/>
    <w:rsid w:val="007969EF"/>
    <w:rsid w:val="007A1546"/>
    <w:rsid w:val="007A228C"/>
    <w:rsid w:val="007A368E"/>
    <w:rsid w:val="007A5868"/>
    <w:rsid w:val="007B04CE"/>
    <w:rsid w:val="007B57A0"/>
    <w:rsid w:val="007B5ADC"/>
    <w:rsid w:val="007B6871"/>
    <w:rsid w:val="007B7A2F"/>
    <w:rsid w:val="007C227C"/>
    <w:rsid w:val="007C3D33"/>
    <w:rsid w:val="007C755A"/>
    <w:rsid w:val="007D294A"/>
    <w:rsid w:val="007D47D2"/>
    <w:rsid w:val="007D6EC0"/>
    <w:rsid w:val="007D7E1D"/>
    <w:rsid w:val="007E131E"/>
    <w:rsid w:val="007F1A90"/>
    <w:rsid w:val="008073F8"/>
    <w:rsid w:val="00810DA9"/>
    <w:rsid w:val="00811AE1"/>
    <w:rsid w:val="00831979"/>
    <w:rsid w:val="00851352"/>
    <w:rsid w:val="00863230"/>
    <w:rsid w:val="008717D8"/>
    <w:rsid w:val="0087215C"/>
    <w:rsid w:val="00872E58"/>
    <w:rsid w:val="00880E35"/>
    <w:rsid w:val="008875FE"/>
    <w:rsid w:val="00887F8E"/>
    <w:rsid w:val="00896234"/>
    <w:rsid w:val="00897E43"/>
    <w:rsid w:val="008C5738"/>
    <w:rsid w:val="008C7EAD"/>
    <w:rsid w:val="008D0CFE"/>
    <w:rsid w:val="008D3375"/>
    <w:rsid w:val="008D54C2"/>
    <w:rsid w:val="008D6152"/>
    <w:rsid w:val="008D7120"/>
    <w:rsid w:val="008F0F81"/>
    <w:rsid w:val="008F27BF"/>
    <w:rsid w:val="009047AA"/>
    <w:rsid w:val="009064F2"/>
    <w:rsid w:val="009142EC"/>
    <w:rsid w:val="009154C3"/>
    <w:rsid w:val="00917C4C"/>
    <w:rsid w:val="00923540"/>
    <w:rsid w:val="00926767"/>
    <w:rsid w:val="00932858"/>
    <w:rsid w:val="009361D5"/>
    <w:rsid w:val="009428A4"/>
    <w:rsid w:val="00956D57"/>
    <w:rsid w:val="009659F4"/>
    <w:rsid w:val="009709B0"/>
    <w:rsid w:val="00970D60"/>
    <w:rsid w:val="00975B05"/>
    <w:rsid w:val="00981345"/>
    <w:rsid w:val="009960E5"/>
    <w:rsid w:val="009A7ADC"/>
    <w:rsid w:val="009A7DB7"/>
    <w:rsid w:val="009B790A"/>
    <w:rsid w:val="009C19B7"/>
    <w:rsid w:val="009D7C51"/>
    <w:rsid w:val="009E196C"/>
    <w:rsid w:val="009E1F3C"/>
    <w:rsid w:val="009F0107"/>
    <w:rsid w:val="009F36BF"/>
    <w:rsid w:val="009F666A"/>
    <w:rsid w:val="00A06A2C"/>
    <w:rsid w:val="00A07D4E"/>
    <w:rsid w:val="00A111B6"/>
    <w:rsid w:val="00A11EE6"/>
    <w:rsid w:val="00A12D8E"/>
    <w:rsid w:val="00A149AC"/>
    <w:rsid w:val="00A2547B"/>
    <w:rsid w:val="00A26C5B"/>
    <w:rsid w:val="00A26D27"/>
    <w:rsid w:val="00A376EE"/>
    <w:rsid w:val="00A42A99"/>
    <w:rsid w:val="00A445E8"/>
    <w:rsid w:val="00A5151A"/>
    <w:rsid w:val="00A56465"/>
    <w:rsid w:val="00A57E0A"/>
    <w:rsid w:val="00A60E45"/>
    <w:rsid w:val="00A723BA"/>
    <w:rsid w:val="00A823F6"/>
    <w:rsid w:val="00A93BBA"/>
    <w:rsid w:val="00AA0A89"/>
    <w:rsid w:val="00AA6429"/>
    <w:rsid w:val="00AB11E9"/>
    <w:rsid w:val="00AB16BC"/>
    <w:rsid w:val="00AC01AA"/>
    <w:rsid w:val="00AC4F72"/>
    <w:rsid w:val="00AC5FA2"/>
    <w:rsid w:val="00AE77AA"/>
    <w:rsid w:val="00AF741A"/>
    <w:rsid w:val="00B00646"/>
    <w:rsid w:val="00B01ADB"/>
    <w:rsid w:val="00B04161"/>
    <w:rsid w:val="00B056F9"/>
    <w:rsid w:val="00B06FC7"/>
    <w:rsid w:val="00B11E3D"/>
    <w:rsid w:val="00B17E82"/>
    <w:rsid w:val="00B4575A"/>
    <w:rsid w:val="00B536EB"/>
    <w:rsid w:val="00B575BA"/>
    <w:rsid w:val="00B60E69"/>
    <w:rsid w:val="00B76429"/>
    <w:rsid w:val="00B82750"/>
    <w:rsid w:val="00B8313A"/>
    <w:rsid w:val="00B8628A"/>
    <w:rsid w:val="00B956D4"/>
    <w:rsid w:val="00B97446"/>
    <w:rsid w:val="00BA276A"/>
    <w:rsid w:val="00BA7432"/>
    <w:rsid w:val="00BB1319"/>
    <w:rsid w:val="00BC1AA0"/>
    <w:rsid w:val="00BC2495"/>
    <w:rsid w:val="00BC7EB9"/>
    <w:rsid w:val="00BD2643"/>
    <w:rsid w:val="00BD56B1"/>
    <w:rsid w:val="00BD6558"/>
    <w:rsid w:val="00BD7BAE"/>
    <w:rsid w:val="00BE4310"/>
    <w:rsid w:val="00BE4659"/>
    <w:rsid w:val="00BF3022"/>
    <w:rsid w:val="00BF3214"/>
    <w:rsid w:val="00BF5573"/>
    <w:rsid w:val="00C05DD7"/>
    <w:rsid w:val="00C07858"/>
    <w:rsid w:val="00C104A8"/>
    <w:rsid w:val="00C15867"/>
    <w:rsid w:val="00C22527"/>
    <w:rsid w:val="00C2296D"/>
    <w:rsid w:val="00C23155"/>
    <w:rsid w:val="00C26CFC"/>
    <w:rsid w:val="00C37B8A"/>
    <w:rsid w:val="00C40C41"/>
    <w:rsid w:val="00C45885"/>
    <w:rsid w:val="00C50F22"/>
    <w:rsid w:val="00C55303"/>
    <w:rsid w:val="00C57971"/>
    <w:rsid w:val="00C61C6D"/>
    <w:rsid w:val="00C65BD7"/>
    <w:rsid w:val="00C70D3B"/>
    <w:rsid w:val="00C76BA4"/>
    <w:rsid w:val="00C83A48"/>
    <w:rsid w:val="00C85865"/>
    <w:rsid w:val="00C85E85"/>
    <w:rsid w:val="00C97990"/>
    <w:rsid w:val="00CA2EAE"/>
    <w:rsid w:val="00CA4AC1"/>
    <w:rsid w:val="00CB0316"/>
    <w:rsid w:val="00CB0B11"/>
    <w:rsid w:val="00CB18E5"/>
    <w:rsid w:val="00CB5354"/>
    <w:rsid w:val="00CB7ECF"/>
    <w:rsid w:val="00CC0AC4"/>
    <w:rsid w:val="00CC299E"/>
    <w:rsid w:val="00CC6236"/>
    <w:rsid w:val="00CC6A14"/>
    <w:rsid w:val="00CC70A3"/>
    <w:rsid w:val="00CD4442"/>
    <w:rsid w:val="00CD53C3"/>
    <w:rsid w:val="00CD574E"/>
    <w:rsid w:val="00CE17E9"/>
    <w:rsid w:val="00CE4C22"/>
    <w:rsid w:val="00CF41EC"/>
    <w:rsid w:val="00CF5D04"/>
    <w:rsid w:val="00D00B8A"/>
    <w:rsid w:val="00D0203F"/>
    <w:rsid w:val="00D04DE4"/>
    <w:rsid w:val="00D0546C"/>
    <w:rsid w:val="00D063F1"/>
    <w:rsid w:val="00D06469"/>
    <w:rsid w:val="00D13CD0"/>
    <w:rsid w:val="00D14F22"/>
    <w:rsid w:val="00D22563"/>
    <w:rsid w:val="00D4741C"/>
    <w:rsid w:val="00D51B89"/>
    <w:rsid w:val="00D57918"/>
    <w:rsid w:val="00D62899"/>
    <w:rsid w:val="00D66982"/>
    <w:rsid w:val="00D73DC6"/>
    <w:rsid w:val="00D74C1A"/>
    <w:rsid w:val="00D754C1"/>
    <w:rsid w:val="00D77393"/>
    <w:rsid w:val="00D77A35"/>
    <w:rsid w:val="00D81B3E"/>
    <w:rsid w:val="00D90C70"/>
    <w:rsid w:val="00D90E49"/>
    <w:rsid w:val="00D96ADE"/>
    <w:rsid w:val="00DA0CE2"/>
    <w:rsid w:val="00DC154D"/>
    <w:rsid w:val="00DC1BCC"/>
    <w:rsid w:val="00DC4EE2"/>
    <w:rsid w:val="00DC6A10"/>
    <w:rsid w:val="00DE0091"/>
    <w:rsid w:val="00DE48B8"/>
    <w:rsid w:val="00DE657E"/>
    <w:rsid w:val="00DF4704"/>
    <w:rsid w:val="00E024AA"/>
    <w:rsid w:val="00E250F1"/>
    <w:rsid w:val="00E25DD5"/>
    <w:rsid w:val="00E33D18"/>
    <w:rsid w:val="00E3550D"/>
    <w:rsid w:val="00E41335"/>
    <w:rsid w:val="00E41B18"/>
    <w:rsid w:val="00E5779C"/>
    <w:rsid w:val="00E614E0"/>
    <w:rsid w:val="00E63EA2"/>
    <w:rsid w:val="00E73F7F"/>
    <w:rsid w:val="00E761FD"/>
    <w:rsid w:val="00E85409"/>
    <w:rsid w:val="00EA10A3"/>
    <w:rsid w:val="00EA2BB9"/>
    <w:rsid w:val="00EA429F"/>
    <w:rsid w:val="00EA4F9E"/>
    <w:rsid w:val="00EA63CA"/>
    <w:rsid w:val="00EA6D3B"/>
    <w:rsid w:val="00EB00AD"/>
    <w:rsid w:val="00EB136C"/>
    <w:rsid w:val="00EB1C46"/>
    <w:rsid w:val="00EB480E"/>
    <w:rsid w:val="00EB5EC6"/>
    <w:rsid w:val="00EB7FC9"/>
    <w:rsid w:val="00ED27E8"/>
    <w:rsid w:val="00ED2B5F"/>
    <w:rsid w:val="00ED7137"/>
    <w:rsid w:val="00EE66BA"/>
    <w:rsid w:val="00EF7F1A"/>
    <w:rsid w:val="00F07A58"/>
    <w:rsid w:val="00F21088"/>
    <w:rsid w:val="00F21AEA"/>
    <w:rsid w:val="00F268BE"/>
    <w:rsid w:val="00F26E2B"/>
    <w:rsid w:val="00F31C6F"/>
    <w:rsid w:val="00F327E7"/>
    <w:rsid w:val="00F3354B"/>
    <w:rsid w:val="00F35746"/>
    <w:rsid w:val="00F447C7"/>
    <w:rsid w:val="00F5211B"/>
    <w:rsid w:val="00F5394B"/>
    <w:rsid w:val="00F554A9"/>
    <w:rsid w:val="00F644EB"/>
    <w:rsid w:val="00F716FD"/>
    <w:rsid w:val="00F80355"/>
    <w:rsid w:val="00F82FF6"/>
    <w:rsid w:val="00F85C10"/>
    <w:rsid w:val="00F87C43"/>
    <w:rsid w:val="00F87CA8"/>
    <w:rsid w:val="00FB0C81"/>
    <w:rsid w:val="00FB4800"/>
    <w:rsid w:val="00FC2200"/>
    <w:rsid w:val="00FC2540"/>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5180BA"/>
  <w15:docId w15:val="{E004213F-A45D-4756-8F41-5776B3DDC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Heading 3 Char1,Heading 3 Char Char,Char Char Char,Char Char1,Heading 3 Char1 Char,Heading 3 Char Char Char,Char Char Char Char,Char Char1 Char,Heading 3 Char2,Char Char2,Char Char Char1,Heading 3 Char Char1,Heading 3 Char Char1 Char"/>
    <w:basedOn w:val="Normal"/>
    <w:next w:val="Normal"/>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link w:val="HeaderChar"/>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customStyle="1" w:styleId="Heading">
    <w:name w:val="Heading"/>
    <w:basedOn w:val="Header"/>
    <w:next w:val="Header"/>
    <w:uiPriority w:val="99"/>
    <w:rsid w:val="006F066A"/>
    <w:pPr>
      <w:tabs>
        <w:tab w:val="clear" w:pos="4320"/>
        <w:tab w:val="clear" w:pos="8640"/>
      </w:tabs>
    </w:pPr>
    <w:rPr>
      <w:b/>
      <w:bCs/>
      <w:sz w:val="24"/>
      <w:szCs w:val="24"/>
      <w:u w:val="single"/>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link w:val="Heading2"/>
    <w:rsid w:val="006F066A"/>
    <w:rPr>
      <w:sz w:val="22"/>
      <w:szCs w:val="22"/>
      <w:lang w:val="en-GB"/>
    </w:rPr>
  </w:style>
  <w:style w:type="character" w:styleId="FootnoteReference">
    <w:name w:val="footnote reference"/>
    <w:aliases w:val="Footnote text,16 Point,Superscript 6 Point,Footnote Text1,Footnote Text2"/>
    <w:uiPriority w:val="99"/>
    <w:rsid w:val="006F066A"/>
    <w:rPr>
      <w:rFonts w:ascii="Times New Roman" w:hAnsi="Times New Roman" w:cs="Times New Roman"/>
      <w:position w:val="0"/>
      <w:sz w:val="24"/>
      <w:szCs w:val="24"/>
      <w:vertAlign w:val="superscript"/>
    </w:rPr>
  </w:style>
  <w:style w:type="paragraph" w:styleId="FootnoteText">
    <w:name w:val="footnote text"/>
    <w:aliases w:val="Fußnotentextf, Char1, Char1 Char Char,Char1,Char1 Char Char"/>
    <w:basedOn w:val="Normal"/>
    <w:link w:val="FootnoteTextChar"/>
    <w:uiPriority w:val="99"/>
    <w:qFormat/>
    <w:rsid w:val="006F066A"/>
    <w:pPr>
      <w:spacing w:after="120"/>
      <w:ind w:left="432" w:hanging="432"/>
      <w:jc w:val="left"/>
    </w:pPr>
    <w:rPr>
      <w:sz w:val="20"/>
      <w:szCs w:val="20"/>
      <w:lang w:val="en-US" w:eastAsia="fr-FR"/>
    </w:rPr>
  </w:style>
  <w:style w:type="character" w:customStyle="1" w:styleId="FootnoteTextChar">
    <w:name w:val="Footnote Text Char"/>
    <w:aliases w:val="Fußnotentextf Char, Char1 Char, Char1 Char Char Char,Char1 Char,Char1 Char Char Char"/>
    <w:basedOn w:val="DefaultParagraphFont"/>
    <w:link w:val="FootnoteText"/>
    <w:uiPriority w:val="99"/>
    <w:rsid w:val="006F066A"/>
    <w:rPr>
      <w:lang w:eastAsia="fr-FR"/>
    </w:rPr>
  </w:style>
  <w:style w:type="character" w:customStyle="1" w:styleId="HeaderChar">
    <w:name w:val="Header Char"/>
    <w:link w:val="Header"/>
    <w:rsid w:val="006F066A"/>
    <w:rPr>
      <w:sz w:val="22"/>
      <w:szCs w:val="22"/>
      <w:lang w:val="en-GB"/>
    </w:rPr>
  </w:style>
  <w:style w:type="paragraph" w:customStyle="1" w:styleId="a--">
    <w:name w:val="a-(-)"/>
    <w:basedOn w:val="Normal"/>
    <w:rsid w:val="006F066A"/>
    <w:pPr>
      <w:tabs>
        <w:tab w:val="left" w:pos="-720"/>
        <w:tab w:val="left" w:pos="0"/>
        <w:tab w:val="left" w:pos="720"/>
        <w:tab w:val="left" w:pos="1440"/>
        <w:tab w:val="left" w:pos="2160"/>
        <w:tab w:val="left" w:pos="2880"/>
        <w:tab w:val="left" w:pos="3600"/>
      </w:tabs>
      <w:suppressAutoHyphens/>
    </w:pPr>
    <w:rPr>
      <w:b/>
      <w:bCs/>
      <w:sz w:val="24"/>
      <w:szCs w:val="24"/>
      <w:lang w:eastAsia="fr-FR"/>
    </w:rPr>
  </w:style>
  <w:style w:type="character" w:customStyle="1" w:styleId="FooterChar">
    <w:name w:val="Footer Char"/>
    <w:basedOn w:val="DefaultParagraphFont"/>
    <w:link w:val="Footer"/>
    <w:uiPriority w:val="99"/>
    <w:rsid w:val="006F066A"/>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581044">
      <w:bodyDiv w:val="1"/>
      <w:marLeft w:val="0"/>
      <w:marRight w:val="0"/>
      <w:marTop w:val="0"/>
      <w:marBottom w:val="0"/>
      <w:divBdr>
        <w:top w:val="none" w:sz="0" w:space="0" w:color="auto"/>
        <w:left w:val="none" w:sz="0" w:space="0" w:color="auto"/>
        <w:bottom w:val="none" w:sz="0" w:space="0" w:color="auto"/>
        <w:right w:val="none" w:sz="0" w:space="0" w:color="auto"/>
      </w:divBdr>
    </w:div>
    <w:div w:id="747111893">
      <w:bodyDiv w:val="1"/>
      <w:marLeft w:val="0"/>
      <w:marRight w:val="0"/>
      <w:marTop w:val="0"/>
      <w:marBottom w:val="0"/>
      <w:divBdr>
        <w:top w:val="none" w:sz="0" w:space="0" w:color="auto"/>
        <w:left w:val="none" w:sz="0" w:space="0" w:color="auto"/>
        <w:bottom w:val="none" w:sz="0" w:space="0" w:color="auto"/>
        <w:right w:val="none" w:sz="0" w:space="0" w:color="auto"/>
      </w:divBdr>
    </w:div>
    <w:div w:id="878131983">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212920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theme" Target="theme/theme1.xml"/><Relationship Id="rId30"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J:\84th\Templates\Eec84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1FC51483EAF9547AF5405F34A68D8CF" ma:contentTypeVersion="4" ma:contentTypeDescription="Create a new document." ma:contentTypeScope="" ma:versionID="bbbacc9f6101fc0892702c4e4b680072">
  <xsd:schema xmlns:xsd="http://www.w3.org/2001/XMLSchema" xmlns:p="http://schemas.microsoft.com/office/2006/metadata/properties" xmlns:ns2="6b03d5a6-c642-4a08-93b6-965b66bfac2e" xmlns:ns3="64e33b30-101d-41de-b951-961aab25ea29" targetNamespace="http://schemas.microsoft.com/office/2006/metadata/properties" ma:root="true" ma:fieldsID="39409073ccf1d849a0e0d716fd570e97"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100"/>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UNEP/OzL.Pro/ExCom/84/17</Document_x0020_Number>
    <DocumentType xmlns="64e33b30-101d-41de-b951-961aab25ea29">Pre-session</DocumentType>
  </documentManagement>
</p:properties>
</file>

<file path=customXml/itemProps1.xml><?xml version="1.0" encoding="utf-8"?>
<ds:datastoreItem xmlns:ds="http://schemas.openxmlformats.org/officeDocument/2006/customXml" ds:itemID="{9BBD87FE-55CA-472E-AB1D-B2D1F2AF7073}"/>
</file>

<file path=customXml/itemProps2.xml><?xml version="1.0" encoding="utf-8"?>
<ds:datastoreItem xmlns:ds="http://schemas.openxmlformats.org/officeDocument/2006/customXml" ds:itemID="{92899944-41B0-4344-A703-F82635D797D9}"/>
</file>

<file path=customXml/itemProps3.xml><?xml version="1.0" encoding="utf-8"?>
<ds:datastoreItem xmlns:ds="http://schemas.openxmlformats.org/officeDocument/2006/customXml" ds:itemID="{75B531CC-BF95-4CDC-BF56-3193E0ECEAD9}"/>
</file>

<file path=customXml/itemProps4.xml><?xml version="1.0" encoding="utf-8"?>
<ds:datastoreItem xmlns:ds="http://schemas.openxmlformats.org/officeDocument/2006/customXml" ds:itemID="{386A0D96-DE05-4098-AB4E-EEB7DA294AF0}"/>
</file>

<file path=docProps/app.xml><?xml version="1.0" encoding="utf-8"?>
<Properties xmlns="http://schemas.openxmlformats.org/officeDocument/2006/extended-properties" xmlns:vt="http://schemas.openxmlformats.org/officeDocument/2006/docPropsVTypes">
  <Template>Eec84G</Template>
  <TotalTime>12</TotalTime>
  <Pages>9</Pages>
  <Words>2286</Words>
  <Characters>12919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Progress Report of Bilateral Cooperation as at 31 December 2018</vt:lpstr>
    </vt:vector>
  </TitlesOfParts>
  <Company/>
  <LinksUpToDate>false</LinksUpToDate>
  <CharactersWithSpaces>15175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 of bilateral cooperation as at 31 December 2018</dc:title>
  <dc:creator/>
  <cp:lastModifiedBy>Muriel Aguiar</cp:lastModifiedBy>
  <cp:revision>13</cp:revision>
  <cp:lastPrinted>2001-05-26T16:40:00Z</cp:lastPrinted>
  <dcterms:created xsi:type="dcterms:W3CDTF">2019-11-19T19:45:00Z</dcterms:created>
  <dcterms:modified xsi:type="dcterms:W3CDTF">2019-11-20T01:59:00Z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UNEP/OzL.Pro/ExCom/84/17</vt:lpwstr>
  </property>
  <property fmtid="{D5CDD505-2E9C-101B-9397-08002B2CF9AE}" pid="3" name="Revision date">
    <vt:lpwstr>11/19/2019</vt:lpwstr>
  </property>
  <property fmtid="{D5CDD505-2E9C-101B-9397-08002B2CF9AE}" pid="4" name="ContentTypeId">
    <vt:lpwstr>0x010100D1FC51483EAF9547AF5405F34A68D8CF</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