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D492" w14:textId="2E5D4789" w:rsidR="00733864" w:rsidRPr="00752D88" w:rsidRDefault="005555C1" w:rsidP="00493C77">
      <w:pPr>
        <w:spacing w:after="240" w:line="240" w:lineRule="auto"/>
        <w:jc w:val="center"/>
        <w:rPr>
          <w:rFonts w:ascii="Times New Roman" w:hAnsi="Times New Roman" w:cs="Times New Roman"/>
          <w:b/>
          <w:bCs/>
        </w:rPr>
      </w:pPr>
      <w:r w:rsidRPr="00752D88">
        <w:rPr>
          <w:rFonts w:ascii="Times New Roman" w:hAnsi="Times New Roman" w:cs="Times New Roman"/>
          <w:b/>
          <w:bCs/>
        </w:rPr>
        <w:t>A</w:t>
      </w:r>
      <w:r w:rsidR="0052530C" w:rsidRPr="00752D88">
        <w:rPr>
          <w:rFonts w:ascii="Times New Roman" w:hAnsi="Times New Roman" w:cs="Times New Roman"/>
          <w:b/>
          <w:bCs/>
        </w:rPr>
        <w:t>nnex</w:t>
      </w:r>
      <w:r w:rsidRPr="00752D88">
        <w:rPr>
          <w:rFonts w:ascii="Times New Roman" w:hAnsi="Times New Roman" w:cs="Times New Roman"/>
          <w:b/>
          <w:bCs/>
        </w:rPr>
        <w:t xml:space="preserve"> IV</w:t>
      </w:r>
    </w:p>
    <w:p w14:paraId="2715C313" w14:textId="4FB2658B" w:rsidR="005A5438" w:rsidRPr="00752D88" w:rsidRDefault="005A5438" w:rsidP="00493C77">
      <w:pPr>
        <w:spacing w:after="240" w:line="240" w:lineRule="auto"/>
        <w:jc w:val="center"/>
        <w:rPr>
          <w:rFonts w:ascii="Times New Roman" w:hAnsi="Times New Roman" w:cs="Times New Roman"/>
          <w:b/>
          <w:bCs/>
        </w:rPr>
      </w:pPr>
      <w:r w:rsidRPr="00752D88">
        <w:rPr>
          <w:rFonts w:ascii="Times New Roman" w:hAnsi="Times New Roman" w:cs="Times New Roman"/>
          <w:b/>
          <w:bCs/>
        </w:rPr>
        <w:t xml:space="preserve">REPORTING DATA ON PROGRESS IN </w:t>
      </w:r>
      <w:r w:rsidR="005E0F28" w:rsidRPr="00752D88">
        <w:rPr>
          <w:rFonts w:ascii="Times New Roman" w:hAnsi="Times New Roman" w:cs="Times New Roman"/>
          <w:b/>
          <w:bCs/>
        </w:rPr>
        <w:t xml:space="preserve">THE </w:t>
      </w:r>
      <w:r w:rsidRPr="00752D88">
        <w:rPr>
          <w:rFonts w:ascii="Times New Roman" w:hAnsi="Times New Roman" w:cs="Times New Roman"/>
          <w:b/>
          <w:bCs/>
        </w:rPr>
        <w:t>IMPLEMENTATION OF COUNTRY PROGRAMMES TO THE FUND SECRETARIAT</w:t>
      </w:r>
    </w:p>
    <w:p w14:paraId="08E9882C" w14:textId="704B4A47" w:rsidR="005A5438" w:rsidRPr="00752D88" w:rsidRDefault="005A5438" w:rsidP="00493C77">
      <w:pPr>
        <w:spacing w:after="240" w:line="240" w:lineRule="auto"/>
        <w:jc w:val="center"/>
        <w:rPr>
          <w:rFonts w:ascii="Times New Roman" w:hAnsi="Times New Roman" w:cs="Times New Roman"/>
          <w:b/>
          <w:bCs/>
        </w:rPr>
      </w:pPr>
      <w:r w:rsidRPr="00752D88">
        <w:rPr>
          <w:rFonts w:ascii="Times New Roman" w:hAnsi="Times New Roman" w:cs="Times New Roman"/>
          <w:b/>
          <w:bCs/>
        </w:rPr>
        <w:t xml:space="preserve">Practical </w:t>
      </w:r>
      <w:r w:rsidR="004F15E3" w:rsidRPr="00752D88">
        <w:rPr>
          <w:rFonts w:ascii="Times New Roman" w:hAnsi="Times New Roman" w:cs="Times New Roman"/>
          <w:b/>
          <w:bCs/>
        </w:rPr>
        <w:t>m</w:t>
      </w:r>
      <w:r w:rsidRPr="00752D88">
        <w:rPr>
          <w:rFonts w:ascii="Times New Roman" w:hAnsi="Times New Roman" w:cs="Times New Roman"/>
          <w:b/>
          <w:bCs/>
        </w:rPr>
        <w:t xml:space="preserve">anual for </w:t>
      </w:r>
      <w:r w:rsidR="00DE6B58" w:rsidRPr="00752D88">
        <w:rPr>
          <w:rFonts w:ascii="Times New Roman" w:hAnsi="Times New Roman" w:cs="Times New Roman"/>
          <w:b/>
          <w:bCs/>
        </w:rPr>
        <w:t>country programme</w:t>
      </w:r>
      <w:r w:rsidR="00981FB0" w:rsidRPr="00752D88">
        <w:rPr>
          <w:rFonts w:ascii="Times New Roman" w:hAnsi="Times New Roman" w:cs="Times New Roman"/>
          <w:b/>
          <w:bCs/>
        </w:rPr>
        <w:t xml:space="preserve"> data </w:t>
      </w:r>
      <w:r w:rsidR="004F15E3" w:rsidRPr="00752D88">
        <w:rPr>
          <w:rFonts w:ascii="Times New Roman" w:hAnsi="Times New Roman" w:cs="Times New Roman"/>
          <w:b/>
          <w:bCs/>
        </w:rPr>
        <w:t>r</w:t>
      </w:r>
      <w:r w:rsidRPr="00752D88">
        <w:rPr>
          <w:rFonts w:ascii="Times New Roman" w:hAnsi="Times New Roman" w:cs="Times New Roman"/>
          <w:b/>
          <w:bCs/>
        </w:rPr>
        <w:t xml:space="preserve">eporting </w:t>
      </w:r>
      <w:r w:rsidR="004F15E3" w:rsidRPr="00752D88">
        <w:rPr>
          <w:rFonts w:ascii="Times New Roman" w:hAnsi="Times New Roman" w:cs="Times New Roman"/>
          <w:b/>
          <w:bCs/>
        </w:rPr>
        <w:t>(</w:t>
      </w:r>
      <w:r w:rsidRPr="00752D88">
        <w:rPr>
          <w:rFonts w:ascii="Times New Roman" w:hAnsi="Times New Roman" w:cs="Times New Roman"/>
          <w:b/>
          <w:bCs/>
        </w:rPr>
        <w:t>2019 data and beyond</w:t>
      </w:r>
      <w:r w:rsidR="004F15E3" w:rsidRPr="00752D88">
        <w:rPr>
          <w:rFonts w:ascii="Times New Roman" w:hAnsi="Times New Roman" w:cs="Times New Roman"/>
          <w:b/>
          <w:bCs/>
        </w:rPr>
        <w:t>)</w:t>
      </w:r>
    </w:p>
    <w:p w14:paraId="0219B26A" w14:textId="77777777" w:rsidR="00A446CD" w:rsidRPr="00752D88" w:rsidRDefault="00A446CD" w:rsidP="00493C77">
      <w:pPr>
        <w:pStyle w:val="Heading1"/>
        <w:numPr>
          <w:ilvl w:val="0"/>
          <w:numId w:val="0"/>
        </w:numPr>
        <w:rPr>
          <w:b/>
          <w:lang w:val="en-CA"/>
        </w:rPr>
      </w:pPr>
      <w:r w:rsidRPr="00752D88">
        <w:rPr>
          <w:b/>
          <w:lang w:val="en-CA"/>
        </w:rPr>
        <w:t>Background</w:t>
      </w:r>
    </w:p>
    <w:p w14:paraId="6482612D" w14:textId="77777777" w:rsidR="005A66EB" w:rsidRPr="00752D88" w:rsidRDefault="005A66EB" w:rsidP="005A66EB">
      <w:pPr>
        <w:pStyle w:val="Heading1"/>
        <w:rPr>
          <w:rFonts w:ascii="TimesNewRomanPSMT" w:hAnsi="TimesNewRomanPSMT" w:cs="TimesNewRomanPSMT"/>
          <w:lang w:val="en-US"/>
        </w:rPr>
      </w:pPr>
      <w:r w:rsidRPr="00752D88">
        <w:t>Article 5 countries that request funding from the Multilateral Fund for the phase-out of controlled substances in the consumption and production (where applicable) sectors are required to submit annually a mandatory progress report on the implementation of country programmes (CP) to the Fund Secretariat.</w:t>
      </w:r>
      <w:r w:rsidRPr="00752D88">
        <w:rPr>
          <w:sz w:val="20"/>
          <w:szCs w:val="18"/>
          <w:vertAlign w:val="superscript"/>
        </w:rPr>
        <w:footnoteReference w:id="1"/>
      </w:r>
      <w:r w:rsidRPr="00752D88">
        <w:t xml:space="preserve"> </w:t>
      </w:r>
    </w:p>
    <w:p w14:paraId="164786FE" w14:textId="07917B1B" w:rsidR="005A66EB" w:rsidRPr="00752D88" w:rsidRDefault="005A66EB" w:rsidP="005A66EB">
      <w:pPr>
        <w:pStyle w:val="Heading1"/>
      </w:pPr>
      <w:r w:rsidRPr="00752D88">
        <w:t>CP data reports represent the sole source of information on the sector distribution of the use of these controlled substances in Article 5 countries. Based on the CP data reports, the Secretariat prepares a document on CP data and prospects for compliance, which the Executive Committee considers at each meeting. This document is also submitted as an information document to each meeting of the Implementation Committee under the Non</w:t>
      </w:r>
      <w:r w:rsidRPr="00752D88">
        <w:noBreakHyphen/>
        <w:t xml:space="preserve">compliance Procedure of the Montreal Protocol. </w:t>
      </w:r>
    </w:p>
    <w:p w14:paraId="732C78C6" w14:textId="20F8F6D7" w:rsidR="005A66EB" w:rsidRPr="00752D88" w:rsidRDefault="005A66EB" w:rsidP="005A66EB">
      <w:pPr>
        <w:pStyle w:val="Heading1"/>
      </w:pPr>
      <w:r w:rsidRPr="00752D88">
        <w:t xml:space="preserve">Therefore, the accuracy of the consumption and production data reported under CP is of great relevance. </w:t>
      </w:r>
    </w:p>
    <w:p w14:paraId="7DC7AD67" w14:textId="7A7F1DE9" w:rsidR="00BC297C" w:rsidRPr="00752D88" w:rsidRDefault="00BC297C" w:rsidP="00BC297C">
      <w:pPr>
        <w:rPr>
          <w:rFonts w:ascii="Times New Roman" w:hAnsi="Times New Roman" w:cs="Times New Roman"/>
          <w:b/>
        </w:rPr>
      </w:pPr>
      <w:r w:rsidRPr="00752D88">
        <w:rPr>
          <w:rFonts w:ascii="Times New Roman" w:hAnsi="Times New Roman" w:cs="Times New Roman"/>
          <w:b/>
        </w:rPr>
        <w:t xml:space="preserve">Scope of the Practical </w:t>
      </w:r>
      <w:r w:rsidR="004F15E3" w:rsidRPr="00752D88">
        <w:rPr>
          <w:rFonts w:ascii="Times New Roman" w:hAnsi="Times New Roman" w:cs="Times New Roman"/>
          <w:b/>
        </w:rPr>
        <w:t>m</w:t>
      </w:r>
      <w:r w:rsidRPr="00752D88">
        <w:rPr>
          <w:rFonts w:ascii="Times New Roman" w:hAnsi="Times New Roman" w:cs="Times New Roman"/>
          <w:b/>
        </w:rPr>
        <w:t>anual</w:t>
      </w:r>
      <w:r w:rsidR="004F15E3" w:rsidRPr="00752D88">
        <w:rPr>
          <w:rFonts w:ascii="Times New Roman" w:hAnsi="Times New Roman" w:cs="Times New Roman"/>
          <w:b/>
        </w:rPr>
        <w:t xml:space="preserve"> for </w:t>
      </w:r>
      <w:r w:rsidR="00981FB0" w:rsidRPr="00752D88">
        <w:rPr>
          <w:rFonts w:ascii="Times New Roman" w:hAnsi="Times New Roman" w:cs="Times New Roman"/>
          <w:b/>
        </w:rPr>
        <w:t xml:space="preserve">CP data </w:t>
      </w:r>
      <w:r w:rsidR="004F15E3" w:rsidRPr="00752D88">
        <w:rPr>
          <w:rFonts w:ascii="Times New Roman" w:hAnsi="Times New Roman" w:cs="Times New Roman"/>
          <w:b/>
        </w:rPr>
        <w:t>reporting</w:t>
      </w:r>
      <w:r w:rsidRPr="00752D88">
        <w:rPr>
          <w:rFonts w:ascii="Times New Roman" w:hAnsi="Times New Roman" w:cs="Times New Roman"/>
          <w:b/>
        </w:rPr>
        <w:t xml:space="preserve"> </w:t>
      </w:r>
    </w:p>
    <w:p w14:paraId="2FA8460F" w14:textId="08CD8AF1" w:rsidR="00B56E9B" w:rsidRPr="00752D88" w:rsidRDefault="0009081A" w:rsidP="0009081A">
      <w:pPr>
        <w:pStyle w:val="Heading1"/>
      </w:pPr>
      <w:r w:rsidRPr="00752D88">
        <w:rPr>
          <w:rFonts w:eastAsiaTheme="minorHAnsi"/>
          <w:lang w:val="en-CA"/>
        </w:rPr>
        <w:t xml:space="preserve">Article 5 countries are required to submit annual reports on the progress in the implementation of the CP for the previous calendar year </w:t>
      </w:r>
      <w:r w:rsidR="00981FB0" w:rsidRPr="00752D88">
        <w:rPr>
          <w:rFonts w:eastAsiaTheme="minorHAnsi"/>
          <w:lang w:val="en-CA"/>
        </w:rPr>
        <w:t xml:space="preserve">to the Fund Secretariat, </w:t>
      </w:r>
      <w:r w:rsidRPr="00752D88">
        <w:rPr>
          <w:rFonts w:eastAsiaTheme="minorHAnsi"/>
          <w:lang w:val="en-CA"/>
        </w:rPr>
        <w:t xml:space="preserve">eight weeks prior to the Executive Committee’s first meeting of the year, if possible, and no later than 1 May, in line with decision 74/9(b)(iv). </w:t>
      </w:r>
      <w:r w:rsidR="00981FB0" w:rsidRPr="00752D88">
        <w:rPr>
          <w:rFonts w:eastAsiaTheme="minorHAnsi"/>
          <w:lang w:val="en-CA"/>
        </w:rPr>
        <w:t>T</w:t>
      </w:r>
      <w:r w:rsidRPr="00752D88">
        <w:rPr>
          <w:rFonts w:eastAsiaTheme="minorHAnsi"/>
          <w:lang w:val="en-CA"/>
        </w:rPr>
        <w:t xml:space="preserve">he Secretariat has developed the present Practical </w:t>
      </w:r>
      <w:r w:rsidR="000B608A" w:rsidRPr="00752D88">
        <w:rPr>
          <w:rFonts w:eastAsiaTheme="minorHAnsi"/>
          <w:lang w:val="en-CA"/>
        </w:rPr>
        <w:t>m</w:t>
      </w:r>
      <w:r w:rsidRPr="00752D88">
        <w:rPr>
          <w:rFonts w:eastAsiaTheme="minorHAnsi"/>
          <w:lang w:val="en-CA"/>
        </w:rPr>
        <w:t>anual</w:t>
      </w:r>
      <w:r w:rsidR="000B608A" w:rsidRPr="00752D88">
        <w:rPr>
          <w:rFonts w:eastAsiaTheme="minorHAnsi"/>
          <w:lang w:val="en-CA"/>
        </w:rPr>
        <w:t xml:space="preserve"> for CP data reporting to assist national ozone officers in filling the CP data reports</w:t>
      </w:r>
      <w:r w:rsidRPr="00752D88">
        <w:rPr>
          <w:rFonts w:eastAsiaTheme="minorHAnsi"/>
          <w:lang w:val="en-CA"/>
        </w:rPr>
        <w:t>.</w:t>
      </w:r>
    </w:p>
    <w:p w14:paraId="6594698A" w14:textId="3581D617" w:rsidR="00E43F46" w:rsidRPr="00752D88" w:rsidRDefault="00841998" w:rsidP="00493C77">
      <w:pPr>
        <w:pStyle w:val="Heading1"/>
      </w:pPr>
      <w:r w:rsidRPr="00752D88">
        <w:rPr>
          <w:rFonts w:eastAsiaTheme="minorHAnsi"/>
          <w:lang w:val="en-CA"/>
        </w:rPr>
        <w:t xml:space="preserve">The </w:t>
      </w:r>
      <w:r w:rsidR="0009081A" w:rsidRPr="00752D88">
        <w:rPr>
          <w:rFonts w:eastAsiaTheme="minorHAnsi"/>
          <w:lang w:val="en-CA"/>
        </w:rPr>
        <w:t xml:space="preserve">CP data report </w:t>
      </w:r>
      <w:r w:rsidRPr="00752D88">
        <w:rPr>
          <w:rFonts w:eastAsiaTheme="minorHAnsi"/>
          <w:lang w:val="en-CA"/>
        </w:rPr>
        <w:t xml:space="preserve">format contains six separate sections as described </w:t>
      </w:r>
      <w:r w:rsidR="00162C0C" w:rsidRPr="00752D88">
        <w:rPr>
          <w:rFonts w:eastAsiaTheme="minorHAnsi"/>
          <w:lang w:val="en-CA"/>
        </w:rPr>
        <w:t>below</w:t>
      </w:r>
      <w:r w:rsidR="0009081A" w:rsidRPr="00752D88">
        <w:rPr>
          <w:rFonts w:eastAsiaTheme="minorHAnsi"/>
          <w:lang w:val="en-CA"/>
        </w:rPr>
        <w:t>:</w:t>
      </w:r>
    </w:p>
    <w:tbl>
      <w:tblPr>
        <w:tblW w:w="9493" w:type="dxa"/>
        <w:tblLook w:val="04A0" w:firstRow="1" w:lastRow="0" w:firstColumn="1" w:lastColumn="0" w:noHBand="0" w:noVBand="1"/>
      </w:tblPr>
      <w:tblGrid>
        <w:gridCol w:w="4248"/>
        <w:gridCol w:w="5245"/>
      </w:tblGrid>
      <w:tr w:rsidR="005A5438" w:rsidRPr="00752D88" w14:paraId="386B4F8C" w14:textId="77777777" w:rsidTr="006451A1">
        <w:trPr>
          <w:tblHeader/>
        </w:trPr>
        <w:tc>
          <w:tcPr>
            <w:tcW w:w="4248" w:type="dxa"/>
            <w:tcBorders>
              <w:top w:val="single" w:sz="4" w:space="0" w:color="auto"/>
              <w:left w:val="single" w:sz="4" w:space="0" w:color="auto"/>
              <w:bottom w:val="single" w:sz="4" w:space="0" w:color="auto"/>
              <w:right w:val="single" w:sz="4" w:space="0" w:color="auto"/>
            </w:tcBorders>
            <w:hideMark/>
          </w:tcPr>
          <w:p w14:paraId="09A1C6E7" w14:textId="77777777" w:rsidR="005A5438" w:rsidRPr="00752D88" w:rsidRDefault="005A5438" w:rsidP="005A66EB">
            <w:pPr>
              <w:pStyle w:val="Heading1"/>
              <w:numPr>
                <w:ilvl w:val="0"/>
                <w:numId w:val="0"/>
              </w:numPr>
              <w:tabs>
                <w:tab w:val="left" w:pos="720"/>
              </w:tabs>
              <w:spacing w:after="0"/>
              <w:jc w:val="left"/>
              <w:rPr>
                <w:b/>
                <w:sz w:val="21"/>
                <w:szCs w:val="21"/>
                <w:lang w:val="en-CA"/>
              </w:rPr>
            </w:pPr>
            <w:r w:rsidRPr="00752D88">
              <w:rPr>
                <w:b/>
                <w:sz w:val="21"/>
                <w:szCs w:val="21"/>
                <w:lang w:val="en-CA"/>
              </w:rPr>
              <w:t>Section</w:t>
            </w:r>
          </w:p>
        </w:tc>
        <w:tc>
          <w:tcPr>
            <w:tcW w:w="5245" w:type="dxa"/>
            <w:tcBorders>
              <w:top w:val="single" w:sz="4" w:space="0" w:color="auto"/>
              <w:left w:val="single" w:sz="4" w:space="0" w:color="auto"/>
              <w:bottom w:val="single" w:sz="4" w:space="0" w:color="auto"/>
              <w:right w:val="single" w:sz="4" w:space="0" w:color="auto"/>
            </w:tcBorders>
            <w:hideMark/>
          </w:tcPr>
          <w:p w14:paraId="1E583162" w14:textId="25CF6C55" w:rsidR="005A5438" w:rsidRPr="00752D88" w:rsidRDefault="005A5438" w:rsidP="0009081A">
            <w:pPr>
              <w:pStyle w:val="Heading1"/>
              <w:keepNext/>
              <w:numPr>
                <w:ilvl w:val="0"/>
                <w:numId w:val="0"/>
              </w:numPr>
              <w:tabs>
                <w:tab w:val="left" w:pos="720"/>
              </w:tabs>
              <w:spacing w:after="0"/>
              <w:jc w:val="center"/>
              <w:rPr>
                <w:b/>
                <w:sz w:val="21"/>
                <w:szCs w:val="21"/>
                <w:lang w:val="en-CA"/>
              </w:rPr>
            </w:pPr>
            <w:r w:rsidRPr="00752D88">
              <w:rPr>
                <w:b/>
                <w:sz w:val="21"/>
                <w:szCs w:val="21"/>
                <w:lang w:val="en-CA"/>
              </w:rPr>
              <w:t>Description</w:t>
            </w:r>
          </w:p>
        </w:tc>
      </w:tr>
      <w:tr w:rsidR="005A5438" w:rsidRPr="00752D88" w14:paraId="27846128" w14:textId="77777777" w:rsidTr="006451A1">
        <w:tc>
          <w:tcPr>
            <w:tcW w:w="4248" w:type="dxa"/>
            <w:tcBorders>
              <w:top w:val="single" w:sz="4" w:space="0" w:color="auto"/>
              <w:left w:val="single" w:sz="4" w:space="0" w:color="auto"/>
              <w:bottom w:val="single" w:sz="4" w:space="0" w:color="auto"/>
              <w:right w:val="single" w:sz="4" w:space="0" w:color="auto"/>
            </w:tcBorders>
            <w:hideMark/>
          </w:tcPr>
          <w:p w14:paraId="4ACB00FD" w14:textId="77777777" w:rsidR="0009081A" w:rsidRPr="00752D88" w:rsidRDefault="005A5438" w:rsidP="0009081A">
            <w:pPr>
              <w:pStyle w:val="Heading1"/>
              <w:numPr>
                <w:ilvl w:val="0"/>
                <w:numId w:val="2"/>
              </w:numPr>
              <w:tabs>
                <w:tab w:val="left" w:pos="720"/>
              </w:tabs>
              <w:spacing w:after="0"/>
              <w:ind w:left="336"/>
              <w:jc w:val="left"/>
              <w:rPr>
                <w:sz w:val="21"/>
                <w:szCs w:val="21"/>
                <w:lang w:val="en-CA"/>
              </w:rPr>
            </w:pPr>
            <w:r w:rsidRPr="00752D88">
              <w:rPr>
                <w:sz w:val="21"/>
                <w:szCs w:val="21"/>
                <w:lang w:val="en-CA"/>
              </w:rPr>
              <w:t>Annex A - Group I</w:t>
            </w:r>
          </w:p>
          <w:p w14:paraId="671B279D" w14:textId="77777777" w:rsidR="0009081A" w:rsidRPr="00752D88" w:rsidRDefault="005A5438" w:rsidP="0009081A">
            <w:pPr>
              <w:pStyle w:val="Heading1"/>
              <w:numPr>
                <w:ilvl w:val="0"/>
                <w:numId w:val="0"/>
              </w:numPr>
              <w:tabs>
                <w:tab w:val="left" w:pos="720"/>
              </w:tabs>
              <w:spacing w:after="0"/>
              <w:ind w:left="336"/>
              <w:jc w:val="left"/>
              <w:rPr>
                <w:sz w:val="21"/>
                <w:szCs w:val="21"/>
                <w:lang w:val="en-CA"/>
              </w:rPr>
            </w:pPr>
            <w:r w:rsidRPr="00752D88">
              <w:rPr>
                <w:sz w:val="21"/>
                <w:szCs w:val="21"/>
                <w:lang w:val="en-CA"/>
              </w:rPr>
              <w:t>Annex B - Group II</w:t>
            </w:r>
          </w:p>
          <w:p w14:paraId="0E9BBAB6" w14:textId="77777777" w:rsidR="0009081A" w:rsidRPr="00752D88" w:rsidRDefault="005A5438" w:rsidP="0009081A">
            <w:pPr>
              <w:pStyle w:val="Heading1"/>
              <w:numPr>
                <w:ilvl w:val="0"/>
                <w:numId w:val="0"/>
              </w:numPr>
              <w:tabs>
                <w:tab w:val="left" w:pos="720"/>
              </w:tabs>
              <w:spacing w:after="0"/>
              <w:ind w:left="336"/>
              <w:jc w:val="left"/>
              <w:rPr>
                <w:sz w:val="21"/>
                <w:szCs w:val="21"/>
                <w:lang w:val="en-CA"/>
              </w:rPr>
            </w:pPr>
            <w:r w:rsidRPr="00752D88">
              <w:rPr>
                <w:sz w:val="21"/>
                <w:szCs w:val="21"/>
                <w:lang w:val="en-CA"/>
              </w:rPr>
              <w:t xml:space="preserve">Annex C - Group I </w:t>
            </w:r>
          </w:p>
          <w:p w14:paraId="07D78AA0" w14:textId="09787A39" w:rsidR="005A5438" w:rsidRPr="00752D88" w:rsidRDefault="005A5438" w:rsidP="00ED49F0">
            <w:pPr>
              <w:pStyle w:val="Heading1"/>
              <w:numPr>
                <w:ilvl w:val="0"/>
                <w:numId w:val="0"/>
              </w:numPr>
              <w:tabs>
                <w:tab w:val="left" w:pos="720"/>
              </w:tabs>
              <w:spacing w:after="0"/>
              <w:ind w:left="336"/>
              <w:jc w:val="left"/>
              <w:rPr>
                <w:sz w:val="21"/>
                <w:szCs w:val="21"/>
                <w:lang w:val="en-CA"/>
              </w:rPr>
            </w:pPr>
            <w:r w:rsidRPr="00752D88">
              <w:rPr>
                <w:sz w:val="21"/>
                <w:szCs w:val="21"/>
                <w:lang w:val="en-CA"/>
              </w:rPr>
              <w:t xml:space="preserve">Annex E </w:t>
            </w:r>
          </w:p>
        </w:tc>
        <w:tc>
          <w:tcPr>
            <w:tcW w:w="5245" w:type="dxa"/>
            <w:tcBorders>
              <w:top w:val="single" w:sz="4" w:space="0" w:color="auto"/>
              <w:left w:val="single" w:sz="4" w:space="0" w:color="auto"/>
              <w:bottom w:val="single" w:sz="4" w:space="0" w:color="auto"/>
              <w:right w:val="single" w:sz="4" w:space="0" w:color="auto"/>
            </w:tcBorders>
            <w:hideMark/>
          </w:tcPr>
          <w:p w14:paraId="72EDCAA7" w14:textId="252563C3" w:rsidR="005A5438" w:rsidRPr="00752D88" w:rsidRDefault="005A5438" w:rsidP="00223F4B">
            <w:pPr>
              <w:keepNext/>
              <w:spacing w:after="0" w:line="240" w:lineRule="auto"/>
              <w:rPr>
                <w:rFonts w:ascii="Times New Roman" w:hAnsi="Times New Roman" w:cs="Times New Roman"/>
                <w:sz w:val="21"/>
                <w:szCs w:val="21"/>
              </w:rPr>
            </w:pPr>
            <w:r w:rsidRPr="00752D88">
              <w:rPr>
                <w:rFonts w:ascii="Times New Roman" w:hAnsi="Times New Roman" w:cs="Times New Roman"/>
                <w:sz w:val="21"/>
                <w:szCs w:val="21"/>
              </w:rPr>
              <w:t xml:space="preserve">Data reporting for Annex </w:t>
            </w:r>
            <w:r w:rsidR="00223F4B" w:rsidRPr="00752D88">
              <w:rPr>
                <w:rFonts w:ascii="Times New Roman" w:hAnsi="Times New Roman" w:cs="Times New Roman"/>
                <w:sz w:val="21"/>
                <w:szCs w:val="21"/>
              </w:rPr>
              <w:t>A</w:t>
            </w:r>
            <w:r w:rsidRPr="00752D88">
              <w:rPr>
                <w:rFonts w:ascii="Times New Roman" w:hAnsi="Times New Roman" w:cs="Times New Roman"/>
                <w:sz w:val="21"/>
                <w:szCs w:val="21"/>
              </w:rPr>
              <w:t xml:space="preserve"> - Group I (CFC</w:t>
            </w:r>
            <w:r w:rsidR="004418E1" w:rsidRPr="00752D88">
              <w:rPr>
                <w:rFonts w:ascii="Times New Roman" w:hAnsi="Times New Roman" w:cs="Times New Roman"/>
                <w:sz w:val="21"/>
                <w:szCs w:val="21"/>
              </w:rPr>
              <w:t>s</w:t>
            </w:r>
            <w:r w:rsidRPr="00752D88">
              <w:rPr>
                <w:rFonts w:ascii="Times New Roman" w:hAnsi="Times New Roman" w:cs="Times New Roman"/>
                <w:sz w:val="21"/>
                <w:szCs w:val="21"/>
              </w:rPr>
              <w:t>), Annex B - Group II (CTC), Annex C - Group I (HCFC</w:t>
            </w:r>
            <w:r w:rsidR="004418E1" w:rsidRPr="00752D88">
              <w:rPr>
                <w:rFonts w:ascii="Times New Roman" w:hAnsi="Times New Roman" w:cs="Times New Roman"/>
                <w:sz w:val="21"/>
                <w:szCs w:val="21"/>
              </w:rPr>
              <w:t>s</w:t>
            </w:r>
            <w:r w:rsidRPr="00752D88">
              <w:rPr>
                <w:rFonts w:ascii="Times New Roman" w:hAnsi="Times New Roman" w:cs="Times New Roman"/>
                <w:sz w:val="21"/>
                <w:szCs w:val="21"/>
              </w:rPr>
              <w:t>) and Annex E (MB) controlled substances</w:t>
            </w:r>
          </w:p>
        </w:tc>
      </w:tr>
      <w:tr w:rsidR="005A5438" w:rsidRPr="00752D88" w14:paraId="79C83B2D" w14:textId="77777777" w:rsidTr="006451A1">
        <w:tc>
          <w:tcPr>
            <w:tcW w:w="4248" w:type="dxa"/>
            <w:tcBorders>
              <w:top w:val="single" w:sz="4" w:space="0" w:color="auto"/>
              <w:left w:val="single" w:sz="4" w:space="0" w:color="auto"/>
              <w:bottom w:val="single" w:sz="4" w:space="0" w:color="auto"/>
              <w:right w:val="single" w:sz="4" w:space="0" w:color="auto"/>
            </w:tcBorders>
          </w:tcPr>
          <w:p w14:paraId="1C8FF202" w14:textId="25DA20B7" w:rsidR="005A5438" w:rsidRPr="00752D88" w:rsidRDefault="005A5438" w:rsidP="006451A1">
            <w:pPr>
              <w:pStyle w:val="Heading1"/>
              <w:numPr>
                <w:ilvl w:val="0"/>
                <w:numId w:val="2"/>
              </w:numPr>
              <w:tabs>
                <w:tab w:val="left" w:pos="720"/>
              </w:tabs>
              <w:spacing w:after="0"/>
              <w:ind w:left="336"/>
              <w:jc w:val="left"/>
              <w:rPr>
                <w:sz w:val="21"/>
                <w:szCs w:val="21"/>
                <w:lang w:val="en-CA"/>
              </w:rPr>
            </w:pPr>
            <w:r w:rsidRPr="00752D88">
              <w:rPr>
                <w:sz w:val="21"/>
                <w:szCs w:val="21"/>
                <w:lang w:val="en-CA"/>
              </w:rPr>
              <w:t>Annex F</w:t>
            </w:r>
            <w:r w:rsidR="00ED49F0" w:rsidRPr="00752D88">
              <w:rPr>
                <w:sz w:val="21"/>
                <w:szCs w:val="21"/>
                <w:lang w:val="en-CA"/>
              </w:rPr>
              <w:t xml:space="preserve"> - Consumption</w:t>
            </w:r>
          </w:p>
          <w:p w14:paraId="5943EC39" w14:textId="77777777" w:rsidR="005A5438" w:rsidRPr="00752D88" w:rsidRDefault="005A5438" w:rsidP="006451A1">
            <w:pPr>
              <w:pStyle w:val="Heading1"/>
              <w:numPr>
                <w:ilvl w:val="0"/>
                <w:numId w:val="0"/>
              </w:numPr>
              <w:tabs>
                <w:tab w:val="left" w:pos="720"/>
              </w:tabs>
              <w:spacing w:after="0"/>
              <w:jc w:val="left"/>
              <w:rPr>
                <w:sz w:val="21"/>
                <w:szCs w:val="21"/>
                <w:lang w:val="en-CA"/>
              </w:rPr>
            </w:pPr>
          </w:p>
          <w:p w14:paraId="1DCA3B13" w14:textId="77777777" w:rsidR="005A5438" w:rsidRPr="00752D88" w:rsidRDefault="005A5438" w:rsidP="006451A1">
            <w:pPr>
              <w:pStyle w:val="Heading1"/>
              <w:numPr>
                <w:ilvl w:val="0"/>
                <w:numId w:val="0"/>
              </w:numPr>
              <w:tabs>
                <w:tab w:val="left" w:pos="720"/>
              </w:tabs>
              <w:spacing w:after="0"/>
              <w:jc w:val="left"/>
              <w:rPr>
                <w:sz w:val="21"/>
                <w:szCs w:val="21"/>
                <w:lang w:val="en-CA"/>
              </w:rPr>
            </w:pPr>
          </w:p>
          <w:p w14:paraId="7248FEBF" w14:textId="77777777" w:rsidR="005A5438" w:rsidRPr="00752D88" w:rsidRDefault="005A5438" w:rsidP="006451A1">
            <w:pPr>
              <w:pStyle w:val="Heading1"/>
              <w:numPr>
                <w:ilvl w:val="0"/>
                <w:numId w:val="0"/>
              </w:numPr>
              <w:tabs>
                <w:tab w:val="left" w:pos="720"/>
              </w:tabs>
              <w:spacing w:after="0"/>
              <w:jc w:val="left"/>
              <w:rPr>
                <w:sz w:val="21"/>
                <w:szCs w:val="21"/>
                <w:lang w:val="en-CA"/>
              </w:rPr>
            </w:pPr>
          </w:p>
          <w:p w14:paraId="7561E416" w14:textId="77777777" w:rsidR="005A5438" w:rsidRPr="00752D88" w:rsidRDefault="005A5438" w:rsidP="006451A1">
            <w:pPr>
              <w:pStyle w:val="Heading1"/>
              <w:numPr>
                <w:ilvl w:val="0"/>
                <w:numId w:val="0"/>
              </w:numPr>
              <w:tabs>
                <w:tab w:val="left" w:pos="720"/>
              </w:tabs>
              <w:spacing w:after="0"/>
              <w:jc w:val="left"/>
              <w:rPr>
                <w:sz w:val="21"/>
                <w:szCs w:val="21"/>
                <w:lang w:val="en-CA"/>
              </w:rPr>
            </w:pPr>
          </w:p>
          <w:p w14:paraId="675DE590" w14:textId="2800E5BB" w:rsidR="005A5438" w:rsidRPr="00752D88" w:rsidRDefault="005A5438" w:rsidP="00ED49F0">
            <w:pPr>
              <w:pStyle w:val="Heading1"/>
              <w:numPr>
                <w:ilvl w:val="0"/>
                <w:numId w:val="0"/>
              </w:numPr>
              <w:tabs>
                <w:tab w:val="left" w:pos="720"/>
              </w:tabs>
              <w:spacing w:after="0"/>
              <w:ind w:left="318" w:hanging="318"/>
              <w:jc w:val="left"/>
              <w:rPr>
                <w:sz w:val="21"/>
                <w:szCs w:val="21"/>
                <w:lang w:val="en-CA"/>
              </w:rPr>
            </w:pPr>
            <w:r w:rsidRPr="00752D88">
              <w:rPr>
                <w:sz w:val="21"/>
                <w:szCs w:val="21"/>
                <w:lang w:val="en-CA"/>
              </w:rPr>
              <w:t xml:space="preserve">B1. Annex F – </w:t>
            </w:r>
            <w:r w:rsidR="00ED49F0" w:rsidRPr="00752D88">
              <w:rPr>
                <w:sz w:val="21"/>
                <w:szCs w:val="21"/>
                <w:lang w:val="en-CA"/>
              </w:rPr>
              <w:t>P</w:t>
            </w:r>
            <w:r w:rsidRPr="00752D88">
              <w:rPr>
                <w:sz w:val="21"/>
                <w:szCs w:val="21"/>
                <w:lang w:val="en-CA"/>
              </w:rPr>
              <w:t xml:space="preserve">roduction </w:t>
            </w:r>
          </w:p>
        </w:tc>
        <w:tc>
          <w:tcPr>
            <w:tcW w:w="5245" w:type="dxa"/>
            <w:tcBorders>
              <w:top w:val="single" w:sz="4" w:space="0" w:color="auto"/>
              <w:left w:val="single" w:sz="4" w:space="0" w:color="auto"/>
              <w:bottom w:val="single" w:sz="4" w:space="0" w:color="auto"/>
              <w:right w:val="single" w:sz="4" w:space="0" w:color="auto"/>
            </w:tcBorders>
          </w:tcPr>
          <w:p w14:paraId="2B752432" w14:textId="270A7DAA" w:rsidR="0001403F" w:rsidRPr="00752D88" w:rsidRDefault="005A5438" w:rsidP="006451A1">
            <w:pPr>
              <w:pStyle w:val="Heading1"/>
              <w:numPr>
                <w:ilvl w:val="0"/>
                <w:numId w:val="0"/>
              </w:numPr>
              <w:tabs>
                <w:tab w:val="left" w:pos="720"/>
              </w:tabs>
              <w:spacing w:after="0"/>
              <w:jc w:val="left"/>
              <w:rPr>
                <w:sz w:val="21"/>
                <w:szCs w:val="21"/>
                <w:lang w:val="en-CA"/>
              </w:rPr>
            </w:pPr>
            <w:r w:rsidRPr="00752D88">
              <w:rPr>
                <w:sz w:val="21"/>
                <w:szCs w:val="21"/>
                <w:lang w:val="en-CA"/>
              </w:rPr>
              <w:t>Data reporting for HFC</w:t>
            </w:r>
            <w:r w:rsidR="004418E1" w:rsidRPr="00752D88">
              <w:rPr>
                <w:sz w:val="21"/>
                <w:szCs w:val="21"/>
                <w:lang w:val="en-CA"/>
              </w:rPr>
              <w:t>s</w:t>
            </w:r>
            <w:r w:rsidRPr="00752D88">
              <w:rPr>
                <w:sz w:val="21"/>
                <w:szCs w:val="21"/>
                <w:lang w:val="en-CA"/>
              </w:rPr>
              <w:t xml:space="preserve"> </w:t>
            </w:r>
            <w:r w:rsidR="0001403F" w:rsidRPr="00752D88">
              <w:rPr>
                <w:sz w:val="21"/>
                <w:szCs w:val="21"/>
                <w:lang w:val="en-CA"/>
              </w:rPr>
              <w:t>(</w:t>
            </w:r>
            <w:r w:rsidRPr="00752D88">
              <w:rPr>
                <w:sz w:val="21"/>
                <w:szCs w:val="21"/>
                <w:lang w:val="en-CA"/>
              </w:rPr>
              <w:t>including HFC-23 use) and HFC</w:t>
            </w:r>
            <w:r w:rsidR="004418E1" w:rsidRPr="00752D88">
              <w:rPr>
                <w:sz w:val="21"/>
                <w:szCs w:val="21"/>
                <w:lang w:val="en-CA"/>
              </w:rPr>
              <w:t>s</w:t>
            </w:r>
            <w:r w:rsidR="0001403F" w:rsidRPr="00752D88">
              <w:rPr>
                <w:sz w:val="21"/>
                <w:szCs w:val="21"/>
                <w:lang w:val="en-CA"/>
              </w:rPr>
              <w:t xml:space="preserve"> contained </w:t>
            </w:r>
            <w:r w:rsidRPr="00752D88">
              <w:rPr>
                <w:sz w:val="21"/>
                <w:szCs w:val="21"/>
                <w:lang w:val="en-CA"/>
              </w:rPr>
              <w:t>in imported pre</w:t>
            </w:r>
            <w:r w:rsidRPr="00752D88">
              <w:rPr>
                <w:sz w:val="21"/>
                <w:szCs w:val="21"/>
                <w:lang w:val="en-CA"/>
              </w:rPr>
              <w:noBreakHyphen/>
              <w:t>blended polyol</w:t>
            </w:r>
            <w:r w:rsidR="004418E1" w:rsidRPr="00752D88">
              <w:rPr>
                <w:sz w:val="21"/>
                <w:szCs w:val="21"/>
                <w:lang w:val="en-CA"/>
              </w:rPr>
              <w:t>s</w:t>
            </w:r>
            <w:r w:rsidRPr="00752D88">
              <w:rPr>
                <w:sz w:val="21"/>
                <w:szCs w:val="21"/>
                <w:lang w:val="en-CA"/>
              </w:rPr>
              <w:t xml:space="preserve"> </w:t>
            </w:r>
          </w:p>
          <w:p w14:paraId="183CB542" w14:textId="1D5F686A" w:rsidR="005A5438" w:rsidRPr="00752D88" w:rsidRDefault="004418E1" w:rsidP="006451A1">
            <w:pPr>
              <w:pStyle w:val="Heading1"/>
              <w:numPr>
                <w:ilvl w:val="0"/>
                <w:numId w:val="0"/>
              </w:numPr>
              <w:tabs>
                <w:tab w:val="left" w:pos="720"/>
              </w:tabs>
              <w:spacing w:after="0"/>
              <w:jc w:val="left"/>
              <w:rPr>
                <w:sz w:val="21"/>
                <w:szCs w:val="21"/>
                <w:lang w:val="en-CA"/>
              </w:rPr>
            </w:pPr>
            <w:r w:rsidRPr="00752D88">
              <w:rPr>
                <w:sz w:val="21"/>
                <w:szCs w:val="21"/>
                <w:lang w:val="en-CA"/>
              </w:rPr>
              <w:t>(</w:t>
            </w:r>
            <w:r w:rsidR="005A5438" w:rsidRPr="00752D88">
              <w:rPr>
                <w:sz w:val="21"/>
                <w:szCs w:val="21"/>
                <w:lang w:val="en-CA"/>
              </w:rPr>
              <w:t xml:space="preserve">The total quantity of </w:t>
            </w:r>
            <w:r w:rsidR="0001403F" w:rsidRPr="00752D88">
              <w:rPr>
                <w:sz w:val="21"/>
                <w:szCs w:val="21"/>
                <w:lang w:val="en-CA"/>
              </w:rPr>
              <w:t>HFC-</w:t>
            </w:r>
            <w:r w:rsidR="005A5438" w:rsidRPr="00752D88">
              <w:rPr>
                <w:sz w:val="21"/>
                <w:szCs w:val="21"/>
                <w:lang w:val="en-CA"/>
              </w:rPr>
              <w:t>blend</w:t>
            </w:r>
            <w:r w:rsidR="0001403F" w:rsidRPr="00752D88">
              <w:rPr>
                <w:sz w:val="21"/>
                <w:szCs w:val="21"/>
                <w:lang w:val="en-CA"/>
              </w:rPr>
              <w:t xml:space="preserve">s </w:t>
            </w:r>
            <w:r w:rsidR="005A5438" w:rsidRPr="00752D88">
              <w:rPr>
                <w:sz w:val="21"/>
                <w:szCs w:val="21"/>
                <w:lang w:val="en-CA"/>
              </w:rPr>
              <w:t xml:space="preserve">should be reported and not the quantities of each of their individual </w:t>
            </w:r>
            <w:r w:rsidR="00ED49F0" w:rsidRPr="00752D88">
              <w:rPr>
                <w:sz w:val="21"/>
                <w:szCs w:val="21"/>
                <w:lang w:val="en-CA"/>
              </w:rPr>
              <w:t>HFCs</w:t>
            </w:r>
            <w:r w:rsidRPr="00752D88">
              <w:rPr>
                <w:sz w:val="21"/>
                <w:szCs w:val="21"/>
                <w:lang w:val="en-CA"/>
              </w:rPr>
              <w:t>)</w:t>
            </w:r>
            <w:r w:rsidR="00ED49F0" w:rsidRPr="00752D88">
              <w:rPr>
                <w:sz w:val="21"/>
                <w:szCs w:val="21"/>
                <w:lang w:val="en-CA"/>
              </w:rPr>
              <w:t xml:space="preserve"> </w:t>
            </w:r>
          </w:p>
          <w:p w14:paraId="6C0266B0" w14:textId="4A768DA1" w:rsidR="005A5438" w:rsidRPr="00752D88" w:rsidRDefault="005A5438" w:rsidP="006451A1">
            <w:pPr>
              <w:spacing w:after="0" w:line="240" w:lineRule="auto"/>
              <w:rPr>
                <w:rFonts w:ascii="Times New Roman" w:hAnsi="Times New Roman" w:cs="Times New Roman"/>
                <w:sz w:val="21"/>
                <w:szCs w:val="21"/>
              </w:rPr>
            </w:pPr>
          </w:p>
          <w:p w14:paraId="332A533E" w14:textId="34F93FEA" w:rsidR="005A5438" w:rsidRPr="00752D88" w:rsidRDefault="005A5438" w:rsidP="00ED49F0">
            <w:pPr>
              <w:spacing w:after="0" w:line="240" w:lineRule="auto"/>
              <w:rPr>
                <w:rFonts w:ascii="Times New Roman" w:hAnsi="Times New Roman" w:cs="Times New Roman"/>
                <w:sz w:val="21"/>
                <w:szCs w:val="21"/>
              </w:rPr>
            </w:pPr>
            <w:r w:rsidRPr="00752D88">
              <w:rPr>
                <w:rFonts w:ascii="Times New Roman" w:hAnsi="Times New Roman" w:cs="Times New Roman"/>
                <w:sz w:val="21"/>
                <w:szCs w:val="21"/>
              </w:rPr>
              <w:t>Data reporting for HFC production</w:t>
            </w:r>
          </w:p>
        </w:tc>
      </w:tr>
      <w:tr w:rsidR="005A5438" w:rsidRPr="00752D88" w14:paraId="6340705C" w14:textId="77777777" w:rsidTr="006451A1">
        <w:tc>
          <w:tcPr>
            <w:tcW w:w="4248" w:type="dxa"/>
            <w:tcBorders>
              <w:top w:val="single" w:sz="4" w:space="0" w:color="auto"/>
              <w:left w:val="single" w:sz="4" w:space="0" w:color="auto"/>
              <w:bottom w:val="single" w:sz="4" w:space="0" w:color="auto"/>
              <w:right w:val="single" w:sz="4" w:space="0" w:color="auto"/>
            </w:tcBorders>
            <w:hideMark/>
          </w:tcPr>
          <w:p w14:paraId="11931C65" w14:textId="388CFCD5" w:rsidR="005A5438" w:rsidRPr="00752D88" w:rsidRDefault="005A5438" w:rsidP="00533F24">
            <w:pPr>
              <w:pStyle w:val="Heading1"/>
              <w:numPr>
                <w:ilvl w:val="0"/>
                <w:numId w:val="2"/>
              </w:numPr>
              <w:tabs>
                <w:tab w:val="left" w:pos="720"/>
              </w:tabs>
              <w:spacing w:after="0"/>
              <w:ind w:left="336"/>
              <w:jc w:val="left"/>
              <w:rPr>
                <w:sz w:val="21"/>
                <w:szCs w:val="21"/>
                <w:lang w:val="en-CA"/>
              </w:rPr>
            </w:pPr>
            <w:r w:rsidRPr="00752D88">
              <w:rPr>
                <w:sz w:val="21"/>
                <w:szCs w:val="21"/>
                <w:lang w:val="en-CA"/>
              </w:rPr>
              <w:lastRenderedPageBreak/>
              <w:t>Price of HCFC</w:t>
            </w:r>
            <w:r w:rsidR="00157CD9" w:rsidRPr="00752D88">
              <w:rPr>
                <w:sz w:val="21"/>
                <w:szCs w:val="21"/>
                <w:lang w:val="en-CA"/>
              </w:rPr>
              <w:t>s</w:t>
            </w:r>
            <w:r w:rsidRPr="00752D88">
              <w:rPr>
                <w:sz w:val="21"/>
                <w:szCs w:val="21"/>
                <w:lang w:val="en-CA"/>
              </w:rPr>
              <w:t>,</w:t>
            </w:r>
            <w:r w:rsidR="00157CD9" w:rsidRPr="00752D88">
              <w:rPr>
                <w:sz w:val="21"/>
                <w:szCs w:val="21"/>
                <w:lang w:val="en-CA"/>
              </w:rPr>
              <w:t xml:space="preserve"> HFCs,</w:t>
            </w:r>
            <w:r w:rsidRPr="00752D88">
              <w:rPr>
                <w:sz w:val="21"/>
                <w:szCs w:val="21"/>
                <w:lang w:val="en-CA"/>
              </w:rPr>
              <w:t xml:space="preserve"> alternatives and energy</w:t>
            </w:r>
            <w:r w:rsidR="00E0127E" w:rsidRPr="00752D88">
              <w:rPr>
                <w:sz w:val="21"/>
                <w:szCs w:val="21"/>
                <w:lang w:val="en-CA"/>
              </w:rPr>
              <w:t xml:space="preserve"> </w:t>
            </w:r>
          </w:p>
        </w:tc>
        <w:tc>
          <w:tcPr>
            <w:tcW w:w="5245" w:type="dxa"/>
            <w:tcBorders>
              <w:top w:val="single" w:sz="4" w:space="0" w:color="auto"/>
              <w:left w:val="single" w:sz="4" w:space="0" w:color="auto"/>
              <w:bottom w:val="single" w:sz="4" w:space="0" w:color="auto"/>
              <w:right w:val="single" w:sz="4" w:space="0" w:color="auto"/>
            </w:tcBorders>
            <w:hideMark/>
          </w:tcPr>
          <w:p w14:paraId="0917DB4A" w14:textId="77777777" w:rsidR="00ED49F0" w:rsidRPr="00752D88" w:rsidRDefault="005A5438" w:rsidP="00ED49F0">
            <w:pPr>
              <w:keepNext/>
              <w:keepLines/>
              <w:spacing w:after="0" w:line="240" w:lineRule="auto"/>
              <w:rPr>
                <w:rFonts w:ascii="Times New Roman" w:hAnsi="Times New Roman" w:cs="Times New Roman"/>
                <w:sz w:val="21"/>
                <w:szCs w:val="21"/>
              </w:rPr>
            </w:pPr>
            <w:r w:rsidRPr="00752D88">
              <w:rPr>
                <w:rFonts w:ascii="Times New Roman" w:hAnsi="Times New Roman" w:cs="Times New Roman"/>
                <w:sz w:val="21"/>
                <w:szCs w:val="21"/>
              </w:rPr>
              <w:t xml:space="preserve">Average estimated </w:t>
            </w:r>
            <w:r w:rsidR="00ED49F0" w:rsidRPr="00752D88">
              <w:rPr>
                <w:rFonts w:ascii="Times New Roman" w:hAnsi="Times New Roman" w:cs="Times New Roman"/>
                <w:sz w:val="21"/>
                <w:szCs w:val="21"/>
              </w:rPr>
              <w:t>f</w:t>
            </w:r>
            <w:r w:rsidRPr="00752D88">
              <w:rPr>
                <w:rFonts w:ascii="Times New Roman" w:hAnsi="Times New Roman" w:cs="Times New Roman"/>
                <w:sz w:val="21"/>
                <w:szCs w:val="21"/>
              </w:rPr>
              <w:t xml:space="preserve">reight on board (FOB) price of </w:t>
            </w:r>
            <w:r w:rsidR="00ED49F0" w:rsidRPr="00752D88">
              <w:rPr>
                <w:rFonts w:ascii="Times New Roman" w:hAnsi="Times New Roman" w:cs="Times New Roman"/>
                <w:sz w:val="21"/>
                <w:szCs w:val="21"/>
              </w:rPr>
              <w:t xml:space="preserve">controlled </w:t>
            </w:r>
            <w:r w:rsidRPr="00752D88">
              <w:rPr>
                <w:rFonts w:ascii="Times New Roman" w:hAnsi="Times New Roman" w:cs="Times New Roman"/>
                <w:sz w:val="21"/>
                <w:szCs w:val="21"/>
              </w:rPr>
              <w:t>substances</w:t>
            </w:r>
            <w:r w:rsidR="00ED49F0" w:rsidRPr="00752D88">
              <w:rPr>
                <w:rFonts w:ascii="Times New Roman" w:hAnsi="Times New Roman" w:cs="Times New Roman"/>
                <w:sz w:val="21"/>
                <w:szCs w:val="21"/>
              </w:rPr>
              <w:t xml:space="preserve">. </w:t>
            </w:r>
          </w:p>
          <w:p w14:paraId="1D499E79" w14:textId="69DA627E" w:rsidR="00E0127E" w:rsidRPr="00752D88" w:rsidRDefault="00ED49F0" w:rsidP="00E0127E">
            <w:pPr>
              <w:keepNext/>
              <w:keepLines/>
              <w:spacing w:after="0" w:line="240" w:lineRule="auto"/>
              <w:rPr>
                <w:rFonts w:ascii="Times New Roman" w:hAnsi="Times New Roman" w:cs="Times New Roman"/>
                <w:sz w:val="21"/>
                <w:szCs w:val="21"/>
              </w:rPr>
            </w:pPr>
            <w:r w:rsidRPr="00752D88">
              <w:rPr>
                <w:rFonts w:ascii="Times New Roman" w:hAnsi="Times New Roman" w:cs="Times New Roman"/>
                <w:sz w:val="21"/>
                <w:szCs w:val="21"/>
              </w:rPr>
              <w:t xml:space="preserve">Prices could be </w:t>
            </w:r>
            <w:r w:rsidR="005A5438" w:rsidRPr="00752D88">
              <w:rPr>
                <w:rFonts w:ascii="Times New Roman" w:hAnsi="Times New Roman" w:cs="Times New Roman"/>
                <w:sz w:val="21"/>
                <w:szCs w:val="21"/>
              </w:rPr>
              <w:t>obtained from importers</w:t>
            </w:r>
            <w:r w:rsidRPr="00752D88">
              <w:rPr>
                <w:rFonts w:ascii="Times New Roman" w:hAnsi="Times New Roman" w:cs="Times New Roman"/>
                <w:sz w:val="21"/>
                <w:szCs w:val="21"/>
              </w:rPr>
              <w:t xml:space="preserve"> and/or </w:t>
            </w:r>
            <w:r w:rsidR="005A5438" w:rsidRPr="00752D88">
              <w:rPr>
                <w:rFonts w:ascii="Times New Roman" w:hAnsi="Times New Roman" w:cs="Times New Roman"/>
                <w:sz w:val="21"/>
                <w:szCs w:val="21"/>
              </w:rPr>
              <w:t>supplier</w:t>
            </w:r>
            <w:r w:rsidRPr="00752D88">
              <w:rPr>
                <w:rFonts w:ascii="Times New Roman" w:hAnsi="Times New Roman" w:cs="Times New Roman"/>
                <w:sz w:val="21"/>
                <w:szCs w:val="21"/>
              </w:rPr>
              <w:t>s</w:t>
            </w:r>
            <w:r w:rsidR="00565BAF" w:rsidRPr="00752D88">
              <w:rPr>
                <w:rFonts w:ascii="Times New Roman" w:hAnsi="Times New Roman" w:cs="Times New Roman"/>
                <w:sz w:val="21"/>
                <w:szCs w:val="21"/>
              </w:rPr>
              <w:t>.</w:t>
            </w:r>
            <w:r w:rsidR="005A5438" w:rsidRPr="00752D88">
              <w:rPr>
                <w:rFonts w:ascii="Times New Roman" w:hAnsi="Times New Roman" w:cs="Times New Roman"/>
                <w:sz w:val="21"/>
                <w:szCs w:val="21"/>
              </w:rPr>
              <w:t xml:space="preserve"> </w:t>
            </w:r>
          </w:p>
          <w:p w14:paraId="53B509A9" w14:textId="62ED57E7" w:rsidR="005A5438" w:rsidRPr="00752D88" w:rsidRDefault="00E0127E" w:rsidP="00E0127E">
            <w:pPr>
              <w:keepNext/>
              <w:keepLines/>
              <w:spacing w:after="0" w:line="240" w:lineRule="auto"/>
              <w:rPr>
                <w:rFonts w:ascii="Times New Roman" w:hAnsi="Times New Roman" w:cs="Times New Roman"/>
                <w:sz w:val="21"/>
                <w:szCs w:val="21"/>
              </w:rPr>
            </w:pPr>
            <w:r w:rsidRPr="00752D88">
              <w:rPr>
                <w:rFonts w:ascii="Times New Roman" w:hAnsi="Times New Roman" w:cs="Times New Roman"/>
                <w:sz w:val="21"/>
                <w:szCs w:val="21"/>
              </w:rPr>
              <w:t>R</w:t>
            </w:r>
            <w:r w:rsidR="005A5438" w:rsidRPr="00752D88">
              <w:rPr>
                <w:rFonts w:ascii="Times New Roman" w:hAnsi="Times New Roman" w:cs="Times New Roman"/>
                <w:sz w:val="21"/>
                <w:szCs w:val="21"/>
              </w:rPr>
              <w:t>etailer price data can include taxes and transportation costs</w:t>
            </w:r>
            <w:r w:rsidR="00565BAF" w:rsidRPr="00752D88">
              <w:rPr>
                <w:rFonts w:ascii="Times New Roman" w:hAnsi="Times New Roman" w:cs="Times New Roman"/>
                <w:sz w:val="21"/>
                <w:szCs w:val="21"/>
              </w:rPr>
              <w:t>.</w:t>
            </w:r>
            <w:r w:rsidR="005A5438" w:rsidRPr="00752D88">
              <w:rPr>
                <w:rFonts w:ascii="Times New Roman" w:hAnsi="Times New Roman" w:cs="Times New Roman"/>
                <w:sz w:val="21"/>
                <w:szCs w:val="21"/>
              </w:rPr>
              <w:t xml:space="preserve"> </w:t>
            </w:r>
          </w:p>
        </w:tc>
      </w:tr>
      <w:tr w:rsidR="005A5438" w:rsidRPr="00752D88" w14:paraId="44AE81B4" w14:textId="77777777" w:rsidTr="006451A1">
        <w:tc>
          <w:tcPr>
            <w:tcW w:w="4248" w:type="dxa"/>
            <w:tcBorders>
              <w:top w:val="single" w:sz="4" w:space="0" w:color="auto"/>
              <w:left w:val="single" w:sz="4" w:space="0" w:color="auto"/>
              <w:bottom w:val="single" w:sz="4" w:space="0" w:color="auto"/>
              <w:right w:val="single" w:sz="4" w:space="0" w:color="auto"/>
            </w:tcBorders>
            <w:hideMark/>
          </w:tcPr>
          <w:p w14:paraId="3A235CB4" w14:textId="38F1BDD7" w:rsidR="005A5438" w:rsidRPr="00752D88" w:rsidRDefault="005A5438" w:rsidP="00E0127E">
            <w:pPr>
              <w:pStyle w:val="Heading1"/>
              <w:numPr>
                <w:ilvl w:val="0"/>
                <w:numId w:val="2"/>
              </w:numPr>
              <w:tabs>
                <w:tab w:val="left" w:pos="720"/>
              </w:tabs>
              <w:spacing w:after="0"/>
              <w:ind w:left="336"/>
              <w:jc w:val="left"/>
              <w:rPr>
                <w:sz w:val="21"/>
                <w:szCs w:val="21"/>
                <w:lang w:val="en-CA"/>
              </w:rPr>
            </w:pPr>
            <w:r w:rsidRPr="00752D88">
              <w:rPr>
                <w:sz w:val="21"/>
                <w:szCs w:val="21"/>
                <w:lang w:val="en-CA"/>
              </w:rPr>
              <w:t xml:space="preserve">Annex F, Group II </w:t>
            </w:r>
            <w:r w:rsidR="00E0127E" w:rsidRPr="00752D88">
              <w:rPr>
                <w:sz w:val="21"/>
                <w:szCs w:val="21"/>
                <w:lang w:val="en-CA"/>
              </w:rPr>
              <w:t>(HFC-23 generation)</w:t>
            </w:r>
          </w:p>
        </w:tc>
        <w:tc>
          <w:tcPr>
            <w:tcW w:w="5245" w:type="dxa"/>
            <w:tcBorders>
              <w:top w:val="single" w:sz="4" w:space="0" w:color="auto"/>
              <w:left w:val="single" w:sz="4" w:space="0" w:color="auto"/>
              <w:bottom w:val="single" w:sz="4" w:space="0" w:color="auto"/>
              <w:right w:val="single" w:sz="4" w:space="0" w:color="auto"/>
            </w:tcBorders>
            <w:hideMark/>
          </w:tcPr>
          <w:p w14:paraId="6D7F4494" w14:textId="6C76CD00" w:rsidR="00E0127E" w:rsidRPr="00752D88" w:rsidRDefault="005A5438" w:rsidP="006451A1">
            <w:pPr>
              <w:pStyle w:val="Heading1"/>
              <w:numPr>
                <w:ilvl w:val="0"/>
                <w:numId w:val="0"/>
              </w:numPr>
              <w:tabs>
                <w:tab w:val="left" w:pos="720"/>
              </w:tabs>
              <w:spacing w:after="0"/>
              <w:jc w:val="left"/>
              <w:rPr>
                <w:sz w:val="21"/>
                <w:szCs w:val="21"/>
                <w:lang w:val="en-CA"/>
              </w:rPr>
            </w:pPr>
            <w:r w:rsidRPr="00752D88">
              <w:rPr>
                <w:sz w:val="21"/>
                <w:szCs w:val="21"/>
                <w:lang w:val="en-CA"/>
              </w:rPr>
              <w:t>Quantification of HFC-23 by-product generation</w:t>
            </w:r>
            <w:r w:rsidR="00E0127E" w:rsidRPr="00752D88">
              <w:rPr>
                <w:sz w:val="21"/>
                <w:szCs w:val="21"/>
                <w:lang w:val="en-CA"/>
              </w:rPr>
              <w:t xml:space="preserve">, only related to </w:t>
            </w:r>
            <w:r w:rsidR="00E0127E" w:rsidRPr="00752D88">
              <w:rPr>
                <w:spacing w:val="-2"/>
                <w:sz w:val="21"/>
                <w:szCs w:val="21"/>
                <w:lang w:val="en-CA"/>
              </w:rPr>
              <w:t>countries with manufacturing facilities for Annex C Group I or Annex F substances that generate HFC</w:t>
            </w:r>
            <w:r w:rsidR="00E0127E" w:rsidRPr="00752D88">
              <w:rPr>
                <w:spacing w:val="-2"/>
                <w:sz w:val="21"/>
                <w:szCs w:val="21"/>
                <w:lang w:val="en-CA"/>
              </w:rPr>
              <w:noBreakHyphen/>
              <w:t>23</w:t>
            </w:r>
            <w:r w:rsidR="00B405A1" w:rsidRPr="00752D88">
              <w:rPr>
                <w:spacing w:val="-2"/>
                <w:sz w:val="21"/>
                <w:szCs w:val="21"/>
                <w:lang w:val="en-CA"/>
              </w:rPr>
              <w:t>.</w:t>
            </w:r>
            <w:r w:rsidRPr="00752D88">
              <w:rPr>
                <w:sz w:val="21"/>
                <w:szCs w:val="21"/>
                <w:lang w:val="en-CA"/>
              </w:rPr>
              <w:t xml:space="preserve"> </w:t>
            </w:r>
          </w:p>
          <w:p w14:paraId="79A832B7" w14:textId="2215B99B" w:rsidR="005A5438" w:rsidRPr="00752D88" w:rsidRDefault="005A5438" w:rsidP="006451A1">
            <w:pPr>
              <w:pStyle w:val="Heading1"/>
              <w:numPr>
                <w:ilvl w:val="0"/>
                <w:numId w:val="0"/>
              </w:numPr>
              <w:tabs>
                <w:tab w:val="left" w:pos="720"/>
              </w:tabs>
              <w:spacing w:after="0"/>
              <w:jc w:val="left"/>
              <w:rPr>
                <w:sz w:val="21"/>
                <w:szCs w:val="21"/>
                <w:lang w:val="en-CA"/>
              </w:rPr>
            </w:pPr>
            <w:r w:rsidRPr="00752D88">
              <w:rPr>
                <w:spacing w:val="-2"/>
                <w:sz w:val="21"/>
                <w:szCs w:val="21"/>
                <w:lang w:val="en-CA"/>
              </w:rPr>
              <w:t>The amounts of production or generated HFC-23 that is captured for use, fe</w:t>
            </w:r>
            <w:r w:rsidR="00B405A1" w:rsidRPr="00752D88">
              <w:rPr>
                <w:spacing w:val="-2"/>
                <w:sz w:val="21"/>
                <w:szCs w:val="21"/>
                <w:lang w:val="en-CA"/>
              </w:rPr>
              <w:t>edstock, destruction or storage.</w:t>
            </w:r>
          </w:p>
        </w:tc>
      </w:tr>
      <w:tr w:rsidR="005A5438" w:rsidRPr="00752D88" w14:paraId="4C5A9649" w14:textId="77777777" w:rsidTr="006451A1">
        <w:tc>
          <w:tcPr>
            <w:tcW w:w="4248" w:type="dxa"/>
            <w:tcBorders>
              <w:top w:val="single" w:sz="4" w:space="0" w:color="auto"/>
              <w:left w:val="single" w:sz="4" w:space="0" w:color="auto"/>
              <w:bottom w:val="single" w:sz="4" w:space="0" w:color="auto"/>
              <w:right w:val="single" w:sz="4" w:space="0" w:color="auto"/>
            </w:tcBorders>
            <w:hideMark/>
          </w:tcPr>
          <w:p w14:paraId="75B2AD87" w14:textId="481CBA97" w:rsidR="005A5438" w:rsidRPr="00752D88" w:rsidRDefault="005A5438" w:rsidP="00E0127E">
            <w:pPr>
              <w:pStyle w:val="Heading1"/>
              <w:numPr>
                <w:ilvl w:val="0"/>
                <w:numId w:val="2"/>
              </w:numPr>
              <w:tabs>
                <w:tab w:val="left" w:pos="720"/>
              </w:tabs>
              <w:spacing w:after="0"/>
              <w:ind w:left="336"/>
              <w:jc w:val="left"/>
              <w:rPr>
                <w:sz w:val="21"/>
                <w:szCs w:val="21"/>
                <w:lang w:val="en-CA"/>
              </w:rPr>
            </w:pPr>
            <w:r w:rsidRPr="00752D88">
              <w:rPr>
                <w:sz w:val="21"/>
                <w:szCs w:val="21"/>
                <w:lang w:val="en-CA"/>
              </w:rPr>
              <w:t xml:space="preserve">Annex F, Group II </w:t>
            </w:r>
            <w:r w:rsidR="00E0127E" w:rsidRPr="00752D88">
              <w:rPr>
                <w:sz w:val="21"/>
                <w:szCs w:val="21"/>
                <w:lang w:val="en-CA"/>
              </w:rPr>
              <w:t>(HFC-23 emissions)</w:t>
            </w:r>
          </w:p>
        </w:tc>
        <w:tc>
          <w:tcPr>
            <w:tcW w:w="5245" w:type="dxa"/>
            <w:tcBorders>
              <w:top w:val="single" w:sz="4" w:space="0" w:color="auto"/>
              <w:left w:val="single" w:sz="4" w:space="0" w:color="auto"/>
              <w:bottom w:val="single" w:sz="4" w:space="0" w:color="auto"/>
              <w:right w:val="single" w:sz="4" w:space="0" w:color="auto"/>
            </w:tcBorders>
            <w:hideMark/>
          </w:tcPr>
          <w:p w14:paraId="00971567" w14:textId="6D61173F" w:rsidR="00E0127E" w:rsidRPr="00752D88" w:rsidRDefault="005A5438" w:rsidP="00E0127E">
            <w:pPr>
              <w:pStyle w:val="Heading1"/>
              <w:numPr>
                <w:ilvl w:val="0"/>
                <w:numId w:val="0"/>
              </w:numPr>
              <w:tabs>
                <w:tab w:val="left" w:pos="720"/>
              </w:tabs>
              <w:spacing w:after="0"/>
              <w:jc w:val="left"/>
              <w:rPr>
                <w:spacing w:val="-2"/>
                <w:sz w:val="21"/>
                <w:szCs w:val="21"/>
                <w:lang w:val="en-CA"/>
              </w:rPr>
            </w:pPr>
            <w:r w:rsidRPr="00752D88">
              <w:rPr>
                <w:sz w:val="21"/>
                <w:szCs w:val="21"/>
                <w:lang w:val="en-CA"/>
              </w:rPr>
              <w:t xml:space="preserve">Emissions of HFC-23, </w:t>
            </w:r>
            <w:r w:rsidR="00E0127E" w:rsidRPr="00752D88">
              <w:rPr>
                <w:sz w:val="21"/>
                <w:szCs w:val="21"/>
                <w:lang w:val="en-CA"/>
              </w:rPr>
              <w:t xml:space="preserve">only </w:t>
            </w:r>
            <w:r w:rsidRPr="00752D88">
              <w:rPr>
                <w:sz w:val="21"/>
                <w:szCs w:val="21"/>
                <w:lang w:val="en-CA"/>
              </w:rPr>
              <w:t xml:space="preserve">related to </w:t>
            </w:r>
            <w:r w:rsidRPr="00752D88">
              <w:rPr>
                <w:spacing w:val="-2"/>
                <w:sz w:val="21"/>
                <w:szCs w:val="21"/>
                <w:lang w:val="en-CA"/>
              </w:rPr>
              <w:t>countries with manufacturing facilities for Annex C Group I or Annex F substances that generate HFC</w:t>
            </w:r>
            <w:r w:rsidRPr="00752D88">
              <w:rPr>
                <w:spacing w:val="-2"/>
                <w:sz w:val="21"/>
                <w:szCs w:val="21"/>
                <w:lang w:val="en-CA"/>
              </w:rPr>
              <w:noBreakHyphen/>
              <w:t>23</w:t>
            </w:r>
            <w:r w:rsidR="00B405A1" w:rsidRPr="00752D88">
              <w:rPr>
                <w:spacing w:val="-2"/>
                <w:sz w:val="21"/>
                <w:szCs w:val="21"/>
                <w:lang w:val="en-CA"/>
              </w:rPr>
              <w:t>.</w:t>
            </w:r>
          </w:p>
          <w:p w14:paraId="62B81DC2" w14:textId="40107A4F" w:rsidR="005A5438" w:rsidRPr="00752D88" w:rsidRDefault="005A5438" w:rsidP="00E0127E">
            <w:pPr>
              <w:pStyle w:val="Heading1"/>
              <w:numPr>
                <w:ilvl w:val="0"/>
                <w:numId w:val="0"/>
              </w:numPr>
              <w:tabs>
                <w:tab w:val="left" w:pos="720"/>
              </w:tabs>
              <w:spacing w:after="0"/>
              <w:jc w:val="left"/>
              <w:rPr>
                <w:sz w:val="21"/>
                <w:szCs w:val="21"/>
                <w:lang w:val="en-CA"/>
              </w:rPr>
            </w:pPr>
            <w:r w:rsidRPr="00752D88">
              <w:rPr>
                <w:spacing w:val="-2"/>
                <w:sz w:val="21"/>
                <w:szCs w:val="21"/>
                <w:lang w:val="en-CA"/>
              </w:rPr>
              <w:t>Emissions of HFC</w:t>
            </w:r>
            <w:r w:rsidRPr="00752D88">
              <w:rPr>
                <w:spacing w:val="-2"/>
                <w:sz w:val="21"/>
                <w:szCs w:val="21"/>
                <w:lang w:val="en-CA"/>
              </w:rPr>
              <w:noBreakHyphen/>
              <w:t>23 should be reported separately f</w:t>
            </w:r>
            <w:r w:rsidR="004418E1" w:rsidRPr="00752D88">
              <w:rPr>
                <w:spacing w:val="-2"/>
                <w:sz w:val="21"/>
                <w:szCs w:val="21"/>
                <w:lang w:val="en-CA"/>
              </w:rPr>
              <w:t>or</w:t>
            </w:r>
            <w:r w:rsidRPr="00752D88">
              <w:rPr>
                <w:spacing w:val="-2"/>
                <w:sz w:val="21"/>
                <w:szCs w:val="21"/>
                <w:lang w:val="en-CA"/>
              </w:rPr>
              <w:t xml:space="preserve"> each manufacturing facility</w:t>
            </w:r>
            <w:r w:rsidR="00B405A1" w:rsidRPr="00752D88">
              <w:rPr>
                <w:spacing w:val="-2"/>
                <w:sz w:val="21"/>
                <w:szCs w:val="21"/>
                <w:lang w:val="en-CA"/>
              </w:rPr>
              <w:t>.</w:t>
            </w:r>
          </w:p>
        </w:tc>
      </w:tr>
      <w:tr w:rsidR="005A5438" w:rsidRPr="00752D88" w14:paraId="2885A767" w14:textId="77777777" w:rsidTr="006451A1">
        <w:tc>
          <w:tcPr>
            <w:tcW w:w="4248" w:type="dxa"/>
            <w:tcBorders>
              <w:top w:val="single" w:sz="4" w:space="0" w:color="auto"/>
              <w:left w:val="single" w:sz="4" w:space="0" w:color="auto"/>
              <w:bottom w:val="single" w:sz="4" w:space="0" w:color="auto"/>
              <w:right w:val="single" w:sz="4" w:space="0" w:color="auto"/>
            </w:tcBorders>
            <w:hideMark/>
          </w:tcPr>
          <w:p w14:paraId="4A443D32" w14:textId="77777777" w:rsidR="005A5438" w:rsidRPr="00752D88" w:rsidRDefault="005A5438" w:rsidP="006451A1">
            <w:pPr>
              <w:pStyle w:val="Heading1"/>
              <w:numPr>
                <w:ilvl w:val="0"/>
                <w:numId w:val="2"/>
              </w:numPr>
              <w:tabs>
                <w:tab w:val="left" w:pos="720"/>
              </w:tabs>
              <w:spacing w:after="0"/>
              <w:ind w:left="336"/>
              <w:jc w:val="left"/>
              <w:rPr>
                <w:sz w:val="21"/>
                <w:szCs w:val="21"/>
                <w:lang w:val="en-CA"/>
              </w:rPr>
            </w:pPr>
            <w:r w:rsidRPr="00752D88">
              <w:rPr>
                <w:sz w:val="21"/>
                <w:szCs w:val="21"/>
                <w:lang w:val="en-CA"/>
              </w:rPr>
              <w:t>Comments by bilateral/implementing agencies</w:t>
            </w:r>
          </w:p>
        </w:tc>
        <w:tc>
          <w:tcPr>
            <w:tcW w:w="5245" w:type="dxa"/>
            <w:tcBorders>
              <w:top w:val="single" w:sz="4" w:space="0" w:color="auto"/>
              <w:left w:val="single" w:sz="4" w:space="0" w:color="auto"/>
              <w:bottom w:val="single" w:sz="4" w:space="0" w:color="auto"/>
              <w:right w:val="single" w:sz="4" w:space="0" w:color="auto"/>
            </w:tcBorders>
            <w:hideMark/>
          </w:tcPr>
          <w:p w14:paraId="36EC765D" w14:textId="4B73D182" w:rsidR="005A5438" w:rsidRPr="00752D88" w:rsidRDefault="004418E1" w:rsidP="006451A1">
            <w:pPr>
              <w:pStyle w:val="Heading1"/>
              <w:numPr>
                <w:ilvl w:val="0"/>
                <w:numId w:val="0"/>
              </w:numPr>
              <w:tabs>
                <w:tab w:val="left" w:pos="720"/>
              </w:tabs>
              <w:spacing w:after="0"/>
              <w:jc w:val="left"/>
              <w:rPr>
                <w:sz w:val="21"/>
                <w:szCs w:val="21"/>
                <w:lang w:val="en-CA"/>
              </w:rPr>
            </w:pPr>
            <w:r w:rsidRPr="00752D88">
              <w:rPr>
                <w:sz w:val="21"/>
                <w:szCs w:val="21"/>
                <w:lang w:val="en-CA"/>
              </w:rPr>
              <w:t xml:space="preserve">Narrative comments </w:t>
            </w:r>
          </w:p>
        </w:tc>
      </w:tr>
    </w:tbl>
    <w:p w14:paraId="2A73D730" w14:textId="77777777" w:rsidR="005A5438" w:rsidRPr="00752D88" w:rsidRDefault="005A5438" w:rsidP="006451A1">
      <w:pPr>
        <w:spacing w:after="0" w:line="240" w:lineRule="auto"/>
        <w:rPr>
          <w:rFonts w:ascii="Times New Roman" w:hAnsi="Times New Roman" w:cs="Times New Roman"/>
        </w:rPr>
      </w:pPr>
    </w:p>
    <w:p w14:paraId="2AB9911E" w14:textId="54430D84" w:rsidR="0070657E" w:rsidRPr="00752D88" w:rsidRDefault="0070657E" w:rsidP="00493C77">
      <w:pPr>
        <w:pStyle w:val="Heading1"/>
      </w:pPr>
      <w:r w:rsidRPr="00752D88">
        <w:rPr>
          <w:rFonts w:eastAsiaTheme="minorHAnsi"/>
          <w:lang w:val="en-CA"/>
        </w:rPr>
        <w:t xml:space="preserve">For countries that have ratified the Kigali Amendment, CP data reporting for Annex F </w:t>
      </w:r>
      <w:r w:rsidR="00E0127E" w:rsidRPr="00752D88">
        <w:rPr>
          <w:rFonts w:eastAsiaTheme="minorHAnsi"/>
          <w:lang w:val="en-CA"/>
        </w:rPr>
        <w:t>substances is mandatory</w:t>
      </w:r>
      <w:r w:rsidRPr="00752D88">
        <w:rPr>
          <w:rFonts w:eastAsiaTheme="minorHAnsi"/>
          <w:lang w:val="en-CA"/>
        </w:rPr>
        <w:t>.</w:t>
      </w:r>
      <w:r w:rsidR="006451A1" w:rsidRPr="00752D88">
        <w:rPr>
          <w:rFonts w:eastAsiaTheme="minorHAnsi"/>
          <w:lang w:val="en-CA"/>
        </w:rPr>
        <w:t xml:space="preserve"> </w:t>
      </w:r>
      <w:r w:rsidR="006264B1" w:rsidRPr="00752D88">
        <w:rPr>
          <w:rFonts w:eastAsiaTheme="minorHAnsi"/>
          <w:lang w:val="en-CA"/>
        </w:rPr>
        <w:t>C</w:t>
      </w:r>
      <w:r w:rsidRPr="00752D88">
        <w:rPr>
          <w:rFonts w:eastAsiaTheme="minorHAnsi"/>
          <w:lang w:val="en-CA"/>
        </w:rPr>
        <w:t>ountries that have not ratified the Kigali Amendment</w:t>
      </w:r>
      <w:r w:rsidR="006264B1" w:rsidRPr="00752D88">
        <w:rPr>
          <w:rFonts w:eastAsiaTheme="minorHAnsi"/>
          <w:lang w:val="en-CA"/>
        </w:rPr>
        <w:t xml:space="preserve"> </w:t>
      </w:r>
      <w:r w:rsidR="00F67EA0" w:rsidRPr="00752D88">
        <w:rPr>
          <w:rFonts w:eastAsiaTheme="minorHAnsi"/>
          <w:lang w:val="en-CA"/>
        </w:rPr>
        <w:t>are</w:t>
      </w:r>
      <w:r w:rsidRPr="00752D88">
        <w:rPr>
          <w:rFonts w:eastAsiaTheme="minorHAnsi"/>
          <w:lang w:val="en-CA"/>
        </w:rPr>
        <w:t xml:space="preserve"> encouraged to submit data on Annex F </w:t>
      </w:r>
      <w:r w:rsidR="00F67EA0" w:rsidRPr="00752D88">
        <w:rPr>
          <w:rFonts w:eastAsiaTheme="minorHAnsi"/>
          <w:lang w:val="en-CA"/>
        </w:rPr>
        <w:t xml:space="preserve">substances </w:t>
      </w:r>
      <w:r w:rsidRPr="00752D88">
        <w:rPr>
          <w:rFonts w:eastAsiaTheme="minorHAnsi"/>
          <w:lang w:val="en-CA"/>
        </w:rPr>
        <w:t>on a voluntary basis.</w:t>
      </w:r>
      <w:r w:rsidR="006451A1" w:rsidRPr="00752D88">
        <w:rPr>
          <w:rFonts w:eastAsiaTheme="minorHAnsi"/>
          <w:lang w:val="en-CA"/>
        </w:rPr>
        <w:t xml:space="preserve"> </w:t>
      </w:r>
      <w:r w:rsidR="00373BBF" w:rsidRPr="00752D88">
        <w:rPr>
          <w:rFonts w:eastAsiaTheme="minorHAnsi"/>
          <w:lang w:val="en-CA"/>
        </w:rPr>
        <w:t>Data forms D and E are only relevant to countries with production facilities of controlled substances.</w:t>
      </w:r>
    </w:p>
    <w:p w14:paraId="2C010238" w14:textId="5ECA91C8" w:rsidR="008B5DE0" w:rsidRPr="00752D88" w:rsidRDefault="00373BBF" w:rsidP="00493C77">
      <w:pPr>
        <w:spacing w:after="240" w:line="240" w:lineRule="auto"/>
        <w:rPr>
          <w:rFonts w:ascii="Times New Roman" w:hAnsi="Times New Roman" w:cs="Times New Roman"/>
          <w:b/>
          <w:bCs/>
        </w:rPr>
      </w:pPr>
      <w:r w:rsidRPr="00752D88">
        <w:rPr>
          <w:rFonts w:ascii="Times New Roman" w:hAnsi="Times New Roman" w:cs="Times New Roman"/>
          <w:b/>
          <w:bCs/>
        </w:rPr>
        <w:t>Report of controlled substances under Article 7 of the Montreal Protocol</w:t>
      </w:r>
    </w:p>
    <w:p w14:paraId="7A7246C2" w14:textId="66D96083" w:rsidR="00876949" w:rsidRPr="00752D88" w:rsidRDefault="00876949" w:rsidP="00A60B4E">
      <w:pPr>
        <w:pStyle w:val="Heading1"/>
        <w:rPr>
          <w:rFonts w:eastAsiaTheme="minorHAnsi"/>
          <w:lang w:val="en-CA"/>
        </w:rPr>
      </w:pPr>
      <w:r w:rsidRPr="00752D88">
        <w:rPr>
          <w:rFonts w:eastAsiaTheme="minorHAnsi"/>
          <w:lang w:val="en-CA"/>
        </w:rPr>
        <w:t xml:space="preserve">Article 5 countries </w:t>
      </w:r>
      <w:r w:rsidR="002E487D" w:rsidRPr="00752D88">
        <w:rPr>
          <w:rFonts w:eastAsiaTheme="minorHAnsi"/>
          <w:lang w:val="en-CA"/>
        </w:rPr>
        <w:t>are</w:t>
      </w:r>
      <w:r w:rsidRPr="00752D88">
        <w:rPr>
          <w:rFonts w:eastAsiaTheme="minorHAnsi"/>
          <w:lang w:val="en-CA"/>
        </w:rPr>
        <w:t xml:space="preserve"> required to submit data on imports, exports and production</w:t>
      </w:r>
      <w:r w:rsidR="00E0127E" w:rsidRPr="00752D88">
        <w:rPr>
          <w:rFonts w:eastAsiaTheme="minorHAnsi"/>
          <w:lang w:val="en-CA"/>
        </w:rPr>
        <w:t xml:space="preserve"> of controlled substances </w:t>
      </w:r>
      <w:r w:rsidRPr="00752D88">
        <w:rPr>
          <w:rFonts w:eastAsiaTheme="minorHAnsi"/>
          <w:lang w:val="en-CA"/>
        </w:rPr>
        <w:t xml:space="preserve">under Article 7 </w:t>
      </w:r>
      <w:r w:rsidR="00E0127E" w:rsidRPr="00752D88">
        <w:rPr>
          <w:rFonts w:eastAsiaTheme="minorHAnsi"/>
          <w:lang w:val="en-CA"/>
        </w:rPr>
        <w:t>of the Montreal Protocol</w:t>
      </w:r>
      <w:r w:rsidR="00F67EA0" w:rsidRPr="00752D88">
        <w:rPr>
          <w:rFonts w:eastAsiaTheme="minorHAnsi"/>
          <w:lang w:val="en-CA"/>
        </w:rPr>
        <w:t xml:space="preserve"> to the Ozone Secretariat</w:t>
      </w:r>
      <w:r w:rsidR="002E487D" w:rsidRPr="00752D88">
        <w:rPr>
          <w:rFonts w:eastAsiaTheme="minorHAnsi"/>
          <w:lang w:val="en-CA"/>
        </w:rPr>
        <w:t xml:space="preserve">. </w:t>
      </w:r>
      <w:r w:rsidRPr="00752D88">
        <w:rPr>
          <w:rFonts w:eastAsiaTheme="minorHAnsi"/>
          <w:lang w:val="en-CA"/>
        </w:rPr>
        <w:t xml:space="preserve">The columns for import, export and production </w:t>
      </w:r>
      <w:r w:rsidR="00E0127E" w:rsidRPr="00752D88">
        <w:rPr>
          <w:rFonts w:eastAsiaTheme="minorHAnsi"/>
          <w:lang w:val="en-CA"/>
        </w:rPr>
        <w:t xml:space="preserve">in the CP data report format </w:t>
      </w:r>
      <w:r w:rsidR="004467DA" w:rsidRPr="00752D88">
        <w:rPr>
          <w:rFonts w:eastAsiaTheme="minorHAnsi"/>
          <w:lang w:val="en-CA"/>
        </w:rPr>
        <w:t xml:space="preserve">should be consistent with the data reported under Article 7. </w:t>
      </w:r>
      <w:r w:rsidRPr="00752D88">
        <w:rPr>
          <w:rFonts w:eastAsiaTheme="minorHAnsi"/>
          <w:lang w:val="en-CA"/>
        </w:rPr>
        <w:t xml:space="preserve">Where there is a discrepancy, the country should </w:t>
      </w:r>
      <w:r w:rsidR="004467DA" w:rsidRPr="00752D88">
        <w:rPr>
          <w:rFonts w:eastAsiaTheme="minorHAnsi"/>
          <w:lang w:val="en-CA"/>
        </w:rPr>
        <w:t xml:space="preserve">provide an explanation for the difference </w:t>
      </w:r>
      <w:r w:rsidR="00531250" w:rsidRPr="00752D88">
        <w:rPr>
          <w:rFonts w:eastAsiaTheme="minorHAnsi"/>
          <w:lang w:val="en-CA"/>
        </w:rPr>
        <w:t xml:space="preserve">in the “Remarks” column in </w:t>
      </w:r>
      <w:r w:rsidR="004467DA" w:rsidRPr="00752D88">
        <w:rPr>
          <w:rFonts w:eastAsiaTheme="minorHAnsi"/>
          <w:lang w:val="en-CA"/>
        </w:rPr>
        <w:t>S</w:t>
      </w:r>
      <w:r w:rsidR="00531250" w:rsidRPr="00752D88">
        <w:rPr>
          <w:rFonts w:eastAsiaTheme="minorHAnsi"/>
          <w:lang w:val="en-CA"/>
        </w:rPr>
        <w:t>ection</w:t>
      </w:r>
      <w:r w:rsidR="004467DA" w:rsidRPr="00752D88">
        <w:rPr>
          <w:rFonts w:eastAsiaTheme="minorHAnsi"/>
          <w:lang w:val="en-CA"/>
        </w:rPr>
        <w:t>s A, B, B1 and E</w:t>
      </w:r>
      <w:r w:rsidRPr="00752D88">
        <w:rPr>
          <w:rFonts w:eastAsiaTheme="minorHAnsi"/>
          <w:lang w:val="en-CA"/>
        </w:rPr>
        <w:t xml:space="preserve">. </w:t>
      </w:r>
    </w:p>
    <w:p w14:paraId="0D117EA9" w14:textId="4F1D17D8" w:rsidR="007D7638" w:rsidRPr="00752D88" w:rsidRDefault="007D7638" w:rsidP="00493C77">
      <w:pPr>
        <w:pStyle w:val="Heading1"/>
      </w:pPr>
      <w:r w:rsidRPr="00752D88">
        <w:rPr>
          <w:rFonts w:eastAsiaTheme="minorHAnsi"/>
          <w:lang w:val="en-CA"/>
        </w:rPr>
        <w:t xml:space="preserve">Data </w:t>
      </w:r>
      <w:r w:rsidR="00170E90" w:rsidRPr="00752D88">
        <w:rPr>
          <w:rFonts w:eastAsiaTheme="minorHAnsi"/>
          <w:lang w:val="en-CA"/>
        </w:rPr>
        <w:t xml:space="preserve">is </w:t>
      </w:r>
      <w:r w:rsidRPr="00752D88">
        <w:rPr>
          <w:rFonts w:eastAsiaTheme="minorHAnsi"/>
          <w:lang w:val="en-CA"/>
        </w:rPr>
        <w:t xml:space="preserve">required </w:t>
      </w:r>
      <w:r w:rsidR="00181475" w:rsidRPr="00752D88">
        <w:rPr>
          <w:rFonts w:eastAsiaTheme="minorHAnsi"/>
          <w:lang w:val="en-CA"/>
        </w:rPr>
        <w:t xml:space="preserve">for </w:t>
      </w:r>
      <w:r w:rsidR="0078777D" w:rsidRPr="00752D88">
        <w:rPr>
          <w:rFonts w:eastAsiaTheme="minorHAnsi"/>
          <w:lang w:val="en-CA"/>
        </w:rPr>
        <w:t>“</w:t>
      </w:r>
      <w:r w:rsidRPr="00752D88">
        <w:rPr>
          <w:rFonts w:eastAsiaTheme="minorHAnsi"/>
          <w:lang w:val="en-CA"/>
        </w:rPr>
        <w:t xml:space="preserve">Use by </w:t>
      </w:r>
      <w:r w:rsidR="0078777D" w:rsidRPr="00752D88">
        <w:rPr>
          <w:rFonts w:eastAsiaTheme="minorHAnsi"/>
          <w:lang w:val="en-CA"/>
        </w:rPr>
        <w:t>S</w:t>
      </w:r>
      <w:r w:rsidRPr="00752D88">
        <w:rPr>
          <w:rFonts w:eastAsiaTheme="minorHAnsi"/>
          <w:lang w:val="en-CA"/>
        </w:rPr>
        <w:t>ector</w:t>
      </w:r>
      <w:r w:rsidR="0078777D" w:rsidRPr="00752D88">
        <w:rPr>
          <w:rFonts w:eastAsiaTheme="minorHAnsi"/>
          <w:lang w:val="en-CA"/>
        </w:rPr>
        <w:t>”</w:t>
      </w:r>
      <w:r w:rsidRPr="00752D88">
        <w:rPr>
          <w:rFonts w:eastAsiaTheme="minorHAnsi"/>
          <w:lang w:val="en-CA"/>
        </w:rPr>
        <w:t xml:space="preserve"> for each controlled substance.</w:t>
      </w:r>
      <w:r w:rsidR="006451A1" w:rsidRPr="00752D88">
        <w:rPr>
          <w:rFonts w:eastAsiaTheme="minorHAnsi"/>
          <w:lang w:val="en-CA"/>
        </w:rPr>
        <w:t xml:space="preserve"> </w:t>
      </w:r>
      <w:r w:rsidR="00170E90" w:rsidRPr="00752D88">
        <w:rPr>
          <w:rFonts w:eastAsiaTheme="minorHAnsi"/>
          <w:lang w:val="en-CA"/>
        </w:rPr>
        <w:t xml:space="preserve">This data </w:t>
      </w:r>
      <w:r w:rsidRPr="00752D88">
        <w:rPr>
          <w:rFonts w:eastAsiaTheme="minorHAnsi"/>
          <w:lang w:val="en-CA"/>
        </w:rPr>
        <w:t xml:space="preserve">allows </w:t>
      </w:r>
      <w:r w:rsidR="00170E90" w:rsidRPr="00752D88">
        <w:rPr>
          <w:rFonts w:eastAsiaTheme="minorHAnsi"/>
          <w:lang w:val="en-CA"/>
        </w:rPr>
        <w:t xml:space="preserve">for an </w:t>
      </w:r>
      <w:r w:rsidRPr="00752D88">
        <w:rPr>
          <w:rFonts w:eastAsiaTheme="minorHAnsi"/>
          <w:lang w:val="en-CA"/>
        </w:rPr>
        <w:t>analysis of trends in consumption</w:t>
      </w:r>
      <w:r w:rsidR="00170E90" w:rsidRPr="00752D88">
        <w:rPr>
          <w:rFonts w:eastAsiaTheme="minorHAnsi"/>
          <w:lang w:val="en-CA"/>
        </w:rPr>
        <w:t xml:space="preserve"> of controlled substances and for an accurate assessment of the assistance to be provided to Article 5 countries </w:t>
      </w:r>
      <w:r w:rsidRPr="00752D88">
        <w:rPr>
          <w:rFonts w:eastAsiaTheme="minorHAnsi"/>
          <w:lang w:val="en-CA"/>
        </w:rPr>
        <w:t xml:space="preserve">for </w:t>
      </w:r>
      <w:r w:rsidR="00170E90" w:rsidRPr="00752D88">
        <w:rPr>
          <w:rFonts w:eastAsiaTheme="minorHAnsi"/>
          <w:lang w:val="en-CA"/>
        </w:rPr>
        <w:t xml:space="preserve">the </w:t>
      </w:r>
      <w:r w:rsidRPr="00752D88">
        <w:rPr>
          <w:rFonts w:eastAsiaTheme="minorHAnsi"/>
          <w:lang w:val="en-CA"/>
        </w:rPr>
        <w:t>cost</w:t>
      </w:r>
      <w:r w:rsidR="003944F5" w:rsidRPr="00752D88">
        <w:rPr>
          <w:rFonts w:eastAsiaTheme="minorHAnsi"/>
          <w:lang w:val="en-CA"/>
        </w:rPr>
        <w:t>-</w:t>
      </w:r>
      <w:r w:rsidRPr="00752D88">
        <w:rPr>
          <w:rFonts w:eastAsiaTheme="minorHAnsi"/>
          <w:lang w:val="en-CA"/>
        </w:rPr>
        <w:t>effective phase</w:t>
      </w:r>
      <w:r w:rsidR="003944F5" w:rsidRPr="00752D88">
        <w:rPr>
          <w:rFonts w:eastAsiaTheme="minorHAnsi"/>
          <w:lang w:val="en-CA"/>
        </w:rPr>
        <w:t>-</w:t>
      </w:r>
      <w:r w:rsidRPr="00752D88">
        <w:rPr>
          <w:rFonts w:eastAsiaTheme="minorHAnsi"/>
          <w:lang w:val="en-CA"/>
        </w:rPr>
        <w:t>out</w:t>
      </w:r>
      <w:r w:rsidR="00170E90" w:rsidRPr="00752D88">
        <w:rPr>
          <w:rFonts w:eastAsiaTheme="minorHAnsi"/>
          <w:lang w:val="en-CA"/>
        </w:rPr>
        <w:t xml:space="preserve">/phase-down </w:t>
      </w:r>
      <w:r w:rsidRPr="00752D88">
        <w:rPr>
          <w:rFonts w:eastAsiaTheme="minorHAnsi"/>
          <w:lang w:val="en-CA"/>
        </w:rPr>
        <w:t xml:space="preserve">of </w:t>
      </w:r>
      <w:r w:rsidR="00170E90" w:rsidRPr="00752D88">
        <w:rPr>
          <w:rFonts w:eastAsiaTheme="minorHAnsi"/>
          <w:lang w:val="en-CA"/>
        </w:rPr>
        <w:t>controlled substances</w:t>
      </w:r>
      <w:r w:rsidRPr="00752D88">
        <w:rPr>
          <w:rFonts w:eastAsiaTheme="minorHAnsi"/>
          <w:lang w:val="en-CA"/>
        </w:rPr>
        <w:t>.</w:t>
      </w:r>
      <w:r w:rsidR="006451A1" w:rsidRPr="00752D88">
        <w:rPr>
          <w:rFonts w:eastAsiaTheme="minorHAnsi"/>
          <w:lang w:val="en-CA"/>
        </w:rPr>
        <w:t xml:space="preserve"> </w:t>
      </w:r>
      <w:r w:rsidRPr="00752D88">
        <w:rPr>
          <w:rFonts w:eastAsiaTheme="minorHAnsi"/>
          <w:lang w:val="en-CA"/>
        </w:rPr>
        <w:t>Such sector-specific data will also be useful to Article 5 countries for developing their phase</w:t>
      </w:r>
      <w:r w:rsidR="003944F5" w:rsidRPr="00752D88">
        <w:rPr>
          <w:rFonts w:eastAsiaTheme="minorHAnsi"/>
          <w:lang w:val="en-CA"/>
        </w:rPr>
        <w:t>-</w:t>
      </w:r>
      <w:r w:rsidRPr="00752D88">
        <w:rPr>
          <w:rFonts w:eastAsiaTheme="minorHAnsi"/>
          <w:lang w:val="en-CA"/>
        </w:rPr>
        <w:t>out</w:t>
      </w:r>
      <w:r w:rsidR="00170E90" w:rsidRPr="00752D88">
        <w:rPr>
          <w:rFonts w:eastAsiaTheme="minorHAnsi"/>
          <w:lang w:val="en-CA"/>
        </w:rPr>
        <w:t xml:space="preserve">/phase-down </w:t>
      </w:r>
      <w:r w:rsidRPr="00752D88">
        <w:rPr>
          <w:rFonts w:eastAsiaTheme="minorHAnsi"/>
          <w:lang w:val="en-CA"/>
        </w:rPr>
        <w:t>strategies.</w:t>
      </w:r>
      <w:r w:rsidR="006451A1" w:rsidRPr="00752D88">
        <w:rPr>
          <w:rFonts w:eastAsiaTheme="minorHAnsi"/>
          <w:lang w:val="en-CA"/>
        </w:rPr>
        <w:t xml:space="preserve"> </w:t>
      </w:r>
    </w:p>
    <w:p w14:paraId="7334C85F" w14:textId="77AD1540" w:rsidR="005A39A8" w:rsidRPr="00752D88" w:rsidRDefault="00415A69" w:rsidP="00493C77">
      <w:pPr>
        <w:pStyle w:val="Heading1"/>
        <w:rPr>
          <w:rFonts w:eastAsiaTheme="minorHAnsi"/>
          <w:lang w:val="en-CA"/>
        </w:rPr>
      </w:pPr>
      <w:r w:rsidRPr="00752D88">
        <w:rPr>
          <w:rFonts w:eastAsiaTheme="minorHAnsi"/>
          <w:lang w:val="en-CA"/>
        </w:rPr>
        <w:t xml:space="preserve">In most cases, when the total amount of controlled substance imported for the year was totally consumed in the various use sectors, </w:t>
      </w:r>
      <w:r w:rsidR="002E487D" w:rsidRPr="00752D88">
        <w:rPr>
          <w:rFonts w:eastAsiaTheme="minorHAnsi"/>
          <w:lang w:val="en-CA"/>
        </w:rPr>
        <w:t xml:space="preserve">the </w:t>
      </w:r>
      <w:r w:rsidR="00876949" w:rsidRPr="00752D88">
        <w:rPr>
          <w:rFonts w:eastAsiaTheme="minorHAnsi"/>
          <w:lang w:val="en-CA"/>
        </w:rPr>
        <w:t xml:space="preserve">TOTAL “Use by Sector” </w:t>
      </w:r>
      <w:r w:rsidRPr="00752D88">
        <w:rPr>
          <w:rFonts w:eastAsiaTheme="minorHAnsi"/>
          <w:lang w:val="en-CA"/>
        </w:rPr>
        <w:t xml:space="preserve">is </w:t>
      </w:r>
      <w:r w:rsidR="00876949" w:rsidRPr="00752D88">
        <w:rPr>
          <w:rFonts w:eastAsiaTheme="minorHAnsi"/>
          <w:lang w:val="en-CA"/>
        </w:rPr>
        <w:t xml:space="preserve">equal to the </w:t>
      </w:r>
      <w:r w:rsidR="00C878E6" w:rsidRPr="00752D88">
        <w:rPr>
          <w:rFonts w:eastAsiaTheme="minorHAnsi"/>
          <w:lang w:val="en-CA"/>
        </w:rPr>
        <w:t xml:space="preserve">TOTAL </w:t>
      </w:r>
      <w:r w:rsidR="00876949" w:rsidRPr="00752D88">
        <w:rPr>
          <w:rFonts w:eastAsiaTheme="minorHAnsi"/>
          <w:lang w:val="en-CA"/>
        </w:rPr>
        <w:t xml:space="preserve">amount </w:t>
      </w:r>
      <w:r w:rsidR="00C878E6" w:rsidRPr="00752D88">
        <w:rPr>
          <w:rFonts w:eastAsiaTheme="minorHAnsi"/>
          <w:lang w:val="en-CA"/>
        </w:rPr>
        <w:t>of</w:t>
      </w:r>
      <w:r w:rsidR="00876949" w:rsidRPr="00752D88">
        <w:rPr>
          <w:rFonts w:eastAsiaTheme="minorHAnsi"/>
          <w:lang w:val="en-CA"/>
        </w:rPr>
        <w:t xml:space="preserve"> </w:t>
      </w:r>
      <w:r w:rsidR="00F67EA0" w:rsidRPr="00752D88">
        <w:rPr>
          <w:rFonts w:eastAsiaTheme="minorHAnsi"/>
          <w:lang w:val="en-CA"/>
        </w:rPr>
        <w:t>“</w:t>
      </w:r>
      <w:r w:rsidR="00876949" w:rsidRPr="00752D88">
        <w:rPr>
          <w:rFonts w:eastAsiaTheme="minorHAnsi"/>
          <w:lang w:val="en-CA"/>
        </w:rPr>
        <w:t>Imports</w:t>
      </w:r>
      <w:r w:rsidR="00F67EA0" w:rsidRPr="00752D88">
        <w:rPr>
          <w:rFonts w:eastAsiaTheme="minorHAnsi"/>
          <w:lang w:val="en-CA"/>
        </w:rPr>
        <w:t>”</w:t>
      </w:r>
      <w:r w:rsidR="00876949" w:rsidRPr="00752D88">
        <w:rPr>
          <w:rFonts w:eastAsiaTheme="minorHAnsi"/>
          <w:lang w:val="en-CA"/>
        </w:rPr>
        <w:t xml:space="preserve"> minus </w:t>
      </w:r>
      <w:r w:rsidR="00F67EA0" w:rsidRPr="00752D88">
        <w:rPr>
          <w:rFonts w:eastAsiaTheme="minorHAnsi"/>
          <w:lang w:val="en-CA"/>
        </w:rPr>
        <w:t>“</w:t>
      </w:r>
      <w:r w:rsidR="00876949" w:rsidRPr="00752D88">
        <w:rPr>
          <w:rFonts w:eastAsiaTheme="minorHAnsi"/>
          <w:lang w:val="en-CA"/>
        </w:rPr>
        <w:t>Export</w:t>
      </w:r>
      <w:r w:rsidR="003944F5" w:rsidRPr="00752D88">
        <w:rPr>
          <w:rFonts w:eastAsiaTheme="minorHAnsi"/>
          <w:lang w:val="en-CA"/>
        </w:rPr>
        <w:t>s</w:t>
      </w:r>
      <w:r w:rsidR="00F67EA0" w:rsidRPr="00752D88">
        <w:rPr>
          <w:rFonts w:eastAsiaTheme="minorHAnsi"/>
          <w:lang w:val="en-CA"/>
        </w:rPr>
        <w:t>”</w:t>
      </w:r>
      <w:r w:rsidR="00876949" w:rsidRPr="00752D88">
        <w:rPr>
          <w:rFonts w:eastAsiaTheme="minorHAnsi"/>
          <w:lang w:val="en-CA"/>
        </w:rPr>
        <w:t xml:space="preserve"> plus </w:t>
      </w:r>
      <w:r w:rsidR="00F67EA0" w:rsidRPr="00752D88">
        <w:rPr>
          <w:rFonts w:eastAsiaTheme="minorHAnsi"/>
          <w:lang w:val="en-CA"/>
        </w:rPr>
        <w:t>“</w:t>
      </w:r>
      <w:r w:rsidR="00876949" w:rsidRPr="00752D88">
        <w:rPr>
          <w:rFonts w:eastAsiaTheme="minorHAnsi"/>
          <w:lang w:val="en-CA"/>
        </w:rPr>
        <w:t>Production columns</w:t>
      </w:r>
      <w:r w:rsidR="00F67EA0" w:rsidRPr="00752D88">
        <w:rPr>
          <w:rFonts w:eastAsiaTheme="minorHAnsi"/>
          <w:lang w:val="en-CA"/>
        </w:rPr>
        <w:t>”</w:t>
      </w:r>
      <w:r w:rsidR="003944F5" w:rsidRPr="00752D88">
        <w:rPr>
          <w:rFonts w:eastAsiaTheme="minorHAnsi"/>
          <w:lang w:val="en-CA"/>
        </w:rPr>
        <w:t xml:space="preserve">. </w:t>
      </w:r>
      <w:r w:rsidR="00A60B4E" w:rsidRPr="00752D88">
        <w:rPr>
          <w:rFonts w:eastAsiaTheme="minorHAnsi"/>
          <w:lang w:val="en-CA"/>
        </w:rPr>
        <w:t>In other cases</w:t>
      </w:r>
      <w:r w:rsidR="003944F5" w:rsidRPr="00752D88">
        <w:rPr>
          <w:rFonts w:eastAsiaTheme="minorHAnsi"/>
          <w:lang w:val="en-CA"/>
        </w:rPr>
        <w:t xml:space="preserve">, </w:t>
      </w:r>
      <w:r w:rsidR="00A60B4E" w:rsidRPr="00752D88">
        <w:rPr>
          <w:rFonts w:eastAsiaTheme="minorHAnsi"/>
          <w:lang w:val="en-CA"/>
        </w:rPr>
        <w:t xml:space="preserve">the amounts </w:t>
      </w:r>
      <w:r w:rsidR="00F67EA0" w:rsidRPr="00752D88">
        <w:rPr>
          <w:rFonts w:eastAsiaTheme="minorHAnsi"/>
          <w:lang w:val="en-CA"/>
        </w:rPr>
        <w:t>i</w:t>
      </w:r>
      <w:r w:rsidR="00A60B4E" w:rsidRPr="00752D88">
        <w:rPr>
          <w:rFonts w:eastAsiaTheme="minorHAnsi"/>
          <w:lang w:val="en-CA"/>
        </w:rPr>
        <w:t xml:space="preserve">n </w:t>
      </w:r>
      <w:r w:rsidR="003944F5" w:rsidRPr="00752D88">
        <w:rPr>
          <w:rFonts w:eastAsiaTheme="minorHAnsi"/>
          <w:lang w:val="en-CA"/>
        </w:rPr>
        <w:t>t</w:t>
      </w:r>
      <w:r w:rsidR="00876949" w:rsidRPr="00752D88">
        <w:rPr>
          <w:rFonts w:eastAsiaTheme="minorHAnsi"/>
          <w:lang w:val="en-CA"/>
        </w:rPr>
        <w:t xml:space="preserve">hese columns </w:t>
      </w:r>
      <w:r w:rsidR="003944F5" w:rsidRPr="00752D88">
        <w:rPr>
          <w:rFonts w:eastAsiaTheme="minorHAnsi"/>
          <w:lang w:val="en-CA"/>
        </w:rPr>
        <w:t xml:space="preserve">will </w:t>
      </w:r>
      <w:r w:rsidR="00876949" w:rsidRPr="00752D88">
        <w:rPr>
          <w:rFonts w:eastAsiaTheme="minorHAnsi"/>
          <w:lang w:val="en-CA"/>
        </w:rPr>
        <w:t xml:space="preserve">not </w:t>
      </w:r>
      <w:r w:rsidR="00A60B4E" w:rsidRPr="00752D88">
        <w:rPr>
          <w:rFonts w:eastAsiaTheme="minorHAnsi"/>
          <w:lang w:val="en-CA"/>
        </w:rPr>
        <w:t>be equal</w:t>
      </w:r>
      <w:r w:rsidR="00876949" w:rsidRPr="00752D88">
        <w:rPr>
          <w:rFonts w:eastAsiaTheme="minorHAnsi"/>
          <w:lang w:val="en-CA"/>
        </w:rPr>
        <w:t xml:space="preserve">, since </w:t>
      </w:r>
      <w:r w:rsidR="00A60B4E" w:rsidRPr="00752D88">
        <w:rPr>
          <w:rFonts w:eastAsiaTheme="minorHAnsi"/>
          <w:lang w:val="en-CA"/>
        </w:rPr>
        <w:t xml:space="preserve">the amounts </w:t>
      </w:r>
      <w:r w:rsidR="00F67EA0" w:rsidRPr="00752D88">
        <w:rPr>
          <w:rFonts w:eastAsiaTheme="minorHAnsi"/>
          <w:lang w:val="en-CA"/>
        </w:rPr>
        <w:t xml:space="preserve">in </w:t>
      </w:r>
      <w:r w:rsidR="00A60B4E" w:rsidRPr="00752D88">
        <w:rPr>
          <w:rFonts w:eastAsiaTheme="minorHAnsi"/>
          <w:lang w:val="en-CA"/>
        </w:rPr>
        <w:t xml:space="preserve">“Use by Sector” </w:t>
      </w:r>
      <w:r w:rsidR="00876949" w:rsidRPr="00752D88">
        <w:rPr>
          <w:rFonts w:eastAsiaTheme="minorHAnsi"/>
          <w:lang w:val="en-CA"/>
        </w:rPr>
        <w:t xml:space="preserve">for the year do not </w:t>
      </w:r>
      <w:r w:rsidR="003944F5" w:rsidRPr="00752D88">
        <w:rPr>
          <w:rFonts w:eastAsiaTheme="minorHAnsi"/>
          <w:lang w:val="en-CA"/>
        </w:rPr>
        <w:t xml:space="preserve">always </w:t>
      </w:r>
      <w:r w:rsidR="00876949" w:rsidRPr="00752D88">
        <w:rPr>
          <w:rFonts w:eastAsiaTheme="minorHAnsi"/>
          <w:lang w:val="en-CA"/>
        </w:rPr>
        <w:t>equate to the total amount</w:t>
      </w:r>
      <w:r w:rsidR="00A60B4E" w:rsidRPr="00752D88">
        <w:rPr>
          <w:rFonts w:eastAsiaTheme="minorHAnsi"/>
          <w:lang w:val="en-CA"/>
        </w:rPr>
        <w:t>s</w:t>
      </w:r>
      <w:r w:rsidR="00876949" w:rsidRPr="00752D88">
        <w:rPr>
          <w:rFonts w:eastAsiaTheme="minorHAnsi"/>
          <w:lang w:val="en-CA"/>
        </w:rPr>
        <w:t xml:space="preserve"> imported for the same year.</w:t>
      </w:r>
      <w:r w:rsidR="006451A1" w:rsidRPr="00752D88">
        <w:rPr>
          <w:rFonts w:eastAsiaTheme="minorHAnsi"/>
          <w:lang w:val="en-CA"/>
        </w:rPr>
        <w:t xml:space="preserve"> </w:t>
      </w:r>
      <w:r w:rsidR="00876949" w:rsidRPr="00752D88">
        <w:rPr>
          <w:rFonts w:eastAsiaTheme="minorHAnsi"/>
          <w:lang w:val="en-CA"/>
        </w:rPr>
        <w:t xml:space="preserve">For instance, a country may register use </w:t>
      </w:r>
      <w:r w:rsidR="00A60B4E" w:rsidRPr="00752D88">
        <w:rPr>
          <w:rFonts w:eastAsiaTheme="minorHAnsi"/>
          <w:lang w:val="en-CA"/>
        </w:rPr>
        <w:t xml:space="preserve">of a controlled substance </w:t>
      </w:r>
      <w:r w:rsidR="00876949" w:rsidRPr="00752D88">
        <w:rPr>
          <w:rFonts w:eastAsiaTheme="minorHAnsi"/>
          <w:lang w:val="en-CA"/>
        </w:rPr>
        <w:t xml:space="preserve">in the refrigeration servicing sector </w:t>
      </w:r>
      <w:r w:rsidR="00A60B4E" w:rsidRPr="00752D88">
        <w:rPr>
          <w:rFonts w:eastAsiaTheme="minorHAnsi"/>
          <w:lang w:val="en-CA"/>
        </w:rPr>
        <w:t xml:space="preserve">from the previous year’s imports </w:t>
      </w:r>
      <w:r w:rsidR="003944F5" w:rsidRPr="00752D88">
        <w:rPr>
          <w:rFonts w:eastAsiaTheme="minorHAnsi"/>
          <w:lang w:val="en-CA"/>
        </w:rPr>
        <w:t>without having imported</w:t>
      </w:r>
      <w:r w:rsidR="00876949" w:rsidRPr="00752D88">
        <w:rPr>
          <w:rFonts w:eastAsiaTheme="minorHAnsi"/>
          <w:lang w:val="en-CA"/>
        </w:rPr>
        <w:t xml:space="preserve"> </w:t>
      </w:r>
      <w:r w:rsidR="00A60B4E" w:rsidRPr="00752D88">
        <w:rPr>
          <w:rFonts w:eastAsiaTheme="minorHAnsi"/>
          <w:lang w:val="en-CA"/>
        </w:rPr>
        <w:t xml:space="preserve">such controlled substance </w:t>
      </w:r>
      <w:r w:rsidR="00F67EA0" w:rsidRPr="00752D88">
        <w:rPr>
          <w:rFonts w:eastAsiaTheme="minorHAnsi"/>
          <w:lang w:val="en-CA"/>
        </w:rPr>
        <w:t>in the reporting</w:t>
      </w:r>
      <w:r w:rsidR="00A60B4E" w:rsidRPr="00752D88">
        <w:rPr>
          <w:rFonts w:eastAsiaTheme="minorHAnsi"/>
          <w:lang w:val="en-CA"/>
        </w:rPr>
        <w:t xml:space="preserve"> </w:t>
      </w:r>
      <w:r w:rsidR="003944F5" w:rsidRPr="00752D88">
        <w:rPr>
          <w:rFonts w:eastAsiaTheme="minorHAnsi"/>
          <w:lang w:val="en-CA"/>
        </w:rPr>
        <w:t>year</w:t>
      </w:r>
      <w:r w:rsidR="00876949" w:rsidRPr="00752D88">
        <w:rPr>
          <w:rFonts w:eastAsiaTheme="minorHAnsi"/>
          <w:lang w:val="en-CA"/>
        </w:rPr>
        <w:t xml:space="preserve">. </w:t>
      </w:r>
      <w:r w:rsidR="00A60B4E" w:rsidRPr="00752D88">
        <w:rPr>
          <w:rFonts w:eastAsiaTheme="minorHAnsi"/>
          <w:lang w:val="en-CA"/>
        </w:rPr>
        <w:t>T</w:t>
      </w:r>
      <w:r w:rsidR="005A39A8" w:rsidRPr="00752D88">
        <w:rPr>
          <w:rFonts w:eastAsiaTheme="minorHAnsi"/>
          <w:lang w:val="en-CA"/>
        </w:rPr>
        <w:t xml:space="preserve">he country should provide a clarification in the “Remarks” column </w:t>
      </w:r>
      <w:r w:rsidR="003944F5" w:rsidRPr="00752D88">
        <w:rPr>
          <w:rFonts w:eastAsiaTheme="minorHAnsi"/>
          <w:lang w:val="en-CA"/>
        </w:rPr>
        <w:t xml:space="preserve">for </w:t>
      </w:r>
      <w:r w:rsidR="005A39A8" w:rsidRPr="00752D88">
        <w:rPr>
          <w:rFonts w:eastAsiaTheme="minorHAnsi"/>
          <w:lang w:val="en-CA"/>
        </w:rPr>
        <w:t xml:space="preserve">each controlled substance </w:t>
      </w:r>
      <w:r w:rsidR="00A60B4E" w:rsidRPr="00752D88">
        <w:rPr>
          <w:rFonts w:eastAsiaTheme="minorHAnsi"/>
          <w:lang w:val="en-CA"/>
        </w:rPr>
        <w:t>where there is a data discrepancy</w:t>
      </w:r>
      <w:r w:rsidR="00373BBF" w:rsidRPr="00752D88">
        <w:rPr>
          <w:rFonts w:eastAsiaTheme="minorHAnsi"/>
          <w:lang w:val="en-CA"/>
        </w:rPr>
        <w:t>.</w:t>
      </w:r>
      <w:r w:rsidR="00A60B4E" w:rsidRPr="00752D88">
        <w:rPr>
          <w:rFonts w:eastAsiaTheme="minorHAnsi"/>
          <w:lang w:val="en-CA"/>
        </w:rPr>
        <w:t xml:space="preserve"> </w:t>
      </w:r>
    </w:p>
    <w:p w14:paraId="441B683E" w14:textId="668EFBFD" w:rsidR="00ED2DFF" w:rsidRPr="00752D88" w:rsidRDefault="00ED2DFF" w:rsidP="00ED2DFF">
      <w:pPr>
        <w:pStyle w:val="Heading1"/>
        <w:rPr>
          <w:rFonts w:eastAsiaTheme="minorHAnsi"/>
          <w:lang w:val="en-CA"/>
        </w:rPr>
      </w:pPr>
      <w:r w:rsidRPr="00752D88">
        <w:rPr>
          <w:rFonts w:eastAsiaTheme="minorHAnsi"/>
          <w:lang w:val="en-CA"/>
        </w:rPr>
        <w:t xml:space="preserve">Countries should check the reported data of all controlled substances before submitting the report, ensuring that there are no data discrepancies or </w:t>
      </w:r>
      <w:r w:rsidR="00F67EA0" w:rsidRPr="00752D88">
        <w:rPr>
          <w:rFonts w:eastAsiaTheme="minorHAnsi"/>
          <w:lang w:val="en-CA"/>
        </w:rPr>
        <w:t xml:space="preserve">that </w:t>
      </w:r>
      <w:r w:rsidRPr="00752D88">
        <w:rPr>
          <w:rFonts w:eastAsiaTheme="minorHAnsi"/>
          <w:lang w:val="en-CA"/>
        </w:rPr>
        <w:t>an explanation has been provided for cases of data discrepancies. Inconsistencies in the data could delay the project review process of the Multilateral Fund because of the need to reconcile the data.</w:t>
      </w:r>
    </w:p>
    <w:p w14:paraId="0E9C85EB" w14:textId="0911F07D" w:rsidR="0056186A" w:rsidRPr="00752D88" w:rsidRDefault="0056186A" w:rsidP="0056186A">
      <w:pPr>
        <w:pStyle w:val="Heading1"/>
      </w:pPr>
      <w:r w:rsidRPr="00752D88">
        <w:rPr>
          <w:rFonts w:eastAsiaTheme="minorHAnsi"/>
          <w:lang w:val="en-CA"/>
        </w:rPr>
        <w:lastRenderedPageBreak/>
        <w:t>The list of blends/mixtures containing controlled substances with their compositions can be found in A</w:t>
      </w:r>
      <w:r w:rsidR="003373BB" w:rsidRPr="00752D88">
        <w:rPr>
          <w:rFonts w:eastAsiaTheme="minorHAnsi"/>
          <w:lang w:val="en-CA"/>
        </w:rPr>
        <w:t>ppendix</w:t>
      </w:r>
      <w:r w:rsidRPr="00752D88">
        <w:rPr>
          <w:rFonts w:eastAsiaTheme="minorHAnsi"/>
          <w:lang w:val="en-CA"/>
        </w:rPr>
        <w:t xml:space="preserve"> I of th</w:t>
      </w:r>
      <w:r w:rsidR="00F67EA0" w:rsidRPr="00752D88">
        <w:rPr>
          <w:rFonts w:eastAsiaTheme="minorHAnsi"/>
          <w:lang w:val="en-CA"/>
        </w:rPr>
        <w:t>is Practical manual</w:t>
      </w:r>
      <w:r w:rsidRPr="00752D88">
        <w:rPr>
          <w:rFonts w:eastAsiaTheme="minorHAnsi"/>
          <w:lang w:val="en-CA"/>
        </w:rPr>
        <w:t>.</w:t>
      </w:r>
    </w:p>
    <w:p w14:paraId="784B09F1" w14:textId="10BA95A4" w:rsidR="00373BBF" w:rsidRPr="00752D88" w:rsidRDefault="00373BBF" w:rsidP="00373BBF">
      <w:pPr>
        <w:rPr>
          <w:rFonts w:ascii="Times New Roman" w:hAnsi="Times New Roman" w:cs="Times New Roman"/>
          <w:b/>
        </w:rPr>
      </w:pPr>
      <w:r w:rsidRPr="00752D88">
        <w:rPr>
          <w:rFonts w:ascii="Times New Roman" w:hAnsi="Times New Roman" w:cs="Times New Roman"/>
          <w:b/>
        </w:rPr>
        <w:t>Practical instructions for filling the data forms</w:t>
      </w:r>
    </w:p>
    <w:p w14:paraId="4AF7E071" w14:textId="40E995E5" w:rsidR="00C159E6" w:rsidRPr="00752D88" w:rsidRDefault="00373BBF" w:rsidP="00493C77">
      <w:pPr>
        <w:pStyle w:val="Heading1"/>
      </w:pPr>
      <w:r w:rsidRPr="00752D88">
        <w:rPr>
          <w:rFonts w:eastAsiaTheme="minorHAnsi"/>
          <w:lang w:val="en-CA"/>
        </w:rPr>
        <w:t>The following observations are relevant when filling the data forms</w:t>
      </w:r>
      <w:r w:rsidR="00C159E6" w:rsidRPr="00752D88">
        <w:rPr>
          <w:rFonts w:eastAsiaTheme="minorHAnsi"/>
          <w:lang w:val="en-CA"/>
        </w:rPr>
        <w:t>:</w:t>
      </w:r>
    </w:p>
    <w:p w14:paraId="226A39AD" w14:textId="50B31731" w:rsidR="00C159E6" w:rsidRPr="00752D88" w:rsidRDefault="00C159E6" w:rsidP="00493C77">
      <w:pPr>
        <w:pStyle w:val="ListParagraph"/>
        <w:numPr>
          <w:ilvl w:val="0"/>
          <w:numId w:val="12"/>
        </w:numPr>
        <w:spacing w:after="240" w:line="240" w:lineRule="auto"/>
        <w:ind w:left="1418" w:hanging="709"/>
        <w:contextualSpacing w:val="0"/>
        <w:jc w:val="both"/>
        <w:rPr>
          <w:rFonts w:ascii="Times New Roman" w:hAnsi="Times New Roman" w:cs="Times New Roman"/>
        </w:rPr>
      </w:pPr>
      <w:r w:rsidRPr="00752D88">
        <w:rPr>
          <w:rFonts w:ascii="Times New Roman" w:hAnsi="Times New Roman" w:cs="Times New Roman"/>
        </w:rPr>
        <w:t>Data entry is needed only in unshaded cells.</w:t>
      </w:r>
      <w:r w:rsidR="006451A1" w:rsidRPr="00752D88">
        <w:rPr>
          <w:rFonts w:ascii="Times New Roman" w:hAnsi="Times New Roman" w:cs="Times New Roman"/>
        </w:rPr>
        <w:t xml:space="preserve"> </w:t>
      </w:r>
      <w:r w:rsidR="00EA4C01" w:rsidRPr="00752D88">
        <w:rPr>
          <w:rFonts w:ascii="Times New Roman" w:hAnsi="Times New Roman" w:cs="Times New Roman"/>
        </w:rPr>
        <w:t xml:space="preserve">The unshaded cells are automatically pre-filled with 0 </w:t>
      </w:r>
      <w:r w:rsidR="00ED2DFF" w:rsidRPr="00752D88">
        <w:rPr>
          <w:rFonts w:ascii="Times New Roman" w:hAnsi="Times New Roman" w:cs="Times New Roman"/>
        </w:rPr>
        <w:t xml:space="preserve">(zero) </w:t>
      </w:r>
      <w:r w:rsidR="00EA4C01" w:rsidRPr="00752D88">
        <w:rPr>
          <w:rFonts w:ascii="Times New Roman" w:hAnsi="Times New Roman" w:cs="Times New Roman"/>
        </w:rPr>
        <w:t>values</w:t>
      </w:r>
    </w:p>
    <w:p w14:paraId="60336788" w14:textId="4B5A1FB0" w:rsidR="00C159E6" w:rsidRPr="00752D88" w:rsidRDefault="00C159E6" w:rsidP="00493C77">
      <w:pPr>
        <w:pStyle w:val="ListParagraph"/>
        <w:numPr>
          <w:ilvl w:val="0"/>
          <w:numId w:val="12"/>
        </w:numPr>
        <w:spacing w:after="240" w:line="240" w:lineRule="auto"/>
        <w:ind w:left="1418" w:hanging="709"/>
        <w:contextualSpacing w:val="0"/>
        <w:jc w:val="both"/>
        <w:rPr>
          <w:rFonts w:ascii="Times New Roman" w:hAnsi="Times New Roman" w:cs="Times New Roman"/>
        </w:rPr>
      </w:pPr>
      <w:r w:rsidRPr="00752D88">
        <w:rPr>
          <w:rFonts w:ascii="Times New Roman" w:hAnsi="Times New Roman" w:cs="Times New Roman"/>
        </w:rPr>
        <w:t>Data should be provided in</w:t>
      </w:r>
      <w:r w:rsidRPr="00752D88">
        <w:rPr>
          <w:rFonts w:ascii="Times New Roman" w:hAnsi="Times New Roman" w:cs="Times New Roman"/>
          <w:b/>
        </w:rPr>
        <w:t xml:space="preserve"> metric tonnes only </w:t>
      </w:r>
      <w:r w:rsidRPr="00752D88">
        <w:rPr>
          <w:rFonts w:ascii="Times New Roman" w:hAnsi="Times New Roman" w:cs="Times New Roman"/>
        </w:rPr>
        <w:t>and not in ODP tonnes</w:t>
      </w:r>
      <w:r w:rsidR="00F44178" w:rsidRPr="00752D88">
        <w:rPr>
          <w:rFonts w:ascii="Times New Roman" w:hAnsi="Times New Roman" w:cs="Times New Roman"/>
        </w:rPr>
        <w:t xml:space="preserve"> or CO</w:t>
      </w:r>
      <w:r w:rsidR="00F44178" w:rsidRPr="00752D88">
        <w:rPr>
          <w:rFonts w:ascii="Times New Roman" w:hAnsi="Times New Roman" w:cs="Times New Roman"/>
          <w:vertAlign w:val="subscript"/>
        </w:rPr>
        <w:t>2</w:t>
      </w:r>
      <w:r w:rsidR="00F44178" w:rsidRPr="00752D88">
        <w:rPr>
          <w:rFonts w:ascii="Times New Roman" w:hAnsi="Times New Roman" w:cs="Times New Roman"/>
        </w:rPr>
        <w:t>-equ</w:t>
      </w:r>
      <w:r w:rsidR="00ED2DFF" w:rsidRPr="00752D88">
        <w:rPr>
          <w:rFonts w:ascii="Times New Roman" w:hAnsi="Times New Roman" w:cs="Times New Roman"/>
        </w:rPr>
        <w:t>ivale</w:t>
      </w:r>
      <w:r w:rsidR="00F44178" w:rsidRPr="00752D88">
        <w:rPr>
          <w:rFonts w:ascii="Times New Roman" w:hAnsi="Times New Roman" w:cs="Times New Roman"/>
        </w:rPr>
        <w:t>nt</w:t>
      </w:r>
      <w:r w:rsidRPr="00752D88">
        <w:rPr>
          <w:rFonts w:ascii="Times New Roman" w:hAnsi="Times New Roman" w:cs="Times New Roman"/>
        </w:rPr>
        <w:t>.</w:t>
      </w:r>
      <w:r w:rsidR="006451A1" w:rsidRPr="00752D88">
        <w:rPr>
          <w:rFonts w:ascii="Times New Roman" w:hAnsi="Times New Roman" w:cs="Times New Roman"/>
        </w:rPr>
        <w:t xml:space="preserve"> </w:t>
      </w:r>
      <w:r w:rsidRPr="00752D88">
        <w:rPr>
          <w:rFonts w:ascii="Times New Roman" w:hAnsi="Times New Roman" w:cs="Times New Roman"/>
        </w:rPr>
        <w:t xml:space="preserve">Conversion of the data to ODP </w:t>
      </w:r>
      <w:r w:rsidR="00F44178" w:rsidRPr="00752D88">
        <w:rPr>
          <w:rFonts w:ascii="Times New Roman" w:hAnsi="Times New Roman" w:cs="Times New Roman"/>
        </w:rPr>
        <w:t>or CO</w:t>
      </w:r>
      <w:r w:rsidR="00F44178" w:rsidRPr="00752D88">
        <w:rPr>
          <w:rFonts w:ascii="Times New Roman" w:hAnsi="Times New Roman" w:cs="Times New Roman"/>
          <w:vertAlign w:val="subscript"/>
        </w:rPr>
        <w:t>2</w:t>
      </w:r>
      <w:r w:rsidR="00F44178" w:rsidRPr="00752D88">
        <w:rPr>
          <w:rFonts w:ascii="Times New Roman" w:hAnsi="Times New Roman" w:cs="Times New Roman"/>
        </w:rPr>
        <w:t xml:space="preserve">-equivalent </w:t>
      </w:r>
      <w:r w:rsidRPr="00752D88">
        <w:rPr>
          <w:rFonts w:ascii="Times New Roman" w:hAnsi="Times New Roman" w:cs="Times New Roman"/>
        </w:rPr>
        <w:t>will be done by the Secretariat</w:t>
      </w:r>
    </w:p>
    <w:p w14:paraId="2F17A366" w14:textId="035F6D97" w:rsidR="00C159E6" w:rsidRPr="00752D88" w:rsidRDefault="00C159E6" w:rsidP="00493C77">
      <w:pPr>
        <w:pStyle w:val="ListParagraph"/>
        <w:numPr>
          <w:ilvl w:val="0"/>
          <w:numId w:val="12"/>
        </w:numPr>
        <w:spacing w:after="240" w:line="240" w:lineRule="auto"/>
        <w:ind w:left="1418" w:hanging="709"/>
        <w:contextualSpacing w:val="0"/>
        <w:jc w:val="both"/>
        <w:rPr>
          <w:rFonts w:ascii="Times New Roman" w:hAnsi="Times New Roman" w:cs="Times New Roman"/>
        </w:rPr>
      </w:pPr>
      <w:r w:rsidRPr="00752D88">
        <w:rPr>
          <w:rFonts w:ascii="Times New Roman" w:hAnsi="Times New Roman" w:cs="Times New Roman"/>
        </w:rPr>
        <w:t xml:space="preserve">Quantities </w:t>
      </w:r>
      <w:r w:rsidR="00ED2DFF" w:rsidRPr="00752D88">
        <w:rPr>
          <w:rFonts w:ascii="Times New Roman" w:hAnsi="Times New Roman" w:cs="Times New Roman"/>
        </w:rPr>
        <w:t xml:space="preserve">of controlled substances </w:t>
      </w:r>
      <w:r w:rsidRPr="00752D88">
        <w:rPr>
          <w:rFonts w:ascii="Times New Roman" w:hAnsi="Times New Roman" w:cs="Times New Roman"/>
        </w:rPr>
        <w:t>contained in end-products</w:t>
      </w:r>
      <w:r w:rsidR="003944F5" w:rsidRPr="00752D88">
        <w:rPr>
          <w:rFonts w:ascii="Times New Roman" w:hAnsi="Times New Roman" w:cs="Times New Roman"/>
        </w:rPr>
        <w:t>,</w:t>
      </w:r>
      <w:r w:rsidRPr="00752D88">
        <w:rPr>
          <w:rFonts w:ascii="Times New Roman" w:hAnsi="Times New Roman" w:cs="Times New Roman"/>
        </w:rPr>
        <w:t xml:space="preserve"> either imported or exported</w:t>
      </w:r>
      <w:r w:rsidR="003944F5" w:rsidRPr="00752D88">
        <w:rPr>
          <w:rFonts w:ascii="Times New Roman" w:hAnsi="Times New Roman" w:cs="Times New Roman"/>
        </w:rPr>
        <w:t>,</w:t>
      </w:r>
      <w:r w:rsidRPr="00752D88">
        <w:rPr>
          <w:rFonts w:ascii="Times New Roman" w:hAnsi="Times New Roman" w:cs="Times New Roman"/>
        </w:rPr>
        <w:t xml:space="preserve"> e.g. mobile automobile air conditioners (MACs), domestic refrigerators and freezers</w:t>
      </w:r>
      <w:r w:rsidR="003944F5" w:rsidRPr="00752D88">
        <w:rPr>
          <w:rFonts w:ascii="Times New Roman" w:hAnsi="Times New Roman" w:cs="Times New Roman"/>
        </w:rPr>
        <w:t>,</w:t>
      </w:r>
      <w:r w:rsidRPr="00752D88">
        <w:rPr>
          <w:rFonts w:ascii="Times New Roman" w:hAnsi="Times New Roman" w:cs="Times New Roman"/>
        </w:rPr>
        <w:t xml:space="preserve"> </w:t>
      </w:r>
      <w:r w:rsidR="00ED2DFF" w:rsidRPr="00752D88">
        <w:rPr>
          <w:rFonts w:ascii="Times New Roman" w:hAnsi="Times New Roman" w:cs="Times New Roman"/>
        </w:rPr>
        <w:t>air</w:t>
      </w:r>
      <w:r w:rsidR="0078777D" w:rsidRPr="00752D88">
        <w:rPr>
          <w:rFonts w:ascii="Times New Roman" w:hAnsi="Times New Roman" w:cs="Times New Roman"/>
        </w:rPr>
        <w:noBreakHyphen/>
      </w:r>
      <w:r w:rsidR="00ED2DFF" w:rsidRPr="00752D88">
        <w:rPr>
          <w:rFonts w:ascii="Times New Roman" w:hAnsi="Times New Roman" w:cs="Times New Roman"/>
        </w:rPr>
        <w:t>conditioners</w:t>
      </w:r>
      <w:r w:rsidRPr="00752D88">
        <w:rPr>
          <w:rFonts w:ascii="Times New Roman" w:hAnsi="Times New Roman" w:cs="Times New Roman"/>
        </w:rPr>
        <w:t xml:space="preserve"> should not be </w:t>
      </w:r>
      <w:r w:rsidR="00ED2DFF" w:rsidRPr="00752D88">
        <w:rPr>
          <w:rFonts w:ascii="Times New Roman" w:hAnsi="Times New Roman" w:cs="Times New Roman"/>
        </w:rPr>
        <w:t>reported on the data forms</w:t>
      </w:r>
    </w:p>
    <w:p w14:paraId="38E45579" w14:textId="08216E1E" w:rsidR="00C159E6" w:rsidRPr="00752D88" w:rsidRDefault="00C159E6" w:rsidP="00493C77">
      <w:pPr>
        <w:pStyle w:val="ListParagraph"/>
        <w:numPr>
          <w:ilvl w:val="0"/>
          <w:numId w:val="12"/>
        </w:numPr>
        <w:spacing w:after="240" w:line="240" w:lineRule="auto"/>
        <w:ind w:left="1418" w:hanging="709"/>
        <w:contextualSpacing w:val="0"/>
        <w:jc w:val="both"/>
        <w:rPr>
          <w:rFonts w:ascii="Times New Roman" w:hAnsi="Times New Roman" w:cs="Times New Roman"/>
        </w:rPr>
      </w:pPr>
      <w:r w:rsidRPr="00752D88">
        <w:rPr>
          <w:rFonts w:ascii="Times New Roman" w:hAnsi="Times New Roman" w:cs="Times New Roman"/>
        </w:rPr>
        <w:t xml:space="preserve">Reported data </w:t>
      </w:r>
      <w:r w:rsidR="00ED2DFF" w:rsidRPr="00752D88">
        <w:rPr>
          <w:rFonts w:ascii="Times New Roman" w:hAnsi="Times New Roman" w:cs="Times New Roman"/>
        </w:rPr>
        <w:t xml:space="preserve">should </w:t>
      </w:r>
      <w:r w:rsidRPr="00752D88">
        <w:rPr>
          <w:rFonts w:ascii="Times New Roman" w:hAnsi="Times New Roman" w:cs="Times New Roman"/>
        </w:rPr>
        <w:t xml:space="preserve">not include quantities </w:t>
      </w:r>
      <w:r w:rsidR="00ED2DFF" w:rsidRPr="00752D88">
        <w:rPr>
          <w:rFonts w:ascii="Times New Roman" w:hAnsi="Times New Roman" w:cs="Times New Roman"/>
        </w:rPr>
        <w:t xml:space="preserve">of controlled substances </w:t>
      </w:r>
      <w:r w:rsidRPr="00752D88">
        <w:rPr>
          <w:rFonts w:ascii="Times New Roman" w:hAnsi="Times New Roman" w:cs="Times New Roman"/>
        </w:rPr>
        <w:t>used as feedstock for producing other chemicals</w:t>
      </w:r>
      <w:r w:rsidR="003944F5" w:rsidRPr="00752D88">
        <w:rPr>
          <w:rFonts w:ascii="Times New Roman" w:hAnsi="Times New Roman" w:cs="Times New Roman"/>
        </w:rPr>
        <w:t>,</w:t>
      </w:r>
      <w:r w:rsidRPr="00752D88">
        <w:rPr>
          <w:rFonts w:ascii="Times New Roman" w:hAnsi="Times New Roman" w:cs="Times New Roman"/>
        </w:rPr>
        <w:t xml:space="preserve"> </w:t>
      </w:r>
      <w:r w:rsidR="00ED2DFF" w:rsidRPr="00752D88">
        <w:rPr>
          <w:rFonts w:ascii="Times New Roman" w:hAnsi="Times New Roman" w:cs="Times New Roman"/>
        </w:rPr>
        <w:t xml:space="preserve">or used for quarantine and pre-shipment applications, or </w:t>
      </w:r>
      <w:r w:rsidRPr="00752D88">
        <w:rPr>
          <w:rFonts w:ascii="Times New Roman" w:hAnsi="Times New Roman" w:cs="Times New Roman"/>
        </w:rPr>
        <w:t xml:space="preserve">quantities </w:t>
      </w:r>
      <w:r w:rsidR="003944F5" w:rsidRPr="00752D88">
        <w:rPr>
          <w:rFonts w:ascii="Times New Roman" w:hAnsi="Times New Roman" w:cs="Times New Roman"/>
        </w:rPr>
        <w:t xml:space="preserve">that have been </w:t>
      </w:r>
      <w:r w:rsidRPr="00752D88">
        <w:rPr>
          <w:rFonts w:ascii="Times New Roman" w:hAnsi="Times New Roman" w:cs="Times New Roman"/>
        </w:rPr>
        <w:t>destroyed.</w:t>
      </w:r>
      <w:r w:rsidR="006451A1" w:rsidRPr="00752D88">
        <w:rPr>
          <w:rFonts w:ascii="Times New Roman" w:hAnsi="Times New Roman" w:cs="Times New Roman"/>
        </w:rPr>
        <w:t xml:space="preserve"> </w:t>
      </w:r>
      <w:r w:rsidR="00FA1BA1" w:rsidRPr="00752D88">
        <w:rPr>
          <w:rFonts w:ascii="Times New Roman" w:hAnsi="Times New Roman" w:cs="Times New Roman"/>
        </w:rPr>
        <w:t>These quantities can be explained in the “Remarks”</w:t>
      </w:r>
      <w:r w:rsidR="003944F5" w:rsidRPr="00752D88">
        <w:rPr>
          <w:rFonts w:ascii="Times New Roman" w:hAnsi="Times New Roman" w:cs="Times New Roman"/>
        </w:rPr>
        <w:t xml:space="preserve"> column</w:t>
      </w:r>
    </w:p>
    <w:p w14:paraId="381DCB20" w14:textId="7F489496" w:rsidR="00AB5E31" w:rsidRPr="00752D88" w:rsidRDefault="00AB5E31" w:rsidP="00493C77">
      <w:pPr>
        <w:pStyle w:val="Heading1"/>
      </w:pPr>
      <w:r w:rsidRPr="00752D88">
        <w:rPr>
          <w:rFonts w:eastAsiaTheme="minorHAnsi"/>
          <w:lang w:val="en-CA"/>
        </w:rPr>
        <w:t xml:space="preserve">The following instructions are arranged </w:t>
      </w:r>
      <w:r w:rsidR="003944F5" w:rsidRPr="00752D88">
        <w:rPr>
          <w:rFonts w:eastAsiaTheme="minorHAnsi"/>
          <w:lang w:val="en-CA"/>
        </w:rPr>
        <w:t>by</w:t>
      </w:r>
      <w:r w:rsidRPr="00752D88">
        <w:rPr>
          <w:rFonts w:eastAsiaTheme="minorHAnsi"/>
          <w:lang w:val="en-CA"/>
        </w:rPr>
        <w:t xml:space="preserve"> section</w:t>
      </w:r>
      <w:r w:rsidR="00ED2DFF" w:rsidRPr="00752D88">
        <w:rPr>
          <w:rFonts w:eastAsiaTheme="minorHAnsi"/>
          <w:lang w:val="en-CA"/>
        </w:rPr>
        <w:t xml:space="preserve"> </w:t>
      </w:r>
      <w:r w:rsidRPr="00752D88">
        <w:rPr>
          <w:rFonts w:eastAsiaTheme="minorHAnsi"/>
          <w:lang w:val="en-CA"/>
        </w:rPr>
        <w:t>and guide the user in collecting the information required for accurate and reliable reporting.</w:t>
      </w:r>
    </w:p>
    <w:p w14:paraId="6A06691B" w14:textId="751255E0" w:rsidR="00D91BA1" w:rsidRPr="00752D88" w:rsidRDefault="00AB72D0" w:rsidP="00ED2DFF">
      <w:pPr>
        <w:spacing w:after="240" w:line="240" w:lineRule="auto"/>
        <w:ind w:left="1440" w:hanging="1440"/>
        <w:rPr>
          <w:rFonts w:ascii="Times New Roman" w:hAnsi="Times New Roman" w:cs="Times New Roman"/>
          <w:b/>
          <w:bCs/>
        </w:rPr>
      </w:pPr>
      <w:r w:rsidRPr="00752D88">
        <w:rPr>
          <w:rFonts w:ascii="Times New Roman" w:hAnsi="Times New Roman" w:cs="Times New Roman"/>
          <w:b/>
          <w:bCs/>
        </w:rPr>
        <w:t>Section A</w:t>
      </w:r>
      <w:r w:rsidR="001415F1" w:rsidRPr="00752D88">
        <w:rPr>
          <w:rFonts w:ascii="Times New Roman" w:hAnsi="Times New Roman" w:cs="Times New Roman"/>
          <w:b/>
          <w:bCs/>
        </w:rPr>
        <w:t>.</w:t>
      </w:r>
      <w:r w:rsidR="00ED2DFF" w:rsidRPr="00752D88">
        <w:rPr>
          <w:rFonts w:ascii="Times New Roman" w:hAnsi="Times New Roman" w:cs="Times New Roman"/>
          <w:b/>
          <w:bCs/>
        </w:rPr>
        <w:tab/>
      </w:r>
      <w:r w:rsidR="00D4612D" w:rsidRPr="00752D88">
        <w:rPr>
          <w:rFonts w:ascii="Times New Roman" w:hAnsi="Times New Roman" w:cs="Times New Roman"/>
          <w:b/>
          <w:bCs/>
        </w:rPr>
        <w:t xml:space="preserve">Annex A - Group I, Annex B - Group II, Annex C - Group I and Annex E </w:t>
      </w:r>
    </w:p>
    <w:p w14:paraId="12FB32E3" w14:textId="1E7932B5" w:rsidR="00506B61" w:rsidRPr="00752D88" w:rsidRDefault="009D09BF" w:rsidP="00493C77">
      <w:pPr>
        <w:pStyle w:val="Heading1"/>
      </w:pPr>
      <w:r w:rsidRPr="00752D88">
        <w:rPr>
          <w:rFonts w:eastAsiaTheme="minorHAnsi"/>
          <w:lang w:val="en-CA"/>
        </w:rPr>
        <w:t xml:space="preserve">This section </w:t>
      </w:r>
      <w:r w:rsidR="00303121" w:rsidRPr="00752D88">
        <w:rPr>
          <w:rFonts w:eastAsiaTheme="minorHAnsi"/>
          <w:lang w:val="en-CA"/>
        </w:rPr>
        <w:t xml:space="preserve">is used to report data on Annex A (CFCs), Annex B (CTC), Annex C (HCFCs) and Annex E (methyl bromide) as shown </w:t>
      </w:r>
      <w:r w:rsidR="00F26D20" w:rsidRPr="00752D88">
        <w:rPr>
          <w:rFonts w:eastAsiaTheme="minorHAnsi"/>
          <w:lang w:val="en-CA"/>
        </w:rPr>
        <w:t xml:space="preserve">in the table </w:t>
      </w:r>
      <w:r w:rsidR="00143C3D" w:rsidRPr="00752D88">
        <w:rPr>
          <w:rFonts w:eastAsiaTheme="minorHAnsi"/>
          <w:lang w:val="en-CA"/>
        </w:rPr>
        <w:t>below</w:t>
      </w:r>
      <w:r w:rsidR="00303121" w:rsidRPr="00752D88">
        <w:rPr>
          <w:rFonts w:eastAsiaTheme="minorHAnsi"/>
          <w:lang w:val="en-CA"/>
        </w:rPr>
        <w:t>.</w:t>
      </w:r>
      <w:r w:rsidR="0007311D" w:rsidRPr="00752D88">
        <w:t xml:space="preserve"> </w:t>
      </w:r>
      <w:r w:rsidR="00ED2DFF" w:rsidRPr="00752D88">
        <w:rPr>
          <w:rFonts w:eastAsiaTheme="minorHAnsi"/>
          <w:lang w:val="en-CA"/>
        </w:rPr>
        <w:t>Cells in the data forms where data is not required have been shaded.</w:t>
      </w:r>
    </w:p>
    <w:p w14:paraId="49DBEE87" w14:textId="06E7434A" w:rsidR="00506B61" w:rsidRPr="00752D88" w:rsidRDefault="00AB1D29" w:rsidP="00493C77">
      <w:pPr>
        <w:pStyle w:val="ListParagraph"/>
        <w:spacing w:after="240" w:line="240" w:lineRule="auto"/>
        <w:ind w:left="-426"/>
        <w:contextualSpacing w:val="0"/>
        <w:rPr>
          <w:rFonts w:ascii="Times New Roman" w:hAnsi="Times New Roman" w:cs="Times New Roman"/>
        </w:rPr>
      </w:pPr>
      <w:r w:rsidRPr="00752D88">
        <w:rPr>
          <w:noProof/>
          <w:lang w:eastAsia="en-CA"/>
        </w:rPr>
        <w:drawing>
          <wp:inline distT="0" distB="0" distL="0" distR="0" wp14:anchorId="7F13138C" wp14:editId="29ABD590">
            <wp:extent cx="6584950" cy="29781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5452" cy="2978377"/>
                    </a:xfrm>
                    <a:prstGeom prst="rect">
                      <a:avLst/>
                    </a:prstGeom>
                    <a:noFill/>
                    <a:ln>
                      <a:noFill/>
                    </a:ln>
                  </pic:spPr>
                </pic:pic>
              </a:graphicData>
            </a:graphic>
          </wp:inline>
        </w:drawing>
      </w:r>
    </w:p>
    <w:p w14:paraId="155A9680" w14:textId="5F07250C" w:rsidR="00A86707" w:rsidRPr="00752D88" w:rsidRDefault="00BB7130" w:rsidP="00493C77">
      <w:pPr>
        <w:pStyle w:val="Heading1"/>
      </w:pPr>
      <w:r w:rsidRPr="00752D88">
        <w:rPr>
          <w:rFonts w:eastAsiaTheme="minorHAnsi"/>
          <w:lang w:val="en-CA"/>
        </w:rPr>
        <w:lastRenderedPageBreak/>
        <w:t xml:space="preserve">Each controlled substance should be broken down into specific </w:t>
      </w:r>
      <w:r w:rsidR="00ED2DFF" w:rsidRPr="00752D88">
        <w:rPr>
          <w:rFonts w:eastAsiaTheme="minorHAnsi"/>
          <w:lang w:val="en-CA"/>
        </w:rPr>
        <w:t xml:space="preserve">sector </w:t>
      </w:r>
      <w:r w:rsidRPr="00752D88">
        <w:rPr>
          <w:rFonts w:eastAsiaTheme="minorHAnsi"/>
          <w:lang w:val="en-CA"/>
        </w:rPr>
        <w:t>use</w:t>
      </w:r>
      <w:r w:rsidR="00ED2DFF" w:rsidRPr="00752D88">
        <w:rPr>
          <w:rFonts w:eastAsiaTheme="minorHAnsi"/>
          <w:lang w:val="en-CA"/>
        </w:rPr>
        <w:t>s</w:t>
      </w:r>
      <w:r w:rsidRPr="00752D88">
        <w:rPr>
          <w:rFonts w:eastAsiaTheme="minorHAnsi"/>
          <w:lang w:val="en-CA"/>
        </w:rPr>
        <w:t xml:space="preserve">, such as for aerosol, foam, refrigeration (manufacturing and servicing), solvent, process agent, </w:t>
      </w:r>
      <w:r w:rsidR="0078777D" w:rsidRPr="00752D88">
        <w:rPr>
          <w:rFonts w:eastAsiaTheme="minorHAnsi"/>
          <w:lang w:val="en-CA"/>
        </w:rPr>
        <w:t>lab</w:t>
      </w:r>
      <w:r w:rsidR="00F67EA0" w:rsidRPr="00752D88">
        <w:rPr>
          <w:rFonts w:eastAsiaTheme="minorHAnsi"/>
          <w:lang w:val="en-CA"/>
        </w:rPr>
        <w:t>oratory</w:t>
      </w:r>
      <w:r w:rsidRPr="00752D88">
        <w:rPr>
          <w:rFonts w:eastAsiaTheme="minorHAnsi"/>
          <w:lang w:val="en-CA"/>
        </w:rPr>
        <w:t xml:space="preserve"> use and methyl bromide.</w:t>
      </w:r>
      <w:r w:rsidR="006451A1" w:rsidRPr="00752D88">
        <w:rPr>
          <w:rFonts w:eastAsiaTheme="minorHAnsi"/>
          <w:lang w:val="en-CA"/>
        </w:rPr>
        <w:t xml:space="preserve"> </w:t>
      </w:r>
      <w:r w:rsidR="00266B25" w:rsidRPr="00752D88">
        <w:rPr>
          <w:rFonts w:eastAsiaTheme="minorHAnsi"/>
          <w:lang w:val="en-CA"/>
        </w:rPr>
        <w:t xml:space="preserve">All </w:t>
      </w:r>
      <w:r w:rsidR="009E0108" w:rsidRPr="00752D88">
        <w:rPr>
          <w:rFonts w:eastAsiaTheme="minorHAnsi"/>
          <w:lang w:val="en-CA"/>
        </w:rPr>
        <w:t>“</w:t>
      </w:r>
      <w:r w:rsidR="00266B25" w:rsidRPr="00752D88">
        <w:rPr>
          <w:rFonts w:eastAsiaTheme="minorHAnsi"/>
          <w:lang w:val="en-CA"/>
        </w:rPr>
        <w:t xml:space="preserve">Use by </w:t>
      </w:r>
      <w:r w:rsidR="006318B2" w:rsidRPr="00752D88">
        <w:rPr>
          <w:rFonts w:eastAsiaTheme="minorHAnsi"/>
          <w:lang w:val="en-CA"/>
        </w:rPr>
        <w:t>S</w:t>
      </w:r>
      <w:r w:rsidR="00266B25" w:rsidRPr="00752D88">
        <w:rPr>
          <w:rFonts w:eastAsiaTheme="minorHAnsi"/>
          <w:lang w:val="en-CA"/>
        </w:rPr>
        <w:t>ector</w:t>
      </w:r>
      <w:r w:rsidR="009E0108" w:rsidRPr="00752D88">
        <w:rPr>
          <w:rFonts w:eastAsiaTheme="minorHAnsi"/>
          <w:lang w:val="en-CA"/>
        </w:rPr>
        <w:t>”</w:t>
      </w:r>
      <w:r w:rsidR="00266B25" w:rsidRPr="00752D88">
        <w:rPr>
          <w:rFonts w:eastAsiaTheme="minorHAnsi"/>
          <w:lang w:val="en-CA"/>
        </w:rPr>
        <w:t xml:space="preserve"> </w:t>
      </w:r>
      <w:r w:rsidR="00F67EA0" w:rsidRPr="00752D88">
        <w:rPr>
          <w:rFonts w:eastAsiaTheme="minorHAnsi"/>
          <w:lang w:val="en-CA"/>
        </w:rPr>
        <w:t xml:space="preserve">columns </w:t>
      </w:r>
      <w:r w:rsidR="00266B25" w:rsidRPr="00752D88">
        <w:rPr>
          <w:rFonts w:eastAsiaTheme="minorHAnsi"/>
          <w:lang w:val="en-CA"/>
        </w:rPr>
        <w:t>should be added up to get a TOTAL for each substance.</w:t>
      </w:r>
      <w:r w:rsidR="006451A1" w:rsidRPr="00752D88">
        <w:rPr>
          <w:rFonts w:eastAsiaTheme="minorHAnsi"/>
          <w:lang w:val="en-CA"/>
        </w:rPr>
        <w:t xml:space="preserve"> </w:t>
      </w:r>
    </w:p>
    <w:p w14:paraId="4F4C5DBA" w14:textId="0F1DB2D3" w:rsidR="00506B61" w:rsidRPr="00752D88" w:rsidRDefault="00ED2DFF" w:rsidP="00493C77">
      <w:pPr>
        <w:pStyle w:val="Heading1"/>
      </w:pPr>
      <w:r w:rsidRPr="00752D88">
        <w:rPr>
          <w:rFonts w:eastAsiaTheme="minorHAnsi"/>
          <w:lang w:val="en-CA"/>
        </w:rPr>
        <w:t xml:space="preserve">Quantities of </w:t>
      </w:r>
      <w:r w:rsidR="00506B61" w:rsidRPr="00752D88">
        <w:rPr>
          <w:rFonts w:eastAsiaTheme="minorHAnsi"/>
          <w:lang w:val="en-CA"/>
        </w:rPr>
        <w:t xml:space="preserve">HCFC-141b </w:t>
      </w:r>
      <w:r w:rsidRPr="00752D88">
        <w:rPr>
          <w:rFonts w:eastAsiaTheme="minorHAnsi"/>
          <w:lang w:val="en-CA"/>
        </w:rPr>
        <w:t xml:space="preserve">contained </w:t>
      </w:r>
      <w:r w:rsidR="00506B61" w:rsidRPr="00752D88">
        <w:rPr>
          <w:rFonts w:eastAsiaTheme="minorHAnsi"/>
          <w:lang w:val="en-CA"/>
        </w:rPr>
        <w:t>in imported pre-blended polyol</w:t>
      </w:r>
      <w:r w:rsidR="00273DD3" w:rsidRPr="00752D88">
        <w:rPr>
          <w:rFonts w:eastAsiaTheme="minorHAnsi"/>
          <w:lang w:val="en-CA"/>
        </w:rPr>
        <w:t>s</w:t>
      </w:r>
      <w:r w:rsidR="00A86707" w:rsidRPr="00752D88">
        <w:rPr>
          <w:rFonts w:eastAsiaTheme="minorHAnsi"/>
          <w:lang w:val="en-CA"/>
        </w:rPr>
        <w:t xml:space="preserve"> should </w:t>
      </w:r>
      <w:r w:rsidRPr="00752D88">
        <w:rPr>
          <w:rFonts w:eastAsiaTheme="minorHAnsi"/>
          <w:lang w:val="en-CA"/>
        </w:rPr>
        <w:t xml:space="preserve">be reported </w:t>
      </w:r>
      <w:r w:rsidR="00506B61" w:rsidRPr="00752D88">
        <w:rPr>
          <w:rFonts w:eastAsiaTheme="minorHAnsi"/>
          <w:lang w:val="en-CA"/>
        </w:rPr>
        <w:t>only under foam</w:t>
      </w:r>
      <w:r w:rsidRPr="00752D88">
        <w:rPr>
          <w:rFonts w:eastAsiaTheme="minorHAnsi"/>
          <w:lang w:val="en-CA"/>
        </w:rPr>
        <w:t xml:space="preserve"> sector</w:t>
      </w:r>
      <w:r w:rsidR="00506B61" w:rsidRPr="00752D88">
        <w:rPr>
          <w:rFonts w:eastAsiaTheme="minorHAnsi"/>
          <w:lang w:val="en-CA"/>
        </w:rPr>
        <w:t xml:space="preserve">, and not </w:t>
      </w:r>
      <w:r w:rsidR="00273DD3" w:rsidRPr="00752D88">
        <w:rPr>
          <w:rFonts w:eastAsiaTheme="minorHAnsi"/>
          <w:lang w:val="en-CA"/>
        </w:rPr>
        <w:t xml:space="preserve">under </w:t>
      </w:r>
      <w:r w:rsidR="00506B61" w:rsidRPr="00752D88">
        <w:rPr>
          <w:rFonts w:eastAsiaTheme="minorHAnsi"/>
          <w:lang w:val="en-CA"/>
        </w:rPr>
        <w:t>other sectors.</w:t>
      </w:r>
      <w:r w:rsidR="006451A1" w:rsidRPr="00752D88">
        <w:rPr>
          <w:rFonts w:eastAsiaTheme="minorHAnsi"/>
          <w:lang w:val="en-CA"/>
        </w:rPr>
        <w:t xml:space="preserve"> </w:t>
      </w:r>
    </w:p>
    <w:p w14:paraId="3FB48F5F" w14:textId="293756F6" w:rsidR="00506B61" w:rsidRPr="00752D88" w:rsidRDefault="00506B61" w:rsidP="00493C77">
      <w:pPr>
        <w:pStyle w:val="Heading1"/>
      </w:pPr>
      <w:r w:rsidRPr="00752D88">
        <w:rPr>
          <w:rFonts w:eastAsiaTheme="minorHAnsi"/>
          <w:lang w:val="en-CA"/>
        </w:rPr>
        <w:t xml:space="preserve">Where the data involves a blend of two or more substances, the quantities of the individual components of controlled substances </w:t>
      </w:r>
      <w:r w:rsidR="00F67EA0" w:rsidRPr="00752D88">
        <w:rPr>
          <w:rFonts w:eastAsiaTheme="minorHAnsi"/>
          <w:lang w:val="en-CA"/>
        </w:rPr>
        <w:t>should</w:t>
      </w:r>
      <w:r w:rsidRPr="00752D88">
        <w:rPr>
          <w:rFonts w:eastAsiaTheme="minorHAnsi"/>
          <w:lang w:val="en-CA"/>
        </w:rPr>
        <w:t xml:space="preserve"> be indicated separately. The amounts of each substance should be calculated based on the percentages </w:t>
      </w:r>
      <w:r w:rsidR="00F67EA0" w:rsidRPr="00752D88">
        <w:rPr>
          <w:rFonts w:eastAsiaTheme="minorHAnsi"/>
          <w:lang w:val="en-CA"/>
        </w:rPr>
        <w:t>in</w:t>
      </w:r>
      <w:r w:rsidRPr="00752D88">
        <w:rPr>
          <w:rFonts w:eastAsiaTheme="minorHAnsi"/>
          <w:lang w:val="en-CA"/>
        </w:rPr>
        <w:t xml:space="preserve"> the composition, and the total quantity should be indicated in the appropriate row for each</w:t>
      </w:r>
      <w:r w:rsidR="00B2487A" w:rsidRPr="00752D88">
        <w:rPr>
          <w:rFonts w:eastAsiaTheme="minorHAnsi"/>
          <w:lang w:val="en-CA"/>
        </w:rPr>
        <w:t xml:space="preserve"> substance</w:t>
      </w:r>
      <w:r w:rsidRPr="00752D88">
        <w:rPr>
          <w:rFonts w:eastAsiaTheme="minorHAnsi"/>
          <w:lang w:val="en-CA"/>
        </w:rPr>
        <w:t>.</w:t>
      </w:r>
    </w:p>
    <w:p w14:paraId="0CED1172" w14:textId="3B33D27A" w:rsidR="00FB3E21" w:rsidRPr="00752D88" w:rsidRDefault="00FB3E21" w:rsidP="00493C77">
      <w:pPr>
        <w:pStyle w:val="Heading1"/>
      </w:pPr>
      <w:r w:rsidRPr="00752D88">
        <w:rPr>
          <w:rFonts w:eastAsiaTheme="minorHAnsi"/>
          <w:lang w:val="en-CA"/>
        </w:rPr>
        <w:t xml:space="preserve">For Annex C </w:t>
      </w:r>
      <w:r w:rsidR="00ED2DFF" w:rsidRPr="00752D88">
        <w:rPr>
          <w:rFonts w:eastAsiaTheme="minorHAnsi"/>
          <w:lang w:val="en-CA"/>
        </w:rPr>
        <w:t>substances (</w:t>
      </w:r>
      <w:r w:rsidRPr="00752D88">
        <w:rPr>
          <w:rFonts w:eastAsiaTheme="minorHAnsi"/>
          <w:lang w:val="en-CA"/>
        </w:rPr>
        <w:t>HCFCs</w:t>
      </w:r>
      <w:r w:rsidR="009F2416" w:rsidRPr="00752D88">
        <w:rPr>
          <w:rFonts w:eastAsiaTheme="minorHAnsi"/>
          <w:lang w:val="en-CA"/>
        </w:rPr>
        <w:t>)</w:t>
      </w:r>
      <w:r w:rsidRPr="00752D88">
        <w:rPr>
          <w:rFonts w:eastAsiaTheme="minorHAnsi"/>
          <w:lang w:val="en-CA"/>
        </w:rPr>
        <w:t xml:space="preserve">, if </w:t>
      </w:r>
      <w:r w:rsidR="00B51E44" w:rsidRPr="00752D88">
        <w:rPr>
          <w:rFonts w:eastAsiaTheme="minorHAnsi"/>
          <w:lang w:val="en-CA"/>
        </w:rPr>
        <w:t>the</w:t>
      </w:r>
      <w:r w:rsidR="00F67EA0" w:rsidRPr="00752D88">
        <w:rPr>
          <w:rFonts w:eastAsiaTheme="minorHAnsi"/>
          <w:lang w:val="en-CA"/>
        </w:rPr>
        <w:t xml:space="preserve"> </w:t>
      </w:r>
      <w:r w:rsidRPr="00752D88">
        <w:rPr>
          <w:rFonts w:eastAsiaTheme="minorHAnsi"/>
          <w:lang w:val="en-CA"/>
        </w:rPr>
        <w:t>countr</w:t>
      </w:r>
      <w:r w:rsidR="00F67EA0" w:rsidRPr="00752D88">
        <w:rPr>
          <w:rFonts w:eastAsiaTheme="minorHAnsi"/>
          <w:lang w:val="en-CA"/>
        </w:rPr>
        <w:t>y</w:t>
      </w:r>
      <w:r w:rsidRPr="00752D88">
        <w:rPr>
          <w:rFonts w:eastAsiaTheme="minorHAnsi"/>
          <w:lang w:val="en-CA"/>
        </w:rPr>
        <w:t xml:space="preserve"> </w:t>
      </w:r>
      <w:r w:rsidR="00F67EA0" w:rsidRPr="00752D88">
        <w:rPr>
          <w:rFonts w:eastAsiaTheme="minorHAnsi"/>
          <w:lang w:val="en-CA"/>
        </w:rPr>
        <w:t>is</w:t>
      </w:r>
      <w:r w:rsidRPr="00752D88">
        <w:rPr>
          <w:rFonts w:eastAsiaTheme="minorHAnsi"/>
          <w:lang w:val="en-CA"/>
        </w:rPr>
        <w:t xml:space="preserve"> importing</w:t>
      </w:r>
      <w:r w:rsidR="00BB7130" w:rsidRPr="00752D88">
        <w:rPr>
          <w:rFonts w:eastAsiaTheme="minorHAnsi"/>
          <w:lang w:val="en-CA"/>
        </w:rPr>
        <w:t xml:space="preserve"> or </w:t>
      </w:r>
      <w:r w:rsidR="00273DD3" w:rsidRPr="00752D88">
        <w:rPr>
          <w:rFonts w:eastAsiaTheme="minorHAnsi"/>
          <w:lang w:val="en-CA"/>
        </w:rPr>
        <w:t xml:space="preserve">have </w:t>
      </w:r>
      <w:r w:rsidR="00BB7130" w:rsidRPr="00752D88">
        <w:rPr>
          <w:rFonts w:eastAsiaTheme="minorHAnsi"/>
          <w:lang w:val="en-CA"/>
        </w:rPr>
        <w:t>uses of</w:t>
      </w:r>
      <w:r w:rsidRPr="00752D88">
        <w:rPr>
          <w:rFonts w:eastAsiaTheme="minorHAnsi"/>
          <w:lang w:val="en-CA"/>
        </w:rPr>
        <w:t xml:space="preserve"> controlled substances other tha</w:t>
      </w:r>
      <w:r w:rsidR="004B005E" w:rsidRPr="00752D88">
        <w:rPr>
          <w:rFonts w:eastAsiaTheme="minorHAnsi"/>
          <w:lang w:val="en-CA"/>
        </w:rPr>
        <w:t>n</w:t>
      </w:r>
      <w:r w:rsidRPr="00752D88">
        <w:rPr>
          <w:rFonts w:eastAsiaTheme="minorHAnsi"/>
          <w:lang w:val="en-CA"/>
        </w:rPr>
        <w:t xml:space="preserve"> those listed, data should be entered in rows “Other”.</w:t>
      </w:r>
    </w:p>
    <w:p w14:paraId="7DC30566" w14:textId="4E1E584E" w:rsidR="00506B61" w:rsidRPr="00752D88" w:rsidRDefault="004B005E" w:rsidP="00493C77">
      <w:pPr>
        <w:pStyle w:val="Heading1"/>
      </w:pPr>
      <w:r w:rsidRPr="00752D88">
        <w:rPr>
          <w:rFonts w:eastAsiaTheme="minorHAnsi"/>
          <w:lang w:val="en-CA"/>
        </w:rPr>
        <w:t>Methyl bromide use is divided into two categories, quarantine and pre</w:t>
      </w:r>
      <w:r w:rsidRPr="00752D88">
        <w:rPr>
          <w:rFonts w:eastAsiaTheme="minorHAnsi"/>
          <w:lang w:val="en-CA"/>
        </w:rPr>
        <w:noBreakHyphen/>
        <w:t>shipment uses (</w:t>
      </w:r>
      <w:r w:rsidR="00B51E44" w:rsidRPr="00752D88">
        <w:rPr>
          <w:rFonts w:eastAsiaTheme="minorHAnsi"/>
          <w:lang w:val="en-CA"/>
        </w:rPr>
        <w:t>“</w:t>
      </w:r>
      <w:r w:rsidRPr="00752D88">
        <w:rPr>
          <w:rFonts w:eastAsiaTheme="minorHAnsi"/>
          <w:lang w:val="en-CA"/>
        </w:rPr>
        <w:t>QPS</w:t>
      </w:r>
      <w:r w:rsidR="00B51E44" w:rsidRPr="00752D88">
        <w:rPr>
          <w:rFonts w:eastAsiaTheme="minorHAnsi"/>
          <w:lang w:val="en-CA"/>
        </w:rPr>
        <w:t>”</w:t>
      </w:r>
      <w:r w:rsidRPr="00752D88">
        <w:rPr>
          <w:rFonts w:eastAsiaTheme="minorHAnsi"/>
          <w:lang w:val="en-CA"/>
        </w:rPr>
        <w:t>) and non</w:t>
      </w:r>
      <w:r w:rsidRPr="00752D88">
        <w:rPr>
          <w:rFonts w:eastAsiaTheme="minorHAnsi"/>
          <w:lang w:val="en-CA"/>
        </w:rPr>
        <w:noBreakHyphen/>
        <w:t>quarantine and pre</w:t>
      </w:r>
      <w:r w:rsidRPr="00752D88">
        <w:rPr>
          <w:rFonts w:eastAsiaTheme="minorHAnsi"/>
          <w:lang w:val="en-CA"/>
        </w:rPr>
        <w:noBreakHyphen/>
        <w:t>shipment uses</w:t>
      </w:r>
      <w:r w:rsidR="00BA5EF0" w:rsidRPr="00752D88">
        <w:rPr>
          <w:rFonts w:eastAsiaTheme="minorHAnsi"/>
          <w:lang w:val="en-CA"/>
        </w:rPr>
        <w:t xml:space="preserve"> (</w:t>
      </w:r>
      <w:r w:rsidR="00B51E44" w:rsidRPr="00752D88">
        <w:rPr>
          <w:rFonts w:eastAsiaTheme="minorHAnsi"/>
          <w:lang w:val="en-CA"/>
        </w:rPr>
        <w:t>“</w:t>
      </w:r>
      <w:r w:rsidR="00BA5EF0" w:rsidRPr="00752D88">
        <w:rPr>
          <w:rFonts w:eastAsiaTheme="minorHAnsi"/>
          <w:lang w:val="en-CA"/>
        </w:rPr>
        <w:t>Non-QPS</w:t>
      </w:r>
      <w:r w:rsidR="00B51E44" w:rsidRPr="00752D88">
        <w:rPr>
          <w:rFonts w:eastAsiaTheme="minorHAnsi"/>
          <w:lang w:val="en-CA"/>
        </w:rPr>
        <w:t>”</w:t>
      </w:r>
      <w:r w:rsidR="00BA5EF0" w:rsidRPr="00752D88">
        <w:rPr>
          <w:rFonts w:eastAsiaTheme="minorHAnsi"/>
          <w:lang w:val="en-CA"/>
        </w:rPr>
        <w:t>)</w:t>
      </w:r>
      <w:r w:rsidRPr="00752D88">
        <w:rPr>
          <w:rFonts w:eastAsiaTheme="minorHAnsi"/>
          <w:lang w:val="en-CA"/>
        </w:rPr>
        <w:t>.</w:t>
      </w:r>
      <w:r w:rsidR="006451A1" w:rsidRPr="00752D88">
        <w:rPr>
          <w:rFonts w:eastAsiaTheme="minorHAnsi"/>
          <w:lang w:val="en-CA"/>
        </w:rPr>
        <w:t xml:space="preserve"> </w:t>
      </w:r>
      <w:r w:rsidR="00506B61" w:rsidRPr="00752D88">
        <w:rPr>
          <w:rFonts w:eastAsiaTheme="minorHAnsi"/>
          <w:lang w:val="en-CA"/>
        </w:rPr>
        <w:t>These amounts should be reported in the relevant column</w:t>
      </w:r>
      <w:r w:rsidR="00E434D8" w:rsidRPr="00752D88">
        <w:rPr>
          <w:rFonts w:eastAsiaTheme="minorHAnsi"/>
          <w:lang w:val="en-CA"/>
        </w:rPr>
        <w:t xml:space="preserve">s under </w:t>
      </w:r>
      <w:r w:rsidR="00273DD3" w:rsidRPr="00752D88">
        <w:rPr>
          <w:rFonts w:eastAsiaTheme="minorHAnsi"/>
          <w:lang w:val="en-CA"/>
        </w:rPr>
        <w:t xml:space="preserve">the </w:t>
      </w:r>
      <w:r w:rsidR="00E434D8" w:rsidRPr="00752D88">
        <w:rPr>
          <w:rFonts w:eastAsiaTheme="minorHAnsi"/>
          <w:lang w:val="en-CA"/>
        </w:rPr>
        <w:t xml:space="preserve">“Methyl </w:t>
      </w:r>
      <w:r w:rsidR="00B51E44" w:rsidRPr="00752D88">
        <w:rPr>
          <w:rFonts w:eastAsiaTheme="minorHAnsi"/>
          <w:lang w:val="en-CA"/>
        </w:rPr>
        <w:t>b</w:t>
      </w:r>
      <w:r w:rsidR="00E434D8" w:rsidRPr="00752D88">
        <w:rPr>
          <w:rFonts w:eastAsiaTheme="minorHAnsi"/>
          <w:lang w:val="en-CA"/>
        </w:rPr>
        <w:t>romide” heading</w:t>
      </w:r>
      <w:r w:rsidR="00BA5EF0" w:rsidRPr="00752D88">
        <w:rPr>
          <w:rFonts w:eastAsiaTheme="minorHAnsi"/>
          <w:lang w:val="en-CA"/>
        </w:rPr>
        <w:t>.</w:t>
      </w:r>
      <w:r w:rsidR="006451A1" w:rsidRPr="00752D88">
        <w:rPr>
          <w:rFonts w:eastAsiaTheme="minorHAnsi"/>
          <w:lang w:val="en-CA"/>
        </w:rPr>
        <w:t xml:space="preserve"> </w:t>
      </w:r>
      <w:r w:rsidR="00E434D8" w:rsidRPr="00752D88">
        <w:rPr>
          <w:rFonts w:eastAsiaTheme="minorHAnsi"/>
          <w:lang w:val="en-CA"/>
        </w:rPr>
        <w:t xml:space="preserve">The total amount of </w:t>
      </w:r>
      <w:r w:rsidR="00B51E44" w:rsidRPr="00752D88">
        <w:rPr>
          <w:rFonts w:eastAsiaTheme="minorHAnsi"/>
          <w:lang w:val="en-CA"/>
        </w:rPr>
        <w:t>“</w:t>
      </w:r>
      <w:r w:rsidR="00E434D8" w:rsidRPr="00752D88">
        <w:rPr>
          <w:rFonts w:eastAsiaTheme="minorHAnsi"/>
          <w:lang w:val="en-CA"/>
        </w:rPr>
        <w:t>QPS</w:t>
      </w:r>
      <w:r w:rsidR="00B51E44" w:rsidRPr="00752D88">
        <w:rPr>
          <w:rFonts w:eastAsiaTheme="minorHAnsi"/>
          <w:lang w:val="en-CA"/>
        </w:rPr>
        <w:t>”</w:t>
      </w:r>
      <w:r w:rsidR="00E434D8" w:rsidRPr="00752D88">
        <w:rPr>
          <w:rFonts w:eastAsiaTheme="minorHAnsi"/>
          <w:lang w:val="en-CA"/>
        </w:rPr>
        <w:t xml:space="preserve"> and </w:t>
      </w:r>
      <w:r w:rsidR="00B51E44" w:rsidRPr="00752D88">
        <w:rPr>
          <w:rFonts w:eastAsiaTheme="minorHAnsi"/>
          <w:lang w:val="en-CA"/>
        </w:rPr>
        <w:t>“</w:t>
      </w:r>
      <w:r w:rsidR="00E434D8" w:rsidRPr="00752D88">
        <w:rPr>
          <w:rFonts w:eastAsiaTheme="minorHAnsi"/>
          <w:lang w:val="en-CA"/>
        </w:rPr>
        <w:t>Non-QPS</w:t>
      </w:r>
      <w:r w:rsidR="00B51E44" w:rsidRPr="00752D88">
        <w:rPr>
          <w:rFonts w:eastAsiaTheme="minorHAnsi"/>
          <w:lang w:val="en-CA"/>
        </w:rPr>
        <w:t>”</w:t>
      </w:r>
      <w:r w:rsidR="00E434D8" w:rsidRPr="00752D88">
        <w:rPr>
          <w:rFonts w:eastAsiaTheme="minorHAnsi"/>
          <w:lang w:val="en-CA"/>
        </w:rPr>
        <w:t xml:space="preserve"> should also be reported under </w:t>
      </w:r>
      <w:r w:rsidR="00273DD3" w:rsidRPr="00752D88">
        <w:rPr>
          <w:rFonts w:eastAsiaTheme="minorHAnsi"/>
          <w:lang w:val="en-CA"/>
        </w:rPr>
        <w:t xml:space="preserve">the </w:t>
      </w:r>
      <w:r w:rsidR="00E434D8" w:rsidRPr="00752D88">
        <w:rPr>
          <w:rFonts w:eastAsiaTheme="minorHAnsi"/>
          <w:lang w:val="en-CA"/>
        </w:rPr>
        <w:t>“Import/Export/Production” columns.</w:t>
      </w:r>
      <w:r w:rsidR="006451A1" w:rsidRPr="00752D88">
        <w:rPr>
          <w:rFonts w:eastAsiaTheme="minorHAnsi"/>
          <w:lang w:val="en-CA"/>
        </w:rPr>
        <w:t xml:space="preserve"> </w:t>
      </w:r>
      <w:r w:rsidR="00836AAC" w:rsidRPr="00752D88">
        <w:rPr>
          <w:rFonts w:eastAsiaTheme="minorHAnsi"/>
          <w:lang w:val="en-CA"/>
        </w:rPr>
        <w:t xml:space="preserve">For countries with approved consumption of </w:t>
      </w:r>
      <w:r w:rsidR="00323090" w:rsidRPr="00752D88">
        <w:rPr>
          <w:rFonts w:eastAsiaTheme="minorHAnsi"/>
          <w:lang w:val="en-CA"/>
        </w:rPr>
        <w:t>methyl bromide</w:t>
      </w:r>
      <w:r w:rsidR="00836AAC" w:rsidRPr="00752D88">
        <w:rPr>
          <w:rFonts w:eastAsiaTheme="minorHAnsi"/>
          <w:lang w:val="en-CA"/>
        </w:rPr>
        <w:t xml:space="preserve"> for critical uses approved by the Parties</w:t>
      </w:r>
      <w:r w:rsidR="00025EDE" w:rsidRPr="00752D88">
        <w:rPr>
          <w:rFonts w:eastAsiaTheme="minorHAnsi"/>
          <w:lang w:val="en-CA"/>
        </w:rPr>
        <w:t xml:space="preserve"> to the Montreal Protocol</w:t>
      </w:r>
      <w:r w:rsidR="00836AAC" w:rsidRPr="00752D88">
        <w:rPr>
          <w:rFonts w:eastAsiaTheme="minorHAnsi"/>
          <w:lang w:val="en-CA"/>
        </w:rPr>
        <w:t>, these data can be explained in the “Remarks”</w:t>
      </w:r>
      <w:r w:rsidR="00273DD3" w:rsidRPr="00752D88">
        <w:rPr>
          <w:rFonts w:eastAsiaTheme="minorHAnsi"/>
          <w:lang w:val="en-CA"/>
        </w:rPr>
        <w:t xml:space="preserve"> column.</w:t>
      </w:r>
    </w:p>
    <w:p w14:paraId="3DB302BB" w14:textId="39D02A76" w:rsidR="00BE72CE" w:rsidRPr="00752D88" w:rsidRDefault="002103DA" w:rsidP="00493C77">
      <w:pPr>
        <w:pStyle w:val="Heading1"/>
      </w:pPr>
      <w:r w:rsidRPr="00752D88">
        <w:rPr>
          <w:rFonts w:eastAsiaTheme="minorHAnsi"/>
          <w:lang w:val="en-CA"/>
        </w:rPr>
        <w:t xml:space="preserve">For </w:t>
      </w:r>
      <w:r w:rsidR="009F2416" w:rsidRPr="00752D88">
        <w:rPr>
          <w:rFonts w:eastAsiaTheme="minorHAnsi"/>
          <w:lang w:val="en-CA"/>
        </w:rPr>
        <w:t>“</w:t>
      </w:r>
      <w:r w:rsidRPr="00752D88">
        <w:rPr>
          <w:rFonts w:eastAsiaTheme="minorHAnsi"/>
          <w:lang w:val="en-CA"/>
        </w:rPr>
        <w:t>Import quotas</w:t>
      </w:r>
      <w:r w:rsidR="009F2416" w:rsidRPr="00752D88">
        <w:rPr>
          <w:rFonts w:eastAsiaTheme="minorHAnsi"/>
          <w:lang w:val="en-CA"/>
        </w:rPr>
        <w:t>”</w:t>
      </w:r>
      <w:r w:rsidRPr="00752D88">
        <w:rPr>
          <w:rFonts w:eastAsiaTheme="minorHAnsi"/>
          <w:lang w:val="en-CA"/>
        </w:rPr>
        <w:t xml:space="preserve">, the information required is whether the country has established an import quota for each </w:t>
      </w:r>
      <w:r w:rsidR="00C71AF0" w:rsidRPr="00752D88">
        <w:rPr>
          <w:rFonts w:eastAsiaTheme="minorHAnsi"/>
          <w:lang w:val="en-CA"/>
        </w:rPr>
        <w:t>controlled substance</w:t>
      </w:r>
      <w:r w:rsidRPr="00752D88">
        <w:rPr>
          <w:rFonts w:eastAsiaTheme="minorHAnsi"/>
          <w:lang w:val="en-CA"/>
        </w:rPr>
        <w:t xml:space="preserve"> for the </w:t>
      </w:r>
      <w:r w:rsidR="00B51E44" w:rsidRPr="00752D88">
        <w:rPr>
          <w:rFonts w:eastAsiaTheme="minorHAnsi"/>
          <w:lang w:val="en-CA"/>
        </w:rPr>
        <w:t xml:space="preserve">reporting </w:t>
      </w:r>
      <w:r w:rsidRPr="00752D88">
        <w:rPr>
          <w:rFonts w:eastAsiaTheme="minorHAnsi"/>
          <w:lang w:val="en-CA"/>
        </w:rPr>
        <w:t>year.</w:t>
      </w:r>
      <w:r w:rsidR="006451A1" w:rsidRPr="00752D88">
        <w:rPr>
          <w:rFonts w:eastAsiaTheme="minorHAnsi"/>
          <w:lang w:val="en-CA"/>
        </w:rPr>
        <w:t xml:space="preserve"> </w:t>
      </w:r>
      <w:r w:rsidRPr="00752D88">
        <w:rPr>
          <w:rFonts w:eastAsiaTheme="minorHAnsi"/>
          <w:lang w:val="en-CA"/>
        </w:rPr>
        <w:t xml:space="preserve">For example, if </w:t>
      </w:r>
      <w:r w:rsidR="00F63281" w:rsidRPr="00752D88">
        <w:rPr>
          <w:rFonts w:eastAsiaTheme="minorHAnsi"/>
          <w:lang w:val="en-CA"/>
        </w:rPr>
        <w:t xml:space="preserve">during the reporting </w:t>
      </w:r>
      <w:r w:rsidR="00B51E44" w:rsidRPr="00752D88">
        <w:rPr>
          <w:rFonts w:eastAsiaTheme="minorHAnsi"/>
          <w:lang w:val="en-CA"/>
        </w:rPr>
        <w:t>year,</w:t>
      </w:r>
      <w:r w:rsidR="00F63281" w:rsidRPr="00752D88">
        <w:rPr>
          <w:rFonts w:eastAsiaTheme="minorHAnsi"/>
          <w:lang w:val="en-CA"/>
        </w:rPr>
        <w:t xml:space="preserve"> </w:t>
      </w:r>
      <w:r w:rsidR="009F2416" w:rsidRPr="00752D88">
        <w:rPr>
          <w:rFonts w:eastAsiaTheme="minorHAnsi"/>
          <w:lang w:val="en-CA"/>
        </w:rPr>
        <w:t xml:space="preserve">the </w:t>
      </w:r>
      <w:r w:rsidRPr="00752D88">
        <w:rPr>
          <w:rFonts w:eastAsiaTheme="minorHAnsi"/>
          <w:lang w:val="en-CA"/>
        </w:rPr>
        <w:t xml:space="preserve">country has issued licenses </w:t>
      </w:r>
      <w:r w:rsidR="00F63281" w:rsidRPr="00752D88">
        <w:rPr>
          <w:rFonts w:eastAsiaTheme="minorHAnsi"/>
          <w:lang w:val="en-CA"/>
        </w:rPr>
        <w:t xml:space="preserve">for </w:t>
      </w:r>
      <w:r w:rsidR="00BA5ED6" w:rsidRPr="00752D88">
        <w:rPr>
          <w:rFonts w:eastAsiaTheme="minorHAnsi"/>
          <w:lang w:val="en-CA"/>
        </w:rPr>
        <w:t xml:space="preserve">import of </w:t>
      </w:r>
      <w:r w:rsidR="009F2416" w:rsidRPr="00752D88">
        <w:rPr>
          <w:rFonts w:eastAsiaTheme="minorHAnsi"/>
          <w:lang w:val="en-CA"/>
        </w:rPr>
        <w:t>an actual amount of a controlled substance</w:t>
      </w:r>
      <w:r w:rsidRPr="00752D88">
        <w:rPr>
          <w:rFonts w:eastAsiaTheme="minorHAnsi"/>
          <w:lang w:val="en-CA"/>
        </w:rPr>
        <w:t>,</w:t>
      </w:r>
      <w:r w:rsidR="00C71AF0" w:rsidRPr="00752D88">
        <w:rPr>
          <w:rFonts w:eastAsiaTheme="minorHAnsi"/>
          <w:lang w:val="en-CA"/>
        </w:rPr>
        <w:t xml:space="preserve"> this amount should be entered in </w:t>
      </w:r>
      <w:r w:rsidR="009F2416" w:rsidRPr="00752D88">
        <w:rPr>
          <w:rFonts w:eastAsiaTheme="minorHAnsi"/>
          <w:lang w:val="en-CA"/>
        </w:rPr>
        <w:t xml:space="preserve">the </w:t>
      </w:r>
      <w:r w:rsidR="00C71AF0" w:rsidRPr="00752D88">
        <w:rPr>
          <w:rFonts w:eastAsiaTheme="minorHAnsi"/>
          <w:lang w:val="en-CA"/>
        </w:rPr>
        <w:t xml:space="preserve">column </w:t>
      </w:r>
      <w:r w:rsidR="009F2416" w:rsidRPr="00752D88">
        <w:rPr>
          <w:rFonts w:eastAsiaTheme="minorHAnsi"/>
          <w:lang w:val="en-CA"/>
        </w:rPr>
        <w:t>“Import quotas”</w:t>
      </w:r>
      <w:r w:rsidR="00BE72CE" w:rsidRPr="00752D88">
        <w:rPr>
          <w:rFonts w:eastAsiaTheme="minorHAnsi"/>
          <w:lang w:val="en-CA"/>
        </w:rPr>
        <w:t>.</w:t>
      </w:r>
      <w:r w:rsidR="006451A1" w:rsidRPr="00752D88">
        <w:rPr>
          <w:rFonts w:eastAsiaTheme="minorHAnsi"/>
          <w:lang w:val="en-CA"/>
        </w:rPr>
        <w:t xml:space="preserve"> </w:t>
      </w:r>
    </w:p>
    <w:p w14:paraId="177C9056" w14:textId="47C740C4" w:rsidR="00175BEB" w:rsidRPr="00752D88" w:rsidRDefault="002E5FAA" w:rsidP="00493C77">
      <w:pPr>
        <w:pStyle w:val="Heading1"/>
      </w:pPr>
      <w:r w:rsidRPr="00752D88">
        <w:rPr>
          <w:rFonts w:eastAsiaTheme="minorHAnsi"/>
          <w:lang w:val="en-CA"/>
        </w:rPr>
        <w:t xml:space="preserve">In the case where imports </w:t>
      </w:r>
      <w:r w:rsidR="00FC41C8" w:rsidRPr="00752D88">
        <w:rPr>
          <w:rFonts w:eastAsiaTheme="minorHAnsi"/>
          <w:lang w:val="en-CA"/>
        </w:rPr>
        <w:t xml:space="preserve">of a specific controlled substance </w:t>
      </w:r>
      <w:r w:rsidRPr="00752D88">
        <w:rPr>
          <w:rFonts w:eastAsiaTheme="minorHAnsi"/>
          <w:lang w:val="en-CA"/>
        </w:rPr>
        <w:t xml:space="preserve">are banned, </w:t>
      </w:r>
      <w:r w:rsidR="000040A7" w:rsidRPr="00752D88">
        <w:rPr>
          <w:rFonts w:eastAsiaTheme="minorHAnsi"/>
          <w:lang w:val="en-CA"/>
        </w:rPr>
        <w:t xml:space="preserve">the date </w:t>
      </w:r>
      <w:r w:rsidR="00F63281" w:rsidRPr="00752D88">
        <w:rPr>
          <w:rFonts w:eastAsiaTheme="minorHAnsi"/>
          <w:lang w:val="en-CA"/>
        </w:rPr>
        <w:t xml:space="preserve">of the ban </w:t>
      </w:r>
      <w:r w:rsidR="000040A7" w:rsidRPr="00752D88">
        <w:rPr>
          <w:rFonts w:eastAsiaTheme="minorHAnsi"/>
          <w:lang w:val="en-CA"/>
        </w:rPr>
        <w:t>should be provided in the “If impo</w:t>
      </w:r>
      <w:r w:rsidR="00175BEB" w:rsidRPr="00752D88">
        <w:rPr>
          <w:rFonts w:eastAsiaTheme="minorHAnsi"/>
          <w:lang w:val="en-CA"/>
        </w:rPr>
        <w:t>rt</w:t>
      </w:r>
      <w:r w:rsidR="00F63281" w:rsidRPr="00752D88">
        <w:rPr>
          <w:rFonts w:eastAsiaTheme="minorHAnsi"/>
          <w:lang w:val="en-CA"/>
        </w:rPr>
        <w:t>s</w:t>
      </w:r>
      <w:r w:rsidR="00175BEB" w:rsidRPr="00752D88">
        <w:rPr>
          <w:rFonts w:eastAsiaTheme="minorHAnsi"/>
          <w:lang w:val="en-CA"/>
        </w:rPr>
        <w:t xml:space="preserve"> are banned, indicate date ban commenced” column.</w:t>
      </w:r>
    </w:p>
    <w:p w14:paraId="20B9E2E6" w14:textId="75D9B227" w:rsidR="0044366F" w:rsidRPr="00752D88" w:rsidRDefault="0044366F" w:rsidP="00493C77">
      <w:pPr>
        <w:pStyle w:val="Heading1"/>
      </w:pPr>
      <w:r w:rsidRPr="00752D88">
        <w:rPr>
          <w:rFonts w:eastAsiaTheme="minorHAnsi"/>
          <w:lang w:val="en-CA"/>
        </w:rPr>
        <w:t>Additional information on each controlled substance should be reported in the “Remarks”</w:t>
      </w:r>
      <w:r w:rsidR="00F63281" w:rsidRPr="00752D88">
        <w:rPr>
          <w:rFonts w:eastAsiaTheme="minorHAnsi"/>
          <w:lang w:val="en-CA"/>
        </w:rPr>
        <w:t xml:space="preserve"> column</w:t>
      </w:r>
      <w:r w:rsidR="00914C47" w:rsidRPr="00752D88">
        <w:rPr>
          <w:rFonts w:eastAsiaTheme="minorHAnsi"/>
          <w:lang w:val="en-CA"/>
        </w:rPr>
        <w:t>.</w:t>
      </w:r>
    </w:p>
    <w:p w14:paraId="1642591D" w14:textId="136E7AD0" w:rsidR="00F1327D" w:rsidRPr="00752D88" w:rsidRDefault="009D09BF" w:rsidP="00493C77">
      <w:pPr>
        <w:pStyle w:val="Heading1"/>
        <w:numPr>
          <w:ilvl w:val="0"/>
          <w:numId w:val="0"/>
        </w:numPr>
        <w:tabs>
          <w:tab w:val="left" w:pos="720"/>
        </w:tabs>
        <w:jc w:val="left"/>
        <w:rPr>
          <w:b/>
          <w:bCs/>
          <w:lang w:val="en-CA"/>
        </w:rPr>
      </w:pPr>
      <w:r w:rsidRPr="00752D88">
        <w:rPr>
          <w:b/>
          <w:bCs/>
        </w:rPr>
        <w:t xml:space="preserve">Section </w:t>
      </w:r>
      <w:r w:rsidR="00F1327D" w:rsidRPr="00752D88">
        <w:rPr>
          <w:b/>
          <w:bCs/>
        </w:rPr>
        <w:t>B</w:t>
      </w:r>
      <w:r w:rsidR="001415F1" w:rsidRPr="00752D88">
        <w:rPr>
          <w:b/>
          <w:bCs/>
        </w:rPr>
        <w:t>.</w:t>
      </w:r>
      <w:r w:rsidR="00F1327D" w:rsidRPr="00752D88">
        <w:rPr>
          <w:b/>
          <w:bCs/>
        </w:rPr>
        <w:t xml:space="preserve"> </w:t>
      </w:r>
      <w:r w:rsidR="00F1327D" w:rsidRPr="00752D88">
        <w:rPr>
          <w:b/>
          <w:bCs/>
          <w:lang w:val="en-CA"/>
        </w:rPr>
        <w:t>Annex F</w:t>
      </w:r>
    </w:p>
    <w:p w14:paraId="0A6172EC" w14:textId="0A05F8B6" w:rsidR="00642798" w:rsidRPr="00752D88" w:rsidRDefault="00303121" w:rsidP="00493C77">
      <w:pPr>
        <w:pStyle w:val="Heading1"/>
      </w:pPr>
      <w:r w:rsidRPr="00752D88">
        <w:rPr>
          <w:rFonts w:eastAsiaTheme="minorHAnsi"/>
          <w:lang w:val="en-CA"/>
        </w:rPr>
        <w:t xml:space="preserve">This section is used to report data on Annex F </w:t>
      </w:r>
      <w:r w:rsidR="00642798" w:rsidRPr="00752D88">
        <w:rPr>
          <w:rFonts w:eastAsiaTheme="minorHAnsi"/>
          <w:lang w:val="en-CA"/>
        </w:rPr>
        <w:t>(HFC</w:t>
      </w:r>
      <w:r w:rsidR="00B51E44" w:rsidRPr="00752D88">
        <w:rPr>
          <w:rFonts w:eastAsiaTheme="minorHAnsi"/>
          <w:lang w:val="en-CA"/>
        </w:rPr>
        <w:t>s</w:t>
      </w:r>
      <w:r w:rsidR="00642798" w:rsidRPr="00752D88">
        <w:rPr>
          <w:rFonts w:eastAsiaTheme="minorHAnsi"/>
          <w:lang w:val="en-CA"/>
        </w:rPr>
        <w:t xml:space="preserve">) controlled </w:t>
      </w:r>
      <w:r w:rsidRPr="00752D88">
        <w:rPr>
          <w:rFonts w:eastAsiaTheme="minorHAnsi"/>
          <w:lang w:val="en-CA"/>
        </w:rPr>
        <w:t>substances</w:t>
      </w:r>
      <w:r w:rsidR="005C1F9A" w:rsidRPr="00752D88">
        <w:rPr>
          <w:rFonts w:eastAsiaTheme="minorHAnsi"/>
          <w:lang w:val="en-CA"/>
        </w:rPr>
        <w:t xml:space="preserve"> </w:t>
      </w:r>
      <w:r w:rsidR="00642798" w:rsidRPr="00752D88">
        <w:rPr>
          <w:rFonts w:eastAsiaTheme="minorHAnsi"/>
          <w:lang w:val="en-CA"/>
        </w:rPr>
        <w:t>including HFC-23 (use) and HFC</w:t>
      </w:r>
      <w:r w:rsidR="00B51E44" w:rsidRPr="00752D88">
        <w:rPr>
          <w:rFonts w:eastAsiaTheme="minorHAnsi"/>
          <w:lang w:val="en-CA"/>
        </w:rPr>
        <w:t>s</w:t>
      </w:r>
      <w:r w:rsidR="00642798" w:rsidRPr="00752D88">
        <w:rPr>
          <w:rFonts w:eastAsiaTheme="minorHAnsi"/>
          <w:lang w:val="en-CA"/>
        </w:rPr>
        <w:t xml:space="preserve"> </w:t>
      </w:r>
      <w:r w:rsidR="009F2416" w:rsidRPr="00752D88">
        <w:rPr>
          <w:rFonts w:eastAsiaTheme="minorHAnsi"/>
          <w:lang w:val="en-CA"/>
        </w:rPr>
        <w:t xml:space="preserve">contained </w:t>
      </w:r>
      <w:r w:rsidR="00642798" w:rsidRPr="00752D88">
        <w:rPr>
          <w:rFonts w:eastAsiaTheme="minorHAnsi"/>
          <w:lang w:val="en-CA"/>
        </w:rPr>
        <w:t>in imported pre</w:t>
      </w:r>
      <w:r w:rsidR="00F845E8" w:rsidRPr="00752D88">
        <w:rPr>
          <w:rFonts w:eastAsiaTheme="minorHAnsi"/>
          <w:lang w:val="en-CA"/>
        </w:rPr>
        <w:t>-</w:t>
      </w:r>
      <w:r w:rsidR="00642798" w:rsidRPr="00752D88">
        <w:rPr>
          <w:rFonts w:eastAsiaTheme="minorHAnsi"/>
          <w:lang w:val="en-CA"/>
        </w:rPr>
        <w:t>blended polyol</w:t>
      </w:r>
      <w:r w:rsidR="009F2416" w:rsidRPr="00752D88">
        <w:rPr>
          <w:rFonts w:eastAsiaTheme="minorHAnsi"/>
          <w:lang w:val="en-CA"/>
        </w:rPr>
        <w:t>s</w:t>
      </w:r>
      <w:r w:rsidR="00B51E44" w:rsidRPr="00752D88">
        <w:rPr>
          <w:rFonts w:eastAsiaTheme="minorHAnsi"/>
          <w:lang w:val="en-CA"/>
        </w:rPr>
        <w:t>,</w:t>
      </w:r>
      <w:r w:rsidR="00642798" w:rsidRPr="00752D88">
        <w:rPr>
          <w:rFonts w:eastAsiaTheme="minorHAnsi"/>
          <w:lang w:val="en-CA"/>
        </w:rPr>
        <w:t xml:space="preserve"> as shown in the table below:</w:t>
      </w:r>
    </w:p>
    <w:p w14:paraId="578282DA" w14:textId="5827F39A" w:rsidR="005D4AE3" w:rsidRPr="00752D88" w:rsidRDefault="00AB1D29" w:rsidP="00493C77">
      <w:pPr>
        <w:spacing w:after="240" w:line="240" w:lineRule="auto"/>
        <w:ind w:left="-426"/>
        <w:jc w:val="both"/>
        <w:rPr>
          <w:rFonts w:ascii="Times New Roman" w:hAnsi="Times New Roman" w:cs="Times New Roman"/>
        </w:rPr>
      </w:pPr>
      <w:r w:rsidRPr="00752D88">
        <w:rPr>
          <w:noProof/>
          <w:lang w:eastAsia="en-CA"/>
        </w:rPr>
        <w:lastRenderedPageBreak/>
        <w:drawing>
          <wp:inline distT="0" distB="0" distL="0" distR="0" wp14:anchorId="090C5EC1" wp14:editId="1B1533C6">
            <wp:extent cx="6584950" cy="3879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5861" cy="3880387"/>
                    </a:xfrm>
                    <a:prstGeom prst="rect">
                      <a:avLst/>
                    </a:prstGeom>
                    <a:noFill/>
                    <a:ln>
                      <a:noFill/>
                    </a:ln>
                  </pic:spPr>
                </pic:pic>
              </a:graphicData>
            </a:graphic>
          </wp:inline>
        </w:drawing>
      </w:r>
    </w:p>
    <w:p w14:paraId="44E2CB19" w14:textId="3E36F7E4" w:rsidR="00F845E8" w:rsidRPr="00752D88" w:rsidRDefault="00F845E8" w:rsidP="00493C77">
      <w:pPr>
        <w:pStyle w:val="Heading1"/>
      </w:pPr>
      <w:r w:rsidRPr="00752D88">
        <w:rPr>
          <w:rFonts w:eastAsiaTheme="minorHAnsi"/>
          <w:lang w:val="en-CA"/>
        </w:rPr>
        <w:t>When reporting blends</w:t>
      </w:r>
      <w:r w:rsidR="0056186A" w:rsidRPr="00752D88">
        <w:rPr>
          <w:rFonts w:eastAsiaTheme="minorHAnsi"/>
          <w:lang w:val="en-CA"/>
        </w:rPr>
        <w:t>/</w:t>
      </w:r>
      <w:r w:rsidRPr="00752D88">
        <w:rPr>
          <w:rFonts w:eastAsiaTheme="minorHAnsi"/>
          <w:lang w:val="en-CA"/>
        </w:rPr>
        <w:t>mixtures</w:t>
      </w:r>
      <w:r w:rsidR="009F2416" w:rsidRPr="00752D88">
        <w:rPr>
          <w:rFonts w:eastAsiaTheme="minorHAnsi"/>
          <w:lang w:val="en-CA"/>
        </w:rPr>
        <w:t xml:space="preserve"> of controlled substances</w:t>
      </w:r>
      <w:r w:rsidRPr="00752D88">
        <w:rPr>
          <w:rFonts w:eastAsiaTheme="minorHAnsi"/>
          <w:lang w:val="en-CA"/>
        </w:rPr>
        <w:t xml:space="preserve">, reporting </w:t>
      </w:r>
      <w:r w:rsidR="009F2416" w:rsidRPr="00752D88">
        <w:rPr>
          <w:rFonts w:eastAsiaTheme="minorHAnsi"/>
          <w:lang w:val="en-CA"/>
        </w:rPr>
        <w:t xml:space="preserve">each </w:t>
      </w:r>
      <w:r w:rsidRPr="00752D88">
        <w:rPr>
          <w:rFonts w:eastAsiaTheme="minorHAnsi"/>
          <w:lang w:val="en-CA"/>
        </w:rPr>
        <w:t xml:space="preserve">controlled substance </w:t>
      </w:r>
      <w:r w:rsidR="009F2416" w:rsidRPr="00752D88">
        <w:rPr>
          <w:rFonts w:eastAsiaTheme="minorHAnsi"/>
          <w:lang w:val="en-CA"/>
        </w:rPr>
        <w:t>in the blends</w:t>
      </w:r>
      <w:r w:rsidR="0056186A" w:rsidRPr="00752D88">
        <w:rPr>
          <w:rFonts w:eastAsiaTheme="minorHAnsi"/>
          <w:lang w:val="en-CA"/>
        </w:rPr>
        <w:t>/</w:t>
      </w:r>
      <w:r w:rsidR="009F2416" w:rsidRPr="00752D88">
        <w:rPr>
          <w:rFonts w:eastAsiaTheme="minorHAnsi"/>
          <w:lang w:val="en-CA"/>
        </w:rPr>
        <w:t xml:space="preserve">mixtures </w:t>
      </w:r>
      <w:r w:rsidRPr="00752D88">
        <w:rPr>
          <w:rFonts w:eastAsiaTheme="minorHAnsi"/>
          <w:lang w:val="en-CA"/>
        </w:rPr>
        <w:t xml:space="preserve">should not be duplicated. Countries should </w:t>
      </w:r>
      <w:r w:rsidR="00B51E44" w:rsidRPr="00752D88">
        <w:rPr>
          <w:rFonts w:eastAsiaTheme="minorHAnsi"/>
          <w:lang w:val="en-CA"/>
        </w:rPr>
        <w:t xml:space="preserve">separately </w:t>
      </w:r>
      <w:r w:rsidRPr="00752D88">
        <w:rPr>
          <w:rFonts w:eastAsiaTheme="minorHAnsi"/>
          <w:lang w:val="en-CA"/>
        </w:rPr>
        <w:t xml:space="preserve">report </w:t>
      </w:r>
      <w:r w:rsidR="00D442DD" w:rsidRPr="00752D88">
        <w:rPr>
          <w:rFonts w:eastAsiaTheme="minorHAnsi"/>
          <w:lang w:val="en-CA"/>
        </w:rPr>
        <w:t>the use of</w:t>
      </w:r>
      <w:r w:rsidRPr="00752D88">
        <w:rPr>
          <w:rFonts w:eastAsiaTheme="minorHAnsi"/>
          <w:lang w:val="en-CA"/>
        </w:rPr>
        <w:t xml:space="preserve"> individual </w:t>
      </w:r>
      <w:r w:rsidR="00243323" w:rsidRPr="00752D88">
        <w:rPr>
          <w:rFonts w:eastAsiaTheme="minorHAnsi"/>
          <w:lang w:val="en-CA"/>
        </w:rPr>
        <w:t xml:space="preserve">pure </w:t>
      </w:r>
      <w:r w:rsidRPr="00752D88">
        <w:rPr>
          <w:rFonts w:eastAsiaTheme="minorHAnsi"/>
          <w:lang w:val="en-CA"/>
        </w:rPr>
        <w:t xml:space="preserve">controlled substances and </w:t>
      </w:r>
      <w:r w:rsidR="00D442DD" w:rsidRPr="00752D88">
        <w:rPr>
          <w:rFonts w:eastAsiaTheme="minorHAnsi"/>
          <w:lang w:val="en-CA"/>
        </w:rPr>
        <w:t xml:space="preserve">the </w:t>
      </w:r>
      <w:r w:rsidRPr="00752D88">
        <w:rPr>
          <w:rFonts w:eastAsiaTheme="minorHAnsi"/>
          <w:lang w:val="en-CA"/>
        </w:rPr>
        <w:t xml:space="preserve">quantities </w:t>
      </w:r>
      <w:r w:rsidR="009F2416" w:rsidRPr="00752D88">
        <w:rPr>
          <w:rFonts w:eastAsiaTheme="minorHAnsi"/>
          <w:lang w:val="en-CA"/>
        </w:rPr>
        <w:t xml:space="preserve">contained in </w:t>
      </w:r>
      <w:r w:rsidRPr="00752D88">
        <w:rPr>
          <w:rFonts w:eastAsiaTheme="minorHAnsi"/>
          <w:lang w:val="en-CA"/>
        </w:rPr>
        <w:t>blends</w:t>
      </w:r>
      <w:r w:rsidR="009F2416" w:rsidRPr="00752D88">
        <w:rPr>
          <w:rFonts w:eastAsiaTheme="minorHAnsi"/>
          <w:lang w:val="en-CA"/>
        </w:rPr>
        <w:t xml:space="preserve"> or </w:t>
      </w:r>
      <w:r w:rsidRPr="00752D88">
        <w:rPr>
          <w:rFonts w:eastAsiaTheme="minorHAnsi"/>
          <w:lang w:val="en-CA"/>
        </w:rPr>
        <w:t xml:space="preserve">mixtures used, </w:t>
      </w:r>
      <w:r w:rsidR="00AE3C24" w:rsidRPr="00752D88">
        <w:rPr>
          <w:rFonts w:eastAsiaTheme="minorHAnsi"/>
          <w:lang w:val="en-CA"/>
        </w:rPr>
        <w:t>and</w:t>
      </w:r>
      <w:r w:rsidR="00B51E44" w:rsidRPr="00752D88">
        <w:rPr>
          <w:rFonts w:eastAsiaTheme="minorHAnsi"/>
          <w:lang w:val="en-CA"/>
        </w:rPr>
        <w:t xml:space="preserve"> should</w:t>
      </w:r>
      <w:r w:rsidR="00D442DD" w:rsidRPr="00752D88">
        <w:rPr>
          <w:rFonts w:eastAsiaTheme="minorHAnsi"/>
          <w:lang w:val="en-CA"/>
        </w:rPr>
        <w:t xml:space="preserve"> </w:t>
      </w:r>
      <w:r w:rsidR="00AE3C24" w:rsidRPr="00752D88">
        <w:rPr>
          <w:rFonts w:eastAsiaTheme="minorHAnsi"/>
          <w:lang w:val="en-CA"/>
        </w:rPr>
        <w:t>ensure</w:t>
      </w:r>
      <w:r w:rsidRPr="00752D88">
        <w:rPr>
          <w:rFonts w:eastAsiaTheme="minorHAnsi"/>
          <w:lang w:val="en-CA"/>
        </w:rPr>
        <w:t xml:space="preserve"> that the amounts of controlled substances are not reported more than once.</w:t>
      </w:r>
      <w:r w:rsidR="006451A1" w:rsidRPr="00752D88">
        <w:rPr>
          <w:rFonts w:eastAsiaTheme="minorHAnsi"/>
          <w:lang w:val="en-CA"/>
        </w:rPr>
        <w:t xml:space="preserve"> </w:t>
      </w:r>
    </w:p>
    <w:p w14:paraId="3A5BAC1E" w14:textId="1F9CFA34" w:rsidR="008E2B20" w:rsidRPr="00752D88" w:rsidRDefault="008E2B20" w:rsidP="00493C77">
      <w:pPr>
        <w:pStyle w:val="Heading1"/>
      </w:pPr>
      <w:r w:rsidRPr="00752D88">
        <w:rPr>
          <w:sz w:val="21"/>
          <w:szCs w:val="21"/>
          <w:lang w:val="en-CA"/>
        </w:rPr>
        <w:t>The total quantity of HFC-blends should be reported and not the quantities of each of their individual HFCs.</w:t>
      </w:r>
    </w:p>
    <w:p w14:paraId="4B96591F" w14:textId="2E98E37B" w:rsidR="005A5438" w:rsidRPr="00752D88" w:rsidRDefault="00344B06" w:rsidP="00493C77">
      <w:pPr>
        <w:pStyle w:val="Heading1"/>
      </w:pPr>
      <w:r w:rsidRPr="00752D88">
        <w:rPr>
          <w:rFonts w:eastAsiaTheme="minorHAnsi"/>
          <w:lang w:val="en-CA"/>
        </w:rPr>
        <w:t xml:space="preserve">If a </w:t>
      </w:r>
      <w:r w:rsidR="00243323" w:rsidRPr="00752D88">
        <w:rPr>
          <w:rFonts w:eastAsiaTheme="minorHAnsi"/>
          <w:lang w:val="en-CA"/>
        </w:rPr>
        <w:t>blend</w:t>
      </w:r>
      <w:r w:rsidR="0056186A" w:rsidRPr="00752D88">
        <w:rPr>
          <w:rFonts w:eastAsiaTheme="minorHAnsi"/>
          <w:lang w:val="en-CA"/>
        </w:rPr>
        <w:t>/</w:t>
      </w:r>
      <w:r w:rsidR="00243323" w:rsidRPr="00752D88">
        <w:rPr>
          <w:rFonts w:eastAsiaTheme="minorHAnsi"/>
          <w:lang w:val="en-CA"/>
        </w:rPr>
        <w:t xml:space="preserve">mixture </w:t>
      </w:r>
      <w:r w:rsidRPr="00752D88">
        <w:rPr>
          <w:rFonts w:eastAsiaTheme="minorHAnsi"/>
          <w:lang w:val="en-CA"/>
        </w:rPr>
        <w:t xml:space="preserve">not listed in the above table is used, </w:t>
      </w:r>
      <w:r w:rsidR="00243323" w:rsidRPr="00752D88">
        <w:rPr>
          <w:rFonts w:eastAsiaTheme="minorHAnsi"/>
          <w:lang w:val="en-CA"/>
        </w:rPr>
        <w:t>the name of the blend</w:t>
      </w:r>
      <w:r w:rsidR="0056186A" w:rsidRPr="00752D88">
        <w:rPr>
          <w:rFonts w:eastAsiaTheme="minorHAnsi"/>
          <w:lang w:val="en-CA"/>
        </w:rPr>
        <w:t>/</w:t>
      </w:r>
      <w:r w:rsidR="00243323" w:rsidRPr="00752D88">
        <w:rPr>
          <w:rFonts w:eastAsiaTheme="minorHAnsi"/>
          <w:lang w:val="en-CA"/>
        </w:rPr>
        <w:t xml:space="preserve">mixture </w:t>
      </w:r>
      <w:r w:rsidR="00B51E44" w:rsidRPr="00752D88">
        <w:rPr>
          <w:rFonts w:eastAsiaTheme="minorHAnsi"/>
          <w:lang w:val="en-CA"/>
        </w:rPr>
        <w:t xml:space="preserve">should be indicated </w:t>
      </w:r>
      <w:r w:rsidR="00243323" w:rsidRPr="00752D88">
        <w:rPr>
          <w:rFonts w:eastAsiaTheme="minorHAnsi"/>
          <w:lang w:val="en-CA"/>
        </w:rPr>
        <w:t xml:space="preserve">in </w:t>
      </w:r>
      <w:r w:rsidR="00D442DD" w:rsidRPr="00752D88">
        <w:rPr>
          <w:rFonts w:eastAsiaTheme="minorHAnsi"/>
          <w:lang w:val="en-CA"/>
        </w:rPr>
        <w:t xml:space="preserve">the </w:t>
      </w:r>
      <w:r w:rsidR="00243323" w:rsidRPr="00752D88">
        <w:rPr>
          <w:rFonts w:eastAsiaTheme="minorHAnsi"/>
          <w:lang w:val="en-CA"/>
        </w:rPr>
        <w:t xml:space="preserve">“Others” </w:t>
      </w:r>
      <w:r w:rsidR="00D442DD" w:rsidRPr="00752D88">
        <w:rPr>
          <w:rFonts w:eastAsiaTheme="minorHAnsi"/>
          <w:lang w:val="en-CA"/>
        </w:rPr>
        <w:t xml:space="preserve">row </w:t>
      </w:r>
      <w:r w:rsidR="00243323" w:rsidRPr="00752D88">
        <w:rPr>
          <w:rFonts w:eastAsiaTheme="minorHAnsi"/>
          <w:lang w:val="en-CA"/>
        </w:rPr>
        <w:t>and</w:t>
      </w:r>
      <w:r w:rsidRPr="00752D88">
        <w:rPr>
          <w:rFonts w:eastAsiaTheme="minorHAnsi"/>
          <w:lang w:val="en-CA"/>
        </w:rPr>
        <w:t xml:space="preserve"> the percentage of each </w:t>
      </w:r>
      <w:r w:rsidR="00C87748" w:rsidRPr="00752D88">
        <w:rPr>
          <w:rFonts w:eastAsiaTheme="minorHAnsi"/>
          <w:lang w:val="en-CA"/>
        </w:rPr>
        <w:t>con</w:t>
      </w:r>
      <w:r w:rsidR="00B1440D" w:rsidRPr="00752D88">
        <w:rPr>
          <w:rFonts w:eastAsiaTheme="minorHAnsi"/>
          <w:lang w:val="en-CA"/>
        </w:rPr>
        <w:t>s</w:t>
      </w:r>
      <w:r w:rsidR="00C87748" w:rsidRPr="00752D88">
        <w:rPr>
          <w:rFonts w:eastAsiaTheme="minorHAnsi"/>
          <w:lang w:val="en-CA"/>
        </w:rPr>
        <w:t>tituent</w:t>
      </w:r>
      <w:r w:rsidRPr="00752D88">
        <w:rPr>
          <w:rFonts w:eastAsiaTheme="minorHAnsi"/>
          <w:lang w:val="en-CA"/>
        </w:rPr>
        <w:t xml:space="preserve"> controlled substance of the </w:t>
      </w:r>
      <w:r w:rsidR="00D442DD" w:rsidRPr="00752D88">
        <w:rPr>
          <w:rFonts w:eastAsiaTheme="minorHAnsi"/>
          <w:lang w:val="en-CA"/>
        </w:rPr>
        <w:t xml:space="preserve">reported </w:t>
      </w:r>
      <w:r w:rsidRPr="00752D88">
        <w:rPr>
          <w:rFonts w:eastAsiaTheme="minorHAnsi"/>
          <w:lang w:val="en-CA"/>
        </w:rPr>
        <w:t xml:space="preserve">blend </w:t>
      </w:r>
      <w:r w:rsidR="00B51E44" w:rsidRPr="00752D88">
        <w:rPr>
          <w:rFonts w:eastAsiaTheme="minorHAnsi"/>
          <w:lang w:val="en-CA"/>
        </w:rPr>
        <w:t xml:space="preserve">should be indicated </w:t>
      </w:r>
      <w:r w:rsidRPr="00752D88">
        <w:rPr>
          <w:rFonts w:eastAsiaTheme="minorHAnsi"/>
          <w:lang w:val="en-CA"/>
        </w:rPr>
        <w:t xml:space="preserve">in the </w:t>
      </w:r>
      <w:r w:rsidR="00243323" w:rsidRPr="00752D88">
        <w:rPr>
          <w:rFonts w:eastAsiaTheme="minorHAnsi"/>
          <w:lang w:val="en-CA"/>
        </w:rPr>
        <w:t>“R</w:t>
      </w:r>
      <w:r w:rsidRPr="00752D88">
        <w:rPr>
          <w:rFonts w:eastAsiaTheme="minorHAnsi"/>
          <w:lang w:val="en-CA"/>
        </w:rPr>
        <w:t>emarks</w:t>
      </w:r>
      <w:r w:rsidR="00243323" w:rsidRPr="00752D88">
        <w:rPr>
          <w:rFonts w:eastAsiaTheme="minorHAnsi"/>
          <w:lang w:val="en-CA"/>
        </w:rPr>
        <w:t>”</w:t>
      </w:r>
      <w:r w:rsidRPr="00752D88">
        <w:rPr>
          <w:rFonts w:eastAsiaTheme="minorHAnsi"/>
          <w:lang w:val="en-CA"/>
        </w:rPr>
        <w:t xml:space="preserve"> column.</w:t>
      </w:r>
    </w:p>
    <w:p w14:paraId="61E5C856" w14:textId="5EF2953A" w:rsidR="00B1440D" w:rsidRPr="00752D88" w:rsidRDefault="00957ECF" w:rsidP="00493C77">
      <w:pPr>
        <w:pStyle w:val="Heading1"/>
      </w:pPr>
      <w:r w:rsidRPr="00752D88">
        <w:rPr>
          <w:rFonts w:eastAsiaTheme="minorHAnsi"/>
          <w:lang w:val="en-CA"/>
        </w:rPr>
        <w:t xml:space="preserve">Data should be provided </w:t>
      </w:r>
      <w:r w:rsidRPr="00752D88">
        <w:rPr>
          <w:rFonts w:eastAsiaTheme="minorHAnsi"/>
          <w:b/>
          <w:lang w:val="en-CA"/>
        </w:rPr>
        <w:t>in metric tonnes only</w:t>
      </w:r>
      <w:r w:rsidRPr="00752D88">
        <w:rPr>
          <w:rFonts w:eastAsiaTheme="minorHAnsi"/>
          <w:lang w:val="en-CA"/>
        </w:rPr>
        <w:t xml:space="preserve"> and not in </w:t>
      </w:r>
      <w:r w:rsidR="006451A1" w:rsidRPr="00752D88">
        <w:rPr>
          <w:rFonts w:eastAsiaTheme="minorHAnsi"/>
          <w:lang w:val="en-CA"/>
        </w:rPr>
        <w:t>CO</w:t>
      </w:r>
      <w:r w:rsidR="006451A1" w:rsidRPr="00752D88">
        <w:rPr>
          <w:rFonts w:eastAsiaTheme="minorHAnsi"/>
          <w:vertAlign w:val="subscript"/>
          <w:lang w:val="en-CA"/>
        </w:rPr>
        <w:t>2</w:t>
      </w:r>
      <w:r w:rsidRPr="00752D88">
        <w:rPr>
          <w:rFonts w:eastAsiaTheme="minorHAnsi"/>
          <w:lang w:val="en-CA"/>
        </w:rPr>
        <w:t>-equivalent.</w:t>
      </w:r>
      <w:r w:rsidR="006451A1" w:rsidRPr="00752D88">
        <w:rPr>
          <w:rFonts w:eastAsiaTheme="minorHAnsi"/>
          <w:lang w:val="en-CA"/>
        </w:rPr>
        <w:t xml:space="preserve"> </w:t>
      </w:r>
    </w:p>
    <w:p w14:paraId="47436F6C" w14:textId="2496DA75" w:rsidR="00B1440D" w:rsidRPr="00752D88" w:rsidRDefault="00B1440D" w:rsidP="00493C77">
      <w:pPr>
        <w:pStyle w:val="Heading1"/>
      </w:pPr>
      <w:r w:rsidRPr="00752D88">
        <w:rPr>
          <w:rFonts w:eastAsiaTheme="minorHAnsi"/>
          <w:lang w:val="en-CA"/>
        </w:rPr>
        <w:t xml:space="preserve">Each controlled substance should be broken down into its specific </w:t>
      </w:r>
      <w:r w:rsidR="009F2416" w:rsidRPr="00752D88">
        <w:rPr>
          <w:rFonts w:eastAsiaTheme="minorHAnsi"/>
          <w:lang w:val="en-CA"/>
        </w:rPr>
        <w:t xml:space="preserve">sector </w:t>
      </w:r>
      <w:r w:rsidRPr="00752D88">
        <w:rPr>
          <w:rFonts w:eastAsiaTheme="minorHAnsi"/>
          <w:lang w:val="en-CA"/>
        </w:rPr>
        <w:t>use, such as for aerosol, foam, fire</w:t>
      </w:r>
      <w:r w:rsidR="00D442DD" w:rsidRPr="00752D88">
        <w:rPr>
          <w:rFonts w:eastAsiaTheme="minorHAnsi"/>
          <w:lang w:val="en-CA"/>
        </w:rPr>
        <w:t xml:space="preserve"> </w:t>
      </w:r>
      <w:r w:rsidRPr="00752D88">
        <w:rPr>
          <w:rFonts w:eastAsiaTheme="minorHAnsi"/>
          <w:lang w:val="en-CA"/>
        </w:rPr>
        <w:t>fighting, refrigeration (manufacturing and servicing), solvent and others.</w:t>
      </w:r>
      <w:r w:rsidR="006451A1" w:rsidRPr="00752D88">
        <w:rPr>
          <w:rFonts w:eastAsiaTheme="minorHAnsi"/>
          <w:lang w:val="en-CA"/>
        </w:rPr>
        <w:t xml:space="preserve"> </w:t>
      </w:r>
      <w:r w:rsidRPr="00752D88">
        <w:rPr>
          <w:rFonts w:eastAsiaTheme="minorHAnsi"/>
          <w:lang w:val="en-CA"/>
        </w:rPr>
        <w:t xml:space="preserve">Uses in sectors that do not fall specifically within the listed sectors should be reported in </w:t>
      </w:r>
      <w:r w:rsidR="00D442DD" w:rsidRPr="00752D88">
        <w:rPr>
          <w:rFonts w:eastAsiaTheme="minorHAnsi"/>
          <w:lang w:val="en-CA"/>
        </w:rPr>
        <w:t xml:space="preserve">the </w:t>
      </w:r>
      <w:r w:rsidRPr="00752D88">
        <w:rPr>
          <w:rFonts w:eastAsiaTheme="minorHAnsi"/>
          <w:lang w:val="en-CA"/>
        </w:rPr>
        <w:t xml:space="preserve">“Other” column. All </w:t>
      </w:r>
      <w:r w:rsidR="00B51E44" w:rsidRPr="00752D88">
        <w:rPr>
          <w:rFonts w:eastAsiaTheme="minorHAnsi"/>
          <w:lang w:val="en-CA"/>
        </w:rPr>
        <w:t>“</w:t>
      </w:r>
      <w:r w:rsidRPr="00752D88">
        <w:rPr>
          <w:rFonts w:eastAsiaTheme="minorHAnsi"/>
          <w:lang w:val="en-CA"/>
        </w:rPr>
        <w:t xml:space="preserve">Use by </w:t>
      </w:r>
      <w:r w:rsidR="006318B2" w:rsidRPr="00752D88">
        <w:rPr>
          <w:rFonts w:eastAsiaTheme="minorHAnsi"/>
          <w:lang w:val="en-CA"/>
        </w:rPr>
        <w:t>S</w:t>
      </w:r>
      <w:r w:rsidRPr="00752D88">
        <w:rPr>
          <w:rFonts w:eastAsiaTheme="minorHAnsi"/>
          <w:lang w:val="en-CA"/>
        </w:rPr>
        <w:t>ector</w:t>
      </w:r>
      <w:r w:rsidR="00B51E44" w:rsidRPr="00752D88">
        <w:rPr>
          <w:rFonts w:eastAsiaTheme="minorHAnsi"/>
          <w:lang w:val="en-CA"/>
        </w:rPr>
        <w:t>” columns</w:t>
      </w:r>
      <w:r w:rsidRPr="00752D88">
        <w:rPr>
          <w:rFonts w:eastAsiaTheme="minorHAnsi"/>
          <w:lang w:val="en-CA"/>
        </w:rPr>
        <w:t xml:space="preserve"> should be added up to get a TOTAL for each substance.</w:t>
      </w:r>
      <w:r w:rsidR="006451A1" w:rsidRPr="00752D88">
        <w:rPr>
          <w:rFonts w:eastAsiaTheme="minorHAnsi"/>
          <w:lang w:val="en-CA"/>
        </w:rPr>
        <w:t xml:space="preserve"> </w:t>
      </w:r>
    </w:p>
    <w:p w14:paraId="01165675" w14:textId="3CFFBF16" w:rsidR="001B14CB" w:rsidRPr="00752D88" w:rsidRDefault="001B14CB" w:rsidP="00493C77">
      <w:pPr>
        <w:pStyle w:val="Heading1"/>
      </w:pPr>
      <w:r w:rsidRPr="00752D88">
        <w:rPr>
          <w:rFonts w:eastAsiaTheme="minorHAnsi"/>
          <w:lang w:val="en-CA"/>
        </w:rPr>
        <w:t xml:space="preserve">For </w:t>
      </w:r>
      <w:r w:rsidR="00BA5ED6" w:rsidRPr="00752D88">
        <w:rPr>
          <w:rFonts w:eastAsiaTheme="minorHAnsi"/>
          <w:lang w:val="en-CA"/>
        </w:rPr>
        <w:t xml:space="preserve">the </w:t>
      </w:r>
      <w:r w:rsidRPr="00752D88">
        <w:rPr>
          <w:rFonts w:eastAsiaTheme="minorHAnsi"/>
          <w:lang w:val="en-CA"/>
        </w:rPr>
        <w:t xml:space="preserve">refrigeration manufacturing and servicing sectors, data should be provided </w:t>
      </w:r>
      <w:r w:rsidR="009F2416" w:rsidRPr="00752D88">
        <w:rPr>
          <w:rFonts w:eastAsiaTheme="minorHAnsi"/>
          <w:lang w:val="en-CA"/>
        </w:rPr>
        <w:t xml:space="preserve">separately </w:t>
      </w:r>
      <w:r w:rsidRPr="00752D88">
        <w:rPr>
          <w:rFonts w:eastAsiaTheme="minorHAnsi"/>
          <w:lang w:val="en-CA"/>
        </w:rPr>
        <w:t>for</w:t>
      </w:r>
      <w:r w:rsidR="00D442DD" w:rsidRPr="00752D88">
        <w:rPr>
          <w:rFonts w:eastAsiaTheme="minorHAnsi"/>
          <w:lang w:val="en-CA"/>
        </w:rPr>
        <w:t xml:space="preserve"> the</w:t>
      </w:r>
      <w:r w:rsidRPr="00752D88">
        <w:rPr>
          <w:rFonts w:eastAsiaTheme="minorHAnsi"/>
          <w:lang w:val="en-CA"/>
        </w:rPr>
        <w:t xml:space="preserve"> air-conditioning (AC) and mobile air-conditioning (MAC) subsector</w:t>
      </w:r>
      <w:r w:rsidR="00A7162E" w:rsidRPr="00752D88">
        <w:rPr>
          <w:rFonts w:eastAsiaTheme="minorHAnsi"/>
          <w:lang w:val="en-CA"/>
        </w:rPr>
        <w:t>s</w:t>
      </w:r>
      <w:r w:rsidRPr="00752D88">
        <w:rPr>
          <w:rFonts w:eastAsiaTheme="minorHAnsi"/>
          <w:lang w:val="en-CA"/>
        </w:rPr>
        <w:t>.</w:t>
      </w:r>
      <w:r w:rsidR="006451A1" w:rsidRPr="00752D88">
        <w:rPr>
          <w:rFonts w:eastAsiaTheme="minorHAnsi"/>
          <w:lang w:val="en-CA"/>
        </w:rPr>
        <w:t xml:space="preserve"> </w:t>
      </w:r>
      <w:r w:rsidRPr="00752D88">
        <w:rPr>
          <w:rFonts w:eastAsiaTheme="minorHAnsi"/>
          <w:lang w:val="en-CA"/>
        </w:rPr>
        <w:t xml:space="preserve">Data for other subsectors should be provided in </w:t>
      </w:r>
      <w:r w:rsidR="00BA5ED6" w:rsidRPr="00752D88">
        <w:rPr>
          <w:rFonts w:eastAsiaTheme="minorHAnsi"/>
          <w:lang w:val="en-CA"/>
        </w:rPr>
        <w:t xml:space="preserve">the </w:t>
      </w:r>
      <w:r w:rsidRPr="00752D88">
        <w:rPr>
          <w:rFonts w:eastAsiaTheme="minorHAnsi"/>
          <w:lang w:val="en-CA"/>
        </w:rPr>
        <w:t>“Other”</w:t>
      </w:r>
      <w:r w:rsidR="00A7162E" w:rsidRPr="00752D88">
        <w:rPr>
          <w:rFonts w:eastAsiaTheme="minorHAnsi"/>
          <w:lang w:val="en-CA"/>
        </w:rPr>
        <w:t xml:space="preserve"> column.</w:t>
      </w:r>
    </w:p>
    <w:p w14:paraId="50FF8046" w14:textId="7F0B12A4" w:rsidR="003153FD" w:rsidRPr="00752D88" w:rsidRDefault="003153FD" w:rsidP="00493C77">
      <w:pPr>
        <w:pStyle w:val="Heading1"/>
      </w:pPr>
      <w:r w:rsidRPr="00752D88">
        <w:rPr>
          <w:rFonts w:eastAsiaTheme="minorHAnsi"/>
          <w:lang w:val="en-CA"/>
        </w:rPr>
        <w:t xml:space="preserve">For </w:t>
      </w:r>
      <w:r w:rsidR="00D442DD" w:rsidRPr="00752D88">
        <w:rPr>
          <w:rFonts w:eastAsiaTheme="minorHAnsi"/>
          <w:lang w:val="en-CA"/>
        </w:rPr>
        <w:t xml:space="preserve">the </w:t>
      </w:r>
      <w:r w:rsidRPr="00752D88">
        <w:rPr>
          <w:rFonts w:eastAsiaTheme="minorHAnsi"/>
          <w:lang w:val="en-CA"/>
        </w:rPr>
        <w:t>aerosol sector, data should be provided for metered dose inhaler (MDI) subsector.</w:t>
      </w:r>
      <w:r w:rsidR="006451A1" w:rsidRPr="00752D88">
        <w:rPr>
          <w:rFonts w:eastAsiaTheme="minorHAnsi"/>
          <w:lang w:val="en-CA"/>
        </w:rPr>
        <w:t xml:space="preserve"> </w:t>
      </w:r>
      <w:r w:rsidRPr="00752D88">
        <w:rPr>
          <w:rFonts w:eastAsiaTheme="minorHAnsi"/>
          <w:lang w:val="en-CA"/>
        </w:rPr>
        <w:t xml:space="preserve">Data for other subsectors under aerosol should be provided in </w:t>
      </w:r>
      <w:r w:rsidR="00BA5ED6" w:rsidRPr="00752D88">
        <w:rPr>
          <w:rFonts w:eastAsiaTheme="minorHAnsi"/>
          <w:lang w:val="en-CA"/>
        </w:rPr>
        <w:t xml:space="preserve">the </w:t>
      </w:r>
      <w:r w:rsidRPr="00752D88">
        <w:rPr>
          <w:rFonts w:eastAsiaTheme="minorHAnsi"/>
          <w:lang w:val="en-CA"/>
        </w:rPr>
        <w:t>“Other” column.</w:t>
      </w:r>
    </w:p>
    <w:p w14:paraId="74E8D8FE" w14:textId="6AB68CC6" w:rsidR="00C414DE" w:rsidRPr="00752D88" w:rsidRDefault="00D56731" w:rsidP="00493C77">
      <w:pPr>
        <w:pStyle w:val="Heading1"/>
      </w:pPr>
      <w:r w:rsidRPr="00752D88">
        <w:rPr>
          <w:rFonts w:eastAsiaTheme="minorHAnsi"/>
          <w:lang w:val="en-CA"/>
        </w:rPr>
        <w:lastRenderedPageBreak/>
        <w:t>HFC-23 data should be provided only for use and production.</w:t>
      </w:r>
      <w:r w:rsidR="006451A1" w:rsidRPr="00752D88">
        <w:rPr>
          <w:rFonts w:eastAsiaTheme="minorHAnsi"/>
          <w:lang w:val="en-CA"/>
        </w:rPr>
        <w:t xml:space="preserve"> </w:t>
      </w:r>
      <w:r w:rsidR="009E1177" w:rsidRPr="00752D88">
        <w:rPr>
          <w:rFonts w:eastAsiaTheme="minorHAnsi"/>
          <w:lang w:val="en-CA"/>
        </w:rPr>
        <w:t>HFC-23 destroyed and used as feedstock should not be included in the production.</w:t>
      </w:r>
      <w:r w:rsidR="006451A1" w:rsidRPr="00752D88">
        <w:rPr>
          <w:rFonts w:eastAsiaTheme="minorHAnsi"/>
          <w:lang w:val="en-CA"/>
        </w:rPr>
        <w:t xml:space="preserve"> </w:t>
      </w:r>
      <w:r w:rsidR="00AE3C24" w:rsidRPr="00752D88">
        <w:rPr>
          <w:rFonts w:eastAsiaTheme="minorHAnsi"/>
          <w:lang w:val="en-CA"/>
        </w:rPr>
        <w:t xml:space="preserve">This </w:t>
      </w:r>
      <w:r w:rsidR="00B51E44" w:rsidRPr="00752D88">
        <w:rPr>
          <w:rFonts w:eastAsiaTheme="minorHAnsi"/>
          <w:lang w:val="en-CA"/>
        </w:rPr>
        <w:t>is</w:t>
      </w:r>
      <w:r w:rsidR="00AE3C24" w:rsidRPr="00752D88">
        <w:rPr>
          <w:rFonts w:eastAsiaTheme="minorHAnsi"/>
          <w:lang w:val="en-CA"/>
        </w:rPr>
        <w:t xml:space="preserve"> explained in section D and E below.</w:t>
      </w:r>
    </w:p>
    <w:p w14:paraId="23D96C3B" w14:textId="4A689E51" w:rsidR="00911EE1" w:rsidRPr="00752D88" w:rsidRDefault="003B1F8C" w:rsidP="00493C77">
      <w:pPr>
        <w:pStyle w:val="Heading1"/>
      </w:pPr>
      <w:r w:rsidRPr="00752D88">
        <w:rPr>
          <w:rFonts w:eastAsiaTheme="minorHAnsi"/>
          <w:lang w:val="en-CA"/>
        </w:rPr>
        <w:t xml:space="preserve">When </w:t>
      </w:r>
      <w:r w:rsidR="009F2416" w:rsidRPr="00752D88">
        <w:rPr>
          <w:rFonts w:eastAsiaTheme="minorHAnsi"/>
          <w:lang w:val="en-CA"/>
        </w:rPr>
        <w:t xml:space="preserve">pure </w:t>
      </w:r>
      <w:r w:rsidR="00BA5ED6" w:rsidRPr="00752D88">
        <w:rPr>
          <w:rFonts w:eastAsiaTheme="minorHAnsi"/>
          <w:lang w:val="en-CA"/>
        </w:rPr>
        <w:t xml:space="preserve">controlled substances </w:t>
      </w:r>
      <w:r w:rsidRPr="00752D88">
        <w:rPr>
          <w:rFonts w:eastAsiaTheme="minorHAnsi"/>
          <w:lang w:val="en-CA"/>
        </w:rPr>
        <w:t>or blends</w:t>
      </w:r>
      <w:r w:rsidR="009F2416" w:rsidRPr="00752D88">
        <w:rPr>
          <w:rFonts w:eastAsiaTheme="minorHAnsi"/>
          <w:lang w:val="en-CA"/>
        </w:rPr>
        <w:t>/</w:t>
      </w:r>
      <w:r w:rsidRPr="00752D88">
        <w:rPr>
          <w:rFonts w:eastAsiaTheme="minorHAnsi"/>
          <w:lang w:val="en-CA"/>
        </w:rPr>
        <w:t xml:space="preserve">mixtures </w:t>
      </w:r>
      <w:r w:rsidR="00BA5ED6" w:rsidRPr="00752D88">
        <w:rPr>
          <w:rFonts w:eastAsiaTheme="minorHAnsi"/>
          <w:lang w:val="en-CA"/>
        </w:rPr>
        <w:t>there</w:t>
      </w:r>
      <w:r w:rsidRPr="00752D88">
        <w:rPr>
          <w:rFonts w:eastAsiaTheme="minorHAnsi"/>
          <w:lang w:val="en-CA"/>
        </w:rPr>
        <w:t xml:space="preserve">of </w:t>
      </w:r>
      <w:r w:rsidR="00911EE1" w:rsidRPr="00752D88">
        <w:rPr>
          <w:rFonts w:eastAsiaTheme="minorHAnsi"/>
          <w:lang w:val="en-CA"/>
        </w:rPr>
        <w:t>are imported in</w:t>
      </w:r>
      <w:r w:rsidR="00BA5ED6" w:rsidRPr="00752D88">
        <w:rPr>
          <w:rFonts w:eastAsiaTheme="minorHAnsi"/>
          <w:lang w:val="en-CA"/>
        </w:rPr>
        <w:t>to</w:t>
      </w:r>
      <w:r w:rsidR="00911EE1" w:rsidRPr="00752D88">
        <w:rPr>
          <w:rFonts w:eastAsiaTheme="minorHAnsi"/>
          <w:lang w:val="en-CA"/>
        </w:rPr>
        <w:t xml:space="preserve"> the country or export</w:t>
      </w:r>
      <w:r w:rsidR="00BA5ED6" w:rsidRPr="00752D88">
        <w:rPr>
          <w:rFonts w:eastAsiaTheme="minorHAnsi"/>
          <w:lang w:val="en-CA"/>
        </w:rPr>
        <w:t>ed</w:t>
      </w:r>
      <w:r w:rsidR="00911EE1" w:rsidRPr="00752D88">
        <w:rPr>
          <w:rFonts w:eastAsiaTheme="minorHAnsi"/>
          <w:lang w:val="en-CA"/>
        </w:rPr>
        <w:t xml:space="preserve"> from the country, data </w:t>
      </w:r>
      <w:r w:rsidR="009F2416" w:rsidRPr="00752D88">
        <w:rPr>
          <w:rFonts w:eastAsiaTheme="minorHAnsi"/>
          <w:lang w:val="en-CA"/>
        </w:rPr>
        <w:t xml:space="preserve">should be reported </w:t>
      </w:r>
      <w:r w:rsidR="00911EE1" w:rsidRPr="00752D88">
        <w:rPr>
          <w:rFonts w:eastAsiaTheme="minorHAnsi"/>
          <w:lang w:val="en-CA"/>
        </w:rPr>
        <w:t xml:space="preserve">in the appropriate column. </w:t>
      </w:r>
    </w:p>
    <w:p w14:paraId="6719D2E5" w14:textId="7A438557" w:rsidR="00911EE1" w:rsidRPr="00752D88" w:rsidRDefault="00911EE1" w:rsidP="00493C77">
      <w:pPr>
        <w:pStyle w:val="Heading1"/>
      </w:pPr>
      <w:r w:rsidRPr="00752D88">
        <w:rPr>
          <w:rFonts w:eastAsiaTheme="minorHAnsi"/>
          <w:lang w:val="en-CA"/>
        </w:rPr>
        <w:t>When</w:t>
      </w:r>
      <w:r w:rsidR="003B1F8C" w:rsidRPr="00752D88">
        <w:rPr>
          <w:rFonts w:eastAsiaTheme="minorHAnsi"/>
          <w:lang w:val="en-CA"/>
        </w:rPr>
        <w:t xml:space="preserve"> pure </w:t>
      </w:r>
      <w:r w:rsidR="00BA5ED6" w:rsidRPr="00752D88">
        <w:rPr>
          <w:rFonts w:eastAsiaTheme="minorHAnsi"/>
          <w:lang w:val="en-CA"/>
        </w:rPr>
        <w:t xml:space="preserve">controlled substances </w:t>
      </w:r>
      <w:r w:rsidR="003B1F8C" w:rsidRPr="00752D88">
        <w:rPr>
          <w:rFonts w:eastAsiaTheme="minorHAnsi"/>
          <w:lang w:val="en-CA"/>
        </w:rPr>
        <w:t xml:space="preserve">or </w:t>
      </w:r>
      <w:r w:rsidRPr="00752D88">
        <w:rPr>
          <w:rFonts w:eastAsiaTheme="minorHAnsi"/>
          <w:lang w:val="en-CA"/>
        </w:rPr>
        <w:t>blends</w:t>
      </w:r>
      <w:r w:rsidR="003B1F8C" w:rsidRPr="00752D88">
        <w:rPr>
          <w:rFonts w:eastAsiaTheme="minorHAnsi"/>
          <w:lang w:val="en-CA"/>
        </w:rPr>
        <w:t>/mixtures</w:t>
      </w:r>
      <w:r w:rsidRPr="00752D88">
        <w:rPr>
          <w:rFonts w:eastAsiaTheme="minorHAnsi"/>
          <w:lang w:val="en-CA"/>
        </w:rPr>
        <w:t xml:space="preserve"> </w:t>
      </w:r>
      <w:r w:rsidR="00BA5ED6" w:rsidRPr="00752D88">
        <w:rPr>
          <w:rFonts w:eastAsiaTheme="minorHAnsi"/>
          <w:lang w:val="en-CA"/>
        </w:rPr>
        <w:t>there</w:t>
      </w:r>
      <w:r w:rsidR="003B1F8C" w:rsidRPr="00752D88">
        <w:rPr>
          <w:rFonts w:eastAsiaTheme="minorHAnsi"/>
          <w:lang w:val="en-CA"/>
        </w:rPr>
        <w:t>of are</w:t>
      </w:r>
      <w:r w:rsidRPr="00752D88">
        <w:rPr>
          <w:rFonts w:eastAsiaTheme="minorHAnsi"/>
          <w:lang w:val="en-CA"/>
        </w:rPr>
        <w:t xml:space="preserve"> produced in the count</w:t>
      </w:r>
      <w:r w:rsidR="003B1F8C" w:rsidRPr="00752D88">
        <w:rPr>
          <w:rFonts w:eastAsiaTheme="minorHAnsi"/>
          <w:lang w:val="en-CA"/>
        </w:rPr>
        <w:t>ry, Section B1 should be filled</w:t>
      </w:r>
      <w:r w:rsidR="00037102" w:rsidRPr="00752D88">
        <w:rPr>
          <w:rFonts w:eastAsiaTheme="minorHAnsi"/>
          <w:lang w:val="en-CA"/>
        </w:rPr>
        <w:t xml:space="preserve"> prior to </w:t>
      </w:r>
      <w:r w:rsidR="009E1177" w:rsidRPr="00752D88">
        <w:rPr>
          <w:rFonts w:eastAsiaTheme="minorHAnsi"/>
          <w:lang w:val="en-CA"/>
        </w:rPr>
        <w:t>S</w:t>
      </w:r>
      <w:r w:rsidR="00037102" w:rsidRPr="00752D88">
        <w:rPr>
          <w:rFonts w:eastAsiaTheme="minorHAnsi"/>
          <w:lang w:val="en-CA"/>
        </w:rPr>
        <w:t>ection</w:t>
      </w:r>
      <w:r w:rsidR="009E1177" w:rsidRPr="00752D88">
        <w:rPr>
          <w:rFonts w:eastAsiaTheme="minorHAnsi"/>
          <w:lang w:val="en-CA"/>
        </w:rPr>
        <w:t xml:space="preserve"> B</w:t>
      </w:r>
      <w:r w:rsidR="003B1F8C" w:rsidRPr="00752D88">
        <w:rPr>
          <w:rFonts w:eastAsiaTheme="minorHAnsi"/>
          <w:lang w:val="en-CA"/>
        </w:rPr>
        <w:t>.</w:t>
      </w:r>
      <w:r w:rsidR="006451A1" w:rsidRPr="00752D88">
        <w:rPr>
          <w:rFonts w:eastAsiaTheme="minorHAnsi"/>
          <w:lang w:val="en-CA"/>
        </w:rPr>
        <w:t xml:space="preserve"> </w:t>
      </w:r>
      <w:r w:rsidR="00BA5ED6" w:rsidRPr="00752D88">
        <w:rPr>
          <w:rFonts w:eastAsiaTheme="minorHAnsi"/>
          <w:lang w:val="en-CA"/>
        </w:rPr>
        <w:t xml:space="preserve">An explanation of the </w:t>
      </w:r>
      <w:r w:rsidR="00AE3C24" w:rsidRPr="00752D88">
        <w:rPr>
          <w:rFonts w:eastAsiaTheme="minorHAnsi"/>
          <w:lang w:val="en-CA"/>
        </w:rPr>
        <w:t xml:space="preserve">methodology for filling </w:t>
      </w:r>
      <w:r w:rsidR="00BA5ED6" w:rsidRPr="00752D88">
        <w:rPr>
          <w:rFonts w:eastAsiaTheme="minorHAnsi"/>
          <w:lang w:val="en-CA"/>
        </w:rPr>
        <w:t xml:space="preserve">in </w:t>
      </w:r>
      <w:r w:rsidR="00AE3C24" w:rsidRPr="00752D88">
        <w:rPr>
          <w:rFonts w:eastAsiaTheme="minorHAnsi"/>
          <w:lang w:val="en-CA"/>
        </w:rPr>
        <w:t xml:space="preserve">this data </w:t>
      </w:r>
      <w:r w:rsidR="00BA5ED6" w:rsidRPr="00752D88">
        <w:rPr>
          <w:rFonts w:eastAsiaTheme="minorHAnsi"/>
          <w:lang w:val="en-CA"/>
        </w:rPr>
        <w:t>is</w:t>
      </w:r>
      <w:r w:rsidR="00AE3C24" w:rsidRPr="00752D88">
        <w:rPr>
          <w:rFonts w:eastAsiaTheme="minorHAnsi"/>
          <w:lang w:val="en-CA"/>
        </w:rPr>
        <w:t xml:space="preserve"> </w:t>
      </w:r>
      <w:r w:rsidR="003B1F8C" w:rsidRPr="00752D88">
        <w:rPr>
          <w:rFonts w:eastAsiaTheme="minorHAnsi"/>
          <w:lang w:val="en-CA"/>
        </w:rPr>
        <w:t>provided under Section B1</w:t>
      </w:r>
      <w:r w:rsidRPr="00752D88">
        <w:rPr>
          <w:rFonts w:eastAsiaTheme="minorHAnsi"/>
          <w:lang w:val="en-CA"/>
        </w:rPr>
        <w:t>.</w:t>
      </w:r>
    </w:p>
    <w:p w14:paraId="64BC959F" w14:textId="78438415" w:rsidR="007F5D5A" w:rsidRPr="00752D88" w:rsidRDefault="007F5D5A" w:rsidP="00493C77">
      <w:pPr>
        <w:pStyle w:val="Heading1"/>
      </w:pPr>
      <w:r w:rsidRPr="00752D88">
        <w:rPr>
          <w:rFonts w:eastAsiaTheme="minorHAnsi"/>
          <w:lang w:val="en-CA"/>
        </w:rPr>
        <w:t>In case</w:t>
      </w:r>
      <w:r w:rsidR="00BA5ED6" w:rsidRPr="00752D88">
        <w:rPr>
          <w:rFonts w:eastAsiaTheme="minorHAnsi"/>
          <w:lang w:val="en-CA"/>
        </w:rPr>
        <w:t>s</w:t>
      </w:r>
      <w:r w:rsidRPr="00752D88">
        <w:rPr>
          <w:rFonts w:eastAsiaTheme="minorHAnsi"/>
          <w:lang w:val="en-CA"/>
        </w:rPr>
        <w:t xml:space="preserve"> where imports of controlled substances are used for production, </w:t>
      </w:r>
      <w:r w:rsidR="00B51E44" w:rsidRPr="00752D88">
        <w:rPr>
          <w:rFonts w:eastAsiaTheme="minorHAnsi"/>
          <w:lang w:val="en-CA"/>
        </w:rPr>
        <w:t>these</w:t>
      </w:r>
      <w:r w:rsidRPr="00752D88">
        <w:rPr>
          <w:rFonts w:eastAsiaTheme="minorHAnsi"/>
          <w:lang w:val="en-CA"/>
        </w:rPr>
        <w:t xml:space="preserve"> quantities need to be explained in the </w:t>
      </w:r>
      <w:r w:rsidR="00F46EF4" w:rsidRPr="00752D88">
        <w:rPr>
          <w:rFonts w:eastAsiaTheme="minorHAnsi"/>
          <w:lang w:val="en-CA"/>
        </w:rPr>
        <w:t>“Remarks</w:t>
      </w:r>
      <w:r w:rsidRPr="00752D88">
        <w:rPr>
          <w:rFonts w:eastAsiaTheme="minorHAnsi"/>
          <w:lang w:val="en-CA"/>
        </w:rPr>
        <w:t>”</w:t>
      </w:r>
      <w:r w:rsidR="00BA5ED6" w:rsidRPr="00752D88">
        <w:rPr>
          <w:rFonts w:eastAsiaTheme="minorHAnsi"/>
          <w:lang w:val="en-CA"/>
        </w:rPr>
        <w:t xml:space="preserve"> column; </w:t>
      </w:r>
      <w:r w:rsidRPr="00752D88">
        <w:rPr>
          <w:rFonts w:eastAsiaTheme="minorHAnsi"/>
          <w:lang w:val="en-CA"/>
        </w:rPr>
        <w:t xml:space="preserve">total import </w:t>
      </w:r>
      <w:r w:rsidR="005659B2" w:rsidRPr="00752D88">
        <w:rPr>
          <w:rFonts w:eastAsiaTheme="minorHAnsi"/>
          <w:lang w:val="en-CA"/>
        </w:rPr>
        <w:t>quantities</w:t>
      </w:r>
      <w:r w:rsidRPr="00752D88">
        <w:rPr>
          <w:rFonts w:eastAsiaTheme="minorHAnsi"/>
          <w:lang w:val="en-CA"/>
        </w:rPr>
        <w:t xml:space="preserve"> should be reported in </w:t>
      </w:r>
      <w:r w:rsidR="00BA5ED6" w:rsidRPr="00752D88">
        <w:rPr>
          <w:rFonts w:eastAsiaTheme="minorHAnsi"/>
          <w:lang w:val="en-CA"/>
        </w:rPr>
        <w:t>the</w:t>
      </w:r>
      <w:r w:rsidR="005659B2" w:rsidRPr="00752D88">
        <w:rPr>
          <w:rFonts w:eastAsiaTheme="minorHAnsi"/>
          <w:lang w:val="en-CA"/>
        </w:rPr>
        <w:t xml:space="preserve"> “Import” </w:t>
      </w:r>
      <w:r w:rsidR="00BA5ED6" w:rsidRPr="00752D88">
        <w:rPr>
          <w:rFonts w:eastAsiaTheme="minorHAnsi"/>
          <w:lang w:val="en-CA"/>
        </w:rPr>
        <w:t xml:space="preserve">column </w:t>
      </w:r>
      <w:r w:rsidR="005659B2" w:rsidRPr="00752D88">
        <w:rPr>
          <w:rFonts w:eastAsiaTheme="minorHAnsi"/>
          <w:lang w:val="en-CA"/>
        </w:rPr>
        <w:t>of Section B.</w:t>
      </w:r>
    </w:p>
    <w:p w14:paraId="31C4ED53" w14:textId="16DF337A" w:rsidR="009471BF" w:rsidRPr="00752D88" w:rsidRDefault="009471BF" w:rsidP="00493C77">
      <w:pPr>
        <w:pStyle w:val="Heading1"/>
      </w:pPr>
      <w:r w:rsidRPr="00752D88">
        <w:rPr>
          <w:rFonts w:eastAsiaTheme="minorHAnsi"/>
          <w:lang w:val="en-CA"/>
        </w:rPr>
        <w:t xml:space="preserve">For </w:t>
      </w:r>
      <w:r w:rsidR="007C28D6" w:rsidRPr="00752D88">
        <w:rPr>
          <w:rFonts w:eastAsiaTheme="minorHAnsi"/>
          <w:lang w:val="en-CA"/>
        </w:rPr>
        <w:t>“</w:t>
      </w:r>
      <w:r w:rsidRPr="00752D88">
        <w:rPr>
          <w:rFonts w:eastAsiaTheme="minorHAnsi"/>
          <w:lang w:val="en-CA"/>
        </w:rPr>
        <w:t>Import quotas</w:t>
      </w:r>
      <w:r w:rsidR="007C28D6" w:rsidRPr="00752D88">
        <w:rPr>
          <w:rFonts w:eastAsiaTheme="minorHAnsi"/>
          <w:lang w:val="en-CA"/>
        </w:rPr>
        <w:t>”</w:t>
      </w:r>
      <w:r w:rsidRPr="00752D88">
        <w:rPr>
          <w:rFonts w:eastAsiaTheme="minorHAnsi"/>
          <w:lang w:val="en-CA"/>
        </w:rPr>
        <w:t>, the information required is whether the country has established an import quota for each controlled substance for the</w:t>
      </w:r>
      <w:r w:rsidR="00B51E44" w:rsidRPr="00752D88">
        <w:rPr>
          <w:rFonts w:eastAsiaTheme="minorHAnsi"/>
          <w:lang w:val="en-CA"/>
        </w:rPr>
        <w:t xml:space="preserve"> reporting</w:t>
      </w:r>
      <w:r w:rsidRPr="00752D88">
        <w:rPr>
          <w:rFonts w:eastAsiaTheme="minorHAnsi"/>
          <w:lang w:val="en-CA"/>
        </w:rPr>
        <w:t xml:space="preserve"> year.</w:t>
      </w:r>
      <w:r w:rsidR="006451A1" w:rsidRPr="00752D88">
        <w:rPr>
          <w:rFonts w:eastAsiaTheme="minorHAnsi"/>
          <w:lang w:val="en-CA"/>
        </w:rPr>
        <w:t xml:space="preserve"> </w:t>
      </w:r>
      <w:r w:rsidRPr="00752D88">
        <w:rPr>
          <w:rFonts w:eastAsiaTheme="minorHAnsi"/>
          <w:lang w:val="en-CA"/>
        </w:rPr>
        <w:t xml:space="preserve">For example, if </w:t>
      </w:r>
      <w:r w:rsidR="00BA5ED6" w:rsidRPr="00752D88">
        <w:rPr>
          <w:rFonts w:eastAsiaTheme="minorHAnsi"/>
          <w:lang w:val="en-CA"/>
        </w:rPr>
        <w:t xml:space="preserve">during the reporting </w:t>
      </w:r>
      <w:r w:rsidR="00B51E44" w:rsidRPr="00752D88">
        <w:rPr>
          <w:rFonts w:eastAsiaTheme="minorHAnsi"/>
          <w:lang w:val="en-CA"/>
        </w:rPr>
        <w:t>year</w:t>
      </w:r>
      <w:r w:rsidRPr="00752D88">
        <w:rPr>
          <w:rFonts w:eastAsiaTheme="minorHAnsi"/>
          <w:lang w:val="en-CA"/>
        </w:rPr>
        <w:t xml:space="preserve"> licenses </w:t>
      </w:r>
      <w:r w:rsidR="0056186A" w:rsidRPr="00752D88">
        <w:rPr>
          <w:rFonts w:eastAsiaTheme="minorHAnsi"/>
          <w:lang w:val="en-CA"/>
        </w:rPr>
        <w:t xml:space="preserve">have been issued </w:t>
      </w:r>
      <w:r w:rsidR="00BA5ED6" w:rsidRPr="00752D88">
        <w:rPr>
          <w:rFonts w:eastAsiaTheme="minorHAnsi"/>
          <w:lang w:val="en-CA"/>
        </w:rPr>
        <w:t>for importation of</w:t>
      </w:r>
      <w:r w:rsidRPr="00752D88">
        <w:rPr>
          <w:rFonts w:eastAsiaTheme="minorHAnsi"/>
          <w:lang w:val="en-CA"/>
        </w:rPr>
        <w:t xml:space="preserve"> </w:t>
      </w:r>
      <w:r w:rsidR="0056186A" w:rsidRPr="00752D88">
        <w:rPr>
          <w:rFonts w:eastAsiaTheme="minorHAnsi"/>
          <w:lang w:val="en-CA"/>
        </w:rPr>
        <w:t>an actual amount of controlled substances</w:t>
      </w:r>
      <w:r w:rsidRPr="00752D88">
        <w:rPr>
          <w:rFonts w:eastAsiaTheme="minorHAnsi"/>
          <w:lang w:val="en-CA"/>
        </w:rPr>
        <w:t xml:space="preserve">, </w:t>
      </w:r>
      <w:r w:rsidR="0056186A" w:rsidRPr="00752D88">
        <w:rPr>
          <w:rFonts w:eastAsiaTheme="minorHAnsi"/>
          <w:lang w:val="en-CA"/>
        </w:rPr>
        <w:t xml:space="preserve">the actual </w:t>
      </w:r>
      <w:r w:rsidRPr="00752D88">
        <w:rPr>
          <w:rFonts w:eastAsiaTheme="minorHAnsi"/>
          <w:lang w:val="en-CA"/>
        </w:rPr>
        <w:t xml:space="preserve">amount should be entered in </w:t>
      </w:r>
      <w:r w:rsidR="0056186A" w:rsidRPr="00752D88">
        <w:rPr>
          <w:rFonts w:eastAsiaTheme="minorHAnsi"/>
          <w:lang w:val="en-CA"/>
        </w:rPr>
        <w:t xml:space="preserve">the </w:t>
      </w:r>
      <w:r w:rsidRPr="00752D88">
        <w:rPr>
          <w:rFonts w:eastAsiaTheme="minorHAnsi"/>
          <w:lang w:val="en-CA"/>
        </w:rPr>
        <w:t xml:space="preserve">column </w:t>
      </w:r>
      <w:r w:rsidR="0056186A" w:rsidRPr="00752D88">
        <w:rPr>
          <w:rFonts w:eastAsiaTheme="minorHAnsi"/>
          <w:lang w:val="en-CA"/>
        </w:rPr>
        <w:t>“Import quotas”.</w:t>
      </w:r>
      <w:r w:rsidR="006451A1" w:rsidRPr="00752D88">
        <w:rPr>
          <w:rFonts w:eastAsiaTheme="minorHAnsi"/>
          <w:lang w:val="en-CA"/>
        </w:rPr>
        <w:t xml:space="preserve"> </w:t>
      </w:r>
    </w:p>
    <w:p w14:paraId="6AD14697" w14:textId="774B419A" w:rsidR="009471BF" w:rsidRPr="00752D88" w:rsidRDefault="009471BF" w:rsidP="00493C77">
      <w:pPr>
        <w:pStyle w:val="Heading1"/>
      </w:pPr>
      <w:r w:rsidRPr="00752D88">
        <w:rPr>
          <w:rFonts w:eastAsiaTheme="minorHAnsi"/>
          <w:lang w:val="en-CA"/>
        </w:rPr>
        <w:t>In case</w:t>
      </w:r>
      <w:r w:rsidR="00BA5ED6" w:rsidRPr="00752D88">
        <w:rPr>
          <w:rFonts w:eastAsiaTheme="minorHAnsi"/>
          <w:lang w:val="en-CA"/>
        </w:rPr>
        <w:t>s</w:t>
      </w:r>
      <w:r w:rsidRPr="00752D88">
        <w:rPr>
          <w:rFonts w:eastAsiaTheme="minorHAnsi"/>
          <w:lang w:val="en-CA"/>
        </w:rPr>
        <w:t xml:space="preserve"> where imports </w:t>
      </w:r>
      <w:r w:rsidR="00BA5ED6" w:rsidRPr="00752D88">
        <w:rPr>
          <w:rFonts w:eastAsiaTheme="minorHAnsi"/>
          <w:lang w:val="en-CA"/>
        </w:rPr>
        <w:t xml:space="preserve">of a specific controlled substance </w:t>
      </w:r>
      <w:r w:rsidRPr="00752D88">
        <w:rPr>
          <w:rFonts w:eastAsiaTheme="minorHAnsi"/>
          <w:lang w:val="en-CA"/>
        </w:rPr>
        <w:t xml:space="preserve">are banned, the date </w:t>
      </w:r>
      <w:r w:rsidR="00BA5ED6" w:rsidRPr="00752D88">
        <w:rPr>
          <w:rFonts w:eastAsiaTheme="minorHAnsi"/>
          <w:lang w:val="en-CA"/>
        </w:rPr>
        <w:t xml:space="preserve">of the ban </w:t>
      </w:r>
      <w:r w:rsidRPr="00752D88">
        <w:rPr>
          <w:rFonts w:eastAsiaTheme="minorHAnsi"/>
          <w:lang w:val="en-CA"/>
        </w:rPr>
        <w:t>should be provided in the “If import</w:t>
      </w:r>
      <w:r w:rsidR="00BA5ED6" w:rsidRPr="00752D88">
        <w:rPr>
          <w:rFonts w:eastAsiaTheme="minorHAnsi"/>
          <w:lang w:val="en-CA"/>
        </w:rPr>
        <w:t>s</w:t>
      </w:r>
      <w:r w:rsidRPr="00752D88">
        <w:rPr>
          <w:rFonts w:eastAsiaTheme="minorHAnsi"/>
          <w:lang w:val="en-CA"/>
        </w:rPr>
        <w:t xml:space="preserve"> are banned, indicate date ban commenced” column.</w:t>
      </w:r>
    </w:p>
    <w:p w14:paraId="599407D1" w14:textId="5D349B8F" w:rsidR="001415F1" w:rsidRPr="00752D88" w:rsidRDefault="001415F1" w:rsidP="00493C77">
      <w:pPr>
        <w:pStyle w:val="ListParagraph"/>
        <w:spacing w:after="240" w:line="240" w:lineRule="auto"/>
        <w:ind w:left="0"/>
        <w:contextualSpacing w:val="0"/>
        <w:jc w:val="both"/>
        <w:rPr>
          <w:rFonts w:ascii="Times New Roman" w:hAnsi="Times New Roman" w:cs="Times New Roman"/>
          <w:b/>
        </w:rPr>
      </w:pPr>
      <w:r w:rsidRPr="00752D88">
        <w:rPr>
          <w:rFonts w:ascii="Times New Roman" w:hAnsi="Times New Roman" w:cs="Times New Roman"/>
          <w:b/>
        </w:rPr>
        <w:t xml:space="preserve">Section B1. Annex F </w:t>
      </w:r>
      <w:r w:rsidR="0056186A" w:rsidRPr="00752D88">
        <w:rPr>
          <w:rFonts w:ascii="Times New Roman" w:hAnsi="Times New Roman" w:cs="Times New Roman"/>
          <w:b/>
        </w:rPr>
        <w:t>(p</w:t>
      </w:r>
      <w:r w:rsidRPr="00752D88">
        <w:rPr>
          <w:rFonts w:ascii="Times New Roman" w:hAnsi="Times New Roman" w:cs="Times New Roman"/>
          <w:b/>
        </w:rPr>
        <w:t>roduction of controlled substances</w:t>
      </w:r>
      <w:r w:rsidR="0056186A" w:rsidRPr="00752D88">
        <w:rPr>
          <w:rFonts w:ascii="Times New Roman" w:hAnsi="Times New Roman" w:cs="Times New Roman"/>
          <w:b/>
        </w:rPr>
        <w:t>)</w:t>
      </w:r>
    </w:p>
    <w:p w14:paraId="1EFCBDA9" w14:textId="1D20A89C" w:rsidR="005D4AE3" w:rsidRPr="00752D88" w:rsidRDefault="001415F1" w:rsidP="00493C77">
      <w:pPr>
        <w:pStyle w:val="Heading1"/>
      </w:pPr>
      <w:r w:rsidRPr="00752D88">
        <w:t>This section is used to report production data on Annex F (HFC) controlled substances</w:t>
      </w:r>
      <w:r w:rsidR="00FC41C8" w:rsidRPr="00752D88">
        <w:t xml:space="preserve">, </w:t>
      </w:r>
      <w:r w:rsidRPr="00752D88">
        <w:t>including HFC-23 (use) as shown in the table below:</w:t>
      </w:r>
    </w:p>
    <w:p w14:paraId="6104C2FA" w14:textId="69B60FEE" w:rsidR="00361552" w:rsidRPr="00752D88" w:rsidRDefault="00AB1D29" w:rsidP="00493C77">
      <w:pPr>
        <w:pStyle w:val="ListParagraph"/>
        <w:spacing w:after="240" w:line="240" w:lineRule="auto"/>
        <w:ind w:left="-284"/>
        <w:contextualSpacing w:val="0"/>
        <w:jc w:val="both"/>
        <w:rPr>
          <w:rFonts w:ascii="Times New Roman" w:hAnsi="Times New Roman" w:cs="Times New Roman"/>
        </w:rPr>
      </w:pPr>
      <w:r w:rsidRPr="00752D88">
        <w:rPr>
          <w:noProof/>
          <w:lang w:eastAsia="en-CA"/>
        </w:rPr>
        <w:drawing>
          <wp:inline distT="0" distB="0" distL="0" distR="0" wp14:anchorId="702BC00B" wp14:editId="67EDF6BE">
            <wp:extent cx="6500446" cy="341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3053" cy="3417670"/>
                    </a:xfrm>
                    <a:prstGeom prst="rect">
                      <a:avLst/>
                    </a:prstGeom>
                    <a:noFill/>
                    <a:ln>
                      <a:noFill/>
                    </a:ln>
                  </pic:spPr>
                </pic:pic>
              </a:graphicData>
            </a:graphic>
          </wp:inline>
        </w:drawing>
      </w:r>
    </w:p>
    <w:p w14:paraId="0EB8CEB5" w14:textId="46D58AD0" w:rsidR="00EF78FC" w:rsidRPr="00752D88" w:rsidRDefault="00EF78FC" w:rsidP="00493C77">
      <w:pPr>
        <w:pStyle w:val="Heading1"/>
      </w:pPr>
      <w:r w:rsidRPr="00752D88">
        <w:rPr>
          <w:rFonts w:eastAsiaTheme="minorHAnsi"/>
          <w:lang w:val="en-CA"/>
        </w:rPr>
        <w:t>If a country is producing Annex F (HFC</w:t>
      </w:r>
      <w:r w:rsidR="00B51E44" w:rsidRPr="00752D88">
        <w:rPr>
          <w:rFonts w:eastAsiaTheme="minorHAnsi"/>
          <w:lang w:val="en-CA"/>
        </w:rPr>
        <w:t>s</w:t>
      </w:r>
      <w:r w:rsidRPr="00752D88">
        <w:rPr>
          <w:rFonts w:eastAsiaTheme="minorHAnsi"/>
          <w:lang w:val="en-CA"/>
        </w:rPr>
        <w:t xml:space="preserve">) controlled substances, this section is required in order to </w:t>
      </w:r>
      <w:r w:rsidR="00FC41C8" w:rsidRPr="00752D88">
        <w:rPr>
          <w:rFonts w:eastAsiaTheme="minorHAnsi"/>
          <w:lang w:val="en-CA"/>
        </w:rPr>
        <w:t xml:space="preserve">fill in </w:t>
      </w:r>
      <w:r w:rsidRPr="00752D88">
        <w:rPr>
          <w:rFonts w:eastAsiaTheme="minorHAnsi"/>
          <w:lang w:val="en-CA"/>
        </w:rPr>
        <w:t>Section B.</w:t>
      </w:r>
    </w:p>
    <w:p w14:paraId="62DEC015" w14:textId="11E8AA7A" w:rsidR="00EF78FC" w:rsidRPr="00752D88" w:rsidRDefault="00097086" w:rsidP="00493C77">
      <w:pPr>
        <w:pStyle w:val="Heading1"/>
      </w:pPr>
      <w:r w:rsidRPr="00752D88">
        <w:rPr>
          <w:rFonts w:eastAsiaTheme="minorHAnsi"/>
          <w:lang w:val="en-CA"/>
        </w:rPr>
        <w:lastRenderedPageBreak/>
        <w:t xml:space="preserve">Data should be provided in </w:t>
      </w:r>
      <w:r w:rsidRPr="00752D88">
        <w:rPr>
          <w:rFonts w:eastAsiaTheme="minorHAnsi"/>
          <w:b/>
          <w:lang w:val="en-CA"/>
        </w:rPr>
        <w:t>metric tonnes only</w:t>
      </w:r>
      <w:r w:rsidRPr="00752D88">
        <w:rPr>
          <w:rFonts w:eastAsiaTheme="minorHAnsi"/>
          <w:lang w:val="en-CA"/>
        </w:rPr>
        <w:t xml:space="preserve"> and not in </w:t>
      </w:r>
      <w:r w:rsidR="006451A1" w:rsidRPr="00752D88">
        <w:rPr>
          <w:rFonts w:eastAsiaTheme="minorHAnsi"/>
          <w:lang w:val="en-CA"/>
        </w:rPr>
        <w:t>CO</w:t>
      </w:r>
      <w:r w:rsidR="006451A1" w:rsidRPr="00752D88">
        <w:rPr>
          <w:rFonts w:eastAsiaTheme="minorHAnsi"/>
          <w:vertAlign w:val="subscript"/>
          <w:lang w:val="en-CA"/>
        </w:rPr>
        <w:t>2</w:t>
      </w:r>
      <w:r w:rsidRPr="00752D88">
        <w:rPr>
          <w:rFonts w:eastAsiaTheme="minorHAnsi"/>
          <w:lang w:val="en-CA"/>
        </w:rPr>
        <w:t>-equivalent</w:t>
      </w:r>
      <w:r w:rsidR="00CE62E0" w:rsidRPr="00752D88">
        <w:rPr>
          <w:rFonts w:eastAsiaTheme="minorHAnsi"/>
          <w:lang w:val="en-CA"/>
        </w:rPr>
        <w:t>.</w:t>
      </w:r>
    </w:p>
    <w:p w14:paraId="167BC6AA" w14:textId="25E0D447" w:rsidR="00EF78FC" w:rsidRPr="00752D88" w:rsidRDefault="0056186A" w:rsidP="00493C77">
      <w:pPr>
        <w:pStyle w:val="Heading1"/>
      </w:pPr>
      <w:r w:rsidRPr="00752D88">
        <w:rPr>
          <w:rFonts w:eastAsiaTheme="minorHAnsi"/>
          <w:lang w:val="en-CA"/>
        </w:rPr>
        <w:t>T</w:t>
      </w:r>
      <w:r w:rsidR="00EF78FC" w:rsidRPr="00752D88">
        <w:rPr>
          <w:rFonts w:eastAsiaTheme="minorHAnsi"/>
          <w:lang w:val="en-CA"/>
        </w:rPr>
        <w:t>he quantity of each component for each of the blends</w:t>
      </w:r>
      <w:r w:rsidRPr="00752D88">
        <w:rPr>
          <w:rFonts w:eastAsiaTheme="minorHAnsi"/>
          <w:lang w:val="en-CA"/>
        </w:rPr>
        <w:t>/mixtures</w:t>
      </w:r>
      <w:r w:rsidR="00EF78FC" w:rsidRPr="00752D88">
        <w:rPr>
          <w:rFonts w:eastAsiaTheme="minorHAnsi"/>
          <w:lang w:val="en-CA"/>
        </w:rPr>
        <w:t xml:space="preserve"> </w:t>
      </w:r>
      <w:r w:rsidRPr="00752D88">
        <w:rPr>
          <w:rFonts w:eastAsiaTheme="minorHAnsi"/>
          <w:lang w:val="en-CA"/>
        </w:rPr>
        <w:t xml:space="preserve">should be provided </w:t>
      </w:r>
      <w:r w:rsidR="00EF78FC" w:rsidRPr="00752D88">
        <w:rPr>
          <w:rFonts w:eastAsiaTheme="minorHAnsi"/>
          <w:lang w:val="en-CA"/>
        </w:rPr>
        <w:t xml:space="preserve">in the relevant cells, </w:t>
      </w:r>
      <w:r w:rsidR="00B51E44" w:rsidRPr="00752D88">
        <w:rPr>
          <w:rFonts w:eastAsiaTheme="minorHAnsi"/>
          <w:lang w:val="en-CA"/>
        </w:rPr>
        <w:t>if</w:t>
      </w:r>
      <w:r w:rsidR="00EF78FC" w:rsidRPr="00752D88">
        <w:rPr>
          <w:rFonts w:eastAsiaTheme="minorHAnsi"/>
          <w:lang w:val="en-CA"/>
        </w:rPr>
        <w:t xml:space="preserve"> blends</w:t>
      </w:r>
      <w:r w:rsidRPr="00752D88">
        <w:rPr>
          <w:rFonts w:eastAsiaTheme="minorHAnsi"/>
          <w:lang w:val="en-CA"/>
        </w:rPr>
        <w:t>/mixtures</w:t>
      </w:r>
      <w:r w:rsidR="00EF78FC" w:rsidRPr="00752D88">
        <w:rPr>
          <w:rFonts w:eastAsiaTheme="minorHAnsi"/>
          <w:lang w:val="en-CA"/>
        </w:rPr>
        <w:t xml:space="preserve"> are produced in the country.</w:t>
      </w:r>
    </w:p>
    <w:p w14:paraId="258123DA" w14:textId="39DD3462" w:rsidR="006A1993" w:rsidRPr="00752D88" w:rsidRDefault="006A1993" w:rsidP="00493C77">
      <w:pPr>
        <w:pStyle w:val="Heading1"/>
      </w:pPr>
      <w:r w:rsidRPr="00752D88">
        <w:rPr>
          <w:rFonts w:eastAsiaTheme="minorHAnsi"/>
          <w:lang w:val="en-CA"/>
        </w:rPr>
        <w:t xml:space="preserve">If a blend/mixture not listed in the above table is used, please indicate the name of the blend/mixture in </w:t>
      </w:r>
      <w:r w:rsidR="00FC41C8" w:rsidRPr="00752D88">
        <w:rPr>
          <w:rFonts w:eastAsiaTheme="minorHAnsi"/>
          <w:lang w:val="en-CA"/>
        </w:rPr>
        <w:t xml:space="preserve">the </w:t>
      </w:r>
      <w:r w:rsidRPr="00752D88">
        <w:rPr>
          <w:rFonts w:eastAsiaTheme="minorHAnsi"/>
          <w:lang w:val="en-CA"/>
        </w:rPr>
        <w:t xml:space="preserve">“Others” </w:t>
      </w:r>
      <w:r w:rsidR="00FC41C8" w:rsidRPr="00752D88">
        <w:rPr>
          <w:rFonts w:eastAsiaTheme="minorHAnsi"/>
          <w:lang w:val="en-CA"/>
        </w:rPr>
        <w:t xml:space="preserve">row </w:t>
      </w:r>
      <w:r w:rsidRPr="00752D88">
        <w:rPr>
          <w:rFonts w:eastAsiaTheme="minorHAnsi"/>
          <w:lang w:val="en-CA"/>
        </w:rPr>
        <w:t>and indicate the percentage of each constituent controlled substance of the</w:t>
      </w:r>
      <w:r w:rsidR="00FC41C8" w:rsidRPr="00752D88">
        <w:rPr>
          <w:rFonts w:eastAsiaTheme="minorHAnsi"/>
          <w:lang w:val="en-CA"/>
        </w:rPr>
        <w:t xml:space="preserve"> reported</w:t>
      </w:r>
      <w:r w:rsidRPr="00752D88">
        <w:rPr>
          <w:rFonts w:eastAsiaTheme="minorHAnsi"/>
          <w:lang w:val="en-CA"/>
        </w:rPr>
        <w:t xml:space="preserve"> blend in the “Remarks” column.</w:t>
      </w:r>
    </w:p>
    <w:p w14:paraId="66492F98" w14:textId="7F9E2983" w:rsidR="002E602E" w:rsidRPr="00752D88" w:rsidRDefault="00B51E44" w:rsidP="00493C77">
      <w:pPr>
        <w:pStyle w:val="Heading1"/>
      </w:pPr>
      <w:r w:rsidRPr="00752D88">
        <w:rPr>
          <w:rFonts w:eastAsiaTheme="minorHAnsi"/>
          <w:lang w:val="en-CA"/>
        </w:rPr>
        <w:t>If blends/mixtures are produced, a</w:t>
      </w:r>
      <w:r w:rsidR="002E602E" w:rsidRPr="00752D88">
        <w:rPr>
          <w:rFonts w:eastAsiaTheme="minorHAnsi"/>
          <w:lang w:val="en-CA"/>
        </w:rPr>
        <w:t xml:space="preserve">ccurate calculation of the components </w:t>
      </w:r>
      <w:r w:rsidR="0056186A" w:rsidRPr="00752D88">
        <w:rPr>
          <w:rFonts w:eastAsiaTheme="minorHAnsi"/>
          <w:lang w:val="en-CA"/>
        </w:rPr>
        <w:t>should be provided</w:t>
      </w:r>
      <w:r w:rsidR="002E602E" w:rsidRPr="00752D88">
        <w:rPr>
          <w:rFonts w:eastAsiaTheme="minorHAnsi"/>
          <w:lang w:val="en-CA"/>
        </w:rPr>
        <w:t xml:space="preserve">, based on </w:t>
      </w:r>
      <w:r w:rsidR="00FC41C8" w:rsidRPr="00752D88">
        <w:rPr>
          <w:rFonts w:eastAsiaTheme="minorHAnsi"/>
          <w:lang w:val="en-CA"/>
        </w:rPr>
        <w:t xml:space="preserve">the </w:t>
      </w:r>
      <w:r w:rsidR="002E602E" w:rsidRPr="00752D88">
        <w:rPr>
          <w:rFonts w:eastAsiaTheme="minorHAnsi"/>
          <w:lang w:val="en-CA"/>
        </w:rPr>
        <w:t>standard composition ratios listed in A</w:t>
      </w:r>
      <w:r w:rsidR="008A103A" w:rsidRPr="00752D88">
        <w:rPr>
          <w:rFonts w:eastAsiaTheme="minorHAnsi"/>
          <w:lang w:val="en-CA"/>
        </w:rPr>
        <w:t>ppendix</w:t>
      </w:r>
      <w:r w:rsidR="002E602E" w:rsidRPr="00752D88">
        <w:rPr>
          <w:rFonts w:eastAsiaTheme="minorHAnsi"/>
          <w:lang w:val="en-CA"/>
        </w:rPr>
        <w:t xml:space="preserve"> I.</w:t>
      </w:r>
    </w:p>
    <w:p w14:paraId="20B3CC69" w14:textId="1C729F1E" w:rsidR="00C95F5E" w:rsidRPr="00752D88" w:rsidRDefault="00C95F5E" w:rsidP="00493C77">
      <w:pPr>
        <w:pStyle w:val="Heading1"/>
      </w:pPr>
      <w:r w:rsidRPr="00752D88">
        <w:rPr>
          <w:rFonts w:eastAsiaTheme="minorHAnsi"/>
          <w:lang w:val="en-CA"/>
        </w:rPr>
        <w:t xml:space="preserve">For production of pure controlled substances, </w:t>
      </w:r>
      <w:r w:rsidR="00FC41C8" w:rsidRPr="00752D88">
        <w:rPr>
          <w:rFonts w:eastAsiaTheme="minorHAnsi"/>
          <w:lang w:val="en-CA"/>
        </w:rPr>
        <w:t xml:space="preserve">the </w:t>
      </w:r>
      <w:r w:rsidRPr="00752D88">
        <w:rPr>
          <w:rFonts w:eastAsiaTheme="minorHAnsi"/>
          <w:lang w:val="en-CA"/>
        </w:rPr>
        <w:t>amount in column “Pure (A)” should be included in the “Production” column of Section B under individual controlled substances.</w:t>
      </w:r>
    </w:p>
    <w:p w14:paraId="2CB5AB17" w14:textId="4ECADBD4" w:rsidR="00C95F5E" w:rsidRPr="00752D88" w:rsidRDefault="00C95F5E" w:rsidP="00493C77">
      <w:pPr>
        <w:pStyle w:val="Heading1"/>
      </w:pPr>
      <w:r w:rsidRPr="00752D88">
        <w:rPr>
          <w:rFonts w:eastAsiaTheme="minorHAnsi"/>
          <w:lang w:val="en-CA"/>
        </w:rPr>
        <w:t xml:space="preserve">For production of blends/mixtures of controlled substances, </w:t>
      </w:r>
      <w:r w:rsidR="00FC41C8" w:rsidRPr="00752D88">
        <w:rPr>
          <w:rFonts w:eastAsiaTheme="minorHAnsi"/>
          <w:lang w:val="en-CA"/>
        </w:rPr>
        <w:t xml:space="preserve">the </w:t>
      </w:r>
      <w:r w:rsidRPr="00752D88">
        <w:rPr>
          <w:rFonts w:eastAsiaTheme="minorHAnsi"/>
          <w:lang w:val="en-CA"/>
        </w:rPr>
        <w:t xml:space="preserve">amount in row “TOTAL (B)” should be included in </w:t>
      </w:r>
      <w:r w:rsidR="00FC41C8" w:rsidRPr="00752D88">
        <w:rPr>
          <w:rFonts w:eastAsiaTheme="minorHAnsi"/>
          <w:lang w:val="en-CA"/>
        </w:rPr>
        <w:t xml:space="preserve">the </w:t>
      </w:r>
      <w:r w:rsidRPr="00752D88">
        <w:rPr>
          <w:rFonts w:eastAsiaTheme="minorHAnsi"/>
          <w:lang w:val="en-CA"/>
        </w:rPr>
        <w:t>“Production” column of Section B under individual blends/mixtures.</w:t>
      </w:r>
    </w:p>
    <w:p w14:paraId="50716E1E" w14:textId="29B0B738" w:rsidR="00C95F5E" w:rsidRPr="00752D88" w:rsidRDefault="00C95F5E" w:rsidP="00493C77">
      <w:pPr>
        <w:pStyle w:val="Heading1"/>
      </w:pPr>
      <w:r w:rsidRPr="00752D88">
        <w:rPr>
          <w:rFonts w:eastAsiaTheme="minorHAnsi"/>
          <w:lang w:val="en-CA"/>
        </w:rPr>
        <w:t>HFC-23 destroyed and used as feedstock should not be included in production.</w:t>
      </w:r>
      <w:r w:rsidR="006451A1" w:rsidRPr="00752D88">
        <w:rPr>
          <w:rFonts w:eastAsiaTheme="minorHAnsi"/>
          <w:lang w:val="en-CA"/>
        </w:rPr>
        <w:t xml:space="preserve"> </w:t>
      </w:r>
    </w:p>
    <w:p w14:paraId="2A9A49CB" w14:textId="06235922" w:rsidR="001415F1" w:rsidRPr="00752D88" w:rsidRDefault="000F3F4C" w:rsidP="00493C77">
      <w:pPr>
        <w:pStyle w:val="ListParagraph"/>
        <w:spacing w:after="240" w:line="240" w:lineRule="auto"/>
        <w:ind w:left="0"/>
        <w:contextualSpacing w:val="0"/>
        <w:jc w:val="both"/>
        <w:rPr>
          <w:rFonts w:ascii="Times New Roman" w:hAnsi="Times New Roman" w:cs="Times New Roman"/>
          <w:b/>
        </w:rPr>
      </w:pPr>
      <w:r w:rsidRPr="00752D88">
        <w:rPr>
          <w:rFonts w:ascii="Times New Roman" w:hAnsi="Times New Roman" w:cs="Times New Roman"/>
          <w:b/>
        </w:rPr>
        <w:t>Section C. Price</w:t>
      </w:r>
      <w:r w:rsidR="000E29D3" w:rsidRPr="00752D88">
        <w:rPr>
          <w:rFonts w:ascii="Times New Roman" w:hAnsi="Times New Roman" w:cs="Times New Roman"/>
          <w:b/>
        </w:rPr>
        <w:t>s</w:t>
      </w:r>
      <w:r w:rsidRPr="00752D88">
        <w:rPr>
          <w:rFonts w:ascii="Times New Roman" w:hAnsi="Times New Roman" w:cs="Times New Roman"/>
          <w:b/>
        </w:rPr>
        <w:t xml:space="preserve"> of HCFC</w:t>
      </w:r>
      <w:r w:rsidR="00AB1D29" w:rsidRPr="00752D88">
        <w:rPr>
          <w:rFonts w:ascii="Times New Roman" w:hAnsi="Times New Roman" w:cs="Times New Roman"/>
          <w:b/>
        </w:rPr>
        <w:t>s</w:t>
      </w:r>
      <w:r w:rsidRPr="00752D88">
        <w:rPr>
          <w:rFonts w:ascii="Times New Roman" w:hAnsi="Times New Roman" w:cs="Times New Roman"/>
          <w:b/>
        </w:rPr>
        <w:t>,</w:t>
      </w:r>
      <w:r w:rsidR="00AB1D29" w:rsidRPr="00752D88">
        <w:rPr>
          <w:rFonts w:ascii="Times New Roman" w:hAnsi="Times New Roman" w:cs="Times New Roman"/>
          <w:b/>
        </w:rPr>
        <w:t xml:space="preserve"> HFCs, </w:t>
      </w:r>
      <w:r w:rsidRPr="00752D88">
        <w:rPr>
          <w:rFonts w:ascii="Times New Roman" w:hAnsi="Times New Roman" w:cs="Times New Roman"/>
          <w:b/>
        </w:rPr>
        <w:t>alternative</w:t>
      </w:r>
      <w:r w:rsidR="00982DE8" w:rsidRPr="00752D88">
        <w:rPr>
          <w:rFonts w:ascii="Times New Roman" w:hAnsi="Times New Roman" w:cs="Times New Roman"/>
          <w:b/>
        </w:rPr>
        <w:t>s</w:t>
      </w:r>
      <w:r w:rsidRPr="00752D88">
        <w:rPr>
          <w:rFonts w:ascii="Times New Roman" w:hAnsi="Times New Roman" w:cs="Times New Roman"/>
          <w:b/>
        </w:rPr>
        <w:t xml:space="preserve"> and energy</w:t>
      </w:r>
    </w:p>
    <w:p w14:paraId="7C0DC2DD" w14:textId="6C5225A8" w:rsidR="000F3F4C" w:rsidRPr="00752D88" w:rsidRDefault="000F3F4C" w:rsidP="00493C77">
      <w:pPr>
        <w:pStyle w:val="Heading1"/>
      </w:pPr>
      <w:r w:rsidRPr="00752D88">
        <w:rPr>
          <w:rFonts w:eastAsiaTheme="minorHAnsi"/>
          <w:lang w:val="en-CA"/>
        </w:rPr>
        <w:t xml:space="preserve">This section is used to report </w:t>
      </w:r>
      <w:r w:rsidR="00FC41C8" w:rsidRPr="00752D88">
        <w:rPr>
          <w:rFonts w:eastAsiaTheme="minorHAnsi"/>
          <w:lang w:val="en-CA"/>
        </w:rPr>
        <w:t xml:space="preserve">the </w:t>
      </w:r>
      <w:r w:rsidRPr="00752D88">
        <w:rPr>
          <w:rFonts w:eastAsiaTheme="minorHAnsi"/>
          <w:lang w:val="en-CA"/>
        </w:rPr>
        <w:t>prices of HCFC</w:t>
      </w:r>
      <w:r w:rsidR="00AB1D29" w:rsidRPr="00752D88">
        <w:rPr>
          <w:rFonts w:eastAsiaTheme="minorHAnsi"/>
          <w:lang w:val="en-CA"/>
        </w:rPr>
        <w:t>s</w:t>
      </w:r>
      <w:r w:rsidRPr="00752D88">
        <w:rPr>
          <w:rFonts w:eastAsiaTheme="minorHAnsi"/>
          <w:lang w:val="en-CA"/>
        </w:rPr>
        <w:t xml:space="preserve">, </w:t>
      </w:r>
      <w:r w:rsidR="00AB1D29" w:rsidRPr="00752D88">
        <w:rPr>
          <w:rFonts w:eastAsiaTheme="minorHAnsi"/>
          <w:lang w:val="en-CA"/>
        </w:rPr>
        <w:t xml:space="preserve">HFCs, </w:t>
      </w:r>
      <w:r w:rsidRPr="00752D88">
        <w:rPr>
          <w:rFonts w:eastAsiaTheme="minorHAnsi"/>
          <w:lang w:val="en-CA"/>
        </w:rPr>
        <w:t>alternatives and energy</w:t>
      </w:r>
      <w:r w:rsidR="00FC41C8" w:rsidRPr="00752D88">
        <w:rPr>
          <w:rFonts w:eastAsiaTheme="minorHAnsi"/>
          <w:lang w:val="en-CA"/>
        </w:rPr>
        <w:t>,</w:t>
      </w:r>
      <w:r w:rsidRPr="00752D88">
        <w:rPr>
          <w:rFonts w:eastAsiaTheme="minorHAnsi"/>
          <w:lang w:val="en-CA"/>
        </w:rPr>
        <w:t xml:space="preserve"> as shown in the table below: </w:t>
      </w:r>
    </w:p>
    <w:p w14:paraId="36F99B7C" w14:textId="1FEA704C" w:rsidR="000F3F4C" w:rsidRPr="00752D88" w:rsidRDefault="00982DE8" w:rsidP="005A66EB">
      <w:pPr>
        <w:pStyle w:val="ListParagraph"/>
        <w:spacing w:after="240" w:line="240" w:lineRule="auto"/>
        <w:ind w:left="0"/>
        <w:contextualSpacing w:val="0"/>
        <w:jc w:val="center"/>
        <w:rPr>
          <w:rFonts w:ascii="Times New Roman" w:hAnsi="Times New Roman" w:cs="Times New Roman"/>
          <w:b/>
          <w:lang w:val="en-US"/>
        </w:rPr>
      </w:pPr>
      <w:r w:rsidRPr="00752D88">
        <w:rPr>
          <w:noProof/>
          <w:lang w:eastAsia="en-CA"/>
        </w:rPr>
        <w:lastRenderedPageBreak/>
        <w:drawing>
          <wp:inline distT="0" distB="0" distL="0" distR="0" wp14:anchorId="4585E8B7" wp14:editId="38746041">
            <wp:extent cx="5843359" cy="6696556"/>
            <wp:effectExtent l="0" t="0" r="508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6946" cy="6712127"/>
                    </a:xfrm>
                    <a:prstGeom prst="rect">
                      <a:avLst/>
                    </a:prstGeom>
                    <a:noFill/>
                    <a:ln>
                      <a:noFill/>
                    </a:ln>
                  </pic:spPr>
                </pic:pic>
              </a:graphicData>
            </a:graphic>
          </wp:inline>
        </w:drawing>
      </w:r>
    </w:p>
    <w:p w14:paraId="2B06F296" w14:textId="17529517" w:rsidR="0055089E" w:rsidRPr="00752D88" w:rsidRDefault="0055089E" w:rsidP="0055089E">
      <w:pPr>
        <w:pStyle w:val="Heading1"/>
      </w:pPr>
      <w:r w:rsidRPr="00752D88">
        <w:rPr>
          <w:rFonts w:eastAsiaTheme="minorHAnsi"/>
          <w:lang w:val="en-CA"/>
        </w:rPr>
        <w:t xml:space="preserve">Data should be provided for retail and freight on board (FOB) prices. Regarding FOB prices, the Executive Committee has requested the Governments to report, on a voluntary basis, the average import FOB price for each controlled substance and </w:t>
      </w:r>
      <w:r w:rsidR="004F0402" w:rsidRPr="00752D88">
        <w:rPr>
          <w:rFonts w:eastAsiaTheme="minorHAnsi"/>
          <w:lang w:val="en-CA"/>
        </w:rPr>
        <w:t>controlled substances</w:t>
      </w:r>
      <w:r w:rsidRPr="00752D88">
        <w:rPr>
          <w:rFonts w:eastAsiaTheme="minorHAnsi"/>
          <w:lang w:val="en-CA"/>
        </w:rPr>
        <w:t xml:space="preserve"> substitute </w:t>
      </w:r>
      <w:r w:rsidR="004F0402" w:rsidRPr="00752D88">
        <w:rPr>
          <w:rFonts w:eastAsiaTheme="minorHAnsi"/>
          <w:lang w:val="en-CA"/>
        </w:rPr>
        <w:t xml:space="preserve">in the revised CP format </w:t>
      </w:r>
      <w:r w:rsidRPr="00752D88">
        <w:rPr>
          <w:rFonts w:eastAsiaTheme="minorHAnsi"/>
          <w:lang w:val="en-CA"/>
        </w:rPr>
        <w:t>(decision 68/4(b)(iv)).</w:t>
      </w:r>
    </w:p>
    <w:p w14:paraId="20CEBFFC" w14:textId="45D4A813" w:rsidR="000F3F4C" w:rsidRPr="00752D88" w:rsidRDefault="00B51E44" w:rsidP="00493C77">
      <w:pPr>
        <w:pStyle w:val="Heading1"/>
      </w:pPr>
      <w:r w:rsidRPr="00752D88">
        <w:rPr>
          <w:rFonts w:eastAsiaTheme="minorHAnsi"/>
          <w:lang w:val="en-CA"/>
        </w:rPr>
        <w:t>In</w:t>
      </w:r>
      <w:r w:rsidR="000F3F4C" w:rsidRPr="00752D88">
        <w:rPr>
          <w:rFonts w:eastAsiaTheme="minorHAnsi"/>
          <w:lang w:val="en-CA"/>
        </w:rPr>
        <w:t xml:space="preserve"> Section C.1, the average estimated retail prices </w:t>
      </w:r>
      <w:r w:rsidR="00F51CF1" w:rsidRPr="00752D88">
        <w:rPr>
          <w:rFonts w:eastAsiaTheme="minorHAnsi"/>
          <w:lang w:val="en-CA"/>
        </w:rPr>
        <w:t>of HCFC</w:t>
      </w:r>
      <w:r w:rsidR="000E29D3" w:rsidRPr="00752D88">
        <w:rPr>
          <w:rFonts w:eastAsiaTheme="minorHAnsi"/>
          <w:lang w:val="en-CA"/>
        </w:rPr>
        <w:t>s</w:t>
      </w:r>
      <w:r w:rsidR="0055089E" w:rsidRPr="00752D88">
        <w:rPr>
          <w:rFonts w:eastAsiaTheme="minorHAnsi"/>
          <w:lang w:val="en-CA"/>
        </w:rPr>
        <w:t>, HFC</w:t>
      </w:r>
      <w:r w:rsidR="000E29D3" w:rsidRPr="00752D88">
        <w:rPr>
          <w:rFonts w:eastAsiaTheme="minorHAnsi"/>
          <w:lang w:val="en-CA"/>
        </w:rPr>
        <w:t>s</w:t>
      </w:r>
      <w:r w:rsidR="00F51CF1" w:rsidRPr="00752D88">
        <w:rPr>
          <w:rFonts w:eastAsiaTheme="minorHAnsi"/>
          <w:lang w:val="en-CA"/>
        </w:rPr>
        <w:t xml:space="preserve"> and </w:t>
      </w:r>
      <w:r w:rsidR="000F3F4C" w:rsidRPr="00752D88">
        <w:rPr>
          <w:rFonts w:eastAsiaTheme="minorHAnsi"/>
          <w:lang w:val="en-CA"/>
        </w:rPr>
        <w:t xml:space="preserve">alternatives </w:t>
      </w:r>
      <w:r w:rsidRPr="00752D88">
        <w:rPr>
          <w:rFonts w:eastAsiaTheme="minorHAnsi"/>
          <w:lang w:val="en-CA"/>
        </w:rPr>
        <w:t>should</w:t>
      </w:r>
      <w:r w:rsidR="000F3F4C" w:rsidRPr="00752D88">
        <w:rPr>
          <w:rFonts w:eastAsiaTheme="minorHAnsi"/>
          <w:lang w:val="en-CA"/>
        </w:rPr>
        <w:t xml:space="preserve"> be provided, in US dollars per </w:t>
      </w:r>
      <w:proofErr w:type="spellStart"/>
      <w:r w:rsidR="000F3F4C" w:rsidRPr="00752D88">
        <w:rPr>
          <w:rFonts w:eastAsiaTheme="minorHAnsi"/>
          <w:lang w:val="en-CA"/>
        </w:rPr>
        <w:t>kilogramme</w:t>
      </w:r>
      <w:proofErr w:type="spellEnd"/>
      <w:r w:rsidR="000F3F4C" w:rsidRPr="00752D88">
        <w:rPr>
          <w:rFonts w:eastAsiaTheme="minorHAnsi"/>
          <w:lang w:val="en-CA"/>
        </w:rPr>
        <w:t>.</w:t>
      </w:r>
      <w:r w:rsidR="006451A1" w:rsidRPr="00752D88">
        <w:rPr>
          <w:rFonts w:eastAsiaTheme="minorHAnsi"/>
          <w:lang w:val="en-CA"/>
        </w:rPr>
        <w:t xml:space="preserve"> </w:t>
      </w:r>
      <w:r w:rsidR="000F3F4C" w:rsidRPr="00752D88">
        <w:rPr>
          <w:rFonts w:eastAsiaTheme="minorHAnsi"/>
          <w:lang w:val="en-CA"/>
        </w:rPr>
        <w:t xml:space="preserve">Most suppliers of alternatives will have a price list, and </w:t>
      </w:r>
      <w:r w:rsidRPr="00752D88">
        <w:rPr>
          <w:rFonts w:eastAsiaTheme="minorHAnsi"/>
          <w:lang w:val="en-CA"/>
        </w:rPr>
        <w:t xml:space="preserve">it </w:t>
      </w:r>
      <w:r w:rsidR="000F3F4C" w:rsidRPr="00752D88">
        <w:rPr>
          <w:rFonts w:eastAsiaTheme="minorHAnsi"/>
          <w:lang w:val="en-CA"/>
        </w:rPr>
        <w:t>can be collected, and the average price calculated.</w:t>
      </w:r>
      <w:r w:rsidR="006451A1" w:rsidRPr="00752D88">
        <w:rPr>
          <w:rFonts w:eastAsiaTheme="minorHAnsi"/>
          <w:lang w:val="en-CA"/>
        </w:rPr>
        <w:t xml:space="preserve"> </w:t>
      </w:r>
      <w:r w:rsidR="000F3F4C" w:rsidRPr="00752D88">
        <w:rPr>
          <w:rFonts w:eastAsiaTheme="minorHAnsi"/>
          <w:lang w:val="en-CA"/>
        </w:rPr>
        <w:t xml:space="preserve">If the amount is in local currency, official rates of </w:t>
      </w:r>
      <w:r w:rsidRPr="00752D88">
        <w:rPr>
          <w:rFonts w:eastAsiaTheme="minorHAnsi"/>
          <w:lang w:val="en-CA"/>
        </w:rPr>
        <w:t>currency</w:t>
      </w:r>
      <w:r w:rsidR="000F3F4C" w:rsidRPr="00752D88">
        <w:rPr>
          <w:rFonts w:eastAsiaTheme="minorHAnsi"/>
          <w:lang w:val="en-CA"/>
        </w:rPr>
        <w:t xml:space="preserve"> </w:t>
      </w:r>
      <w:r w:rsidR="000F3F4C" w:rsidRPr="00752D88">
        <w:rPr>
          <w:rFonts w:eastAsiaTheme="minorHAnsi"/>
          <w:lang w:val="en-CA"/>
        </w:rPr>
        <w:lastRenderedPageBreak/>
        <w:t xml:space="preserve">exchange </w:t>
      </w:r>
      <w:r w:rsidRPr="00752D88">
        <w:rPr>
          <w:rFonts w:eastAsiaTheme="minorHAnsi"/>
          <w:lang w:val="en-CA"/>
        </w:rPr>
        <w:t xml:space="preserve">should be used </w:t>
      </w:r>
      <w:r w:rsidR="000F3F4C" w:rsidRPr="00752D88">
        <w:rPr>
          <w:rFonts w:eastAsiaTheme="minorHAnsi"/>
          <w:lang w:val="en-CA"/>
        </w:rPr>
        <w:t>when converting the prices to US dollars.</w:t>
      </w:r>
      <w:r w:rsidR="006451A1" w:rsidRPr="00752D88">
        <w:rPr>
          <w:rFonts w:eastAsiaTheme="minorHAnsi"/>
          <w:lang w:val="en-CA"/>
        </w:rPr>
        <w:t xml:space="preserve"> </w:t>
      </w:r>
      <w:r w:rsidRPr="00752D88">
        <w:rPr>
          <w:rFonts w:eastAsiaTheme="minorHAnsi"/>
          <w:lang w:val="en-CA"/>
        </w:rPr>
        <w:t>This will</w:t>
      </w:r>
      <w:r w:rsidR="000F3F4C" w:rsidRPr="00752D88">
        <w:rPr>
          <w:rFonts w:eastAsiaTheme="minorHAnsi"/>
          <w:lang w:val="en-CA"/>
        </w:rPr>
        <w:t xml:space="preserve"> be helpful </w:t>
      </w:r>
      <w:r w:rsidRPr="00752D88">
        <w:rPr>
          <w:rFonts w:eastAsiaTheme="minorHAnsi"/>
          <w:lang w:val="en-CA"/>
        </w:rPr>
        <w:t xml:space="preserve">to compare </w:t>
      </w:r>
      <w:r w:rsidR="000F3F4C" w:rsidRPr="00752D88">
        <w:rPr>
          <w:rFonts w:eastAsiaTheme="minorHAnsi"/>
          <w:lang w:val="en-CA"/>
        </w:rPr>
        <w:t xml:space="preserve">the pricing gathered </w:t>
      </w:r>
      <w:r w:rsidRPr="00752D88">
        <w:rPr>
          <w:rFonts w:eastAsiaTheme="minorHAnsi"/>
          <w:lang w:val="en-CA"/>
        </w:rPr>
        <w:t>with</w:t>
      </w:r>
      <w:r w:rsidR="000F3F4C" w:rsidRPr="00752D88">
        <w:rPr>
          <w:rFonts w:eastAsiaTheme="minorHAnsi"/>
          <w:lang w:val="en-CA"/>
        </w:rPr>
        <w:t xml:space="preserve"> existing global prices of substances to observe price differences.</w:t>
      </w:r>
    </w:p>
    <w:p w14:paraId="6568D00A" w14:textId="4218F729" w:rsidR="00D023BA" w:rsidRPr="00752D88" w:rsidRDefault="00B51E44" w:rsidP="00493C77">
      <w:pPr>
        <w:pStyle w:val="Heading1"/>
      </w:pPr>
      <w:r w:rsidRPr="00752D88">
        <w:rPr>
          <w:rFonts w:eastAsiaTheme="minorHAnsi"/>
          <w:lang w:val="en-CA"/>
        </w:rPr>
        <w:t xml:space="preserve">In </w:t>
      </w:r>
      <w:r w:rsidR="00853F4E" w:rsidRPr="00752D88">
        <w:rPr>
          <w:rFonts w:eastAsiaTheme="minorHAnsi"/>
          <w:lang w:val="en-CA"/>
        </w:rPr>
        <w:t>Section C.</w:t>
      </w:r>
      <w:r w:rsidR="0055089E" w:rsidRPr="00752D88">
        <w:rPr>
          <w:rFonts w:eastAsiaTheme="minorHAnsi"/>
          <w:lang w:val="en-CA"/>
        </w:rPr>
        <w:t>2</w:t>
      </w:r>
      <w:r w:rsidR="00853F4E" w:rsidRPr="00752D88">
        <w:rPr>
          <w:rFonts w:eastAsiaTheme="minorHAnsi"/>
          <w:lang w:val="en-CA"/>
        </w:rPr>
        <w:t xml:space="preserve">, the average estimated price of energy costs should be provided in </w:t>
      </w:r>
      <w:r w:rsidR="004D62BC" w:rsidRPr="00752D88">
        <w:rPr>
          <w:rFonts w:eastAsiaTheme="minorHAnsi"/>
          <w:lang w:val="en-CA"/>
        </w:rPr>
        <w:t>kilowatt per hour, if available.</w:t>
      </w:r>
    </w:p>
    <w:p w14:paraId="01020EB7" w14:textId="77777777" w:rsidR="000F3F4C" w:rsidRPr="00752D88" w:rsidRDefault="004D62BC" w:rsidP="00493C77">
      <w:pPr>
        <w:pStyle w:val="Heading1"/>
      </w:pPr>
      <w:r w:rsidRPr="00752D88">
        <w:t>Additional information can be provided in the “Remarks” column.</w:t>
      </w:r>
    </w:p>
    <w:p w14:paraId="46FB385B" w14:textId="77777777" w:rsidR="00214854" w:rsidRPr="00752D88" w:rsidRDefault="00214854" w:rsidP="00493C77">
      <w:pPr>
        <w:pStyle w:val="ListParagraph"/>
        <w:spacing w:after="240" w:line="240" w:lineRule="auto"/>
        <w:ind w:left="0"/>
        <w:contextualSpacing w:val="0"/>
        <w:jc w:val="both"/>
        <w:rPr>
          <w:rFonts w:ascii="Times New Roman" w:hAnsi="Times New Roman" w:cs="Times New Roman"/>
          <w:b/>
        </w:rPr>
      </w:pPr>
      <w:r w:rsidRPr="00752D88">
        <w:rPr>
          <w:rFonts w:ascii="Times New Roman" w:hAnsi="Times New Roman" w:cs="Times New Roman"/>
          <w:b/>
        </w:rPr>
        <w:t>Section D. Annex F, Group II – Data on HFC-23 generation</w:t>
      </w:r>
    </w:p>
    <w:p w14:paraId="2EADC58A" w14:textId="685BC2B8" w:rsidR="000F3F4C" w:rsidRPr="00752D88" w:rsidRDefault="00771C37" w:rsidP="00493C77">
      <w:pPr>
        <w:pStyle w:val="Heading1"/>
      </w:pPr>
      <w:r w:rsidRPr="00752D88">
        <w:rPr>
          <w:rFonts w:eastAsiaTheme="minorHAnsi"/>
          <w:lang w:val="en-CA"/>
        </w:rPr>
        <w:t xml:space="preserve">This section should be provided if </w:t>
      </w:r>
      <w:r w:rsidR="00FC41C8" w:rsidRPr="00752D88">
        <w:rPr>
          <w:rFonts w:eastAsiaTheme="minorHAnsi"/>
          <w:lang w:val="en-CA"/>
        </w:rPr>
        <w:t xml:space="preserve">the </w:t>
      </w:r>
      <w:r w:rsidR="00A92FC1" w:rsidRPr="00752D88">
        <w:rPr>
          <w:rFonts w:eastAsiaTheme="minorHAnsi"/>
          <w:lang w:val="en-CA"/>
        </w:rPr>
        <w:t>country generated HFC-23 from any facility that produced (manufactured) Annex C, Group I or Annex F substances.</w:t>
      </w:r>
    </w:p>
    <w:p w14:paraId="5B801333" w14:textId="581D9B9B" w:rsidR="00771C37" w:rsidRPr="00752D88" w:rsidRDefault="00C4120D" w:rsidP="00493C77">
      <w:pPr>
        <w:pStyle w:val="BodyTextIndent"/>
        <w:spacing w:after="240"/>
        <w:ind w:left="0"/>
        <w:jc w:val="both"/>
        <w:rPr>
          <w:b/>
          <w:sz w:val="22"/>
          <w:szCs w:val="22"/>
          <w:lang w:val="en-CA"/>
        </w:rPr>
      </w:pPr>
      <w:r w:rsidRPr="00752D88">
        <w:rPr>
          <w:noProof/>
          <w:lang w:val="en-CA" w:eastAsia="en-CA"/>
        </w:rPr>
        <w:drawing>
          <wp:inline distT="0" distB="0" distL="0" distR="0" wp14:anchorId="350071C8" wp14:editId="14D26802">
            <wp:extent cx="5943600" cy="12639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63941"/>
                    </a:xfrm>
                    <a:prstGeom prst="rect">
                      <a:avLst/>
                    </a:prstGeom>
                    <a:noFill/>
                    <a:ln>
                      <a:noFill/>
                    </a:ln>
                  </pic:spPr>
                </pic:pic>
              </a:graphicData>
            </a:graphic>
          </wp:inline>
        </w:drawing>
      </w:r>
    </w:p>
    <w:p w14:paraId="5B6D8416" w14:textId="322F8E00" w:rsidR="00771C37" w:rsidRPr="00752D88" w:rsidRDefault="0058235C" w:rsidP="00493C77">
      <w:pPr>
        <w:pStyle w:val="Heading1"/>
      </w:pPr>
      <w:r w:rsidRPr="00752D88">
        <w:rPr>
          <w:rFonts w:eastAsiaTheme="minorHAnsi"/>
          <w:lang w:val="en-CA"/>
        </w:rPr>
        <w:t>The total HFC-23 by</w:t>
      </w:r>
      <w:r w:rsidR="00E44B44" w:rsidRPr="00752D88">
        <w:rPr>
          <w:rFonts w:eastAsiaTheme="minorHAnsi"/>
          <w:lang w:val="en-CA"/>
        </w:rPr>
        <w:t>-</w:t>
      </w:r>
      <w:r w:rsidRPr="00752D88">
        <w:rPr>
          <w:rFonts w:eastAsiaTheme="minorHAnsi"/>
          <w:lang w:val="en-CA"/>
        </w:rPr>
        <w:t>product</w:t>
      </w:r>
      <w:r w:rsidR="00AF2399" w:rsidRPr="00752D88">
        <w:rPr>
          <w:rFonts w:eastAsiaTheme="minorHAnsi"/>
          <w:lang w:val="en-CA"/>
        </w:rPr>
        <w:t>s</w:t>
      </w:r>
      <w:r w:rsidRPr="00752D88">
        <w:rPr>
          <w:rFonts w:eastAsiaTheme="minorHAnsi"/>
          <w:lang w:val="en-CA"/>
        </w:rPr>
        <w:t xml:space="preserve"> captured for all uses</w:t>
      </w:r>
      <w:r w:rsidR="004323BA" w:rsidRPr="00752D88">
        <w:rPr>
          <w:rFonts w:eastAsiaTheme="minorHAnsi"/>
          <w:lang w:val="en-CA"/>
        </w:rPr>
        <w:t xml:space="preserve">, i.e. destruction, feedstock or any other use </w:t>
      </w:r>
      <w:r w:rsidRPr="00752D88">
        <w:rPr>
          <w:rFonts w:eastAsiaTheme="minorHAnsi"/>
          <w:lang w:val="en-CA"/>
        </w:rPr>
        <w:t>should be reported in this section.</w:t>
      </w:r>
      <w:r w:rsidR="004323BA" w:rsidRPr="00752D88">
        <w:rPr>
          <w:rFonts w:eastAsiaTheme="minorHAnsi"/>
          <w:lang w:val="en-CA"/>
        </w:rPr>
        <w:t xml:space="preserve"> Amounts of HFC-23 by-product</w:t>
      </w:r>
      <w:r w:rsidR="00AF2399" w:rsidRPr="00752D88">
        <w:rPr>
          <w:rFonts w:eastAsiaTheme="minorHAnsi"/>
          <w:lang w:val="en-CA"/>
        </w:rPr>
        <w:t>s</w:t>
      </w:r>
      <w:r w:rsidR="004323BA" w:rsidRPr="00752D88">
        <w:rPr>
          <w:rFonts w:eastAsiaTheme="minorHAnsi"/>
          <w:lang w:val="en-CA"/>
        </w:rPr>
        <w:t xml:space="preserve"> captured for destruction or feedstock use will not be counted as production as per Article 1 of the Montreal Protocol.</w:t>
      </w:r>
    </w:p>
    <w:p w14:paraId="137123CD" w14:textId="07CAAB91" w:rsidR="004323BA" w:rsidRPr="00752D88" w:rsidRDefault="004323BA" w:rsidP="00493C77">
      <w:pPr>
        <w:pStyle w:val="Heading1"/>
      </w:pPr>
      <w:r w:rsidRPr="00752D88">
        <w:rPr>
          <w:rFonts w:eastAsiaTheme="minorHAnsi"/>
          <w:lang w:val="en-CA"/>
        </w:rPr>
        <w:t xml:space="preserve">In providing data on “Captured for all uses”, </w:t>
      </w:r>
      <w:r w:rsidR="006C2A81" w:rsidRPr="00752D88">
        <w:rPr>
          <w:rFonts w:eastAsiaTheme="minorHAnsi"/>
          <w:lang w:val="en-CA"/>
        </w:rPr>
        <w:t>the quantity for “Captured for feedstock uses within your country”, or “Captured for destruction”</w:t>
      </w:r>
      <w:r w:rsidR="00AF2399" w:rsidRPr="00752D88">
        <w:rPr>
          <w:rFonts w:eastAsiaTheme="minorHAnsi"/>
          <w:lang w:val="en-CA"/>
        </w:rPr>
        <w:t xml:space="preserve"> should not be deducted</w:t>
      </w:r>
      <w:r w:rsidR="006C2A81" w:rsidRPr="00752D88">
        <w:rPr>
          <w:rFonts w:eastAsiaTheme="minorHAnsi"/>
          <w:lang w:val="en-CA"/>
        </w:rPr>
        <w:t>.</w:t>
      </w:r>
      <w:r w:rsidR="006451A1" w:rsidRPr="00752D88">
        <w:rPr>
          <w:rFonts w:eastAsiaTheme="minorHAnsi"/>
          <w:lang w:val="en-CA"/>
        </w:rPr>
        <w:t xml:space="preserve"> </w:t>
      </w:r>
      <w:r w:rsidR="00986C97" w:rsidRPr="00752D88">
        <w:rPr>
          <w:rFonts w:eastAsiaTheme="minorHAnsi"/>
          <w:lang w:val="en-CA"/>
        </w:rPr>
        <w:t xml:space="preserve">The column on production “Pure </w:t>
      </w:r>
      <w:r w:rsidR="0051336F" w:rsidRPr="00752D88">
        <w:rPr>
          <w:rFonts w:eastAsiaTheme="minorHAnsi"/>
          <w:lang w:val="en-CA"/>
        </w:rPr>
        <w:t>(</w:t>
      </w:r>
      <w:r w:rsidR="00986C97" w:rsidRPr="00752D88">
        <w:rPr>
          <w:rFonts w:eastAsiaTheme="minorHAnsi"/>
          <w:lang w:val="en-CA"/>
        </w:rPr>
        <w:t>A</w:t>
      </w:r>
      <w:r w:rsidR="0051336F" w:rsidRPr="00752D88">
        <w:rPr>
          <w:rFonts w:eastAsiaTheme="minorHAnsi"/>
          <w:lang w:val="en-CA"/>
        </w:rPr>
        <w:t>)</w:t>
      </w:r>
      <w:r w:rsidR="00986C97" w:rsidRPr="00752D88">
        <w:rPr>
          <w:rFonts w:eastAsiaTheme="minorHAnsi"/>
          <w:lang w:val="en-CA"/>
        </w:rPr>
        <w:t xml:space="preserve">” in Section B1 for HFC-23 (use) should include </w:t>
      </w:r>
      <w:r w:rsidR="00E44B44" w:rsidRPr="00752D88">
        <w:rPr>
          <w:rFonts w:eastAsiaTheme="minorHAnsi"/>
          <w:lang w:val="en-CA"/>
        </w:rPr>
        <w:t xml:space="preserve">the </w:t>
      </w:r>
      <w:r w:rsidR="00986C97" w:rsidRPr="00752D88">
        <w:rPr>
          <w:rFonts w:eastAsiaTheme="minorHAnsi"/>
          <w:lang w:val="en-CA"/>
        </w:rPr>
        <w:t xml:space="preserve">data </w:t>
      </w:r>
      <w:r w:rsidR="00E44B44" w:rsidRPr="00752D88">
        <w:rPr>
          <w:rFonts w:eastAsiaTheme="minorHAnsi"/>
          <w:lang w:val="en-CA"/>
        </w:rPr>
        <w:t xml:space="preserve">on </w:t>
      </w:r>
      <w:r w:rsidR="00986C97" w:rsidRPr="00752D88">
        <w:rPr>
          <w:rFonts w:eastAsiaTheme="minorHAnsi"/>
          <w:lang w:val="en-CA"/>
        </w:rPr>
        <w:t>HFC-23 captured for all uses</w:t>
      </w:r>
      <w:r w:rsidR="00E44B44" w:rsidRPr="00752D88">
        <w:rPr>
          <w:rFonts w:eastAsiaTheme="minorHAnsi"/>
          <w:lang w:val="en-CA"/>
        </w:rPr>
        <w:t xml:space="preserve"> minus the amount</w:t>
      </w:r>
      <w:r w:rsidR="00986C97" w:rsidRPr="00752D88">
        <w:rPr>
          <w:rFonts w:eastAsiaTheme="minorHAnsi"/>
          <w:lang w:val="en-CA"/>
        </w:rPr>
        <w:t xml:space="preserve"> captured for feedstock uses within </w:t>
      </w:r>
      <w:r w:rsidR="00AF2399" w:rsidRPr="00752D88">
        <w:rPr>
          <w:rFonts w:eastAsiaTheme="minorHAnsi"/>
          <w:lang w:val="en-CA"/>
        </w:rPr>
        <w:t>the</w:t>
      </w:r>
      <w:r w:rsidR="00986C97" w:rsidRPr="00752D88">
        <w:rPr>
          <w:rFonts w:eastAsiaTheme="minorHAnsi"/>
          <w:lang w:val="en-CA"/>
        </w:rPr>
        <w:t xml:space="preserve"> country and </w:t>
      </w:r>
      <w:r w:rsidR="00E44B44" w:rsidRPr="00752D88">
        <w:rPr>
          <w:rFonts w:eastAsiaTheme="minorHAnsi"/>
          <w:lang w:val="en-CA"/>
        </w:rPr>
        <w:t xml:space="preserve">the amount used for </w:t>
      </w:r>
      <w:r w:rsidR="00986C97" w:rsidRPr="00752D88">
        <w:rPr>
          <w:rFonts w:eastAsiaTheme="minorHAnsi"/>
          <w:lang w:val="en-CA"/>
        </w:rPr>
        <w:t>destruction.</w:t>
      </w:r>
    </w:p>
    <w:p w14:paraId="767720D9" w14:textId="2252A601" w:rsidR="00A92FC1" w:rsidRPr="00752D88" w:rsidRDefault="00A92FC1" w:rsidP="00493C77">
      <w:pPr>
        <w:spacing w:after="240" w:line="240" w:lineRule="auto"/>
        <w:jc w:val="both"/>
        <w:rPr>
          <w:rFonts w:ascii="Times New Roman" w:hAnsi="Times New Roman" w:cs="Times New Roman"/>
          <w:b/>
        </w:rPr>
      </w:pPr>
      <w:r w:rsidRPr="00752D88">
        <w:rPr>
          <w:rFonts w:ascii="Times New Roman" w:hAnsi="Times New Roman" w:cs="Times New Roman"/>
          <w:b/>
        </w:rPr>
        <w:t xml:space="preserve">Section E. Annex F, Group II </w:t>
      </w:r>
      <w:r w:rsidR="0055089E" w:rsidRPr="00752D88">
        <w:rPr>
          <w:rFonts w:ascii="Times New Roman" w:hAnsi="Times New Roman" w:cs="Times New Roman"/>
          <w:b/>
        </w:rPr>
        <w:t>(</w:t>
      </w:r>
      <w:r w:rsidRPr="00752D88">
        <w:rPr>
          <w:rFonts w:ascii="Times New Roman" w:hAnsi="Times New Roman" w:cs="Times New Roman"/>
          <w:b/>
        </w:rPr>
        <w:t>HFC-23 emissions</w:t>
      </w:r>
      <w:r w:rsidR="0055089E" w:rsidRPr="00752D88">
        <w:rPr>
          <w:rFonts w:ascii="Times New Roman" w:hAnsi="Times New Roman" w:cs="Times New Roman"/>
          <w:b/>
        </w:rPr>
        <w:t>)</w:t>
      </w:r>
    </w:p>
    <w:p w14:paraId="541EFB37" w14:textId="0BFD1B63" w:rsidR="0055089E" w:rsidRPr="00752D88" w:rsidRDefault="006F7680" w:rsidP="0055089E">
      <w:pPr>
        <w:pStyle w:val="Heading1"/>
      </w:pPr>
      <w:r w:rsidRPr="00752D88">
        <w:t xml:space="preserve">This section should be provided </w:t>
      </w:r>
      <w:r w:rsidR="0055089E" w:rsidRPr="00752D88">
        <w:t xml:space="preserve">only for </w:t>
      </w:r>
      <w:r w:rsidRPr="00752D88">
        <w:t>countr</w:t>
      </w:r>
      <w:r w:rsidR="0055089E" w:rsidRPr="00752D88">
        <w:t>ies that had</w:t>
      </w:r>
      <w:r w:rsidRPr="00752D88">
        <w:t xml:space="preserve"> generated HFC-23 from any facility that produced (manufactured) Annex C, Group I or Annex F substances.</w:t>
      </w:r>
      <w:r w:rsidR="0055089E" w:rsidRPr="00752D88">
        <w:t xml:space="preserve"> </w:t>
      </w:r>
      <w:r w:rsidR="0055089E" w:rsidRPr="00752D88">
        <w:rPr>
          <w:rFonts w:eastAsiaTheme="minorHAnsi"/>
          <w:lang w:val="en-CA"/>
        </w:rPr>
        <w:t>The information required in the columns that are shaded in grey is provided on a voluntary basis.</w:t>
      </w:r>
    </w:p>
    <w:p w14:paraId="10C5CFE2" w14:textId="21242B30" w:rsidR="00D00DDB" w:rsidRPr="00752D88" w:rsidRDefault="00C4120D" w:rsidP="00493C77">
      <w:pPr>
        <w:pStyle w:val="ListParagraph"/>
        <w:spacing w:after="240" w:line="240" w:lineRule="auto"/>
        <w:ind w:left="0"/>
        <w:contextualSpacing w:val="0"/>
        <w:jc w:val="both"/>
        <w:rPr>
          <w:rFonts w:ascii="Times New Roman" w:hAnsi="Times New Roman" w:cs="Times New Roman"/>
        </w:rPr>
      </w:pPr>
      <w:r w:rsidRPr="00752D88">
        <w:rPr>
          <w:noProof/>
          <w:lang w:eastAsia="en-CA"/>
        </w:rPr>
        <w:drawing>
          <wp:inline distT="0" distB="0" distL="0" distR="0" wp14:anchorId="5925708A" wp14:editId="211C9704">
            <wp:extent cx="6172200" cy="199878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6506" cy="2000179"/>
                    </a:xfrm>
                    <a:prstGeom prst="rect">
                      <a:avLst/>
                    </a:prstGeom>
                    <a:noFill/>
                    <a:ln>
                      <a:noFill/>
                    </a:ln>
                  </pic:spPr>
                </pic:pic>
              </a:graphicData>
            </a:graphic>
          </wp:inline>
        </w:drawing>
      </w:r>
    </w:p>
    <w:p w14:paraId="16E512FF" w14:textId="33473E88" w:rsidR="00584FCB" w:rsidRPr="00752D88" w:rsidRDefault="000F6E12" w:rsidP="000F6E12">
      <w:pPr>
        <w:pStyle w:val="Heading1"/>
        <w:numPr>
          <w:ilvl w:val="0"/>
          <w:numId w:val="0"/>
        </w:numPr>
      </w:pPr>
      <w:r w:rsidRPr="00752D88">
        <w:rPr>
          <w:rFonts w:eastAsiaTheme="minorHAnsi"/>
        </w:rPr>
        <w:lastRenderedPageBreak/>
        <w:t>54.</w:t>
      </w:r>
      <w:r w:rsidRPr="00752D88">
        <w:rPr>
          <w:rFonts w:eastAsiaTheme="minorHAnsi"/>
        </w:rPr>
        <w:tab/>
        <w:t>If there were no emissions from a production facility, th</w:t>
      </w:r>
      <w:r w:rsidR="00AF2399" w:rsidRPr="00752D88">
        <w:rPr>
          <w:rFonts w:eastAsiaTheme="minorHAnsi"/>
        </w:rPr>
        <w:t>at</w:t>
      </w:r>
      <w:r w:rsidRPr="00752D88">
        <w:rPr>
          <w:rFonts w:eastAsiaTheme="minorHAnsi"/>
        </w:rPr>
        <w:t xml:space="preserve"> production facility should be included in the data form and zero should be reported in the emissions column. </w:t>
      </w:r>
      <w:r w:rsidR="00A24F2F" w:rsidRPr="00752D88">
        <w:rPr>
          <w:rFonts w:eastAsiaTheme="minorHAnsi"/>
          <w:lang w:val="en-CA"/>
        </w:rPr>
        <w:t xml:space="preserve">The </w:t>
      </w:r>
      <w:r w:rsidR="00584FCB" w:rsidRPr="00752D88">
        <w:rPr>
          <w:rFonts w:eastAsiaTheme="minorHAnsi"/>
          <w:lang w:val="en-CA"/>
        </w:rPr>
        <w:t xml:space="preserve">“Total </w:t>
      </w:r>
      <w:r w:rsidR="00A24F2F" w:rsidRPr="00752D88">
        <w:rPr>
          <w:rFonts w:eastAsiaTheme="minorHAnsi"/>
          <w:lang w:val="en-CA"/>
        </w:rPr>
        <w:t>amount generated</w:t>
      </w:r>
      <w:r w:rsidR="00584FCB" w:rsidRPr="00752D88">
        <w:rPr>
          <w:rFonts w:eastAsiaTheme="minorHAnsi"/>
          <w:lang w:val="en-CA"/>
        </w:rPr>
        <w:t xml:space="preserve">” of </w:t>
      </w:r>
      <w:r w:rsidR="00A24F2F" w:rsidRPr="00752D88">
        <w:rPr>
          <w:rFonts w:eastAsiaTheme="minorHAnsi"/>
          <w:lang w:val="en-CA"/>
        </w:rPr>
        <w:t>HFC</w:t>
      </w:r>
      <w:r w:rsidR="00AB3A6E" w:rsidRPr="00752D88">
        <w:rPr>
          <w:rFonts w:eastAsiaTheme="minorHAnsi"/>
          <w:lang w:val="en-CA"/>
        </w:rPr>
        <w:noBreakHyphen/>
      </w:r>
      <w:r w:rsidR="00A24F2F" w:rsidRPr="00752D88">
        <w:rPr>
          <w:rFonts w:eastAsiaTheme="minorHAnsi"/>
          <w:lang w:val="en-CA"/>
        </w:rPr>
        <w:t>23 refers to the total amount, whether captured or not</w:t>
      </w:r>
      <w:r w:rsidR="00AE3C24" w:rsidRPr="00752D88">
        <w:rPr>
          <w:rFonts w:eastAsiaTheme="minorHAnsi"/>
          <w:lang w:val="en-CA"/>
        </w:rPr>
        <w:t xml:space="preserve">; this amount </w:t>
      </w:r>
      <w:r w:rsidR="00AF2399" w:rsidRPr="00752D88">
        <w:rPr>
          <w:rFonts w:eastAsiaTheme="minorHAnsi"/>
          <w:lang w:val="en-CA"/>
        </w:rPr>
        <w:t>should</w:t>
      </w:r>
      <w:r w:rsidR="00AE3C24" w:rsidRPr="00752D88">
        <w:rPr>
          <w:rFonts w:eastAsiaTheme="minorHAnsi"/>
          <w:lang w:val="en-CA"/>
        </w:rPr>
        <w:t xml:space="preserve"> </w:t>
      </w:r>
      <w:r w:rsidR="00A24F2F" w:rsidRPr="00752D88">
        <w:rPr>
          <w:rFonts w:eastAsiaTheme="minorHAnsi"/>
          <w:lang w:val="en-CA"/>
        </w:rPr>
        <w:t xml:space="preserve">not be reported </w:t>
      </w:r>
      <w:r w:rsidR="00584FCB" w:rsidRPr="00752D88">
        <w:rPr>
          <w:rFonts w:eastAsiaTheme="minorHAnsi"/>
          <w:lang w:val="en-CA"/>
        </w:rPr>
        <w:t>under</w:t>
      </w:r>
      <w:r w:rsidR="00A24F2F" w:rsidRPr="00752D88">
        <w:rPr>
          <w:rFonts w:eastAsiaTheme="minorHAnsi"/>
          <w:lang w:val="en-CA"/>
        </w:rPr>
        <w:t xml:space="preserve"> Section </w:t>
      </w:r>
      <w:r w:rsidR="00584FCB" w:rsidRPr="00752D88">
        <w:rPr>
          <w:rFonts w:eastAsiaTheme="minorHAnsi"/>
          <w:lang w:val="en-CA"/>
        </w:rPr>
        <w:t>D</w:t>
      </w:r>
      <w:r w:rsidR="00A24F2F" w:rsidRPr="00752D88">
        <w:rPr>
          <w:rFonts w:eastAsiaTheme="minorHAnsi"/>
          <w:lang w:val="en-CA"/>
        </w:rPr>
        <w:t>.</w:t>
      </w:r>
      <w:r w:rsidR="006451A1" w:rsidRPr="00752D88">
        <w:rPr>
          <w:rFonts w:eastAsiaTheme="minorHAnsi"/>
          <w:lang w:val="en-CA"/>
        </w:rPr>
        <w:t xml:space="preserve"> </w:t>
      </w:r>
      <w:r w:rsidR="00E44B44" w:rsidRPr="00752D88">
        <w:rPr>
          <w:rFonts w:eastAsiaTheme="minorHAnsi"/>
          <w:lang w:val="en-CA"/>
        </w:rPr>
        <w:t>It is t</w:t>
      </w:r>
      <w:r w:rsidR="00584FCB" w:rsidRPr="00752D88">
        <w:rPr>
          <w:rFonts w:eastAsiaTheme="minorHAnsi"/>
          <w:lang w:val="en-CA"/>
        </w:rPr>
        <w:t xml:space="preserve">he </w:t>
      </w:r>
      <w:r w:rsidR="00157CD9" w:rsidRPr="00752D88">
        <w:rPr>
          <w:rFonts w:eastAsiaTheme="minorHAnsi"/>
          <w:lang w:val="en-CA"/>
        </w:rPr>
        <w:t xml:space="preserve">total amount for each </w:t>
      </w:r>
      <w:r w:rsidR="00E44B44" w:rsidRPr="00752D88">
        <w:rPr>
          <w:rFonts w:eastAsiaTheme="minorHAnsi"/>
          <w:lang w:val="en-CA"/>
        </w:rPr>
        <w:t xml:space="preserve">column under </w:t>
      </w:r>
      <w:r w:rsidR="00584FCB" w:rsidRPr="00752D88">
        <w:rPr>
          <w:rFonts w:eastAsiaTheme="minorHAnsi"/>
          <w:lang w:val="en-CA"/>
        </w:rPr>
        <w:t xml:space="preserve">“Amount generated and captured” </w:t>
      </w:r>
      <w:r w:rsidR="00E44B44" w:rsidRPr="00752D88">
        <w:rPr>
          <w:rFonts w:eastAsiaTheme="minorHAnsi"/>
          <w:lang w:val="en-CA"/>
        </w:rPr>
        <w:t xml:space="preserve">that </w:t>
      </w:r>
      <w:r w:rsidR="00AF2399" w:rsidRPr="00752D88">
        <w:rPr>
          <w:rFonts w:eastAsiaTheme="minorHAnsi"/>
          <w:lang w:val="en-CA"/>
        </w:rPr>
        <w:t>should</w:t>
      </w:r>
      <w:r w:rsidR="00584FCB" w:rsidRPr="00752D88">
        <w:rPr>
          <w:rFonts w:eastAsiaTheme="minorHAnsi"/>
          <w:lang w:val="en-CA"/>
        </w:rPr>
        <w:t xml:space="preserve"> be reported under Section D.</w:t>
      </w:r>
    </w:p>
    <w:p w14:paraId="6D168C63" w14:textId="77777777" w:rsidR="00584FCB" w:rsidRPr="00752D88" w:rsidRDefault="00194F97" w:rsidP="00493C77">
      <w:pPr>
        <w:pStyle w:val="Heading1"/>
      </w:pPr>
      <w:r w:rsidRPr="00752D88">
        <w:rPr>
          <w:rFonts w:eastAsiaTheme="minorHAnsi"/>
          <w:lang w:val="en-CA"/>
        </w:rPr>
        <w:t xml:space="preserve">The </w:t>
      </w:r>
      <w:r w:rsidR="00584FCB" w:rsidRPr="00752D88">
        <w:rPr>
          <w:rFonts w:eastAsiaTheme="minorHAnsi"/>
          <w:lang w:val="en-CA"/>
        </w:rPr>
        <w:t xml:space="preserve">“Amount used for feedstock without prior capture” column refers to the amount converted to other substances in the specified facilities, and the sum of those amounts should not be reported under Section </w:t>
      </w:r>
      <w:r w:rsidRPr="00752D88">
        <w:rPr>
          <w:rFonts w:eastAsiaTheme="minorHAnsi"/>
          <w:lang w:val="en-CA"/>
        </w:rPr>
        <w:t>D</w:t>
      </w:r>
      <w:r w:rsidR="00584FCB" w:rsidRPr="00752D88">
        <w:rPr>
          <w:rFonts w:eastAsiaTheme="minorHAnsi"/>
          <w:lang w:val="en-CA"/>
        </w:rPr>
        <w:t>.</w:t>
      </w:r>
    </w:p>
    <w:p w14:paraId="1514A44F" w14:textId="77777777" w:rsidR="00757519" w:rsidRPr="00752D88" w:rsidRDefault="00194F97" w:rsidP="00493C77">
      <w:pPr>
        <w:pStyle w:val="Heading1"/>
      </w:pPr>
      <w:r w:rsidRPr="00752D88">
        <w:t xml:space="preserve">The </w:t>
      </w:r>
      <w:r w:rsidR="00584FCB" w:rsidRPr="00752D88">
        <w:t xml:space="preserve">“Amount destroyed without prior capture” column refers to the amounts destroyed in the specified </w:t>
      </w:r>
      <w:r w:rsidR="00E67CE1" w:rsidRPr="00752D88">
        <w:t>facilities</w:t>
      </w:r>
      <w:r w:rsidR="00757519" w:rsidRPr="00752D88">
        <w:t xml:space="preserve"> and the sum of those amounts should not be reported under Section D.</w:t>
      </w:r>
    </w:p>
    <w:p w14:paraId="53F0255E" w14:textId="5BF0DF7C" w:rsidR="002E5FAA" w:rsidRPr="00752D88" w:rsidRDefault="002E5FAA" w:rsidP="00493C77">
      <w:pPr>
        <w:pStyle w:val="BodyTextIndent"/>
        <w:spacing w:after="240"/>
        <w:ind w:left="0"/>
        <w:jc w:val="both"/>
        <w:rPr>
          <w:b/>
          <w:sz w:val="22"/>
          <w:szCs w:val="22"/>
        </w:rPr>
      </w:pPr>
      <w:r w:rsidRPr="00752D88">
        <w:rPr>
          <w:b/>
          <w:sz w:val="22"/>
          <w:szCs w:val="22"/>
        </w:rPr>
        <w:t>Section F:</w:t>
      </w:r>
      <w:r w:rsidR="006451A1" w:rsidRPr="00752D88">
        <w:rPr>
          <w:b/>
          <w:sz w:val="22"/>
          <w:szCs w:val="22"/>
        </w:rPr>
        <w:t xml:space="preserve"> </w:t>
      </w:r>
      <w:r w:rsidRPr="00752D88">
        <w:rPr>
          <w:b/>
          <w:sz w:val="22"/>
          <w:szCs w:val="22"/>
        </w:rPr>
        <w:t xml:space="preserve">Comments </w:t>
      </w:r>
      <w:r w:rsidR="00485A16" w:rsidRPr="00752D88">
        <w:rPr>
          <w:b/>
          <w:sz w:val="22"/>
          <w:szCs w:val="22"/>
        </w:rPr>
        <w:t>by</w:t>
      </w:r>
      <w:r w:rsidRPr="00752D88">
        <w:rPr>
          <w:b/>
          <w:sz w:val="22"/>
          <w:szCs w:val="22"/>
        </w:rPr>
        <w:t xml:space="preserve"> th</w:t>
      </w:r>
      <w:r w:rsidR="00157135">
        <w:rPr>
          <w:b/>
          <w:sz w:val="22"/>
          <w:szCs w:val="22"/>
        </w:rPr>
        <w:t>e bilateral/implementing agency</w:t>
      </w:r>
      <w:bookmarkStart w:id="0" w:name="_GoBack"/>
      <w:bookmarkEnd w:id="0"/>
    </w:p>
    <w:p w14:paraId="49260DF2" w14:textId="61D2F1A4" w:rsidR="002E5FAA" w:rsidRPr="00752D88" w:rsidRDefault="002E5FAA" w:rsidP="00820CCD">
      <w:pPr>
        <w:pStyle w:val="Heading1"/>
      </w:pPr>
      <w:r w:rsidRPr="00752D88">
        <w:rPr>
          <w:rFonts w:eastAsiaTheme="minorHAnsi"/>
          <w:lang w:val="en-CA"/>
        </w:rPr>
        <w:t>This section is very important.</w:t>
      </w:r>
      <w:r w:rsidR="006451A1" w:rsidRPr="00752D88">
        <w:rPr>
          <w:rFonts w:eastAsiaTheme="minorHAnsi"/>
          <w:lang w:val="en-CA"/>
        </w:rPr>
        <w:t xml:space="preserve"> </w:t>
      </w:r>
      <w:r w:rsidRPr="00752D88">
        <w:rPr>
          <w:rFonts w:eastAsiaTheme="minorHAnsi"/>
          <w:lang w:val="en-CA"/>
        </w:rPr>
        <w:t xml:space="preserve">Countries should send the completed forms to the relevant bilateral or implementing agency </w:t>
      </w:r>
      <w:r w:rsidR="005A66EB" w:rsidRPr="00752D88">
        <w:rPr>
          <w:rFonts w:eastAsiaTheme="minorHAnsi"/>
          <w:lang w:val="en-CA"/>
        </w:rPr>
        <w:t>to ensure the accuracy of the data, by, for example, cross-checking the consumption and production data reported in the CP data forms against the consumption and production data reported on ongoing projects proposals or sector plans.</w:t>
      </w:r>
    </w:p>
    <w:p w14:paraId="53F1CFDC" w14:textId="77777777" w:rsidR="00E9676A" w:rsidRPr="00752D88" w:rsidRDefault="00E9676A" w:rsidP="00493C77">
      <w:pPr>
        <w:spacing w:after="240" w:line="240" w:lineRule="auto"/>
        <w:rPr>
          <w:rFonts w:ascii="Times New Roman" w:hAnsi="Times New Roman" w:cs="Times New Roman"/>
        </w:rPr>
      </w:pPr>
      <w:r w:rsidRPr="00752D88">
        <w:rPr>
          <w:rFonts w:ascii="Times New Roman" w:hAnsi="Times New Roman" w:cs="Times New Roman"/>
        </w:rPr>
        <w:br w:type="page"/>
      </w:r>
    </w:p>
    <w:p w14:paraId="7EC007AE" w14:textId="5F36A8F6" w:rsidR="002E5FAA" w:rsidRPr="00752D88" w:rsidRDefault="00E9676A" w:rsidP="00493C77">
      <w:pPr>
        <w:pStyle w:val="ListParagraph"/>
        <w:spacing w:after="240" w:line="240" w:lineRule="auto"/>
        <w:ind w:left="0"/>
        <w:contextualSpacing w:val="0"/>
        <w:jc w:val="center"/>
        <w:rPr>
          <w:rFonts w:ascii="Times New Roman" w:hAnsi="Times New Roman" w:cs="Times New Roman"/>
          <w:b/>
        </w:rPr>
      </w:pPr>
      <w:r w:rsidRPr="00752D88">
        <w:rPr>
          <w:rFonts w:ascii="Times New Roman" w:hAnsi="Times New Roman" w:cs="Times New Roman"/>
          <w:b/>
        </w:rPr>
        <w:lastRenderedPageBreak/>
        <w:t>A</w:t>
      </w:r>
      <w:r w:rsidR="00DC1C6B" w:rsidRPr="00752D88">
        <w:rPr>
          <w:rFonts w:ascii="Times New Roman" w:hAnsi="Times New Roman" w:cs="Times New Roman"/>
          <w:b/>
        </w:rPr>
        <w:t>ppendix</w:t>
      </w:r>
      <w:r w:rsidRPr="00752D88">
        <w:rPr>
          <w:rFonts w:ascii="Times New Roman" w:hAnsi="Times New Roman" w:cs="Times New Roman"/>
          <w:b/>
        </w:rPr>
        <w:t xml:space="preserve"> I</w:t>
      </w:r>
    </w:p>
    <w:p w14:paraId="27F39978" w14:textId="68FE44D4" w:rsidR="00232FF7" w:rsidRPr="00752D88" w:rsidRDefault="00232FF7" w:rsidP="00493C77">
      <w:pPr>
        <w:pStyle w:val="ListParagraph"/>
        <w:spacing w:after="240" w:line="240" w:lineRule="auto"/>
        <w:ind w:left="0"/>
        <w:contextualSpacing w:val="0"/>
        <w:jc w:val="center"/>
        <w:rPr>
          <w:rFonts w:ascii="Times New Roman" w:hAnsi="Times New Roman" w:cs="Times New Roman"/>
          <w:b/>
        </w:rPr>
      </w:pPr>
      <w:r w:rsidRPr="00752D88">
        <w:rPr>
          <w:rFonts w:ascii="Times New Roman" w:hAnsi="Times New Roman" w:cs="Times New Roman"/>
          <w:b/>
        </w:rPr>
        <w:t>Composition of blends (mixtures of controlled substances)</w:t>
      </w:r>
      <w:r w:rsidR="0075749F" w:rsidRPr="00752D88">
        <w:rPr>
          <w:rStyle w:val="FootnoteReference"/>
          <w:rFonts w:ascii="Times New Roman" w:hAnsi="Times New Roman" w:cs="Times New Roman"/>
          <w:b/>
        </w:rPr>
        <w:footnoteReference w:id="2"/>
      </w:r>
    </w:p>
    <w:tbl>
      <w:tblPr>
        <w:tblW w:w="11057" w:type="dxa"/>
        <w:tblInd w:w="-714" w:type="dxa"/>
        <w:tblLayout w:type="fixed"/>
        <w:tblLook w:val="04A0" w:firstRow="1" w:lastRow="0" w:firstColumn="1" w:lastColumn="0" w:noHBand="0" w:noVBand="1"/>
      </w:tblPr>
      <w:tblGrid>
        <w:gridCol w:w="1099"/>
        <w:gridCol w:w="1170"/>
        <w:gridCol w:w="709"/>
        <w:gridCol w:w="1166"/>
        <w:gridCol w:w="820"/>
        <w:gridCol w:w="965"/>
        <w:gridCol w:w="736"/>
        <w:gridCol w:w="960"/>
        <w:gridCol w:w="599"/>
        <w:gridCol w:w="960"/>
        <w:gridCol w:w="597"/>
        <w:gridCol w:w="706"/>
        <w:gridCol w:w="570"/>
      </w:tblGrid>
      <w:tr w:rsidR="00232FF7" w:rsidRPr="00752D88" w14:paraId="0FA9E02F" w14:textId="77777777" w:rsidTr="006451A1">
        <w:trPr>
          <w:tblHeader/>
        </w:trPr>
        <w:tc>
          <w:tcPr>
            <w:tcW w:w="10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5362CA" w14:textId="77777777" w:rsidR="00232FF7" w:rsidRPr="00752D88" w:rsidRDefault="00232FF7" w:rsidP="006451A1">
            <w:pPr>
              <w:spacing w:after="0" w:line="240" w:lineRule="auto"/>
              <w:jc w:val="center"/>
              <w:rPr>
                <w:rFonts w:ascii="Times New Roman" w:eastAsia="Times New Roman" w:hAnsi="Times New Roman" w:cs="Times New Roman"/>
                <w:b/>
                <w:bCs/>
                <w:color w:val="000000"/>
                <w:sz w:val="16"/>
                <w:szCs w:val="16"/>
                <w:lang w:eastAsia="en-CA"/>
              </w:rPr>
            </w:pPr>
            <w:r w:rsidRPr="00752D88">
              <w:rPr>
                <w:rFonts w:ascii="Times New Roman" w:eastAsia="Times New Roman" w:hAnsi="Times New Roman" w:cs="Times New Roman"/>
                <w:b/>
                <w:bCs/>
                <w:color w:val="000000"/>
                <w:sz w:val="16"/>
                <w:szCs w:val="16"/>
                <w:lang w:eastAsia="en-CA"/>
              </w:rPr>
              <w:t>Mixtures</w:t>
            </w:r>
          </w:p>
        </w:tc>
        <w:tc>
          <w:tcPr>
            <w:tcW w:w="9958" w:type="dxa"/>
            <w:gridSpan w:val="12"/>
            <w:tcBorders>
              <w:top w:val="single" w:sz="4" w:space="0" w:color="auto"/>
              <w:left w:val="nil"/>
              <w:bottom w:val="single" w:sz="4" w:space="0" w:color="auto"/>
              <w:right w:val="single" w:sz="4" w:space="0" w:color="000000"/>
            </w:tcBorders>
            <w:shd w:val="clear" w:color="auto" w:fill="auto"/>
            <w:noWrap/>
            <w:tcMar>
              <w:left w:w="0" w:type="dxa"/>
              <w:right w:w="43" w:type="dxa"/>
            </w:tcMar>
            <w:vAlign w:val="center"/>
            <w:hideMark/>
          </w:tcPr>
          <w:p w14:paraId="6501C32F" w14:textId="77777777" w:rsidR="00232FF7" w:rsidRPr="00752D88" w:rsidRDefault="00232FF7" w:rsidP="006451A1">
            <w:pPr>
              <w:spacing w:after="0" w:line="240" w:lineRule="auto"/>
              <w:jc w:val="center"/>
              <w:rPr>
                <w:rFonts w:ascii="Times New Roman" w:eastAsia="Times New Roman" w:hAnsi="Times New Roman" w:cs="Times New Roman"/>
                <w:b/>
                <w:bCs/>
                <w:color w:val="000000"/>
                <w:sz w:val="16"/>
                <w:szCs w:val="16"/>
                <w:lang w:eastAsia="en-CA"/>
              </w:rPr>
            </w:pPr>
            <w:r w:rsidRPr="00752D88">
              <w:rPr>
                <w:rFonts w:ascii="Times New Roman" w:eastAsia="Times New Roman" w:hAnsi="Times New Roman" w:cs="Times New Roman"/>
                <w:b/>
                <w:bCs/>
                <w:color w:val="000000"/>
                <w:spacing w:val="-2"/>
                <w:sz w:val="16"/>
                <w:szCs w:val="16"/>
                <w:lang w:val="en-GB" w:eastAsia="en-CA"/>
              </w:rPr>
              <w:t>Composition</w:t>
            </w:r>
          </w:p>
        </w:tc>
      </w:tr>
      <w:tr w:rsidR="00232FF7" w:rsidRPr="00752D88" w14:paraId="2B361F05" w14:textId="77777777" w:rsidTr="006451A1">
        <w:trPr>
          <w:tblHeader/>
        </w:trPr>
        <w:tc>
          <w:tcPr>
            <w:tcW w:w="1099" w:type="dxa"/>
            <w:vMerge/>
            <w:tcBorders>
              <w:top w:val="single" w:sz="4" w:space="0" w:color="auto"/>
              <w:left w:val="single" w:sz="4" w:space="0" w:color="auto"/>
              <w:bottom w:val="single" w:sz="4" w:space="0" w:color="000000"/>
              <w:right w:val="single" w:sz="4" w:space="0" w:color="auto"/>
            </w:tcBorders>
            <w:vAlign w:val="center"/>
            <w:hideMark/>
          </w:tcPr>
          <w:p w14:paraId="030A1317" w14:textId="77777777" w:rsidR="00232FF7" w:rsidRPr="00752D88" w:rsidRDefault="00232FF7" w:rsidP="006451A1">
            <w:pPr>
              <w:spacing w:after="0" w:line="240" w:lineRule="auto"/>
              <w:rPr>
                <w:rFonts w:ascii="Times New Roman" w:eastAsia="Times New Roman" w:hAnsi="Times New Roman" w:cs="Times New Roman"/>
                <w:b/>
                <w:bCs/>
                <w:color w:val="000000"/>
                <w:sz w:val="16"/>
                <w:szCs w:val="16"/>
                <w:lang w:eastAsia="en-CA"/>
              </w:rPr>
            </w:pPr>
          </w:p>
        </w:tc>
        <w:tc>
          <w:tcPr>
            <w:tcW w:w="1879" w:type="dxa"/>
            <w:gridSpan w:val="2"/>
            <w:tcBorders>
              <w:top w:val="single" w:sz="4" w:space="0" w:color="auto"/>
              <w:left w:val="nil"/>
              <w:bottom w:val="single" w:sz="4" w:space="0" w:color="auto"/>
              <w:right w:val="single" w:sz="4" w:space="0" w:color="000000"/>
            </w:tcBorders>
            <w:shd w:val="clear" w:color="auto" w:fill="auto"/>
            <w:vAlign w:val="center"/>
            <w:hideMark/>
          </w:tcPr>
          <w:p w14:paraId="348B0CAF" w14:textId="77777777" w:rsidR="00232FF7" w:rsidRPr="00752D88" w:rsidRDefault="00232FF7" w:rsidP="006451A1">
            <w:pPr>
              <w:spacing w:after="0" w:line="240" w:lineRule="auto"/>
              <w:jc w:val="center"/>
              <w:rPr>
                <w:rFonts w:ascii="Times New Roman" w:eastAsia="Times New Roman" w:hAnsi="Times New Roman" w:cs="Times New Roman"/>
                <w:b/>
                <w:bCs/>
                <w:color w:val="000000"/>
                <w:sz w:val="16"/>
                <w:szCs w:val="16"/>
                <w:lang w:eastAsia="en-CA"/>
              </w:rPr>
            </w:pPr>
            <w:r w:rsidRPr="00752D88">
              <w:rPr>
                <w:rFonts w:ascii="Times New Roman" w:eastAsia="Times New Roman" w:hAnsi="Times New Roman" w:cs="Times New Roman"/>
                <w:b/>
                <w:bCs/>
                <w:color w:val="000000"/>
                <w:spacing w:val="-2"/>
                <w:sz w:val="16"/>
                <w:szCs w:val="16"/>
                <w:lang w:val="en-GB" w:eastAsia="en-CA"/>
              </w:rPr>
              <w:t>Component 1</w:t>
            </w:r>
          </w:p>
        </w:tc>
        <w:tc>
          <w:tcPr>
            <w:tcW w:w="1986" w:type="dxa"/>
            <w:gridSpan w:val="2"/>
            <w:tcBorders>
              <w:top w:val="single" w:sz="4" w:space="0" w:color="auto"/>
              <w:left w:val="nil"/>
              <w:bottom w:val="single" w:sz="4" w:space="0" w:color="auto"/>
              <w:right w:val="single" w:sz="4" w:space="0" w:color="000000"/>
            </w:tcBorders>
            <w:shd w:val="clear" w:color="auto" w:fill="auto"/>
            <w:vAlign w:val="center"/>
            <w:hideMark/>
          </w:tcPr>
          <w:p w14:paraId="55725950" w14:textId="77777777" w:rsidR="00232FF7" w:rsidRPr="00752D88" w:rsidRDefault="00232FF7" w:rsidP="006451A1">
            <w:pPr>
              <w:spacing w:after="0" w:line="240" w:lineRule="auto"/>
              <w:jc w:val="center"/>
              <w:rPr>
                <w:rFonts w:ascii="Times New Roman" w:eastAsia="Times New Roman" w:hAnsi="Times New Roman" w:cs="Times New Roman"/>
                <w:b/>
                <w:bCs/>
                <w:color w:val="000000"/>
                <w:sz w:val="16"/>
                <w:szCs w:val="16"/>
                <w:lang w:eastAsia="en-CA"/>
              </w:rPr>
            </w:pPr>
            <w:r w:rsidRPr="00752D88">
              <w:rPr>
                <w:rFonts w:ascii="Times New Roman" w:eastAsia="Times New Roman" w:hAnsi="Times New Roman" w:cs="Times New Roman"/>
                <w:b/>
                <w:bCs/>
                <w:color w:val="000000"/>
                <w:spacing w:val="-2"/>
                <w:sz w:val="16"/>
                <w:szCs w:val="16"/>
                <w:lang w:val="en-GB" w:eastAsia="en-CA"/>
              </w:rPr>
              <w:t>Component 2</w:t>
            </w:r>
          </w:p>
        </w:tc>
        <w:tc>
          <w:tcPr>
            <w:tcW w:w="1701" w:type="dxa"/>
            <w:gridSpan w:val="2"/>
            <w:tcBorders>
              <w:top w:val="single" w:sz="4" w:space="0" w:color="auto"/>
              <w:left w:val="nil"/>
              <w:bottom w:val="single" w:sz="4" w:space="0" w:color="auto"/>
              <w:right w:val="single" w:sz="4" w:space="0" w:color="000000"/>
            </w:tcBorders>
            <w:shd w:val="clear" w:color="auto" w:fill="auto"/>
            <w:tcMar>
              <w:left w:w="0" w:type="dxa"/>
              <w:right w:w="43" w:type="dxa"/>
            </w:tcMar>
            <w:vAlign w:val="center"/>
            <w:hideMark/>
          </w:tcPr>
          <w:p w14:paraId="1ED92456" w14:textId="77777777" w:rsidR="00232FF7" w:rsidRPr="00752D88" w:rsidRDefault="00232FF7" w:rsidP="006451A1">
            <w:pPr>
              <w:spacing w:after="0" w:line="240" w:lineRule="auto"/>
              <w:jc w:val="center"/>
              <w:rPr>
                <w:rFonts w:ascii="Times New Roman" w:eastAsia="Times New Roman" w:hAnsi="Times New Roman" w:cs="Times New Roman"/>
                <w:b/>
                <w:bCs/>
                <w:color w:val="000000"/>
                <w:sz w:val="16"/>
                <w:szCs w:val="16"/>
                <w:lang w:eastAsia="en-CA"/>
              </w:rPr>
            </w:pPr>
            <w:r w:rsidRPr="00752D88">
              <w:rPr>
                <w:rFonts w:ascii="Times New Roman" w:eastAsia="Times New Roman" w:hAnsi="Times New Roman" w:cs="Times New Roman"/>
                <w:b/>
                <w:bCs/>
                <w:color w:val="000000"/>
                <w:spacing w:val="-2"/>
                <w:sz w:val="16"/>
                <w:szCs w:val="16"/>
                <w:lang w:val="en-GB" w:eastAsia="en-CA"/>
              </w:rPr>
              <w:t>Component 3</w:t>
            </w:r>
          </w:p>
        </w:tc>
        <w:tc>
          <w:tcPr>
            <w:tcW w:w="1559" w:type="dxa"/>
            <w:gridSpan w:val="2"/>
            <w:tcBorders>
              <w:top w:val="single" w:sz="4" w:space="0" w:color="auto"/>
              <w:left w:val="nil"/>
              <w:bottom w:val="single" w:sz="4" w:space="0" w:color="auto"/>
              <w:right w:val="single" w:sz="4" w:space="0" w:color="000000"/>
            </w:tcBorders>
            <w:shd w:val="clear" w:color="auto" w:fill="auto"/>
            <w:tcMar>
              <w:right w:w="43" w:type="dxa"/>
            </w:tcMar>
            <w:vAlign w:val="center"/>
            <w:hideMark/>
          </w:tcPr>
          <w:p w14:paraId="0B53BBA8" w14:textId="77777777" w:rsidR="00232FF7" w:rsidRPr="00752D88" w:rsidRDefault="00232FF7" w:rsidP="006451A1">
            <w:pPr>
              <w:spacing w:after="0" w:line="240" w:lineRule="auto"/>
              <w:jc w:val="center"/>
              <w:rPr>
                <w:rFonts w:ascii="Times New Roman" w:eastAsia="Times New Roman" w:hAnsi="Times New Roman" w:cs="Times New Roman"/>
                <w:b/>
                <w:bCs/>
                <w:color w:val="000000"/>
                <w:sz w:val="16"/>
                <w:szCs w:val="16"/>
                <w:lang w:eastAsia="en-CA"/>
              </w:rPr>
            </w:pPr>
            <w:r w:rsidRPr="00752D88">
              <w:rPr>
                <w:rFonts w:ascii="Times New Roman" w:eastAsia="Times New Roman" w:hAnsi="Times New Roman" w:cs="Times New Roman"/>
                <w:b/>
                <w:bCs/>
                <w:color w:val="000000"/>
                <w:spacing w:val="-2"/>
                <w:sz w:val="16"/>
                <w:szCs w:val="16"/>
                <w:lang w:val="en-GB" w:eastAsia="en-CA"/>
              </w:rPr>
              <w:t>Component 4</w:t>
            </w:r>
          </w:p>
        </w:tc>
        <w:tc>
          <w:tcPr>
            <w:tcW w:w="1557" w:type="dxa"/>
            <w:gridSpan w:val="2"/>
            <w:tcBorders>
              <w:top w:val="single" w:sz="4" w:space="0" w:color="auto"/>
              <w:left w:val="nil"/>
              <w:bottom w:val="single" w:sz="4" w:space="0" w:color="auto"/>
              <w:right w:val="single" w:sz="4" w:space="0" w:color="000000"/>
            </w:tcBorders>
            <w:shd w:val="clear" w:color="auto" w:fill="auto"/>
            <w:vAlign w:val="center"/>
            <w:hideMark/>
          </w:tcPr>
          <w:p w14:paraId="2652C94A" w14:textId="77777777" w:rsidR="00232FF7" w:rsidRPr="00752D88" w:rsidRDefault="00232FF7" w:rsidP="006451A1">
            <w:pPr>
              <w:spacing w:after="0" w:line="240" w:lineRule="auto"/>
              <w:jc w:val="center"/>
              <w:rPr>
                <w:rFonts w:ascii="Times New Roman" w:eastAsia="Times New Roman" w:hAnsi="Times New Roman" w:cs="Times New Roman"/>
                <w:b/>
                <w:bCs/>
                <w:color w:val="000000"/>
                <w:sz w:val="16"/>
                <w:szCs w:val="16"/>
                <w:lang w:eastAsia="en-CA"/>
              </w:rPr>
            </w:pPr>
            <w:r w:rsidRPr="00752D88">
              <w:rPr>
                <w:rFonts w:ascii="Times New Roman" w:eastAsia="Times New Roman" w:hAnsi="Times New Roman" w:cs="Times New Roman"/>
                <w:b/>
                <w:bCs/>
                <w:color w:val="000000"/>
                <w:spacing w:val="-2"/>
                <w:sz w:val="16"/>
                <w:szCs w:val="16"/>
                <w:lang w:val="en-GB" w:eastAsia="en-CA"/>
              </w:rPr>
              <w:t>Component 5</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5100EAA2" w14:textId="77777777" w:rsidR="00232FF7" w:rsidRPr="00752D88" w:rsidRDefault="00232FF7" w:rsidP="006451A1">
            <w:pPr>
              <w:spacing w:after="0" w:line="240" w:lineRule="auto"/>
              <w:jc w:val="center"/>
              <w:rPr>
                <w:rFonts w:ascii="Times New Roman" w:eastAsia="Times New Roman" w:hAnsi="Times New Roman" w:cs="Times New Roman"/>
                <w:b/>
                <w:bCs/>
                <w:color w:val="000000"/>
                <w:sz w:val="16"/>
                <w:szCs w:val="16"/>
                <w:lang w:eastAsia="en-CA"/>
              </w:rPr>
            </w:pPr>
            <w:r w:rsidRPr="00752D88">
              <w:rPr>
                <w:rFonts w:ascii="Times New Roman" w:eastAsia="Times New Roman" w:hAnsi="Times New Roman" w:cs="Times New Roman"/>
                <w:b/>
                <w:bCs/>
                <w:color w:val="000000"/>
                <w:spacing w:val="-2"/>
                <w:sz w:val="16"/>
                <w:szCs w:val="16"/>
                <w:lang w:val="en-GB" w:eastAsia="en-CA"/>
              </w:rPr>
              <w:t>Component 6</w:t>
            </w:r>
          </w:p>
        </w:tc>
      </w:tr>
      <w:tr w:rsidR="00232FF7" w:rsidRPr="00752D88" w14:paraId="76873233" w14:textId="77777777" w:rsidTr="006451A1">
        <w:tc>
          <w:tcPr>
            <w:tcW w:w="11057" w:type="dxa"/>
            <w:gridSpan w:val="13"/>
            <w:tcBorders>
              <w:top w:val="single" w:sz="4" w:space="0" w:color="auto"/>
              <w:left w:val="single" w:sz="4" w:space="0" w:color="auto"/>
              <w:bottom w:val="single" w:sz="4" w:space="0" w:color="auto"/>
              <w:right w:val="single" w:sz="4" w:space="0" w:color="000000"/>
            </w:tcBorders>
            <w:shd w:val="clear" w:color="auto" w:fill="auto"/>
            <w:tcMar>
              <w:left w:w="0" w:type="dxa"/>
              <w:right w:w="43" w:type="dxa"/>
            </w:tcMar>
            <w:vAlign w:val="center"/>
            <w:hideMark/>
          </w:tcPr>
          <w:p w14:paraId="5650D84F" w14:textId="77777777" w:rsidR="00232FF7" w:rsidRPr="00752D88" w:rsidRDefault="00232FF7" w:rsidP="006451A1">
            <w:pPr>
              <w:spacing w:after="0" w:line="240" w:lineRule="auto"/>
              <w:rPr>
                <w:rFonts w:ascii="Times New Roman" w:eastAsia="Times New Roman" w:hAnsi="Times New Roman" w:cs="Times New Roman"/>
                <w:b/>
                <w:bCs/>
                <w:color w:val="000000"/>
                <w:sz w:val="16"/>
                <w:szCs w:val="16"/>
                <w:lang w:eastAsia="en-CA"/>
              </w:rPr>
            </w:pPr>
            <w:r w:rsidRPr="00752D88">
              <w:rPr>
                <w:rFonts w:ascii="Times New Roman" w:eastAsia="Times New Roman" w:hAnsi="Times New Roman" w:cs="Times New Roman"/>
                <w:b/>
                <w:bCs/>
                <w:color w:val="000000"/>
                <w:sz w:val="16"/>
                <w:szCs w:val="16"/>
                <w:lang w:eastAsia="en-CA"/>
              </w:rPr>
              <w:t>Zeotropic mixtures</w:t>
            </w:r>
          </w:p>
        </w:tc>
      </w:tr>
      <w:tr w:rsidR="00232FF7" w:rsidRPr="00752D88" w14:paraId="75BEB7F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B9DD71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R-401A</w:t>
            </w:r>
          </w:p>
        </w:tc>
        <w:tc>
          <w:tcPr>
            <w:tcW w:w="1170" w:type="dxa"/>
            <w:tcBorders>
              <w:top w:val="nil"/>
              <w:left w:val="nil"/>
              <w:bottom w:val="single" w:sz="4" w:space="0" w:color="auto"/>
              <w:right w:val="nil"/>
            </w:tcBorders>
            <w:shd w:val="clear" w:color="auto" w:fill="auto"/>
            <w:vAlign w:val="center"/>
            <w:hideMark/>
          </w:tcPr>
          <w:p w14:paraId="31529F3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9B2205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34%</w:t>
            </w:r>
          </w:p>
        </w:tc>
        <w:tc>
          <w:tcPr>
            <w:tcW w:w="1166" w:type="dxa"/>
            <w:tcBorders>
              <w:top w:val="nil"/>
              <w:left w:val="nil"/>
              <w:bottom w:val="single" w:sz="4" w:space="0" w:color="auto"/>
              <w:right w:val="single" w:sz="4" w:space="0" w:color="auto"/>
            </w:tcBorders>
            <w:shd w:val="clear" w:color="auto" w:fill="auto"/>
            <w:vAlign w:val="center"/>
            <w:hideMark/>
          </w:tcPr>
          <w:p w14:paraId="518EDDD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70E1DBE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53%</w:t>
            </w:r>
          </w:p>
        </w:tc>
        <w:tc>
          <w:tcPr>
            <w:tcW w:w="965" w:type="dxa"/>
            <w:tcBorders>
              <w:top w:val="nil"/>
              <w:left w:val="nil"/>
              <w:bottom w:val="single" w:sz="4" w:space="0" w:color="auto"/>
              <w:right w:val="single" w:sz="4" w:space="0" w:color="auto"/>
            </w:tcBorders>
            <w:shd w:val="clear" w:color="auto" w:fill="auto"/>
            <w:vAlign w:val="center"/>
            <w:hideMark/>
          </w:tcPr>
          <w:p w14:paraId="23BDC90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2D57CC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13%</w:t>
            </w:r>
          </w:p>
        </w:tc>
        <w:tc>
          <w:tcPr>
            <w:tcW w:w="960" w:type="dxa"/>
            <w:tcBorders>
              <w:top w:val="nil"/>
              <w:left w:val="nil"/>
              <w:bottom w:val="single" w:sz="4" w:space="0" w:color="auto"/>
              <w:right w:val="single" w:sz="4" w:space="0" w:color="auto"/>
            </w:tcBorders>
            <w:shd w:val="clear" w:color="auto" w:fill="auto"/>
            <w:vAlign w:val="center"/>
            <w:hideMark/>
          </w:tcPr>
          <w:p w14:paraId="13211F2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8B5303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A06F93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58942B1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74514D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03CC0D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B125325"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0A38F7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R-401B</w:t>
            </w:r>
          </w:p>
        </w:tc>
        <w:tc>
          <w:tcPr>
            <w:tcW w:w="1170" w:type="dxa"/>
            <w:tcBorders>
              <w:top w:val="nil"/>
              <w:left w:val="nil"/>
              <w:bottom w:val="single" w:sz="4" w:space="0" w:color="auto"/>
              <w:right w:val="nil"/>
            </w:tcBorders>
            <w:shd w:val="clear" w:color="auto" w:fill="auto"/>
            <w:vAlign w:val="center"/>
            <w:hideMark/>
          </w:tcPr>
          <w:p w14:paraId="0DC385E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0F48ED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28%</w:t>
            </w:r>
          </w:p>
        </w:tc>
        <w:tc>
          <w:tcPr>
            <w:tcW w:w="1166" w:type="dxa"/>
            <w:tcBorders>
              <w:top w:val="nil"/>
              <w:left w:val="nil"/>
              <w:bottom w:val="single" w:sz="4" w:space="0" w:color="auto"/>
              <w:right w:val="single" w:sz="4" w:space="0" w:color="auto"/>
            </w:tcBorders>
            <w:shd w:val="clear" w:color="auto" w:fill="auto"/>
            <w:vAlign w:val="center"/>
            <w:hideMark/>
          </w:tcPr>
          <w:p w14:paraId="6118901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065DA9B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61%</w:t>
            </w:r>
          </w:p>
        </w:tc>
        <w:tc>
          <w:tcPr>
            <w:tcW w:w="965" w:type="dxa"/>
            <w:tcBorders>
              <w:top w:val="nil"/>
              <w:left w:val="nil"/>
              <w:bottom w:val="single" w:sz="4" w:space="0" w:color="auto"/>
              <w:right w:val="single" w:sz="4" w:space="0" w:color="auto"/>
            </w:tcBorders>
            <w:shd w:val="clear" w:color="auto" w:fill="auto"/>
            <w:vAlign w:val="center"/>
            <w:hideMark/>
          </w:tcPr>
          <w:p w14:paraId="52448AA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A87F2D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11%</w:t>
            </w:r>
          </w:p>
        </w:tc>
        <w:tc>
          <w:tcPr>
            <w:tcW w:w="960" w:type="dxa"/>
            <w:tcBorders>
              <w:top w:val="nil"/>
              <w:left w:val="nil"/>
              <w:bottom w:val="single" w:sz="4" w:space="0" w:color="auto"/>
              <w:right w:val="single" w:sz="4" w:space="0" w:color="auto"/>
            </w:tcBorders>
            <w:shd w:val="clear" w:color="auto" w:fill="auto"/>
            <w:vAlign w:val="center"/>
            <w:hideMark/>
          </w:tcPr>
          <w:p w14:paraId="3C7C41E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5FA0BC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4A35DC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6A50D4B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9FD1FE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EBE06A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5AD914B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90C6C7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R-401C</w:t>
            </w:r>
          </w:p>
        </w:tc>
        <w:tc>
          <w:tcPr>
            <w:tcW w:w="1170" w:type="dxa"/>
            <w:tcBorders>
              <w:top w:val="nil"/>
              <w:left w:val="nil"/>
              <w:bottom w:val="single" w:sz="4" w:space="0" w:color="auto"/>
              <w:right w:val="nil"/>
            </w:tcBorders>
            <w:shd w:val="clear" w:color="auto" w:fill="auto"/>
            <w:vAlign w:val="center"/>
            <w:hideMark/>
          </w:tcPr>
          <w:p w14:paraId="5CA8CEC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3120DD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52%</w:t>
            </w:r>
          </w:p>
        </w:tc>
        <w:tc>
          <w:tcPr>
            <w:tcW w:w="1166" w:type="dxa"/>
            <w:tcBorders>
              <w:top w:val="nil"/>
              <w:left w:val="nil"/>
              <w:bottom w:val="single" w:sz="4" w:space="0" w:color="auto"/>
              <w:right w:val="single" w:sz="4" w:space="0" w:color="auto"/>
            </w:tcBorders>
            <w:shd w:val="clear" w:color="auto" w:fill="auto"/>
            <w:vAlign w:val="center"/>
            <w:hideMark/>
          </w:tcPr>
          <w:p w14:paraId="76AB12D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1BFE41A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33%</w:t>
            </w:r>
          </w:p>
        </w:tc>
        <w:tc>
          <w:tcPr>
            <w:tcW w:w="965" w:type="dxa"/>
            <w:tcBorders>
              <w:top w:val="nil"/>
              <w:left w:val="nil"/>
              <w:bottom w:val="single" w:sz="4" w:space="0" w:color="auto"/>
              <w:right w:val="single" w:sz="4" w:space="0" w:color="auto"/>
            </w:tcBorders>
            <w:shd w:val="clear" w:color="auto" w:fill="auto"/>
            <w:vAlign w:val="center"/>
            <w:hideMark/>
          </w:tcPr>
          <w:p w14:paraId="0429A09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C01F96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w:t>
            </w:r>
          </w:p>
        </w:tc>
        <w:tc>
          <w:tcPr>
            <w:tcW w:w="960" w:type="dxa"/>
            <w:tcBorders>
              <w:top w:val="nil"/>
              <w:left w:val="nil"/>
              <w:bottom w:val="single" w:sz="4" w:space="0" w:color="auto"/>
              <w:right w:val="single" w:sz="4" w:space="0" w:color="auto"/>
            </w:tcBorders>
            <w:shd w:val="clear" w:color="auto" w:fill="auto"/>
            <w:vAlign w:val="center"/>
            <w:hideMark/>
          </w:tcPr>
          <w:p w14:paraId="02C8A6C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6B2DE0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6FCCC8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5B3F059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BC5AA9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92E936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5E2DC9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4FC322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R-402A</w:t>
            </w:r>
          </w:p>
        </w:tc>
        <w:tc>
          <w:tcPr>
            <w:tcW w:w="1170" w:type="dxa"/>
            <w:tcBorders>
              <w:top w:val="nil"/>
              <w:left w:val="nil"/>
              <w:bottom w:val="single" w:sz="4" w:space="0" w:color="auto"/>
              <w:right w:val="nil"/>
            </w:tcBorders>
            <w:shd w:val="clear" w:color="auto" w:fill="auto"/>
            <w:vAlign w:val="center"/>
            <w:hideMark/>
          </w:tcPr>
          <w:p w14:paraId="6A1BF5A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DACD7F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w:t>
            </w:r>
          </w:p>
        </w:tc>
        <w:tc>
          <w:tcPr>
            <w:tcW w:w="1166" w:type="dxa"/>
            <w:tcBorders>
              <w:top w:val="nil"/>
              <w:left w:val="nil"/>
              <w:bottom w:val="single" w:sz="4" w:space="0" w:color="auto"/>
              <w:right w:val="single" w:sz="4" w:space="0" w:color="auto"/>
            </w:tcBorders>
            <w:shd w:val="clear" w:color="auto" w:fill="auto"/>
            <w:vAlign w:val="center"/>
            <w:hideMark/>
          </w:tcPr>
          <w:p w14:paraId="7AE5408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47EA085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38%</w:t>
            </w:r>
          </w:p>
        </w:tc>
        <w:tc>
          <w:tcPr>
            <w:tcW w:w="965" w:type="dxa"/>
            <w:tcBorders>
              <w:top w:val="nil"/>
              <w:left w:val="nil"/>
              <w:bottom w:val="single" w:sz="4" w:space="0" w:color="auto"/>
              <w:right w:val="single" w:sz="4" w:space="0" w:color="auto"/>
            </w:tcBorders>
            <w:shd w:val="clear" w:color="auto" w:fill="auto"/>
            <w:vAlign w:val="center"/>
            <w:hideMark/>
          </w:tcPr>
          <w:p w14:paraId="784E9E2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B17743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60%</w:t>
            </w:r>
          </w:p>
        </w:tc>
        <w:tc>
          <w:tcPr>
            <w:tcW w:w="960" w:type="dxa"/>
            <w:tcBorders>
              <w:top w:val="nil"/>
              <w:left w:val="nil"/>
              <w:bottom w:val="single" w:sz="4" w:space="0" w:color="auto"/>
              <w:right w:val="single" w:sz="4" w:space="0" w:color="auto"/>
            </w:tcBorders>
            <w:shd w:val="clear" w:color="auto" w:fill="auto"/>
            <w:vAlign w:val="center"/>
            <w:hideMark/>
          </w:tcPr>
          <w:p w14:paraId="4DD19D9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D96CA2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CD6D58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8CB347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6A9E7C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F2D3F5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458BD7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B3588B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R-402B</w:t>
            </w:r>
          </w:p>
        </w:tc>
        <w:tc>
          <w:tcPr>
            <w:tcW w:w="1170" w:type="dxa"/>
            <w:tcBorders>
              <w:top w:val="nil"/>
              <w:left w:val="nil"/>
              <w:bottom w:val="single" w:sz="4" w:space="0" w:color="auto"/>
              <w:right w:val="nil"/>
            </w:tcBorders>
            <w:shd w:val="clear" w:color="auto" w:fill="auto"/>
            <w:vAlign w:val="center"/>
            <w:hideMark/>
          </w:tcPr>
          <w:p w14:paraId="5FCA919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94162F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w:t>
            </w:r>
          </w:p>
        </w:tc>
        <w:tc>
          <w:tcPr>
            <w:tcW w:w="1166" w:type="dxa"/>
            <w:tcBorders>
              <w:top w:val="nil"/>
              <w:left w:val="nil"/>
              <w:bottom w:val="single" w:sz="4" w:space="0" w:color="auto"/>
              <w:right w:val="single" w:sz="4" w:space="0" w:color="auto"/>
            </w:tcBorders>
            <w:shd w:val="clear" w:color="auto" w:fill="auto"/>
            <w:vAlign w:val="center"/>
            <w:hideMark/>
          </w:tcPr>
          <w:p w14:paraId="5C7F892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23BCB5B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60%</w:t>
            </w:r>
          </w:p>
        </w:tc>
        <w:tc>
          <w:tcPr>
            <w:tcW w:w="965" w:type="dxa"/>
            <w:tcBorders>
              <w:top w:val="nil"/>
              <w:left w:val="nil"/>
              <w:bottom w:val="single" w:sz="4" w:space="0" w:color="auto"/>
              <w:right w:val="single" w:sz="4" w:space="0" w:color="auto"/>
            </w:tcBorders>
            <w:shd w:val="clear" w:color="auto" w:fill="auto"/>
            <w:vAlign w:val="center"/>
            <w:hideMark/>
          </w:tcPr>
          <w:p w14:paraId="1993271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D4E498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38%</w:t>
            </w:r>
          </w:p>
        </w:tc>
        <w:tc>
          <w:tcPr>
            <w:tcW w:w="960" w:type="dxa"/>
            <w:tcBorders>
              <w:top w:val="nil"/>
              <w:left w:val="nil"/>
              <w:bottom w:val="single" w:sz="4" w:space="0" w:color="auto"/>
              <w:right w:val="single" w:sz="4" w:space="0" w:color="auto"/>
            </w:tcBorders>
            <w:shd w:val="clear" w:color="auto" w:fill="auto"/>
            <w:vAlign w:val="center"/>
            <w:hideMark/>
          </w:tcPr>
          <w:p w14:paraId="7F67D38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D29C15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5EA4F5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18F198D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7803AD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D5EAE7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D366ED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B693FB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R-403A</w:t>
            </w:r>
          </w:p>
        </w:tc>
        <w:tc>
          <w:tcPr>
            <w:tcW w:w="1170" w:type="dxa"/>
            <w:tcBorders>
              <w:top w:val="nil"/>
              <w:left w:val="nil"/>
              <w:bottom w:val="single" w:sz="4" w:space="0" w:color="auto"/>
              <w:right w:val="nil"/>
            </w:tcBorders>
            <w:shd w:val="clear" w:color="auto" w:fill="auto"/>
            <w:vAlign w:val="center"/>
            <w:hideMark/>
          </w:tcPr>
          <w:p w14:paraId="7FBE463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998E8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w:t>
            </w:r>
          </w:p>
        </w:tc>
        <w:tc>
          <w:tcPr>
            <w:tcW w:w="1166" w:type="dxa"/>
            <w:tcBorders>
              <w:top w:val="nil"/>
              <w:left w:val="nil"/>
              <w:bottom w:val="single" w:sz="4" w:space="0" w:color="auto"/>
              <w:right w:val="single" w:sz="4" w:space="0" w:color="auto"/>
            </w:tcBorders>
            <w:shd w:val="clear" w:color="auto" w:fill="auto"/>
            <w:vAlign w:val="center"/>
            <w:hideMark/>
          </w:tcPr>
          <w:p w14:paraId="3AFE320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44D3087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75%</w:t>
            </w:r>
          </w:p>
        </w:tc>
        <w:tc>
          <w:tcPr>
            <w:tcW w:w="965" w:type="dxa"/>
            <w:tcBorders>
              <w:top w:val="nil"/>
              <w:left w:val="nil"/>
              <w:bottom w:val="single" w:sz="4" w:space="0" w:color="auto"/>
              <w:right w:val="single" w:sz="4" w:space="0" w:color="auto"/>
            </w:tcBorders>
            <w:shd w:val="clear" w:color="auto" w:fill="auto"/>
            <w:vAlign w:val="center"/>
            <w:hideMark/>
          </w:tcPr>
          <w:p w14:paraId="6EF8C51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8AD4FC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20%</w:t>
            </w:r>
          </w:p>
        </w:tc>
        <w:tc>
          <w:tcPr>
            <w:tcW w:w="960" w:type="dxa"/>
            <w:tcBorders>
              <w:top w:val="nil"/>
              <w:left w:val="nil"/>
              <w:bottom w:val="single" w:sz="4" w:space="0" w:color="auto"/>
              <w:right w:val="single" w:sz="4" w:space="0" w:color="auto"/>
            </w:tcBorders>
            <w:shd w:val="clear" w:color="auto" w:fill="auto"/>
            <w:vAlign w:val="center"/>
            <w:hideMark/>
          </w:tcPr>
          <w:p w14:paraId="0BDB6CE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BEC9B7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F146EF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0DF1814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4FA27B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BD2489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0DECCF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C460BB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R-403B</w:t>
            </w:r>
          </w:p>
        </w:tc>
        <w:tc>
          <w:tcPr>
            <w:tcW w:w="1170" w:type="dxa"/>
            <w:tcBorders>
              <w:top w:val="nil"/>
              <w:left w:val="nil"/>
              <w:bottom w:val="single" w:sz="4" w:space="0" w:color="auto"/>
              <w:right w:val="nil"/>
            </w:tcBorders>
            <w:shd w:val="clear" w:color="auto" w:fill="auto"/>
            <w:vAlign w:val="center"/>
            <w:hideMark/>
          </w:tcPr>
          <w:p w14:paraId="363D13E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03127E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w:t>
            </w:r>
          </w:p>
        </w:tc>
        <w:tc>
          <w:tcPr>
            <w:tcW w:w="1166" w:type="dxa"/>
            <w:tcBorders>
              <w:top w:val="nil"/>
              <w:left w:val="nil"/>
              <w:bottom w:val="single" w:sz="4" w:space="0" w:color="auto"/>
              <w:right w:val="single" w:sz="4" w:space="0" w:color="auto"/>
            </w:tcBorders>
            <w:shd w:val="clear" w:color="auto" w:fill="auto"/>
            <w:vAlign w:val="center"/>
            <w:hideMark/>
          </w:tcPr>
          <w:p w14:paraId="58D4E8D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7AF4653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56%</w:t>
            </w:r>
          </w:p>
        </w:tc>
        <w:tc>
          <w:tcPr>
            <w:tcW w:w="965" w:type="dxa"/>
            <w:tcBorders>
              <w:top w:val="nil"/>
              <w:left w:val="nil"/>
              <w:bottom w:val="single" w:sz="4" w:space="0" w:color="auto"/>
              <w:right w:val="single" w:sz="4" w:space="0" w:color="auto"/>
            </w:tcBorders>
            <w:shd w:val="clear" w:color="auto" w:fill="auto"/>
            <w:vAlign w:val="center"/>
            <w:hideMark/>
          </w:tcPr>
          <w:p w14:paraId="0CDC50F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B1AE6F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39%</w:t>
            </w:r>
          </w:p>
        </w:tc>
        <w:tc>
          <w:tcPr>
            <w:tcW w:w="960" w:type="dxa"/>
            <w:tcBorders>
              <w:top w:val="nil"/>
              <w:left w:val="nil"/>
              <w:bottom w:val="single" w:sz="4" w:space="0" w:color="auto"/>
              <w:right w:val="single" w:sz="4" w:space="0" w:color="auto"/>
            </w:tcBorders>
            <w:shd w:val="clear" w:color="auto" w:fill="auto"/>
            <w:vAlign w:val="center"/>
            <w:hideMark/>
          </w:tcPr>
          <w:p w14:paraId="521BD71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117784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C6E1D5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3768CC3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A6EBDC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5747CA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51A92C6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E69DF5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R-404A</w:t>
            </w:r>
          </w:p>
        </w:tc>
        <w:tc>
          <w:tcPr>
            <w:tcW w:w="1170" w:type="dxa"/>
            <w:tcBorders>
              <w:top w:val="nil"/>
              <w:left w:val="nil"/>
              <w:bottom w:val="single" w:sz="4" w:space="0" w:color="auto"/>
              <w:right w:val="nil"/>
            </w:tcBorders>
            <w:shd w:val="clear" w:color="auto" w:fill="auto"/>
            <w:vAlign w:val="center"/>
            <w:hideMark/>
          </w:tcPr>
          <w:p w14:paraId="6EAA14F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F384C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44%</w:t>
            </w:r>
          </w:p>
        </w:tc>
        <w:tc>
          <w:tcPr>
            <w:tcW w:w="1166" w:type="dxa"/>
            <w:tcBorders>
              <w:top w:val="nil"/>
              <w:left w:val="nil"/>
              <w:bottom w:val="single" w:sz="4" w:space="0" w:color="auto"/>
              <w:right w:val="single" w:sz="4" w:space="0" w:color="auto"/>
            </w:tcBorders>
            <w:shd w:val="clear" w:color="auto" w:fill="auto"/>
            <w:vAlign w:val="center"/>
            <w:hideMark/>
          </w:tcPr>
          <w:p w14:paraId="5239848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039F399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w:t>
            </w:r>
          </w:p>
        </w:tc>
        <w:tc>
          <w:tcPr>
            <w:tcW w:w="965" w:type="dxa"/>
            <w:tcBorders>
              <w:top w:val="nil"/>
              <w:left w:val="nil"/>
              <w:bottom w:val="single" w:sz="4" w:space="0" w:color="auto"/>
              <w:right w:val="single" w:sz="4" w:space="0" w:color="auto"/>
            </w:tcBorders>
            <w:shd w:val="clear" w:color="auto" w:fill="auto"/>
            <w:vAlign w:val="center"/>
            <w:hideMark/>
          </w:tcPr>
          <w:p w14:paraId="0E7229C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HFC-143a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CBAA1A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52%</w:t>
            </w:r>
          </w:p>
        </w:tc>
        <w:tc>
          <w:tcPr>
            <w:tcW w:w="960" w:type="dxa"/>
            <w:tcBorders>
              <w:top w:val="nil"/>
              <w:left w:val="nil"/>
              <w:bottom w:val="single" w:sz="4" w:space="0" w:color="auto"/>
              <w:right w:val="single" w:sz="4" w:space="0" w:color="auto"/>
            </w:tcBorders>
            <w:shd w:val="clear" w:color="auto" w:fill="auto"/>
            <w:vAlign w:val="center"/>
            <w:hideMark/>
          </w:tcPr>
          <w:p w14:paraId="2ED820A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469FEE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16512B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D8C3A7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7ACD43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C55C66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40316A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218E36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R-405A</w:t>
            </w:r>
          </w:p>
        </w:tc>
        <w:tc>
          <w:tcPr>
            <w:tcW w:w="1170" w:type="dxa"/>
            <w:tcBorders>
              <w:top w:val="nil"/>
              <w:left w:val="nil"/>
              <w:bottom w:val="single" w:sz="4" w:space="0" w:color="auto"/>
              <w:right w:val="nil"/>
            </w:tcBorders>
            <w:shd w:val="clear" w:color="auto" w:fill="auto"/>
            <w:vAlign w:val="center"/>
            <w:hideMark/>
          </w:tcPr>
          <w:p w14:paraId="6FD8AF8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HCFC-142b</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6D3727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w:t>
            </w:r>
          </w:p>
        </w:tc>
        <w:tc>
          <w:tcPr>
            <w:tcW w:w="1166" w:type="dxa"/>
            <w:tcBorders>
              <w:top w:val="nil"/>
              <w:left w:val="nil"/>
              <w:bottom w:val="single" w:sz="4" w:space="0" w:color="auto"/>
              <w:right w:val="single" w:sz="4" w:space="0" w:color="auto"/>
            </w:tcBorders>
            <w:shd w:val="clear" w:color="auto" w:fill="auto"/>
            <w:vAlign w:val="center"/>
            <w:hideMark/>
          </w:tcPr>
          <w:p w14:paraId="58DBFD2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0A8B8F8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45%</w:t>
            </w:r>
          </w:p>
        </w:tc>
        <w:tc>
          <w:tcPr>
            <w:tcW w:w="965" w:type="dxa"/>
            <w:tcBorders>
              <w:top w:val="nil"/>
              <w:left w:val="nil"/>
              <w:bottom w:val="single" w:sz="4" w:space="0" w:color="auto"/>
              <w:right w:val="single" w:sz="4" w:space="0" w:color="auto"/>
            </w:tcBorders>
            <w:shd w:val="clear" w:color="auto" w:fill="auto"/>
            <w:vAlign w:val="center"/>
            <w:hideMark/>
          </w:tcPr>
          <w:p w14:paraId="270EA13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74A722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w:t>
            </w:r>
          </w:p>
        </w:tc>
        <w:tc>
          <w:tcPr>
            <w:tcW w:w="960" w:type="dxa"/>
            <w:tcBorders>
              <w:top w:val="nil"/>
              <w:left w:val="nil"/>
              <w:bottom w:val="single" w:sz="4" w:space="0" w:color="auto"/>
              <w:right w:val="single" w:sz="4" w:space="0" w:color="auto"/>
            </w:tcBorders>
            <w:shd w:val="clear" w:color="auto" w:fill="auto"/>
            <w:vAlign w:val="center"/>
            <w:hideMark/>
          </w:tcPr>
          <w:p w14:paraId="7E0AE39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PFC-C318</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2CAF1F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43%</w:t>
            </w:r>
          </w:p>
        </w:tc>
        <w:tc>
          <w:tcPr>
            <w:tcW w:w="960" w:type="dxa"/>
            <w:tcBorders>
              <w:top w:val="nil"/>
              <w:left w:val="nil"/>
              <w:bottom w:val="single" w:sz="4" w:space="0" w:color="auto"/>
              <w:right w:val="single" w:sz="4" w:space="0" w:color="auto"/>
            </w:tcBorders>
            <w:shd w:val="clear" w:color="auto" w:fill="auto"/>
            <w:vAlign w:val="center"/>
            <w:hideMark/>
          </w:tcPr>
          <w:p w14:paraId="3EB0D11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20533D9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46DFA6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A2D397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2F78A885"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587C42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R-406A</w:t>
            </w:r>
          </w:p>
        </w:tc>
        <w:tc>
          <w:tcPr>
            <w:tcW w:w="1170" w:type="dxa"/>
            <w:tcBorders>
              <w:top w:val="nil"/>
              <w:left w:val="nil"/>
              <w:bottom w:val="single" w:sz="4" w:space="0" w:color="auto"/>
              <w:right w:val="nil"/>
            </w:tcBorders>
            <w:shd w:val="clear" w:color="auto" w:fill="auto"/>
            <w:vAlign w:val="center"/>
            <w:hideMark/>
          </w:tcPr>
          <w:p w14:paraId="747DDA3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B28A71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w:t>
            </w:r>
          </w:p>
        </w:tc>
        <w:tc>
          <w:tcPr>
            <w:tcW w:w="1166" w:type="dxa"/>
            <w:tcBorders>
              <w:top w:val="nil"/>
              <w:left w:val="nil"/>
              <w:bottom w:val="single" w:sz="4" w:space="0" w:color="auto"/>
              <w:right w:val="single" w:sz="4" w:space="0" w:color="auto"/>
            </w:tcBorders>
            <w:shd w:val="clear" w:color="auto" w:fill="auto"/>
            <w:vAlign w:val="center"/>
            <w:hideMark/>
          </w:tcPr>
          <w:p w14:paraId="019E67F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HCFC-142b</w:t>
            </w:r>
          </w:p>
        </w:tc>
        <w:tc>
          <w:tcPr>
            <w:tcW w:w="820" w:type="dxa"/>
            <w:tcBorders>
              <w:top w:val="nil"/>
              <w:left w:val="nil"/>
              <w:bottom w:val="single" w:sz="4" w:space="0" w:color="auto"/>
              <w:right w:val="single" w:sz="4" w:space="0" w:color="auto"/>
            </w:tcBorders>
            <w:shd w:val="clear" w:color="auto" w:fill="auto"/>
            <w:vAlign w:val="center"/>
            <w:hideMark/>
          </w:tcPr>
          <w:p w14:paraId="3506021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41%</w:t>
            </w:r>
          </w:p>
        </w:tc>
        <w:tc>
          <w:tcPr>
            <w:tcW w:w="965" w:type="dxa"/>
            <w:tcBorders>
              <w:top w:val="nil"/>
              <w:left w:val="nil"/>
              <w:bottom w:val="single" w:sz="4" w:space="0" w:color="auto"/>
              <w:right w:val="single" w:sz="4" w:space="0" w:color="auto"/>
            </w:tcBorders>
            <w:shd w:val="clear" w:color="auto" w:fill="auto"/>
            <w:vAlign w:val="center"/>
            <w:hideMark/>
          </w:tcPr>
          <w:p w14:paraId="428BAE2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3A6276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55%</w:t>
            </w:r>
          </w:p>
        </w:tc>
        <w:tc>
          <w:tcPr>
            <w:tcW w:w="960" w:type="dxa"/>
            <w:tcBorders>
              <w:top w:val="nil"/>
              <w:left w:val="nil"/>
              <w:bottom w:val="single" w:sz="4" w:space="0" w:color="auto"/>
              <w:right w:val="single" w:sz="4" w:space="0" w:color="auto"/>
            </w:tcBorders>
            <w:shd w:val="clear" w:color="auto" w:fill="auto"/>
            <w:vAlign w:val="center"/>
            <w:hideMark/>
          </w:tcPr>
          <w:p w14:paraId="1841EF1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47EDF7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24F86F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3FFA589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224CFE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947B85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5890E7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2E5D3E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R-407A</w:t>
            </w:r>
          </w:p>
        </w:tc>
        <w:tc>
          <w:tcPr>
            <w:tcW w:w="1170" w:type="dxa"/>
            <w:tcBorders>
              <w:top w:val="nil"/>
              <w:left w:val="nil"/>
              <w:bottom w:val="single" w:sz="4" w:space="0" w:color="auto"/>
              <w:right w:val="nil"/>
            </w:tcBorders>
            <w:shd w:val="clear" w:color="auto" w:fill="auto"/>
            <w:vAlign w:val="center"/>
            <w:hideMark/>
          </w:tcPr>
          <w:p w14:paraId="05FF19B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68B32D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40%</w:t>
            </w:r>
          </w:p>
        </w:tc>
        <w:tc>
          <w:tcPr>
            <w:tcW w:w="1166" w:type="dxa"/>
            <w:tcBorders>
              <w:top w:val="nil"/>
              <w:left w:val="nil"/>
              <w:bottom w:val="single" w:sz="4" w:space="0" w:color="auto"/>
              <w:right w:val="single" w:sz="4" w:space="0" w:color="auto"/>
            </w:tcBorders>
            <w:shd w:val="clear" w:color="auto" w:fill="auto"/>
            <w:vAlign w:val="center"/>
            <w:hideMark/>
          </w:tcPr>
          <w:p w14:paraId="4529368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591D67C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40%</w:t>
            </w:r>
          </w:p>
        </w:tc>
        <w:tc>
          <w:tcPr>
            <w:tcW w:w="965" w:type="dxa"/>
            <w:tcBorders>
              <w:top w:val="nil"/>
              <w:left w:val="nil"/>
              <w:bottom w:val="single" w:sz="4" w:space="0" w:color="auto"/>
              <w:right w:val="single" w:sz="4" w:space="0" w:color="auto"/>
            </w:tcBorders>
            <w:shd w:val="clear" w:color="auto" w:fill="auto"/>
            <w:vAlign w:val="center"/>
            <w:hideMark/>
          </w:tcPr>
          <w:p w14:paraId="58241B5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C3A63D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20%</w:t>
            </w:r>
          </w:p>
        </w:tc>
        <w:tc>
          <w:tcPr>
            <w:tcW w:w="960" w:type="dxa"/>
            <w:tcBorders>
              <w:top w:val="nil"/>
              <w:left w:val="nil"/>
              <w:bottom w:val="single" w:sz="4" w:space="0" w:color="auto"/>
              <w:right w:val="single" w:sz="4" w:space="0" w:color="auto"/>
            </w:tcBorders>
            <w:shd w:val="clear" w:color="auto" w:fill="auto"/>
            <w:vAlign w:val="center"/>
            <w:hideMark/>
          </w:tcPr>
          <w:p w14:paraId="67165ED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0414F9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49867B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25CFD95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1D1636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8DF31D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6E1B77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5FD4FA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R-407B</w:t>
            </w:r>
          </w:p>
        </w:tc>
        <w:tc>
          <w:tcPr>
            <w:tcW w:w="1170" w:type="dxa"/>
            <w:tcBorders>
              <w:top w:val="nil"/>
              <w:left w:val="nil"/>
              <w:bottom w:val="single" w:sz="4" w:space="0" w:color="auto"/>
              <w:right w:val="nil"/>
            </w:tcBorders>
            <w:shd w:val="clear" w:color="auto" w:fill="auto"/>
            <w:vAlign w:val="center"/>
            <w:hideMark/>
          </w:tcPr>
          <w:p w14:paraId="41E6E5F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10CBB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70%</w:t>
            </w:r>
          </w:p>
        </w:tc>
        <w:tc>
          <w:tcPr>
            <w:tcW w:w="1166" w:type="dxa"/>
            <w:tcBorders>
              <w:top w:val="nil"/>
              <w:left w:val="nil"/>
              <w:bottom w:val="single" w:sz="4" w:space="0" w:color="auto"/>
              <w:right w:val="single" w:sz="4" w:space="0" w:color="auto"/>
            </w:tcBorders>
            <w:shd w:val="clear" w:color="auto" w:fill="auto"/>
            <w:vAlign w:val="center"/>
            <w:hideMark/>
          </w:tcPr>
          <w:p w14:paraId="6964BC1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588FD10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20%</w:t>
            </w:r>
          </w:p>
        </w:tc>
        <w:tc>
          <w:tcPr>
            <w:tcW w:w="965" w:type="dxa"/>
            <w:tcBorders>
              <w:top w:val="nil"/>
              <w:left w:val="nil"/>
              <w:bottom w:val="single" w:sz="4" w:space="0" w:color="auto"/>
              <w:right w:val="single" w:sz="4" w:space="0" w:color="auto"/>
            </w:tcBorders>
            <w:shd w:val="clear" w:color="auto" w:fill="auto"/>
            <w:vAlign w:val="center"/>
            <w:hideMark/>
          </w:tcPr>
          <w:p w14:paraId="20531F9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FEF84C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10%</w:t>
            </w:r>
          </w:p>
        </w:tc>
        <w:tc>
          <w:tcPr>
            <w:tcW w:w="960" w:type="dxa"/>
            <w:tcBorders>
              <w:top w:val="nil"/>
              <w:left w:val="nil"/>
              <w:bottom w:val="single" w:sz="4" w:space="0" w:color="auto"/>
              <w:right w:val="single" w:sz="4" w:space="0" w:color="auto"/>
            </w:tcBorders>
            <w:shd w:val="clear" w:color="auto" w:fill="auto"/>
            <w:vAlign w:val="center"/>
            <w:hideMark/>
          </w:tcPr>
          <w:p w14:paraId="12C489A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8E08AB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936E5F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A216A9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7F02A9F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43F991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48A15E4A"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C491AF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R-407C</w:t>
            </w:r>
          </w:p>
        </w:tc>
        <w:tc>
          <w:tcPr>
            <w:tcW w:w="1170" w:type="dxa"/>
            <w:tcBorders>
              <w:top w:val="nil"/>
              <w:left w:val="nil"/>
              <w:bottom w:val="single" w:sz="4" w:space="0" w:color="auto"/>
              <w:right w:val="nil"/>
            </w:tcBorders>
            <w:shd w:val="clear" w:color="auto" w:fill="auto"/>
            <w:vAlign w:val="center"/>
            <w:hideMark/>
          </w:tcPr>
          <w:p w14:paraId="6B9C466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546B57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64AD59D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695CA0B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52%</w:t>
            </w:r>
          </w:p>
        </w:tc>
        <w:tc>
          <w:tcPr>
            <w:tcW w:w="965" w:type="dxa"/>
            <w:tcBorders>
              <w:top w:val="nil"/>
              <w:left w:val="nil"/>
              <w:bottom w:val="single" w:sz="4" w:space="0" w:color="auto"/>
              <w:right w:val="single" w:sz="4" w:space="0" w:color="auto"/>
            </w:tcBorders>
            <w:shd w:val="clear" w:color="auto" w:fill="auto"/>
            <w:vAlign w:val="center"/>
            <w:hideMark/>
          </w:tcPr>
          <w:p w14:paraId="218E5FE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E00F49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23%</w:t>
            </w:r>
          </w:p>
        </w:tc>
        <w:tc>
          <w:tcPr>
            <w:tcW w:w="960" w:type="dxa"/>
            <w:tcBorders>
              <w:top w:val="nil"/>
              <w:left w:val="nil"/>
              <w:bottom w:val="single" w:sz="4" w:space="0" w:color="auto"/>
              <w:right w:val="single" w:sz="4" w:space="0" w:color="auto"/>
            </w:tcBorders>
            <w:shd w:val="clear" w:color="auto" w:fill="auto"/>
            <w:vAlign w:val="center"/>
            <w:hideMark/>
          </w:tcPr>
          <w:p w14:paraId="35B3DAA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FD859D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9FB5BC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AFCD6D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0CB692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68EA01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5559C62"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1AB09F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R-407D</w:t>
            </w:r>
          </w:p>
        </w:tc>
        <w:tc>
          <w:tcPr>
            <w:tcW w:w="1170" w:type="dxa"/>
            <w:tcBorders>
              <w:top w:val="nil"/>
              <w:left w:val="nil"/>
              <w:bottom w:val="single" w:sz="4" w:space="0" w:color="auto"/>
              <w:right w:val="nil"/>
            </w:tcBorders>
            <w:shd w:val="clear" w:color="auto" w:fill="auto"/>
            <w:vAlign w:val="center"/>
            <w:hideMark/>
          </w:tcPr>
          <w:p w14:paraId="49AADED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B34A7B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w:t>
            </w:r>
          </w:p>
        </w:tc>
        <w:tc>
          <w:tcPr>
            <w:tcW w:w="1166" w:type="dxa"/>
            <w:tcBorders>
              <w:top w:val="nil"/>
              <w:left w:val="nil"/>
              <w:bottom w:val="single" w:sz="4" w:space="0" w:color="auto"/>
              <w:right w:val="single" w:sz="4" w:space="0" w:color="auto"/>
            </w:tcBorders>
            <w:shd w:val="clear" w:color="auto" w:fill="auto"/>
            <w:vAlign w:val="center"/>
            <w:hideMark/>
          </w:tcPr>
          <w:p w14:paraId="6E12F2B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67F7460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70%</w:t>
            </w:r>
          </w:p>
        </w:tc>
        <w:tc>
          <w:tcPr>
            <w:tcW w:w="965" w:type="dxa"/>
            <w:tcBorders>
              <w:top w:val="nil"/>
              <w:left w:val="nil"/>
              <w:bottom w:val="single" w:sz="4" w:space="0" w:color="auto"/>
              <w:right w:val="single" w:sz="4" w:space="0" w:color="auto"/>
            </w:tcBorders>
            <w:shd w:val="clear" w:color="auto" w:fill="auto"/>
            <w:vAlign w:val="center"/>
            <w:hideMark/>
          </w:tcPr>
          <w:p w14:paraId="14456C4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656D5E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w:t>
            </w:r>
          </w:p>
        </w:tc>
        <w:tc>
          <w:tcPr>
            <w:tcW w:w="960" w:type="dxa"/>
            <w:tcBorders>
              <w:top w:val="nil"/>
              <w:left w:val="nil"/>
              <w:bottom w:val="single" w:sz="4" w:space="0" w:color="auto"/>
              <w:right w:val="single" w:sz="4" w:space="0" w:color="auto"/>
            </w:tcBorders>
            <w:shd w:val="clear" w:color="auto" w:fill="auto"/>
            <w:vAlign w:val="center"/>
            <w:hideMark/>
          </w:tcPr>
          <w:p w14:paraId="0C59B68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8BCDD5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084538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5F865F9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10D874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F0CB3A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7C9F2DF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05D3FB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R-407E</w:t>
            </w:r>
          </w:p>
        </w:tc>
        <w:tc>
          <w:tcPr>
            <w:tcW w:w="1170" w:type="dxa"/>
            <w:tcBorders>
              <w:top w:val="nil"/>
              <w:left w:val="nil"/>
              <w:bottom w:val="single" w:sz="4" w:space="0" w:color="auto"/>
              <w:right w:val="nil"/>
            </w:tcBorders>
            <w:shd w:val="clear" w:color="auto" w:fill="auto"/>
            <w:vAlign w:val="center"/>
            <w:hideMark/>
          </w:tcPr>
          <w:p w14:paraId="3461D00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759A9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w:t>
            </w:r>
          </w:p>
        </w:tc>
        <w:tc>
          <w:tcPr>
            <w:tcW w:w="1166" w:type="dxa"/>
            <w:tcBorders>
              <w:top w:val="nil"/>
              <w:left w:val="nil"/>
              <w:bottom w:val="single" w:sz="4" w:space="0" w:color="auto"/>
              <w:right w:val="single" w:sz="4" w:space="0" w:color="auto"/>
            </w:tcBorders>
            <w:shd w:val="clear" w:color="auto" w:fill="auto"/>
            <w:vAlign w:val="center"/>
            <w:hideMark/>
          </w:tcPr>
          <w:p w14:paraId="65B97A9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17A0A88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60%</w:t>
            </w:r>
          </w:p>
        </w:tc>
        <w:tc>
          <w:tcPr>
            <w:tcW w:w="965" w:type="dxa"/>
            <w:tcBorders>
              <w:top w:val="nil"/>
              <w:left w:val="nil"/>
              <w:bottom w:val="single" w:sz="4" w:space="0" w:color="auto"/>
              <w:right w:val="single" w:sz="4" w:space="0" w:color="auto"/>
            </w:tcBorders>
            <w:shd w:val="clear" w:color="auto" w:fill="auto"/>
            <w:vAlign w:val="center"/>
            <w:hideMark/>
          </w:tcPr>
          <w:p w14:paraId="096D38C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E28E57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w:t>
            </w:r>
          </w:p>
        </w:tc>
        <w:tc>
          <w:tcPr>
            <w:tcW w:w="960" w:type="dxa"/>
            <w:tcBorders>
              <w:top w:val="nil"/>
              <w:left w:val="nil"/>
              <w:bottom w:val="single" w:sz="4" w:space="0" w:color="auto"/>
              <w:right w:val="single" w:sz="4" w:space="0" w:color="auto"/>
            </w:tcBorders>
            <w:shd w:val="clear" w:color="auto" w:fill="auto"/>
            <w:vAlign w:val="center"/>
            <w:hideMark/>
          </w:tcPr>
          <w:p w14:paraId="41F6F92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AC0B2C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D97F1F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192B1B0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5B8A42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77E200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0011EA5"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1B347E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R-407F</w:t>
            </w:r>
          </w:p>
        </w:tc>
        <w:tc>
          <w:tcPr>
            <w:tcW w:w="1170" w:type="dxa"/>
            <w:tcBorders>
              <w:top w:val="nil"/>
              <w:left w:val="nil"/>
              <w:bottom w:val="single" w:sz="4" w:space="0" w:color="auto"/>
              <w:right w:val="nil"/>
            </w:tcBorders>
            <w:shd w:val="clear" w:color="auto" w:fill="auto"/>
            <w:vAlign w:val="center"/>
            <w:hideMark/>
          </w:tcPr>
          <w:p w14:paraId="55D952F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517BF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30%</w:t>
            </w:r>
          </w:p>
        </w:tc>
        <w:tc>
          <w:tcPr>
            <w:tcW w:w="1166" w:type="dxa"/>
            <w:tcBorders>
              <w:top w:val="nil"/>
              <w:left w:val="nil"/>
              <w:bottom w:val="single" w:sz="4" w:space="0" w:color="auto"/>
              <w:right w:val="single" w:sz="4" w:space="0" w:color="auto"/>
            </w:tcBorders>
            <w:shd w:val="clear" w:color="auto" w:fill="auto"/>
            <w:vAlign w:val="center"/>
            <w:hideMark/>
          </w:tcPr>
          <w:p w14:paraId="0A0EA61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6F0608D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40%</w:t>
            </w:r>
          </w:p>
        </w:tc>
        <w:tc>
          <w:tcPr>
            <w:tcW w:w="965" w:type="dxa"/>
            <w:tcBorders>
              <w:top w:val="nil"/>
              <w:left w:val="nil"/>
              <w:bottom w:val="single" w:sz="4" w:space="0" w:color="auto"/>
              <w:right w:val="single" w:sz="4" w:space="0" w:color="auto"/>
            </w:tcBorders>
            <w:shd w:val="clear" w:color="auto" w:fill="auto"/>
            <w:vAlign w:val="center"/>
            <w:hideMark/>
          </w:tcPr>
          <w:p w14:paraId="558DBCB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98E146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30%</w:t>
            </w:r>
          </w:p>
        </w:tc>
        <w:tc>
          <w:tcPr>
            <w:tcW w:w="960" w:type="dxa"/>
            <w:tcBorders>
              <w:top w:val="nil"/>
              <w:left w:val="nil"/>
              <w:bottom w:val="single" w:sz="4" w:space="0" w:color="auto"/>
              <w:right w:val="single" w:sz="4" w:space="0" w:color="auto"/>
            </w:tcBorders>
            <w:shd w:val="clear" w:color="auto" w:fill="auto"/>
            <w:vAlign w:val="center"/>
            <w:hideMark/>
          </w:tcPr>
          <w:p w14:paraId="1AB144F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DAF0B7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F57073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28BC3A3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812588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2D9FE6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4B916C9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6014B0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R-407G</w:t>
            </w:r>
          </w:p>
        </w:tc>
        <w:tc>
          <w:tcPr>
            <w:tcW w:w="1170" w:type="dxa"/>
            <w:tcBorders>
              <w:top w:val="nil"/>
              <w:left w:val="nil"/>
              <w:bottom w:val="single" w:sz="4" w:space="0" w:color="auto"/>
              <w:right w:val="nil"/>
            </w:tcBorders>
            <w:shd w:val="clear" w:color="auto" w:fill="auto"/>
            <w:vAlign w:val="center"/>
            <w:hideMark/>
          </w:tcPr>
          <w:p w14:paraId="4AA8100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C7BB72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2.50%</w:t>
            </w:r>
          </w:p>
        </w:tc>
        <w:tc>
          <w:tcPr>
            <w:tcW w:w="1166" w:type="dxa"/>
            <w:tcBorders>
              <w:top w:val="nil"/>
              <w:left w:val="nil"/>
              <w:bottom w:val="single" w:sz="4" w:space="0" w:color="auto"/>
              <w:right w:val="single" w:sz="4" w:space="0" w:color="auto"/>
            </w:tcBorders>
            <w:shd w:val="clear" w:color="auto" w:fill="auto"/>
            <w:vAlign w:val="center"/>
            <w:hideMark/>
          </w:tcPr>
          <w:p w14:paraId="212D5DF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647B3CB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95%</w:t>
            </w:r>
          </w:p>
        </w:tc>
        <w:tc>
          <w:tcPr>
            <w:tcW w:w="965" w:type="dxa"/>
            <w:tcBorders>
              <w:top w:val="nil"/>
              <w:left w:val="nil"/>
              <w:bottom w:val="single" w:sz="4" w:space="0" w:color="auto"/>
              <w:right w:val="single" w:sz="4" w:space="0" w:color="auto"/>
            </w:tcBorders>
            <w:shd w:val="clear" w:color="auto" w:fill="auto"/>
            <w:vAlign w:val="center"/>
            <w:hideMark/>
          </w:tcPr>
          <w:p w14:paraId="66D57D8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73E0C6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w:t>
            </w:r>
          </w:p>
        </w:tc>
        <w:tc>
          <w:tcPr>
            <w:tcW w:w="960" w:type="dxa"/>
            <w:tcBorders>
              <w:top w:val="nil"/>
              <w:left w:val="nil"/>
              <w:bottom w:val="single" w:sz="4" w:space="0" w:color="auto"/>
              <w:right w:val="single" w:sz="4" w:space="0" w:color="auto"/>
            </w:tcBorders>
            <w:shd w:val="clear" w:color="auto" w:fill="auto"/>
            <w:vAlign w:val="center"/>
            <w:hideMark/>
          </w:tcPr>
          <w:p w14:paraId="126E62C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FD0F95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EFB22A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036E220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31C8F5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9B478F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2639A34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4FF433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R-408A</w:t>
            </w:r>
          </w:p>
        </w:tc>
        <w:tc>
          <w:tcPr>
            <w:tcW w:w="1170" w:type="dxa"/>
            <w:tcBorders>
              <w:top w:val="nil"/>
              <w:left w:val="nil"/>
              <w:bottom w:val="single" w:sz="4" w:space="0" w:color="auto"/>
              <w:right w:val="nil"/>
            </w:tcBorders>
            <w:shd w:val="clear" w:color="auto" w:fill="auto"/>
            <w:vAlign w:val="center"/>
            <w:hideMark/>
          </w:tcPr>
          <w:p w14:paraId="6FC303A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6EFF1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47%</w:t>
            </w:r>
          </w:p>
        </w:tc>
        <w:tc>
          <w:tcPr>
            <w:tcW w:w="1166" w:type="dxa"/>
            <w:tcBorders>
              <w:top w:val="nil"/>
              <w:left w:val="nil"/>
              <w:bottom w:val="single" w:sz="4" w:space="0" w:color="auto"/>
              <w:right w:val="single" w:sz="4" w:space="0" w:color="auto"/>
            </w:tcBorders>
            <w:shd w:val="clear" w:color="auto" w:fill="auto"/>
            <w:vAlign w:val="center"/>
            <w:hideMark/>
          </w:tcPr>
          <w:p w14:paraId="683E149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30A9A86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w:t>
            </w:r>
          </w:p>
        </w:tc>
        <w:tc>
          <w:tcPr>
            <w:tcW w:w="965" w:type="dxa"/>
            <w:tcBorders>
              <w:top w:val="nil"/>
              <w:left w:val="nil"/>
              <w:bottom w:val="single" w:sz="4" w:space="0" w:color="auto"/>
              <w:right w:val="single" w:sz="4" w:space="0" w:color="auto"/>
            </w:tcBorders>
            <w:shd w:val="clear" w:color="auto" w:fill="auto"/>
            <w:vAlign w:val="center"/>
            <w:hideMark/>
          </w:tcPr>
          <w:p w14:paraId="77AE10F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HFC-143a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BCDD19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46%</w:t>
            </w:r>
          </w:p>
        </w:tc>
        <w:tc>
          <w:tcPr>
            <w:tcW w:w="960" w:type="dxa"/>
            <w:tcBorders>
              <w:top w:val="nil"/>
              <w:left w:val="nil"/>
              <w:bottom w:val="single" w:sz="4" w:space="0" w:color="auto"/>
              <w:right w:val="single" w:sz="4" w:space="0" w:color="auto"/>
            </w:tcBorders>
            <w:shd w:val="clear" w:color="auto" w:fill="auto"/>
            <w:vAlign w:val="center"/>
            <w:hideMark/>
          </w:tcPr>
          <w:p w14:paraId="51EF2D8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FB193F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A8740D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1CFD34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CE8E35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D677D2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0B3BF64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C3AA22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R-409A</w:t>
            </w:r>
          </w:p>
        </w:tc>
        <w:tc>
          <w:tcPr>
            <w:tcW w:w="1170" w:type="dxa"/>
            <w:tcBorders>
              <w:top w:val="nil"/>
              <w:left w:val="nil"/>
              <w:bottom w:val="single" w:sz="4" w:space="0" w:color="auto"/>
              <w:right w:val="nil"/>
            </w:tcBorders>
            <w:shd w:val="clear" w:color="auto" w:fill="auto"/>
            <w:vAlign w:val="center"/>
            <w:hideMark/>
          </w:tcPr>
          <w:p w14:paraId="406BA29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C48337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78EB758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HCFC-142b</w:t>
            </w:r>
          </w:p>
        </w:tc>
        <w:tc>
          <w:tcPr>
            <w:tcW w:w="820" w:type="dxa"/>
            <w:tcBorders>
              <w:top w:val="nil"/>
              <w:left w:val="nil"/>
              <w:bottom w:val="single" w:sz="4" w:space="0" w:color="auto"/>
              <w:right w:val="single" w:sz="4" w:space="0" w:color="auto"/>
            </w:tcBorders>
            <w:shd w:val="clear" w:color="auto" w:fill="auto"/>
            <w:vAlign w:val="center"/>
            <w:hideMark/>
          </w:tcPr>
          <w:p w14:paraId="7C08D4D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w:t>
            </w:r>
          </w:p>
        </w:tc>
        <w:tc>
          <w:tcPr>
            <w:tcW w:w="965" w:type="dxa"/>
            <w:tcBorders>
              <w:top w:val="nil"/>
              <w:left w:val="nil"/>
              <w:bottom w:val="single" w:sz="4" w:space="0" w:color="auto"/>
              <w:right w:val="single" w:sz="4" w:space="0" w:color="auto"/>
            </w:tcBorders>
            <w:shd w:val="clear" w:color="auto" w:fill="auto"/>
            <w:vAlign w:val="center"/>
            <w:hideMark/>
          </w:tcPr>
          <w:p w14:paraId="79D9643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E6696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60%</w:t>
            </w:r>
          </w:p>
        </w:tc>
        <w:tc>
          <w:tcPr>
            <w:tcW w:w="960" w:type="dxa"/>
            <w:tcBorders>
              <w:top w:val="nil"/>
              <w:left w:val="nil"/>
              <w:bottom w:val="single" w:sz="4" w:space="0" w:color="auto"/>
              <w:right w:val="single" w:sz="4" w:space="0" w:color="auto"/>
            </w:tcBorders>
            <w:shd w:val="clear" w:color="auto" w:fill="auto"/>
            <w:vAlign w:val="center"/>
            <w:hideMark/>
          </w:tcPr>
          <w:p w14:paraId="59672D2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63CE22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8BBCA1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6745378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657078C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6D66DB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4FB0D50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662B6E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R-409B</w:t>
            </w:r>
          </w:p>
        </w:tc>
        <w:tc>
          <w:tcPr>
            <w:tcW w:w="1170" w:type="dxa"/>
            <w:tcBorders>
              <w:top w:val="nil"/>
              <w:left w:val="nil"/>
              <w:bottom w:val="single" w:sz="4" w:space="0" w:color="auto"/>
              <w:right w:val="nil"/>
            </w:tcBorders>
            <w:shd w:val="clear" w:color="auto" w:fill="auto"/>
            <w:vAlign w:val="center"/>
            <w:hideMark/>
          </w:tcPr>
          <w:p w14:paraId="640F00C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E9E864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12910D8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HCFC-142b</w:t>
            </w:r>
          </w:p>
        </w:tc>
        <w:tc>
          <w:tcPr>
            <w:tcW w:w="820" w:type="dxa"/>
            <w:tcBorders>
              <w:top w:val="nil"/>
              <w:left w:val="nil"/>
              <w:bottom w:val="single" w:sz="4" w:space="0" w:color="auto"/>
              <w:right w:val="single" w:sz="4" w:space="0" w:color="auto"/>
            </w:tcBorders>
            <w:shd w:val="clear" w:color="auto" w:fill="auto"/>
            <w:vAlign w:val="center"/>
            <w:hideMark/>
          </w:tcPr>
          <w:p w14:paraId="61C1E54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10%</w:t>
            </w:r>
          </w:p>
        </w:tc>
        <w:tc>
          <w:tcPr>
            <w:tcW w:w="965" w:type="dxa"/>
            <w:tcBorders>
              <w:top w:val="nil"/>
              <w:left w:val="nil"/>
              <w:bottom w:val="single" w:sz="4" w:space="0" w:color="auto"/>
              <w:right w:val="single" w:sz="4" w:space="0" w:color="auto"/>
            </w:tcBorders>
            <w:shd w:val="clear" w:color="auto" w:fill="auto"/>
            <w:vAlign w:val="center"/>
            <w:hideMark/>
          </w:tcPr>
          <w:p w14:paraId="6686268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3807F9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65%</w:t>
            </w:r>
          </w:p>
        </w:tc>
        <w:tc>
          <w:tcPr>
            <w:tcW w:w="960" w:type="dxa"/>
            <w:tcBorders>
              <w:top w:val="nil"/>
              <w:left w:val="nil"/>
              <w:bottom w:val="single" w:sz="4" w:space="0" w:color="auto"/>
              <w:right w:val="single" w:sz="4" w:space="0" w:color="auto"/>
            </w:tcBorders>
            <w:shd w:val="clear" w:color="auto" w:fill="auto"/>
            <w:vAlign w:val="center"/>
            <w:hideMark/>
          </w:tcPr>
          <w:p w14:paraId="33AC152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BB3793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F3D1D5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69BC35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60A28D1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70AAD8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2F3CA5A3"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DE999C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R-410A</w:t>
            </w:r>
          </w:p>
        </w:tc>
        <w:tc>
          <w:tcPr>
            <w:tcW w:w="1170" w:type="dxa"/>
            <w:tcBorders>
              <w:top w:val="nil"/>
              <w:left w:val="nil"/>
              <w:bottom w:val="single" w:sz="4" w:space="0" w:color="auto"/>
              <w:right w:val="nil"/>
            </w:tcBorders>
            <w:shd w:val="clear" w:color="auto" w:fill="auto"/>
            <w:vAlign w:val="center"/>
            <w:hideMark/>
          </w:tcPr>
          <w:p w14:paraId="15BE3E0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E5DF28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50%</w:t>
            </w:r>
          </w:p>
        </w:tc>
        <w:tc>
          <w:tcPr>
            <w:tcW w:w="1166" w:type="dxa"/>
            <w:tcBorders>
              <w:top w:val="nil"/>
              <w:left w:val="nil"/>
              <w:bottom w:val="single" w:sz="4" w:space="0" w:color="auto"/>
              <w:right w:val="single" w:sz="4" w:space="0" w:color="auto"/>
            </w:tcBorders>
            <w:shd w:val="clear" w:color="auto" w:fill="auto"/>
            <w:vAlign w:val="center"/>
            <w:hideMark/>
          </w:tcPr>
          <w:p w14:paraId="352ECF8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5FDD6D9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50%</w:t>
            </w:r>
          </w:p>
        </w:tc>
        <w:tc>
          <w:tcPr>
            <w:tcW w:w="965" w:type="dxa"/>
            <w:tcBorders>
              <w:top w:val="nil"/>
              <w:left w:val="nil"/>
              <w:bottom w:val="single" w:sz="4" w:space="0" w:color="auto"/>
              <w:right w:val="single" w:sz="4" w:space="0" w:color="auto"/>
            </w:tcBorders>
            <w:shd w:val="clear" w:color="auto" w:fill="auto"/>
            <w:vAlign w:val="center"/>
            <w:hideMark/>
          </w:tcPr>
          <w:p w14:paraId="4CC27FD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CAE4AB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5754DD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038C2A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C90FA7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20E60AC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438B38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E4B710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6128DE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4AB34C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R-410B</w:t>
            </w:r>
          </w:p>
        </w:tc>
        <w:tc>
          <w:tcPr>
            <w:tcW w:w="1170" w:type="dxa"/>
            <w:tcBorders>
              <w:top w:val="nil"/>
              <w:left w:val="nil"/>
              <w:bottom w:val="single" w:sz="4" w:space="0" w:color="auto"/>
              <w:right w:val="nil"/>
            </w:tcBorders>
            <w:shd w:val="clear" w:color="auto" w:fill="auto"/>
            <w:vAlign w:val="center"/>
            <w:hideMark/>
          </w:tcPr>
          <w:p w14:paraId="7713C87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FDB2A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55%</w:t>
            </w:r>
          </w:p>
        </w:tc>
        <w:tc>
          <w:tcPr>
            <w:tcW w:w="1166" w:type="dxa"/>
            <w:tcBorders>
              <w:top w:val="nil"/>
              <w:left w:val="nil"/>
              <w:bottom w:val="single" w:sz="4" w:space="0" w:color="auto"/>
              <w:right w:val="single" w:sz="4" w:space="0" w:color="auto"/>
            </w:tcBorders>
            <w:shd w:val="clear" w:color="auto" w:fill="auto"/>
            <w:vAlign w:val="center"/>
            <w:hideMark/>
          </w:tcPr>
          <w:p w14:paraId="3BBC7B0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48C88FC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45%</w:t>
            </w:r>
          </w:p>
        </w:tc>
        <w:tc>
          <w:tcPr>
            <w:tcW w:w="965" w:type="dxa"/>
            <w:tcBorders>
              <w:top w:val="nil"/>
              <w:left w:val="nil"/>
              <w:bottom w:val="single" w:sz="4" w:space="0" w:color="auto"/>
              <w:right w:val="single" w:sz="4" w:space="0" w:color="auto"/>
            </w:tcBorders>
            <w:shd w:val="clear" w:color="auto" w:fill="auto"/>
            <w:vAlign w:val="center"/>
            <w:hideMark/>
          </w:tcPr>
          <w:p w14:paraId="51400BF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1182B0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737374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51990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1689EC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659EF33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DE6033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C16143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C6024C6"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0D9829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R-411A</w:t>
            </w:r>
          </w:p>
        </w:tc>
        <w:tc>
          <w:tcPr>
            <w:tcW w:w="1170" w:type="dxa"/>
            <w:tcBorders>
              <w:top w:val="nil"/>
              <w:left w:val="nil"/>
              <w:bottom w:val="single" w:sz="4" w:space="0" w:color="auto"/>
              <w:right w:val="nil"/>
            </w:tcBorders>
            <w:shd w:val="clear" w:color="auto" w:fill="auto"/>
            <w:vAlign w:val="center"/>
            <w:hideMark/>
          </w:tcPr>
          <w:p w14:paraId="1372FDB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HO-1270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D7C5E2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1.50%</w:t>
            </w:r>
          </w:p>
        </w:tc>
        <w:tc>
          <w:tcPr>
            <w:tcW w:w="1166" w:type="dxa"/>
            <w:tcBorders>
              <w:top w:val="nil"/>
              <w:left w:val="nil"/>
              <w:bottom w:val="single" w:sz="4" w:space="0" w:color="auto"/>
              <w:right w:val="single" w:sz="4" w:space="0" w:color="auto"/>
            </w:tcBorders>
            <w:shd w:val="clear" w:color="auto" w:fill="auto"/>
            <w:vAlign w:val="center"/>
            <w:hideMark/>
          </w:tcPr>
          <w:p w14:paraId="6734BDA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6D5BC3E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87.50%</w:t>
            </w:r>
          </w:p>
        </w:tc>
        <w:tc>
          <w:tcPr>
            <w:tcW w:w="965" w:type="dxa"/>
            <w:tcBorders>
              <w:top w:val="nil"/>
              <w:left w:val="nil"/>
              <w:bottom w:val="single" w:sz="4" w:space="0" w:color="auto"/>
              <w:right w:val="single" w:sz="4" w:space="0" w:color="auto"/>
            </w:tcBorders>
            <w:shd w:val="clear" w:color="auto" w:fill="auto"/>
            <w:vAlign w:val="center"/>
            <w:hideMark/>
          </w:tcPr>
          <w:p w14:paraId="747806E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BAEBC5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11%</w:t>
            </w:r>
          </w:p>
        </w:tc>
        <w:tc>
          <w:tcPr>
            <w:tcW w:w="960" w:type="dxa"/>
            <w:tcBorders>
              <w:top w:val="nil"/>
              <w:left w:val="nil"/>
              <w:bottom w:val="single" w:sz="4" w:space="0" w:color="auto"/>
              <w:right w:val="single" w:sz="4" w:space="0" w:color="auto"/>
            </w:tcBorders>
            <w:shd w:val="clear" w:color="auto" w:fill="auto"/>
            <w:vAlign w:val="center"/>
            <w:hideMark/>
          </w:tcPr>
          <w:p w14:paraId="397C346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CF2B18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592442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74DE64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2884EF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24B434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7C685FB2"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F6FAC0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R-411B</w:t>
            </w:r>
          </w:p>
        </w:tc>
        <w:tc>
          <w:tcPr>
            <w:tcW w:w="1170" w:type="dxa"/>
            <w:tcBorders>
              <w:top w:val="nil"/>
              <w:left w:val="nil"/>
              <w:bottom w:val="single" w:sz="4" w:space="0" w:color="auto"/>
              <w:right w:val="nil"/>
            </w:tcBorders>
            <w:shd w:val="clear" w:color="auto" w:fill="auto"/>
            <w:vAlign w:val="center"/>
            <w:hideMark/>
          </w:tcPr>
          <w:p w14:paraId="3A284CC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HO-1270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71586B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w:t>
            </w:r>
          </w:p>
        </w:tc>
        <w:tc>
          <w:tcPr>
            <w:tcW w:w="1166" w:type="dxa"/>
            <w:tcBorders>
              <w:top w:val="nil"/>
              <w:left w:val="nil"/>
              <w:bottom w:val="single" w:sz="4" w:space="0" w:color="auto"/>
              <w:right w:val="single" w:sz="4" w:space="0" w:color="auto"/>
            </w:tcBorders>
            <w:shd w:val="clear" w:color="auto" w:fill="auto"/>
            <w:vAlign w:val="center"/>
            <w:hideMark/>
          </w:tcPr>
          <w:p w14:paraId="4FDEFFD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3908B1C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94%</w:t>
            </w:r>
          </w:p>
        </w:tc>
        <w:tc>
          <w:tcPr>
            <w:tcW w:w="965" w:type="dxa"/>
            <w:tcBorders>
              <w:top w:val="nil"/>
              <w:left w:val="nil"/>
              <w:bottom w:val="single" w:sz="4" w:space="0" w:color="auto"/>
              <w:right w:val="single" w:sz="4" w:space="0" w:color="auto"/>
            </w:tcBorders>
            <w:shd w:val="clear" w:color="auto" w:fill="auto"/>
            <w:vAlign w:val="center"/>
            <w:hideMark/>
          </w:tcPr>
          <w:p w14:paraId="1D9898E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22F851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w:t>
            </w:r>
          </w:p>
        </w:tc>
        <w:tc>
          <w:tcPr>
            <w:tcW w:w="960" w:type="dxa"/>
            <w:tcBorders>
              <w:top w:val="nil"/>
              <w:left w:val="nil"/>
              <w:bottom w:val="single" w:sz="4" w:space="0" w:color="auto"/>
              <w:right w:val="single" w:sz="4" w:space="0" w:color="auto"/>
            </w:tcBorders>
            <w:shd w:val="clear" w:color="auto" w:fill="auto"/>
            <w:vAlign w:val="center"/>
            <w:hideMark/>
          </w:tcPr>
          <w:p w14:paraId="741126F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11064E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CFC42B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49955C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97C9CB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C95083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025EDBB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B2C217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R-412A</w:t>
            </w:r>
          </w:p>
        </w:tc>
        <w:tc>
          <w:tcPr>
            <w:tcW w:w="1170" w:type="dxa"/>
            <w:tcBorders>
              <w:top w:val="nil"/>
              <w:left w:val="nil"/>
              <w:bottom w:val="single" w:sz="4" w:space="0" w:color="auto"/>
              <w:right w:val="nil"/>
            </w:tcBorders>
            <w:shd w:val="clear" w:color="auto" w:fill="auto"/>
            <w:vAlign w:val="center"/>
            <w:hideMark/>
          </w:tcPr>
          <w:p w14:paraId="770D423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HCFC-142b</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B27D0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2473DE0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0C1A3E0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70%</w:t>
            </w:r>
          </w:p>
        </w:tc>
        <w:tc>
          <w:tcPr>
            <w:tcW w:w="965" w:type="dxa"/>
            <w:tcBorders>
              <w:top w:val="nil"/>
              <w:left w:val="nil"/>
              <w:bottom w:val="single" w:sz="4" w:space="0" w:color="auto"/>
              <w:right w:val="single" w:sz="4" w:space="0" w:color="auto"/>
            </w:tcBorders>
            <w:shd w:val="clear" w:color="auto" w:fill="auto"/>
            <w:vAlign w:val="center"/>
            <w:hideMark/>
          </w:tcPr>
          <w:p w14:paraId="65CACAA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FCCDA9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w:t>
            </w:r>
          </w:p>
        </w:tc>
        <w:tc>
          <w:tcPr>
            <w:tcW w:w="960" w:type="dxa"/>
            <w:tcBorders>
              <w:top w:val="nil"/>
              <w:left w:val="nil"/>
              <w:bottom w:val="single" w:sz="4" w:space="0" w:color="auto"/>
              <w:right w:val="single" w:sz="4" w:space="0" w:color="auto"/>
            </w:tcBorders>
            <w:shd w:val="clear" w:color="auto" w:fill="auto"/>
            <w:vAlign w:val="center"/>
            <w:hideMark/>
          </w:tcPr>
          <w:p w14:paraId="60EA5A4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996089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BD48EE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147B0C0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F89801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90510B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2BC7751F"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C203E9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R-413A</w:t>
            </w:r>
          </w:p>
        </w:tc>
        <w:tc>
          <w:tcPr>
            <w:tcW w:w="1170" w:type="dxa"/>
            <w:tcBorders>
              <w:top w:val="nil"/>
              <w:left w:val="nil"/>
              <w:bottom w:val="single" w:sz="4" w:space="0" w:color="auto"/>
              <w:right w:val="nil"/>
            </w:tcBorders>
            <w:shd w:val="clear" w:color="auto" w:fill="auto"/>
            <w:vAlign w:val="center"/>
            <w:hideMark/>
          </w:tcPr>
          <w:p w14:paraId="4C0E26C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5F1D3A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w:t>
            </w:r>
          </w:p>
        </w:tc>
        <w:tc>
          <w:tcPr>
            <w:tcW w:w="1166" w:type="dxa"/>
            <w:tcBorders>
              <w:top w:val="nil"/>
              <w:left w:val="nil"/>
              <w:bottom w:val="single" w:sz="4" w:space="0" w:color="auto"/>
              <w:right w:val="single" w:sz="4" w:space="0" w:color="auto"/>
            </w:tcBorders>
            <w:shd w:val="clear" w:color="auto" w:fill="auto"/>
            <w:vAlign w:val="center"/>
            <w:hideMark/>
          </w:tcPr>
          <w:p w14:paraId="3950BF6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69CA915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88%</w:t>
            </w:r>
          </w:p>
        </w:tc>
        <w:tc>
          <w:tcPr>
            <w:tcW w:w="965" w:type="dxa"/>
            <w:tcBorders>
              <w:top w:val="nil"/>
              <w:left w:val="nil"/>
              <w:bottom w:val="single" w:sz="4" w:space="0" w:color="auto"/>
              <w:right w:val="single" w:sz="4" w:space="0" w:color="auto"/>
            </w:tcBorders>
            <w:shd w:val="clear" w:color="auto" w:fill="auto"/>
            <w:vAlign w:val="center"/>
            <w:hideMark/>
          </w:tcPr>
          <w:p w14:paraId="1B3619F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58FA38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9%</w:t>
            </w:r>
          </w:p>
        </w:tc>
        <w:tc>
          <w:tcPr>
            <w:tcW w:w="960" w:type="dxa"/>
            <w:tcBorders>
              <w:top w:val="nil"/>
              <w:left w:val="nil"/>
              <w:bottom w:val="single" w:sz="4" w:space="0" w:color="auto"/>
              <w:right w:val="single" w:sz="4" w:space="0" w:color="auto"/>
            </w:tcBorders>
            <w:shd w:val="clear" w:color="auto" w:fill="auto"/>
            <w:vAlign w:val="center"/>
            <w:hideMark/>
          </w:tcPr>
          <w:p w14:paraId="72822B3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6C1CD4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3EC077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20E7135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BDD791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A7A958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220F83B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DE503A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R-414A</w:t>
            </w:r>
          </w:p>
        </w:tc>
        <w:tc>
          <w:tcPr>
            <w:tcW w:w="1170" w:type="dxa"/>
            <w:tcBorders>
              <w:top w:val="nil"/>
              <w:left w:val="nil"/>
              <w:bottom w:val="single" w:sz="4" w:space="0" w:color="auto"/>
              <w:right w:val="nil"/>
            </w:tcBorders>
            <w:shd w:val="clear" w:color="auto" w:fill="auto"/>
            <w:vAlign w:val="center"/>
            <w:hideMark/>
          </w:tcPr>
          <w:p w14:paraId="75C8D10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08442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w:t>
            </w:r>
          </w:p>
        </w:tc>
        <w:tc>
          <w:tcPr>
            <w:tcW w:w="1166" w:type="dxa"/>
            <w:tcBorders>
              <w:top w:val="nil"/>
              <w:left w:val="nil"/>
              <w:bottom w:val="single" w:sz="4" w:space="0" w:color="auto"/>
              <w:right w:val="single" w:sz="4" w:space="0" w:color="auto"/>
            </w:tcBorders>
            <w:shd w:val="clear" w:color="auto" w:fill="auto"/>
            <w:vAlign w:val="center"/>
            <w:hideMark/>
          </w:tcPr>
          <w:p w14:paraId="3C2B45A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HCFC-124</w:t>
            </w:r>
          </w:p>
        </w:tc>
        <w:tc>
          <w:tcPr>
            <w:tcW w:w="820" w:type="dxa"/>
            <w:tcBorders>
              <w:top w:val="nil"/>
              <w:left w:val="nil"/>
              <w:bottom w:val="single" w:sz="4" w:space="0" w:color="auto"/>
              <w:right w:val="single" w:sz="4" w:space="0" w:color="auto"/>
            </w:tcBorders>
            <w:shd w:val="clear" w:color="auto" w:fill="auto"/>
            <w:vAlign w:val="center"/>
            <w:hideMark/>
          </w:tcPr>
          <w:p w14:paraId="631B644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28.50%</w:t>
            </w:r>
          </w:p>
        </w:tc>
        <w:tc>
          <w:tcPr>
            <w:tcW w:w="965" w:type="dxa"/>
            <w:tcBorders>
              <w:top w:val="nil"/>
              <w:left w:val="nil"/>
              <w:bottom w:val="single" w:sz="4" w:space="0" w:color="auto"/>
              <w:right w:val="single" w:sz="4" w:space="0" w:color="auto"/>
            </w:tcBorders>
            <w:shd w:val="clear" w:color="auto" w:fill="auto"/>
            <w:vAlign w:val="center"/>
            <w:hideMark/>
          </w:tcPr>
          <w:p w14:paraId="2CE26DA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HCFC-142b</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596720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16.5%</w:t>
            </w:r>
          </w:p>
        </w:tc>
        <w:tc>
          <w:tcPr>
            <w:tcW w:w="960" w:type="dxa"/>
            <w:tcBorders>
              <w:top w:val="nil"/>
              <w:left w:val="nil"/>
              <w:bottom w:val="single" w:sz="4" w:space="0" w:color="auto"/>
              <w:right w:val="single" w:sz="4" w:space="0" w:color="auto"/>
            </w:tcBorders>
            <w:shd w:val="clear" w:color="auto" w:fill="auto"/>
            <w:vAlign w:val="center"/>
            <w:hideMark/>
          </w:tcPr>
          <w:p w14:paraId="77A1F4E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B3DF54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51%</w:t>
            </w:r>
          </w:p>
        </w:tc>
        <w:tc>
          <w:tcPr>
            <w:tcW w:w="960" w:type="dxa"/>
            <w:tcBorders>
              <w:top w:val="nil"/>
              <w:left w:val="nil"/>
              <w:bottom w:val="single" w:sz="4" w:space="0" w:color="auto"/>
              <w:right w:val="single" w:sz="4" w:space="0" w:color="auto"/>
            </w:tcBorders>
            <w:shd w:val="clear" w:color="auto" w:fill="auto"/>
            <w:vAlign w:val="center"/>
            <w:hideMark/>
          </w:tcPr>
          <w:p w14:paraId="32F75BD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568C1A8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7E2A6C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D25E6A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7537843"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83DE46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R-414B</w:t>
            </w:r>
          </w:p>
        </w:tc>
        <w:tc>
          <w:tcPr>
            <w:tcW w:w="1170" w:type="dxa"/>
            <w:tcBorders>
              <w:top w:val="nil"/>
              <w:left w:val="nil"/>
              <w:bottom w:val="single" w:sz="4" w:space="0" w:color="auto"/>
              <w:right w:val="nil"/>
            </w:tcBorders>
            <w:shd w:val="clear" w:color="auto" w:fill="auto"/>
            <w:vAlign w:val="center"/>
            <w:hideMark/>
          </w:tcPr>
          <w:p w14:paraId="096FBE6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EE8226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1.50%</w:t>
            </w:r>
          </w:p>
        </w:tc>
        <w:tc>
          <w:tcPr>
            <w:tcW w:w="1166" w:type="dxa"/>
            <w:tcBorders>
              <w:top w:val="nil"/>
              <w:left w:val="nil"/>
              <w:bottom w:val="single" w:sz="4" w:space="0" w:color="auto"/>
              <w:right w:val="single" w:sz="4" w:space="0" w:color="auto"/>
            </w:tcBorders>
            <w:shd w:val="clear" w:color="auto" w:fill="auto"/>
            <w:vAlign w:val="center"/>
            <w:hideMark/>
          </w:tcPr>
          <w:p w14:paraId="4A7B961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HCFC-124</w:t>
            </w:r>
          </w:p>
        </w:tc>
        <w:tc>
          <w:tcPr>
            <w:tcW w:w="820" w:type="dxa"/>
            <w:tcBorders>
              <w:top w:val="nil"/>
              <w:left w:val="nil"/>
              <w:bottom w:val="single" w:sz="4" w:space="0" w:color="auto"/>
              <w:right w:val="single" w:sz="4" w:space="0" w:color="auto"/>
            </w:tcBorders>
            <w:shd w:val="clear" w:color="auto" w:fill="auto"/>
            <w:vAlign w:val="center"/>
            <w:hideMark/>
          </w:tcPr>
          <w:p w14:paraId="023ABD3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39%</w:t>
            </w:r>
          </w:p>
        </w:tc>
        <w:tc>
          <w:tcPr>
            <w:tcW w:w="965" w:type="dxa"/>
            <w:tcBorders>
              <w:top w:val="nil"/>
              <w:left w:val="nil"/>
              <w:bottom w:val="single" w:sz="4" w:space="0" w:color="auto"/>
              <w:right w:val="single" w:sz="4" w:space="0" w:color="auto"/>
            </w:tcBorders>
            <w:shd w:val="clear" w:color="auto" w:fill="auto"/>
            <w:vAlign w:val="center"/>
            <w:hideMark/>
          </w:tcPr>
          <w:p w14:paraId="2278AE6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HCFC-142b</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AC8A38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9.50%</w:t>
            </w:r>
          </w:p>
        </w:tc>
        <w:tc>
          <w:tcPr>
            <w:tcW w:w="960" w:type="dxa"/>
            <w:tcBorders>
              <w:top w:val="nil"/>
              <w:left w:val="nil"/>
              <w:bottom w:val="single" w:sz="4" w:space="0" w:color="auto"/>
              <w:right w:val="single" w:sz="4" w:space="0" w:color="auto"/>
            </w:tcBorders>
            <w:shd w:val="clear" w:color="auto" w:fill="auto"/>
            <w:vAlign w:val="center"/>
            <w:hideMark/>
          </w:tcPr>
          <w:p w14:paraId="4E37572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C17417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50%</w:t>
            </w:r>
          </w:p>
        </w:tc>
        <w:tc>
          <w:tcPr>
            <w:tcW w:w="960" w:type="dxa"/>
            <w:tcBorders>
              <w:top w:val="nil"/>
              <w:left w:val="nil"/>
              <w:bottom w:val="single" w:sz="4" w:space="0" w:color="auto"/>
              <w:right w:val="single" w:sz="4" w:space="0" w:color="auto"/>
            </w:tcBorders>
            <w:shd w:val="clear" w:color="auto" w:fill="auto"/>
            <w:vAlign w:val="center"/>
            <w:hideMark/>
          </w:tcPr>
          <w:p w14:paraId="63376B5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601CCA4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B890D6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3D46C8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735FE44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83995A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R-415A</w:t>
            </w:r>
          </w:p>
        </w:tc>
        <w:tc>
          <w:tcPr>
            <w:tcW w:w="1170" w:type="dxa"/>
            <w:tcBorders>
              <w:top w:val="nil"/>
              <w:left w:val="nil"/>
              <w:bottom w:val="single" w:sz="4" w:space="0" w:color="auto"/>
              <w:right w:val="nil"/>
            </w:tcBorders>
            <w:shd w:val="clear" w:color="auto" w:fill="auto"/>
            <w:vAlign w:val="center"/>
            <w:hideMark/>
          </w:tcPr>
          <w:p w14:paraId="242F166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D7BA5D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82%</w:t>
            </w:r>
          </w:p>
        </w:tc>
        <w:tc>
          <w:tcPr>
            <w:tcW w:w="1166" w:type="dxa"/>
            <w:tcBorders>
              <w:top w:val="nil"/>
              <w:left w:val="nil"/>
              <w:bottom w:val="single" w:sz="4" w:space="0" w:color="auto"/>
              <w:right w:val="single" w:sz="4" w:space="0" w:color="auto"/>
            </w:tcBorders>
            <w:shd w:val="clear" w:color="auto" w:fill="auto"/>
            <w:vAlign w:val="center"/>
            <w:hideMark/>
          </w:tcPr>
          <w:p w14:paraId="4B951D7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820" w:type="dxa"/>
            <w:tcBorders>
              <w:top w:val="nil"/>
              <w:left w:val="nil"/>
              <w:bottom w:val="single" w:sz="4" w:space="0" w:color="auto"/>
              <w:right w:val="single" w:sz="4" w:space="0" w:color="auto"/>
            </w:tcBorders>
            <w:shd w:val="clear" w:color="auto" w:fill="auto"/>
            <w:vAlign w:val="center"/>
            <w:hideMark/>
          </w:tcPr>
          <w:p w14:paraId="32973BB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18%</w:t>
            </w:r>
          </w:p>
        </w:tc>
        <w:tc>
          <w:tcPr>
            <w:tcW w:w="965" w:type="dxa"/>
            <w:tcBorders>
              <w:top w:val="nil"/>
              <w:left w:val="nil"/>
              <w:bottom w:val="single" w:sz="4" w:space="0" w:color="auto"/>
              <w:right w:val="single" w:sz="4" w:space="0" w:color="auto"/>
            </w:tcBorders>
            <w:shd w:val="clear" w:color="auto" w:fill="auto"/>
            <w:vAlign w:val="center"/>
            <w:hideMark/>
          </w:tcPr>
          <w:p w14:paraId="6EDA8FC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1CABD4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9CB391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45AC07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89742A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DE569F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6520273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D8E33A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585898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0C67A5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R-415B</w:t>
            </w:r>
          </w:p>
        </w:tc>
        <w:tc>
          <w:tcPr>
            <w:tcW w:w="1170" w:type="dxa"/>
            <w:tcBorders>
              <w:top w:val="nil"/>
              <w:left w:val="nil"/>
              <w:bottom w:val="single" w:sz="4" w:space="0" w:color="auto"/>
              <w:right w:val="nil"/>
            </w:tcBorders>
            <w:shd w:val="clear" w:color="auto" w:fill="auto"/>
            <w:vAlign w:val="center"/>
            <w:hideMark/>
          </w:tcPr>
          <w:p w14:paraId="1950857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1D1DF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1513709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820" w:type="dxa"/>
            <w:tcBorders>
              <w:top w:val="nil"/>
              <w:left w:val="nil"/>
              <w:bottom w:val="single" w:sz="4" w:space="0" w:color="auto"/>
              <w:right w:val="single" w:sz="4" w:space="0" w:color="auto"/>
            </w:tcBorders>
            <w:shd w:val="clear" w:color="auto" w:fill="auto"/>
            <w:vAlign w:val="center"/>
            <w:hideMark/>
          </w:tcPr>
          <w:p w14:paraId="25D3EF6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75%</w:t>
            </w:r>
          </w:p>
        </w:tc>
        <w:tc>
          <w:tcPr>
            <w:tcW w:w="965" w:type="dxa"/>
            <w:tcBorders>
              <w:top w:val="nil"/>
              <w:left w:val="nil"/>
              <w:bottom w:val="single" w:sz="4" w:space="0" w:color="auto"/>
              <w:right w:val="single" w:sz="4" w:space="0" w:color="auto"/>
            </w:tcBorders>
            <w:shd w:val="clear" w:color="auto" w:fill="auto"/>
            <w:vAlign w:val="center"/>
            <w:hideMark/>
          </w:tcPr>
          <w:p w14:paraId="4E934CD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3F847A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6E0855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E6827A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CC5413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0663291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52BBF2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A5121A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5EFF24F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EFA6CF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R-416A</w:t>
            </w:r>
          </w:p>
        </w:tc>
        <w:tc>
          <w:tcPr>
            <w:tcW w:w="1170" w:type="dxa"/>
            <w:tcBorders>
              <w:top w:val="nil"/>
              <w:left w:val="nil"/>
              <w:bottom w:val="single" w:sz="4" w:space="0" w:color="auto"/>
              <w:right w:val="nil"/>
            </w:tcBorders>
            <w:shd w:val="clear" w:color="auto" w:fill="auto"/>
            <w:vAlign w:val="center"/>
            <w:hideMark/>
          </w:tcPr>
          <w:p w14:paraId="483326E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D6870B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1.50%</w:t>
            </w:r>
          </w:p>
        </w:tc>
        <w:tc>
          <w:tcPr>
            <w:tcW w:w="1166" w:type="dxa"/>
            <w:tcBorders>
              <w:top w:val="nil"/>
              <w:left w:val="nil"/>
              <w:bottom w:val="single" w:sz="4" w:space="0" w:color="auto"/>
              <w:right w:val="single" w:sz="4" w:space="0" w:color="auto"/>
            </w:tcBorders>
            <w:shd w:val="clear" w:color="auto" w:fill="auto"/>
            <w:vAlign w:val="center"/>
            <w:hideMark/>
          </w:tcPr>
          <w:p w14:paraId="5AB80B0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HCFC-124</w:t>
            </w:r>
          </w:p>
        </w:tc>
        <w:tc>
          <w:tcPr>
            <w:tcW w:w="820" w:type="dxa"/>
            <w:tcBorders>
              <w:top w:val="nil"/>
              <w:left w:val="nil"/>
              <w:bottom w:val="single" w:sz="4" w:space="0" w:color="auto"/>
              <w:right w:val="single" w:sz="4" w:space="0" w:color="auto"/>
            </w:tcBorders>
            <w:shd w:val="clear" w:color="auto" w:fill="auto"/>
            <w:vAlign w:val="center"/>
            <w:hideMark/>
          </w:tcPr>
          <w:p w14:paraId="618C8F9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39.50%</w:t>
            </w:r>
          </w:p>
        </w:tc>
        <w:tc>
          <w:tcPr>
            <w:tcW w:w="965" w:type="dxa"/>
            <w:tcBorders>
              <w:top w:val="nil"/>
              <w:left w:val="nil"/>
              <w:bottom w:val="single" w:sz="4" w:space="0" w:color="auto"/>
              <w:right w:val="single" w:sz="4" w:space="0" w:color="auto"/>
            </w:tcBorders>
            <w:shd w:val="clear" w:color="auto" w:fill="auto"/>
            <w:vAlign w:val="center"/>
            <w:hideMark/>
          </w:tcPr>
          <w:p w14:paraId="686E8C7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40EC86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59%</w:t>
            </w:r>
          </w:p>
        </w:tc>
        <w:tc>
          <w:tcPr>
            <w:tcW w:w="960" w:type="dxa"/>
            <w:tcBorders>
              <w:top w:val="nil"/>
              <w:left w:val="nil"/>
              <w:bottom w:val="single" w:sz="4" w:space="0" w:color="auto"/>
              <w:right w:val="single" w:sz="4" w:space="0" w:color="auto"/>
            </w:tcBorders>
            <w:shd w:val="clear" w:color="auto" w:fill="auto"/>
            <w:vAlign w:val="center"/>
            <w:hideMark/>
          </w:tcPr>
          <w:p w14:paraId="762B133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D8C681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E81143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8F24DA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29B378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7ACE5F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68665D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D3A590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R-417A</w:t>
            </w:r>
          </w:p>
        </w:tc>
        <w:tc>
          <w:tcPr>
            <w:tcW w:w="1170" w:type="dxa"/>
            <w:tcBorders>
              <w:top w:val="nil"/>
              <w:left w:val="nil"/>
              <w:bottom w:val="single" w:sz="4" w:space="0" w:color="auto"/>
              <w:right w:val="nil"/>
            </w:tcBorders>
            <w:shd w:val="clear" w:color="auto" w:fill="auto"/>
            <w:vAlign w:val="center"/>
            <w:hideMark/>
          </w:tcPr>
          <w:p w14:paraId="4276ED1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7733D9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3.40%</w:t>
            </w:r>
          </w:p>
        </w:tc>
        <w:tc>
          <w:tcPr>
            <w:tcW w:w="1166" w:type="dxa"/>
            <w:tcBorders>
              <w:top w:val="nil"/>
              <w:left w:val="nil"/>
              <w:bottom w:val="single" w:sz="4" w:space="0" w:color="auto"/>
              <w:right w:val="single" w:sz="4" w:space="0" w:color="auto"/>
            </w:tcBorders>
            <w:shd w:val="clear" w:color="auto" w:fill="auto"/>
            <w:vAlign w:val="center"/>
            <w:hideMark/>
          </w:tcPr>
          <w:p w14:paraId="4B0E8B5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08047F5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46.60%</w:t>
            </w:r>
          </w:p>
        </w:tc>
        <w:tc>
          <w:tcPr>
            <w:tcW w:w="965" w:type="dxa"/>
            <w:tcBorders>
              <w:top w:val="nil"/>
              <w:left w:val="nil"/>
              <w:bottom w:val="single" w:sz="4" w:space="0" w:color="auto"/>
              <w:right w:val="single" w:sz="4" w:space="0" w:color="auto"/>
            </w:tcBorders>
            <w:shd w:val="clear" w:color="auto" w:fill="auto"/>
            <w:vAlign w:val="center"/>
            <w:hideMark/>
          </w:tcPr>
          <w:p w14:paraId="2F970F2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12DAC2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50%</w:t>
            </w:r>
          </w:p>
        </w:tc>
        <w:tc>
          <w:tcPr>
            <w:tcW w:w="960" w:type="dxa"/>
            <w:tcBorders>
              <w:top w:val="nil"/>
              <w:left w:val="nil"/>
              <w:bottom w:val="single" w:sz="4" w:space="0" w:color="auto"/>
              <w:right w:val="single" w:sz="4" w:space="0" w:color="auto"/>
            </w:tcBorders>
            <w:shd w:val="clear" w:color="auto" w:fill="auto"/>
            <w:vAlign w:val="center"/>
            <w:hideMark/>
          </w:tcPr>
          <w:p w14:paraId="6033261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549483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763B26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16C1010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5502B1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F915C1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54BF1DB6"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CFE15F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R-417B</w:t>
            </w:r>
          </w:p>
        </w:tc>
        <w:tc>
          <w:tcPr>
            <w:tcW w:w="1170" w:type="dxa"/>
            <w:tcBorders>
              <w:top w:val="nil"/>
              <w:left w:val="nil"/>
              <w:bottom w:val="single" w:sz="4" w:space="0" w:color="auto"/>
              <w:right w:val="nil"/>
            </w:tcBorders>
            <w:shd w:val="clear" w:color="auto" w:fill="auto"/>
            <w:vAlign w:val="center"/>
            <w:hideMark/>
          </w:tcPr>
          <w:p w14:paraId="1A9D804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4F95B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2.70%</w:t>
            </w:r>
          </w:p>
        </w:tc>
        <w:tc>
          <w:tcPr>
            <w:tcW w:w="1166" w:type="dxa"/>
            <w:tcBorders>
              <w:top w:val="nil"/>
              <w:left w:val="nil"/>
              <w:bottom w:val="single" w:sz="4" w:space="0" w:color="auto"/>
              <w:right w:val="single" w:sz="4" w:space="0" w:color="auto"/>
            </w:tcBorders>
            <w:shd w:val="clear" w:color="auto" w:fill="auto"/>
            <w:vAlign w:val="center"/>
            <w:hideMark/>
          </w:tcPr>
          <w:p w14:paraId="33303AF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5C53F91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79%</w:t>
            </w:r>
          </w:p>
        </w:tc>
        <w:tc>
          <w:tcPr>
            <w:tcW w:w="965" w:type="dxa"/>
            <w:tcBorders>
              <w:top w:val="nil"/>
              <w:left w:val="nil"/>
              <w:bottom w:val="single" w:sz="4" w:space="0" w:color="auto"/>
              <w:right w:val="single" w:sz="4" w:space="0" w:color="auto"/>
            </w:tcBorders>
            <w:shd w:val="clear" w:color="auto" w:fill="auto"/>
            <w:vAlign w:val="center"/>
            <w:hideMark/>
          </w:tcPr>
          <w:p w14:paraId="1C88BB6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4895D04" w14:textId="77777777" w:rsidR="00232FF7" w:rsidRPr="00752D88" w:rsidRDefault="006451A1"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18.3</w:t>
            </w:r>
            <w:r w:rsidR="00232FF7" w:rsidRPr="00752D88">
              <w:rPr>
                <w:rFonts w:ascii="Times New Roman" w:eastAsia="Times New Roman" w:hAnsi="Times New Roman" w:cs="Times New Roman"/>
                <w:color w:val="000000"/>
                <w:spacing w:val="-2"/>
                <w:sz w:val="16"/>
                <w:szCs w:val="16"/>
                <w:lang w:val="en-GB" w:eastAsia="en-CA"/>
              </w:rPr>
              <w:t>%</w:t>
            </w:r>
          </w:p>
        </w:tc>
        <w:tc>
          <w:tcPr>
            <w:tcW w:w="960" w:type="dxa"/>
            <w:tcBorders>
              <w:top w:val="nil"/>
              <w:left w:val="nil"/>
              <w:bottom w:val="single" w:sz="4" w:space="0" w:color="auto"/>
              <w:right w:val="single" w:sz="4" w:space="0" w:color="auto"/>
            </w:tcBorders>
            <w:shd w:val="clear" w:color="auto" w:fill="auto"/>
            <w:vAlign w:val="center"/>
            <w:hideMark/>
          </w:tcPr>
          <w:p w14:paraId="64C2480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C53269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CFD339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8B130E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0ADC9E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628C29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84362A2"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2E3A1B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R-417C</w:t>
            </w:r>
          </w:p>
        </w:tc>
        <w:tc>
          <w:tcPr>
            <w:tcW w:w="1170" w:type="dxa"/>
            <w:tcBorders>
              <w:top w:val="nil"/>
              <w:left w:val="nil"/>
              <w:bottom w:val="single" w:sz="4" w:space="0" w:color="auto"/>
              <w:right w:val="nil"/>
            </w:tcBorders>
            <w:shd w:val="clear" w:color="auto" w:fill="auto"/>
            <w:vAlign w:val="center"/>
            <w:hideMark/>
          </w:tcPr>
          <w:p w14:paraId="31BEBD3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D6DF6D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1.70%</w:t>
            </w:r>
          </w:p>
        </w:tc>
        <w:tc>
          <w:tcPr>
            <w:tcW w:w="1166" w:type="dxa"/>
            <w:tcBorders>
              <w:top w:val="nil"/>
              <w:left w:val="nil"/>
              <w:bottom w:val="single" w:sz="4" w:space="0" w:color="auto"/>
              <w:right w:val="single" w:sz="4" w:space="0" w:color="auto"/>
            </w:tcBorders>
            <w:shd w:val="clear" w:color="auto" w:fill="auto"/>
            <w:vAlign w:val="center"/>
            <w:hideMark/>
          </w:tcPr>
          <w:p w14:paraId="7EA38CB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635A36F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19.50%</w:t>
            </w:r>
          </w:p>
        </w:tc>
        <w:tc>
          <w:tcPr>
            <w:tcW w:w="965" w:type="dxa"/>
            <w:tcBorders>
              <w:top w:val="nil"/>
              <w:left w:val="nil"/>
              <w:bottom w:val="single" w:sz="4" w:space="0" w:color="auto"/>
              <w:right w:val="single" w:sz="4" w:space="0" w:color="auto"/>
            </w:tcBorders>
            <w:shd w:val="clear" w:color="auto" w:fill="auto"/>
            <w:vAlign w:val="center"/>
            <w:hideMark/>
          </w:tcPr>
          <w:p w14:paraId="16FCD1D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C0B12F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78.8%</w:t>
            </w:r>
          </w:p>
        </w:tc>
        <w:tc>
          <w:tcPr>
            <w:tcW w:w="960" w:type="dxa"/>
            <w:tcBorders>
              <w:top w:val="nil"/>
              <w:left w:val="nil"/>
              <w:bottom w:val="single" w:sz="4" w:space="0" w:color="auto"/>
              <w:right w:val="single" w:sz="4" w:space="0" w:color="auto"/>
            </w:tcBorders>
            <w:shd w:val="clear" w:color="auto" w:fill="auto"/>
            <w:vAlign w:val="center"/>
            <w:hideMark/>
          </w:tcPr>
          <w:p w14:paraId="4FE2D90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CADD3C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3A1CC5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3128D9A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733CB4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909CE7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070D1A4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C2BB6C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R-418A</w:t>
            </w:r>
          </w:p>
        </w:tc>
        <w:tc>
          <w:tcPr>
            <w:tcW w:w="1170" w:type="dxa"/>
            <w:tcBorders>
              <w:top w:val="nil"/>
              <w:left w:val="nil"/>
              <w:bottom w:val="single" w:sz="4" w:space="0" w:color="auto"/>
              <w:right w:val="nil"/>
            </w:tcBorders>
            <w:shd w:val="clear" w:color="auto" w:fill="auto"/>
            <w:vAlign w:val="center"/>
            <w:hideMark/>
          </w:tcPr>
          <w:p w14:paraId="041070B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5C04C8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1.50%</w:t>
            </w:r>
          </w:p>
        </w:tc>
        <w:tc>
          <w:tcPr>
            <w:tcW w:w="1166" w:type="dxa"/>
            <w:tcBorders>
              <w:top w:val="nil"/>
              <w:left w:val="nil"/>
              <w:bottom w:val="single" w:sz="4" w:space="0" w:color="auto"/>
              <w:right w:val="single" w:sz="4" w:space="0" w:color="auto"/>
            </w:tcBorders>
            <w:shd w:val="clear" w:color="auto" w:fill="auto"/>
            <w:vAlign w:val="center"/>
            <w:hideMark/>
          </w:tcPr>
          <w:p w14:paraId="3D44DE8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1619310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96%</w:t>
            </w:r>
          </w:p>
        </w:tc>
        <w:tc>
          <w:tcPr>
            <w:tcW w:w="965" w:type="dxa"/>
            <w:tcBorders>
              <w:top w:val="nil"/>
              <w:left w:val="nil"/>
              <w:bottom w:val="single" w:sz="4" w:space="0" w:color="auto"/>
              <w:right w:val="single" w:sz="4" w:space="0" w:color="auto"/>
            </w:tcBorders>
            <w:shd w:val="clear" w:color="auto" w:fill="auto"/>
            <w:vAlign w:val="center"/>
            <w:hideMark/>
          </w:tcPr>
          <w:p w14:paraId="5F7A2FB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D860B7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w:t>
            </w:r>
          </w:p>
        </w:tc>
        <w:tc>
          <w:tcPr>
            <w:tcW w:w="960" w:type="dxa"/>
            <w:tcBorders>
              <w:top w:val="nil"/>
              <w:left w:val="nil"/>
              <w:bottom w:val="single" w:sz="4" w:space="0" w:color="auto"/>
              <w:right w:val="single" w:sz="4" w:space="0" w:color="auto"/>
            </w:tcBorders>
            <w:shd w:val="clear" w:color="auto" w:fill="auto"/>
            <w:vAlign w:val="center"/>
            <w:hideMark/>
          </w:tcPr>
          <w:p w14:paraId="4A73FCE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EBAD84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1070C6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672CC1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D0D5D6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4C6508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BF79D7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CB5BC3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R-419A</w:t>
            </w:r>
          </w:p>
        </w:tc>
        <w:tc>
          <w:tcPr>
            <w:tcW w:w="1170" w:type="dxa"/>
            <w:tcBorders>
              <w:top w:val="nil"/>
              <w:left w:val="nil"/>
              <w:bottom w:val="single" w:sz="4" w:space="0" w:color="auto"/>
              <w:right w:val="nil"/>
            </w:tcBorders>
            <w:shd w:val="clear" w:color="auto" w:fill="auto"/>
            <w:vAlign w:val="center"/>
            <w:hideMark/>
          </w:tcPr>
          <w:p w14:paraId="0303043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HCE-170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C68C1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w:t>
            </w:r>
          </w:p>
        </w:tc>
        <w:tc>
          <w:tcPr>
            <w:tcW w:w="1166" w:type="dxa"/>
            <w:tcBorders>
              <w:top w:val="nil"/>
              <w:left w:val="nil"/>
              <w:bottom w:val="single" w:sz="4" w:space="0" w:color="auto"/>
              <w:right w:val="single" w:sz="4" w:space="0" w:color="auto"/>
            </w:tcBorders>
            <w:shd w:val="clear" w:color="auto" w:fill="auto"/>
            <w:vAlign w:val="center"/>
            <w:hideMark/>
          </w:tcPr>
          <w:p w14:paraId="4CF88EA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768617D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77%</w:t>
            </w:r>
          </w:p>
        </w:tc>
        <w:tc>
          <w:tcPr>
            <w:tcW w:w="965" w:type="dxa"/>
            <w:tcBorders>
              <w:top w:val="nil"/>
              <w:left w:val="nil"/>
              <w:bottom w:val="single" w:sz="4" w:space="0" w:color="auto"/>
              <w:right w:val="single" w:sz="4" w:space="0" w:color="auto"/>
            </w:tcBorders>
            <w:shd w:val="clear" w:color="auto" w:fill="auto"/>
            <w:vAlign w:val="center"/>
            <w:hideMark/>
          </w:tcPr>
          <w:p w14:paraId="114CF47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04B219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19%</w:t>
            </w:r>
          </w:p>
        </w:tc>
        <w:tc>
          <w:tcPr>
            <w:tcW w:w="960" w:type="dxa"/>
            <w:tcBorders>
              <w:top w:val="nil"/>
              <w:left w:val="nil"/>
              <w:bottom w:val="single" w:sz="4" w:space="0" w:color="auto"/>
              <w:right w:val="single" w:sz="4" w:space="0" w:color="auto"/>
            </w:tcBorders>
            <w:shd w:val="clear" w:color="auto" w:fill="auto"/>
            <w:vAlign w:val="center"/>
            <w:hideMark/>
          </w:tcPr>
          <w:p w14:paraId="6D55809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432102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FA3253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00D6FEB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2F7004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8D3AF4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5BD5E91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560CF4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R-419B</w:t>
            </w:r>
          </w:p>
        </w:tc>
        <w:tc>
          <w:tcPr>
            <w:tcW w:w="1170" w:type="dxa"/>
            <w:tcBorders>
              <w:top w:val="nil"/>
              <w:left w:val="nil"/>
              <w:bottom w:val="single" w:sz="4" w:space="0" w:color="auto"/>
              <w:right w:val="nil"/>
            </w:tcBorders>
            <w:shd w:val="clear" w:color="auto" w:fill="auto"/>
            <w:vAlign w:val="center"/>
            <w:hideMark/>
          </w:tcPr>
          <w:p w14:paraId="6DFD741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HCE-170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F5C971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3.50%</w:t>
            </w:r>
          </w:p>
        </w:tc>
        <w:tc>
          <w:tcPr>
            <w:tcW w:w="1166" w:type="dxa"/>
            <w:tcBorders>
              <w:top w:val="nil"/>
              <w:left w:val="nil"/>
              <w:bottom w:val="single" w:sz="4" w:space="0" w:color="auto"/>
              <w:right w:val="single" w:sz="4" w:space="0" w:color="auto"/>
            </w:tcBorders>
            <w:shd w:val="clear" w:color="auto" w:fill="auto"/>
            <w:vAlign w:val="center"/>
            <w:hideMark/>
          </w:tcPr>
          <w:p w14:paraId="0E1E02E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30617FA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48.50%</w:t>
            </w:r>
          </w:p>
        </w:tc>
        <w:tc>
          <w:tcPr>
            <w:tcW w:w="965" w:type="dxa"/>
            <w:tcBorders>
              <w:top w:val="nil"/>
              <w:left w:val="nil"/>
              <w:bottom w:val="single" w:sz="4" w:space="0" w:color="auto"/>
              <w:right w:val="single" w:sz="4" w:space="0" w:color="auto"/>
            </w:tcBorders>
            <w:shd w:val="clear" w:color="auto" w:fill="auto"/>
            <w:vAlign w:val="center"/>
            <w:hideMark/>
          </w:tcPr>
          <w:p w14:paraId="276B048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F9AA21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48%</w:t>
            </w:r>
          </w:p>
        </w:tc>
        <w:tc>
          <w:tcPr>
            <w:tcW w:w="960" w:type="dxa"/>
            <w:tcBorders>
              <w:top w:val="nil"/>
              <w:left w:val="nil"/>
              <w:bottom w:val="single" w:sz="4" w:space="0" w:color="auto"/>
              <w:right w:val="single" w:sz="4" w:space="0" w:color="auto"/>
            </w:tcBorders>
            <w:shd w:val="clear" w:color="auto" w:fill="auto"/>
            <w:vAlign w:val="center"/>
            <w:hideMark/>
          </w:tcPr>
          <w:p w14:paraId="7A49126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0543FF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B27412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BFB14C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7A5955E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040AA6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565933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85BEF9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R-420A</w:t>
            </w:r>
          </w:p>
        </w:tc>
        <w:tc>
          <w:tcPr>
            <w:tcW w:w="1170" w:type="dxa"/>
            <w:tcBorders>
              <w:top w:val="nil"/>
              <w:left w:val="nil"/>
              <w:bottom w:val="single" w:sz="4" w:space="0" w:color="auto"/>
              <w:right w:val="nil"/>
            </w:tcBorders>
            <w:shd w:val="clear" w:color="auto" w:fill="auto"/>
            <w:vAlign w:val="center"/>
            <w:hideMark/>
          </w:tcPr>
          <w:p w14:paraId="3A047F8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HCFC-142b</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99E276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12%</w:t>
            </w:r>
          </w:p>
        </w:tc>
        <w:tc>
          <w:tcPr>
            <w:tcW w:w="1166" w:type="dxa"/>
            <w:tcBorders>
              <w:top w:val="nil"/>
              <w:left w:val="nil"/>
              <w:bottom w:val="single" w:sz="4" w:space="0" w:color="auto"/>
              <w:right w:val="single" w:sz="4" w:space="0" w:color="auto"/>
            </w:tcBorders>
            <w:shd w:val="clear" w:color="auto" w:fill="auto"/>
            <w:vAlign w:val="center"/>
            <w:hideMark/>
          </w:tcPr>
          <w:p w14:paraId="235B6D5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057DABC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88%</w:t>
            </w:r>
          </w:p>
        </w:tc>
        <w:tc>
          <w:tcPr>
            <w:tcW w:w="965" w:type="dxa"/>
            <w:tcBorders>
              <w:top w:val="nil"/>
              <w:left w:val="nil"/>
              <w:bottom w:val="single" w:sz="4" w:space="0" w:color="auto"/>
              <w:right w:val="single" w:sz="4" w:space="0" w:color="auto"/>
            </w:tcBorders>
            <w:shd w:val="clear" w:color="auto" w:fill="auto"/>
            <w:vAlign w:val="center"/>
            <w:hideMark/>
          </w:tcPr>
          <w:p w14:paraId="41337B4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F0C72E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BA0351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22CB3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DD9E3F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6B0BCB1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E7BAA1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93A1C8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446AFD4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4CE01A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R-421A</w:t>
            </w:r>
          </w:p>
        </w:tc>
        <w:tc>
          <w:tcPr>
            <w:tcW w:w="1170" w:type="dxa"/>
            <w:tcBorders>
              <w:top w:val="nil"/>
              <w:left w:val="nil"/>
              <w:bottom w:val="single" w:sz="4" w:space="0" w:color="auto"/>
              <w:right w:val="nil"/>
            </w:tcBorders>
            <w:shd w:val="clear" w:color="auto" w:fill="auto"/>
            <w:vAlign w:val="center"/>
            <w:hideMark/>
          </w:tcPr>
          <w:p w14:paraId="3E21EE2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6BA5ED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58%</w:t>
            </w:r>
          </w:p>
        </w:tc>
        <w:tc>
          <w:tcPr>
            <w:tcW w:w="1166" w:type="dxa"/>
            <w:tcBorders>
              <w:top w:val="nil"/>
              <w:left w:val="nil"/>
              <w:bottom w:val="single" w:sz="4" w:space="0" w:color="auto"/>
              <w:right w:val="single" w:sz="4" w:space="0" w:color="auto"/>
            </w:tcBorders>
            <w:shd w:val="clear" w:color="auto" w:fill="auto"/>
            <w:vAlign w:val="center"/>
            <w:hideMark/>
          </w:tcPr>
          <w:p w14:paraId="26D5C7B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725C386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42%</w:t>
            </w:r>
          </w:p>
        </w:tc>
        <w:tc>
          <w:tcPr>
            <w:tcW w:w="965" w:type="dxa"/>
            <w:tcBorders>
              <w:top w:val="nil"/>
              <w:left w:val="nil"/>
              <w:bottom w:val="single" w:sz="4" w:space="0" w:color="auto"/>
              <w:right w:val="single" w:sz="4" w:space="0" w:color="auto"/>
            </w:tcBorders>
            <w:shd w:val="clear" w:color="auto" w:fill="auto"/>
            <w:vAlign w:val="center"/>
            <w:hideMark/>
          </w:tcPr>
          <w:p w14:paraId="56ECE81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98F986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4D7C65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4E2018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D60875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3B35919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11E238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C466A5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5ED78A6"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782521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R-421B</w:t>
            </w:r>
          </w:p>
        </w:tc>
        <w:tc>
          <w:tcPr>
            <w:tcW w:w="1170" w:type="dxa"/>
            <w:tcBorders>
              <w:top w:val="nil"/>
              <w:left w:val="nil"/>
              <w:bottom w:val="single" w:sz="4" w:space="0" w:color="auto"/>
              <w:right w:val="nil"/>
            </w:tcBorders>
            <w:shd w:val="clear" w:color="auto" w:fill="auto"/>
            <w:vAlign w:val="center"/>
            <w:hideMark/>
          </w:tcPr>
          <w:p w14:paraId="3D9363D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A6B01A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85%</w:t>
            </w:r>
          </w:p>
        </w:tc>
        <w:tc>
          <w:tcPr>
            <w:tcW w:w="1166" w:type="dxa"/>
            <w:tcBorders>
              <w:top w:val="nil"/>
              <w:left w:val="nil"/>
              <w:bottom w:val="single" w:sz="4" w:space="0" w:color="auto"/>
              <w:right w:val="single" w:sz="4" w:space="0" w:color="auto"/>
            </w:tcBorders>
            <w:shd w:val="clear" w:color="auto" w:fill="auto"/>
            <w:vAlign w:val="center"/>
            <w:hideMark/>
          </w:tcPr>
          <w:p w14:paraId="562A705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352517F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w:t>
            </w:r>
          </w:p>
        </w:tc>
        <w:tc>
          <w:tcPr>
            <w:tcW w:w="965" w:type="dxa"/>
            <w:tcBorders>
              <w:top w:val="nil"/>
              <w:left w:val="nil"/>
              <w:bottom w:val="single" w:sz="4" w:space="0" w:color="auto"/>
              <w:right w:val="single" w:sz="4" w:space="0" w:color="auto"/>
            </w:tcBorders>
            <w:shd w:val="clear" w:color="auto" w:fill="auto"/>
            <w:vAlign w:val="center"/>
            <w:hideMark/>
          </w:tcPr>
          <w:p w14:paraId="6B16494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10733F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C6163A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F39884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D2D56D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0F68800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7040F7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1D2254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AB9FA9A"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23A604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R-422A</w:t>
            </w:r>
          </w:p>
        </w:tc>
        <w:tc>
          <w:tcPr>
            <w:tcW w:w="1170" w:type="dxa"/>
            <w:tcBorders>
              <w:top w:val="nil"/>
              <w:left w:val="nil"/>
              <w:bottom w:val="single" w:sz="4" w:space="0" w:color="auto"/>
              <w:right w:val="nil"/>
            </w:tcBorders>
            <w:shd w:val="clear" w:color="auto" w:fill="auto"/>
            <w:vAlign w:val="center"/>
            <w:hideMark/>
          </w:tcPr>
          <w:p w14:paraId="748D6EA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0DB8A4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3.40%</w:t>
            </w:r>
          </w:p>
        </w:tc>
        <w:tc>
          <w:tcPr>
            <w:tcW w:w="1166" w:type="dxa"/>
            <w:tcBorders>
              <w:top w:val="nil"/>
              <w:left w:val="nil"/>
              <w:bottom w:val="single" w:sz="4" w:space="0" w:color="auto"/>
              <w:right w:val="single" w:sz="4" w:space="0" w:color="auto"/>
            </w:tcBorders>
            <w:shd w:val="clear" w:color="auto" w:fill="auto"/>
            <w:vAlign w:val="center"/>
            <w:hideMark/>
          </w:tcPr>
          <w:p w14:paraId="3153F4C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7CE3027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85.10%</w:t>
            </w:r>
          </w:p>
        </w:tc>
        <w:tc>
          <w:tcPr>
            <w:tcW w:w="965" w:type="dxa"/>
            <w:tcBorders>
              <w:top w:val="nil"/>
              <w:left w:val="nil"/>
              <w:bottom w:val="single" w:sz="4" w:space="0" w:color="auto"/>
              <w:right w:val="single" w:sz="4" w:space="0" w:color="auto"/>
            </w:tcBorders>
            <w:shd w:val="clear" w:color="auto" w:fill="auto"/>
            <w:vAlign w:val="center"/>
            <w:hideMark/>
          </w:tcPr>
          <w:p w14:paraId="2BE2463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2AD058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11.5%</w:t>
            </w:r>
          </w:p>
        </w:tc>
        <w:tc>
          <w:tcPr>
            <w:tcW w:w="960" w:type="dxa"/>
            <w:tcBorders>
              <w:top w:val="nil"/>
              <w:left w:val="nil"/>
              <w:bottom w:val="single" w:sz="4" w:space="0" w:color="auto"/>
              <w:right w:val="single" w:sz="4" w:space="0" w:color="auto"/>
            </w:tcBorders>
            <w:shd w:val="clear" w:color="auto" w:fill="auto"/>
            <w:vAlign w:val="center"/>
            <w:hideMark/>
          </w:tcPr>
          <w:p w14:paraId="62B8BE9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4747E7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423C23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ADE99E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8C368F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B9FC0F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513634A3"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BCFB4F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R-422B</w:t>
            </w:r>
          </w:p>
        </w:tc>
        <w:tc>
          <w:tcPr>
            <w:tcW w:w="1170" w:type="dxa"/>
            <w:tcBorders>
              <w:top w:val="nil"/>
              <w:left w:val="nil"/>
              <w:bottom w:val="single" w:sz="4" w:space="0" w:color="auto"/>
              <w:right w:val="nil"/>
            </w:tcBorders>
            <w:shd w:val="clear" w:color="auto" w:fill="auto"/>
            <w:vAlign w:val="center"/>
            <w:hideMark/>
          </w:tcPr>
          <w:p w14:paraId="1A5F665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8E4F69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w:t>
            </w:r>
          </w:p>
        </w:tc>
        <w:tc>
          <w:tcPr>
            <w:tcW w:w="1166" w:type="dxa"/>
            <w:tcBorders>
              <w:top w:val="nil"/>
              <w:left w:val="nil"/>
              <w:bottom w:val="single" w:sz="4" w:space="0" w:color="auto"/>
              <w:right w:val="single" w:sz="4" w:space="0" w:color="auto"/>
            </w:tcBorders>
            <w:shd w:val="clear" w:color="auto" w:fill="auto"/>
            <w:vAlign w:val="center"/>
            <w:hideMark/>
          </w:tcPr>
          <w:p w14:paraId="62D4A51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12CD6F7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55%</w:t>
            </w:r>
          </w:p>
        </w:tc>
        <w:tc>
          <w:tcPr>
            <w:tcW w:w="965" w:type="dxa"/>
            <w:tcBorders>
              <w:top w:val="nil"/>
              <w:left w:val="nil"/>
              <w:bottom w:val="single" w:sz="4" w:space="0" w:color="auto"/>
              <w:right w:val="single" w:sz="4" w:space="0" w:color="auto"/>
            </w:tcBorders>
            <w:shd w:val="clear" w:color="auto" w:fill="auto"/>
            <w:vAlign w:val="center"/>
            <w:hideMark/>
          </w:tcPr>
          <w:p w14:paraId="6E391BF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FF2AB5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42%</w:t>
            </w:r>
          </w:p>
        </w:tc>
        <w:tc>
          <w:tcPr>
            <w:tcW w:w="960" w:type="dxa"/>
            <w:tcBorders>
              <w:top w:val="nil"/>
              <w:left w:val="nil"/>
              <w:bottom w:val="single" w:sz="4" w:space="0" w:color="auto"/>
              <w:right w:val="single" w:sz="4" w:space="0" w:color="auto"/>
            </w:tcBorders>
            <w:shd w:val="clear" w:color="auto" w:fill="auto"/>
            <w:vAlign w:val="center"/>
            <w:hideMark/>
          </w:tcPr>
          <w:p w14:paraId="3BA530D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B50172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A94111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D60CA3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539990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DB0C30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EE136B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78E364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R-422C</w:t>
            </w:r>
          </w:p>
        </w:tc>
        <w:tc>
          <w:tcPr>
            <w:tcW w:w="1170" w:type="dxa"/>
            <w:tcBorders>
              <w:top w:val="nil"/>
              <w:left w:val="nil"/>
              <w:bottom w:val="single" w:sz="4" w:space="0" w:color="auto"/>
              <w:right w:val="nil"/>
            </w:tcBorders>
            <w:shd w:val="clear" w:color="auto" w:fill="auto"/>
            <w:vAlign w:val="center"/>
            <w:hideMark/>
          </w:tcPr>
          <w:p w14:paraId="15C5B65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CF1BC7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w:t>
            </w:r>
          </w:p>
        </w:tc>
        <w:tc>
          <w:tcPr>
            <w:tcW w:w="1166" w:type="dxa"/>
            <w:tcBorders>
              <w:top w:val="nil"/>
              <w:left w:val="nil"/>
              <w:bottom w:val="single" w:sz="4" w:space="0" w:color="auto"/>
              <w:right w:val="single" w:sz="4" w:space="0" w:color="auto"/>
            </w:tcBorders>
            <w:shd w:val="clear" w:color="auto" w:fill="auto"/>
            <w:vAlign w:val="center"/>
            <w:hideMark/>
          </w:tcPr>
          <w:p w14:paraId="40D8014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39B6487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82%</w:t>
            </w:r>
          </w:p>
        </w:tc>
        <w:tc>
          <w:tcPr>
            <w:tcW w:w="965" w:type="dxa"/>
            <w:tcBorders>
              <w:top w:val="nil"/>
              <w:left w:val="nil"/>
              <w:bottom w:val="single" w:sz="4" w:space="0" w:color="auto"/>
              <w:right w:val="single" w:sz="4" w:space="0" w:color="auto"/>
            </w:tcBorders>
            <w:shd w:val="clear" w:color="auto" w:fill="auto"/>
            <w:vAlign w:val="center"/>
            <w:hideMark/>
          </w:tcPr>
          <w:p w14:paraId="21074CE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01F33C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w:t>
            </w:r>
          </w:p>
        </w:tc>
        <w:tc>
          <w:tcPr>
            <w:tcW w:w="960" w:type="dxa"/>
            <w:tcBorders>
              <w:top w:val="nil"/>
              <w:left w:val="nil"/>
              <w:bottom w:val="single" w:sz="4" w:space="0" w:color="auto"/>
              <w:right w:val="single" w:sz="4" w:space="0" w:color="auto"/>
            </w:tcBorders>
            <w:shd w:val="clear" w:color="auto" w:fill="auto"/>
            <w:vAlign w:val="center"/>
            <w:hideMark/>
          </w:tcPr>
          <w:p w14:paraId="38125A0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3144DE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CFD79D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1337648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F175BF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E2FE7E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5A89016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0FD704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R-422D</w:t>
            </w:r>
          </w:p>
        </w:tc>
        <w:tc>
          <w:tcPr>
            <w:tcW w:w="1170" w:type="dxa"/>
            <w:tcBorders>
              <w:top w:val="nil"/>
              <w:left w:val="nil"/>
              <w:bottom w:val="single" w:sz="4" w:space="0" w:color="auto"/>
              <w:right w:val="nil"/>
            </w:tcBorders>
            <w:shd w:val="clear" w:color="auto" w:fill="auto"/>
            <w:vAlign w:val="center"/>
            <w:hideMark/>
          </w:tcPr>
          <w:p w14:paraId="55C97DE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DEF070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3.40%</w:t>
            </w:r>
          </w:p>
        </w:tc>
        <w:tc>
          <w:tcPr>
            <w:tcW w:w="1166" w:type="dxa"/>
            <w:tcBorders>
              <w:top w:val="nil"/>
              <w:left w:val="nil"/>
              <w:bottom w:val="single" w:sz="4" w:space="0" w:color="auto"/>
              <w:right w:val="single" w:sz="4" w:space="0" w:color="auto"/>
            </w:tcBorders>
            <w:shd w:val="clear" w:color="auto" w:fill="auto"/>
            <w:vAlign w:val="center"/>
            <w:hideMark/>
          </w:tcPr>
          <w:p w14:paraId="45ECFBF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2F8B38E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65.10%</w:t>
            </w:r>
          </w:p>
        </w:tc>
        <w:tc>
          <w:tcPr>
            <w:tcW w:w="965" w:type="dxa"/>
            <w:tcBorders>
              <w:top w:val="nil"/>
              <w:left w:val="nil"/>
              <w:bottom w:val="single" w:sz="4" w:space="0" w:color="auto"/>
              <w:right w:val="single" w:sz="4" w:space="0" w:color="auto"/>
            </w:tcBorders>
            <w:shd w:val="clear" w:color="auto" w:fill="auto"/>
            <w:vAlign w:val="center"/>
            <w:hideMark/>
          </w:tcPr>
          <w:p w14:paraId="0B13C22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00C14C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31.5%</w:t>
            </w:r>
          </w:p>
        </w:tc>
        <w:tc>
          <w:tcPr>
            <w:tcW w:w="960" w:type="dxa"/>
            <w:tcBorders>
              <w:top w:val="nil"/>
              <w:left w:val="nil"/>
              <w:bottom w:val="single" w:sz="4" w:space="0" w:color="auto"/>
              <w:right w:val="single" w:sz="4" w:space="0" w:color="auto"/>
            </w:tcBorders>
            <w:shd w:val="clear" w:color="auto" w:fill="auto"/>
            <w:vAlign w:val="center"/>
            <w:hideMark/>
          </w:tcPr>
          <w:p w14:paraId="3A86027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21A5A5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80888C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A743DF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687925D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AAE449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2F4EE6D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507DC5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R-422E</w:t>
            </w:r>
          </w:p>
        </w:tc>
        <w:tc>
          <w:tcPr>
            <w:tcW w:w="1170" w:type="dxa"/>
            <w:tcBorders>
              <w:top w:val="nil"/>
              <w:left w:val="nil"/>
              <w:bottom w:val="single" w:sz="4" w:space="0" w:color="auto"/>
              <w:right w:val="nil"/>
            </w:tcBorders>
            <w:shd w:val="clear" w:color="auto" w:fill="auto"/>
            <w:vAlign w:val="center"/>
            <w:hideMark/>
          </w:tcPr>
          <w:p w14:paraId="299D664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66975C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2.70%</w:t>
            </w:r>
          </w:p>
        </w:tc>
        <w:tc>
          <w:tcPr>
            <w:tcW w:w="1166" w:type="dxa"/>
            <w:tcBorders>
              <w:top w:val="nil"/>
              <w:left w:val="nil"/>
              <w:bottom w:val="single" w:sz="4" w:space="0" w:color="auto"/>
              <w:right w:val="single" w:sz="4" w:space="0" w:color="auto"/>
            </w:tcBorders>
            <w:shd w:val="clear" w:color="auto" w:fill="auto"/>
            <w:vAlign w:val="center"/>
            <w:hideMark/>
          </w:tcPr>
          <w:p w14:paraId="66D73D4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6A5700F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58%</w:t>
            </w:r>
          </w:p>
        </w:tc>
        <w:tc>
          <w:tcPr>
            <w:tcW w:w="965" w:type="dxa"/>
            <w:tcBorders>
              <w:top w:val="nil"/>
              <w:left w:val="nil"/>
              <w:bottom w:val="single" w:sz="4" w:space="0" w:color="auto"/>
              <w:right w:val="single" w:sz="4" w:space="0" w:color="auto"/>
            </w:tcBorders>
            <w:shd w:val="clear" w:color="auto" w:fill="auto"/>
            <w:vAlign w:val="center"/>
            <w:hideMark/>
          </w:tcPr>
          <w:p w14:paraId="26CE0A8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977D43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39.3%</w:t>
            </w:r>
          </w:p>
        </w:tc>
        <w:tc>
          <w:tcPr>
            <w:tcW w:w="960" w:type="dxa"/>
            <w:tcBorders>
              <w:top w:val="nil"/>
              <w:left w:val="nil"/>
              <w:bottom w:val="single" w:sz="4" w:space="0" w:color="auto"/>
              <w:right w:val="single" w:sz="4" w:space="0" w:color="auto"/>
            </w:tcBorders>
            <w:shd w:val="clear" w:color="auto" w:fill="auto"/>
            <w:vAlign w:val="center"/>
            <w:hideMark/>
          </w:tcPr>
          <w:p w14:paraId="1514E14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D141DF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7CE622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398285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F5077F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D16D0A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45BDF84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0FB8A7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R-423A</w:t>
            </w:r>
          </w:p>
        </w:tc>
        <w:tc>
          <w:tcPr>
            <w:tcW w:w="1170" w:type="dxa"/>
            <w:tcBorders>
              <w:top w:val="nil"/>
              <w:left w:val="nil"/>
              <w:bottom w:val="single" w:sz="4" w:space="0" w:color="auto"/>
              <w:right w:val="nil"/>
            </w:tcBorders>
            <w:shd w:val="clear" w:color="auto" w:fill="auto"/>
            <w:vAlign w:val="center"/>
            <w:hideMark/>
          </w:tcPr>
          <w:p w14:paraId="4CFC03C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2A79A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52.50%</w:t>
            </w:r>
          </w:p>
        </w:tc>
        <w:tc>
          <w:tcPr>
            <w:tcW w:w="1166" w:type="dxa"/>
            <w:tcBorders>
              <w:top w:val="nil"/>
              <w:left w:val="nil"/>
              <w:bottom w:val="single" w:sz="4" w:space="0" w:color="auto"/>
              <w:right w:val="single" w:sz="4" w:space="0" w:color="auto"/>
            </w:tcBorders>
            <w:shd w:val="clear" w:color="auto" w:fill="auto"/>
            <w:vAlign w:val="center"/>
            <w:hideMark/>
          </w:tcPr>
          <w:p w14:paraId="278A117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HFC-227ea</w:t>
            </w:r>
          </w:p>
        </w:tc>
        <w:tc>
          <w:tcPr>
            <w:tcW w:w="820" w:type="dxa"/>
            <w:tcBorders>
              <w:top w:val="nil"/>
              <w:left w:val="nil"/>
              <w:bottom w:val="single" w:sz="4" w:space="0" w:color="auto"/>
              <w:right w:val="single" w:sz="4" w:space="0" w:color="auto"/>
            </w:tcBorders>
            <w:shd w:val="clear" w:color="auto" w:fill="auto"/>
            <w:vAlign w:val="center"/>
            <w:hideMark/>
          </w:tcPr>
          <w:p w14:paraId="76CC468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47.50%</w:t>
            </w:r>
          </w:p>
        </w:tc>
        <w:tc>
          <w:tcPr>
            <w:tcW w:w="965" w:type="dxa"/>
            <w:tcBorders>
              <w:top w:val="nil"/>
              <w:left w:val="nil"/>
              <w:bottom w:val="single" w:sz="4" w:space="0" w:color="auto"/>
              <w:right w:val="single" w:sz="4" w:space="0" w:color="auto"/>
            </w:tcBorders>
            <w:shd w:val="clear" w:color="auto" w:fill="auto"/>
            <w:vAlign w:val="center"/>
            <w:hideMark/>
          </w:tcPr>
          <w:p w14:paraId="15B9F25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993036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7F602F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3DCD6A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A23E0D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D74A07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E3C0C4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0AF077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52A854A"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3EAC7C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R-424A</w:t>
            </w:r>
          </w:p>
        </w:tc>
        <w:tc>
          <w:tcPr>
            <w:tcW w:w="1170" w:type="dxa"/>
            <w:tcBorders>
              <w:top w:val="nil"/>
              <w:left w:val="nil"/>
              <w:bottom w:val="single" w:sz="4" w:space="0" w:color="auto"/>
              <w:right w:val="nil"/>
            </w:tcBorders>
            <w:shd w:val="clear" w:color="auto" w:fill="auto"/>
            <w:vAlign w:val="center"/>
            <w:hideMark/>
          </w:tcPr>
          <w:p w14:paraId="00FE430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55D5BE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w:t>
            </w:r>
          </w:p>
        </w:tc>
        <w:tc>
          <w:tcPr>
            <w:tcW w:w="1166" w:type="dxa"/>
            <w:tcBorders>
              <w:top w:val="nil"/>
              <w:left w:val="nil"/>
              <w:bottom w:val="single" w:sz="4" w:space="0" w:color="auto"/>
              <w:right w:val="single" w:sz="4" w:space="0" w:color="auto"/>
            </w:tcBorders>
            <w:shd w:val="clear" w:color="auto" w:fill="auto"/>
            <w:vAlign w:val="center"/>
            <w:hideMark/>
          </w:tcPr>
          <w:p w14:paraId="599C4F6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820" w:type="dxa"/>
            <w:tcBorders>
              <w:top w:val="nil"/>
              <w:left w:val="nil"/>
              <w:bottom w:val="single" w:sz="4" w:space="0" w:color="auto"/>
              <w:right w:val="single" w:sz="4" w:space="0" w:color="auto"/>
            </w:tcBorders>
            <w:shd w:val="clear" w:color="auto" w:fill="auto"/>
            <w:vAlign w:val="center"/>
            <w:hideMark/>
          </w:tcPr>
          <w:p w14:paraId="5C9F835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0.90%</w:t>
            </w:r>
          </w:p>
        </w:tc>
        <w:tc>
          <w:tcPr>
            <w:tcW w:w="965" w:type="dxa"/>
            <w:tcBorders>
              <w:top w:val="nil"/>
              <w:left w:val="nil"/>
              <w:bottom w:val="single" w:sz="4" w:space="0" w:color="auto"/>
              <w:right w:val="single" w:sz="4" w:space="0" w:color="auto"/>
            </w:tcBorders>
            <w:shd w:val="clear" w:color="auto" w:fill="auto"/>
            <w:vAlign w:val="center"/>
            <w:hideMark/>
          </w:tcPr>
          <w:p w14:paraId="6E7D888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HC-601a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0EA7AA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0.6%</w:t>
            </w:r>
          </w:p>
        </w:tc>
        <w:tc>
          <w:tcPr>
            <w:tcW w:w="960" w:type="dxa"/>
            <w:tcBorders>
              <w:top w:val="nil"/>
              <w:left w:val="nil"/>
              <w:bottom w:val="single" w:sz="4" w:space="0" w:color="auto"/>
              <w:right w:val="single" w:sz="4" w:space="0" w:color="auto"/>
            </w:tcBorders>
            <w:shd w:val="clear" w:color="auto" w:fill="auto"/>
            <w:vAlign w:val="center"/>
            <w:hideMark/>
          </w:tcPr>
          <w:p w14:paraId="1E71398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8B7F0F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50.5%</w:t>
            </w:r>
          </w:p>
        </w:tc>
        <w:tc>
          <w:tcPr>
            <w:tcW w:w="960" w:type="dxa"/>
            <w:tcBorders>
              <w:top w:val="nil"/>
              <w:left w:val="nil"/>
              <w:bottom w:val="single" w:sz="4" w:space="0" w:color="auto"/>
              <w:right w:val="single" w:sz="4" w:space="0" w:color="auto"/>
            </w:tcBorders>
            <w:shd w:val="clear" w:color="auto" w:fill="auto"/>
            <w:vAlign w:val="center"/>
            <w:hideMark/>
          </w:tcPr>
          <w:p w14:paraId="43A40B2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597" w:type="dxa"/>
            <w:tcBorders>
              <w:top w:val="nil"/>
              <w:left w:val="nil"/>
              <w:bottom w:val="single" w:sz="4" w:space="0" w:color="auto"/>
              <w:right w:val="single" w:sz="4" w:space="0" w:color="auto"/>
            </w:tcBorders>
            <w:shd w:val="clear" w:color="auto" w:fill="auto"/>
            <w:vAlign w:val="center"/>
            <w:hideMark/>
          </w:tcPr>
          <w:p w14:paraId="074D6FE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47%</w:t>
            </w:r>
          </w:p>
        </w:tc>
        <w:tc>
          <w:tcPr>
            <w:tcW w:w="706" w:type="dxa"/>
            <w:tcBorders>
              <w:top w:val="nil"/>
              <w:left w:val="nil"/>
              <w:bottom w:val="single" w:sz="4" w:space="0" w:color="auto"/>
              <w:right w:val="single" w:sz="4" w:space="0" w:color="auto"/>
            </w:tcBorders>
            <w:shd w:val="clear" w:color="auto" w:fill="auto"/>
            <w:vAlign w:val="center"/>
            <w:hideMark/>
          </w:tcPr>
          <w:p w14:paraId="40CBA1E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F0DF2D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B494D0A"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B48378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R-425A</w:t>
            </w:r>
          </w:p>
        </w:tc>
        <w:tc>
          <w:tcPr>
            <w:tcW w:w="1170" w:type="dxa"/>
            <w:tcBorders>
              <w:top w:val="nil"/>
              <w:left w:val="nil"/>
              <w:bottom w:val="single" w:sz="4" w:space="0" w:color="auto"/>
              <w:right w:val="nil"/>
            </w:tcBorders>
            <w:shd w:val="clear" w:color="auto" w:fill="auto"/>
            <w:vAlign w:val="center"/>
            <w:hideMark/>
          </w:tcPr>
          <w:p w14:paraId="5C87397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AB47AF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69.50%</w:t>
            </w:r>
          </w:p>
        </w:tc>
        <w:tc>
          <w:tcPr>
            <w:tcW w:w="1166" w:type="dxa"/>
            <w:tcBorders>
              <w:top w:val="nil"/>
              <w:left w:val="nil"/>
              <w:bottom w:val="single" w:sz="4" w:space="0" w:color="auto"/>
              <w:right w:val="single" w:sz="4" w:space="0" w:color="auto"/>
            </w:tcBorders>
            <w:shd w:val="clear" w:color="auto" w:fill="auto"/>
            <w:vAlign w:val="center"/>
            <w:hideMark/>
          </w:tcPr>
          <w:p w14:paraId="08DF70A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HFC-227ea</w:t>
            </w:r>
          </w:p>
        </w:tc>
        <w:tc>
          <w:tcPr>
            <w:tcW w:w="820" w:type="dxa"/>
            <w:tcBorders>
              <w:top w:val="nil"/>
              <w:left w:val="nil"/>
              <w:bottom w:val="single" w:sz="4" w:space="0" w:color="auto"/>
              <w:right w:val="single" w:sz="4" w:space="0" w:color="auto"/>
            </w:tcBorders>
            <w:shd w:val="clear" w:color="auto" w:fill="auto"/>
            <w:vAlign w:val="center"/>
            <w:hideMark/>
          </w:tcPr>
          <w:p w14:paraId="7EF0FB8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12%</w:t>
            </w:r>
          </w:p>
        </w:tc>
        <w:tc>
          <w:tcPr>
            <w:tcW w:w="965" w:type="dxa"/>
            <w:tcBorders>
              <w:top w:val="nil"/>
              <w:left w:val="nil"/>
              <w:bottom w:val="single" w:sz="4" w:space="0" w:color="auto"/>
              <w:right w:val="single" w:sz="4" w:space="0" w:color="auto"/>
            </w:tcBorders>
            <w:shd w:val="clear" w:color="auto" w:fill="auto"/>
            <w:vAlign w:val="center"/>
            <w:hideMark/>
          </w:tcPr>
          <w:p w14:paraId="7DEF1DF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95EAE7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18.5%</w:t>
            </w:r>
          </w:p>
        </w:tc>
        <w:tc>
          <w:tcPr>
            <w:tcW w:w="960" w:type="dxa"/>
            <w:tcBorders>
              <w:top w:val="nil"/>
              <w:left w:val="nil"/>
              <w:bottom w:val="single" w:sz="4" w:space="0" w:color="auto"/>
              <w:right w:val="single" w:sz="4" w:space="0" w:color="auto"/>
            </w:tcBorders>
            <w:shd w:val="clear" w:color="auto" w:fill="auto"/>
            <w:vAlign w:val="center"/>
            <w:hideMark/>
          </w:tcPr>
          <w:p w14:paraId="20578AD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976D0E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E39ADA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5C790D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40BA82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E3D935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47D6CE2"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61D3E7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R-426A</w:t>
            </w:r>
          </w:p>
        </w:tc>
        <w:tc>
          <w:tcPr>
            <w:tcW w:w="1170" w:type="dxa"/>
            <w:tcBorders>
              <w:top w:val="nil"/>
              <w:left w:val="nil"/>
              <w:bottom w:val="single" w:sz="4" w:space="0" w:color="auto"/>
              <w:right w:val="nil"/>
            </w:tcBorders>
            <w:shd w:val="clear" w:color="auto" w:fill="auto"/>
            <w:vAlign w:val="center"/>
            <w:hideMark/>
          </w:tcPr>
          <w:p w14:paraId="2AF2402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A94321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1.30%</w:t>
            </w:r>
          </w:p>
        </w:tc>
        <w:tc>
          <w:tcPr>
            <w:tcW w:w="1166" w:type="dxa"/>
            <w:tcBorders>
              <w:top w:val="nil"/>
              <w:left w:val="nil"/>
              <w:bottom w:val="single" w:sz="4" w:space="0" w:color="auto"/>
              <w:right w:val="single" w:sz="4" w:space="0" w:color="auto"/>
            </w:tcBorders>
            <w:shd w:val="clear" w:color="auto" w:fill="auto"/>
            <w:vAlign w:val="center"/>
            <w:hideMark/>
          </w:tcPr>
          <w:p w14:paraId="1251B9D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HC-601a</w:t>
            </w:r>
          </w:p>
        </w:tc>
        <w:tc>
          <w:tcPr>
            <w:tcW w:w="820" w:type="dxa"/>
            <w:tcBorders>
              <w:top w:val="nil"/>
              <w:left w:val="nil"/>
              <w:bottom w:val="single" w:sz="4" w:space="0" w:color="auto"/>
              <w:right w:val="single" w:sz="4" w:space="0" w:color="auto"/>
            </w:tcBorders>
            <w:shd w:val="clear" w:color="auto" w:fill="auto"/>
            <w:vAlign w:val="center"/>
            <w:hideMark/>
          </w:tcPr>
          <w:p w14:paraId="6452B2F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0.60%</w:t>
            </w:r>
          </w:p>
        </w:tc>
        <w:tc>
          <w:tcPr>
            <w:tcW w:w="965" w:type="dxa"/>
            <w:tcBorders>
              <w:top w:val="nil"/>
              <w:left w:val="nil"/>
              <w:bottom w:val="single" w:sz="4" w:space="0" w:color="auto"/>
              <w:right w:val="single" w:sz="4" w:space="0" w:color="auto"/>
            </w:tcBorders>
            <w:shd w:val="clear" w:color="auto" w:fill="auto"/>
            <w:vAlign w:val="center"/>
            <w:hideMark/>
          </w:tcPr>
          <w:p w14:paraId="53A8630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DEAFCD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5.10%</w:t>
            </w:r>
          </w:p>
        </w:tc>
        <w:tc>
          <w:tcPr>
            <w:tcW w:w="960" w:type="dxa"/>
            <w:tcBorders>
              <w:top w:val="nil"/>
              <w:left w:val="nil"/>
              <w:bottom w:val="single" w:sz="4" w:space="0" w:color="auto"/>
              <w:right w:val="single" w:sz="4" w:space="0" w:color="auto"/>
            </w:tcBorders>
            <w:shd w:val="clear" w:color="auto" w:fill="auto"/>
            <w:vAlign w:val="center"/>
            <w:hideMark/>
          </w:tcPr>
          <w:p w14:paraId="3AF1EDD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E3F0E9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93%</w:t>
            </w:r>
          </w:p>
        </w:tc>
        <w:tc>
          <w:tcPr>
            <w:tcW w:w="960" w:type="dxa"/>
            <w:tcBorders>
              <w:top w:val="nil"/>
              <w:left w:val="nil"/>
              <w:bottom w:val="single" w:sz="4" w:space="0" w:color="auto"/>
              <w:right w:val="single" w:sz="4" w:space="0" w:color="auto"/>
            </w:tcBorders>
            <w:shd w:val="clear" w:color="auto" w:fill="auto"/>
            <w:vAlign w:val="center"/>
            <w:hideMark/>
          </w:tcPr>
          <w:p w14:paraId="041F0EB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36838EB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7006EA5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4588F4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2C2078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AC70EF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R-427A</w:t>
            </w:r>
          </w:p>
        </w:tc>
        <w:tc>
          <w:tcPr>
            <w:tcW w:w="1170" w:type="dxa"/>
            <w:tcBorders>
              <w:top w:val="nil"/>
              <w:left w:val="nil"/>
              <w:bottom w:val="single" w:sz="4" w:space="0" w:color="auto"/>
              <w:right w:val="nil"/>
            </w:tcBorders>
            <w:shd w:val="clear" w:color="auto" w:fill="auto"/>
            <w:vAlign w:val="center"/>
            <w:hideMark/>
          </w:tcPr>
          <w:p w14:paraId="0196E78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53D54A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6CE4608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10572D2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50%</w:t>
            </w:r>
          </w:p>
        </w:tc>
        <w:tc>
          <w:tcPr>
            <w:tcW w:w="965" w:type="dxa"/>
            <w:tcBorders>
              <w:top w:val="nil"/>
              <w:left w:val="nil"/>
              <w:bottom w:val="single" w:sz="4" w:space="0" w:color="auto"/>
              <w:right w:val="single" w:sz="4" w:space="0" w:color="auto"/>
            </w:tcBorders>
            <w:shd w:val="clear" w:color="auto" w:fill="auto"/>
            <w:vAlign w:val="center"/>
            <w:hideMark/>
          </w:tcPr>
          <w:p w14:paraId="7B6C5C8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HFC-143a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72690B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10%</w:t>
            </w:r>
          </w:p>
        </w:tc>
        <w:tc>
          <w:tcPr>
            <w:tcW w:w="960" w:type="dxa"/>
            <w:tcBorders>
              <w:top w:val="nil"/>
              <w:left w:val="nil"/>
              <w:bottom w:val="single" w:sz="4" w:space="0" w:color="auto"/>
              <w:right w:val="single" w:sz="4" w:space="0" w:color="auto"/>
            </w:tcBorders>
            <w:shd w:val="clear" w:color="auto" w:fill="auto"/>
            <w:vAlign w:val="center"/>
            <w:hideMark/>
          </w:tcPr>
          <w:p w14:paraId="6D89B4A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6E39EF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w:t>
            </w:r>
          </w:p>
        </w:tc>
        <w:tc>
          <w:tcPr>
            <w:tcW w:w="960" w:type="dxa"/>
            <w:tcBorders>
              <w:top w:val="nil"/>
              <w:left w:val="nil"/>
              <w:bottom w:val="single" w:sz="4" w:space="0" w:color="auto"/>
              <w:right w:val="single" w:sz="4" w:space="0" w:color="auto"/>
            </w:tcBorders>
            <w:shd w:val="clear" w:color="auto" w:fill="auto"/>
            <w:vAlign w:val="center"/>
            <w:hideMark/>
          </w:tcPr>
          <w:p w14:paraId="75573EB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2F0E583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45AE62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E3C84D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2402552"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8A869F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R-428A</w:t>
            </w:r>
          </w:p>
        </w:tc>
        <w:tc>
          <w:tcPr>
            <w:tcW w:w="1170" w:type="dxa"/>
            <w:tcBorders>
              <w:top w:val="nil"/>
              <w:left w:val="nil"/>
              <w:bottom w:val="single" w:sz="4" w:space="0" w:color="auto"/>
              <w:right w:val="nil"/>
            </w:tcBorders>
            <w:shd w:val="clear" w:color="auto" w:fill="auto"/>
            <w:vAlign w:val="center"/>
            <w:hideMark/>
          </w:tcPr>
          <w:p w14:paraId="4FF5F5F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9EA827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0.60%</w:t>
            </w:r>
          </w:p>
        </w:tc>
        <w:tc>
          <w:tcPr>
            <w:tcW w:w="1166" w:type="dxa"/>
            <w:tcBorders>
              <w:top w:val="nil"/>
              <w:left w:val="nil"/>
              <w:bottom w:val="single" w:sz="4" w:space="0" w:color="auto"/>
              <w:right w:val="single" w:sz="4" w:space="0" w:color="auto"/>
            </w:tcBorders>
            <w:shd w:val="clear" w:color="auto" w:fill="auto"/>
            <w:vAlign w:val="center"/>
            <w:hideMark/>
          </w:tcPr>
          <w:p w14:paraId="249ADDE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820" w:type="dxa"/>
            <w:tcBorders>
              <w:top w:val="nil"/>
              <w:left w:val="nil"/>
              <w:bottom w:val="single" w:sz="4" w:space="0" w:color="auto"/>
              <w:right w:val="single" w:sz="4" w:space="0" w:color="auto"/>
            </w:tcBorders>
            <w:shd w:val="clear" w:color="auto" w:fill="auto"/>
            <w:vAlign w:val="center"/>
            <w:hideMark/>
          </w:tcPr>
          <w:p w14:paraId="643EB66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1.90%</w:t>
            </w:r>
          </w:p>
        </w:tc>
        <w:tc>
          <w:tcPr>
            <w:tcW w:w="965" w:type="dxa"/>
            <w:tcBorders>
              <w:top w:val="nil"/>
              <w:left w:val="nil"/>
              <w:bottom w:val="single" w:sz="4" w:space="0" w:color="auto"/>
              <w:right w:val="single" w:sz="4" w:space="0" w:color="auto"/>
            </w:tcBorders>
            <w:shd w:val="clear" w:color="auto" w:fill="auto"/>
            <w:vAlign w:val="center"/>
            <w:hideMark/>
          </w:tcPr>
          <w:p w14:paraId="54E7CFE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C1FA5E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77.5%</w:t>
            </w:r>
          </w:p>
        </w:tc>
        <w:tc>
          <w:tcPr>
            <w:tcW w:w="960" w:type="dxa"/>
            <w:tcBorders>
              <w:top w:val="nil"/>
              <w:left w:val="nil"/>
              <w:bottom w:val="single" w:sz="4" w:space="0" w:color="auto"/>
              <w:right w:val="single" w:sz="4" w:space="0" w:color="auto"/>
            </w:tcBorders>
            <w:shd w:val="clear" w:color="auto" w:fill="auto"/>
            <w:vAlign w:val="center"/>
            <w:hideMark/>
          </w:tcPr>
          <w:p w14:paraId="452BCE8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HFC-143a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C9FF64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20%</w:t>
            </w:r>
          </w:p>
        </w:tc>
        <w:tc>
          <w:tcPr>
            <w:tcW w:w="960" w:type="dxa"/>
            <w:tcBorders>
              <w:top w:val="nil"/>
              <w:left w:val="nil"/>
              <w:bottom w:val="single" w:sz="4" w:space="0" w:color="auto"/>
              <w:right w:val="single" w:sz="4" w:space="0" w:color="auto"/>
            </w:tcBorders>
            <w:shd w:val="clear" w:color="auto" w:fill="auto"/>
            <w:vAlign w:val="center"/>
            <w:hideMark/>
          </w:tcPr>
          <w:p w14:paraId="5FB8C43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E4C161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7F885B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42D8B2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55A1FC2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1E47FA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R-429A</w:t>
            </w:r>
          </w:p>
        </w:tc>
        <w:tc>
          <w:tcPr>
            <w:tcW w:w="1170" w:type="dxa"/>
            <w:tcBorders>
              <w:top w:val="nil"/>
              <w:left w:val="nil"/>
              <w:bottom w:val="single" w:sz="4" w:space="0" w:color="auto"/>
              <w:right w:val="nil"/>
            </w:tcBorders>
            <w:shd w:val="clear" w:color="auto" w:fill="auto"/>
            <w:vAlign w:val="center"/>
            <w:hideMark/>
          </w:tcPr>
          <w:p w14:paraId="7601DA5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0234AE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30%</w:t>
            </w:r>
          </w:p>
        </w:tc>
        <w:tc>
          <w:tcPr>
            <w:tcW w:w="1166" w:type="dxa"/>
            <w:tcBorders>
              <w:top w:val="nil"/>
              <w:left w:val="nil"/>
              <w:bottom w:val="single" w:sz="4" w:space="0" w:color="auto"/>
              <w:right w:val="single" w:sz="4" w:space="0" w:color="auto"/>
            </w:tcBorders>
            <w:shd w:val="clear" w:color="auto" w:fill="auto"/>
            <w:vAlign w:val="center"/>
            <w:hideMark/>
          </w:tcPr>
          <w:p w14:paraId="24FD320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HCE-170</w:t>
            </w:r>
          </w:p>
        </w:tc>
        <w:tc>
          <w:tcPr>
            <w:tcW w:w="820" w:type="dxa"/>
            <w:tcBorders>
              <w:top w:val="nil"/>
              <w:left w:val="nil"/>
              <w:bottom w:val="single" w:sz="4" w:space="0" w:color="auto"/>
              <w:right w:val="single" w:sz="4" w:space="0" w:color="auto"/>
            </w:tcBorders>
            <w:shd w:val="clear" w:color="auto" w:fill="auto"/>
            <w:vAlign w:val="center"/>
            <w:hideMark/>
          </w:tcPr>
          <w:p w14:paraId="2075BDB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60%</w:t>
            </w:r>
          </w:p>
        </w:tc>
        <w:tc>
          <w:tcPr>
            <w:tcW w:w="965" w:type="dxa"/>
            <w:tcBorders>
              <w:top w:val="nil"/>
              <w:left w:val="nil"/>
              <w:bottom w:val="single" w:sz="4" w:space="0" w:color="auto"/>
              <w:right w:val="single" w:sz="4" w:space="0" w:color="auto"/>
            </w:tcBorders>
            <w:shd w:val="clear" w:color="auto" w:fill="auto"/>
            <w:vAlign w:val="center"/>
            <w:hideMark/>
          </w:tcPr>
          <w:p w14:paraId="5FFB062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C2780E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10%</w:t>
            </w:r>
          </w:p>
        </w:tc>
        <w:tc>
          <w:tcPr>
            <w:tcW w:w="960" w:type="dxa"/>
            <w:tcBorders>
              <w:top w:val="nil"/>
              <w:left w:val="nil"/>
              <w:bottom w:val="single" w:sz="4" w:space="0" w:color="auto"/>
              <w:right w:val="single" w:sz="4" w:space="0" w:color="auto"/>
            </w:tcBorders>
            <w:shd w:val="clear" w:color="auto" w:fill="auto"/>
            <w:vAlign w:val="center"/>
            <w:hideMark/>
          </w:tcPr>
          <w:p w14:paraId="5289C28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9F8013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A529A5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1DF7671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73A269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CE7046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B4B87B6"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253383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R-430A</w:t>
            </w:r>
          </w:p>
        </w:tc>
        <w:tc>
          <w:tcPr>
            <w:tcW w:w="1170" w:type="dxa"/>
            <w:tcBorders>
              <w:top w:val="nil"/>
              <w:left w:val="nil"/>
              <w:bottom w:val="single" w:sz="4" w:space="0" w:color="auto"/>
              <w:right w:val="nil"/>
            </w:tcBorders>
            <w:shd w:val="clear" w:color="auto" w:fill="auto"/>
            <w:vAlign w:val="center"/>
            <w:hideMark/>
          </w:tcPr>
          <w:p w14:paraId="0DA14E5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047DCD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24%</w:t>
            </w:r>
          </w:p>
        </w:tc>
        <w:tc>
          <w:tcPr>
            <w:tcW w:w="1166" w:type="dxa"/>
            <w:tcBorders>
              <w:top w:val="nil"/>
              <w:left w:val="nil"/>
              <w:bottom w:val="single" w:sz="4" w:space="0" w:color="auto"/>
              <w:right w:val="single" w:sz="4" w:space="0" w:color="auto"/>
            </w:tcBorders>
            <w:shd w:val="clear" w:color="auto" w:fill="auto"/>
            <w:vAlign w:val="center"/>
            <w:hideMark/>
          </w:tcPr>
          <w:p w14:paraId="5FF0E20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820" w:type="dxa"/>
            <w:tcBorders>
              <w:top w:val="nil"/>
              <w:left w:val="nil"/>
              <w:bottom w:val="single" w:sz="4" w:space="0" w:color="auto"/>
              <w:right w:val="single" w:sz="4" w:space="0" w:color="auto"/>
            </w:tcBorders>
            <w:shd w:val="clear" w:color="auto" w:fill="auto"/>
            <w:vAlign w:val="center"/>
            <w:hideMark/>
          </w:tcPr>
          <w:p w14:paraId="371BF4E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76%</w:t>
            </w:r>
          </w:p>
        </w:tc>
        <w:tc>
          <w:tcPr>
            <w:tcW w:w="965" w:type="dxa"/>
            <w:tcBorders>
              <w:top w:val="nil"/>
              <w:left w:val="nil"/>
              <w:bottom w:val="single" w:sz="4" w:space="0" w:color="auto"/>
              <w:right w:val="single" w:sz="4" w:space="0" w:color="auto"/>
            </w:tcBorders>
            <w:shd w:val="clear" w:color="auto" w:fill="auto"/>
            <w:vAlign w:val="center"/>
            <w:hideMark/>
          </w:tcPr>
          <w:p w14:paraId="468FC37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449D1B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EFF497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2B37C2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AAFD20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5619C7F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6190BA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9E0ACA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05D27AC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BA2284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R-431A</w:t>
            </w:r>
          </w:p>
        </w:tc>
        <w:tc>
          <w:tcPr>
            <w:tcW w:w="1170" w:type="dxa"/>
            <w:tcBorders>
              <w:top w:val="nil"/>
              <w:left w:val="nil"/>
              <w:bottom w:val="single" w:sz="4" w:space="0" w:color="auto"/>
              <w:right w:val="nil"/>
            </w:tcBorders>
            <w:shd w:val="clear" w:color="auto" w:fill="auto"/>
            <w:vAlign w:val="center"/>
            <w:hideMark/>
          </w:tcPr>
          <w:p w14:paraId="76EF4F5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5C3442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71%</w:t>
            </w:r>
          </w:p>
        </w:tc>
        <w:tc>
          <w:tcPr>
            <w:tcW w:w="1166" w:type="dxa"/>
            <w:tcBorders>
              <w:top w:val="nil"/>
              <w:left w:val="nil"/>
              <w:bottom w:val="single" w:sz="4" w:space="0" w:color="auto"/>
              <w:right w:val="single" w:sz="4" w:space="0" w:color="auto"/>
            </w:tcBorders>
            <w:shd w:val="clear" w:color="auto" w:fill="auto"/>
            <w:vAlign w:val="center"/>
            <w:hideMark/>
          </w:tcPr>
          <w:p w14:paraId="3F1B332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820" w:type="dxa"/>
            <w:tcBorders>
              <w:top w:val="nil"/>
              <w:left w:val="nil"/>
              <w:bottom w:val="single" w:sz="4" w:space="0" w:color="auto"/>
              <w:right w:val="single" w:sz="4" w:space="0" w:color="auto"/>
            </w:tcBorders>
            <w:shd w:val="clear" w:color="auto" w:fill="auto"/>
            <w:vAlign w:val="center"/>
            <w:hideMark/>
          </w:tcPr>
          <w:p w14:paraId="11868A4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29%</w:t>
            </w:r>
          </w:p>
        </w:tc>
        <w:tc>
          <w:tcPr>
            <w:tcW w:w="965" w:type="dxa"/>
            <w:tcBorders>
              <w:top w:val="nil"/>
              <w:left w:val="nil"/>
              <w:bottom w:val="single" w:sz="4" w:space="0" w:color="auto"/>
              <w:right w:val="single" w:sz="4" w:space="0" w:color="auto"/>
            </w:tcBorders>
            <w:shd w:val="clear" w:color="auto" w:fill="auto"/>
            <w:vAlign w:val="center"/>
            <w:hideMark/>
          </w:tcPr>
          <w:p w14:paraId="7174A71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3A94D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96BD4C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8CF326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FCE992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53D5416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73C0CE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5C6C72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0DF4FA6C"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6BD282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lastRenderedPageBreak/>
              <w:t>R-434A</w:t>
            </w:r>
          </w:p>
        </w:tc>
        <w:tc>
          <w:tcPr>
            <w:tcW w:w="1170" w:type="dxa"/>
            <w:tcBorders>
              <w:top w:val="nil"/>
              <w:left w:val="nil"/>
              <w:bottom w:val="single" w:sz="4" w:space="0" w:color="auto"/>
              <w:right w:val="nil"/>
            </w:tcBorders>
            <w:shd w:val="clear" w:color="auto" w:fill="auto"/>
            <w:vAlign w:val="center"/>
            <w:hideMark/>
          </w:tcPr>
          <w:p w14:paraId="51BAC77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5833C4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2.80%</w:t>
            </w:r>
          </w:p>
        </w:tc>
        <w:tc>
          <w:tcPr>
            <w:tcW w:w="1166" w:type="dxa"/>
            <w:tcBorders>
              <w:top w:val="nil"/>
              <w:left w:val="nil"/>
              <w:bottom w:val="single" w:sz="4" w:space="0" w:color="auto"/>
              <w:right w:val="single" w:sz="4" w:space="0" w:color="auto"/>
            </w:tcBorders>
            <w:shd w:val="clear" w:color="auto" w:fill="auto"/>
            <w:vAlign w:val="center"/>
            <w:hideMark/>
          </w:tcPr>
          <w:p w14:paraId="16AD63E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14DDD65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63.20%</w:t>
            </w:r>
          </w:p>
        </w:tc>
        <w:tc>
          <w:tcPr>
            <w:tcW w:w="965" w:type="dxa"/>
            <w:tcBorders>
              <w:top w:val="nil"/>
              <w:left w:val="nil"/>
              <w:bottom w:val="single" w:sz="4" w:space="0" w:color="auto"/>
              <w:right w:val="single" w:sz="4" w:space="0" w:color="auto"/>
            </w:tcBorders>
            <w:shd w:val="clear" w:color="auto" w:fill="auto"/>
            <w:vAlign w:val="center"/>
            <w:hideMark/>
          </w:tcPr>
          <w:p w14:paraId="1D75213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187679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16%</w:t>
            </w:r>
          </w:p>
        </w:tc>
        <w:tc>
          <w:tcPr>
            <w:tcW w:w="960" w:type="dxa"/>
            <w:tcBorders>
              <w:top w:val="nil"/>
              <w:left w:val="nil"/>
              <w:bottom w:val="single" w:sz="4" w:space="0" w:color="auto"/>
              <w:right w:val="single" w:sz="4" w:space="0" w:color="auto"/>
            </w:tcBorders>
            <w:shd w:val="clear" w:color="auto" w:fill="auto"/>
            <w:vAlign w:val="center"/>
            <w:hideMark/>
          </w:tcPr>
          <w:p w14:paraId="329DB8F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HFC-143a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7CD9C8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18%</w:t>
            </w:r>
          </w:p>
        </w:tc>
        <w:tc>
          <w:tcPr>
            <w:tcW w:w="960" w:type="dxa"/>
            <w:tcBorders>
              <w:top w:val="nil"/>
              <w:left w:val="nil"/>
              <w:bottom w:val="single" w:sz="4" w:space="0" w:color="auto"/>
              <w:right w:val="single" w:sz="4" w:space="0" w:color="auto"/>
            </w:tcBorders>
            <w:shd w:val="clear" w:color="auto" w:fill="auto"/>
            <w:vAlign w:val="center"/>
            <w:hideMark/>
          </w:tcPr>
          <w:p w14:paraId="55FB5EE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2774BF0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4D133B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8BA4BA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4DFF25B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A37AFE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R-435A</w:t>
            </w:r>
          </w:p>
        </w:tc>
        <w:tc>
          <w:tcPr>
            <w:tcW w:w="1170" w:type="dxa"/>
            <w:tcBorders>
              <w:top w:val="nil"/>
              <w:left w:val="nil"/>
              <w:bottom w:val="single" w:sz="4" w:space="0" w:color="auto"/>
              <w:right w:val="nil"/>
            </w:tcBorders>
            <w:shd w:val="clear" w:color="auto" w:fill="auto"/>
            <w:vAlign w:val="center"/>
            <w:hideMark/>
          </w:tcPr>
          <w:p w14:paraId="1564841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HCE-170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2B54C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80%</w:t>
            </w:r>
          </w:p>
        </w:tc>
        <w:tc>
          <w:tcPr>
            <w:tcW w:w="1166" w:type="dxa"/>
            <w:tcBorders>
              <w:top w:val="nil"/>
              <w:left w:val="nil"/>
              <w:bottom w:val="single" w:sz="4" w:space="0" w:color="auto"/>
              <w:right w:val="single" w:sz="4" w:space="0" w:color="auto"/>
            </w:tcBorders>
            <w:shd w:val="clear" w:color="auto" w:fill="auto"/>
            <w:vAlign w:val="center"/>
            <w:hideMark/>
          </w:tcPr>
          <w:p w14:paraId="355FE62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820" w:type="dxa"/>
            <w:tcBorders>
              <w:top w:val="nil"/>
              <w:left w:val="nil"/>
              <w:bottom w:val="single" w:sz="4" w:space="0" w:color="auto"/>
              <w:right w:val="single" w:sz="4" w:space="0" w:color="auto"/>
            </w:tcBorders>
            <w:shd w:val="clear" w:color="auto" w:fill="auto"/>
            <w:vAlign w:val="center"/>
            <w:hideMark/>
          </w:tcPr>
          <w:p w14:paraId="3B0E39A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20%</w:t>
            </w:r>
          </w:p>
        </w:tc>
        <w:tc>
          <w:tcPr>
            <w:tcW w:w="965" w:type="dxa"/>
            <w:tcBorders>
              <w:top w:val="nil"/>
              <w:left w:val="nil"/>
              <w:bottom w:val="single" w:sz="4" w:space="0" w:color="auto"/>
              <w:right w:val="single" w:sz="4" w:space="0" w:color="auto"/>
            </w:tcBorders>
            <w:shd w:val="clear" w:color="auto" w:fill="auto"/>
            <w:vAlign w:val="center"/>
            <w:hideMark/>
          </w:tcPr>
          <w:p w14:paraId="2BC72F7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375842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E5AEF4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19987D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9FC831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073EEB1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3CDBF5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732AC0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3258B8A"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056EA1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R-437A</w:t>
            </w:r>
          </w:p>
        </w:tc>
        <w:tc>
          <w:tcPr>
            <w:tcW w:w="1170" w:type="dxa"/>
            <w:tcBorders>
              <w:top w:val="nil"/>
              <w:left w:val="nil"/>
              <w:bottom w:val="single" w:sz="4" w:space="0" w:color="auto"/>
              <w:right w:val="nil"/>
            </w:tcBorders>
            <w:shd w:val="clear" w:color="auto" w:fill="auto"/>
            <w:vAlign w:val="center"/>
            <w:hideMark/>
          </w:tcPr>
          <w:p w14:paraId="31607EC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DEC782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1.40%</w:t>
            </w:r>
          </w:p>
        </w:tc>
        <w:tc>
          <w:tcPr>
            <w:tcW w:w="1166" w:type="dxa"/>
            <w:tcBorders>
              <w:top w:val="nil"/>
              <w:left w:val="nil"/>
              <w:bottom w:val="single" w:sz="4" w:space="0" w:color="auto"/>
              <w:right w:val="single" w:sz="4" w:space="0" w:color="auto"/>
            </w:tcBorders>
            <w:shd w:val="clear" w:color="auto" w:fill="auto"/>
            <w:vAlign w:val="center"/>
            <w:hideMark/>
          </w:tcPr>
          <w:p w14:paraId="53C949A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HC-601</w:t>
            </w:r>
          </w:p>
        </w:tc>
        <w:tc>
          <w:tcPr>
            <w:tcW w:w="820" w:type="dxa"/>
            <w:tcBorders>
              <w:top w:val="nil"/>
              <w:left w:val="nil"/>
              <w:bottom w:val="single" w:sz="4" w:space="0" w:color="auto"/>
              <w:right w:val="single" w:sz="4" w:space="0" w:color="auto"/>
            </w:tcBorders>
            <w:shd w:val="clear" w:color="auto" w:fill="auto"/>
            <w:vAlign w:val="center"/>
            <w:hideMark/>
          </w:tcPr>
          <w:p w14:paraId="6C1C5AD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0.60%</w:t>
            </w:r>
          </w:p>
        </w:tc>
        <w:tc>
          <w:tcPr>
            <w:tcW w:w="965" w:type="dxa"/>
            <w:tcBorders>
              <w:top w:val="nil"/>
              <w:left w:val="nil"/>
              <w:bottom w:val="single" w:sz="4" w:space="0" w:color="auto"/>
              <w:right w:val="single" w:sz="4" w:space="0" w:color="auto"/>
            </w:tcBorders>
            <w:shd w:val="clear" w:color="auto" w:fill="auto"/>
            <w:vAlign w:val="center"/>
            <w:hideMark/>
          </w:tcPr>
          <w:p w14:paraId="16D5167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7CC77F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19.5%</w:t>
            </w:r>
          </w:p>
        </w:tc>
        <w:tc>
          <w:tcPr>
            <w:tcW w:w="960" w:type="dxa"/>
            <w:tcBorders>
              <w:top w:val="nil"/>
              <w:left w:val="nil"/>
              <w:bottom w:val="single" w:sz="4" w:space="0" w:color="auto"/>
              <w:right w:val="single" w:sz="4" w:space="0" w:color="auto"/>
            </w:tcBorders>
            <w:shd w:val="clear" w:color="auto" w:fill="auto"/>
            <w:vAlign w:val="center"/>
            <w:hideMark/>
          </w:tcPr>
          <w:p w14:paraId="4A237EF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ECBD9EC" w14:textId="77777777" w:rsidR="00232FF7" w:rsidRPr="00752D88" w:rsidRDefault="006451A1" w:rsidP="006451A1">
            <w:pPr>
              <w:spacing w:after="0" w:line="240" w:lineRule="auto"/>
              <w:ind w:left="-216"/>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78.5</w:t>
            </w:r>
            <w:r w:rsidR="00232FF7" w:rsidRPr="00752D88">
              <w:rPr>
                <w:rFonts w:ascii="Times New Roman" w:eastAsia="Times New Roman" w:hAnsi="Times New Roman" w:cs="Times New Roman"/>
                <w:color w:val="000000"/>
                <w:spacing w:val="-2"/>
                <w:sz w:val="16"/>
                <w:szCs w:val="16"/>
                <w:lang w:val="en-GB" w:eastAsia="en-CA"/>
              </w:rPr>
              <w:t>%</w:t>
            </w:r>
          </w:p>
        </w:tc>
        <w:tc>
          <w:tcPr>
            <w:tcW w:w="960" w:type="dxa"/>
            <w:tcBorders>
              <w:top w:val="nil"/>
              <w:left w:val="nil"/>
              <w:bottom w:val="single" w:sz="4" w:space="0" w:color="auto"/>
              <w:right w:val="single" w:sz="4" w:space="0" w:color="auto"/>
            </w:tcBorders>
            <w:shd w:val="clear" w:color="auto" w:fill="auto"/>
            <w:vAlign w:val="center"/>
            <w:hideMark/>
          </w:tcPr>
          <w:p w14:paraId="7D74120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68E50BA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5FC256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533112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5899BEA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266F17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R-438A</w:t>
            </w:r>
          </w:p>
        </w:tc>
        <w:tc>
          <w:tcPr>
            <w:tcW w:w="1170" w:type="dxa"/>
            <w:tcBorders>
              <w:top w:val="nil"/>
              <w:left w:val="nil"/>
              <w:bottom w:val="single" w:sz="4" w:space="0" w:color="auto"/>
              <w:right w:val="nil"/>
            </w:tcBorders>
            <w:shd w:val="clear" w:color="auto" w:fill="auto"/>
            <w:vAlign w:val="center"/>
            <w:hideMark/>
          </w:tcPr>
          <w:p w14:paraId="024A554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8B524C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1.70%</w:t>
            </w:r>
          </w:p>
        </w:tc>
        <w:tc>
          <w:tcPr>
            <w:tcW w:w="1166" w:type="dxa"/>
            <w:tcBorders>
              <w:top w:val="nil"/>
              <w:left w:val="nil"/>
              <w:bottom w:val="single" w:sz="4" w:space="0" w:color="auto"/>
              <w:right w:val="single" w:sz="4" w:space="0" w:color="auto"/>
            </w:tcBorders>
            <w:shd w:val="clear" w:color="auto" w:fill="auto"/>
            <w:vAlign w:val="center"/>
            <w:hideMark/>
          </w:tcPr>
          <w:p w14:paraId="584FFC4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HC-601a</w:t>
            </w:r>
          </w:p>
        </w:tc>
        <w:tc>
          <w:tcPr>
            <w:tcW w:w="820" w:type="dxa"/>
            <w:tcBorders>
              <w:top w:val="nil"/>
              <w:left w:val="nil"/>
              <w:bottom w:val="single" w:sz="4" w:space="0" w:color="auto"/>
              <w:right w:val="single" w:sz="4" w:space="0" w:color="auto"/>
            </w:tcBorders>
            <w:shd w:val="clear" w:color="auto" w:fill="auto"/>
            <w:vAlign w:val="center"/>
            <w:hideMark/>
          </w:tcPr>
          <w:p w14:paraId="0F8DD31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0.60%</w:t>
            </w:r>
          </w:p>
        </w:tc>
        <w:tc>
          <w:tcPr>
            <w:tcW w:w="965" w:type="dxa"/>
            <w:tcBorders>
              <w:top w:val="nil"/>
              <w:left w:val="nil"/>
              <w:bottom w:val="single" w:sz="4" w:space="0" w:color="auto"/>
              <w:right w:val="single" w:sz="4" w:space="0" w:color="auto"/>
            </w:tcBorders>
            <w:shd w:val="clear" w:color="auto" w:fill="auto"/>
            <w:vAlign w:val="center"/>
            <w:hideMark/>
          </w:tcPr>
          <w:p w14:paraId="4EE7BBA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B1796A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45%</w:t>
            </w:r>
          </w:p>
        </w:tc>
        <w:tc>
          <w:tcPr>
            <w:tcW w:w="960" w:type="dxa"/>
            <w:tcBorders>
              <w:top w:val="nil"/>
              <w:left w:val="nil"/>
              <w:bottom w:val="single" w:sz="4" w:space="0" w:color="auto"/>
              <w:right w:val="single" w:sz="4" w:space="0" w:color="auto"/>
            </w:tcBorders>
            <w:shd w:val="clear" w:color="auto" w:fill="auto"/>
            <w:vAlign w:val="center"/>
            <w:hideMark/>
          </w:tcPr>
          <w:p w14:paraId="42FBE82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505E553" w14:textId="77777777" w:rsidR="00232FF7" w:rsidRPr="00752D88" w:rsidRDefault="00232FF7" w:rsidP="006451A1">
            <w:pPr>
              <w:spacing w:after="0" w:line="240" w:lineRule="auto"/>
              <w:ind w:left="-216"/>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44.20%</w:t>
            </w:r>
          </w:p>
        </w:tc>
        <w:tc>
          <w:tcPr>
            <w:tcW w:w="960" w:type="dxa"/>
            <w:tcBorders>
              <w:top w:val="nil"/>
              <w:left w:val="nil"/>
              <w:bottom w:val="single" w:sz="4" w:space="0" w:color="auto"/>
              <w:right w:val="single" w:sz="4" w:space="0" w:color="auto"/>
            </w:tcBorders>
            <w:shd w:val="clear" w:color="auto" w:fill="auto"/>
            <w:vAlign w:val="center"/>
            <w:hideMark/>
          </w:tcPr>
          <w:p w14:paraId="5E3B941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597" w:type="dxa"/>
            <w:tcBorders>
              <w:top w:val="nil"/>
              <w:left w:val="nil"/>
              <w:bottom w:val="single" w:sz="4" w:space="0" w:color="auto"/>
              <w:right w:val="single" w:sz="4" w:space="0" w:color="auto"/>
            </w:tcBorders>
            <w:shd w:val="clear" w:color="auto" w:fill="auto"/>
            <w:vAlign w:val="center"/>
            <w:hideMark/>
          </w:tcPr>
          <w:p w14:paraId="2EAD289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8.5%</w:t>
            </w:r>
          </w:p>
        </w:tc>
        <w:tc>
          <w:tcPr>
            <w:tcW w:w="706" w:type="dxa"/>
            <w:tcBorders>
              <w:top w:val="nil"/>
              <w:left w:val="nil"/>
              <w:bottom w:val="single" w:sz="4" w:space="0" w:color="auto"/>
              <w:right w:val="single" w:sz="4" w:space="0" w:color="auto"/>
            </w:tcBorders>
            <w:shd w:val="clear" w:color="auto" w:fill="auto"/>
            <w:vAlign w:val="center"/>
            <w:hideMark/>
          </w:tcPr>
          <w:p w14:paraId="43FC35A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DA4067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05B906C"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D34E7D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R-439A</w:t>
            </w:r>
          </w:p>
        </w:tc>
        <w:tc>
          <w:tcPr>
            <w:tcW w:w="1170" w:type="dxa"/>
            <w:tcBorders>
              <w:top w:val="nil"/>
              <w:left w:val="nil"/>
              <w:bottom w:val="single" w:sz="4" w:space="0" w:color="auto"/>
              <w:right w:val="nil"/>
            </w:tcBorders>
            <w:shd w:val="clear" w:color="auto" w:fill="auto"/>
            <w:vAlign w:val="center"/>
            <w:hideMark/>
          </w:tcPr>
          <w:p w14:paraId="11ADDEC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648EF7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w:t>
            </w:r>
          </w:p>
        </w:tc>
        <w:tc>
          <w:tcPr>
            <w:tcW w:w="1166" w:type="dxa"/>
            <w:tcBorders>
              <w:top w:val="nil"/>
              <w:left w:val="nil"/>
              <w:bottom w:val="single" w:sz="4" w:space="0" w:color="auto"/>
              <w:right w:val="single" w:sz="4" w:space="0" w:color="auto"/>
            </w:tcBorders>
            <w:shd w:val="clear" w:color="auto" w:fill="auto"/>
            <w:vAlign w:val="center"/>
            <w:hideMark/>
          </w:tcPr>
          <w:p w14:paraId="4718247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820" w:type="dxa"/>
            <w:tcBorders>
              <w:top w:val="nil"/>
              <w:left w:val="nil"/>
              <w:bottom w:val="single" w:sz="4" w:space="0" w:color="auto"/>
              <w:right w:val="single" w:sz="4" w:space="0" w:color="auto"/>
            </w:tcBorders>
            <w:shd w:val="clear" w:color="auto" w:fill="auto"/>
            <w:vAlign w:val="center"/>
            <w:hideMark/>
          </w:tcPr>
          <w:p w14:paraId="043AC5F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47%</w:t>
            </w:r>
          </w:p>
        </w:tc>
        <w:tc>
          <w:tcPr>
            <w:tcW w:w="965" w:type="dxa"/>
            <w:tcBorders>
              <w:top w:val="nil"/>
              <w:left w:val="nil"/>
              <w:bottom w:val="single" w:sz="4" w:space="0" w:color="auto"/>
              <w:right w:val="single" w:sz="4" w:space="0" w:color="auto"/>
            </w:tcBorders>
            <w:shd w:val="clear" w:color="auto" w:fill="auto"/>
            <w:vAlign w:val="center"/>
            <w:hideMark/>
          </w:tcPr>
          <w:p w14:paraId="5DC9501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F11BD5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50%</w:t>
            </w:r>
          </w:p>
        </w:tc>
        <w:tc>
          <w:tcPr>
            <w:tcW w:w="960" w:type="dxa"/>
            <w:tcBorders>
              <w:top w:val="nil"/>
              <w:left w:val="nil"/>
              <w:bottom w:val="single" w:sz="4" w:space="0" w:color="auto"/>
              <w:right w:val="single" w:sz="4" w:space="0" w:color="auto"/>
            </w:tcBorders>
            <w:shd w:val="clear" w:color="auto" w:fill="auto"/>
            <w:vAlign w:val="center"/>
            <w:hideMark/>
          </w:tcPr>
          <w:p w14:paraId="3699CE0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580F1E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ECDEAB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3CB22B3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A31F5B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9AC418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44770875"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3C03CA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R-440A</w:t>
            </w:r>
          </w:p>
        </w:tc>
        <w:tc>
          <w:tcPr>
            <w:tcW w:w="1170" w:type="dxa"/>
            <w:tcBorders>
              <w:top w:val="nil"/>
              <w:left w:val="nil"/>
              <w:bottom w:val="single" w:sz="4" w:space="0" w:color="auto"/>
              <w:right w:val="nil"/>
            </w:tcBorders>
            <w:shd w:val="clear" w:color="auto" w:fill="auto"/>
            <w:vAlign w:val="center"/>
            <w:hideMark/>
          </w:tcPr>
          <w:p w14:paraId="40E4909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B8BBF3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0.60%</w:t>
            </w:r>
          </w:p>
        </w:tc>
        <w:tc>
          <w:tcPr>
            <w:tcW w:w="1166" w:type="dxa"/>
            <w:tcBorders>
              <w:top w:val="nil"/>
              <w:left w:val="nil"/>
              <w:bottom w:val="single" w:sz="4" w:space="0" w:color="auto"/>
              <w:right w:val="single" w:sz="4" w:space="0" w:color="auto"/>
            </w:tcBorders>
            <w:shd w:val="clear" w:color="auto" w:fill="auto"/>
            <w:vAlign w:val="center"/>
            <w:hideMark/>
          </w:tcPr>
          <w:p w14:paraId="5B34141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77F4D35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1.60%</w:t>
            </w:r>
          </w:p>
        </w:tc>
        <w:tc>
          <w:tcPr>
            <w:tcW w:w="965" w:type="dxa"/>
            <w:tcBorders>
              <w:top w:val="nil"/>
              <w:left w:val="nil"/>
              <w:bottom w:val="single" w:sz="4" w:space="0" w:color="auto"/>
              <w:right w:val="single" w:sz="4" w:space="0" w:color="auto"/>
            </w:tcBorders>
            <w:shd w:val="clear" w:color="auto" w:fill="auto"/>
            <w:vAlign w:val="center"/>
            <w:hideMark/>
          </w:tcPr>
          <w:p w14:paraId="065D520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521B0A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97.8%</w:t>
            </w:r>
          </w:p>
        </w:tc>
        <w:tc>
          <w:tcPr>
            <w:tcW w:w="960" w:type="dxa"/>
            <w:tcBorders>
              <w:top w:val="nil"/>
              <w:left w:val="nil"/>
              <w:bottom w:val="single" w:sz="4" w:space="0" w:color="auto"/>
              <w:right w:val="single" w:sz="4" w:space="0" w:color="auto"/>
            </w:tcBorders>
            <w:shd w:val="clear" w:color="auto" w:fill="auto"/>
            <w:vAlign w:val="center"/>
            <w:hideMark/>
          </w:tcPr>
          <w:p w14:paraId="388236F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68405E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1E2B2F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30F8EEA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8E90BC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F74F20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22D7E943"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58C56A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R-442A</w:t>
            </w:r>
          </w:p>
        </w:tc>
        <w:tc>
          <w:tcPr>
            <w:tcW w:w="1170" w:type="dxa"/>
            <w:tcBorders>
              <w:top w:val="nil"/>
              <w:left w:val="nil"/>
              <w:bottom w:val="single" w:sz="4" w:space="0" w:color="auto"/>
              <w:right w:val="nil"/>
            </w:tcBorders>
            <w:shd w:val="clear" w:color="auto" w:fill="auto"/>
            <w:vAlign w:val="center"/>
            <w:hideMark/>
          </w:tcPr>
          <w:p w14:paraId="13E44E6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8A1BA0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31%</w:t>
            </w:r>
          </w:p>
        </w:tc>
        <w:tc>
          <w:tcPr>
            <w:tcW w:w="1166" w:type="dxa"/>
            <w:tcBorders>
              <w:top w:val="nil"/>
              <w:left w:val="nil"/>
              <w:bottom w:val="single" w:sz="4" w:space="0" w:color="auto"/>
              <w:right w:val="single" w:sz="4" w:space="0" w:color="auto"/>
            </w:tcBorders>
            <w:shd w:val="clear" w:color="auto" w:fill="auto"/>
            <w:vAlign w:val="center"/>
            <w:hideMark/>
          </w:tcPr>
          <w:p w14:paraId="2F6AD09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2FD0610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30%</w:t>
            </w:r>
          </w:p>
        </w:tc>
        <w:tc>
          <w:tcPr>
            <w:tcW w:w="965" w:type="dxa"/>
            <w:tcBorders>
              <w:top w:val="nil"/>
              <w:left w:val="nil"/>
              <w:bottom w:val="single" w:sz="4" w:space="0" w:color="auto"/>
              <w:right w:val="single" w:sz="4" w:space="0" w:color="auto"/>
            </w:tcBorders>
            <w:shd w:val="clear" w:color="auto" w:fill="auto"/>
            <w:vAlign w:val="center"/>
            <w:hideMark/>
          </w:tcPr>
          <w:p w14:paraId="6828452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BF0E42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w:t>
            </w:r>
          </w:p>
        </w:tc>
        <w:tc>
          <w:tcPr>
            <w:tcW w:w="960" w:type="dxa"/>
            <w:tcBorders>
              <w:top w:val="nil"/>
              <w:left w:val="nil"/>
              <w:bottom w:val="single" w:sz="4" w:space="0" w:color="auto"/>
              <w:right w:val="single" w:sz="4" w:space="0" w:color="auto"/>
            </w:tcBorders>
            <w:shd w:val="clear" w:color="auto" w:fill="auto"/>
            <w:vAlign w:val="center"/>
            <w:hideMark/>
          </w:tcPr>
          <w:p w14:paraId="136E360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HFC-227ea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61AFC9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w:t>
            </w:r>
          </w:p>
        </w:tc>
        <w:tc>
          <w:tcPr>
            <w:tcW w:w="960" w:type="dxa"/>
            <w:tcBorders>
              <w:top w:val="nil"/>
              <w:left w:val="nil"/>
              <w:bottom w:val="single" w:sz="4" w:space="0" w:color="auto"/>
              <w:right w:val="single" w:sz="4" w:space="0" w:color="auto"/>
            </w:tcBorders>
            <w:shd w:val="clear" w:color="auto" w:fill="auto"/>
            <w:vAlign w:val="center"/>
            <w:hideMark/>
          </w:tcPr>
          <w:p w14:paraId="5459DF9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597" w:type="dxa"/>
            <w:tcBorders>
              <w:top w:val="nil"/>
              <w:left w:val="nil"/>
              <w:bottom w:val="single" w:sz="4" w:space="0" w:color="auto"/>
              <w:right w:val="single" w:sz="4" w:space="0" w:color="auto"/>
            </w:tcBorders>
            <w:shd w:val="clear" w:color="auto" w:fill="auto"/>
            <w:vAlign w:val="center"/>
            <w:hideMark/>
          </w:tcPr>
          <w:p w14:paraId="16E455F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31%</w:t>
            </w:r>
          </w:p>
        </w:tc>
        <w:tc>
          <w:tcPr>
            <w:tcW w:w="706" w:type="dxa"/>
            <w:tcBorders>
              <w:top w:val="nil"/>
              <w:left w:val="nil"/>
              <w:bottom w:val="single" w:sz="4" w:space="0" w:color="auto"/>
              <w:right w:val="single" w:sz="4" w:space="0" w:color="auto"/>
            </w:tcBorders>
            <w:shd w:val="clear" w:color="auto" w:fill="auto"/>
            <w:vAlign w:val="center"/>
            <w:hideMark/>
          </w:tcPr>
          <w:p w14:paraId="50C1B21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1DA681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245AFD6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01C7DF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R-444A</w:t>
            </w:r>
          </w:p>
        </w:tc>
        <w:tc>
          <w:tcPr>
            <w:tcW w:w="1170" w:type="dxa"/>
            <w:tcBorders>
              <w:top w:val="nil"/>
              <w:left w:val="nil"/>
              <w:bottom w:val="single" w:sz="4" w:space="0" w:color="auto"/>
              <w:right w:val="nil"/>
            </w:tcBorders>
            <w:shd w:val="clear" w:color="auto" w:fill="auto"/>
            <w:vAlign w:val="center"/>
            <w:hideMark/>
          </w:tcPr>
          <w:p w14:paraId="70184EC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F932C6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w:t>
            </w:r>
          </w:p>
        </w:tc>
        <w:tc>
          <w:tcPr>
            <w:tcW w:w="1166" w:type="dxa"/>
            <w:tcBorders>
              <w:top w:val="nil"/>
              <w:left w:val="nil"/>
              <w:bottom w:val="single" w:sz="4" w:space="0" w:color="auto"/>
              <w:right w:val="single" w:sz="4" w:space="0" w:color="auto"/>
            </w:tcBorders>
            <w:shd w:val="clear" w:color="auto" w:fill="auto"/>
            <w:vAlign w:val="center"/>
            <w:hideMark/>
          </w:tcPr>
          <w:p w14:paraId="7C1ADB2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2D567DD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12%</w:t>
            </w:r>
          </w:p>
        </w:tc>
        <w:tc>
          <w:tcPr>
            <w:tcW w:w="965" w:type="dxa"/>
            <w:tcBorders>
              <w:top w:val="nil"/>
              <w:left w:val="nil"/>
              <w:bottom w:val="single" w:sz="4" w:space="0" w:color="auto"/>
              <w:right w:val="single" w:sz="4" w:space="0" w:color="auto"/>
            </w:tcBorders>
            <w:shd w:val="clear" w:color="auto" w:fill="auto"/>
            <w:vAlign w:val="center"/>
            <w:hideMark/>
          </w:tcPr>
          <w:p w14:paraId="6A26D27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E64D08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83%</w:t>
            </w:r>
          </w:p>
        </w:tc>
        <w:tc>
          <w:tcPr>
            <w:tcW w:w="960" w:type="dxa"/>
            <w:tcBorders>
              <w:top w:val="nil"/>
              <w:left w:val="nil"/>
              <w:bottom w:val="single" w:sz="4" w:space="0" w:color="auto"/>
              <w:right w:val="single" w:sz="4" w:space="0" w:color="auto"/>
            </w:tcBorders>
            <w:shd w:val="clear" w:color="auto" w:fill="auto"/>
            <w:vAlign w:val="center"/>
            <w:hideMark/>
          </w:tcPr>
          <w:p w14:paraId="2CA0DF2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29E9F3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A4F8B2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28992BA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72CAE7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82EBED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4D3BD0E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1B7B84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R-444B</w:t>
            </w:r>
          </w:p>
        </w:tc>
        <w:tc>
          <w:tcPr>
            <w:tcW w:w="1170" w:type="dxa"/>
            <w:tcBorders>
              <w:top w:val="nil"/>
              <w:left w:val="nil"/>
              <w:bottom w:val="single" w:sz="4" w:space="0" w:color="auto"/>
              <w:right w:val="nil"/>
            </w:tcBorders>
            <w:shd w:val="clear" w:color="auto" w:fill="auto"/>
            <w:vAlign w:val="center"/>
            <w:hideMark/>
          </w:tcPr>
          <w:p w14:paraId="1025323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E0356B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10%</w:t>
            </w:r>
          </w:p>
        </w:tc>
        <w:tc>
          <w:tcPr>
            <w:tcW w:w="1166" w:type="dxa"/>
            <w:tcBorders>
              <w:top w:val="nil"/>
              <w:left w:val="nil"/>
              <w:bottom w:val="single" w:sz="4" w:space="0" w:color="auto"/>
              <w:right w:val="single" w:sz="4" w:space="0" w:color="auto"/>
            </w:tcBorders>
            <w:shd w:val="clear" w:color="auto" w:fill="auto"/>
            <w:vAlign w:val="center"/>
            <w:hideMark/>
          </w:tcPr>
          <w:p w14:paraId="6121BCC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665447D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41.50%</w:t>
            </w:r>
          </w:p>
        </w:tc>
        <w:tc>
          <w:tcPr>
            <w:tcW w:w="965" w:type="dxa"/>
            <w:tcBorders>
              <w:top w:val="nil"/>
              <w:left w:val="nil"/>
              <w:bottom w:val="single" w:sz="4" w:space="0" w:color="auto"/>
              <w:right w:val="single" w:sz="4" w:space="0" w:color="auto"/>
            </w:tcBorders>
            <w:shd w:val="clear" w:color="auto" w:fill="auto"/>
            <w:vAlign w:val="center"/>
            <w:hideMark/>
          </w:tcPr>
          <w:p w14:paraId="4A55786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BF9953C" w14:textId="77777777" w:rsidR="00232FF7" w:rsidRPr="00752D88" w:rsidRDefault="00232FF7" w:rsidP="006451A1">
            <w:pPr>
              <w:spacing w:after="0" w:line="240" w:lineRule="auto"/>
              <w:ind w:left="-145"/>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48.50%</w:t>
            </w:r>
          </w:p>
        </w:tc>
        <w:tc>
          <w:tcPr>
            <w:tcW w:w="960" w:type="dxa"/>
            <w:tcBorders>
              <w:top w:val="nil"/>
              <w:left w:val="nil"/>
              <w:bottom w:val="single" w:sz="4" w:space="0" w:color="auto"/>
              <w:right w:val="single" w:sz="4" w:space="0" w:color="auto"/>
            </w:tcBorders>
            <w:shd w:val="clear" w:color="auto" w:fill="auto"/>
            <w:vAlign w:val="center"/>
            <w:hideMark/>
          </w:tcPr>
          <w:p w14:paraId="40DEFC0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576B11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573B8E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38A87E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48CBC7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6267AA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4CB30F4F"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AC8FF6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R-445A</w:t>
            </w:r>
          </w:p>
        </w:tc>
        <w:tc>
          <w:tcPr>
            <w:tcW w:w="1170" w:type="dxa"/>
            <w:tcBorders>
              <w:top w:val="nil"/>
              <w:left w:val="nil"/>
              <w:bottom w:val="single" w:sz="4" w:space="0" w:color="auto"/>
              <w:right w:val="nil"/>
            </w:tcBorders>
            <w:shd w:val="clear" w:color="auto" w:fill="auto"/>
            <w:vAlign w:val="center"/>
            <w:hideMark/>
          </w:tcPr>
          <w:p w14:paraId="5BFB376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F898FE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9%</w:t>
            </w:r>
          </w:p>
        </w:tc>
        <w:tc>
          <w:tcPr>
            <w:tcW w:w="1166" w:type="dxa"/>
            <w:tcBorders>
              <w:top w:val="nil"/>
              <w:left w:val="nil"/>
              <w:bottom w:val="single" w:sz="4" w:space="0" w:color="auto"/>
              <w:right w:val="single" w:sz="4" w:space="0" w:color="auto"/>
            </w:tcBorders>
            <w:shd w:val="clear" w:color="auto" w:fill="auto"/>
            <w:vAlign w:val="center"/>
            <w:hideMark/>
          </w:tcPr>
          <w:p w14:paraId="6B63A70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R-744</w:t>
            </w:r>
          </w:p>
        </w:tc>
        <w:tc>
          <w:tcPr>
            <w:tcW w:w="820" w:type="dxa"/>
            <w:tcBorders>
              <w:top w:val="nil"/>
              <w:left w:val="nil"/>
              <w:bottom w:val="single" w:sz="4" w:space="0" w:color="auto"/>
              <w:right w:val="single" w:sz="4" w:space="0" w:color="auto"/>
            </w:tcBorders>
            <w:shd w:val="clear" w:color="auto" w:fill="auto"/>
            <w:vAlign w:val="center"/>
            <w:hideMark/>
          </w:tcPr>
          <w:p w14:paraId="690BA44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w:t>
            </w:r>
          </w:p>
        </w:tc>
        <w:tc>
          <w:tcPr>
            <w:tcW w:w="965" w:type="dxa"/>
            <w:tcBorders>
              <w:top w:val="nil"/>
              <w:left w:val="nil"/>
              <w:bottom w:val="single" w:sz="4" w:space="0" w:color="auto"/>
              <w:right w:val="single" w:sz="4" w:space="0" w:color="auto"/>
            </w:tcBorders>
            <w:shd w:val="clear" w:color="auto" w:fill="auto"/>
            <w:vAlign w:val="center"/>
            <w:hideMark/>
          </w:tcPr>
          <w:p w14:paraId="7EA98DC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9B02923" w14:textId="77777777" w:rsidR="00232FF7" w:rsidRPr="00752D88" w:rsidRDefault="00232FF7" w:rsidP="006451A1">
            <w:pPr>
              <w:spacing w:after="0" w:line="240" w:lineRule="auto"/>
              <w:ind w:left="-145"/>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85%</w:t>
            </w:r>
          </w:p>
        </w:tc>
        <w:tc>
          <w:tcPr>
            <w:tcW w:w="960" w:type="dxa"/>
            <w:tcBorders>
              <w:top w:val="nil"/>
              <w:left w:val="nil"/>
              <w:bottom w:val="single" w:sz="4" w:space="0" w:color="auto"/>
              <w:right w:val="single" w:sz="4" w:space="0" w:color="auto"/>
            </w:tcBorders>
            <w:shd w:val="clear" w:color="auto" w:fill="auto"/>
            <w:vAlign w:val="center"/>
            <w:hideMark/>
          </w:tcPr>
          <w:p w14:paraId="0626FFA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12A7EA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6490C4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6B69E50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884FFF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15C4AE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E2A62E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C5F1FC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R-446A</w:t>
            </w:r>
          </w:p>
        </w:tc>
        <w:tc>
          <w:tcPr>
            <w:tcW w:w="1170" w:type="dxa"/>
            <w:tcBorders>
              <w:top w:val="nil"/>
              <w:left w:val="nil"/>
              <w:bottom w:val="single" w:sz="4" w:space="0" w:color="auto"/>
              <w:right w:val="nil"/>
            </w:tcBorders>
            <w:shd w:val="clear" w:color="auto" w:fill="auto"/>
            <w:vAlign w:val="center"/>
            <w:hideMark/>
          </w:tcPr>
          <w:p w14:paraId="385388B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7B173E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w:t>
            </w:r>
          </w:p>
        </w:tc>
        <w:tc>
          <w:tcPr>
            <w:tcW w:w="1166" w:type="dxa"/>
            <w:tcBorders>
              <w:top w:val="nil"/>
              <w:left w:val="nil"/>
              <w:bottom w:val="single" w:sz="4" w:space="0" w:color="auto"/>
              <w:right w:val="single" w:sz="4" w:space="0" w:color="auto"/>
            </w:tcBorders>
            <w:shd w:val="clear" w:color="auto" w:fill="auto"/>
            <w:vAlign w:val="center"/>
            <w:hideMark/>
          </w:tcPr>
          <w:p w14:paraId="6DB85C6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54BEB70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68%</w:t>
            </w:r>
          </w:p>
        </w:tc>
        <w:tc>
          <w:tcPr>
            <w:tcW w:w="965" w:type="dxa"/>
            <w:tcBorders>
              <w:top w:val="nil"/>
              <w:left w:val="nil"/>
              <w:bottom w:val="single" w:sz="4" w:space="0" w:color="auto"/>
              <w:right w:val="single" w:sz="4" w:space="0" w:color="auto"/>
            </w:tcBorders>
            <w:shd w:val="clear" w:color="auto" w:fill="auto"/>
            <w:vAlign w:val="center"/>
            <w:hideMark/>
          </w:tcPr>
          <w:p w14:paraId="337FB9D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6095F72" w14:textId="77777777" w:rsidR="00232FF7" w:rsidRPr="00752D88" w:rsidRDefault="00232FF7" w:rsidP="006451A1">
            <w:pPr>
              <w:spacing w:after="0" w:line="240" w:lineRule="auto"/>
              <w:ind w:left="-145"/>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29%</w:t>
            </w:r>
          </w:p>
        </w:tc>
        <w:tc>
          <w:tcPr>
            <w:tcW w:w="960" w:type="dxa"/>
            <w:tcBorders>
              <w:top w:val="nil"/>
              <w:left w:val="nil"/>
              <w:bottom w:val="single" w:sz="4" w:space="0" w:color="auto"/>
              <w:right w:val="single" w:sz="4" w:space="0" w:color="auto"/>
            </w:tcBorders>
            <w:shd w:val="clear" w:color="auto" w:fill="auto"/>
            <w:vAlign w:val="center"/>
            <w:hideMark/>
          </w:tcPr>
          <w:p w14:paraId="709F794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0FD2D2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BB920A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0825B1E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927D19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7A0C82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726D1C9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B20BAF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R-447A</w:t>
            </w:r>
          </w:p>
        </w:tc>
        <w:tc>
          <w:tcPr>
            <w:tcW w:w="1170" w:type="dxa"/>
            <w:tcBorders>
              <w:top w:val="nil"/>
              <w:left w:val="nil"/>
              <w:bottom w:val="single" w:sz="4" w:space="0" w:color="auto"/>
              <w:right w:val="nil"/>
            </w:tcBorders>
            <w:shd w:val="clear" w:color="auto" w:fill="auto"/>
            <w:vAlign w:val="center"/>
            <w:hideMark/>
          </w:tcPr>
          <w:p w14:paraId="61B266F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259AC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3.50%</w:t>
            </w:r>
          </w:p>
        </w:tc>
        <w:tc>
          <w:tcPr>
            <w:tcW w:w="1166" w:type="dxa"/>
            <w:tcBorders>
              <w:top w:val="nil"/>
              <w:left w:val="nil"/>
              <w:bottom w:val="single" w:sz="4" w:space="0" w:color="auto"/>
              <w:right w:val="single" w:sz="4" w:space="0" w:color="auto"/>
            </w:tcBorders>
            <w:shd w:val="clear" w:color="auto" w:fill="auto"/>
            <w:vAlign w:val="center"/>
            <w:hideMark/>
          </w:tcPr>
          <w:p w14:paraId="01AEA35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23BD60E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68%</w:t>
            </w:r>
          </w:p>
        </w:tc>
        <w:tc>
          <w:tcPr>
            <w:tcW w:w="965" w:type="dxa"/>
            <w:tcBorders>
              <w:top w:val="nil"/>
              <w:left w:val="nil"/>
              <w:bottom w:val="single" w:sz="4" w:space="0" w:color="auto"/>
              <w:right w:val="single" w:sz="4" w:space="0" w:color="auto"/>
            </w:tcBorders>
            <w:shd w:val="clear" w:color="auto" w:fill="auto"/>
            <w:vAlign w:val="center"/>
            <w:hideMark/>
          </w:tcPr>
          <w:p w14:paraId="333A5F8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16F629B" w14:textId="77777777" w:rsidR="00232FF7" w:rsidRPr="00752D88" w:rsidRDefault="00232FF7" w:rsidP="006451A1">
            <w:pPr>
              <w:spacing w:after="0" w:line="240" w:lineRule="auto"/>
              <w:ind w:left="-145"/>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28.50%</w:t>
            </w:r>
          </w:p>
        </w:tc>
        <w:tc>
          <w:tcPr>
            <w:tcW w:w="960" w:type="dxa"/>
            <w:tcBorders>
              <w:top w:val="nil"/>
              <w:left w:val="nil"/>
              <w:bottom w:val="single" w:sz="4" w:space="0" w:color="auto"/>
              <w:right w:val="single" w:sz="4" w:space="0" w:color="auto"/>
            </w:tcBorders>
            <w:shd w:val="clear" w:color="auto" w:fill="auto"/>
            <w:vAlign w:val="center"/>
            <w:hideMark/>
          </w:tcPr>
          <w:p w14:paraId="0926C6B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FA28F0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0A5702D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71514D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ECDB6C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4E8CF8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26C991D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EEFBF4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R-447B</w:t>
            </w:r>
          </w:p>
        </w:tc>
        <w:tc>
          <w:tcPr>
            <w:tcW w:w="1170" w:type="dxa"/>
            <w:tcBorders>
              <w:top w:val="nil"/>
              <w:left w:val="nil"/>
              <w:bottom w:val="single" w:sz="4" w:space="0" w:color="auto"/>
              <w:right w:val="nil"/>
            </w:tcBorders>
            <w:shd w:val="clear" w:color="auto" w:fill="auto"/>
            <w:vAlign w:val="center"/>
            <w:hideMark/>
          </w:tcPr>
          <w:p w14:paraId="2E8AC80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D27E92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w:t>
            </w:r>
          </w:p>
        </w:tc>
        <w:tc>
          <w:tcPr>
            <w:tcW w:w="1166" w:type="dxa"/>
            <w:tcBorders>
              <w:top w:val="nil"/>
              <w:left w:val="nil"/>
              <w:bottom w:val="single" w:sz="4" w:space="0" w:color="auto"/>
              <w:right w:val="single" w:sz="4" w:space="0" w:color="auto"/>
            </w:tcBorders>
            <w:shd w:val="clear" w:color="auto" w:fill="auto"/>
            <w:vAlign w:val="center"/>
            <w:hideMark/>
          </w:tcPr>
          <w:p w14:paraId="1F28D47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7C6AA0E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68%</w:t>
            </w:r>
          </w:p>
        </w:tc>
        <w:tc>
          <w:tcPr>
            <w:tcW w:w="965" w:type="dxa"/>
            <w:tcBorders>
              <w:top w:val="nil"/>
              <w:left w:val="nil"/>
              <w:bottom w:val="single" w:sz="4" w:space="0" w:color="auto"/>
              <w:right w:val="single" w:sz="4" w:space="0" w:color="auto"/>
            </w:tcBorders>
            <w:shd w:val="clear" w:color="auto" w:fill="auto"/>
            <w:vAlign w:val="center"/>
            <w:hideMark/>
          </w:tcPr>
          <w:p w14:paraId="21ABC46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59AF225" w14:textId="77777777" w:rsidR="00232FF7" w:rsidRPr="00752D88" w:rsidRDefault="00232FF7" w:rsidP="006451A1">
            <w:pPr>
              <w:spacing w:after="0" w:line="240" w:lineRule="auto"/>
              <w:ind w:left="-145"/>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24%</w:t>
            </w:r>
          </w:p>
        </w:tc>
        <w:tc>
          <w:tcPr>
            <w:tcW w:w="960" w:type="dxa"/>
            <w:tcBorders>
              <w:top w:val="nil"/>
              <w:left w:val="nil"/>
              <w:bottom w:val="single" w:sz="4" w:space="0" w:color="auto"/>
              <w:right w:val="single" w:sz="4" w:space="0" w:color="auto"/>
            </w:tcBorders>
            <w:shd w:val="clear" w:color="auto" w:fill="auto"/>
            <w:vAlign w:val="center"/>
            <w:hideMark/>
          </w:tcPr>
          <w:p w14:paraId="344854E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5EDE52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27BFA3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093A873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562192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F6BD4A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3DA1E25C"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DED8F8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R-448A</w:t>
            </w:r>
          </w:p>
        </w:tc>
        <w:tc>
          <w:tcPr>
            <w:tcW w:w="1170" w:type="dxa"/>
            <w:tcBorders>
              <w:top w:val="nil"/>
              <w:left w:val="nil"/>
              <w:bottom w:val="single" w:sz="4" w:space="0" w:color="auto"/>
              <w:right w:val="nil"/>
            </w:tcBorders>
            <w:shd w:val="clear" w:color="auto" w:fill="auto"/>
            <w:vAlign w:val="center"/>
            <w:hideMark/>
          </w:tcPr>
          <w:p w14:paraId="3DA8B38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FCB27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26%</w:t>
            </w:r>
          </w:p>
        </w:tc>
        <w:tc>
          <w:tcPr>
            <w:tcW w:w="1166" w:type="dxa"/>
            <w:tcBorders>
              <w:top w:val="nil"/>
              <w:left w:val="nil"/>
              <w:bottom w:val="single" w:sz="4" w:space="0" w:color="auto"/>
              <w:right w:val="single" w:sz="4" w:space="0" w:color="auto"/>
            </w:tcBorders>
            <w:shd w:val="clear" w:color="auto" w:fill="auto"/>
            <w:vAlign w:val="center"/>
            <w:hideMark/>
          </w:tcPr>
          <w:p w14:paraId="78583AD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6BD5B38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21%</w:t>
            </w:r>
          </w:p>
        </w:tc>
        <w:tc>
          <w:tcPr>
            <w:tcW w:w="965" w:type="dxa"/>
            <w:tcBorders>
              <w:top w:val="nil"/>
              <w:left w:val="nil"/>
              <w:bottom w:val="single" w:sz="4" w:space="0" w:color="auto"/>
              <w:right w:val="single" w:sz="4" w:space="0" w:color="auto"/>
            </w:tcBorders>
            <w:shd w:val="clear" w:color="auto" w:fill="auto"/>
            <w:vAlign w:val="center"/>
            <w:hideMark/>
          </w:tcPr>
          <w:p w14:paraId="00560EA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07CDBD6" w14:textId="77777777" w:rsidR="00232FF7" w:rsidRPr="00752D88" w:rsidRDefault="00232FF7" w:rsidP="006451A1">
            <w:pPr>
              <w:spacing w:after="0" w:line="240" w:lineRule="auto"/>
              <w:ind w:left="-145"/>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w:t>
            </w:r>
          </w:p>
        </w:tc>
        <w:tc>
          <w:tcPr>
            <w:tcW w:w="960" w:type="dxa"/>
            <w:tcBorders>
              <w:top w:val="nil"/>
              <w:left w:val="nil"/>
              <w:bottom w:val="single" w:sz="4" w:space="0" w:color="auto"/>
              <w:right w:val="single" w:sz="4" w:space="0" w:color="auto"/>
            </w:tcBorders>
            <w:shd w:val="clear" w:color="auto" w:fill="auto"/>
            <w:vAlign w:val="center"/>
            <w:hideMark/>
          </w:tcPr>
          <w:p w14:paraId="510A58F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502E03F" w14:textId="77777777" w:rsidR="00232FF7" w:rsidRPr="00752D88" w:rsidRDefault="00232FF7" w:rsidP="006451A1">
            <w:pPr>
              <w:spacing w:after="0" w:line="240" w:lineRule="auto"/>
              <w:ind w:left="-74"/>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20%</w:t>
            </w:r>
          </w:p>
        </w:tc>
        <w:tc>
          <w:tcPr>
            <w:tcW w:w="960" w:type="dxa"/>
            <w:tcBorders>
              <w:top w:val="nil"/>
              <w:left w:val="nil"/>
              <w:bottom w:val="single" w:sz="4" w:space="0" w:color="auto"/>
              <w:right w:val="single" w:sz="4" w:space="0" w:color="auto"/>
            </w:tcBorders>
            <w:shd w:val="clear" w:color="auto" w:fill="auto"/>
            <w:vAlign w:val="center"/>
            <w:hideMark/>
          </w:tcPr>
          <w:p w14:paraId="2A617CA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597" w:type="dxa"/>
            <w:tcBorders>
              <w:top w:val="nil"/>
              <w:left w:val="nil"/>
              <w:bottom w:val="single" w:sz="4" w:space="0" w:color="auto"/>
              <w:right w:val="single" w:sz="4" w:space="0" w:color="auto"/>
            </w:tcBorders>
            <w:shd w:val="clear" w:color="auto" w:fill="auto"/>
            <w:vAlign w:val="center"/>
            <w:hideMark/>
          </w:tcPr>
          <w:p w14:paraId="78F7A2C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26%</w:t>
            </w:r>
          </w:p>
        </w:tc>
        <w:tc>
          <w:tcPr>
            <w:tcW w:w="706" w:type="dxa"/>
            <w:tcBorders>
              <w:top w:val="nil"/>
              <w:left w:val="nil"/>
              <w:bottom w:val="single" w:sz="4" w:space="0" w:color="auto"/>
              <w:right w:val="single" w:sz="4" w:space="0" w:color="auto"/>
            </w:tcBorders>
            <w:shd w:val="clear" w:color="auto" w:fill="auto"/>
            <w:vAlign w:val="center"/>
            <w:hideMark/>
          </w:tcPr>
          <w:p w14:paraId="4F2C882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A7034A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789EE3E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675B3A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R-449A</w:t>
            </w:r>
          </w:p>
        </w:tc>
        <w:tc>
          <w:tcPr>
            <w:tcW w:w="1170" w:type="dxa"/>
            <w:tcBorders>
              <w:top w:val="nil"/>
              <w:left w:val="nil"/>
              <w:bottom w:val="single" w:sz="4" w:space="0" w:color="auto"/>
              <w:right w:val="nil"/>
            </w:tcBorders>
            <w:shd w:val="clear" w:color="auto" w:fill="auto"/>
            <w:vAlign w:val="center"/>
            <w:hideMark/>
          </w:tcPr>
          <w:p w14:paraId="6C7A959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5C8AB7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24.70%</w:t>
            </w:r>
          </w:p>
        </w:tc>
        <w:tc>
          <w:tcPr>
            <w:tcW w:w="1166" w:type="dxa"/>
            <w:tcBorders>
              <w:top w:val="nil"/>
              <w:left w:val="nil"/>
              <w:bottom w:val="single" w:sz="4" w:space="0" w:color="auto"/>
              <w:right w:val="single" w:sz="4" w:space="0" w:color="auto"/>
            </w:tcBorders>
            <w:shd w:val="clear" w:color="auto" w:fill="auto"/>
            <w:vAlign w:val="center"/>
            <w:hideMark/>
          </w:tcPr>
          <w:p w14:paraId="6E672C0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0710F80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25.70%</w:t>
            </w:r>
          </w:p>
        </w:tc>
        <w:tc>
          <w:tcPr>
            <w:tcW w:w="965" w:type="dxa"/>
            <w:tcBorders>
              <w:top w:val="nil"/>
              <w:left w:val="nil"/>
              <w:bottom w:val="single" w:sz="4" w:space="0" w:color="auto"/>
              <w:right w:val="single" w:sz="4" w:space="0" w:color="auto"/>
            </w:tcBorders>
            <w:shd w:val="clear" w:color="auto" w:fill="auto"/>
            <w:vAlign w:val="center"/>
            <w:hideMark/>
          </w:tcPr>
          <w:p w14:paraId="310855E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7D43039" w14:textId="77777777" w:rsidR="00232FF7" w:rsidRPr="00752D88" w:rsidRDefault="00232FF7" w:rsidP="006451A1">
            <w:pPr>
              <w:spacing w:after="0" w:line="240" w:lineRule="auto"/>
              <w:ind w:left="-145"/>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24.30%</w:t>
            </w:r>
          </w:p>
        </w:tc>
        <w:tc>
          <w:tcPr>
            <w:tcW w:w="960" w:type="dxa"/>
            <w:tcBorders>
              <w:top w:val="nil"/>
              <w:left w:val="nil"/>
              <w:bottom w:val="single" w:sz="4" w:space="0" w:color="auto"/>
              <w:right w:val="single" w:sz="4" w:space="0" w:color="auto"/>
            </w:tcBorders>
            <w:shd w:val="clear" w:color="auto" w:fill="auto"/>
            <w:vAlign w:val="center"/>
            <w:hideMark/>
          </w:tcPr>
          <w:p w14:paraId="124AC21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905B058" w14:textId="77777777" w:rsidR="00232FF7" w:rsidRPr="00752D88" w:rsidRDefault="00232FF7" w:rsidP="006451A1">
            <w:pPr>
              <w:spacing w:after="0" w:line="240" w:lineRule="auto"/>
              <w:ind w:left="-216"/>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25.3%</w:t>
            </w:r>
          </w:p>
        </w:tc>
        <w:tc>
          <w:tcPr>
            <w:tcW w:w="960" w:type="dxa"/>
            <w:tcBorders>
              <w:top w:val="nil"/>
              <w:left w:val="nil"/>
              <w:bottom w:val="single" w:sz="4" w:space="0" w:color="auto"/>
              <w:right w:val="single" w:sz="4" w:space="0" w:color="auto"/>
            </w:tcBorders>
            <w:shd w:val="clear" w:color="auto" w:fill="auto"/>
            <w:vAlign w:val="center"/>
            <w:hideMark/>
          </w:tcPr>
          <w:p w14:paraId="4A4B09B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3BBFB07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3E1343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19D3FA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A137B9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29AA5D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R-449B</w:t>
            </w:r>
          </w:p>
        </w:tc>
        <w:tc>
          <w:tcPr>
            <w:tcW w:w="1170" w:type="dxa"/>
            <w:tcBorders>
              <w:top w:val="nil"/>
              <w:left w:val="nil"/>
              <w:bottom w:val="single" w:sz="4" w:space="0" w:color="auto"/>
              <w:right w:val="nil"/>
            </w:tcBorders>
            <w:shd w:val="clear" w:color="auto" w:fill="auto"/>
            <w:vAlign w:val="center"/>
            <w:hideMark/>
          </w:tcPr>
          <w:p w14:paraId="01D7BE5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AE7FD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24.30%</w:t>
            </w:r>
          </w:p>
        </w:tc>
        <w:tc>
          <w:tcPr>
            <w:tcW w:w="1166" w:type="dxa"/>
            <w:tcBorders>
              <w:top w:val="nil"/>
              <w:left w:val="nil"/>
              <w:bottom w:val="single" w:sz="4" w:space="0" w:color="auto"/>
              <w:right w:val="single" w:sz="4" w:space="0" w:color="auto"/>
            </w:tcBorders>
            <w:shd w:val="clear" w:color="auto" w:fill="auto"/>
            <w:vAlign w:val="center"/>
            <w:hideMark/>
          </w:tcPr>
          <w:p w14:paraId="5D6ABF8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6342763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27.30%</w:t>
            </w:r>
          </w:p>
        </w:tc>
        <w:tc>
          <w:tcPr>
            <w:tcW w:w="965" w:type="dxa"/>
            <w:tcBorders>
              <w:top w:val="nil"/>
              <w:left w:val="nil"/>
              <w:bottom w:val="single" w:sz="4" w:space="0" w:color="auto"/>
              <w:right w:val="single" w:sz="4" w:space="0" w:color="auto"/>
            </w:tcBorders>
            <w:shd w:val="clear" w:color="auto" w:fill="auto"/>
            <w:vAlign w:val="center"/>
            <w:hideMark/>
          </w:tcPr>
          <w:p w14:paraId="07BEAD9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9176DBA" w14:textId="77777777" w:rsidR="00232FF7" w:rsidRPr="00752D88" w:rsidRDefault="00232FF7" w:rsidP="006451A1">
            <w:pPr>
              <w:spacing w:after="0" w:line="240" w:lineRule="auto"/>
              <w:ind w:left="-145"/>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25.20%</w:t>
            </w:r>
          </w:p>
        </w:tc>
        <w:tc>
          <w:tcPr>
            <w:tcW w:w="960" w:type="dxa"/>
            <w:tcBorders>
              <w:top w:val="nil"/>
              <w:left w:val="nil"/>
              <w:bottom w:val="single" w:sz="4" w:space="0" w:color="auto"/>
              <w:right w:val="single" w:sz="4" w:space="0" w:color="auto"/>
            </w:tcBorders>
            <w:shd w:val="clear" w:color="auto" w:fill="auto"/>
            <w:vAlign w:val="center"/>
            <w:hideMark/>
          </w:tcPr>
          <w:p w14:paraId="52D93E8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3419A16" w14:textId="77777777" w:rsidR="00232FF7" w:rsidRPr="00752D88" w:rsidRDefault="00232FF7" w:rsidP="006451A1">
            <w:pPr>
              <w:spacing w:after="0" w:line="240" w:lineRule="auto"/>
              <w:ind w:left="-216"/>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23.2%</w:t>
            </w:r>
          </w:p>
        </w:tc>
        <w:tc>
          <w:tcPr>
            <w:tcW w:w="960" w:type="dxa"/>
            <w:tcBorders>
              <w:top w:val="nil"/>
              <w:left w:val="nil"/>
              <w:bottom w:val="single" w:sz="4" w:space="0" w:color="auto"/>
              <w:right w:val="single" w:sz="4" w:space="0" w:color="auto"/>
            </w:tcBorders>
            <w:shd w:val="clear" w:color="auto" w:fill="auto"/>
            <w:vAlign w:val="center"/>
            <w:hideMark/>
          </w:tcPr>
          <w:p w14:paraId="36C1294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2B59D9E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109E4A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63951A0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9D7AE3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878566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R-449C</w:t>
            </w:r>
          </w:p>
        </w:tc>
        <w:tc>
          <w:tcPr>
            <w:tcW w:w="1170" w:type="dxa"/>
            <w:tcBorders>
              <w:top w:val="nil"/>
              <w:left w:val="nil"/>
              <w:bottom w:val="single" w:sz="4" w:space="0" w:color="auto"/>
              <w:right w:val="nil"/>
            </w:tcBorders>
            <w:shd w:val="clear" w:color="auto" w:fill="auto"/>
            <w:vAlign w:val="center"/>
            <w:hideMark/>
          </w:tcPr>
          <w:p w14:paraId="0B97500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6E63FF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20%</w:t>
            </w:r>
          </w:p>
        </w:tc>
        <w:tc>
          <w:tcPr>
            <w:tcW w:w="1166" w:type="dxa"/>
            <w:tcBorders>
              <w:top w:val="nil"/>
              <w:left w:val="nil"/>
              <w:bottom w:val="single" w:sz="4" w:space="0" w:color="auto"/>
              <w:right w:val="single" w:sz="4" w:space="0" w:color="auto"/>
            </w:tcBorders>
            <w:shd w:val="clear" w:color="auto" w:fill="auto"/>
            <w:vAlign w:val="center"/>
            <w:hideMark/>
          </w:tcPr>
          <w:p w14:paraId="0A30A04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06818A7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29%</w:t>
            </w:r>
          </w:p>
        </w:tc>
        <w:tc>
          <w:tcPr>
            <w:tcW w:w="965" w:type="dxa"/>
            <w:tcBorders>
              <w:top w:val="nil"/>
              <w:left w:val="nil"/>
              <w:bottom w:val="single" w:sz="4" w:space="0" w:color="auto"/>
              <w:right w:val="single" w:sz="4" w:space="0" w:color="auto"/>
            </w:tcBorders>
            <w:shd w:val="clear" w:color="auto" w:fill="auto"/>
            <w:vAlign w:val="center"/>
            <w:hideMark/>
          </w:tcPr>
          <w:p w14:paraId="32A942A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26E0710" w14:textId="77777777" w:rsidR="00232FF7" w:rsidRPr="00752D88" w:rsidRDefault="00232FF7" w:rsidP="006451A1">
            <w:pPr>
              <w:spacing w:after="0" w:line="240" w:lineRule="auto"/>
              <w:ind w:left="-145"/>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20%</w:t>
            </w:r>
          </w:p>
        </w:tc>
        <w:tc>
          <w:tcPr>
            <w:tcW w:w="960" w:type="dxa"/>
            <w:tcBorders>
              <w:top w:val="nil"/>
              <w:left w:val="nil"/>
              <w:bottom w:val="single" w:sz="4" w:space="0" w:color="auto"/>
              <w:right w:val="single" w:sz="4" w:space="0" w:color="auto"/>
            </w:tcBorders>
            <w:shd w:val="clear" w:color="auto" w:fill="auto"/>
            <w:vAlign w:val="center"/>
            <w:hideMark/>
          </w:tcPr>
          <w:p w14:paraId="7211ABD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AFACF7F" w14:textId="77777777" w:rsidR="00232FF7" w:rsidRPr="00752D88" w:rsidRDefault="00232FF7" w:rsidP="006451A1">
            <w:pPr>
              <w:spacing w:after="0" w:line="240" w:lineRule="auto"/>
              <w:ind w:left="-74"/>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31%</w:t>
            </w:r>
          </w:p>
        </w:tc>
        <w:tc>
          <w:tcPr>
            <w:tcW w:w="960" w:type="dxa"/>
            <w:tcBorders>
              <w:top w:val="nil"/>
              <w:left w:val="nil"/>
              <w:bottom w:val="single" w:sz="4" w:space="0" w:color="auto"/>
              <w:right w:val="single" w:sz="4" w:space="0" w:color="auto"/>
            </w:tcBorders>
            <w:shd w:val="clear" w:color="auto" w:fill="auto"/>
            <w:vAlign w:val="center"/>
            <w:hideMark/>
          </w:tcPr>
          <w:p w14:paraId="72F6F40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06FBC56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3D0976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44DDB0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5E420C7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2439A1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R-450A</w:t>
            </w:r>
          </w:p>
        </w:tc>
        <w:tc>
          <w:tcPr>
            <w:tcW w:w="1170" w:type="dxa"/>
            <w:tcBorders>
              <w:top w:val="nil"/>
              <w:left w:val="nil"/>
              <w:bottom w:val="single" w:sz="4" w:space="0" w:color="auto"/>
              <w:right w:val="nil"/>
            </w:tcBorders>
            <w:shd w:val="clear" w:color="auto" w:fill="auto"/>
            <w:vAlign w:val="center"/>
            <w:hideMark/>
          </w:tcPr>
          <w:p w14:paraId="467B7F4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ACFC57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42%</w:t>
            </w:r>
          </w:p>
        </w:tc>
        <w:tc>
          <w:tcPr>
            <w:tcW w:w="1166" w:type="dxa"/>
            <w:tcBorders>
              <w:top w:val="nil"/>
              <w:left w:val="nil"/>
              <w:bottom w:val="single" w:sz="4" w:space="0" w:color="auto"/>
              <w:right w:val="single" w:sz="4" w:space="0" w:color="auto"/>
            </w:tcBorders>
            <w:shd w:val="clear" w:color="auto" w:fill="auto"/>
            <w:vAlign w:val="center"/>
            <w:hideMark/>
          </w:tcPr>
          <w:p w14:paraId="5FD6BF1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10"/>
                <w:sz w:val="16"/>
                <w:szCs w:val="16"/>
                <w:lang w:val="en-GB" w:eastAsia="en-CA"/>
              </w:rPr>
              <w:t>HFO-1234ze (E)</w:t>
            </w:r>
          </w:p>
        </w:tc>
        <w:tc>
          <w:tcPr>
            <w:tcW w:w="820" w:type="dxa"/>
            <w:tcBorders>
              <w:top w:val="nil"/>
              <w:left w:val="nil"/>
              <w:bottom w:val="single" w:sz="4" w:space="0" w:color="auto"/>
              <w:right w:val="single" w:sz="4" w:space="0" w:color="auto"/>
            </w:tcBorders>
            <w:shd w:val="clear" w:color="auto" w:fill="auto"/>
            <w:vAlign w:val="center"/>
            <w:hideMark/>
          </w:tcPr>
          <w:p w14:paraId="4C6EC2C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58%</w:t>
            </w:r>
          </w:p>
        </w:tc>
        <w:tc>
          <w:tcPr>
            <w:tcW w:w="965" w:type="dxa"/>
            <w:tcBorders>
              <w:top w:val="nil"/>
              <w:left w:val="nil"/>
              <w:bottom w:val="single" w:sz="4" w:space="0" w:color="auto"/>
              <w:right w:val="single" w:sz="4" w:space="0" w:color="auto"/>
            </w:tcBorders>
            <w:shd w:val="clear" w:color="auto" w:fill="auto"/>
            <w:vAlign w:val="center"/>
            <w:hideMark/>
          </w:tcPr>
          <w:p w14:paraId="5033472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A3E5EF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5CF015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173B3B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EC1202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1FC7C3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7E3665A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7E7AF7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771BF73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6E5149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R-451A</w:t>
            </w:r>
          </w:p>
        </w:tc>
        <w:tc>
          <w:tcPr>
            <w:tcW w:w="1170" w:type="dxa"/>
            <w:tcBorders>
              <w:top w:val="nil"/>
              <w:left w:val="nil"/>
              <w:bottom w:val="single" w:sz="4" w:space="0" w:color="auto"/>
              <w:right w:val="nil"/>
            </w:tcBorders>
            <w:shd w:val="clear" w:color="auto" w:fill="auto"/>
            <w:vAlign w:val="center"/>
            <w:hideMark/>
          </w:tcPr>
          <w:p w14:paraId="3D5392C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A33101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10.20%</w:t>
            </w:r>
          </w:p>
        </w:tc>
        <w:tc>
          <w:tcPr>
            <w:tcW w:w="1166" w:type="dxa"/>
            <w:tcBorders>
              <w:top w:val="nil"/>
              <w:left w:val="nil"/>
              <w:bottom w:val="single" w:sz="4" w:space="0" w:color="auto"/>
              <w:right w:val="single" w:sz="4" w:space="0" w:color="auto"/>
            </w:tcBorders>
            <w:shd w:val="clear" w:color="auto" w:fill="auto"/>
            <w:vAlign w:val="center"/>
            <w:hideMark/>
          </w:tcPr>
          <w:p w14:paraId="23FE4CB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820" w:type="dxa"/>
            <w:tcBorders>
              <w:top w:val="nil"/>
              <w:left w:val="nil"/>
              <w:bottom w:val="single" w:sz="4" w:space="0" w:color="auto"/>
              <w:right w:val="single" w:sz="4" w:space="0" w:color="auto"/>
            </w:tcBorders>
            <w:shd w:val="clear" w:color="auto" w:fill="auto"/>
            <w:vAlign w:val="center"/>
            <w:hideMark/>
          </w:tcPr>
          <w:p w14:paraId="6DD16E4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89.80%</w:t>
            </w:r>
          </w:p>
        </w:tc>
        <w:tc>
          <w:tcPr>
            <w:tcW w:w="965" w:type="dxa"/>
            <w:tcBorders>
              <w:top w:val="nil"/>
              <w:left w:val="nil"/>
              <w:bottom w:val="single" w:sz="4" w:space="0" w:color="auto"/>
              <w:right w:val="single" w:sz="4" w:space="0" w:color="auto"/>
            </w:tcBorders>
            <w:shd w:val="clear" w:color="auto" w:fill="auto"/>
            <w:vAlign w:val="center"/>
            <w:hideMark/>
          </w:tcPr>
          <w:p w14:paraId="167F9DC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8D510B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0EE4CF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10C54F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1242D0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23E0EA5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68BFD2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37B955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72C6391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6E84BC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R-451B</w:t>
            </w:r>
          </w:p>
        </w:tc>
        <w:tc>
          <w:tcPr>
            <w:tcW w:w="1170" w:type="dxa"/>
            <w:tcBorders>
              <w:top w:val="nil"/>
              <w:left w:val="nil"/>
              <w:bottom w:val="single" w:sz="4" w:space="0" w:color="auto"/>
              <w:right w:val="nil"/>
            </w:tcBorders>
            <w:shd w:val="clear" w:color="auto" w:fill="auto"/>
            <w:vAlign w:val="center"/>
            <w:hideMark/>
          </w:tcPr>
          <w:p w14:paraId="18AF034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1E992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11.20%</w:t>
            </w:r>
          </w:p>
        </w:tc>
        <w:tc>
          <w:tcPr>
            <w:tcW w:w="1166" w:type="dxa"/>
            <w:tcBorders>
              <w:top w:val="nil"/>
              <w:left w:val="nil"/>
              <w:bottom w:val="single" w:sz="4" w:space="0" w:color="auto"/>
              <w:right w:val="single" w:sz="4" w:space="0" w:color="auto"/>
            </w:tcBorders>
            <w:shd w:val="clear" w:color="auto" w:fill="auto"/>
            <w:vAlign w:val="center"/>
            <w:hideMark/>
          </w:tcPr>
          <w:p w14:paraId="69E67AD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820" w:type="dxa"/>
            <w:tcBorders>
              <w:top w:val="nil"/>
              <w:left w:val="nil"/>
              <w:bottom w:val="single" w:sz="4" w:space="0" w:color="auto"/>
              <w:right w:val="single" w:sz="4" w:space="0" w:color="auto"/>
            </w:tcBorders>
            <w:shd w:val="clear" w:color="auto" w:fill="auto"/>
            <w:vAlign w:val="center"/>
            <w:hideMark/>
          </w:tcPr>
          <w:p w14:paraId="4A040FE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88.80%</w:t>
            </w:r>
          </w:p>
        </w:tc>
        <w:tc>
          <w:tcPr>
            <w:tcW w:w="965" w:type="dxa"/>
            <w:tcBorders>
              <w:top w:val="nil"/>
              <w:left w:val="nil"/>
              <w:bottom w:val="single" w:sz="4" w:space="0" w:color="auto"/>
              <w:right w:val="single" w:sz="4" w:space="0" w:color="auto"/>
            </w:tcBorders>
            <w:shd w:val="clear" w:color="auto" w:fill="auto"/>
            <w:vAlign w:val="center"/>
            <w:hideMark/>
          </w:tcPr>
          <w:p w14:paraId="18E303C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814FAF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7EC40A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D7A051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D23025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531D0D6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C9928A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AB9538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228D564F"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989C38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R-452A</w:t>
            </w:r>
          </w:p>
        </w:tc>
        <w:tc>
          <w:tcPr>
            <w:tcW w:w="1170" w:type="dxa"/>
            <w:tcBorders>
              <w:top w:val="nil"/>
              <w:left w:val="nil"/>
              <w:bottom w:val="single" w:sz="4" w:space="0" w:color="auto"/>
              <w:right w:val="nil"/>
            </w:tcBorders>
            <w:shd w:val="clear" w:color="auto" w:fill="auto"/>
            <w:vAlign w:val="center"/>
            <w:hideMark/>
          </w:tcPr>
          <w:p w14:paraId="75201D7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C163F6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59%</w:t>
            </w:r>
          </w:p>
        </w:tc>
        <w:tc>
          <w:tcPr>
            <w:tcW w:w="1166" w:type="dxa"/>
            <w:tcBorders>
              <w:top w:val="nil"/>
              <w:left w:val="nil"/>
              <w:bottom w:val="single" w:sz="4" w:space="0" w:color="auto"/>
              <w:right w:val="single" w:sz="4" w:space="0" w:color="auto"/>
            </w:tcBorders>
            <w:shd w:val="clear" w:color="auto" w:fill="auto"/>
            <w:vAlign w:val="center"/>
            <w:hideMark/>
          </w:tcPr>
          <w:p w14:paraId="2C8A697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54FC01F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11%</w:t>
            </w:r>
          </w:p>
        </w:tc>
        <w:tc>
          <w:tcPr>
            <w:tcW w:w="965" w:type="dxa"/>
            <w:tcBorders>
              <w:top w:val="nil"/>
              <w:left w:val="nil"/>
              <w:bottom w:val="single" w:sz="4" w:space="0" w:color="auto"/>
              <w:right w:val="single" w:sz="4" w:space="0" w:color="auto"/>
            </w:tcBorders>
            <w:shd w:val="clear" w:color="auto" w:fill="auto"/>
            <w:vAlign w:val="center"/>
            <w:hideMark/>
          </w:tcPr>
          <w:p w14:paraId="62E472D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116839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30%</w:t>
            </w:r>
          </w:p>
        </w:tc>
        <w:tc>
          <w:tcPr>
            <w:tcW w:w="960" w:type="dxa"/>
            <w:tcBorders>
              <w:top w:val="nil"/>
              <w:left w:val="nil"/>
              <w:bottom w:val="single" w:sz="4" w:space="0" w:color="auto"/>
              <w:right w:val="single" w:sz="4" w:space="0" w:color="auto"/>
            </w:tcBorders>
            <w:shd w:val="clear" w:color="auto" w:fill="auto"/>
            <w:vAlign w:val="center"/>
            <w:hideMark/>
          </w:tcPr>
          <w:p w14:paraId="07C2F76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D99B8B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D50AC0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4AE3ACE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B6D149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2BB328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77FF3EF"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334C73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R-452B</w:t>
            </w:r>
          </w:p>
        </w:tc>
        <w:tc>
          <w:tcPr>
            <w:tcW w:w="1170" w:type="dxa"/>
            <w:tcBorders>
              <w:top w:val="nil"/>
              <w:left w:val="nil"/>
              <w:bottom w:val="single" w:sz="4" w:space="0" w:color="auto"/>
              <w:right w:val="nil"/>
            </w:tcBorders>
            <w:shd w:val="clear" w:color="auto" w:fill="auto"/>
            <w:vAlign w:val="center"/>
            <w:hideMark/>
          </w:tcPr>
          <w:p w14:paraId="3ACAD9B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30E90A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w:t>
            </w:r>
          </w:p>
        </w:tc>
        <w:tc>
          <w:tcPr>
            <w:tcW w:w="1166" w:type="dxa"/>
            <w:tcBorders>
              <w:top w:val="nil"/>
              <w:left w:val="nil"/>
              <w:bottom w:val="single" w:sz="4" w:space="0" w:color="auto"/>
              <w:right w:val="single" w:sz="4" w:space="0" w:color="auto"/>
            </w:tcBorders>
            <w:shd w:val="clear" w:color="auto" w:fill="auto"/>
            <w:vAlign w:val="center"/>
            <w:hideMark/>
          </w:tcPr>
          <w:p w14:paraId="30CF39D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18EAE6A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67%</w:t>
            </w:r>
          </w:p>
        </w:tc>
        <w:tc>
          <w:tcPr>
            <w:tcW w:w="965" w:type="dxa"/>
            <w:tcBorders>
              <w:top w:val="nil"/>
              <w:left w:val="nil"/>
              <w:bottom w:val="single" w:sz="4" w:space="0" w:color="auto"/>
              <w:right w:val="single" w:sz="4" w:space="0" w:color="auto"/>
            </w:tcBorders>
            <w:shd w:val="clear" w:color="auto" w:fill="auto"/>
            <w:vAlign w:val="center"/>
            <w:hideMark/>
          </w:tcPr>
          <w:p w14:paraId="069EECE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9F262A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26%</w:t>
            </w:r>
          </w:p>
        </w:tc>
        <w:tc>
          <w:tcPr>
            <w:tcW w:w="960" w:type="dxa"/>
            <w:tcBorders>
              <w:top w:val="nil"/>
              <w:left w:val="nil"/>
              <w:bottom w:val="single" w:sz="4" w:space="0" w:color="auto"/>
              <w:right w:val="single" w:sz="4" w:space="0" w:color="auto"/>
            </w:tcBorders>
            <w:shd w:val="clear" w:color="auto" w:fill="auto"/>
            <w:vAlign w:val="center"/>
            <w:hideMark/>
          </w:tcPr>
          <w:p w14:paraId="02BEB41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90FF55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444687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6F68AE3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1DF0600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9A0C3B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403913F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2BDC5C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R-452C</w:t>
            </w:r>
          </w:p>
        </w:tc>
        <w:tc>
          <w:tcPr>
            <w:tcW w:w="1170" w:type="dxa"/>
            <w:tcBorders>
              <w:top w:val="nil"/>
              <w:left w:val="nil"/>
              <w:bottom w:val="single" w:sz="4" w:space="0" w:color="auto"/>
              <w:right w:val="nil"/>
            </w:tcBorders>
            <w:shd w:val="clear" w:color="auto" w:fill="auto"/>
            <w:vAlign w:val="center"/>
            <w:hideMark/>
          </w:tcPr>
          <w:p w14:paraId="6558643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09696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61%</w:t>
            </w:r>
          </w:p>
        </w:tc>
        <w:tc>
          <w:tcPr>
            <w:tcW w:w="1166" w:type="dxa"/>
            <w:tcBorders>
              <w:top w:val="nil"/>
              <w:left w:val="nil"/>
              <w:bottom w:val="single" w:sz="4" w:space="0" w:color="auto"/>
              <w:right w:val="single" w:sz="4" w:space="0" w:color="auto"/>
            </w:tcBorders>
            <w:shd w:val="clear" w:color="auto" w:fill="auto"/>
            <w:vAlign w:val="center"/>
            <w:hideMark/>
          </w:tcPr>
          <w:p w14:paraId="031E2D1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37B5024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12.50%</w:t>
            </w:r>
          </w:p>
        </w:tc>
        <w:tc>
          <w:tcPr>
            <w:tcW w:w="965" w:type="dxa"/>
            <w:tcBorders>
              <w:top w:val="nil"/>
              <w:left w:val="nil"/>
              <w:bottom w:val="single" w:sz="4" w:space="0" w:color="auto"/>
              <w:right w:val="single" w:sz="4" w:space="0" w:color="auto"/>
            </w:tcBorders>
            <w:shd w:val="clear" w:color="auto" w:fill="auto"/>
            <w:vAlign w:val="center"/>
            <w:hideMark/>
          </w:tcPr>
          <w:p w14:paraId="3624603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C8BFE57" w14:textId="77777777" w:rsidR="00232FF7" w:rsidRPr="00752D88" w:rsidRDefault="00232FF7" w:rsidP="006451A1">
            <w:pPr>
              <w:spacing w:after="0" w:line="240" w:lineRule="auto"/>
              <w:ind w:left="-145"/>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26.5%</w:t>
            </w:r>
          </w:p>
        </w:tc>
        <w:tc>
          <w:tcPr>
            <w:tcW w:w="960" w:type="dxa"/>
            <w:tcBorders>
              <w:top w:val="nil"/>
              <w:left w:val="nil"/>
              <w:bottom w:val="single" w:sz="4" w:space="0" w:color="auto"/>
              <w:right w:val="single" w:sz="4" w:space="0" w:color="auto"/>
            </w:tcBorders>
            <w:shd w:val="clear" w:color="auto" w:fill="auto"/>
            <w:vAlign w:val="center"/>
            <w:hideMark/>
          </w:tcPr>
          <w:p w14:paraId="11A919B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F4C273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78A645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2338503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426B574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B00293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4BC476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8BEE7E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R-453A</w:t>
            </w:r>
          </w:p>
        </w:tc>
        <w:tc>
          <w:tcPr>
            <w:tcW w:w="1170" w:type="dxa"/>
            <w:tcBorders>
              <w:top w:val="nil"/>
              <w:left w:val="nil"/>
              <w:bottom w:val="single" w:sz="4" w:space="0" w:color="auto"/>
              <w:right w:val="nil"/>
            </w:tcBorders>
            <w:shd w:val="clear" w:color="auto" w:fill="auto"/>
            <w:vAlign w:val="center"/>
            <w:hideMark/>
          </w:tcPr>
          <w:p w14:paraId="7ED3839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36B858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0.60%</w:t>
            </w:r>
          </w:p>
        </w:tc>
        <w:tc>
          <w:tcPr>
            <w:tcW w:w="1166" w:type="dxa"/>
            <w:tcBorders>
              <w:top w:val="nil"/>
              <w:left w:val="nil"/>
              <w:bottom w:val="single" w:sz="4" w:space="0" w:color="auto"/>
              <w:right w:val="single" w:sz="4" w:space="0" w:color="auto"/>
            </w:tcBorders>
            <w:shd w:val="clear" w:color="auto" w:fill="auto"/>
            <w:vAlign w:val="center"/>
            <w:hideMark/>
          </w:tcPr>
          <w:p w14:paraId="1EED7D4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HC-601a</w:t>
            </w:r>
          </w:p>
        </w:tc>
        <w:tc>
          <w:tcPr>
            <w:tcW w:w="820" w:type="dxa"/>
            <w:tcBorders>
              <w:top w:val="nil"/>
              <w:left w:val="nil"/>
              <w:bottom w:val="single" w:sz="4" w:space="0" w:color="auto"/>
              <w:right w:val="single" w:sz="4" w:space="0" w:color="auto"/>
            </w:tcBorders>
            <w:shd w:val="clear" w:color="auto" w:fill="auto"/>
            <w:vAlign w:val="center"/>
            <w:hideMark/>
          </w:tcPr>
          <w:p w14:paraId="17ECF23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0.60%</w:t>
            </w:r>
          </w:p>
        </w:tc>
        <w:tc>
          <w:tcPr>
            <w:tcW w:w="965" w:type="dxa"/>
            <w:tcBorders>
              <w:top w:val="nil"/>
              <w:left w:val="nil"/>
              <w:bottom w:val="single" w:sz="4" w:space="0" w:color="auto"/>
              <w:right w:val="single" w:sz="4" w:space="0" w:color="auto"/>
            </w:tcBorders>
            <w:shd w:val="clear" w:color="auto" w:fill="auto"/>
            <w:vAlign w:val="center"/>
            <w:hideMark/>
          </w:tcPr>
          <w:p w14:paraId="781478B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46753A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20%</w:t>
            </w:r>
          </w:p>
        </w:tc>
        <w:tc>
          <w:tcPr>
            <w:tcW w:w="960" w:type="dxa"/>
            <w:tcBorders>
              <w:top w:val="nil"/>
              <w:left w:val="nil"/>
              <w:bottom w:val="single" w:sz="4" w:space="0" w:color="auto"/>
              <w:right w:val="single" w:sz="4" w:space="0" w:color="auto"/>
            </w:tcBorders>
            <w:shd w:val="clear" w:color="auto" w:fill="auto"/>
            <w:vAlign w:val="center"/>
            <w:hideMark/>
          </w:tcPr>
          <w:p w14:paraId="4B0010D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9301A3" w14:textId="77777777" w:rsidR="00232FF7" w:rsidRPr="00752D88" w:rsidRDefault="00232FF7" w:rsidP="006451A1">
            <w:pPr>
              <w:spacing w:after="0" w:line="240" w:lineRule="auto"/>
              <w:ind w:left="-216"/>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53.80%</w:t>
            </w:r>
          </w:p>
        </w:tc>
        <w:tc>
          <w:tcPr>
            <w:tcW w:w="960" w:type="dxa"/>
            <w:tcBorders>
              <w:top w:val="nil"/>
              <w:left w:val="nil"/>
              <w:bottom w:val="single" w:sz="4" w:space="0" w:color="auto"/>
              <w:right w:val="single" w:sz="4" w:space="0" w:color="auto"/>
            </w:tcBorders>
            <w:shd w:val="clear" w:color="auto" w:fill="auto"/>
            <w:vAlign w:val="center"/>
            <w:hideMark/>
          </w:tcPr>
          <w:p w14:paraId="0EB2BBE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HFC-227ea</w:t>
            </w:r>
          </w:p>
        </w:tc>
        <w:tc>
          <w:tcPr>
            <w:tcW w:w="597" w:type="dxa"/>
            <w:tcBorders>
              <w:top w:val="nil"/>
              <w:left w:val="nil"/>
              <w:bottom w:val="single" w:sz="4" w:space="0" w:color="auto"/>
              <w:right w:val="single" w:sz="4" w:space="0" w:color="auto"/>
            </w:tcBorders>
            <w:shd w:val="clear" w:color="auto" w:fill="auto"/>
            <w:vAlign w:val="center"/>
            <w:hideMark/>
          </w:tcPr>
          <w:p w14:paraId="79DE95A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w:t>
            </w:r>
          </w:p>
        </w:tc>
        <w:tc>
          <w:tcPr>
            <w:tcW w:w="706" w:type="dxa"/>
            <w:tcBorders>
              <w:top w:val="nil"/>
              <w:left w:val="nil"/>
              <w:bottom w:val="single" w:sz="4" w:space="0" w:color="auto"/>
              <w:right w:val="single" w:sz="4" w:space="0" w:color="auto"/>
            </w:tcBorders>
            <w:shd w:val="clear" w:color="auto" w:fill="auto"/>
            <w:vAlign w:val="center"/>
            <w:hideMark/>
          </w:tcPr>
          <w:p w14:paraId="6B1F3B18" w14:textId="77777777" w:rsidR="00232FF7" w:rsidRPr="00752D88" w:rsidRDefault="00232FF7" w:rsidP="006451A1">
            <w:pPr>
              <w:spacing w:after="0" w:line="240" w:lineRule="auto"/>
              <w:ind w:right="-111"/>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570" w:type="dxa"/>
            <w:tcBorders>
              <w:top w:val="nil"/>
              <w:left w:val="nil"/>
              <w:bottom w:val="single" w:sz="4" w:space="0" w:color="auto"/>
              <w:right w:val="single" w:sz="4" w:space="0" w:color="auto"/>
            </w:tcBorders>
            <w:shd w:val="clear" w:color="auto" w:fill="auto"/>
            <w:vAlign w:val="center"/>
            <w:hideMark/>
          </w:tcPr>
          <w:p w14:paraId="282B006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20%</w:t>
            </w:r>
          </w:p>
        </w:tc>
      </w:tr>
      <w:tr w:rsidR="00232FF7" w:rsidRPr="00752D88" w14:paraId="2B09149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60C83F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R-454A</w:t>
            </w:r>
          </w:p>
        </w:tc>
        <w:tc>
          <w:tcPr>
            <w:tcW w:w="1170" w:type="dxa"/>
            <w:tcBorders>
              <w:top w:val="nil"/>
              <w:left w:val="nil"/>
              <w:bottom w:val="single" w:sz="4" w:space="0" w:color="auto"/>
              <w:right w:val="nil"/>
            </w:tcBorders>
            <w:shd w:val="clear" w:color="auto" w:fill="auto"/>
            <w:vAlign w:val="center"/>
            <w:hideMark/>
          </w:tcPr>
          <w:p w14:paraId="792FD8D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B9DE9A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35%</w:t>
            </w:r>
          </w:p>
        </w:tc>
        <w:tc>
          <w:tcPr>
            <w:tcW w:w="1166" w:type="dxa"/>
            <w:tcBorders>
              <w:top w:val="nil"/>
              <w:left w:val="nil"/>
              <w:bottom w:val="single" w:sz="4" w:space="0" w:color="auto"/>
              <w:right w:val="single" w:sz="4" w:space="0" w:color="auto"/>
            </w:tcBorders>
            <w:shd w:val="clear" w:color="auto" w:fill="auto"/>
            <w:vAlign w:val="center"/>
            <w:hideMark/>
          </w:tcPr>
          <w:p w14:paraId="341A4F3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820" w:type="dxa"/>
            <w:tcBorders>
              <w:top w:val="nil"/>
              <w:left w:val="nil"/>
              <w:bottom w:val="single" w:sz="4" w:space="0" w:color="auto"/>
              <w:right w:val="single" w:sz="4" w:space="0" w:color="auto"/>
            </w:tcBorders>
            <w:shd w:val="clear" w:color="auto" w:fill="auto"/>
            <w:vAlign w:val="center"/>
            <w:hideMark/>
          </w:tcPr>
          <w:p w14:paraId="705DC1C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65%</w:t>
            </w:r>
          </w:p>
        </w:tc>
        <w:tc>
          <w:tcPr>
            <w:tcW w:w="965" w:type="dxa"/>
            <w:tcBorders>
              <w:top w:val="nil"/>
              <w:left w:val="nil"/>
              <w:bottom w:val="single" w:sz="4" w:space="0" w:color="auto"/>
              <w:right w:val="single" w:sz="4" w:space="0" w:color="auto"/>
            </w:tcBorders>
            <w:shd w:val="clear" w:color="auto" w:fill="auto"/>
            <w:vAlign w:val="center"/>
            <w:hideMark/>
          </w:tcPr>
          <w:p w14:paraId="57DEDB9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B9BC91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27D390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902006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CD5A1F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6AB27B6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C3625D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456A51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4F2C5DB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668A50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R-454B</w:t>
            </w:r>
          </w:p>
        </w:tc>
        <w:tc>
          <w:tcPr>
            <w:tcW w:w="1170" w:type="dxa"/>
            <w:tcBorders>
              <w:top w:val="nil"/>
              <w:left w:val="nil"/>
              <w:bottom w:val="single" w:sz="4" w:space="0" w:color="auto"/>
              <w:right w:val="nil"/>
            </w:tcBorders>
            <w:shd w:val="clear" w:color="auto" w:fill="auto"/>
            <w:vAlign w:val="center"/>
            <w:hideMark/>
          </w:tcPr>
          <w:p w14:paraId="478FB6C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F64348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68.90%</w:t>
            </w:r>
          </w:p>
        </w:tc>
        <w:tc>
          <w:tcPr>
            <w:tcW w:w="1166" w:type="dxa"/>
            <w:tcBorders>
              <w:top w:val="nil"/>
              <w:left w:val="nil"/>
              <w:bottom w:val="single" w:sz="4" w:space="0" w:color="auto"/>
              <w:right w:val="single" w:sz="4" w:space="0" w:color="auto"/>
            </w:tcBorders>
            <w:shd w:val="clear" w:color="auto" w:fill="auto"/>
            <w:vAlign w:val="center"/>
            <w:hideMark/>
          </w:tcPr>
          <w:p w14:paraId="7240146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820" w:type="dxa"/>
            <w:tcBorders>
              <w:top w:val="nil"/>
              <w:left w:val="nil"/>
              <w:bottom w:val="single" w:sz="4" w:space="0" w:color="auto"/>
              <w:right w:val="single" w:sz="4" w:space="0" w:color="auto"/>
            </w:tcBorders>
            <w:shd w:val="clear" w:color="auto" w:fill="auto"/>
            <w:vAlign w:val="center"/>
            <w:hideMark/>
          </w:tcPr>
          <w:p w14:paraId="1F5AB87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31.10%</w:t>
            </w:r>
          </w:p>
        </w:tc>
        <w:tc>
          <w:tcPr>
            <w:tcW w:w="965" w:type="dxa"/>
            <w:tcBorders>
              <w:top w:val="nil"/>
              <w:left w:val="nil"/>
              <w:bottom w:val="single" w:sz="4" w:space="0" w:color="auto"/>
              <w:right w:val="single" w:sz="4" w:space="0" w:color="auto"/>
            </w:tcBorders>
            <w:shd w:val="clear" w:color="auto" w:fill="auto"/>
            <w:vAlign w:val="center"/>
            <w:hideMark/>
          </w:tcPr>
          <w:p w14:paraId="76635E0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D1A561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665381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424FF9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1A6D9FF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A9EA05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27A331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5072BE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58AC484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41407A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R-454C</w:t>
            </w:r>
          </w:p>
        </w:tc>
        <w:tc>
          <w:tcPr>
            <w:tcW w:w="1170" w:type="dxa"/>
            <w:tcBorders>
              <w:top w:val="nil"/>
              <w:left w:val="nil"/>
              <w:bottom w:val="single" w:sz="4" w:space="0" w:color="auto"/>
              <w:right w:val="nil"/>
            </w:tcBorders>
            <w:shd w:val="clear" w:color="auto" w:fill="auto"/>
            <w:vAlign w:val="center"/>
            <w:hideMark/>
          </w:tcPr>
          <w:p w14:paraId="3F775BA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103ED6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21.50%</w:t>
            </w:r>
          </w:p>
        </w:tc>
        <w:tc>
          <w:tcPr>
            <w:tcW w:w="1166" w:type="dxa"/>
            <w:tcBorders>
              <w:top w:val="nil"/>
              <w:left w:val="nil"/>
              <w:bottom w:val="single" w:sz="4" w:space="0" w:color="auto"/>
              <w:right w:val="single" w:sz="4" w:space="0" w:color="auto"/>
            </w:tcBorders>
            <w:shd w:val="clear" w:color="auto" w:fill="auto"/>
            <w:vAlign w:val="center"/>
            <w:hideMark/>
          </w:tcPr>
          <w:p w14:paraId="6EB7A38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820" w:type="dxa"/>
            <w:tcBorders>
              <w:top w:val="nil"/>
              <w:left w:val="nil"/>
              <w:bottom w:val="single" w:sz="4" w:space="0" w:color="auto"/>
              <w:right w:val="single" w:sz="4" w:space="0" w:color="auto"/>
            </w:tcBorders>
            <w:shd w:val="clear" w:color="auto" w:fill="auto"/>
            <w:vAlign w:val="center"/>
            <w:hideMark/>
          </w:tcPr>
          <w:p w14:paraId="1608FF0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78.50%</w:t>
            </w:r>
          </w:p>
        </w:tc>
        <w:tc>
          <w:tcPr>
            <w:tcW w:w="965" w:type="dxa"/>
            <w:tcBorders>
              <w:top w:val="nil"/>
              <w:left w:val="nil"/>
              <w:bottom w:val="single" w:sz="4" w:space="0" w:color="auto"/>
              <w:right w:val="single" w:sz="4" w:space="0" w:color="auto"/>
            </w:tcBorders>
            <w:shd w:val="clear" w:color="auto" w:fill="auto"/>
            <w:vAlign w:val="center"/>
            <w:hideMark/>
          </w:tcPr>
          <w:p w14:paraId="722BB38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193775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15740D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B6057D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6A15DE9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640935D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062B9D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768147C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CD74E2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45CDC3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R-455A</w:t>
            </w:r>
          </w:p>
        </w:tc>
        <w:tc>
          <w:tcPr>
            <w:tcW w:w="1170" w:type="dxa"/>
            <w:tcBorders>
              <w:top w:val="nil"/>
              <w:left w:val="nil"/>
              <w:bottom w:val="single" w:sz="4" w:space="0" w:color="auto"/>
              <w:right w:val="nil"/>
            </w:tcBorders>
            <w:shd w:val="clear" w:color="auto" w:fill="auto"/>
            <w:vAlign w:val="center"/>
            <w:hideMark/>
          </w:tcPr>
          <w:p w14:paraId="5979652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12A58F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21.50%</w:t>
            </w:r>
          </w:p>
        </w:tc>
        <w:tc>
          <w:tcPr>
            <w:tcW w:w="1166" w:type="dxa"/>
            <w:tcBorders>
              <w:top w:val="nil"/>
              <w:left w:val="nil"/>
              <w:bottom w:val="single" w:sz="4" w:space="0" w:color="auto"/>
              <w:right w:val="single" w:sz="4" w:space="0" w:color="auto"/>
            </w:tcBorders>
            <w:shd w:val="clear" w:color="auto" w:fill="auto"/>
            <w:vAlign w:val="center"/>
            <w:hideMark/>
          </w:tcPr>
          <w:p w14:paraId="70A3E6B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820" w:type="dxa"/>
            <w:tcBorders>
              <w:top w:val="nil"/>
              <w:left w:val="nil"/>
              <w:bottom w:val="single" w:sz="4" w:space="0" w:color="auto"/>
              <w:right w:val="single" w:sz="4" w:space="0" w:color="auto"/>
            </w:tcBorders>
            <w:shd w:val="clear" w:color="auto" w:fill="auto"/>
            <w:vAlign w:val="center"/>
            <w:hideMark/>
          </w:tcPr>
          <w:p w14:paraId="5AD7561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75.50%</w:t>
            </w:r>
          </w:p>
        </w:tc>
        <w:tc>
          <w:tcPr>
            <w:tcW w:w="965" w:type="dxa"/>
            <w:tcBorders>
              <w:top w:val="nil"/>
              <w:left w:val="nil"/>
              <w:bottom w:val="single" w:sz="4" w:space="0" w:color="auto"/>
              <w:right w:val="single" w:sz="4" w:space="0" w:color="auto"/>
            </w:tcBorders>
            <w:shd w:val="clear" w:color="auto" w:fill="auto"/>
            <w:vAlign w:val="center"/>
            <w:hideMark/>
          </w:tcPr>
          <w:p w14:paraId="120EBF8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R-744</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AD715C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w:t>
            </w:r>
          </w:p>
        </w:tc>
        <w:tc>
          <w:tcPr>
            <w:tcW w:w="960" w:type="dxa"/>
            <w:tcBorders>
              <w:top w:val="nil"/>
              <w:left w:val="nil"/>
              <w:bottom w:val="single" w:sz="4" w:space="0" w:color="auto"/>
              <w:right w:val="single" w:sz="4" w:space="0" w:color="auto"/>
            </w:tcBorders>
            <w:shd w:val="clear" w:color="auto" w:fill="auto"/>
            <w:vAlign w:val="center"/>
            <w:hideMark/>
          </w:tcPr>
          <w:p w14:paraId="086A7A4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7E20EF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6643E3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3EB4B2C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353A74F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EA64CA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4CC347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ADD08F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R-456A</w:t>
            </w:r>
          </w:p>
        </w:tc>
        <w:tc>
          <w:tcPr>
            <w:tcW w:w="1170" w:type="dxa"/>
            <w:tcBorders>
              <w:top w:val="nil"/>
              <w:left w:val="nil"/>
              <w:bottom w:val="single" w:sz="4" w:space="0" w:color="auto"/>
              <w:right w:val="nil"/>
            </w:tcBorders>
            <w:shd w:val="clear" w:color="auto" w:fill="auto"/>
            <w:vAlign w:val="center"/>
            <w:hideMark/>
          </w:tcPr>
          <w:p w14:paraId="2CAD3EB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4B2C8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45%</w:t>
            </w:r>
          </w:p>
        </w:tc>
        <w:tc>
          <w:tcPr>
            <w:tcW w:w="1166" w:type="dxa"/>
            <w:tcBorders>
              <w:top w:val="nil"/>
              <w:left w:val="nil"/>
              <w:bottom w:val="single" w:sz="4" w:space="0" w:color="auto"/>
              <w:right w:val="single" w:sz="4" w:space="0" w:color="auto"/>
            </w:tcBorders>
            <w:shd w:val="clear" w:color="auto" w:fill="auto"/>
            <w:vAlign w:val="center"/>
            <w:hideMark/>
          </w:tcPr>
          <w:p w14:paraId="17F6EB5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76AE3A7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w:t>
            </w:r>
          </w:p>
        </w:tc>
        <w:tc>
          <w:tcPr>
            <w:tcW w:w="965" w:type="dxa"/>
            <w:tcBorders>
              <w:top w:val="nil"/>
              <w:left w:val="nil"/>
              <w:bottom w:val="single" w:sz="4" w:space="0" w:color="auto"/>
              <w:right w:val="single" w:sz="4" w:space="0" w:color="auto"/>
            </w:tcBorders>
            <w:shd w:val="clear" w:color="auto" w:fill="auto"/>
            <w:vAlign w:val="center"/>
            <w:hideMark/>
          </w:tcPr>
          <w:p w14:paraId="150608B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88A5A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49%</w:t>
            </w:r>
          </w:p>
        </w:tc>
        <w:tc>
          <w:tcPr>
            <w:tcW w:w="960" w:type="dxa"/>
            <w:tcBorders>
              <w:top w:val="nil"/>
              <w:left w:val="nil"/>
              <w:bottom w:val="single" w:sz="4" w:space="0" w:color="auto"/>
              <w:right w:val="single" w:sz="4" w:space="0" w:color="auto"/>
            </w:tcBorders>
            <w:shd w:val="clear" w:color="auto" w:fill="auto"/>
            <w:vAlign w:val="center"/>
            <w:hideMark/>
          </w:tcPr>
          <w:p w14:paraId="4C47BD5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737FCA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39E5C15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3E379C9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767F599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0E9C148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C0EB72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905A69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R-457A</w:t>
            </w:r>
          </w:p>
        </w:tc>
        <w:tc>
          <w:tcPr>
            <w:tcW w:w="1170" w:type="dxa"/>
            <w:tcBorders>
              <w:top w:val="nil"/>
              <w:left w:val="nil"/>
              <w:bottom w:val="single" w:sz="4" w:space="0" w:color="auto"/>
              <w:right w:val="nil"/>
            </w:tcBorders>
            <w:shd w:val="clear" w:color="auto" w:fill="auto"/>
            <w:vAlign w:val="center"/>
            <w:hideMark/>
          </w:tcPr>
          <w:p w14:paraId="68D6297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01458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12%</w:t>
            </w:r>
          </w:p>
        </w:tc>
        <w:tc>
          <w:tcPr>
            <w:tcW w:w="1166" w:type="dxa"/>
            <w:tcBorders>
              <w:top w:val="nil"/>
              <w:left w:val="nil"/>
              <w:bottom w:val="single" w:sz="4" w:space="0" w:color="auto"/>
              <w:right w:val="single" w:sz="4" w:space="0" w:color="auto"/>
            </w:tcBorders>
            <w:shd w:val="clear" w:color="auto" w:fill="auto"/>
            <w:vAlign w:val="center"/>
            <w:hideMark/>
          </w:tcPr>
          <w:p w14:paraId="7AD5CFB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778F9BB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18%</w:t>
            </w:r>
          </w:p>
        </w:tc>
        <w:tc>
          <w:tcPr>
            <w:tcW w:w="965" w:type="dxa"/>
            <w:tcBorders>
              <w:top w:val="nil"/>
              <w:left w:val="nil"/>
              <w:bottom w:val="single" w:sz="4" w:space="0" w:color="auto"/>
              <w:right w:val="single" w:sz="4" w:space="0" w:color="auto"/>
            </w:tcBorders>
            <w:shd w:val="clear" w:color="auto" w:fill="auto"/>
            <w:vAlign w:val="center"/>
            <w:hideMark/>
          </w:tcPr>
          <w:p w14:paraId="5B569B4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48F786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70%</w:t>
            </w:r>
          </w:p>
        </w:tc>
        <w:tc>
          <w:tcPr>
            <w:tcW w:w="960" w:type="dxa"/>
            <w:tcBorders>
              <w:top w:val="nil"/>
              <w:left w:val="nil"/>
              <w:bottom w:val="single" w:sz="4" w:space="0" w:color="auto"/>
              <w:right w:val="single" w:sz="4" w:space="0" w:color="auto"/>
            </w:tcBorders>
            <w:shd w:val="clear" w:color="auto" w:fill="auto"/>
            <w:vAlign w:val="center"/>
            <w:hideMark/>
          </w:tcPr>
          <w:p w14:paraId="2F0B45E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E84E4F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2B50A6D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501DF23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27E19C2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52FF67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1C8B7B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B94318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R-458A</w:t>
            </w:r>
          </w:p>
        </w:tc>
        <w:tc>
          <w:tcPr>
            <w:tcW w:w="1170" w:type="dxa"/>
            <w:tcBorders>
              <w:top w:val="nil"/>
              <w:left w:val="nil"/>
              <w:bottom w:val="single" w:sz="4" w:space="0" w:color="auto"/>
              <w:right w:val="nil"/>
            </w:tcBorders>
            <w:shd w:val="clear" w:color="auto" w:fill="auto"/>
            <w:vAlign w:val="center"/>
            <w:hideMark/>
          </w:tcPr>
          <w:p w14:paraId="4F3DA97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9C144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w:t>
            </w:r>
          </w:p>
        </w:tc>
        <w:tc>
          <w:tcPr>
            <w:tcW w:w="1166" w:type="dxa"/>
            <w:tcBorders>
              <w:top w:val="nil"/>
              <w:left w:val="nil"/>
              <w:bottom w:val="single" w:sz="4" w:space="0" w:color="auto"/>
              <w:right w:val="single" w:sz="4" w:space="0" w:color="auto"/>
            </w:tcBorders>
            <w:shd w:val="clear" w:color="auto" w:fill="auto"/>
            <w:vAlign w:val="center"/>
            <w:hideMark/>
          </w:tcPr>
          <w:p w14:paraId="7DC1AE0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0A3ED13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61.40%</w:t>
            </w:r>
          </w:p>
        </w:tc>
        <w:tc>
          <w:tcPr>
            <w:tcW w:w="965" w:type="dxa"/>
            <w:tcBorders>
              <w:top w:val="nil"/>
              <w:left w:val="nil"/>
              <w:bottom w:val="single" w:sz="4" w:space="0" w:color="auto"/>
              <w:right w:val="single" w:sz="4" w:space="0" w:color="auto"/>
            </w:tcBorders>
            <w:shd w:val="clear" w:color="auto" w:fill="auto"/>
            <w:vAlign w:val="center"/>
            <w:hideMark/>
          </w:tcPr>
          <w:p w14:paraId="26EBD53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HFC-227ea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05F49FD" w14:textId="77777777" w:rsidR="00232FF7" w:rsidRPr="00752D88" w:rsidRDefault="00232FF7" w:rsidP="006451A1">
            <w:pPr>
              <w:spacing w:after="0" w:line="240" w:lineRule="auto"/>
              <w:ind w:left="-145"/>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13.5%</w:t>
            </w:r>
          </w:p>
        </w:tc>
        <w:tc>
          <w:tcPr>
            <w:tcW w:w="960" w:type="dxa"/>
            <w:tcBorders>
              <w:top w:val="nil"/>
              <w:left w:val="nil"/>
              <w:bottom w:val="single" w:sz="4" w:space="0" w:color="auto"/>
              <w:right w:val="single" w:sz="4" w:space="0" w:color="auto"/>
            </w:tcBorders>
            <w:shd w:val="clear" w:color="auto" w:fill="auto"/>
            <w:vAlign w:val="center"/>
            <w:hideMark/>
          </w:tcPr>
          <w:p w14:paraId="22A652C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HFC-236fa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1C2EE17" w14:textId="77777777" w:rsidR="00232FF7" w:rsidRPr="00752D88" w:rsidRDefault="00232FF7" w:rsidP="006451A1">
            <w:pPr>
              <w:spacing w:after="0" w:line="240" w:lineRule="auto"/>
              <w:ind w:left="-216"/>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0.60%</w:t>
            </w:r>
          </w:p>
        </w:tc>
        <w:tc>
          <w:tcPr>
            <w:tcW w:w="960" w:type="dxa"/>
            <w:tcBorders>
              <w:top w:val="nil"/>
              <w:left w:val="nil"/>
              <w:bottom w:val="single" w:sz="4" w:space="0" w:color="auto"/>
              <w:right w:val="single" w:sz="4" w:space="0" w:color="auto"/>
            </w:tcBorders>
            <w:shd w:val="clear" w:color="auto" w:fill="auto"/>
            <w:vAlign w:val="center"/>
            <w:hideMark/>
          </w:tcPr>
          <w:p w14:paraId="0E34D8F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597" w:type="dxa"/>
            <w:tcBorders>
              <w:top w:val="nil"/>
              <w:left w:val="nil"/>
              <w:bottom w:val="single" w:sz="4" w:space="0" w:color="auto"/>
              <w:right w:val="single" w:sz="4" w:space="0" w:color="auto"/>
            </w:tcBorders>
            <w:shd w:val="clear" w:color="auto" w:fill="auto"/>
            <w:vAlign w:val="center"/>
            <w:hideMark/>
          </w:tcPr>
          <w:p w14:paraId="1C74A286" w14:textId="77777777" w:rsidR="00232FF7" w:rsidRPr="00752D88" w:rsidRDefault="00232FF7" w:rsidP="006451A1">
            <w:pPr>
              <w:spacing w:after="0" w:line="240" w:lineRule="auto"/>
              <w:ind w:left="-358" w:right="-112"/>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20.50%</w:t>
            </w:r>
          </w:p>
        </w:tc>
        <w:tc>
          <w:tcPr>
            <w:tcW w:w="706" w:type="dxa"/>
            <w:tcBorders>
              <w:top w:val="nil"/>
              <w:left w:val="nil"/>
              <w:bottom w:val="single" w:sz="4" w:space="0" w:color="auto"/>
              <w:right w:val="single" w:sz="4" w:space="0" w:color="auto"/>
            </w:tcBorders>
            <w:shd w:val="clear" w:color="auto" w:fill="auto"/>
            <w:vAlign w:val="center"/>
            <w:hideMark/>
          </w:tcPr>
          <w:p w14:paraId="418BAEE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26C1543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495FBD3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C3BE8D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R-459A</w:t>
            </w:r>
          </w:p>
        </w:tc>
        <w:tc>
          <w:tcPr>
            <w:tcW w:w="1170" w:type="dxa"/>
            <w:tcBorders>
              <w:top w:val="nil"/>
              <w:left w:val="nil"/>
              <w:bottom w:val="single" w:sz="4" w:space="0" w:color="auto"/>
              <w:right w:val="nil"/>
            </w:tcBorders>
            <w:shd w:val="clear" w:color="auto" w:fill="auto"/>
            <w:vAlign w:val="center"/>
            <w:hideMark/>
          </w:tcPr>
          <w:p w14:paraId="5160CE1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9CEE23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68%</w:t>
            </w:r>
          </w:p>
        </w:tc>
        <w:tc>
          <w:tcPr>
            <w:tcW w:w="1166" w:type="dxa"/>
            <w:tcBorders>
              <w:top w:val="nil"/>
              <w:left w:val="nil"/>
              <w:bottom w:val="single" w:sz="4" w:space="0" w:color="auto"/>
              <w:right w:val="single" w:sz="4" w:space="0" w:color="auto"/>
            </w:tcBorders>
            <w:shd w:val="clear" w:color="auto" w:fill="auto"/>
            <w:vAlign w:val="center"/>
            <w:hideMark/>
          </w:tcPr>
          <w:p w14:paraId="60C8D84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820" w:type="dxa"/>
            <w:tcBorders>
              <w:top w:val="nil"/>
              <w:left w:val="nil"/>
              <w:bottom w:val="single" w:sz="4" w:space="0" w:color="auto"/>
              <w:right w:val="single" w:sz="4" w:space="0" w:color="auto"/>
            </w:tcBorders>
            <w:shd w:val="clear" w:color="auto" w:fill="auto"/>
            <w:vAlign w:val="center"/>
            <w:hideMark/>
          </w:tcPr>
          <w:p w14:paraId="141E118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26%</w:t>
            </w:r>
          </w:p>
        </w:tc>
        <w:tc>
          <w:tcPr>
            <w:tcW w:w="965" w:type="dxa"/>
            <w:tcBorders>
              <w:top w:val="nil"/>
              <w:left w:val="nil"/>
              <w:bottom w:val="single" w:sz="4" w:space="0" w:color="auto"/>
              <w:right w:val="single" w:sz="4" w:space="0" w:color="auto"/>
            </w:tcBorders>
            <w:shd w:val="clear" w:color="auto" w:fill="auto"/>
            <w:vAlign w:val="center"/>
            <w:hideMark/>
          </w:tcPr>
          <w:p w14:paraId="6092696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BE2E265"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w:t>
            </w:r>
          </w:p>
        </w:tc>
        <w:tc>
          <w:tcPr>
            <w:tcW w:w="960" w:type="dxa"/>
            <w:tcBorders>
              <w:top w:val="nil"/>
              <w:left w:val="nil"/>
              <w:bottom w:val="single" w:sz="4" w:space="0" w:color="auto"/>
              <w:right w:val="single" w:sz="4" w:space="0" w:color="auto"/>
            </w:tcBorders>
            <w:shd w:val="clear" w:color="auto" w:fill="auto"/>
            <w:vAlign w:val="center"/>
            <w:hideMark/>
          </w:tcPr>
          <w:p w14:paraId="7A14233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196FB3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48308D4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09A7BE7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0342E2D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3805963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1FBA713"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8EA57D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R-459B</w:t>
            </w:r>
          </w:p>
        </w:tc>
        <w:tc>
          <w:tcPr>
            <w:tcW w:w="1170" w:type="dxa"/>
            <w:tcBorders>
              <w:top w:val="nil"/>
              <w:left w:val="nil"/>
              <w:bottom w:val="single" w:sz="4" w:space="0" w:color="auto"/>
              <w:right w:val="nil"/>
            </w:tcBorders>
            <w:shd w:val="clear" w:color="auto" w:fill="auto"/>
            <w:vAlign w:val="center"/>
            <w:hideMark/>
          </w:tcPr>
          <w:p w14:paraId="5138DF2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D57B0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21%</w:t>
            </w:r>
          </w:p>
        </w:tc>
        <w:tc>
          <w:tcPr>
            <w:tcW w:w="1166" w:type="dxa"/>
            <w:tcBorders>
              <w:top w:val="nil"/>
              <w:left w:val="nil"/>
              <w:bottom w:val="single" w:sz="4" w:space="0" w:color="auto"/>
              <w:right w:val="single" w:sz="4" w:space="0" w:color="auto"/>
            </w:tcBorders>
            <w:shd w:val="clear" w:color="auto" w:fill="auto"/>
            <w:vAlign w:val="center"/>
            <w:hideMark/>
          </w:tcPr>
          <w:p w14:paraId="51DD037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820" w:type="dxa"/>
            <w:tcBorders>
              <w:top w:val="nil"/>
              <w:left w:val="nil"/>
              <w:bottom w:val="single" w:sz="4" w:space="0" w:color="auto"/>
              <w:right w:val="single" w:sz="4" w:space="0" w:color="auto"/>
            </w:tcBorders>
            <w:shd w:val="clear" w:color="auto" w:fill="auto"/>
            <w:vAlign w:val="center"/>
            <w:hideMark/>
          </w:tcPr>
          <w:p w14:paraId="26DBFE1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69%</w:t>
            </w:r>
          </w:p>
        </w:tc>
        <w:tc>
          <w:tcPr>
            <w:tcW w:w="965" w:type="dxa"/>
            <w:tcBorders>
              <w:top w:val="nil"/>
              <w:left w:val="nil"/>
              <w:bottom w:val="single" w:sz="4" w:space="0" w:color="auto"/>
              <w:right w:val="single" w:sz="4" w:space="0" w:color="auto"/>
            </w:tcBorders>
            <w:shd w:val="clear" w:color="auto" w:fill="auto"/>
            <w:vAlign w:val="center"/>
            <w:hideMark/>
          </w:tcPr>
          <w:p w14:paraId="60AED7B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E95BBB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10%</w:t>
            </w:r>
          </w:p>
        </w:tc>
        <w:tc>
          <w:tcPr>
            <w:tcW w:w="960" w:type="dxa"/>
            <w:tcBorders>
              <w:top w:val="nil"/>
              <w:left w:val="nil"/>
              <w:bottom w:val="single" w:sz="4" w:space="0" w:color="auto"/>
              <w:right w:val="single" w:sz="4" w:space="0" w:color="auto"/>
            </w:tcBorders>
            <w:shd w:val="clear" w:color="auto" w:fill="auto"/>
            <w:vAlign w:val="center"/>
            <w:hideMark/>
          </w:tcPr>
          <w:p w14:paraId="414FB64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A105DE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0EED21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74FE832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62FAAEA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460C53E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111D2C8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E455BC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R-460A</w:t>
            </w:r>
          </w:p>
        </w:tc>
        <w:tc>
          <w:tcPr>
            <w:tcW w:w="1170" w:type="dxa"/>
            <w:tcBorders>
              <w:top w:val="nil"/>
              <w:left w:val="nil"/>
              <w:bottom w:val="single" w:sz="4" w:space="0" w:color="auto"/>
              <w:right w:val="nil"/>
            </w:tcBorders>
            <w:shd w:val="clear" w:color="auto" w:fill="auto"/>
            <w:vAlign w:val="center"/>
            <w:hideMark/>
          </w:tcPr>
          <w:p w14:paraId="15DF571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1BABE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52%</w:t>
            </w:r>
          </w:p>
        </w:tc>
        <w:tc>
          <w:tcPr>
            <w:tcW w:w="1166" w:type="dxa"/>
            <w:tcBorders>
              <w:top w:val="nil"/>
              <w:left w:val="nil"/>
              <w:bottom w:val="single" w:sz="4" w:space="0" w:color="auto"/>
              <w:right w:val="single" w:sz="4" w:space="0" w:color="auto"/>
            </w:tcBorders>
            <w:shd w:val="clear" w:color="auto" w:fill="auto"/>
            <w:vAlign w:val="center"/>
            <w:hideMark/>
          </w:tcPr>
          <w:p w14:paraId="249E5B0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6A17693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14%</w:t>
            </w:r>
          </w:p>
        </w:tc>
        <w:tc>
          <w:tcPr>
            <w:tcW w:w="965" w:type="dxa"/>
            <w:tcBorders>
              <w:top w:val="nil"/>
              <w:left w:val="nil"/>
              <w:bottom w:val="single" w:sz="4" w:space="0" w:color="auto"/>
              <w:right w:val="single" w:sz="4" w:space="0" w:color="auto"/>
            </w:tcBorders>
            <w:shd w:val="clear" w:color="auto" w:fill="auto"/>
            <w:vAlign w:val="center"/>
            <w:hideMark/>
          </w:tcPr>
          <w:p w14:paraId="1F2C7A5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85E0BC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22%</w:t>
            </w:r>
          </w:p>
        </w:tc>
        <w:tc>
          <w:tcPr>
            <w:tcW w:w="960" w:type="dxa"/>
            <w:tcBorders>
              <w:top w:val="nil"/>
              <w:left w:val="nil"/>
              <w:bottom w:val="single" w:sz="4" w:space="0" w:color="auto"/>
              <w:right w:val="single" w:sz="4" w:space="0" w:color="auto"/>
            </w:tcBorders>
            <w:shd w:val="clear" w:color="auto" w:fill="auto"/>
            <w:vAlign w:val="center"/>
            <w:hideMark/>
          </w:tcPr>
          <w:p w14:paraId="1AF6EFF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E61B22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12%</w:t>
            </w:r>
          </w:p>
        </w:tc>
        <w:tc>
          <w:tcPr>
            <w:tcW w:w="960" w:type="dxa"/>
            <w:tcBorders>
              <w:top w:val="nil"/>
              <w:left w:val="nil"/>
              <w:bottom w:val="single" w:sz="4" w:space="0" w:color="auto"/>
              <w:right w:val="single" w:sz="4" w:space="0" w:color="auto"/>
            </w:tcBorders>
            <w:shd w:val="clear" w:color="auto" w:fill="auto"/>
            <w:vAlign w:val="center"/>
            <w:hideMark/>
          </w:tcPr>
          <w:p w14:paraId="54FD261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0EAB0D9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5335D79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539B8A8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562E43A6"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741798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R-460B</w:t>
            </w:r>
          </w:p>
        </w:tc>
        <w:tc>
          <w:tcPr>
            <w:tcW w:w="1170" w:type="dxa"/>
            <w:tcBorders>
              <w:top w:val="nil"/>
              <w:left w:val="nil"/>
              <w:bottom w:val="single" w:sz="4" w:space="0" w:color="auto"/>
              <w:right w:val="nil"/>
            </w:tcBorders>
            <w:shd w:val="clear" w:color="auto" w:fill="auto"/>
            <w:vAlign w:val="center"/>
            <w:hideMark/>
          </w:tcPr>
          <w:p w14:paraId="15E0050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E2D1D2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33C5466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322B9FD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20%</w:t>
            </w:r>
          </w:p>
        </w:tc>
        <w:tc>
          <w:tcPr>
            <w:tcW w:w="965" w:type="dxa"/>
            <w:tcBorders>
              <w:top w:val="nil"/>
              <w:left w:val="nil"/>
              <w:bottom w:val="single" w:sz="4" w:space="0" w:color="auto"/>
              <w:right w:val="single" w:sz="4" w:space="0" w:color="auto"/>
            </w:tcBorders>
            <w:shd w:val="clear" w:color="auto" w:fill="auto"/>
            <w:vAlign w:val="center"/>
            <w:hideMark/>
          </w:tcPr>
          <w:p w14:paraId="4E9F9F3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CAC165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27%</w:t>
            </w:r>
          </w:p>
        </w:tc>
        <w:tc>
          <w:tcPr>
            <w:tcW w:w="960" w:type="dxa"/>
            <w:tcBorders>
              <w:top w:val="nil"/>
              <w:left w:val="nil"/>
              <w:bottom w:val="single" w:sz="4" w:space="0" w:color="auto"/>
              <w:right w:val="single" w:sz="4" w:space="0" w:color="auto"/>
            </w:tcBorders>
            <w:shd w:val="clear" w:color="auto" w:fill="auto"/>
            <w:vAlign w:val="center"/>
            <w:hideMark/>
          </w:tcPr>
          <w:p w14:paraId="50E0D54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62D2F1"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28%</w:t>
            </w:r>
          </w:p>
        </w:tc>
        <w:tc>
          <w:tcPr>
            <w:tcW w:w="960" w:type="dxa"/>
            <w:tcBorders>
              <w:top w:val="nil"/>
              <w:left w:val="nil"/>
              <w:bottom w:val="single" w:sz="4" w:space="0" w:color="auto"/>
              <w:right w:val="single" w:sz="4" w:space="0" w:color="auto"/>
            </w:tcBorders>
            <w:shd w:val="clear" w:color="auto" w:fill="auto"/>
            <w:vAlign w:val="center"/>
            <w:hideMark/>
          </w:tcPr>
          <w:p w14:paraId="564352B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7" w:type="dxa"/>
            <w:tcBorders>
              <w:top w:val="nil"/>
              <w:left w:val="nil"/>
              <w:bottom w:val="single" w:sz="4" w:space="0" w:color="auto"/>
              <w:right w:val="single" w:sz="4" w:space="0" w:color="auto"/>
            </w:tcBorders>
            <w:shd w:val="clear" w:color="auto" w:fill="auto"/>
            <w:vAlign w:val="center"/>
            <w:hideMark/>
          </w:tcPr>
          <w:p w14:paraId="6FC86D2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06" w:type="dxa"/>
            <w:tcBorders>
              <w:top w:val="nil"/>
              <w:left w:val="nil"/>
              <w:bottom w:val="single" w:sz="4" w:space="0" w:color="auto"/>
              <w:right w:val="single" w:sz="4" w:space="0" w:color="auto"/>
            </w:tcBorders>
            <w:shd w:val="clear" w:color="auto" w:fill="auto"/>
            <w:vAlign w:val="center"/>
            <w:hideMark/>
          </w:tcPr>
          <w:p w14:paraId="770F452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70" w:type="dxa"/>
            <w:tcBorders>
              <w:top w:val="nil"/>
              <w:left w:val="nil"/>
              <w:bottom w:val="single" w:sz="4" w:space="0" w:color="auto"/>
              <w:right w:val="single" w:sz="4" w:space="0" w:color="auto"/>
            </w:tcBorders>
            <w:shd w:val="clear" w:color="auto" w:fill="auto"/>
            <w:vAlign w:val="center"/>
            <w:hideMark/>
          </w:tcPr>
          <w:p w14:paraId="1FDC016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r>
      <w:tr w:rsidR="00232FF7" w:rsidRPr="00752D88" w14:paraId="64797894" w14:textId="77777777" w:rsidTr="006451A1">
        <w:tc>
          <w:tcPr>
            <w:tcW w:w="11057" w:type="dxa"/>
            <w:gridSpan w:val="13"/>
            <w:tcBorders>
              <w:top w:val="single" w:sz="4" w:space="0" w:color="auto"/>
              <w:left w:val="single" w:sz="4" w:space="0" w:color="auto"/>
              <w:bottom w:val="single" w:sz="4" w:space="0" w:color="auto"/>
              <w:right w:val="single" w:sz="4" w:space="0" w:color="000000"/>
            </w:tcBorders>
            <w:shd w:val="clear" w:color="auto" w:fill="auto"/>
            <w:tcMar>
              <w:left w:w="0" w:type="dxa"/>
              <w:right w:w="43" w:type="dxa"/>
            </w:tcMar>
            <w:vAlign w:val="center"/>
            <w:hideMark/>
          </w:tcPr>
          <w:p w14:paraId="47E62DD7" w14:textId="77777777" w:rsidR="00232FF7" w:rsidRPr="00752D88" w:rsidRDefault="00232FF7" w:rsidP="006451A1">
            <w:pPr>
              <w:spacing w:after="0" w:line="240" w:lineRule="auto"/>
              <w:rPr>
                <w:rFonts w:ascii="Times New Roman" w:eastAsia="Times New Roman" w:hAnsi="Times New Roman" w:cs="Times New Roman"/>
                <w:b/>
                <w:bCs/>
                <w:color w:val="000000"/>
                <w:sz w:val="16"/>
                <w:szCs w:val="16"/>
                <w:lang w:eastAsia="en-CA"/>
              </w:rPr>
            </w:pPr>
            <w:proofErr w:type="spellStart"/>
            <w:r w:rsidRPr="00752D88">
              <w:rPr>
                <w:rFonts w:ascii="Times New Roman" w:eastAsia="Times New Roman" w:hAnsi="Times New Roman" w:cs="Times New Roman"/>
                <w:b/>
                <w:bCs/>
                <w:color w:val="000000"/>
                <w:sz w:val="16"/>
                <w:szCs w:val="16"/>
                <w:lang w:eastAsia="en-CA"/>
              </w:rPr>
              <w:t>Azeotropic</w:t>
            </w:r>
            <w:proofErr w:type="spellEnd"/>
            <w:r w:rsidRPr="00752D88">
              <w:rPr>
                <w:rFonts w:ascii="Times New Roman" w:eastAsia="Times New Roman" w:hAnsi="Times New Roman" w:cs="Times New Roman"/>
                <w:b/>
                <w:bCs/>
                <w:color w:val="000000"/>
                <w:sz w:val="16"/>
                <w:szCs w:val="16"/>
                <w:lang w:eastAsia="en-CA"/>
              </w:rPr>
              <w:t xml:space="preserve"> mixtures</w:t>
            </w:r>
          </w:p>
        </w:tc>
      </w:tr>
      <w:tr w:rsidR="00232FF7" w:rsidRPr="00752D88" w14:paraId="5A3555A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313C00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R-500</w:t>
            </w:r>
          </w:p>
        </w:tc>
        <w:tc>
          <w:tcPr>
            <w:tcW w:w="1170" w:type="dxa"/>
            <w:tcBorders>
              <w:top w:val="nil"/>
              <w:left w:val="nil"/>
              <w:bottom w:val="single" w:sz="4" w:space="0" w:color="auto"/>
              <w:right w:val="single" w:sz="4" w:space="0" w:color="auto"/>
            </w:tcBorders>
            <w:shd w:val="clear" w:color="auto" w:fill="auto"/>
            <w:vAlign w:val="center"/>
            <w:hideMark/>
          </w:tcPr>
          <w:p w14:paraId="47BB76F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CFC-12</w:t>
            </w:r>
          </w:p>
        </w:tc>
        <w:tc>
          <w:tcPr>
            <w:tcW w:w="709" w:type="dxa"/>
            <w:tcBorders>
              <w:top w:val="nil"/>
              <w:left w:val="nil"/>
              <w:bottom w:val="single" w:sz="4" w:space="0" w:color="auto"/>
              <w:right w:val="single" w:sz="4" w:space="0" w:color="auto"/>
            </w:tcBorders>
            <w:shd w:val="clear" w:color="auto" w:fill="auto"/>
            <w:vAlign w:val="center"/>
            <w:hideMark/>
          </w:tcPr>
          <w:p w14:paraId="7DD0673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73.80%</w:t>
            </w:r>
          </w:p>
        </w:tc>
        <w:tc>
          <w:tcPr>
            <w:tcW w:w="1166" w:type="dxa"/>
            <w:tcBorders>
              <w:top w:val="nil"/>
              <w:left w:val="nil"/>
              <w:bottom w:val="single" w:sz="4" w:space="0" w:color="auto"/>
              <w:right w:val="single" w:sz="4" w:space="0" w:color="auto"/>
            </w:tcBorders>
            <w:shd w:val="clear" w:color="auto" w:fill="auto"/>
            <w:vAlign w:val="center"/>
            <w:hideMark/>
          </w:tcPr>
          <w:p w14:paraId="3F15196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820" w:type="dxa"/>
            <w:tcBorders>
              <w:top w:val="nil"/>
              <w:left w:val="nil"/>
              <w:bottom w:val="single" w:sz="4" w:space="0" w:color="auto"/>
              <w:right w:val="single" w:sz="4" w:space="0" w:color="auto"/>
            </w:tcBorders>
            <w:shd w:val="clear" w:color="auto" w:fill="auto"/>
            <w:vAlign w:val="center"/>
            <w:hideMark/>
          </w:tcPr>
          <w:p w14:paraId="277D401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26.2%</w:t>
            </w:r>
          </w:p>
        </w:tc>
        <w:tc>
          <w:tcPr>
            <w:tcW w:w="965" w:type="dxa"/>
            <w:tcBorders>
              <w:top w:val="nil"/>
              <w:left w:val="nil"/>
              <w:bottom w:val="single" w:sz="4" w:space="0" w:color="auto"/>
              <w:right w:val="single" w:sz="4" w:space="0" w:color="auto"/>
            </w:tcBorders>
            <w:shd w:val="clear" w:color="auto" w:fill="auto"/>
            <w:noWrap/>
            <w:vAlign w:val="bottom"/>
            <w:hideMark/>
          </w:tcPr>
          <w:p w14:paraId="0B1095D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1651FB2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21CE60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09B172B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8B681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3A262E3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65C82D2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B781E7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4B16171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B24D29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R-501</w:t>
            </w:r>
          </w:p>
        </w:tc>
        <w:tc>
          <w:tcPr>
            <w:tcW w:w="1170" w:type="dxa"/>
            <w:tcBorders>
              <w:top w:val="nil"/>
              <w:left w:val="nil"/>
              <w:bottom w:val="single" w:sz="4" w:space="0" w:color="auto"/>
              <w:right w:val="single" w:sz="4" w:space="0" w:color="auto"/>
            </w:tcBorders>
            <w:shd w:val="clear" w:color="auto" w:fill="auto"/>
            <w:vAlign w:val="center"/>
            <w:hideMark/>
          </w:tcPr>
          <w:p w14:paraId="5EB0F28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CFC-12</w:t>
            </w:r>
          </w:p>
        </w:tc>
        <w:tc>
          <w:tcPr>
            <w:tcW w:w="709" w:type="dxa"/>
            <w:tcBorders>
              <w:top w:val="nil"/>
              <w:left w:val="nil"/>
              <w:bottom w:val="single" w:sz="4" w:space="0" w:color="auto"/>
              <w:right w:val="single" w:sz="4" w:space="0" w:color="auto"/>
            </w:tcBorders>
            <w:shd w:val="clear" w:color="auto" w:fill="auto"/>
            <w:vAlign w:val="center"/>
            <w:hideMark/>
          </w:tcPr>
          <w:p w14:paraId="4554296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25%</w:t>
            </w:r>
          </w:p>
        </w:tc>
        <w:tc>
          <w:tcPr>
            <w:tcW w:w="1166" w:type="dxa"/>
            <w:tcBorders>
              <w:top w:val="nil"/>
              <w:left w:val="nil"/>
              <w:bottom w:val="single" w:sz="4" w:space="0" w:color="auto"/>
              <w:right w:val="single" w:sz="4" w:space="0" w:color="auto"/>
            </w:tcBorders>
            <w:shd w:val="clear" w:color="auto" w:fill="auto"/>
            <w:vAlign w:val="center"/>
            <w:hideMark/>
          </w:tcPr>
          <w:p w14:paraId="48C5863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5CBB13D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75%</w:t>
            </w:r>
          </w:p>
        </w:tc>
        <w:tc>
          <w:tcPr>
            <w:tcW w:w="965" w:type="dxa"/>
            <w:tcBorders>
              <w:top w:val="nil"/>
              <w:left w:val="nil"/>
              <w:bottom w:val="single" w:sz="4" w:space="0" w:color="auto"/>
              <w:right w:val="single" w:sz="4" w:space="0" w:color="auto"/>
            </w:tcBorders>
            <w:shd w:val="clear" w:color="auto" w:fill="auto"/>
            <w:noWrap/>
            <w:vAlign w:val="bottom"/>
            <w:hideMark/>
          </w:tcPr>
          <w:p w14:paraId="0FF4345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268880F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74BC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1B3144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1D620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18465A8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5E0C629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1C2ED10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354172DC"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981B35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R-502</w:t>
            </w:r>
          </w:p>
        </w:tc>
        <w:tc>
          <w:tcPr>
            <w:tcW w:w="1170" w:type="dxa"/>
            <w:tcBorders>
              <w:top w:val="nil"/>
              <w:left w:val="nil"/>
              <w:bottom w:val="single" w:sz="4" w:space="0" w:color="auto"/>
              <w:right w:val="single" w:sz="4" w:space="0" w:color="auto"/>
            </w:tcBorders>
            <w:shd w:val="clear" w:color="auto" w:fill="auto"/>
            <w:vAlign w:val="center"/>
            <w:hideMark/>
          </w:tcPr>
          <w:p w14:paraId="6FCACBF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CFC-115</w:t>
            </w:r>
          </w:p>
        </w:tc>
        <w:tc>
          <w:tcPr>
            <w:tcW w:w="709" w:type="dxa"/>
            <w:tcBorders>
              <w:top w:val="nil"/>
              <w:left w:val="nil"/>
              <w:bottom w:val="single" w:sz="4" w:space="0" w:color="auto"/>
              <w:right w:val="single" w:sz="4" w:space="0" w:color="auto"/>
            </w:tcBorders>
            <w:shd w:val="clear" w:color="auto" w:fill="auto"/>
            <w:vAlign w:val="center"/>
            <w:hideMark/>
          </w:tcPr>
          <w:p w14:paraId="520023D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51.20%</w:t>
            </w:r>
          </w:p>
        </w:tc>
        <w:tc>
          <w:tcPr>
            <w:tcW w:w="1166" w:type="dxa"/>
            <w:tcBorders>
              <w:top w:val="nil"/>
              <w:left w:val="nil"/>
              <w:bottom w:val="single" w:sz="4" w:space="0" w:color="auto"/>
              <w:right w:val="single" w:sz="4" w:space="0" w:color="auto"/>
            </w:tcBorders>
            <w:shd w:val="clear" w:color="auto" w:fill="auto"/>
            <w:vAlign w:val="center"/>
            <w:hideMark/>
          </w:tcPr>
          <w:p w14:paraId="6A6AD54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1F84E228" w14:textId="77777777" w:rsidR="00232FF7" w:rsidRPr="00752D88" w:rsidRDefault="006451A1"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48.8</w:t>
            </w:r>
            <w:r w:rsidR="00232FF7" w:rsidRPr="00752D88">
              <w:rPr>
                <w:rFonts w:ascii="Times New Roman" w:eastAsia="Times New Roman" w:hAnsi="Times New Roman" w:cs="Times New Roman"/>
                <w:color w:val="000000"/>
                <w:spacing w:val="-2"/>
                <w:sz w:val="16"/>
                <w:szCs w:val="16"/>
                <w:lang w:val="en-GB" w:eastAsia="en-CA"/>
              </w:rPr>
              <w:t>%</w:t>
            </w:r>
          </w:p>
        </w:tc>
        <w:tc>
          <w:tcPr>
            <w:tcW w:w="965" w:type="dxa"/>
            <w:tcBorders>
              <w:top w:val="nil"/>
              <w:left w:val="nil"/>
              <w:bottom w:val="single" w:sz="4" w:space="0" w:color="auto"/>
              <w:right w:val="single" w:sz="4" w:space="0" w:color="auto"/>
            </w:tcBorders>
            <w:shd w:val="clear" w:color="auto" w:fill="auto"/>
            <w:noWrap/>
            <w:vAlign w:val="bottom"/>
            <w:hideMark/>
          </w:tcPr>
          <w:p w14:paraId="47E4D87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315064E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3CDE4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5E28C94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BF51B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0FAF6D1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57F801D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606C493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20A27C4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AE03E6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R-503</w:t>
            </w:r>
          </w:p>
        </w:tc>
        <w:tc>
          <w:tcPr>
            <w:tcW w:w="1170" w:type="dxa"/>
            <w:tcBorders>
              <w:top w:val="nil"/>
              <w:left w:val="nil"/>
              <w:bottom w:val="single" w:sz="4" w:space="0" w:color="auto"/>
              <w:right w:val="single" w:sz="4" w:space="0" w:color="auto"/>
            </w:tcBorders>
            <w:shd w:val="clear" w:color="auto" w:fill="auto"/>
            <w:vAlign w:val="center"/>
            <w:hideMark/>
          </w:tcPr>
          <w:p w14:paraId="77C614F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CFC-13</w:t>
            </w:r>
          </w:p>
        </w:tc>
        <w:tc>
          <w:tcPr>
            <w:tcW w:w="709" w:type="dxa"/>
            <w:tcBorders>
              <w:top w:val="nil"/>
              <w:left w:val="nil"/>
              <w:bottom w:val="single" w:sz="4" w:space="0" w:color="auto"/>
              <w:right w:val="single" w:sz="4" w:space="0" w:color="auto"/>
            </w:tcBorders>
            <w:shd w:val="clear" w:color="auto" w:fill="auto"/>
            <w:vAlign w:val="center"/>
            <w:hideMark/>
          </w:tcPr>
          <w:p w14:paraId="051FEA2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59.90%</w:t>
            </w:r>
          </w:p>
        </w:tc>
        <w:tc>
          <w:tcPr>
            <w:tcW w:w="1166" w:type="dxa"/>
            <w:tcBorders>
              <w:top w:val="nil"/>
              <w:left w:val="nil"/>
              <w:bottom w:val="single" w:sz="4" w:space="0" w:color="auto"/>
              <w:right w:val="single" w:sz="4" w:space="0" w:color="auto"/>
            </w:tcBorders>
            <w:shd w:val="clear" w:color="auto" w:fill="auto"/>
            <w:vAlign w:val="center"/>
            <w:hideMark/>
          </w:tcPr>
          <w:p w14:paraId="3466B58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HFC-23</w:t>
            </w:r>
          </w:p>
        </w:tc>
        <w:tc>
          <w:tcPr>
            <w:tcW w:w="820" w:type="dxa"/>
            <w:tcBorders>
              <w:top w:val="nil"/>
              <w:left w:val="nil"/>
              <w:bottom w:val="single" w:sz="4" w:space="0" w:color="auto"/>
              <w:right w:val="single" w:sz="4" w:space="0" w:color="auto"/>
            </w:tcBorders>
            <w:shd w:val="clear" w:color="auto" w:fill="auto"/>
            <w:vAlign w:val="center"/>
            <w:hideMark/>
          </w:tcPr>
          <w:p w14:paraId="634DFFC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40.10%</w:t>
            </w:r>
          </w:p>
        </w:tc>
        <w:tc>
          <w:tcPr>
            <w:tcW w:w="965" w:type="dxa"/>
            <w:tcBorders>
              <w:top w:val="nil"/>
              <w:left w:val="nil"/>
              <w:bottom w:val="single" w:sz="4" w:space="0" w:color="auto"/>
              <w:right w:val="single" w:sz="4" w:space="0" w:color="auto"/>
            </w:tcBorders>
            <w:shd w:val="clear" w:color="auto" w:fill="auto"/>
            <w:noWrap/>
            <w:vAlign w:val="bottom"/>
            <w:hideMark/>
          </w:tcPr>
          <w:p w14:paraId="425BA24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506C93B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6AE5B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FFB4CF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C53FA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0828D1C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2104719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285C34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7924B5BF"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4875E3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R-504</w:t>
            </w:r>
          </w:p>
        </w:tc>
        <w:tc>
          <w:tcPr>
            <w:tcW w:w="1170" w:type="dxa"/>
            <w:tcBorders>
              <w:top w:val="nil"/>
              <w:left w:val="nil"/>
              <w:bottom w:val="single" w:sz="4" w:space="0" w:color="auto"/>
              <w:right w:val="single" w:sz="4" w:space="0" w:color="auto"/>
            </w:tcBorders>
            <w:shd w:val="clear" w:color="auto" w:fill="auto"/>
            <w:vAlign w:val="center"/>
            <w:hideMark/>
          </w:tcPr>
          <w:p w14:paraId="2835CEA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CFC-115</w:t>
            </w:r>
          </w:p>
        </w:tc>
        <w:tc>
          <w:tcPr>
            <w:tcW w:w="709" w:type="dxa"/>
            <w:tcBorders>
              <w:top w:val="nil"/>
              <w:left w:val="nil"/>
              <w:bottom w:val="single" w:sz="4" w:space="0" w:color="auto"/>
              <w:right w:val="single" w:sz="4" w:space="0" w:color="auto"/>
            </w:tcBorders>
            <w:shd w:val="clear" w:color="auto" w:fill="auto"/>
            <w:vAlign w:val="center"/>
            <w:hideMark/>
          </w:tcPr>
          <w:p w14:paraId="3344B2E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51.80%</w:t>
            </w:r>
          </w:p>
        </w:tc>
        <w:tc>
          <w:tcPr>
            <w:tcW w:w="1166" w:type="dxa"/>
            <w:tcBorders>
              <w:top w:val="nil"/>
              <w:left w:val="nil"/>
              <w:bottom w:val="single" w:sz="4" w:space="0" w:color="auto"/>
              <w:right w:val="single" w:sz="4" w:space="0" w:color="auto"/>
            </w:tcBorders>
            <w:shd w:val="clear" w:color="auto" w:fill="auto"/>
            <w:vAlign w:val="center"/>
            <w:hideMark/>
          </w:tcPr>
          <w:p w14:paraId="6D8F4B0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2D3D93C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48.20%</w:t>
            </w:r>
          </w:p>
        </w:tc>
        <w:tc>
          <w:tcPr>
            <w:tcW w:w="965" w:type="dxa"/>
            <w:tcBorders>
              <w:top w:val="nil"/>
              <w:left w:val="nil"/>
              <w:bottom w:val="single" w:sz="4" w:space="0" w:color="auto"/>
              <w:right w:val="single" w:sz="4" w:space="0" w:color="auto"/>
            </w:tcBorders>
            <w:shd w:val="clear" w:color="auto" w:fill="auto"/>
            <w:noWrap/>
            <w:vAlign w:val="bottom"/>
            <w:hideMark/>
          </w:tcPr>
          <w:p w14:paraId="2E5BCD8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12E98F4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29CC8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F98A3B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CEB98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6EAFE2B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6C9906D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5A8D5F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419F063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05D64D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R-505</w:t>
            </w:r>
          </w:p>
        </w:tc>
        <w:tc>
          <w:tcPr>
            <w:tcW w:w="1170" w:type="dxa"/>
            <w:tcBorders>
              <w:top w:val="nil"/>
              <w:left w:val="nil"/>
              <w:bottom w:val="single" w:sz="4" w:space="0" w:color="auto"/>
              <w:right w:val="single" w:sz="4" w:space="0" w:color="auto"/>
            </w:tcBorders>
            <w:shd w:val="clear" w:color="auto" w:fill="auto"/>
            <w:vAlign w:val="center"/>
            <w:hideMark/>
          </w:tcPr>
          <w:p w14:paraId="69F32B2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CFC-12</w:t>
            </w:r>
          </w:p>
        </w:tc>
        <w:tc>
          <w:tcPr>
            <w:tcW w:w="709" w:type="dxa"/>
            <w:tcBorders>
              <w:top w:val="nil"/>
              <w:left w:val="nil"/>
              <w:bottom w:val="single" w:sz="4" w:space="0" w:color="auto"/>
              <w:right w:val="single" w:sz="4" w:space="0" w:color="auto"/>
            </w:tcBorders>
            <w:shd w:val="clear" w:color="auto" w:fill="auto"/>
            <w:vAlign w:val="center"/>
            <w:hideMark/>
          </w:tcPr>
          <w:p w14:paraId="30CB723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78%</w:t>
            </w:r>
          </w:p>
        </w:tc>
        <w:tc>
          <w:tcPr>
            <w:tcW w:w="1166" w:type="dxa"/>
            <w:tcBorders>
              <w:top w:val="nil"/>
              <w:left w:val="nil"/>
              <w:bottom w:val="single" w:sz="4" w:space="0" w:color="auto"/>
              <w:right w:val="single" w:sz="4" w:space="0" w:color="auto"/>
            </w:tcBorders>
            <w:shd w:val="clear" w:color="auto" w:fill="auto"/>
            <w:vAlign w:val="center"/>
            <w:hideMark/>
          </w:tcPr>
          <w:p w14:paraId="07E8F21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HCFC-31</w:t>
            </w:r>
          </w:p>
        </w:tc>
        <w:tc>
          <w:tcPr>
            <w:tcW w:w="820" w:type="dxa"/>
            <w:tcBorders>
              <w:top w:val="nil"/>
              <w:left w:val="nil"/>
              <w:bottom w:val="single" w:sz="4" w:space="0" w:color="auto"/>
              <w:right w:val="single" w:sz="4" w:space="0" w:color="auto"/>
            </w:tcBorders>
            <w:shd w:val="clear" w:color="auto" w:fill="auto"/>
            <w:vAlign w:val="center"/>
            <w:hideMark/>
          </w:tcPr>
          <w:p w14:paraId="0E9CDF0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22%</w:t>
            </w:r>
          </w:p>
        </w:tc>
        <w:tc>
          <w:tcPr>
            <w:tcW w:w="965" w:type="dxa"/>
            <w:tcBorders>
              <w:top w:val="nil"/>
              <w:left w:val="nil"/>
              <w:bottom w:val="single" w:sz="4" w:space="0" w:color="auto"/>
              <w:right w:val="single" w:sz="4" w:space="0" w:color="auto"/>
            </w:tcBorders>
            <w:shd w:val="clear" w:color="auto" w:fill="auto"/>
            <w:noWrap/>
            <w:vAlign w:val="bottom"/>
            <w:hideMark/>
          </w:tcPr>
          <w:p w14:paraId="33242A7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D7DEFC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365336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C7215D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4FBDAD8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3AB60F1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756EE94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3AF7706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6AA7E58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CBD4E2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R-506</w:t>
            </w:r>
          </w:p>
        </w:tc>
        <w:tc>
          <w:tcPr>
            <w:tcW w:w="1170" w:type="dxa"/>
            <w:tcBorders>
              <w:top w:val="nil"/>
              <w:left w:val="nil"/>
              <w:bottom w:val="single" w:sz="4" w:space="0" w:color="auto"/>
              <w:right w:val="single" w:sz="4" w:space="0" w:color="auto"/>
            </w:tcBorders>
            <w:shd w:val="clear" w:color="auto" w:fill="auto"/>
            <w:vAlign w:val="center"/>
            <w:hideMark/>
          </w:tcPr>
          <w:p w14:paraId="556D266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CFC-114</w:t>
            </w:r>
          </w:p>
        </w:tc>
        <w:tc>
          <w:tcPr>
            <w:tcW w:w="709" w:type="dxa"/>
            <w:tcBorders>
              <w:top w:val="nil"/>
              <w:left w:val="nil"/>
              <w:bottom w:val="single" w:sz="4" w:space="0" w:color="auto"/>
              <w:right w:val="single" w:sz="4" w:space="0" w:color="auto"/>
            </w:tcBorders>
            <w:shd w:val="clear" w:color="auto" w:fill="auto"/>
            <w:vAlign w:val="center"/>
            <w:hideMark/>
          </w:tcPr>
          <w:p w14:paraId="5766581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45%</w:t>
            </w:r>
          </w:p>
        </w:tc>
        <w:tc>
          <w:tcPr>
            <w:tcW w:w="1166" w:type="dxa"/>
            <w:tcBorders>
              <w:top w:val="nil"/>
              <w:left w:val="nil"/>
              <w:bottom w:val="single" w:sz="4" w:space="0" w:color="auto"/>
              <w:right w:val="single" w:sz="4" w:space="0" w:color="auto"/>
            </w:tcBorders>
            <w:shd w:val="clear" w:color="auto" w:fill="auto"/>
            <w:vAlign w:val="center"/>
            <w:hideMark/>
          </w:tcPr>
          <w:p w14:paraId="0C4F3A9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HCFC-31</w:t>
            </w:r>
          </w:p>
        </w:tc>
        <w:tc>
          <w:tcPr>
            <w:tcW w:w="820" w:type="dxa"/>
            <w:tcBorders>
              <w:top w:val="nil"/>
              <w:left w:val="nil"/>
              <w:bottom w:val="single" w:sz="4" w:space="0" w:color="auto"/>
              <w:right w:val="single" w:sz="4" w:space="0" w:color="auto"/>
            </w:tcBorders>
            <w:shd w:val="clear" w:color="auto" w:fill="auto"/>
            <w:vAlign w:val="center"/>
            <w:hideMark/>
          </w:tcPr>
          <w:p w14:paraId="56865A9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55%</w:t>
            </w:r>
          </w:p>
        </w:tc>
        <w:tc>
          <w:tcPr>
            <w:tcW w:w="965" w:type="dxa"/>
            <w:tcBorders>
              <w:top w:val="nil"/>
              <w:left w:val="nil"/>
              <w:bottom w:val="single" w:sz="4" w:space="0" w:color="auto"/>
              <w:right w:val="single" w:sz="4" w:space="0" w:color="auto"/>
            </w:tcBorders>
            <w:shd w:val="clear" w:color="auto" w:fill="auto"/>
            <w:noWrap/>
            <w:vAlign w:val="bottom"/>
            <w:hideMark/>
          </w:tcPr>
          <w:p w14:paraId="7B4F0AA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2257BB4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B83EC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294D23A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0F5E4CF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2FBC2EA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61574F2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6D838C3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523827F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61DAFD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R-507A (AZ-50)</w:t>
            </w:r>
          </w:p>
        </w:tc>
        <w:tc>
          <w:tcPr>
            <w:tcW w:w="1170" w:type="dxa"/>
            <w:tcBorders>
              <w:top w:val="nil"/>
              <w:left w:val="nil"/>
              <w:bottom w:val="single" w:sz="4" w:space="0" w:color="auto"/>
              <w:right w:val="single" w:sz="4" w:space="0" w:color="auto"/>
            </w:tcBorders>
            <w:shd w:val="clear" w:color="auto" w:fill="auto"/>
            <w:vAlign w:val="center"/>
            <w:hideMark/>
          </w:tcPr>
          <w:p w14:paraId="7BEF49E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nil"/>
              <w:bottom w:val="single" w:sz="4" w:space="0" w:color="auto"/>
              <w:right w:val="single" w:sz="4" w:space="0" w:color="auto"/>
            </w:tcBorders>
            <w:shd w:val="clear" w:color="auto" w:fill="auto"/>
            <w:vAlign w:val="center"/>
            <w:hideMark/>
          </w:tcPr>
          <w:p w14:paraId="25F326B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50%</w:t>
            </w:r>
          </w:p>
        </w:tc>
        <w:tc>
          <w:tcPr>
            <w:tcW w:w="1166" w:type="dxa"/>
            <w:tcBorders>
              <w:top w:val="nil"/>
              <w:left w:val="nil"/>
              <w:bottom w:val="single" w:sz="4" w:space="0" w:color="auto"/>
              <w:right w:val="single" w:sz="4" w:space="0" w:color="auto"/>
            </w:tcBorders>
            <w:shd w:val="clear" w:color="auto" w:fill="auto"/>
            <w:vAlign w:val="center"/>
            <w:hideMark/>
          </w:tcPr>
          <w:p w14:paraId="7C2127C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HFC-143a</w:t>
            </w:r>
          </w:p>
        </w:tc>
        <w:tc>
          <w:tcPr>
            <w:tcW w:w="820" w:type="dxa"/>
            <w:tcBorders>
              <w:top w:val="nil"/>
              <w:left w:val="nil"/>
              <w:bottom w:val="single" w:sz="4" w:space="0" w:color="auto"/>
              <w:right w:val="single" w:sz="4" w:space="0" w:color="auto"/>
            </w:tcBorders>
            <w:shd w:val="clear" w:color="auto" w:fill="auto"/>
            <w:vAlign w:val="center"/>
            <w:hideMark/>
          </w:tcPr>
          <w:p w14:paraId="1F00BDD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50%</w:t>
            </w:r>
          </w:p>
        </w:tc>
        <w:tc>
          <w:tcPr>
            <w:tcW w:w="965" w:type="dxa"/>
            <w:tcBorders>
              <w:top w:val="nil"/>
              <w:left w:val="nil"/>
              <w:bottom w:val="single" w:sz="4" w:space="0" w:color="auto"/>
              <w:right w:val="single" w:sz="4" w:space="0" w:color="auto"/>
            </w:tcBorders>
            <w:shd w:val="clear" w:color="auto" w:fill="auto"/>
            <w:noWrap/>
            <w:vAlign w:val="bottom"/>
            <w:hideMark/>
          </w:tcPr>
          <w:p w14:paraId="7A7F96F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BCFE5A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AA738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31E50B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D0C4EE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5C3CEC5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28444E7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5F837BF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559EEDA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F62427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R-508A</w:t>
            </w:r>
          </w:p>
        </w:tc>
        <w:tc>
          <w:tcPr>
            <w:tcW w:w="1170" w:type="dxa"/>
            <w:tcBorders>
              <w:top w:val="nil"/>
              <w:left w:val="nil"/>
              <w:bottom w:val="single" w:sz="4" w:space="0" w:color="auto"/>
              <w:right w:val="single" w:sz="4" w:space="0" w:color="auto"/>
            </w:tcBorders>
            <w:shd w:val="clear" w:color="auto" w:fill="auto"/>
            <w:vAlign w:val="center"/>
            <w:hideMark/>
          </w:tcPr>
          <w:p w14:paraId="079D96B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HFC-23</w:t>
            </w:r>
          </w:p>
        </w:tc>
        <w:tc>
          <w:tcPr>
            <w:tcW w:w="709" w:type="dxa"/>
            <w:tcBorders>
              <w:top w:val="nil"/>
              <w:left w:val="nil"/>
              <w:bottom w:val="single" w:sz="4" w:space="0" w:color="auto"/>
              <w:right w:val="single" w:sz="4" w:space="0" w:color="auto"/>
            </w:tcBorders>
            <w:shd w:val="clear" w:color="auto" w:fill="auto"/>
            <w:vAlign w:val="center"/>
            <w:hideMark/>
          </w:tcPr>
          <w:p w14:paraId="43ACCEF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39%</w:t>
            </w:r>
          </w:p>
        </w:tc>
        <w:tc>
          <w:tcPr>
            <w:tcW w:w="1166" w:type="dxa"/>
            <w:tcBorders>
              <w:top w:val="nil"/>
              <w:left w:val="nil"/>
              <w:bottom w:val="single" w:sz="4" w:space="0" w:color="auto"/>
              <w:right w:val="single" w:sz="4" w:space="0" w:color="auto"/>
            </w:tcBorders>
            <w:shd w:val="clear" w:color="auto" w:fill="auto"/>
            <w:vAlign w:val="center"/>
            <w:hideMark/>
          </w:tcPr>
          <w:p w14:paraId="578DA33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PFC-116</w:t>
            </w:r>
          </w:p>
        </w:tc>
        <w:tc>
          <w:tcPr>
            <w:tcW w:w="820" w:type="dxa"/>
            <w:tcBorders>
              <w:top w:val="nil"/>
              <w:left w:val="nil"/>
              <w:bottom w:val="single" w:sz="4" w:space="0" w:color="auto"/>
              <w:right w:val="single" w:sz="4" w:space="0" w:color="auto"/>
            </w:tcBorders>
            <w:shd w:val="clear" w:color="auto" w:fill="auto"/>
            <w:vAlign w:val="center"/>
            <w:hideMark/>
          </w:tcPr>
          <w:p w14:paraId="6FBA5C2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61%</w:t>
            </w:r>
          </w:p>
        </w:tc>
        <w:tc>
          <w:tcPr>
            <w:tcW w:w="965" w:type="dxa"/>
            <w:tcBorders>
              <w:top w:val="nil"/>
              <w:left w:val="nil"/>
              <w:bottom w:val="single" w:sz="4" w:space="0" w:color="auto"/>
              <w:right w:val="single" w:sz="4" w:space="0" w:color="auto"/>
            </w:tcBorders>
            <w:shd w:val="clear" w:color="auto" w:fill="auto"/>
            <w:noWrap/>
            <w:vAlign w:val="bottom"/>
            <w:hideMark/>
          </w:tcPr>
          <w:p w14:paraId="5B6D22D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4DEB5F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F7F4C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3977A3D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DD5EFB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535ADDB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5FF83D7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515C1BA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108E67EF"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D0FFAC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lastRenderedPageBreak/>
              <w:t>R-508B</w:t>
            </w:r>
          </w:p>
        </w:tc>
        <w:tc>
          <w:tcPr>
            <w:tcW w:w="1170" w:type="dxa"/>
            <w:tcBorders>
              <w:top w:val="nil"/>
              <w:left w:val="nil"/>
              <w:bottom w:val="single" w:sz="4" w:space="0" w:color="auto"/>
              <w:right w:val="single" w:sz="4" w:space="0" w:color="auto"/>
            </w:tcBorders>
            <w:shd w:val="clear" w:color="auto" w:fill="auto"/>
            <w:vAlign w:val="center"/>
            <w:hideMark/>
          </w:tcPr>
          <w:p w14:paraId="79149FB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HFC-23</w:t>
            </w:r>
          </w:p>
        </w:tc>
        <w:tc>
          <w:tcPr>
            <w:tcW w:w="709" w:type="dxa"/>
            <w:tcBorders>
              <w:top w:val="nil"/>
              <w:left w:val="nil"/>
              <w:bottom w:val="single" w:sz="4" w:space="0" w:color="auto"/>
              <w:right w:val="single" w:sz="4" w:space="0" w:color="auto"/>
            </w:tcBorders>
            <w:shd w:val="clear" w:color="auto" w:fill="auto"/>
            <w:vAlign w:val="center"/>
            <w:hideMark/>
          </w:tcPr>
          <w:p w14:paraId="273F761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46%</w:t>
            </w:r>
          </w:p>
        </w:tc>
        <w:tc>
          <w:tcPr>
            <w:tcW w:w="1166" w:type="dxa"/>
            <w:tcBorders>
              <w:top w:val="nil"/>
              <w:left w:val="nil"/>
              <w:bottom w:val="single" w:sz="4" w:space="0" w:color="auto"/>
              <w:right w:val="single" w:sz="4" w:space="0" w:color="auto"/>
            </w:tcBorders>
            <w:shd w:val="clear" w:color="auto" w:fill="auto"/>
            <w:vAlign w:val="center"/>
            <w:hideMark/>
          </w:tcPr>
          <w:p w14:paraId="48A1FEB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PFC-116</w:t>
            </w:r>
          </w:p>
        </w:tc>
        <w:tc>
          <w:tcPr>
            <w:tcW w:w="820" w:type="dxa"/>
            <w:tcBorders>
              <w:top w:val="nil"/>
              <w:left w:val="nil"/>
              <w:bottom w:val="single" w:sz="4" w:space="0" w:color="auto"/>
              <w:right w:val="single" w:sz="4" w:space="0" w:color="auto"/>
            </w:tcBorders>
            <w:shd w:val="clear" w:color="auto" w:fill="auto"/>
            <w:vAlign w:val="center"/>
            <w:hideMark/>
          </w:tcPr>
          <w:p w14:paraId="09B65CD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54%</w:t>
            </w:r>
          </w:p>
        </w:tc>
        <w:tc>
          <w:tcPr>
            <w:tcW w:w="965" w:type="dxa"/>
            <w:tcBorders>
              <w:top w:val="nil"/>
              <w:left w:val="nil"/>
              <w:bottom w:val="single" w:sz="4" w:space="0" w:color="auto"/>
              <w:right w:val="single" w:sz="4" w:space="0" w:color="auto"/>
            </w:tcBorders>
            <w:shd w:val="clear" w:color="auto" w:fill="auto"/>
            <w:noWrap/>
            <w:vAlign w:val="bottom"/>
            <w:hideMark/>
          </w:tcPr>
          <w:p w14:paraId="3414AF8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189F68F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8AED8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0AC6279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E86D8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65BF4A1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768ADB2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8055B5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25FE813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236064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R-509 (TP5R2)</w:t>
            </w:r>
          </w:p>
        </w:tc>
        <w:tc>
          <w:tcPr>
            <w:tcW w:w="1170" w:type="dxa"/>
            <w:tcBorders>
              <w:top w:val="nil"/>
              <w:left w:val="nil"/>
              <w:bottom w:val="single" w:sz="4" w:space="0" w:color="auto"/>
              <w:right w:val="single" w:sz="4" w:space="0" w:color="auto"/>
            </w:tcBorders>
            <w:shd w:val="clear" w:color="auto" w:fill="auto"/>
            <w:vAlign w:val="center"/>
            <w:hideMark/>
          </w:tcPr>
          <w:p w14:paraId="2D9CA6F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09" w:type="dxa"/>
            <w:tcBorders>
              <w:top w:val="nil"/>
              <w:left w:val="nil"/>
              <w:bottom w:val="single" w:sz="4" w:space="0" w:color="auto"/>
              <w:right w:val="single" w:sz="4" w:space="0" w:color="auto"/>
            </w:tcBorders>
            <w:shd w:val="clear" w:color="auto" w:fill="auto"/>
            <w:vAlign w:val="center"/>
            <w:hideMark/>
          </w:tcPr>
          <w:p w14:paraId="6DBD45C3"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46%</w:t>
            </w:r>
          </w:p>
        </w:tc>
        <w:tc>
          <w:tcPr>
            <w:tcW w:w="1166" w:type="dxa"/>
            <w:tcBorders>
              <w:top w:val="nil"/>
              <w:left w:val="nil"/>
              <w:bottom w:val="single" w:sz="4" w:space="0" w:color="auto"/>
              <w:right w:val="single" w:sz="4" w:space="0" w:color="auto"/>
            </w:tcBorders>
            <w:shd w:val="clear" w:color="auto" w:fill="auto"/>
            <w:vAlign w:val="center"/>
            <w:hideMark/>
          </w:tcPr>
          <w:p w14:paraId="112A3E5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PFC-218</w:t>
            </w:r>
          </w:p>
        </w:tc>
        <w:tc>
          <w:tcPr>
            <w:tcW w:w="820" w:type="dxa"/>
            <w:tcBorders>
              <w:top w:val="nil"/>
              <w:left w:val="nil"/>
              <w:bottom w:val="single" w:sz="4" w:space="0" w:color="auto"/>
              <w:right w:val="single" w:sz="4" w:space="0" w:color="auto"/>
            </w:tcBorders>
            <w:shd w:val="clear" w:color="auto" w:fill="auto"/>
            <w:vAlign w:val="center"/>
            <w:hideMark/>
          </w:tcPr>
          <w:p w14:paraId="1CA6EDE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54%</w:t>
            </w:r>
          </w:p>
        </w:tc>
        <w:tc>
          <w:tcPr>
            <w:tcW w:w="965" w:type="dxa"/>
            <w:tcBorders>
              <w:top w:val="nil"/>
              <w:left w:val="nil"/>
              <w:bottom w:val="single" w:sz="4" w:space="0" w:color="auto"/>
              <w:right w:val="single" w:sz="4" w:space="0" w:color="auto"/>
            </w:tcBorders>
            <w:shd w:val="clear" w:color="auto" w:fill="auto"/>
            <w:noWrap/>
            <w:vAlign w:val="bottom"/>
            <w:hideMark/>
          </w:tcPr>
          <w:p w14:paraId="4B02277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2CAFD01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CE415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56ACA72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955E3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554BE55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5BA9ABB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172C9FE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1DECB64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FB0B65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R-509A</w:t>
            </w:r>
          </w:p>
        </w:tc>
        <w:tc>
          <w:tcPr>
            <w:tcW w:w="1170" w:type="dxa"/>
            <w:tcBorders>
              <w:top w:val="nil"/>
              <w:left w:val="nil"/>
              <w:bottom w:val="single" w:sz="4" w:space="0" w:color="auto"/>
              <w:right w:val="single" w:sz="4" w:space="0" w:color="auto"/>
            </w:tcBorders>
            <w:shd w:val="clear" w:color="auto" w:fill="auto"/>
            <w:vAlign w:val="center"/>
            <w:hideMark/>
          </w:tcPr>
          <w:p w14:paraId="2950BFE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09" w:type="dxa"/>
            <w:tcBorders>
              <w:top w:val="nil"/>
              <w:left w:val="nil"/>
              <w:bottom w:val="single" w:sz="4" w:space="0" w:color="auto"/>
              <w:right w:val="single" w:sz="4" w:space="0" w:color="auto"/>
            </w:tcBorders>
            <w:shd w:val="clear" w:color="auto" w:fill="auto"/>
            <w:vAlign w:val="center"/>
            <w:hideMark/>
          </w:tcPr>
          <w:p w14:paraId="19DF3B5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44%</w:t>
            </w:r>
          </w:p>
        </w:tc>
        <w:tc>
          <w:tcPr>
            <w:tcW w:w="1166" w:type="dxa"/>
            <w:tcBorders>
              <w:top w:val="nil"/>
              <w:left w:val="nil"/>
              <w:bottom w:val="single" w:sz="4" w:space="0" w:color="auto"/>
              <w:right w:val="single" w:sz="4" w:space="0" w:color="auto"/>
            </w:tcBorders>
            <w:shd w:val="clear" w:color="auto" w:fill="auto"/>
            <w:vAlign w:val="center"/>
            <w:hideMark/>
          </w:tcPr>
          <w:p w14:paraId="23F44F7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PFC-218</w:t>
            </w:r>
          </w:p>
        </w:tc>
        <w:tc>
          <w:tcPr>
            <w:tcW w:w="820" w:type="dxa"/>
            <w:tcBorders>
              <w:top w:val="nil"/>
              <w:left w:val="nil"/>
              <w:bottom w:val="single" w:sz="4" w:space="0" w:color="auto"/>
              <w:right w:val="single" w:sz="4" w:space="0" w:color="auto"/>
            </w:tcBorders>
            <w:shd w:val="clear" w:color="auto" w:fill="auto"/>
            <w:vAlign w:val="center"/>
            <w:hideMark/>
          </w:tcPr>
          <w:p w14:paraId="6E98B64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56%</w:t>
            </w:r>
          </w:p>
        </w:tc>
        <w:tc>
          <w:tcPr>
            <w:tcW w:w="965" w:type="dxa"/>
            <w:tcBorders>
              <w:top w:val="nil"/>
              <w:left w:val="nil"/>
              <w:bottom w:val="single" w:sz="4" w:space="0" w:color="auto"/>
              <w:right w:val="single" w:sz="4" w:space="0" w:color="auto"/>
            </w:tcBorders>
            <w:shd w:val="clear" w:color="auto" w:fill="auto"/>
            <w:noWrap/>
            <w:vAlign w:val="bottom"/>
            <w:hideMark/>
          </w:tcPr>
          <w:p w14:paraId="7394E6C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32655FC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18B4F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2CE2D60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3A694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7CE6416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2868007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38E7567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116FB52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D1A5BC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R-512A</w:t>
            </w:r>
          </w:p>
        </w:tc>
        <w:tc>
          <w:tcPr>
            <w:tcW w:w="1170" w:type="dxa"/>
            <w:tcBorders>
              <w:top w:val="nil"/>
              <w:left w:val="nil"/>
              <w:bottom w:val="single" w:sz="4" w:space="0" w:color="auto"/>
              <w:right w:val="single" w:sz="4" w:space="0" w:color="auto"/>
            </w:tcBorders>
            <w:shd w:val="clear" w:color="auto" w:fill="auto"/>
            <w:vAlign w:val="center"/>
            <w:hideMark/>
          </w:tcPr>
          <w:p w14:paraId="173E9BE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09" w:type="dxa"/>
            <w:tcBorders>
              <w:top w:val="nil"/>
              <w:left w:val="nil"/>
              <w:bottom w:val="single" w:sz="4" w:space="0" w:color="auto"/>
              <w:right w:val="single" w:sz="4" w:space="0" w:color="auto"/>
            </w:tcBorders>
            <w:shd w:val="clear" w:color="auto" w:fill="auto"/>
            <w:vAlign w:val="center"/>
            <w:hideMark/>
          </w:tcPr>
          <w:p w14:paraId="57F0E8B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w:t>
            </w:r>
          </w:p>
        </w:tc>
        <w:tc>
          <w:tcPr>
            <w:tcW w:w="1166" w:type="dxa"/>
            <w:tcBorders>
              <w:top w:val="nil"/>
              <w:left w:val="nil"/>
              <w:bottom w:val="single" w:sz="4" w:space="0" w:color="auto"/>
              <w:right w:val="single" w:sz="4" w:space="0" w:color="auto"/>
            </w:tcBorders>
            <w:shd w:val="clear" w:color="auto" w:fill="auto"/>
            <w:vAlign w:val="center"/>
            <w:hideMark/>
          </w:tcPr>
          <w:p w14:paraId="501D1DA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820" w:type="dxa"/>
            <w:tcBorders>
              <w:top w:val="nil"/>
              <w:left w:val="nil"/>
              <w:bottom w:val="single" w:sz="4" w:space="0" w:color="auto"/>
              <w:right w:val="single" w:sz="4" w:space="0" w:color="auto"/>
            </w:tcBorders>
            <w:shd w:val="clear" w:color="auto" w:fill="auto"/>
            <w:vAlign w:val="center"/>
            <w:hideMark/>
          </w:tcPr>
          <w:p w14:paraId="08079A1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95%</w:t>
            </w:r>
          </w:p>
        </w:tc>
        <w:tc>
          <w:tcPr>
            <w:tcW w:w="965" w:type="dxa"/>
            <w:tcBorders>
              <w:top w:val="nil"/>
              <w:left w:val="nil"/>
              <w:bottom w:val="single" w:sz="4" w:space="0" w:color="auto"/>
              <w:right w:val="single" w:sz="4" w:space="0" w:color="auto"/>
            </w:tcBorders>
            <w:shd w:val="clear" w:color="auto" w:fill="auto"/>
            <w:noWrap/>
            <w:vAlign w:val="bottom"/>
            <w:hideMark/>
          </w:tcPr>
          <w:p w14:paraId="26AE1E1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0C5671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10DE8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1235E6F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E9813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710F962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7E01277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0D55036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493911E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5843D0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R-513A (XP10/DR-11)</w:t>
            </w:r>
          </w:p>
        </w:tc>
        <w:tc>
          <w:tcPr>
            <w:tcW w:w="1170" w:type="dxa"/>
            <w:tcBorders>
              <w:top w:val="nil"/>
              <w:left w:val="nil"/>
              <w:bottom w:val="single" w:sz="4" w:space="0" w:color="auto"/>
              <w:right w:val="single" w:sz="4" w:space="0" w:color="auto"/>
            </w:tcBorders>
            <w:shd w:val="clear" w:color="auto" w:fill="auto"/>
            <w:vAlign w:val="center"/>
            <w:hideMark/>
          </w:tcPr>
          <w:p w14:paraId="3D261C6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09" w:type="dxa"/>
            <w:tcBorders>
              <w:top w:val="nil"/>
              <w:left w:val="nil"/>
              <w:bottom w:val="single" w:sz="4" w:space="0" w:color="auto"/>
              <w:right w:val="single" w:sz="4" w:space="0" w:color="auto"/>
            </w:tcBorders>
            <w:shd w:val="clear" w:color="auto" w:fill="auto"/>
            <w:vAlign w:val="center"/>
            <w:hideMark/>
          </w:tcPr>
          <w:p w14:paraId="7A1D1DC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44%</w:t>
            </w:r>
          </w:p>
        </w:tc>
        <w:tc>
          <w:tcPr>
            <w:tcW w:w="1166" w:type="dxa"/>
            <w:tcBorders>
              <w:top w:val="nil"/>
              <w:left w:val="nil"/>
              <w:bottom w:val="single" w:sz="4" w:space="0" w:color="auto"/>
              <w:right w:val="single" w:sz="4" w:space="0" w:color="auto"/>
            </w:tcBorders>
            <w:shd w:val="clear" w:color="auto" w:fill="auto"/>
            <w:vAlign w:val="center"/>
            <w:hideMark/>
          </w:tcPr>
          <w:p w14:paraId="4A0BF3C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820" w:type="dxa"/>
            <w:tcBorders>
              <w:top w:val="nil"/>
              <w:left w:val="nil"/>
              <w:bottom w:val="single" w:sz="4" w:space="0" w:color="auto"/>
              <w:right w:val="single" w:sz="4" w:space="0" w:color="auto"/>
            </w:tcBorders>
            <w:shd w:val="clear" w:color="auto" w:fill="auto"/>
            <w:vAlign w:val="center"/>
            <w:hideMark/>
          </w:tcPr>
          <w:p w14:paraId="47949BD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56%</w:t>
            </w:r>
          </w:p>
        </w:tc>
        <w:tc>
          <w:tcPr>
            <w:tcW w:w="965" w:type="dxa"/>
            <w:tcBorders>
              <w:top w:val="nil"/>
              <w:left w:val="nil"/>
              <w:bottom w:val="single" w:sz="4" w:space="0" w:color="auto"/>
              <w:right w:val="single" w:sz="4" w:space="0" w:color="auto"/>
            </w:tcBorders>
            <w:shd w:val="clear" w:color="auto" w:fill="auto"/>
            <w:noWrap/>
            <w:vAlign w:val="bottom"/>
            <w:hideMark/>
          </w:tcPr>
          <w:p w14:paraId="2B2C8DC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67480E5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5B13E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0B170E7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9194C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0205C26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31FFCC0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3D42DD8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4A9E2BC6"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D70BBE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R-513B</w:t>
            </w:r>
          </w:p>
        </w:tc>
        <w:tc>
          <w:tcPr>
            <w:tcW w:w="1170" w:type="dxa"/>
            <w:tcBorders>
              <w:top w:val="nil"/>
              <w:left w:val="nil"/>
              <w:bottom w:val="single" w:sz="4" w:space="0" w:color="auto"/>
              <w:right w:val="single" w:sz="4" w:space="0" w:color="auto"/>
            </w:tcBorders>
            <w:shd w:val="clear" w:color="auto" w:fill="auto"/>
            <w:vAlign w:val="center"/>
            <w:hideMark/>
          </w:tcPr>
          <w:p w14:paraId="58E5B02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709" w:type="dxa"/>
            <w:tcBorders>
              <w:top w:val="nil"/>
              <w:left w:val="nil"/>
              <w:bottom w:val="single" w:sz="4" w:space="0" w:color="auto"/>
              <w:right w:val="single" w:sz="4" w:space="0" w:color="auto"/>
            </w:tcBorders>
            <w:shd w:val="clear" w:color="auto" w:fill="auto"/>
            <w:vAlign w:val="center"/>
            <w:hideMark/>
          </w:tcPr>
          <w:p w14:paraId="7EA4F36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41.50%</w:t>
            </w:r>
          </w:p>
        </w:tc>
        <w:tc>
          <w:tcPr>
            <w:tcW w:w="1166" w:type="dxa"/>
            <w:tcBorders>
              <w:top w:val="nil"/>
              <w:left w:val="nil"/>
              <w:bottom w:val="single" w:sz="4" w:space="0" w:color="auto"/>
              <w:right w:val="single" w:sz="4" w:space="0" w:color="auto"/>
            </w:tcBorders>
            <w:shd w:val="clear" w:color="auto" w:fill="auto"/>
            <w:vAlign w:val="center"/>
            <w:hideMark/>
          </w:tcPr>
          <w:p w14:paraId="191AD20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HFO-1234yf</w:t>
            </w:r>
          </w:p>
        </w:tc>
        <w:tc>
          <w:tcPr>
            <w:tcW w:w="820" w:type="dxa"/>
            <w:tcBorders>
              <w:top w:val="nil"/>
              <w:left w:val="nil"/>
              <w:bottom w:val="single" w:sz="4" w:space="0" w:color="auto"/>
              <w:right w:val="single" w:sz="4" w:space="0" w:color="auto"/>
            </w:tcBorders>
            <w:shd w:val="clear" w:color="auto" w:fill="auto"/>
            <w:vAlign w:val="center"/>
            <w:hideMark/>
          </w:tcPr>
          <w:p w14:paraId="34F8D42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58.50%</w:t>
            </w:r>
          </w:p>
        </w:tc>
        <w:tc>
          <w:tcPr>
            <w:tcW w:w="965" w:type="dxa"/>
            <w:tcBorders>
              <w:top w:val="nil"/>
              <w:left w:val="nil"/>
              <w:bottom w:val="single" w:sz="4" w:space="0" w:color="auto"/>
              <w:right w:val="single" w:sz="4" w:space="0" w:color="auto"/>
            </w:tcBorders>
            <w:shd w:val="clear" w:color="auto" w:fill="auto"/>
            <w:noWrap/>
            <w:vAlign w:val="bottom"/>
            <w:hideMark/>
          </w:tcPr>
          <w:p w14:paraId="48F0969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50CD18C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3D98C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11A495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7C093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397A337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2014FD5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6048241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0A46F7E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102307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R-515A</w:t>
            </w:r>
          </w:p>
        </w:tc>
        <w:tc>
          <w:tcPr>
            <w:tcW w:w="1170" w:type="dxa"/>
            <w:tcBorders>
              <w:top w:val="nil"/>
              <w:left w:val="nil"/>
              <w:bottom w:val="single" w:sz="4" w:space="0" w:color="auto"/>
              <w:right w:val="single" w:sz="4" w:space="0" w:color="auto"/>
            </w:tcBorders>
            <w:shd w:val="clear" w:color="auto" w:fill="auto"/>
            <w:vAlign w:val="center"/>
            <w:hideMark/>
          </w:tcPr>
          <w:p w14:paraId="3C09D71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HFC-227ea</w:t>
            </w:r>
          </w:p>
        </w:tc>
        <w:tc>
          <w:tcPr>
            <w:tcW w:w="709" w:type="dxa"/>
            <w:tcBorders>
              <w:top w:val="nil"/>
              <w:left w:val="nil"/>
              <w:bottom w:val="single" w:sz="4" w:space="0" w:color="auto"/>
              <w:right w:val="single" w:sz="4" w:space="0" w:color="auto"/>
            </w:tcBorders>
            <w:shd w:val="clear" w:color="auto" w:fill="auto"/>
            <w:vAlign w:val="center"/>
            <w:hideMark/>
          </w:tcPr>
          <w:p w14:paraId="608C637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12%</w:t>
            </w:r>
          </w:p>
        </w:tc>
        <w:tc>
          <w:tcPr>
            <w:tcW w:w="1166" w:type="dxa"/>
            <w:tcBorders>
              <w:top w:val="nil"/>
              <w:left w:val="nil"/>
              <w:bottom w:val="single" w:sz="4" w:space="0" w:color="auto"/>
              <w:right w:val="single" w:sz="4" w:space="0" w:color="auto"/>
            </w:tcBorders>
            <w:shd w:val="clear" w:color="auto" w:fill="auto"/>
            <w:vAlign w:val="center"/>
            <w:hideMark/>
          </w:tcPr>
          <w:p w14:paraId="04D1BB1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HFO-1234ze (E)</w:t>
            </w:r>
          </w:p>
        </w:tc>
        <w:tc>
          <w:tcPr>
            <w:tcW w:w="820" w:type="dxa"/>
            <w:tcBorders>
              <w:top w:val="nil"/>
              <w:left w:val="nil"/>
              <w:bottom w:val="single" w:sz="4" w:space="0" w:color="auto"/>
              <w:right w:val="single" w:sz="4" w:space="0" w:color="auto"/>
            </w:tcBorders>
            <w:shd w:val="clear" w:color="auto" w:fill="auto"/>
            <w:vAlign w:val="center"/>
            <w:hideMark/>
          </w:tcPr>
          <w:p w14:paraId="7D02D41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88%</w:t>
            </w:r>
          </w:p>
        </w:tc>
        <w:tc>
          <w:tcPr>
            <w:tcW w:w="965" w:type="dxa"/>
            <w:tcBorders>
              <w:top w:val="nil"/>
              <w:left w:val="nil"/>
              <w:bottom w:val="single" w:sz="4" w:space="0" w:color="auto"/>
              <w:right w:val="single" w:sz="4" w:space="0" w:color="auto"/>
            </w:tcBorders>
            <w:shd w:val="clear" w:color="auto" w:fill="auto"/>
            <w:noWrap/>
            <w:vAlign w:val="bottom"/>
            <w:hideMark/>
          </w:tcPr>
          <w:p w14:paraId="708F70C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49E6C7B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891C6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6812D86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05E55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1B3B9A8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58A45D7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34A3C84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688F61C3" w14:textId="77777777" w:rsidTr="006451A1">
        <w:tc>
          <w:tcPr>
            <w:tcW w:w="11057" w:type="dxa"/>
            <w:gridSpan w:val="13"/>
            <w:tcBorders>
              <w:top w:val="single" w:sz="4" w:space="0" w:color="auto"/>
              <w:left w:val="single" w:sz="4" w:space="0" w:color="auto"/>
              <w:bottom w:val="single" w:sz="4" w:space="0" w:color="auto"/>
              <w:right w:val="single" w:sz="4" w:space="0" w:color="000000"/>
            </w:tcBorders>
            <w:shd w:val="clear" w:color="auto" w:fill="auto"/>
            <w:tcMar>
              <w:left w:w="0" w:type="dxa"/>
              <w:right w:w="43" w:type="dxa"/>
            </w:tcMar>
            <w:vAlign w:val="center"/>
            <w:hideMark/>
          </w:tcPr>
          <w:p w14:paraId="5FA21869" w14:textId="77777777" w:rsidR="00232FF7" w:rsidRPr="00752D88" w:rsidRDefault="00232FF7" w:rsidP="006451A1">
            <w:pPr>
              <w:spacing w:after="0" w:line="240" w:lineRule="auto"/>
              <w:rPr>
                <w:rFonts w:ascii="Times New Roman" w:eastAsia="Times New Roman" w:hAnsi="Times New Roman" w:cs="Times New Roman"/>
                <w:b/>
                <w:bCs/>
                <w:color w:val="000000"/>
                <w:sz w:val="16"/>
                <w:szCs w:val="16"/>
                <w:lang w:eastAsia="en-CA"/>
              </w:rPr>
            </w:pPr>
            <w:r w:rsidRPr="00752D88">
              <w:rPr>
                <w:rFonts w:ascii="Times New Roman" w:eastAsia="Times New Roman" w:hAnsi="Times New Roman" w:cs="Times New Roman"/>
                <w:b/>
                <w:bCs/>
                <w:color w:val="000000"/>
                <w:sz w:val="16"/>
                <w:szCs w:val="16"/>
                <w:lang w:eastAsia="en-CA"/>
              </w:rPr>
              <w:t>Other mixtures</w:t>
            </w:r>
          </w:p>
        </w:tc>
      </w:tr>
      <w:tr w:rsidR="00232FF7" w:rsidRPr="00752D88" w14:paraId="147F624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FA66C1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FX 20</w:t>
            </w:r>
          </w:p>
        </w:tc>
        <w:tc>
          <w:tcPr>
            <w:tcW w:w="1170" w:type="dxa"/>
            <w:tcBorders>
              <w:top w:val="nil"/>
              <w:left w:val="nil"/>
              <w:bottom w:val="single" w:sz="4" w:space="0" w:color="auto"/>
              <w:right w:val="single" w:sz="4" w:space="0" w:color="auto"/>
            </w:tcBorders>
            <w:shd w:val="clear" w:color="auto" w:fill="auto"/>
            <w:vAlign w:val="center"/>
            <w:hideMark/>
          </w:tcPr>
          <w:p w14:paraId="0E8D06D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HFC-125</w:t>
            </w:r>
          </w:p>
        </w:tc>
        <w:tc>
          <w:tcPr>
            <w:tcW w:w="709" w:type="dxa"/>
            <w:tcBorders>
              <w:top w:val="nil"/>
              <w:left w:val="nil"/>
              <w:bottom w:val="single" w:sz="4" w:space="0" w:color="auto"/>
              <w:right w:val="single" w:sz="4" w:space="0" w:color="auto"/>
            </w:tcBorders>
            <w:shd w:val="clear" w:color="auto" w:fill="auto"/>
            <w:vAlign w:val="center"/>
            <w:hideMark/>
          </w:tcPr>
          <w:p w14:paraId="534D570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45%</w:t>
            </w:r>
          </w:p>
        </w:tc>
        <w:tc>
          <w:tcPr>
            <w:tcW w:w="1166" w:type="dxa"/>
            <w:tcBorders>
              <w:top w:val="nil"/>
              <w:left w:val="nil"/>
              <w:bottom w:val="single" w:sz="4" w:space="0" w:color="auto"/>
              <w:right w:val="single" w:sz="4" w:space="0" w:color="auto"/>
            </w:tcBorders>
            <w:shd w:val="clear" w:color="auto" w:fill="auto"/>
            <w:vAlign w:val="center"/>
            <w:hideMark/>
          </w:tcPr>
          <w:p w14:paraId="591176D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820" w:type="dxa"/>
            <w:tcBorders>
              <w:top w:val="nil"/>
              <w:left w:val="nil"/>
              <w:bottom w:val="single" w:sz="4" w:space="0" w:color="auto"/>
              <w:right w:val="single" w:sz="4" w:space="0" w:color="auto"/>
            </w:tcBorders>
            <w:shd w:val="clear" w:color="auto" w:fill="auto"/>
            <w:vAlign w:val="center"/>
            <w:hideMark/>
          </w:tcPr>
          <w:p w14:paraId="0E09369B"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55%</w:t>
            </w:r>
          </w:p>
        </w:tc>
        <w:tc>
          <w:tcPr>
            <w:tcW w:w="965" w:type="dxa"/>
            <w:tcBorders>
              <w:top w:val="nil"/>
              <w:left w:val="nil"/>
              <w:bottom w:val="single" w:sz="4" w:space="0" w:color="auto"/>
              <w:right w:val="single" w:sz="4" w:space="0" w:color="auto"/>
            </w:tcBorders>
            <w:shd w:val="clear" w:color="auto" w:fill="auto"/>
            <w:vAlign w:val="center"/>
            <w:hideMark/>
          </w:tcPr>
          <w:p w14:paraId="12808EA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8ECAAC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5A606A8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FE3E63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0444D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2FD0E88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7C7584B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37256F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669CCD2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5EB07A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FX 55</w:t>
            </w:r>
          </w:p>
        </w:tc>
        <w:tc>
          <w:tcPr>
            <w:tcW w:w="1170" w:type="dxa"/>
            <w:tcBorders>
              <w:top w:val="nil"/>
              <w:left w:val="nil"/>
              <w:bottom w:val="single" w:sz="4" w:space="0" w:color="auto"/>
              <w:right w:val="single" w:sz="4" w:space="0" w:color="auto"/>
            </w:tcBorders>
            <w:shd w:val="clear" w:color="auto" w:fill="auto"/>
            <w:vAlign w:val="center"/>
            <w:hideMark/>
          </w:tcPr>
          <w:p w14:paraId="5490754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09" w:type="dxa"/>
            <w:tcBorders>
              <w:top w:val="nil"/>
              <w:left w:val="nil"/>
              <w:bottom w:val="single" w:sz="4" w:space="0" w:color="auto"/>
              <w:right w:val="single" w:sz="4" w:space="0" w:color="auto"/>
            </w:tcBorders>
            <w:shd w:val="clear" w:color="auto" w:fill="auto"/>
            <w:vAlign w:val="center"/>
            <w:hideMark/>
          </w:tcPr>
          <w:p w14:paraId="44F094F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60%</w:t>
            </w:r>
          </w:p>
        </w:tc>
        <w:tc>
          <w:tcPr>
            <w:tcW w:w="1166" w:type="dxa"/>
            <w:tcBorders>
              <w:top w:val="nil"/>
              <w:left w:val="nil"/>
              <w:bottom w:val="single" w:sz="4" w:space="0" w:color="auto"/>
              <w:right w:val="single" w:sz="4" w:space="0" w:color="auto"/>
            </w:tcBorders>
            <w:shd w:val="clear" w:color="auto" w:fill="auto"/>
            <w:vAlign w:val="center"/>
            <w:hideMark/>
          </w:tcPr>
          <w:p w14:paraId="5C8E9B1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HCFC-142b</w:t>
            </w:r>
          </w:p>
        </w:tc>
        <w:tc>
          <w:tcPr>
            <w:tcW w:w="820" w:type="dxa"/>
            <w:tcBorders>
              <w:top w:val="nil"/>
              <w:left w:val="nil"/>
              <w:bottom w:val="single" w:sz="4" w:space="0" w:color="auto"/>
              <w:right w:val="single" w:sz="4" w:space="0" w:color="auto"/>
            </w:tcBorders>
            <w:shd w:val="clear" w:color="auto" w:fill="auto"/>
            <w:vAlign w:val="center"/>
            <w:hideMark/>
          </w:tcPr>
          <w:p w14:paraId="65E0D4B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40%</w:t>
            </w:r>
          </w:p>
        </w:tc>
        <w:tc>
          <w:tcPr>
            <w:tcW w:w="965" w:type="dxa"/>
            <w:tcBorders>
              <w:top w:val="nil"/>
              <w:left w:val="nil"/>
              <w:bottom w:val="single" w:sz="4" w:space="0" w:color="auto"/>
              <w:right w:val="single" w:sz="4" w:space="0" w:color="auto"/>
            </w:tcBorders>
            <w:shd w:val="clear" w:color="auto" w:fill="auto"/>
            <w:vAlign w:val="center"/>
            <w:hideMark/>
          </w:tcPr>
          <w:p w14:paraId="7D4E3B8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D4DFD2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vAlign w:val="center"/>
            <w:hideMark/>
          </w:tcPr>
          <w:p w14:paraId="73F5EF6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CED1BC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4F7C5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576196F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55E8F2F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64BDF63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3D1DD3BA"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876BA6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D 136</w:t>
            </w:r>
          </w:p>
        </w:tc>
        <w:tc>
          <w:tcPr>
            <w:tcW w:w="1170" w:type="dxa"/>
            <w:tcBorders>
              <w:top w:val="nil"/>
              <w:left w:val="nil"/>
              <w:bottom w:val="single" w:sz="4" w:space="0" w:color="auto"/>
              <w:right w:val="single" w:sz="4" w:space="0" w:color="auto"/>
            </w:tcBorders>
            <w:shd w:val="clear" w:color="auto" w:fill="auto"/>
            <w:vAlign w:val="center"/>
            <w:hideMark/>
          </w:tcPr>
          <w:p w14:paraId="6DD95FC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09" w:type="dxa"/>
            <w:tcBorders>
              <w:top w:val="nil"/>
              <w:left w:val="nil"/>
              <w:bottom w:val="single" w:sz="4" w:space="0" w:color="auto"/>
              <w:right w:val="single" w:sz="4" w:space="0" w:color="auto"/>
            </w:tcBorders>
            <w:shd w:val="clear" w:color="auto" w:fill="auto"/>
            <w:vAlign w:val="center"/>
            <w:hideMark/>
          </w:tcPr>
          <w:p w14:paraId="473C19C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50%</w:t>
            </w:r>
          </w:p>
        </w:tc>
        <w:tc>
          <w:tcPr>
            <w:tcW w:w="1166" w:type="dxa"/>
            <w:tcBorders>
              <w:top w:val="nil"/>
              <w:left w:val="nil"/>
              <w:bottom w:val="single" w:sz="4" w:space="0" w:color="auto"/>
              <w:right w:val="single" w:sz="4" w:space="0" w:color="auto"/>
            </w:tcBorders>
            <w:shd w:val="clear" w:color="auto" w:fill="auto"/>
            <w:vAlign w:val="center"/>
            <w:hideMark/>
          </w:tcPr>
          <w:p w14:paraId="67B5C20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HCFC-124</w:t>
            </w:r>
          </w:p>
        </w:tc>
        <w:tc>
          <w:tcPr>
            <w:tcW w:w="820" w:type="dxa"/>
            <w:tcBorders>
              <w:top w:val="nil"/>
              <w:left w:val="nil"/>
              <w:bottom w:val="single" w:sz="4" w:space="0" w:color="auto"/>
              <w:right w:val="single" w:sz="4" w:space="0" w:color="auto"/>
            </w:tcBorders>
            <w:shd w:val="clear" w:color="auto" w:fill="auto"/>
            <w:vAlign w:val="center"/>
            <w:hideMark/>
          </w:tcPr>
          <w:p w14:paraId="42E1857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47%</w:t>
            </w:r>
          </w:p>
        </w:tc>
        <w:tc>
          <w:tcPr>
            <w:tcW w:w="965" w:type="dxa"/>
            <w:tcBorders>
              <w:top w:val="nil"/>
              <w:left w:val="nil"/>
              <w:bottom w:val="single" w:sz="4" w:space="0" w:color="auto"/>
              <w:right w:val="single" w:sz="4" w:space="0" w:color="auto"/>
            </w:tcBorders>
            <w:shd w:val="clear" w:color="auto" w:fill="auto"/>
            <w:vAlign w:val="center"/>
            <w:hideMark/>
          </w:tcPr>
          <w:p w14:paraId="60CA414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A3653B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w:t>
            </w:r>
          </w:p>
        </w:tc>
        <w:tc>
          <w:tcPr>
            <w:tcW w:w="960" w:type="dxa"/>
            <w:tcBorders>
              <w:top w:val="nil"/>
              <w:left w:val="nil"/>
              <w:bottom w:val="single" w:sz="4" w:space="0" w:color="auto"/>
              <w:right w:val="single" w:sz="4" w:space="0" w:color="auto"/>
            </w:tcBorders>
            <w:shd w:val="clear" w:color="auto" w:fill="auto"/>
            <w:vAlign w:val="center"/>
            <w:hideMark/>
          </w:tcPr>
          <w:p w14:paraId="2135C1E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65BDC5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21866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7A2E9E4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697AB06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22CD680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422B7F7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C505CF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Daikin Blend</w:t>
            </w:r>
          </w:p>
        </w:tc>
        <w:tc>
          <w:tcPr>
            <w:tcW w:w="1170" w:type="dxa"/>
            <w:tcBorders>
              <w:top w:val="nil"/>
              <w:left w:val="nil"/>
              <w:bottom w:val="single" w:sz="4" w:space="0" w:color="auto"/>
              <w:right w:val="single" w:sz="4" w:space="0" w:color="auto"/>
            </w:tcBorders>
            <w:shd w:val="clear" w:color="auto" w:fill="auto"/>
            <w:vAlign w:val="center"/>
            <w:hideMark/>
          </w:tcPr>
          <w:p w14:paraId="720B33C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HFC-23</w:t>
            </w:r>
          </w:p>
        </w:tc>
        <w:tc>
          <w:tcPr>
            <w:tcW w:w="709" w:type="dxa"/>
            <w:tcBorders>
              <w:top w:val="nil"/>
              <w:left w:val="nil"/>
              <w:bottom w:val="single" w:sz="4" w:space="0" w:color="auto"/>
              <w:right w:val="single" w:sz="4" w:space="0" w:color="auto"/>
            </w:tcBorders>
            <w:shd w:val="clear" w:color="auto" w:fill="auto"/>
            <w:vAlign w:val="center"/>
            <w:hideMark/>
          </w:tcPr>
          <w:p w14:paraId="32CDBD5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w:t>
            </w:r>
          </w:p>
        </w:tc>
        <w:tc>
          <w:tcPr>
            <w:tcW w:w="1166" w:type="dxa"/>
            <w:tcBorders>
              <w:top w:val="nil"/>
              <w:left w:val="nil"/>
              <w:bottom w:val="single" w:sz="4" w:space="0" w:color="auto"/>
              <w:right w:val="single" w:sz="4" w:space="0" w:color="auto"/>
            </w:tcBorders>
            <w:shd w:val="clear" w:color="auto" w:fill="auto"/>
            <w:vAlign w:val="center"/>
            <w:hideMark/>
          </w:tcPr>
          <w:p w14:paraId="19E5BC6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HFC-32</w:t>
            </w:r>
          </w:p>
        </w:tc>
        <w:tc>
          <w:tcPr>
            <w:tcW w:w="820" w:type="dxa"/>
            <w:tcBorders>
              <w:top w:val="nil"/>
              <w:left w:val="nil"/>
              <w:bottom w:val="single" w:sz="4" w:space="0" w:color="auto"/>
              <w:right w:val="single" w:sz="4" w:space="0" w:color="auto"/>
            </w:tcBorders>
            <w:shd w:val="clear" w:color="auto" w:fill="auto"/>
            <w:vAlign w:val="center"/>
            <w:hideMark/>
          </w:tcPr>
          <w:p w14:paraId="1D79705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28%</w:t>
            </w:r>
          </w:p>
        </w:tc>
        <w:tc>
          <w:tcPr>
            <w:tcW w:w="965" w:type="dxa"/>
            <w:tcBorders>
              <w:top w:val="nil"/>
              <w:left w:val="nil"/>
              <w:bottom w:val="single" w:sz="4" w:space="0" w:color="auto"/>
              <w:right w:val="single" w:sz="4" w:space="0" w:color="auto"/>
            </w:tcBorders>
            <w:shd w:val="clear" w:color="auto" w:fill="auto"/>
            <w:vAlign w:val="center"/>
            <w:hideMark/>
          </w:tcPr>
          <w:p w14:paraId="56D6B66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HCFC-124</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6208B9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70%</w:t>
            </w:r>
          </w:p>
        </w:tc>
        <w:tc>
          <w:tcPr>
            <w:tcW w:w="960" w:type="dxa"/>
            <w:tcBorders>
              <w:top w:val="nil"/>
              <w:left w:val="nil"/>
              <w:bottom w:val="single" w:sz="4" w:space="0" w:color="auto"/>
              <w:right w:val="single" w:sz="4" w:space="0" w:color="auto"/>
            </w:tcBorders>
            <w:shd w:val="clear" w:color="auto" w:fill="auto"/>
            <w:vAlign w:val="center"/>
            <w:hideMark/>
          </w:tcPr>
          <w:p w14:paraId="299841E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125F6A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74C23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724C2F8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6FC8C6B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047CC8A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1A6E13B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9C60AA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FRIGC</w:t>
            </w:r>
          </w:p>
        </w:tc>
        <w:tc>
          <w:tcPr>
            <w:tcW w:w="1170" w:type="dxa"/>
            <w:tcBorders>
              <w:top w:val="nil"/>
              <w:left w:val="nil"/>
              <w:bottom w:val="single" w:sz="4" w:space="0" w:color="auto"/>
              <w:right w:val="single" w:sz="4" w:space="0" w:color="auto"/>
            </w:tcBorders>
            <w:shd w:val="clear" w:color="auto" w:fill="auto"/>
            <w:vAlign w:val="center"/>
            <w:hideMark/>
          </w:tcPr>
          <w:p w14:paraId="5D930C9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HCFC-124</w:t>
            </w:r>
          </w:p>
        </w:tc>
        <w:tc>
          <w:tcPr>
            <w:tcW w:w="709" w:type="dxa"/>
            <w:tcBorders>
              <w:top w:val="nil"/>
              <w:left w:val="nil"/>
              <w:bottom w:val="single" w:sz="4" w:space="0" w:color="auto"/>
              <w:right w:val="single" w:sz="4" w:space="0" w:color="auto"/>
            </w:tcBorders>
            <w:shd w:val="clear" w:color="auto" w:fill="auto"/>
            <w:vAlign w:val="center"/>
            <w:hideMark/>
          </w:tcPr>
          <w:p w14:paraId="6D561274"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39%</w:t>
            </w:r>
          </w:p>
        </w:tc>
        <w:tc>
          <w:tcPr>
            <w:tcW w:w="1166" w:type="dxa"/>
            <w:tcBorders>
              <w:top w:val="nil"/>
              <w:left w:val="nil"/>
              <w:bottom w:val="single" w:sz="4" w:space="0" w:color="auto"/>
              <w:right w:val="single" w:sz="4" w:space="0" w:color="auto"/>
            </w:tcBorders>
            <w:shd w:val="clear" w:color="auto" w:fill="auto"/>
            <w:vAlign w:val="center"/>
            <w:hideMark/>
          </w:tcPr>
          <w:p w14:paraId="1A0EEF0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HCFC-134a</w:t>
            </w:r>
          </w:p>
        </w:tc>
        <w:tc>
          <w:tcPr>
            <w:tcW w:w="820" w:type="dxa"/>
            <w:tcBorders>
              <w:top w:val="nil"/>
              <w:left w:val="nil"/>
              <w:bottom w:val="single" w:sz="4" w:space="0" w:color="auto"/>
              <w:right w:val="single" w:sz="4" w:space="0" w:color="auto"/>
            </w:tcBorders>
            <w:shd w:val="clear" w:color="auto" w:fill="auto"/>
            <w:vAlign w:val="center"/>
            <w:hideMark/>
          </w:tcPr>
          <w:p w14:paraId="49F5390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59%</w:t>
            </w:r>
          </w:p>
        </w:tc>
        <w:tc>
          <w:tcPr>
            <w:tcW w:w="965" w:type="dxa"/>
            <w:tcBorders>
              <w:top w:val="nil"/>
              <w:left w:val="nil"/>
              <w:bottom w:val="single" w:sz="4" w:space="0" w:color="auto"/>
              <w:right w:val="single" w:sz="4" w:space="0" w:color="auto"/>
            </w:tcBorders>
            <w:shd w:val="clear" w:color="auto" w:fill="auto"/>
            <w:vAlign w:val="center"/>
            <w:hideMark/>
          </w:tcPr>
          <w:p w14:paraId="5F9AD9E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2A64A82"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w:t>
            </w:r>
          </w:p>
        </w:tc>
        <w:tc>
          <w:tcPr>
            <w:tcW w:w="960" w:type="dxa"/>
            <w:tcBorders>
              <w:top w:val="nil"/>
              <w:left w:val="nil"/>
              <w:bottom w:val="single" w:sz="4" w:space="0" w:color="auto"/>
              <w:right w:val="single" w:sz="4" w:space="0" w:color="auto"/>
            </w:tcBorders>
            <w:shd w:val="clear" w:color="auto" w:fill="auto"/>
            <w:vAlign w:val="center"/>
            <w:hideMark/>
          </w:tcPr>
          <w:p w14:paraId="5085440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38FA27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58E54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6561CA0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738FA56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68C9A28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51CB5D6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BF6AC5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Free Zone</w:t>
            </w:r>
          </w:p>
        </w:tc>
        <w:tc>
          <w:tcPr>
            <w:tcW w:w="1170" w:type="dxa"/>
            <w:tcBorders>
              <w:top w:val="nil"/>
              <w:left w:val="nil"/>
              <w:bottom w:val="single" w:sz="4" w:space="0" w:color="auto"/>
              <w:right w:val="single" w:sz="4" w:space="0" w:color="auto"/>
            </w:tcBorders>
            <w:shd w:val="clear" w:color="auto" w:fill="auto"/>
            <w:vAlign w:val="center"/>
            <w:hideMark/>
          </w:tcPr>
          <w:p w14:paraId="113F730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HCFC-142b</w:t>
            </w:r>
          </w:p>
        </w:tc>
        <w:tc>
          <w:tcPr>
            <w:tcW w:w="709" w:type="dxa"/>
            <w:tcBorders>
              <w:top w:val="nil"/>
              <w:left w:val="nil"/>
              <w:bottom w:val="single" w:sz="4" w:space="0" w:color="auto"/>
              <w:right w:val="single" w:sz="4" w:space="0" w:color="auto"/>
            </w:tcBorders>
            <w:shd w:val="clear" w:color="auto" w:fill="auto"/>
            <w:vAlign w:val="center"/>
            <w:hideMark/>
          </w:tcPr>
          <w:p w14:paraId="4A2CCE6D"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19%</w:t>
            </w:r>
          </w:p>
        </w:tc>
        <w:tc>
          <w:tcPr>
            <w:tcW w:w="1166" w:type="dxa"/>
            <w:tcBorders>
              <w:top w:val="nil"/>
              <w:left w:val="nil"/>
              <w:bottom w:val="single" w:sz="4" w:space="0" w:color="auto"/>
              <w:right w:val="single" w:sz="4" w:space="0" w:color="auto"/>
            </w:tcBorders>
            <w:shd w:val="clear" w:color="auto" w:fill="auto"/>
            <w:vAlign w:val="center"/>
            <w:hideMark/>
          </w:tcPr>
          <w:p w14:paraId="33F8013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HFC-134a</w:t>
            </w:r>
          </w:p>
        </w:tc>
        <w:tc>
          <w:tcPr>
            <w:tcW w:w="820" w:type="dxa"/>
            <w:tcBorders>
              <w:top w:val="nil"/>
              <w:left w:val="nil"/>
              <w:bottom w:val="single" w:sz="4" w:space="0" w:color="auto"/>
              <w:right w:val="single" w:sz="4" w:space="0" w:color="auto"/>
            </w:tcBorders>
            <w:shd w:val="clear" w:color="auto" w:fill="auto"/>
            <w:vAlign w:val="center"/>
            <w:hideMark/>
          </w:tcPr>
          <w:p w14:paraId="4C54729A"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79%</w:t>
            </w:r>
          </w:p>
        </w:tc>
        <w:tc>
          <w:tcPr>
            <w:tcW w:w="965" w:type="dxa"/>
            <w:tcBorders>
              <w:top w:val="nil"/>
              <w:left w:val="nil"/>
              <w:bottom w:val="single" w:sz="4" w:space="0" w:color="auto"/>
              <w:right w:val="single" w:sz="4" w:space="0" w:color="auto"/>
            </w:tcBorders>
            <w:shd w:val="clear" w:color="auto" w:fill="auto"/>
            <w:vAlign w:val="center"/>
            <w:hideMark/>
          </w:tcPr>
          <w:p w14:paraId="5EBD57E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Lubricant</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0E34B6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2%</w:t>
            </w:r>
          </w:p>
        </w:tc>
        <w:tc>
          <w:tcPr>
            <w:tcW w:w="960" w:type="dxa"/>
            <w:tcBorders>
              <w:top w:val="nil"/>
              <w:left w:val="nil"/>
              <w:bottom w:val="single" w:sz="4" w:space="0" w:color="auto"/>
              <w:right w:val="single" w:sz="4" w:space="0" w:color="auto"/>
            </w:tcBorders>
            <w:shd w:val="clear" w:color="auto" w:fill="auto"/>
            <w:vAlign w:val="center"/>
            <w:hideMark/>
          </w:tcPr>
          <w:p w14:paraId="4AD1B27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9B89AE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1C878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63885BE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013A6B3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392EC1BE"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7683D2B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1CC2E3D"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GHG-HP</w:t>
            </w:r>
          </w:p>
        </w:tc>
        <w:tc>
          <w:tcPr>
            <w:tcW w:w="1170" w:type="dxa"/>
            <w:tcBorders>
              <w:top w:val="nil"/>
              <w:left w:val="nil"/>
              <w:bottom w:val="single" w:sz="4" w:space="0" w:color="auto"/>
              <w:right w:val="single" w:sz="4" w:space="0" w:color="auto"/>
            </w:tcBorders>
            <w:shd w:val="clear" w:color="auto" w:fill="auto"/>
            <w:vAlign w:val="center"/>
            <w:hideMark/>
          </w:tcPr>
          <w:p w14:paraId="1116958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09" w:type="dxa"/>
            <w:tcBorders>
              <w:top w:val="nil"/>
              <w:left w:val="nil"/>
              <w:bottom w:val="single" w:sz="4" w:space="0" w:color="auto"/>
              <w:right w:val="single" w:sz="4" w:space="0" w:color="auto"/>
            </w:tcBorders>
            <w:shd w:val="clear" w:color="auto" w:fill="auto"/>
            <w:vAlign w:val="center"/>
            <w:hideMark/>
          </w:tcPr>
          <w:p w14:paraId="2A724A5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65%</w:t>
            </w:r>
          </w:p>
        </w:tc>
        <w:tc>
          <w:tcPr>
            <w:tcW w:w="1166" w:type="dxa"/>
            <w:tcBorders>
              <w:top w:val="nil"/>
              <w:left w:val="nil"/>
              <w:bottom w:val="single" w:sz="4" w:space="0" w:color="auto"/>
              <w:right w:val="single" w:sz="4" w:space="0" w:color="auto"/>
            </w:tcBorders>
            <w:shd w:val="clear" w:color="auto" w:fill="auto"/>
            <w:vAlign w:val="center"/>
            <w:hideMark/>
          </w:tcPr>
          <w:p w14:paraId="7D999E6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HCFC-142b</w:t>
            </w:r>
          </w:p>
        </w:tc>
        <w:tc>
          <w:tcPr>
            <w:tcW w:w="820" w:type="dxa"/>
            <w:tcBorders>
              <w:top w:val="nil"/>
              <w:left w:val="nil"/>
              <w:bottom w:val="single" w:sz="4" w:space="0" w:color="auto"/>
              <w:right w:val="single" w:sz="4" w:space="0" w:color="auto"/>
            </w:tcBorders>
            <w:shd w:val="clear" w:color="auto" w:fill="auto"/>
            <w:vAlign w:val="center"/>
            <w:hideMark/>
          </w:tcPr>
          <w:p w14:paraId="095DB560"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31%</w:t>
            </w:r>
          </w:p>
        </w:tc>
        <w:tc>
          <w:tcPr>
            <w:tcW w:w="965" w:type="dxa"/>
            <w:tcBorders>
              <w:top w:val="nil"/>
              <w:left w:val="nil"/>
              <w:bottom w:val="single" w:sz="4" w:space="0" w:color="auto"/>
              <w:right w:val="single" w:sz="4" w:space="0" w:color="auto"/>
            </w:tcBorders>
            <w:shd w:val="clear" w:color="auto" w:fill="auto"/>
            <w:vAlign w:val="center"/>
            <w:hideMark/>
          </w:tcPr>
          <w:p w14:paraId="6B03D7F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D80685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w:t>
            </w:r>
          </w:p>
        </w:tc>
        <w:tc>
          <w:tcPr>
            <w:tcW w:w="960" w:type="dxa"/>
            <w:tcBorders>
              <w:top w:val="nil"/>
              <w:left w:val="nil"/>
              <w:bottom w:val="single" w:sz="4" w:space="0" w:color="auto"/>
              <w:right w:val="single" w:sz="4" w:space="0" w:color="auto"/>
            </w:tcBorders>
            <w:shd w:val="clear" w:color="auto" w:fill="auto"/>
            <w:vAlign w:val="center"/>
            <w:hideMark/>
          </w:tcPr>
          <w:p w14:paraId="122F63D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F1501B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3EFE3E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450722F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3DD5E002"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50FF8AF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7FE63A0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A37A94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GHG-X5</w:t>
            </w:r>
          </w:p>
        </w:tc>
        <w:tc>
          <w:tcPr>
            <w:tcW w:w="1170" w:type="dxa"/>
            <w:tcBorders>
              <w:top w:val="nil"/>
              <w:left w:val="nil"/>
              <w:bottom w:val="single" w:sz="4" w:space="0" w:color="auto"/>
              <w:right w:val="single" w:sz="4" w:space="0" w:color="auto"/>
            </w:tcBorders>
            <w:shd w:val="clear" w:color="auto" w:fill="auto"/>
            <w:vAlign w:val="center"/>
            <w:hideMark/>
          </w:tcPr>
          <w:p w14:paraId="0465A06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09" w:type="dxa"/>
            <w:tcBorders>
              <w:top w:val="nil"/>
              <w:left w:val="nil"/>
              <w:bottom w:val="single" w:sz="4" w:space="0" w:color="auto"/>
              <w:right w:val="single" w:sz="4" w:space="0" w:color="auto"/>
            </w:tcBorders>
            <w:shd w:val="clear" w:color="auto" w:fill="auto"/>
            <w:vAlign w:val="center"/>
            <w:hideMark/>
          </w:tcPr>
          <w:p w14:paraId="49C724D9"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41%</w:t>
            </w:r>
          </w:p>
        </w:tc>
        <w:tc>
          <w:tcPr>
            <w:tcW w:w="1166" w:type="dxa"/>
            <w:tcBorders>
              <w:top w:val="nil"/>
              <w:left w:val="nil"/>
              <w:bottom w:val="single" w:sz="4" w:space="0" w:color="auto"/>
              <w:right w:val="single" w:sz="4" w:space="0" w:color="auto"/>
            </w:tcBorders>
            <w:shd w:val="clear" w:color="auto" w:fill="auto"/>
            <w:vAlign w:val="center"/>
            <w:hideMark/>
          </w:tcPr>
          <w:p w14:paraId="77DD70B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HCFC-142b</w:t>
            </w:r>
          </w:p>
        </w:tc>
        <w:tc>
          <w:tcPr>
            <w:tcW w:w="820" w:type="dxa"/>
            <w:tcBorders>
              <w:top w:val="nil"/>
              <w:left w:val="nil"/>
              <w:bottom w:val="single" w:sz="4" w:space="0" w:color="auto"/>
              <w:right w:val="single" w:sz="4" w:space="0" w:color="auto"/>
            </w:tcBorders>
            <w:shd w:val="clear" w:color="auto" w:fill="auto"/>
            <w:vAlign w:val="center"/>
            <w:hideMark/>
          </w:tcPr>
          <w:p w14:paraId="053A458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15%</w:t>
            </w:r>
          </w:p>
        </w:tc>
        <w:tc>
          <w:tcPr>
            <w:tcW w:w="965" w:type="dxa"/>
            <w:tcBorders>
              <w:top w:val="nil"/>
              <w:left w:val="nil"/>
              <w:bottom w:val="single" w:sz="4" w:space="0" w:color="auto"/>
              <w:right w:val="single" w:sz="4" w:space="0" w:color="auto"/>
            </w:tcBorders>
            <w:shd w:val="clear" w:color="auto" w:fill="auto"/>
            <w:vAlign w:val="center"/>
            <w:hideMark/>
          </w:tcPr>
          <w:p w14:paraId="2789D0C4"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HFC-227ea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D1AB3A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40%</w:t>
            </w:r>
          </w:p>
        </w:tc>
        <w:tc>
          <w:tcPr>
            <w:tcW w:w="960" w:type="dxa"/>
            <w:tcBorders>
              <w:top w:val="nil"/>
              <w:left w:val="nil"/>
              <w:bottom w:val="single" w:sz="4" w:space="0" w:color="auto"/>
              <w:right w:val="single" w:sz="4" w:space="0" w:color="auto"/>
            </w:tcBorders>
            <w:shd w:val="clear" w:color="auto" w:fill="auto"/>
            <w:vAlign w:val="center"/>
            <w:hideMark/>
          </w:tcPr>
          <w:p w14:paraId="346C4187"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81AA2BF"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14:paraId="70E256E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362C8368"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64B9FC21"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E0A658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752D88" w14:paraId="10F97A1C"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E4CB852" w14:textId="1E91F1DF"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NARM-502</w:t>
            </w:r>
          </w:p>
        </w:tc>
        <w:tc>
          <w:tcPr>
            <w:tcW w:w="1170" w:type="dxa"/>
            <w:tcBorders>
              <w:top w:val="nil"/>
              <w:left w:val="nil"/>
              <w:bottom w:val="single" w:sz="4" w:space="0" w:color="auto"/>
              <w:right w:val="single" w:sz="4" w:space="0" w:color="auto"/>
            </w:tcBorders>
            <w:shd w:val="clear" w:color="auto" w:fill="auto"/>
            <w:vAlign w:val="center"/>
            <w:hideMark/>
          </w:tcPr>
          <w:p w14:paraId="2047E7D9"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09" w:type="dxa"/>
            <w:tcBorders>
              <w:top w:val="nil"/>
              <w:left w:val="nil"/>
              <w:bottom w:val="single" w:sz="4" w:space="0" w:color="auto"/>
              <w:right w:val="single" w:sz="4" w:space="0" w:color="auto"/>
            </w:tcBorders>
            <w:shd w:val="clear" w:color="auto" w:fill="auto"/>
            <w:vAlign w:val="center"/>
            <w:hideMark/>
          </w:tcPr>
          <w:p w14:paraId="0196434E"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90%</w:t>
            </w:r>
          </w:p>
        </w:tc>
        <w:tc>
          <w:tcPr>
            <w:tcW w:w="1166" w:type="dxa"/>
            <w:tcBorders>
              <w:top w:val="nil"/>
              <w:left w:val="nil"/>
              <w:bottom w:val="single" w:sz="4" w:space="0" w:color="auto"/>
              <w:right w:val="single" w:sz="4" w:space="0" w:color="auto"/>
            </w:tcBorders>
            <w:shd w:val="clear" w:color="auto" w:fill="auto"/>
            <w:vAlign w:val="center"/>
            <w:hideMark/>
          </w:tcPr>
          <w:p w14:paraId="7CA0C825"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HFC-152a</w:t>
            </w:r>
          </w:p>
        </w:tc>
        <w:tc>
          <w:tcPr>
            <w:tcW w:w="820" w:type="dxa"/>
            <w:tcBorders>
              <w:top w:val="nil"/>
              <w:left w:val="nil"/>
              <w:bottom w:val="single" w:sz="4" w:space="0" w:color="auto"/>
              <w:right w:val="single" w:sz="4" w:space="0" w:color="auto"/>
            </w:tcBorders>
            <w:shd w:val="clear" w:color="auto" w:fill="auto"/>
            <w:vAlign w:val="center"/>
            <w:hideMark/>
          </w:tcPr>
          <w:p w14:paraId="3F2B3837"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w:t>
            </w:r>
          </w:p>
        </w:tc>
        <w:tc>
          <w:tcPr>
            <w:tcW w:w="965" w:type="dxa"/>
            <w:tcBorders>
              <w:top w:val="nil"/>
              <w:left w:val="nil"/>
              <w:bottom w:val="single" w:sz="4" w:space="0" w:color="auto"/>
              <w:right w:val="single" w:sz="4" w:space="0" w:color="auto"/>
            </w:tcBorders>
            <w:shd w:val="clear" w:color="auto" w:fill="auto"/>
            <w:vAlign w:val="center"/>
            <w:hideMark/>
          </w:tcPr>
          <w:p w14:paraId="7818764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HFC-23</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D7DD1D6"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5%</w:t>
            </w:r>
          </w:p>
        </w:tc>
        <w:tc>
          <w:tcPr>
            <w:tcW w:w="960" w:type="dxa"/>
            <w:tcBorders>
              <w:top w:val="nil"/>
              <w:left w:val="nil"/>
              <w:bottom w:val="single" w:sz="4" w:space="0" w:color="auto"/>
              <w:right w:val="single" w:sz="4" w:space="0" w:color="auto"/>
            </w:tcBorders>
            <w:shd w:val="clear" w:color="auto" w:fill="auto"/>
            <w:vAlign w:val="center"/>
            <w:hideMark/>
          </w:tcPr>
          <w:p w14:paraId="3EE7F55B"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3BC6C23"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4E8D70E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23302C6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0A23210A"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00B73F06"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z w:val="16"/>
                <w:szCs w:val="16"/>
                <w:lang w:eastAsia="en-CA"/>
              </w:rPr>
              <w:t> </w:t>
            </w:r>
          </w:p>
        </w:tc>
      </w:tr>
      <w:tr w:rsidR="00232FF7" w:rsidRPr="00232FF7" w14:paraId="42FE2EF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DCE4F1A" w14:textId="7B01D6EC" w:rsidR="00232FF7" w:rsidRPr="00752D88" w:rsidRDefault="003F2168" w:rsidP="003F2168">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NASF-S-III</w:t>
            </w:r>
            <w:r w:rsidRPr="00752D88">
              <w:rPr>
                <w:rStyle w:val="FootnoteReference"/>
                <w:rFonts w:ascii="Times New Roman" w:eastAsia="Times New Roman" w:hAnsi="Times New Roman" w:cs="Times New Roman"/>
                <w:color w:val="000000"/>
                <w:spacing w:val="-2"/>
                <w:sz w:val="16"/>
                <w:szCs w:val="16"/>
                <w:lang w:val="en-GB" w:eastAsia="en-CA"/>
              </w:rPr>
              <w:footnoteReference w:id="3"/>
            </w:r>
          </w:p>
        </w:tc>
        <w:tc>
          <w:tcPr>
            <w:tcW w:w="1170" w:type="dxa"/>
            <w:tcBorders>
              <w:top w:val="nil"/>
              <w:left w:val="nil"/>
              <w:bottom w:val="single" w:sz="4" w:space="0" w:color="auto"/>
              <w:right w:val="single" w:sz="4" w:space="0" w:color="auto"/>
            </w:tcBorders>
            <w:shd w:val="clear" w:color="auto" w:fill="auto"/>
            <w:vAlign w:val="center"/>
            <w:hideMark/>
          </w:tcPr>
          <w:p w14:paraId="7EBD6FFF"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HCFC-22</w:t>
            </w:r>
          </w:p>
        </w:tc>
        <w:tc>
          <w:tcPr>
            <w:tcW w:w="709" w:type="dxa"/>
            <w:tcBorders>
              <w:top w:val="nil"/>
              <w:left w:val="nil"/>
              <w:bottom w:val="single" w:sz="4" w:space="0" w:color="auto"/>
              <w:right w:val="single" w:sz="4" w:space="0" w:color="auto"/>
            </w:tcBorders>
            <w:shd w:val="clear" w:color="auto" w:fill="auto"/>
            <w:vAlign w:val="center"/>
            <w:hideMark/>
          </w:tcPr>
          <w:p w14:paraId="447E802C"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82%</w:t>
            </w:r>
          </w:p>
        </w:tc>
        <w:tc>
          <w:tcPr>
            <w:tcW w:w="1166" w:type="dxa"/>
            <w:tcBorders>
              <w:top w:val="nil"/>
              <w:left w:val="nil"/>
              <w:bottom w:val="single" w:sz="4" w:space="0" w:color="auto"/>
              <w:right w:val="single" w:sz="4" w:space="0" w:color="auto"/>
            </w:tcBorders>
            <w:shd w:val="clear" w:color="auto" w:fill="auto"/>
            <w:vAlign w:val="center"/>
            <w:hideMark/>
          </w:tcPr>
          <w:p w14:paraId="4407FF9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HCFC-123</w:t>
            </w:r>
          </w:p>
        </w:tc>
        <w:tc>
          <w:tcPr>
            <w:tcW w:w="820" w:type="dxa"/>
            <w:tcBorders>
              <w:top w:val="nil"/>
              <w:left w:val="nil"/>
              <w:bottom w:val="single" w:sz="4" w:space="0" w:color="auto"/>
              <w:right w:val="single" w:sz="4" w:space="0" w:color="auto"/>
            </w:tcBorders>
            <w:shd w:val="clear" w:color="auto" w:fill="auto"/>
            <w:vAlign w:val="center"/>
            <w:hideMark/>
          </w:tcPr>
          <w:p w14:paraId="01E5E58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4.75%</w:t>
            </w:r>
          </w:p>
        </w:tc>
        <w:tc>
          <w:tcPr>
            <w:tcW w:w="965" w:type="dxa"/>
            <w:tcBorders>
              <w:top w:val="nil"/>
              <w:left w:val="nil"/>
              <w:bottom w:val="single" w:sz="4" w:space="0" w:color="auto"/>
              <w:right w:val="single" w:sz="4" w:space="0" w:color="auto"/>
            </w:tcBorders>
            <w:shd w:val="clear" w:color="auto" w:fill="auto"/>
            <w:vAlign w:val="center"/>
            <w:hideMark/>
          </w:tcPr>
          <w:p w14:paraId="6BA34E6C"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HCFC-124</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3047208" w14:textId="77777777" w:rsidR="00232FF7" w:rsidRPr="00752D88" w:rsidRDefault="00232FF7" w:rsidP="006451A1">
            <w:pPr>
              <w:spacing w:after="0" w:line="240" w:lineRule="auto"/>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9.50%</w:t>
            </w:r>
          </w:p>
        </w:tc>
        <w:tc>
          <w:tcPr>
            <w:tcW w:w="960" w:type="dxa"/>
            <w:tcBorders>
              <w:top w:val="nil"/>
              <w:left w:val="nil"/>
              <w:bottom w:val="single" w:sz="4" w:space="0" w:color="auto"/>
              <w:right w:val="single" w:sz="4" w:space="0" w:color="auto"/>
            </w:tcBorders>
            <w:shd w:val="clear" w:color="auto" w:fill="auto"/>
            <w:vAlign w:val="center"/>
            <w:hideMark/>
          </w:tcPr>
          <w:p w14:paraId="0C9783F0" w14:textId="77777777" w:rsidR="00232FF7" w:rsidRPr="00752D88" w:rsidRDefault="00232FF7" w:rsidP="006451A1">
            <w:pPr>
              <w:spacing w:after="0" w:line="240" w:lineRule="auto"/>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HC-600a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BAD3860" w14:textId="77777777" w:rsidR="00232FF7" w:rsidRPr="00232FF7" w:rsidRDefault="00232FF7" w:rsidP="006451A1">
            <w:pPr>
              <w:spacing w:after="0" w:line="240" w:lineRule="auto"/>
              <w:ind w:left="-74"/>
              <w:jc w:val="right"/>
              <w:rPr>
                <w:rFonts w:ascii="Times New Roman" w:eastAsia="Times New Roman" w:hAnsi="Times New Roman" w:cs="Times New Roman"/>
                <w:color w:val="000000"/>
                <w:sz w:val="16"/>
                <w:szCs w:val="16"/>
                <w:lang w:eastAsia="en-CA"/>
              </w:rPr>
            </w:pPr>
            <w:r w:rsidRPr="00752D88">
              <w:rPr>
                <w:rFonts w:ascii="Times New Roman" w:eastAsia="Times New Roman" w:hAnsi="Times New Roman" w:cs="Times New Roman"/>
                <w:color w:val="000000"/>
                <w:spacing w:val="-2"/>
                <w:sz w:val="16"/>
                <w:szCs w:val="16"/>
                <w:lang w:val="en-GB" w:eastAsia="en-CA"/>
              </w:rPr>
              <w:t>3.75%</w:t>
            </w:r>
          </w:p>
        </w:tc>
        <w:tc>
          <w:tcPr>
            <w:tcW w:w="960" w:type="dxa"/>
            <w:tcBorders>
              <w:top w:val="nil"/>
              <w:left w:val="nil"/>
              <w:bottom w:val="single" w:sz="4" w:space="0" w:color="auto"/>
              <w:right w:val="single" w:sz="4" w:space="0" w:color="auto"/>
            </w:tcBorders>
            <w:shd w:val="clear" w:color="auto" w:fill="auto"/>
            <w:noWrap/>
            <w:vAlign w:val="bottom"/>
            <w:hideMark/>
          </w:tcPr>
          <w:p w14:paraId="2F587878" w14:textId="77777777" w:rsidR="00232FF7" w:rsidRPr="00232FF7" w:rsidRDefault="00232FF7" w:rsidP="006451A1">
            <w:pPr>
              <w:spacing w:after="0" w:line="240" w:lineRule="auto"/>
              <w:rPr>
                <w:rFonts w:ascii="Times New Roman" w:eastAsia="Times New Roman" w:hAnsi="Times New Roman" w:cs="Times New Roman"/>
                <w:color w:val="000000"/>
                <w:sz w:val="16"/>
                <w:szCs w:val="16"/>
                <w:lang w:eastAsia="en-CA"/>
              </w:rPr>
            </w:pPr>
            <w:r w:rsidRPr="00232FF7">
              <w:rPr>
                <w:rFonts w:ascii="Times New Roman" w:eastAsia="Times New Roman" w:hAnsi="Times New Roman" w:cs="Times New Roman"/>
                <w:color w:val="000000"/>
                <w:sz w:val="16"/>
                <w:szCs w:val="16"/>
                <w:lang w:eastAsia="en-CA"/>
              </w:rPr>
              <w:t> </w:t>
            </w:r>
          </w:p>
        </w:tc>
        <w:tc>
          <w:tcPr>
            <w:tcW w:w="597" w:type="dxa"/>
            <w:tcBorders>
              <w:top w:val="nil"/>
              <w:left w:val="nil"/>
              <w:bottom w:val="single" w:sz="4" w:space="0" w:color="auto"/>
              <w:right w:val="single" w:sz="4" w:space="0" w:color="auto"/>
            </w:tcBorders>
            <w:shd w:val="clear" w:color="auto" w:fill="auto"/>
            <w:noWrap/>
            <w:vAlign w:val="bottom"/>
            <w:hideMark/>
          </w:tcPr>
          <w:p w14:paraId="701252E8" w14:textId="77777777" w:rsidR="00232FF7" w:rsidRPr="00232FF7" w:rsidRDefault="00232FF7" w:rsidP="006451A1">
            <w:pPr>
              <w:spacing w:after="0" w:line="240" w:lineRule="auto"/>
              <w:rPr>
                <w:rFonts w:ascii="Times New Roman" w:eastAsia="Times New Roman" w:hAnsi="Times New Roman" w:cs="Times New Roman"/>
                <w:color w:val="000000"/>
                <w:sz w:val="16"/>
                <w:szCs w:val="16"/>
                <w:lang w:eastAsia="en-CA"/>
              </w:rPr>
            </w:pPr>
            <w:r w:rsidRPr="00232FF7">
              <w:rPr>
                <w:rFonts w:ascii="Times New Roman" w:eastAsia="Times New Roman" w:hAnsi="Times New Roman" w:cs="Times New Roman"/>
                <w:color w:val="000000"/>
                <w:sz w:val="16"/>
                <w:szCs w:val="16"/>
                <w:lang w:eastAsia="en-CA"/>
              </w:rPr>
              <w:t> </w:t>
            </w:r>
          </w:p>
        </w:tc>
        <w:tc>
          <w:tcPr>
            <w:tcW w:w="706" w:type="dxa"/>
            <w:tcBorders>
              <w:top w:val="nil"/>
              <w:left w:val="nil"/>
              <w:bottom w:val="single" w:sz="4" w:space="0" w:color="auto"/>
              <w:right w:val="single" w:sz="4" w:space="0" w:color="auto"/>
            </w:tcBorders>
            <w:shd w:val="clear" w:color="auto" w:fill="auto"/>
            <w:noWrap/>
            <w:vAlign w:val="bottom"/>
            <w:hideMark/>
          </w:tcPr>
          <w:p w14:paraId="0A037AC8" w14:textId="77777777" w:rsidR="00232FF7" w:rsidRPr="00232FF7" w:rsidRDefault="00232FF7" w:rsidP="006451A1">
            <w:pPr>
              <w:spacing w:after="0" w:line="240" w:lineRule="auto"/>
              <w:rPr>
                <w:rFonts w:ascii="Times New Roman" w:eastAsia="Times New Roman" w:hAnsi="Times New Roman" w:cs="Times New Roman"/>
                <w:color w:val="000000"/>
                <w:sz w:val="16"/>
                <w:szCs w:val="16"/>
                <w:lang w:eastAsia="en-CA"/>
              </w:rPr>
            </w:pPr>
            <w:r w:rsidRPr="00232FF7">
              <w:rPr>
                <w:rFonts w:ascii="Times New Roman" w:eastAsia="Times New Roman" w:hAnsi="Times New Roman" w:cs="Times New Roman"/>
                <w:color w:val="000000"/>
                <w:sz w:val="16"/>
                <w:szCs w:val="16"/>
                <w:lang w:eastAsia="en-CA"/>
              </w:rPr>
              <w:t> </w:t>
            </w:r>
          </w:p>
        </w:tc>
        <w:tc>
          <w:tcPr>
            <w:tcW w:w="570" w:type="dxa"/>
            <w:tcBorders>
              <w:top w:val="nil"/>
              <w:left w:val="nil"/>
              <w:bottom w:val="single" w:sz="4" w:space="0" w:color="auto"/>
              <w:right w:val="single" w:sz="4" w:space="0" w:color="auto"/>
            </w:tcBorders>
            <w:shd w:val="clear" w:color="auto" w:fill="auto"/>
            <w:noWrap/>
            <w:vAlign w:val="bottom"/>
            <w:hideMark/>
          </w:tcPr>
          <w:p w14:paraId="4289FEBB" w14:textId="77777777" w:rsidR="00232FF7" w:rsidRPr="00232FF7" w:rsidRDefault="00232FF7" w:rsidP="006451A1">
            <w:pPr>
              <w:spacing w:after="0" w:line="240" w:lineRule="auto"/>
              <w:rPr>
                <w:rFonts w:ascii="Times New Roman" w:eastAsia="Times New Roman" w:hAnsi="Times New Roman" w:cs="Times New Roman"/>
                <w:color w:val="000000"/>
                <w:sz w:val="16"/>
                <w:szCs w:val="16"/>
                <w:lang w:eastAsia="en-CA"/>
              </w:rPr>
            </w:pPr>
            <w:r w:rsidRPr="00232FF7">
              <w:rPr>
                <w:rFonts w:ascii="Times New Roman" w:eastAsia="Times New Roman" w:hAnsi="Times New Roman" w:cs="Times New Roman"/>
                <w:color w:val="000000"/>
                <w:sz w:val="16"/>
                <w:szCs w:val="16"/>
                <w:lang w:eastAsia="en-CA"/>
              </w:rPr>
              <w:t> </w:t>
            </w:r>
          </w:p>
        </w:tc>
      </w:tr>
    </w:tbl>
    <w:p w14:paraId="2C5D7EB2" w14:textId="77777777" w:rsidR="00232FF7" w:rsidRPr="00E9676A" w:rsidRDefault="00232FF7" w:rsidP="00493C77">
      <w:pPr>
        <w:pStyle w:val="ListParagraph"/>
        <w:spacing w:after="240" w:line="240" w:lineRule="auto"/>
        <w:ind w:left="0"/>
        <w:contextualSpacing w:val="0"/>
        <w:jc w:val="center"/>
        <w:rPr>
          <w:rFonts w:ascii="Times New Roman" w:hAnsi="Times New Roman" w:cs="Times New Roman"/>
          <w:b/>
        </w:rPr>
      </w:pPr>
    </w:p>
    <w:sectPr w:rsidR="00232FF7" w:rsidRPr="00E9676A" w:rsidSect="00A82A95">
      <w:headerReference w:type="even" r:id="rId14"/>
      <w:headerReference w:type="default" r:id="rId15"/>
      <w:footerReference w:type="even" r:id="rId16"/>
      <w:footerReference w:type="default" r:id="rId17"/>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C5567C" w16cid:durableId="217D758C"/>
  <w16cid:commentId w16cid:paraId="78F4B501" w16cid:durableId="217D9C49"/>
  <w16cid:commentId w16cid:paraId="1BD3E4E1" w16cid:durableId="217DFC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E16BF" w14:textId="77777777" w:rsidR="00565BAF" w:rsidRDefault="00565BAF" w:rsidP="00232FF7">
      <w:pPr>
        <w:spacing w:after="0" w:line="240" w:lineRule="auto"/>
      </w:pPr>
      <w:r>
        <w:separator/>
      </w:r>
    </w:p>
  </w:endnote>
  <w:endnote w:type="continuationSeparator" w:id="0">
    <w:p w14:paraId="4BACA9EA" w14:textId="77777777" w:rsidR="00565BAF" w:rsidRDefault="00565BAF" w:rsidP="0023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05800336"/>
      <w:docPartObj>
        <w:docPartGallery w:val="Page Numbers (Bottom of Page)"/>
        <w:docPartUnique/>
      </w:docPartObj>
    </w:sdtPr>
    <w:sdtEndPr>
      <w:rPr>
        <w:noProof/>
      </w:rPr>
    </w:sdtEndPr>
    <w:sdtContent>
      <w:p w14:paraId="40FB4D0C" w14:textId="0F03A3D9" w:rsidR="007552C2" w:rsidRPr="007552C2" w:rsidRDefault="007552C2">
        <w:pPr>
          <w:pStyle w:val="Footer"/>
          <w:jc w:val="center"/>
          <w:rPr>
            <w:rFonts w:ascii="Times New Roman" w:hAnsi="Times New Roman" w:cs="Times New Roman"/>
          </w:rPr>
        </w:pPr>
        <w:r w:rsidRPr="007552C2">
          <w:rPr>
            <w:rFonts w:ascii="Times New Roman" w:hAnsi="Times New Roman" w:cs="Times New Roman"/>
          </w:rPr>
          <w:fldChar w:fldCharType="begin"/>
        </w:r>
        <w:r w:rsidRPr="007552C2">
          <w:rPr>
            <w:rFonts w:ascii="Times New Roman" w:hAnsi="Times New Roman" w:cs="Times New Roman"/>
          </w:rPr>
          <w:instrText xml:space="preserve"> PAGE   \* MERGEFORMAT </w:instrText>
        </w:r>
        <w:r w:rsidRPr="007552C2">
          <w:rPr>
            <w:rFonts w:ascii="Times New Roman" w:hAnsi="Times New Roman" w:cs="Times New Roman"/>
          </w:rPr>
          <w:fldChar w:fldCharType="separate"/>
        </w:r>
        <w:r w:rsidR="00157135">
          <w:rPr>
            <w:rFonts w:ascii="Times New Roman" w:hAnsi="Times New Roman" w:cs="Times New Roman"/>
            <w:noProof/>
          </w:rPr>
          <w:t>10</w:t>
        </w:r>
        <w:r w:rsidRPr="007552C2">
          <w:rPr>
            <w:rFonts w:ascii="Times New Roman" w:hAnsi="Times New Roman" w:cs="Times New Roman"/>
            <w:noProof/>
          </w:rPr>
          <w:fldChar w:fldCharType="end"/>
        </w:r>
      </w:p>
    </w:sdtContent>
  </w:sdt>
  <w:p w14:paraId="5AD472FB" w14:textId="77777777" w:rsidR="00A82A95" w:rsidRPr="007552C2" w:rsidRDefault="00A82A95">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795304"/>
      <w:docPartObj>
        <w:docPartGallery w:val="Page Numbers (Bottom of Page)"/>
        <w:docPartUnique/>
      </w:docPartObj>
    </w:sdtPr>
    <w:sdtEndPr>
      <w:rPr>
        <w:rFonts w:ascii="Times New Roman" w:hAnsi="Times New Roman" w:cs="Times New Roman"/>
        <w:noProof/>
      </w:rPr>
    </w:sdtEndPr>
    <w:sdtContent>
      <w:p w14:paraId="243F005D" w14:textId="45F34320" w:rsidR="00565BAF" w:rsidRPr="00373BBF" w:rsidRDefault="00565BAF">
        <w:pPr>
          <w:pStyle w:val="Footer"/>
          <w:jc w:val="center"/>
          <w:rPr>
            <w:rFonts w:ascii="Times New Roman" w:hAnsi="Times New Roman" w:cs="Times New Roman"/>
          </w:rPr>
        </w:pPr>
        <w:r w:rsidRPr="00373BBF">
          <w:rPr>
            <w:rFonts w:ascii="Times New Roman" w:hAnsi="Times New Roman" w:cs="Times New Roman"/>
          </w:rPr>
          <w:fldChar w:fldCharType="begin"/>
        </w:r>
        <w:r w:rsidRPr="00373BBF">
          <w:rPr>
            <w:rFonts w:ascii="Times New Roman" w:hAnsi="Times New Roman" w:cs="Times New Roman"/>
          </w:rPr>
          <w:instrText xml:space="preserve"> PAGE   \* MERGEFORMAT </w:instrText>
        </w:r>
        <w:r w:rsidRPr="00373BBF">
          <w:rPr>
            <w:rFonts w:ascii="Times New Roman" w:hAnsi="Times New Roman" w:cs="Times New Roman"/>
          </w:rPr>
          <w:fldChar w:fldCharType="separate"/>
        </w:r>
        <w:r w:rsidR="00157135">
          <w:rPr>
            <w:rFonts w:ascii="Times New Roman" w:hAnsi="Times New Roman" w:cs="Times New Roman"/>
            <w:noProof/>
          </w:rPr>
          <w:t>13</w:t>
        </w:r>
        <w:r w:rsidRPr="00373BBF">
          <w:rPr>
            <w:rFonts w:ascii="Times New Roman" w:hAnsi="Times New Roman" w:cs="Times New Roman"/>
            <w:noProof/>
          </w:rPr>
          <w:fldChar w:fldCharType="end"/>
        </w:r>
      </w:p>
    </w:sdtContent>
  </w:sdt>
  <w:p w14:paraId="1FFDA8BC" w14:textId="77777777" w:rsidR="00565BAF" w:rsidRPr="00373BBF" w:rsidRDefault="00565BA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783C" w14:textId="77777777" w:rsidR="00565BAF" w:rsidRDefault="00565BAF" w:rsidP="00232FF7">
      <w:pPr>
        <w:spacing w:after="0" w:line="240" w:lineRule="auto"/>
      </w:pPr>
      <w:r>
        <w:separator/>
      </w:r>
    </w:p>
  </w:footnote>
  <w:footnote w:type="continuationSeparator" w:id="0">
    <w:p w14:paraId="510BEBF4" w14:textId="77777777" w:rsidR="00565BAF" w:rsidRDefault="00565BAF" w:rsidP="00232FF7">
      <w:pPr>
        <w:spacing w:after="0" w:line="240" w:lineRule="auto"/>
      </w:pPr>
      <w:r>
        <w:continuationSeparator/>
      </w:r>
    </w:p>
  </w:footnote>
  <w:footnote w:id="1">
    <w:p w14:paraId="51128096" w14:textId="77777777" w:rsidR="00565BAF" w:rsidRPr="00752D88" w:rsidRDefault="00565BAF" w:rsidP="005A66EB">
      <w:pPr>
        <w:pStyle w:val="FootnoteText"/>
      </w:pPr>
      <w:r w:rsidRPr="00752D88">
        <w:rPr>
          <w:rStyle w:val="FootnoteReference"/>
        </w:rPr>
        <w:footnoteRef/>
      </w:r>
      <w:r w:rsidRPr="00752D88">
        <w:t xml:space="preserve"> At its 5</w:t>
      </w:r>
      <w:r w:rsidRPr="00752D88">
        <w:rPr>
          <w:vertAlign w:val="superscript"/>
        </w:rPr>
        <w:t>th</w:t>
      </w:r>
      <w:r w:rsidRPr="00752D88">
        <w:t xml:space="preserve"> meeting, the Executive Committee noted that Governments should monitor the progress being made in reducing consumption of controlled substances in line with their plans set out in the CP, and should periodically review the effectiveness of the measures being taken, and requested Article 5 Parties to present annually information on progress being made in the implementation of their CPs. (UNEP/</w:t>
      </w:r>
      <w:proofErr w:type="spellStart"/>
      <w:r w:rsidRPr="00752D88">
        <w:t>OzL.Pro</w:t>
      </w:r>
      <w:proofErr w:type="spellEnd"/>
      <w:r w:rsidRPr="00752D88">
        <w:t>/</w:t>
      </w:r>
      <w:proofErr w:type="spellStart"/>
      <w:r w:rsidRPr="00752D88">
        <w:t>ExCom</w:t>
      </w:r>
      <w:proofErr w:type="spellEnd"/>
      <w:r w:rsidRPr="00752D88">
        <w:t>/5/16, paragraphs 22 and 23).</w:t>
      </w:r>
    </w:p>
  </w:footnote>
  <w:footnote w:id="2">
    <w:p w14:paraId="7DA35938" w14:textId="32849C83" w:rsidR="00565BAF" w:rsidRPr="00752D88" w:rsidRDefault="00565BAF">
      <w:pPr>
        <w:pStyle w:val="FootnoteText"/>
      </w:pPr>
      <w:r w:rsidRPr="00752D88">
        <w:rPr>
          <w:rStyle w:val="FootnoteReference"/>
        </w:rPr>
        <w:footnoteRef/>
      </w:r>
      <w:r w:rsidRPr="00752D88">
        <w:t xml:space="preserve"> UNEP/OzL.Pro.30/11</w:t>
      </w:r>
      <w:r w:rsidR="00FF7463" w:rsidRPr="00752D88">
        <w:t>,</w:t>
      </w:r>
      <w:r w:rsidRPr="00752D88">
        <w:t xml:space="preserve"> Annex III, Appendix I</w:t>
      </w:r>
      <w:r w:rsidR="00C62AD9" w:rsidRPr="00752D88">
        <w:t>,</w:t>
      </w:r>
      <w:r w:rsidRPr="00752D88">
        <w:t xml:space="preserve"> Section 11.</w:t>
      </w:r>
    </w:p>
  </w:footnote>
  <w:footnote w:id="3">
    <w:p w14:paraId="109F22E9" w14:textId="11ED31E8" w:rsidR="003F2168" w:rsidRDefault="003F2168">
      <w:pPr>
        <w:pStyle w:val="FootnoteText"/>
      </w:pPr>
      <w:r w:rsidRPr="00752D88">
        <w:rPr>
          <w:rStyle w:val="FootnoteReference"/>
        </w:rPr>
        <w:footnoteRef/>
      </w:r>
      <w:r w:rsidRPr="00752D88">
        <w:t xml:space="preserve"> A halon alternative.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D9D3" w14:textId="66D1B622" w:rsidR="00A82A95" w:rsidRPr="008B181A" w:rsidRDefault="00A82A95" w:rsidP="007552C2">
    <w:pPr>
      <w:spacing w:after="0" w:line="240" w:lineRule="auto"/>
      <w:rPr>
        <w:rFonts w:ascii="Times New Roman" w:hAnsi="Times New Roman" w:cs="Times New Roman"/>
      </w:rPr>
    </w:pPr>
    <w:r w:rsidRPr="008B181A">
      <w:rPr>
        <w:rFonts w:ascii="Times New Roman" w:hAnsi="Times New Roman" w:cs="Times New Roman"/>
      </w:rPr>
      <w:fldChar w:fldCharType="begin"/>
    </w:r>
    <w:r w:rsidRPr="008B181A">
      <w:rPr>
        <w:rFonts w:ascii="Times New Roman" w:hAnsi="Times New Roman" w:cs="Times New Roman"/>
      </w:rPr>
      <w:instrText xml:space="preserve"> DOCPROPERTY "Document number"  \* MERGEFORMAT </w:instrText>
    </w:r>
    <w:r w:rsidRPr="008B181A">
      <w:rPr>
        <w:rFonts w:ascii="Times New Roman" w:hAnsi="Times New Roman" w:cs="Times New Roman"/>
      </w:rPr>
      <w:fldChar w:fldCharType="separate"/>
    </w:r>
    <w:r w:rsidR="008B181A" w:rsidRPr="008B181A">
      <w:rPr>
        <w:rFonts w:ascii="Times New Roman" w:hAnsi="Times New Roman" w:cs="Times New Roman"/>
        <w:bCs/>
        <w:lang w:val="en-US"/>
      </w:rPr>
      <w:t>UNEP/</w:t>
    </w:r>
    <w:proofErr w:type="spellStart"/>
    <w:r w:rsidR="008B181A" w:rsidRPr="008B181A">
      <w:rPr>
        <w:rFonts w:ascii="Times New Roman" w:hAnsi="Times New Roman" w:cs="Times New Roman"/>
        <w:bCs/>
        <w:lang w:val="en-US"/>
      </w:rPr>
      <w:t>OzL.Pro</w:t>
    </w:r>
    <w:proofErr w:type="spellEnd"/>
    <w:r w:rsidR="008B181A" w:rsidRPr="008B181A">
      <w:rPr>
        <w:rFonts w:ascii="Times New Roman" w:hAnsi="Times New Roman" w:cs="Times New Roman"/>
        <w:bCs/>
        <w:lang w:val="en-US"/>
      </w:rPr>
      <w:t>/</w:t>
    </w:r>
    <w:proofErr w:type="spellStart"/>
    <w:r w:rsidR="008B181A" w:rsidRPr="008B181A">
      <w:rPr>
        <w:rFonts w:ascii="Times New Roman" w:hAnsi="Times New Roman" w:cs="Times New Roman"/>
        <w:bCs/>
        <w:lang w:val="en-US"/>
      </w:rPr>
      <w:t>ExCom</w:t>
    </w:r>
    <w:proofErr w:type="spellEnd"/>
    <w:r w:rsidR="008B181A" w:rsidRPr="008B181A">
      <w:rPr>
        <w:rFonts w:ascii="Times New Roman" w:hAnsi="Times New Roman" w:cs="Times New Roman"/>
        <w:bCs/>
        <w:lang w:val="en-US"/>
      </w:rPr>
      <w:t>/84/9</w:t>
    </w:r>
    <w:r w:rsidR="008B181A">
      <w:rPr>
        <w:rFonts w:ascii="Times New Roman" w:hAnsi="Times New Roman" w:cs="Times New Roman"/>
      </w:rPr>
      <w:t>/Rev.1</w:t>
    </w:r>
    <w:r w:rsidRPr="008B181A">
      <w:rPr>
        <w:rFonts w:ascii="Times New Roman" w:hAnsi="Times New Roman" w:cs="Times New Roman"/>
      </w:rPr>
      <w:fldChar w:fldCharType="end"/>
    </w:r>
  </w:p>
  <w:p w14:paraId="4F0842B3" w14:textId="1781D396" w:rsidR="00A82A95" w:rsidRPr="007552C2" w:rsidRDefault="007552C2" w:rsidP="007552C2">
    <w:pPr>
      <w:pStyle w:val="Header"/>
      <w:rPr>
        <w:rFonts w:ascii="Times New Roman" w:hAnsi="Times New Roman" w:cs="Times New Roman"/>
      </w:rPr>
    </w:pPr>
    <w:r>
      <w:rPr>
        <w:rFonts w:ascii="Times New Roman" w:hAnsi="Times New Roman" w:cs="Times New Roman"/>
      </w:rPr>
      <w:t>Annex IV</w:t>
    </w:r>
  </w:p>
  <w:p w14:paraId="0AF3BF12" w14:textId="77777777" w:rsidR="00A82A95" w:rsidRPr="007552C2" w:rsidRDefault="00A82A95" w:rsidP="007552C2">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AA4D" w14:textId="759036AE" w:rsidR="00A82A95" w:rsidRPr="008B181A" w:rsidRDefault="008B181A" w:rsidP="00A82A95">
    <w:pPr>
      <w:spacing w:after="0" w:line="240" w:lineRule="auto"/>
      <w:jc w:val="right"/>
      <w:rPr>
        <w:rFonts w:ascii="Times New Roman" w:hAnsi="Times New Roman" w:cs="Times New Roman"/>
      </w:rPr>
    </w:pPr>
    <w:r w:rsidRPr="008B181A">
      <w:rPr>
        <w:rFonts w:ascii="Times New Roman" w:hAnsi="Times New Roman" w:cs="Times New Roman"/>
      </w:rPr>
      <w:fldChar w:fldCharType="begin"/>
    </w:r>
    <w:r w:rsidRPr="008B181A">
      <w:rPr>
        <w:rFonts w:ascii="Times New Roman" w:hAnsi="Times New Roman" w:cs="Times New Roman"/>
      </w:rPr>
      <w:instrText xml:space="preserve"> DOCPROPERTY "Document number"  \* MERGEFORMAT </w:instrText>
    </w:r>
    <w:r w:rsidRPr="008B181A">
      <w:rPr>
        <w:rFonts w:ascii="Times New Roman" w:hAnsi="Times New Roman" w:cs="Times New Roman"/>
      </w:rPr>
      <w:fldChar w:fldCharType="separate"/>
    </w:r>
    <w:r>
      <w:rPr>
        <w:rFonts w:ascii="Times New Roman" w:hAnsi="Times New Roman" w:cs="Times New Roman"/>
      </w:rPr>
      <w:t>UNEP/</w:t>
    </w:r>
    <w:proofErr w:type="spellStart"/>
    <w:r>
      <w:rPr>
        <w:rFonts w:ascii="Times New Roman" w:hAnsi="Times New Roman" w:cs="Times New Roman"/>
      </w:rPr>
      <w:t>OzL.Pro</w:t>
    </w:r>
    <w:proofErr w:type="spellEnd"/>
    <w:r>
      <w:rPr>
        <w:rFonts w:ascii="Times New Roman" w:hAnsi="Times New Roman" w:cs="Times New Roman"/>
      </w:rPr>
      <w:t>/</w:t>
    </w:r>
    <w:proofErr w:type="spellStart"/>
    <w:r>
      <w:rPr>
        <w:rFonts w:ascii="Times New Roman" w:hAnsi="Times New Roman" w:cs="Times New Roman"/>
      </w:rPr>
      <w:t>ExCom</w:t>
    </w:r>
    <w:proofErr w:type="spellEnd"/>
    <w:r>
      <w:rPr>
        <w:rFonts w:ascii="Times New Roman" w:hAnsi="Times New Roman" w:cs="Times New Roman"/>
      </w:rPr>
      <w:t>/84/9/Rev.1</w:t>
    </w:r>
    <w:r w:rsidRPr="008B181A">
      <w:rPr>
        <w:rFonts w:ascii="Times New Roman" w:hAnsi="Times New Roman" w:cs="Times New Roman"/>
      </w:rPr>
      <w:fldChar w:fldCharType="end"/>
    </w:r>
  </w:p>
  <w:p w14:paraId="4A37F46F" w14:textId="14C8295F" w:rsidR="00A82A95" w:rsidRPr="00A82A95" w:rsidRDefault="007552C2" w:rsidP="00A82A95">
    <w:pPr>
      <w:pStyle w:val="Header"/>
      <w:jc w:val="right"/>
      <w:rPr>
        <w:rFonts w:ascii="Times New Roman" w:hAnsi="Times New Roman" w:cs="Times New Roman"/>
      </w:rPr>
    </w:pPr>
    <w:r>
      <w:rPr>
        <w:rFonts w:ascii="Times New Roman" w:hAnsi="Times New Roman" w:cs="Times New Roman"/>
      </w:rPr>
      <w:t>Annex IV</w:t>
    </w:r>
  </w:p>
  <w:p w14:paraId="5FA92375" w14:textId="77777777" w:rsidR="00A82A95" w:rsidRPr="00A82A95" w:rsidRDefault="00A82A95" w:rsidP="00A82A95">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1" w15:restartNumberingAfterBreak="0">
    <w:nsid w:val="FFFFFFFB"/>
    <w:multiLevelType w:val="multilevel"/>
    <w:tmpl w:val="CF94D6E8"/>
    <w:lvl w:ilvl="0">
      <w:start w:val="1"/>
      <w:numFmt w:val="decimal"/>
      <w:pStyle w:val="Heading1"/>
      <w:lvlText w:val="%1."/>
      <w:lvlJc w:val="left"/>
      <w:pPr>
        <w:tabs>
          <w:tab w:val="num" w:pos="0"/>
        </w:tabs>
        <w:ind w:left="0" w:firstLine="0"/>
      </w:pPr>
      <w:rPr>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2" w15:restartNumberingAfterBreak="0">
    <w:nsid w:val="046A76CD"/>
    <w:multiLevelType w:val="hybridMultilevel"/>
    <w:tmpl w:val="DED05BF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4C357EB"/>
    <w:multiLevelType w:val="multilevel"/>
    <w:tmpl w:val="718A3008"/>
    <w:lvl w:ilvl="0">
      <w:start w:val="1"/>
      <w:numFmt w:val="decimal"/>
      <w:lvlText w:val="%1."/>
      <w:lvlJc w:val="left"/>
      <w:pPr>
        <w:tabs>
          <w:tab w:val="num" w:pos="0"/>
        </w:tabs>
        <w:ind w:left="0" w:firstLine="0"/>
      </w:pPr>
      <w:rPr>
        <w:rFonts w:hint="default"/>
      </w:rPr>
    </w:lvl>
    <w:lvl w:ilvl="1">
      <w:start w:val="1"/>
      <w:numFmt w:val="decimal"/>
      <w:lvlText w:val="%2"/>
      <w:lvlJc w:val="right"/>
      <w:pPr>
        <w:tabs>
          <w:tab w:val="num" w:pos="1080"/>
        </w:tabs>
        <w:ind w:left="1080" w:hanging="360"/>
      </w:pPr>
      <w:rPr>
        <w:rFonts w:hint="default"/>
      </w:rPr>
    </w:lvl>
    <w:lvl w:ilvl="2">
      <w:numFmt w:val="lowerRoman"/>
      <w:lvlText w:val="(%3)"/>
      <w:lvlJc w:val="left"/>
      <w:pPr>
        <w:tabs>
          <w:tab w:val="num" w:pos="180"/>
        </w:tabs>
        <w:ind w:left="234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4C61929"/>
    <w:multiLevelType w:val="hybridMultilevel"/>
    <w:tmpl w:val="C6A8B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57706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A143812"/>
    <w:multiLevelType w:val="hybridMultilevel"/>
    <w:tmpl w:val="9320D1E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5B596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62F0F37"/>
    <w:multiLevelType w:val="hybridMultilevel"/>
    <w:tmpl w:val="7966D0E0"/>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CC2FC7"/>
    <w:multiLevelType w:val="multilevel"/>
    <w:tmpl w:val="513243D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0"/>
        </w:tabs>
        <w:ind w:left="1440" w:hanging="720"/>
      </w:pPr>
    </w:lvl>
    <w:lvl w:ilvl="2">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3CEA2E8F"/>
    <w:multiLevelType w:val="hybridMultilevel"/>
    <w:tmpl w:val="A3F219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18A11F4"/>
    <w:multiLevelType w:val="hybridMultilevel"/>
    <w:tmpl w:val="7966D0E0"/>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EA5983"/>
    <w:multiLevelType w:val="hybridMultilevel"/>
    <w:tmpl w:val="7966D0E0"/>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0"/>
  </w:num>
  <w:num w:numId="6">
    <w:abstractNumId w:val="12"/>
  </w:num>
  <w:num w:numId="7">
    <w:abstractNumId w:val="8"/>
  </w:num>
  <w:num w:numId="8">
    <w:abstractNumId w:val="7"/>
  </w:num>
  <w:num w:numId="9">
    <w:abstractNumId w:val="3"/>
  </w:num>
  <w:num w:numId="10">
    <w:abstractNumId w:val="5"/>
  </w:num>
  <w:num w:numId="11">
    <w:abstractNumId w:val="9"/>
  </w:num>
  <w:num w:numId="12">
    <w:abstractNumId w:val="6"/>
  </w:num>
  <w:num w:numId="13">
    <w:abstractNumId w:val="11"/>
  </w:num>
  <w:num w:numId="14">
    <w:abstractNumId w:val="1"/>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38"/>
    <w:rsid w:val="000040A7"/>
    <w:rsid w:val="00010F3C"/>
    <w:rsid w:val="0001403F"/>
    <w:rsid w:val="0001655D"/>
    <w:rsid w:val="00025EDE"/>
    <w:rsid w:val="00027FBF"/>
    <w:rsid w:val="00037102"/>
    <w:rsid w:val="0007311D"/>
    <w:rsid w:val="00073B1E"/>
    <w:rsid w:val="00073C1C"/>
    <w:rsid w:val="0009081A"/>
    <w:rsid w:val="00097086"/>
    <w:rsid w:val="000B608A"/>
    <w:rsid w:val="000D080F"/>
    <w:rsid w:val="000E29D3"/>
    <w:rsid w:val="000F3F4C"/>
    <w:rsid w:val="000F6E12"/>
    <w:rsid w:val="001378DF"/>
    <w:rsid w:val="001415F1"/>
    <w:rsid w:val="00143C3D"/>
    <w:rsid w:val="00146C74"/>
    <w:rsid w:val="00157135"/>
    <w:rsid w:val="00157CD9"/>
    <w:rsid w:val="00162C0C"/>
    <w:rsid w:val="0016309B"/>
    <w:rsid w:val="00170E90"/>
    <w:rsid w:val="0017517D"/>
    <w:rsid w:val="00175BEB"/>
    <w:rsid w:val="00181475"/>
    <w:rsid w:val="00194F97"/>
    <w:rsid w:val="001B14CB"/>
    <w:rsid w:val="001B6B6C"/>
    <w:rsid w:val="001C5DDD"/>
    <w:rsid w:val="001D5CE4"/>
    <w:rsid w:val="00201C1A"/>
    <w:rsid w:val="002103DA"/>
    <w:rsid w:val="00214854"/>
    <w:rsid w:val="00223F4B"/>
    <w:rsid w:val="00230256"/>
    <w:rsid w:val="00232FF7"/>
    <w:rsid w:val="00243323"/>
    <w:rsid w:val="00245235"/>
    <w:rsid w:val="002518C5"/>
    <w:rsid w:val="00266B25"/>
    <w:rsid w:val="0027068E"/>
    <w:rsid w:val="002733A9"/>
    <w:rsid w:val="00273DD3"/>
    <w:rsid w:val="00276163"/>
    <w:rsid w:val="002E487D"/>
    <w:rsid w:val="002E5FAA"/>
    <w:rsid w:val="002E602E"/>
    <w:rsid w:val="002F2645"/>
    <w:rsid w:val="00303121"/>
    <w:rsid w:val="00312075"/>
    <w:rsid w:val="003153FD"/>
    <w:rsid w:val="00323090"/>
    <w:rsid w:val="003373BB"/>
    <w:rsid w:val="00344B06"/>
    <w:rsid w:val="003474BB"/>
    <w:rsid w:val="003511E1"/>
    <w:rsid w:val="00361552"/>
    <w:rsid w:val="00373BBF"/>
    <w:rsid w:val="00381EA3"/>
    <w:rsid w:val="00390C4D"/>
    <w:rsid w:val="003944F5"/>
    <w:rsid w:val="00394849"/>
    <w:rsid w:val="003A6642"/>
    <w:rsid w:val="003B1F8C"/>
    <w:rsid w:val="003C5AEE"/>
    <w:rsid w:val="003D030C"/>
    <w:rsid w:val="003E4E49"/>
    <w:rsid w:val="003F132E"/>
    <w:rsid w:val="003F2168"/>
    <w:rsid w:val="00402A3A"/>
    <w:rsid w:val="00415A69"/>
    <w:rsid w:val="004323BA"/>
    <w:rsid w:val="004418E1"/>
    <w:rsid w:val="0044366F"/>
    <w:rsid w:val="004467DA"/>
    <w:rsid w:val="00471E8E"/>
    <w:rsid w:val="00485A16"/>
    <w:rsid w:val="00487C28"/>
    <w:rsid w:val="00493C77"/>
    <w:rsid w:val="004A36A0"/>
    <w:rsid w:val="004B005E"/>
    <w:rsid w:val="004B3178"/>
    <w:rsid w:val="004D62BC"/>
    <w:rsid w:val="004F0402"/>
    <w:rsid w:val="004F15E3"/>
    <w:rsid w:val="005024DF"/>
    <w:rsid w:val="00505592"/>
    <w:rsid w:val="00506B61"/>
    <w:rsid w:val="0051336F"/>
    <w:rsid w:val="0052530C"/>
    <w:rsid w:val="00531250"/>
    <w:rsid w:val="00533731"/>
    <w:rsid w:val="00533F24"/>
    <w:rsid w:val="0055089E"/>
    <w:rsid w:val="005555C1"/>
    <w:rsid w:val="00556477"/>
    <w:rsid w:val="0056186A"/>
    <w:rsid w:val="005659B2"/>
    <w:rsid w:val="00565BAF"/>
    <w:rsid w:val="0058235C"/>
    <w:rsid w:val="00584FCB"/>
    <w:rsid w:val="005A01C7"/>
    <w:rsid w:val="005A25AD"/>
    <w:rsid w:val="005A3999"/>
    <w:rsid w:val="005A39A8"/>
    <w:rsid w:val="005A5438"/>
    <w:rsid w:val="005A66EB"/>
    <w:rsid w:val="005B66C6"/>
    <w:rsid w:val="005C1F9A"/>
    <w:rsid w:val="005D4AE3"/>
    <w:rsid w:val="005D71E1"/>
    <w:rsid w:val="005E0F28"/>
    <w:rsid w:val="005E4B5C"/>
    <w:rsid w:val="0060053B"/>
    <w:rsid w:val="006264B1"/>
    <w:rsid w:val="006318B2"/>
    <w:rsid w:val="00642798"/>
    <w:rsid w:val="006451A1"/>
    <w:rsid w:val="006902A7"/>
    <w:rsid w:val="00692230"/>
    <w:rsid w:val="006A1993"/>
    <w:rsid w:val="006C2A81"/>
    <w:rsid w:val="006C37FA"/>
    <w:rsid w:val="006C5966"/>
    <w:rsid w:val="006F7680"/>
    <w:rsid w:val="0070657E"/>
    <w:rsid w:val="00733433"/>
    <w:rsid w:val="00733864"/>
    <w:rsid w:val="00735465"/>
    <w:rsid w:val="00752D88"/>
    <w:rsid w:val="007552C2"/>
    <w:rsid w:val="0075749F"/>
    <w:rsid w:val="00757519"/>
    <w:rsid w:val="00765FDD"/>
    <w:rsid w:val="00771C37"/>
    <w:rsid w:val="00772872"/>
    <w:rsid w:val="0078777D"/>
    <w:rsid w:val="0079651F"/>
    <w:rsid w:val="007A7CF6"/>
    <w:rsid w:val="007B1EBC"/>
    <w:rsid w:val="007C28D6"/>
    <w:rsid w:val="007D7638"/>
    <w:rsid w:val="007E1A56"/>
    <w:rsid w:val="007F1C84"/>
    <w:rsid w:val="007F5D5A"/>
    <w:rsid w:val="00820CCD"/>
    <w:rsid w:val="00836AAC"/>
    <w:rsid w:val="00841998"/>
    <w:rsid w:val="00847F23"/>
    <w:rsid w:val="00853F4E"/>
    <w:rsid w:val="0085733C"/>
    <w:rsid w:val="00876949"/>
    <w:rsid w:val="00882CE1"/>
    <w:rsid w:val="00885BC3"/>
    <w:rsid w:val="008A103A"/>
    <w:rsid w:val="008B181A"/>
    <w:rsid w:val="008B5DE0"/>
    <w:rsid w:val="008C60C6"/>
    <w:rsid w:val="008E2B20"/>
    <w:rsid w:val="008E5328"/>
    <w:rsid w:val="00907C8E"/>
    <w:rsid w:val="00911EE1"/>
    <w:rsid w:val="00914C47"/>
    <w:rsid w:val="009471BF"/>
    <w:rsid w:val="00957ECF"/>
    <w:rsid w:val="00977CBB"/>
    <w:rsid w:val="00981FB0"/>
    <w:rsid w:val="00982DE8"/>
    <w:rsid w:val="009854AA"/>
    <w:rsid w:val="00986C97"/>
    <w:rsid w:val="009A4F30"/>
    <w:rsid w:val="009D09BF"/>
    <w:rsid w:val="009E0108"/>
    <w:rsid w:val="009E1177"/>
    <w:rsid w:val="009F2416"/>
    <w:rsid w:val="00A10A73"/>
    <w:rsid w:val="00A24F2F"/>
    <w:rsid w:val="00A3045D"/>
    <w:rsid w:val="00A446CD"/>
    <w:rsid w:val="00A60B4E"/>
    <w:rsid w:val="00A7162E"/>
    <w:rsid w:val="00A82A95"/>
    <w:rsid w:val="00A86707"/>
    <w:rsid w:val="00A92FC1"/>
    <w:rsid w:val="00AA347D"/>
    <w:rsid w:val="00AB1D29"/>
    <w:rsid w:val="00AB3A6E"/>
    <w:rsid w:val="00AB5E31"/>
    <w:rsid w:val="00AB72D0"/>
    <w:rsid w:val="00AC1E0B"/>
    <w:rsid w:val="00AE3C24"/>
    <w:rsid w:val="00AF2399"/>
    <w:rsid w:val="00B07977"/>
    <w:rsid w:val="00B1440D"/>
    <w:rsid w:val="00B2487A"/>
    <w:rsid w:val="00B24ECC"/>
    <w:rsid w:val="00B24F9D"/>
    <w:rsid w:val="00B35FFF"/>
    <w:rsid w:val="00B405A1"/>
    <w:rsid w:val="00B51E44"/>
    <w:rsid w:val="00B56E9B"/>
    <w:rsid w:val="00BA1818"/>
    <w:rsid w:val="00BA5ED6"/>
    <w:rsid w:val="00BA5EF0"/>
    <w:rsid w:val="00BB7130"/>
    <w:rsid w:val="00BC297C"/>
    <w:rsid w:val="00BE0C1B"/>
    <w:rsid w:val="00BE72CE"/>
    <w:rsid w:val="00C159E6"/>
    <w:rsid w:val="00C4120D"/>
    <w:rsid w:val="00C414DE"/>
    <w:rsid w:val="00C44FFC"/>
    <w:rsid w:val="00C54919"/>
    <w:rsid w:val="00C62479"/>
    <w:rsid w:val="00C62AD9"/>
    <w:rsid w:val="00C62F56"/>
    <w:rsid w:val="00C71AF0"/>
    <w:rsid w:val="00C87748"/>
    <w:rsid w:val="00C878E6"/>
    <w:rsid w:val="00C95F5E"/>
    <w:rsid w:val="00CD23E8"/>
    <w:rsid w:val="00CE62E0"/>
    <w:rsid w:val="00D00DDB"/>
    <w:rsid w:val="00D023BA"/>
    <w:rsid w:val="00D03CDD"/>
    <w:rsid w:val="00D14A2F"/>
    <w:rsid w:val="00D442DD"/>
    <w:rsid w:val="00D44BE0"/>
    <w:rsid w:val="00D4612D"/>
    <w:rsid w:val="00D4756B"/>
    <w:rsid w:val="00D56731"/>
    <w:rsid w:val="00D57CB7"/>
    <w:rsid w:val="00D610B4"/>
    <w:rsid w:val="00D91BA1"/>
    <w:rsid w:val="00DB5882"/>
    <w:rsid w:val="00DC1C6B"/>
    <w:rsid w:val="00DE6B58"/>
    <w:rsid w:val="00DF06F8"/>
    <w:rsid w:val="00E0127E"/>
    <w:rsid w:val="00E155E9"/>
    <w:rsid w:val="00E434D8"/>
    <w:rsid w:val="00E43F46"/>
    <w:rsid w:val="00E44B44"/>
    <w:rsid w:val="00E57687"/>
    <w:rsid w:val="00E67CE1"/>
    <w:rsid w:val="00E9676A"/>
    <w:rsid w:val="00EA4C01"/>
    <w:rsid w:val="00EC0AA3"/>
    <w:rsid w:val="00ED2DFF"/>
    <w:rsid w:val="00ED49F0"/>
    <w:rsid w:val="00EF78FC"/>
    <w:rsid w:val="00F1327D"/>
    <w:rsid w:val="00F26D20"/>
    <w:rsid w:val="00F43675"/>
    <w:rsid w:val="00F437C4"/>
    <w:rsid w:val="00F43E3F"/>
    <w:rsid w:val="00F44178"/>
    <w:rsid w:val="00F46EF4"/>
    <w:rsid w:val="00F47E93"/>
    <w:rsid w:val="00F51CF1"/>
    <w:rsid w:val="00F63281"/>
    <w:rsid w:val="00F67EA0"/>
    <w:rsid w:val="00F845E8"/>
    <w:rsid w:val="00FA1BA1"/>
    <w:rsid w:val="00FB3E21"/>
    <w:rsid w:val="00FC41C8"/>
    <w:rsid w:val="00FD4FB1"/>
    <w:rsid w:val="00FD72AF"/>
    <w:rsid w:val="00FF746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1899C2"/>
  <w15:chartTrackingRefBased/>
  <w15:docId w15:val="{514799AE-37D4-46FC-9886-072058C3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5A5438"/>
    <w:pPr>
      <w:numPr>
        <w:numId w:val="14"/>
      </w:numPr>
      <w:spacing w:after="240" w:line="240" w:lineRule="auto"/>
      <w:jc w:val="both"/>
      <w:outlineLvl w:val="0"/>
    </w:pPr>
    <w:rPr>
      <w:rFonts w:ascii="Times New Roman" w:eastAsia="Times New Roman"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nhideWhenUsed/>
    <w:qFormat/>
    <w:rsid w:val="005A5438"/>
    <w:pPr>
      <w:widowControl w:val="0"/>
      <w:numPr>
        <w:ilvl w:val="1"/>
        <w:numId w:val="14"/>
      </w:numPr>
      <w:spacing w:after="240" w:line="240" w:lineRule="auto"/>
      <w:jc w:val="both"/>
      <w:outlineLvl w:val="1"/>
    </w:pPr>
    <w:rPr>
      <w:rFonts w:ascii="Times New Roman" w:eastAsia="Times New Roman" w:hAnsi="Times New Roman" w:cs="Times New Roman"/>
      <w:lang w:val="en-GB"/>
    </w:r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unhideWhenUsed/>
    <w:qFormat/>
    <w:rsid w:val="005A5438"/>
    <w:pPr>
      <w:widowControl w:val="0"/>
      <w:numPr>
        <w:ilvl w:val="2"/>
        <w:numId w:val="14"/>
      </w:numPr>
      <w:spacing w:after="240" w:line="240" w:lineRule="auto"/>
      <w:jc w:val="both"/>
      <w:outlineLvl w:val="2"/>
    </w:pPr>
    <w:rPr>
      <w:rFonts w:ascii="Times New Roman" w:eastAsia="Times New Roman" w:hAnsi="Times New Roman" w:cs="Times New Roman"/>
      <w:lang w:val="en-GB"/>
    </w:rPr>
  </w:style>
  <w:style w:type="paragraph" w:styleId="Heading4">
    <w:name w:val="heading 4"/>
    <w:aliases w:val="Heading 11,para 4,Título 41,heading 4,Heading 41,标题 41"/>
    <w:basedOn w:val="Normal"/>
    <w:next w:val="Heading9"/>
    <w:link w:val="Heading4Char"/>
    <w:unhideWhenUsed/>
    <w:qFormat/>
    <w:rsid w:val="005A5438"/>
    <w:pPr>
      <w:keepNext/>
      <w:numPr>
        <w:ilvl w:val="3"/>
        <w:numId w:val="14"/>
      </w:numPr>
      <w:spacing w:before="240" w:after="60" w:line="240" w:lineRule="auto"/>
      <w:jc w:val="both"/>
      <w:outlineLvl w:val="3"/>
    </w:pPr>
    <w:rPr>
      <w:rFonts w:ascii="Times New Roman" w:eastAsia="Times New Roman" w:hAnsi="Times New Roman" w:cs="Times New Roman"/>
      <w:lang w:val="en-GB"/>
    </w:rPr>
  </w:style>
  <w:style w:type="paragraph" w:styleId="Heading5">
    <w:name w:val="heading 5"/>
    <w:basedOn w:val="Normal"/>
    <w:next w:val="Normal"/>
    <w:link w:val="Heading5Char"/>
    <w:qFormat/>
    <w:rsid w:val="00876949"/>
    <w:pPr>
      <w:tabs>
        <w:tab w:val="num" w:pos="0"/>
      </w:tabs>
      <w:autoSpaceDE w:val="0"/>
      <w:autoSpaceDN w:val="0"/>
      <w:spacing w:before="240" w:after="60" w:line="240" w:lineRule="auto"/>
      <w:ind w:left="3600" w:hanging="720"/>
      <w:outlineLvl w:val="4"/>
    </w:pPr>
    <w:rPr>
      <w:rFonts w:ascii="Times New Roman" w:eastAsia="MS Mincho" w:hAnsi="Times New Roman" w:cs="Times New Roman"/>
      <w:lang w:val="en-US" w:eastAsia="ja-JP"/>
    </w:rPr>
  </w:style>
  <w:style w:type="paragraph" w:styleId="Heading6">
    <w:name w:val="heading 6"/>
    <w:basedOn w:val="Normal"/>
    <w:next w:val="Normal"/>
    <w:link w:val="Heading6Char"/>
    <w:unhideWhenUsed/>
    <w:qFormat/>
    <w:rsid w:val="005A5438"/>
    <w:pPr>
      <w:numPr>
        <w:ilvl w:val="5"/>
        <w:numId w:val="14"/>
      </w:numPr>
      <w:spacing w:before="240" w:after="60" w:line="240" w:lineRule="auto"/>
      <w:jc w:val="both"/>
      <w:outlineLvl w:val="5"/>
    </w:pPr>
    <w:rPr>
      <w:rFonts w:ascii="Arial" w:eastAsia="Times New Roman" w:hAnsi="Arial" w:cs="Times New Roman"/>
      <w:i/>
      <w:lang w:val="en-GB"/>
    </w:rPr>
  </w:style>
  <w:style w:type="paragraph" w:styleId="Heading7">
    <w:name w:val="heading 7"/>
    <w:basedOn w:val="Normal"/>
    <w:next w:val="Normal"/>
    <w:link w:val="Heading7Char"/>
    <w:unhideWhenUsed/>
    <w:qFormat/>
    <w:rsid w:val="005A5438"/>
    <w:pPr>
      <w:numPr>
        <w:ilvl w:val="6"/>
        <w:numId w:val="14"/>
      </w:numPr>
      <w:spacing w:before="240" w:after="60" w:line="240" w:lineRule="auto"/>
      <w:jc w:val="both"/>
      <w:outlineLvl w:val="6"/>
    </w:pPr>
    <w:rPr>
      <w:rFonts w:ascii="Arial" w:eastAsia="Times New Roman" w:hAnsi="Arial" w:cs="Times New Roman"/>
      <w:lang w:val="en-GB"/>
    </w:rPr>
  </w:style>
  <w:style w:type="paragraph" w:styleId="Heading8">
    <w:name w:val="heading 8"/>
    <w:basedOn w:val="Normal"/>
    <w:next w:val="Normal"/>
    <w:link w:val="Heading8Char"/>
    <w:qFormat/>
    <w:rsid w:val="00876949"/>
    <w:pPr>
      <w:tabs>
        <w:tab w:val="num" w:pos="0"/>
      </w:tabs>
      <w:autoSpaceDE w:val="0"/>
      <w:autoSpaceDN w:val="0"/>
      <w:spacing w:before="240" w:after="60" w:line="240" w:lineRule="auto"/>
      <w:ind w:left="5760" w:hanging="720"/>
      <w:outlineLvl w:val="7"/>
    </w:pPr>
    <w:rPr>
      <w:rFonts w:ascii="Arial" w:eastAsia="MS Mincho" w:hAnsi="Arial" w:cs="Arial"/>
      <w:i/>
      <w:iCs/>
      <w:sz w:val="20"/>
      <w:szCs w:val="20"/>
      <w:lang w:val="en-US" w:eastAsia="ja-JP"/>
    </w:rPr>
  </w:style>
  <w:style w:type="paragraph" w:styleId="Heading9">
    <w:name w:val="heading 9"/>
    <w:basedOn w:val="Normal"/>
    <w:next w:val="Normal"/>
    <w:link w:val="Heading9Char"/>
    <w:unhideWhenUsed/>
    <w:qFormat/>
    <w:rsid w:val="005A5438"/>
    <w:pPr>
      <w:numPr>
        <w:ilvl w:val="8"/>
        <w:numId w:val="14"/>
      </w:numPr>
      <w:spacing w:before="240" w:after="60" w:line="240" w:lineRule="auto"/>
      <w:jc w:val="both"/>
      <w:outlineLvl w:val="8"/>
    </w:pPr>
    <w:rPr>
      <w:rFonts w:ascii="Arial" w:eastAsia="Times New Roman" w:hAnsi="Arial" w:cs="Times New Roman"/>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locked/>
    <w:rsid w:val="005A5438"/>
    <w:rPr>
      <w:rFonts w:ascii="Times New Roman" w:eastAsia="Times New Roman"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semiHidden/>
    <w:rsid w:val="005A5438"/>
    <w:rPr>
      <w:rFonts w:ascii="Times New Roman" w:eastAsia="Times New Roman" w:hAnsi="Times New Roman" w:cs="Times New Roman"/>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semiHidden/>
    <w:rsid w:val="005A5438"/>
    <w:rPr>
      <w:rFonts w:ascii="Times New Roman" w:eastAsia="Times New Roman" w:hAnsi="Times New Roman" w:cs="Times New Roman"/>
      <w:lang w:val="en-GB"/>
    </w:rPr>
  </w:style>
  <w:style w:type="character" w:customStyle="1" w:styleId="Heading9Char">
    <w:name w:val="Heading 9 Char"/>
    <w:basedOn w:val="DefaultParagraphFont"/>
    <w:link w:val="Heading9"/>
    <w:semiHidden/>
    <w:rsid w:val="005A5438"/>
    <w:rPr>
      <w:rFonts w:ascii="Arial" w:eastAsia="Times New Roman" w:hAnsi="Arial" w:cs="Times New Roman"/>
      <w:i/>
      <w:sz w:val="18"/>
      <w:lang w:val="en-GB"/>
    </w:rPr>
  </w:style>
  <w:style w:type="character" w:customStyle="1" w:styleId="Heading4Char">
    <w:name w:val="Heading 4 Char"/>
    <w:aliases w:val="Heading 11 Char,para 4 Char,Título 41 Char,heading 4 Char,Heading 41 Char,标题 41 Char"/>
    <w:basedOn w:val="DefaultParagraphFont"/>
    <w:link w:val="Heading4"/>
    <w:semiHidden/>
    <w:rsid w:val="005A5438"/>
    <w:rPr>
      <w:rFonts w:ascii="Times New Roman" w:eastAsia="Times New Roman" w:hAnsi="Times New Roman" w:cs="Times New Roman"/>
      <w:lang w:val="en-GB"/>
    </w:rPr>
  </w:style>
  <w:style w:type="character" w:customStyle="1" w:styleId="Heading5Char">
    <w:name w:val="Heading 5 Char"/>
    <w:basedOn w:val="DefaultParagraphFont"/>
    <w:link w:val="Heading5"/>
    <w:rsid w:val="00876949"/>
    <w:rPr>
      <w:rFonts w:ascii="Times New Roman" w:eastAsia="MS Mincho" w:hAnsi="Times New Roman" w:cs="Times New Roman"/>
      <w:lang w:val="en-US" w:eastAsia="ja-JP"/>
    </w:rPr>
  </w:style>
  <w:style w:type="character" w:customStyle="1" w:styleId="Heading6Char">
    <w:name w:val="Heading 6 Char"/>
    <w:basedOn w:val="DefaultParagraphFont"/>
    <w:link w:val="Heading6"/>
    <w:semiHidden/>
    <w:rsid w:val="005A5438"/>
    <w:rPr>
      <w:rFonts w:ascii="Arial" w:eastAsia="Times New Roman" w:hAnsi="Arial" w:cs="Times New Roman"/>
      <w:i/>
      <w:lang w:val="en-GB"/>
    </w:rPr>
  </w:style>
  <w:style w:type="character" w:customStyle="1" w:styleId="Heading7Char">
    <w:name w:val="Heading 7 Char"/>
    <w:basedOn w:val="DefaultParagraphFont"/>
    <w:link w:val="Heading7"/>
    <w:semiHidden/>
    <w:rsid w:val="005A5438"/>
    <w:rPr>
      <w:rFonts w:ascii="Arial" w:eastAsia="Times New Roman" w:hAnsi="Arial" w:cs="Times New Roman"/>
      <w:lang w:val="en-GB"/>
    </w:rPr>
  </w:style>
  <w:style w:type="character" w:customStyle="1" w:styleId="Heading8Char">
    <w:name w:val="Heading 8 Char"/>
    <w:basedOn w:val="DefaultParagraphFont"/>
    <w:link w:val="Heading8"/>
    <w:rsid w:val="00876949"/>
    <w:rPr>
      <w:rFonts w:ascii="Arial" w:eastAsia="MS Mincho" w:hAnsi="Arial" w:cs="Arial"/>
      <w:i/>
      <w:iCs/>
      <w:sz w:val="20"/>
      <w:szCs w:val="20"/>
      <w:lang w:val="en-US" w:eastAsia="ja-JP"/>
    </w:rPr>
  </w:style>
  <w:style w:type="character" w:customStyle="1" w:styleId="Heading1Char">
    <w:name w:val="Heading 1 Char"/>
    <w:basedOn w:val="DefaultParagraphFont"/>
    <w:uiPriority w:val="9"/>
    <w:rsid w:val="005A5438"/>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5A5438"/>
    <w:pPr>
      <w:spacing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438"/>
    <w:pPr>
      <w:ind w:left="720"/>
      <w:contextualSpacing/>
    </w:pPr>
  </w:style>
  <w:style w:type="paragraph" w:styleId="BodyTextIndent">
    <w:name w:val="Body Text Indent"/>
    <w:basedOn w:val="Normal"/>
    <w:link w:val="BodyTextIndentChar"/>
    <w:unhideWhenUsed/>
    <w:rsid w:val="00506B61"/>
    <w:pPr>
      <w:autoSpaceDE w:val="0"/>
      <w:autoSpaceDN w:val="0"/>
      <w:spacing w:after="0" w:line="240" w:lineRule="auto"/>
      <w:ind w:left="720"/>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semiHidden/>
    <w:rsid w:val="00506B61"/>
    <w:rPr>
      <w:rFonts w:ascii="Times New Roman" w:eastAsia="MS Mincho" w:hAnsi="Times New Roman" w:cs="Times New Roman"/>
      <w:sz w:val="24"/>
      <w:szCs w:val="24"/>
      <w:lang w:val="en-US" w:eastAsia="ja-JP"/>
    </w:rPr>
  </w:style>
  <w:style w:type="paragraph" w:customStyle="1" w:styleId="t0heading6">
    <w:name w:val="t0 heading 6"/>
    <w:basedOn w:val="Normal"/>
    <w:rsid w:val="00876949"/>
    <w:pPr>
      <w:tabs>
        <w:tab w:val="num" w:pos="0"/>
      </w:tabs>
      <w:autoSpaceDE w:val="0"/>
      <w:autoSpaceDN w:val="0"/>
      <w:spacing w:before="240" w:after="60" w:line="240" w:lineRule="auto"/>
      <w:ind w:left="4320" w:hanging="720"/>
    </w:pPr>
    <w:rPr>
      <w:rFonts w:ascii="Times New Roman" w:eastAsia="MS Mincho" w:hAnsi="Times New Roman" w:cs="Times New Roman"/>
      <w:i/>
      <w:iCs/>
      <w:lang w:val="en-US" w:eastAsia="ja-JP"/>
    </w:rPr>
  </w:style>
  <w:style w:type="paragraph" w:styleId="FootnoteText">
    <w:name w:val="footnote text"/>
    <w:aliases w:val="Char1,Char1 Char Char, Char1, Char1 Char Char,Fußnotentextf"/>
    <w:basedOn w:val="Normal"/>
    <w:link w:val="FootnoteTextChar"/>
    <w:uiPriority w:val="99"/>
    <w:qFormat/>
    <w:rsid w:val="000F3F4C"/>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0F3F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CD"/>
    <w:rPr>
      <w:rFonts w:ascii="Segoe UI" w:hAnsi="Segoe UI" w:cs="Segoe UI"/>
      <w:sz w:val="18"/>
      <w:szCs w:val="18"/>
    </w:rPr>
  </w:style>
  <w:style w:type="character" w:styleId="FootnoteReference">
    <w:name w:val="footnote reference"/>
    <w:aliases w:val="16 Point,Superscript 6 Point,Footnote text,Footnote Text1,Footnote Text2,-E Fußnotenzeichen,number,Footnote reference number,Footnote symbol,note TESI,SUPERS,stylish,ftref,Footnote Reference Superscript,-E Fuﬂnotenzeichen,fr"/>
    <w:link w:val="CharCharCharCharCarChar"/>
    <w:qFormat/>
    <w:rsid w:val="00A446CD"/>
    <w:rPr>
      <w:vertAlign w:val="superscript"/>
    </w:rPr>
  </w:style>
  <w:style w:type="paragraph" w:styleId="Header">
    <w:name w:val="header"/>
    <w:basedOn w:val="Normal"/>
    <w:link w:val="HeaderChar"/>
    <w:unhideWhenUsed/>
    <w:rsid w:val="006451A1"/>
    <w:pPr>
      <w:tabs>
        <w:tab w:val="center" w:pos="4680"/>
        <w:tab w:val="right" w:pos="9360"/>
      </w:tabs>
      <w:spacing w:after="0" w:line="240" w:lineRule="auto"/>
    </w:pPr>
  </w:style>
  <w:style w:type="character" w:customStyle="1" w:styleId="HeaderChar">
    <w:name w:val="Header Char"/>
    <w:basedOn w:val="DefaultParagraphFont"/>
    <w:link w:val="Header"/>
    <w:rsid w:val="006451A1"/>
  </w:style>
  <w:style w:type="paragraph" w:styleId="Footer">
    <w:name w:val="footer"/>
    <w:basedOn w:val="Normal"/>
    <w:link w:val="FooterChar"/>
    <w:uiPriority w:val="99"/>
    <w:unhideWhenUsed/>
    <w:rsid w:val="0064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A1"/>
  </w:style>
  <w:style w:type="character" w:styleId="CommentReference">
    <w:name w:val="annotation reference"/>
    <w:basedOn w:val="DefaultParagraphFont"/>
    <w:uiPriority w:val="99"/>
    <w:semiHidden/>
    <w:unhideWhenUsed/>
    <w:rsid w:val="00273DD3"/>
    <w:rPr>
      <w:sz w:val="16"/>
      <w:szCs w:val="16"/>
    </w:rPr>
  </w:style>
  <w:style w:type="paragraph" w:styleId="CommentText">
    <w:name w:val="annotation text"/>
    <w:basedOn w:val="Normal"/>
    <w:link w:val="CommentTextChar"/>
    <w:uiPriority w:val="99"/>
    <w:semiHidden/>
    <w:unhideWhenUsed/>
    <w:rsid w:val="00273DD3"/>
    <w:pPr>
      <w:spacing w:line="240" w:lineRule="auto"/>
    </w:pPr>
    <w:rPr>
      <w:sz w:val="20"/>
      <w:szCs w:val="20"/>
    </w:rPr>
  </w:style>
  <w:style w:type="character" w:customStyle="1" w:styleId="CommentTextChar">
    <w:name w:val="Comment Text Char"/>
    <w:basedOn w:val="DefaultParagraphFont"/>
    <w:link w:val="CommentText"/>
    <w:uiPriority w:val="99"/>
    <w:semiHidden/>
    <w:rsid w:val="00273DD3"/>
    <w:rPr>
      <w:sz w:val="20"/>
      <w:szCs w:val="20"/>
    </w:rPr>
  </w:style>
  <w:style w:type="paragraph" w:styleId="CommentSubject">
    <w:name w:val="annotation subject"/>
    <w:basedOn w:val="CommentText"/>
    <w:next w:val="CommentText"/>
    <w:link w:val="CommentSubjectChar"/>
    <w:uiPriority w:val="99"/>
    <w:semiHidden/>
    <w:unhideWhenUsed/>
    <w:rsid w:val="00273DD3"/>
    <w:rPr>
      <w:b/>
      <w:bCs/>
    </w:rPr>
  </w:style>
  <w:style w:type="character" w:customStyle="1" w:styleId="CommentSubjectChar">
    <w:name w:val="Comment Subject Char"/>
    <w:basedOn w:val="CommentTextChar"/>
    <w:link w:val="CommentSubject"/>
    <w:uiPriority w:val="99"/>
    <w:semiHidden/>
    <w:rsid w:val="00273DD3"/>
    <w:rPr>
      <w:b/>
      <w:bCs/>
      <w:sz w:val="20"/>
      <w:szCs w:val="20"/>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5A66EB"/>
    <w:pPr>
      <w:spacing w:line="240" w:lineRule="exact"/>
      <w:jc w:val="both"/>
    </w:pPr>
    <w:rPr>
      <w:vertAlign w:val="superscript"/>
    </w:rPr>
  </w:style>
  <w:style w:type="paragraph" w:styleId="EndnoteText">
    <w:name w:val="endnote text"/>
    <w:basedOn w:val="Normal"/>
    <w:link w:val="EndnoteTextChar"/>
    <w:uiPriority w:val="99"/>
    <w:semiHidden/>
    <w:unhideWhenUsed/>
    <w:rsid w:val="003F21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68"/>
    <w:rPr>
      <w:sz w:val="20"/>
      <w:szCs w:val="20"/>
    </w:rPr>
  </w:style>
  <w:style w:type="character" w:styleId="EndnoteReference">
    <w:name w:val="endnote reference"/>
    <w:basedOn w:val="DefaultParagraphFont"/>
    <w:uiPriority w:val="99"/>
    <w:semiHidden/>
    <w:unhideWhenUsed/>
    <w:rsid w:val="003F2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3335">
      <w:bodyDiv w:val="1"/>
      <w:marLeft w:val="0"/>
      <w:marRight w:val="0"/>
      <w:marTop w:val="0"/>
      <w:marBottom w:val="0"/>
      <w:divBdr>
        <w:top w:val="none" w:sz="0" w:space="0" w:color="auto"/>
        <w:left w:val="none" w:sz="0" w:space="0" w:color="auto"/>
        <w:bottom w:val="none" w:sz="0" w:space="0" w:color="auto"/>
        <w:right w:val="none" w:sz="0" w:space="0" w:color="auto"/>
      </w:divBdr>
    </w:div>
    <w:div w:id="178811825">
      <w:bodyDiv w:val="1"/>
      <w:marLeft w:val="0"/>
      <w:marRight w:val="0"/>
      <w:marTop w:val="0"/>
      <w:marBottom w:val="0"/>
      <w:divBdr>
        <w:top w:val="none" w:sz="0" w:space="0" w:color="auto"/>
        <w:left w:val="none" w:sz="0" w:space="0" w:color="auto"/>
        <w:bottom w:val="none" w:sz="0" w:space="0" w:color="auto"/>
        <w:right w:val="none" w:sz="0" w:space="0" w:color="auto"/>
      </w:divBdr>
    </w:div>
    <w:div w:id="405032818">
      <w:bodyDiv w:val="1"/>
      <w:marLeft w:val="0"/>
      <w:marRight w:val="0"/>
      <w:marTop w:val="0"/>
      <w:marBottom w:val="0"/>
      <w:divBdr>
        <w:top w:val="none" w:sz="0" w:space="0" w:color="auto"/>
        <w:left w:val="none" w:sz="0" w:space="0" w:color="auto"/>
        <w:bottom w:val="none" w:sz="0" w:space="0" w:color="auto"/>
        <w:right w:val="none" w:sz="0" w:space="0" w:color="auto"/>
      </w:divBdr>
    </w:div>
    <w:div w:id="566644804">
      <w:bodyDiv w:val="1"/>
      <w:marLeft w:val="0"/>
      <w:marRight w:val="0"/>
      <w:marTop w:val="0"/>
      <w:marBottom w:val="0"/>
      <w:divBdr>
        <w:top w:val="none" w:sz="0" w:space="0" w:color="auto"/>
        <w:left w:val="none" w:sz="0" w:space="0" w:color="auto"/>
        <w:bottom w:val="none" w:sz="0" w:space="0" w:color="auto"/>
        <w:right w:val="none" w:sz="0" w:space="0" w:color="auto"/>
      </w:divBdr>
    </w:div>
    <w:div w:id="645746683">
      <w:bodyDiv w:val="1"/>
      <w:marLeft w:val="0"/>
      <w:marRight w:val="0"/>
      <w:marTop w:val="0"/>
      <w:marBottom w:val="0"/>
      <w:divBdr>
        <w:top w:val="none" w:sz="0" w:space="0" w:color="auto"/>
        <w:left w:val="none" w:sz="0" w:space="0" w:color="auto"/>
        <w:bottom w:val="none" w:sz="0" w:space="0" w:color="auto"/>
        <w:right w:val="none" w:sz="0" w:space="0" w:color="auto"/>
      </w:divBdr>
    </w:div>
    <w:div w:id="1067533027">
      <w:bodyDiv w:val="1"/>
      <w:marLeft w:val="0"/>
      <w:marRight w:val="0"/>
      <w:marTop w:val="0"/>
      <w:marBottom w:val="0"/>
      <w:divBdr>
        <w:top w:val="none" w:sz="0" w:space="0" w:color="auto"/>
        <w:left w:val="none" w:sz="0" w:space="0" w:color="auto"/>
        <w:bottom w:val="none" w:sz="0" w:space="0" w:color="auto"/>
        <w:right w:val="none" w:sz="0" w:space="0" w:color="auto"/>
      </w:divBdr>
    </w:div>
    <w:div w:id="1072393613">
      <w:bodyDiv w:val="1"/>
      <w:marLeft w:val="0"/>
      <w:marRight w:val="0"/>
      <w:marTop w:val="0"/>
      <w:marBottom w:val="0"/>
      <w:divBdr>
        <w:top w:val="none" w:sz="0" w:space="0" w:color="auto"/>
        <w:left w:val="none" w:sz="0" w:space="0" w:color="auto"/>
        <w:bottom w:val="none" w:sz="0" w:space="0" w:color="auto"/>
        <w:right w:val="none" w:sz="0" w:space="0" w:color="auto"/>
      </w:divBdr>
    </w:div>
    <w:div w:id="1250231616">
      <w:bodyDiv w:val="1"/>
      <w:marLeft w:val="0"/>
      <w:marRight w:val="0"/>
      <w:marTop w:val="0"/>
      <w:marBottom w:val="0"/>
      <w:divBdr>
        <w:top w:val="none" w:sz="0" w:space="0" w:color="auto"/>
        <w:left w:val="none" w:sz="0" w:space="0" w:color="auto"/>
        <w:bottom w:val="none" w:sz="0" w:space="0" w:color="auto"/>
        <w:right w:val="none" w:sz="0" w:space="0" w:color="auto"/>
      </w:divBdr>
    </w:div>
    <w:div w:id="1255163216">
      <w:bodyDiv w:val="1"/>
      <w:marLeft w:val="0"/>
      <w:marRight w:val="0"/>
      <w:marTop w:val="0"/>
      <w:marBottom w:val="0"/>
      <w:divBdr>
        <w:top w:val="none" w:sz="0" w:space="0" w:color="auto"/>
        <w:left w:val="none" w:sz="0" w:space="0" w:color="auto"/>
        <w:bottom w:val="none" w:sz="0" w:space="0" w:color="auto"/>
        <w:right w:val="none" w:sz="0" w:space="0" w:color="auto"/>
      </w:divBdr>
    </w:div>
    <w:div w:id="1478492277">
      <w:bodyDiv w:val="1"/>
      <w:marLeft w:val="0"/>
      <w:marRight w:val="0"/>
      <w:marTop w:val="0"/>
      <w:marBottom w:val="0"/>
      <w:divBdr>
        <w:top w:val="none" w:sz="0" w:space="0" w:color="auto"/>
        <w:left w:val="none" w:sz="0" w:space="0" w:color="auto"/>
        <w:bottom w:val="none" w:sz="0" w:space="0" w:color="auto"/>
        <w:right w:val="none" w:sz="0" w:space="0" w:color="auto"/>
      </w:divBdr>
    </w:div>
    <w:div w:id="1870802970">
      <w:bodyDiv w:val="1"/>
      <w:marLeft w:val="0"/>
      <w:marRight w:val="0"/>
      <w:marTop w:val="0"/>
      <w:marBottom w:val="0"/>
      <w:divBdr>
        <w:top w:val="none" w:sz="0" w:space="0" w:color="auto"/>
        <w:left w:val="none" w:sz="0" w:space="0" w:color="auto"/>
        <w:bottom w:val="none" w:sz="0" w:space="0" w:color="auto"/>
        <w:right w:val="none" w:sz="0" w:space="0" w:color="auto"/>
      </w:divBdr>
    </w:div>
    <w:div w:id="19588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UNEP/OzL.Pro/ExCom/84/9/Rev.1</Document_x0020_Number>
    <DocumentType xmlns="64e33b30-101d-41de-b951-961aab25ea29">Pre-session</DocumentType>
  </documentManagement>
</p:properties>
</file>

<file path=customXml/itemProps1.xml><?xml version="1.0" encoding="utf-8"?>
<ds:datastoreItem xmlns:ds="http://schemas.openxmlformats.org/officeDocument/2006/customXml" ds:itemID="{3640B888-309E-4D32-AC34-E55805E47401}"/>
</file>

<file path=customXml/itemProps2.xml><?xml version="1.0" encoding="utf-8"?>
<ds:datastoreItem xmlns:ds="http://schemas.openxmlformats.org/officeDocument/2006/customXml" ds:itemID="{73007FAB-0F76-46D3-A1C1-DC9A0068E44A}"/>
</file>

<file path=customXml/itemProps3.xml><?xml version="1.0" encoding="utf-8"?>
<ds:datastoreItem xmlns:ds="http://schemas.openxmlformats.org/officeDocument/2006/customXml" ds:itemID="{F0BF2267-5EAC-46D9-B20F-426B6E0B0BE2}"/>
</file>

<file path=customXml/itemProps4.xml><?xml version="1.0" encoding="utf-8"?>
<ds:datastoreItem xmlns:ds="http://schemas.openxmlformats.org/officeDocument/2006/customXml" ds:itemID="{1BAD41AF-BF50-4C79-9CB8-BEB791C39AD0}"/>
</file>

<file path=docProps/app.xml><?xml version="1.0" encoding="utf-8"?>
<Properties xmlns="http://schemas.openxmlformats.org/officeDocument/2006/extended-properties" xmlns:vt="http://schemas.openxmlformats.org/officeDocument/2006/docPropsVTypes">
  <Template>Normal</Template>
  <TotalTime>65</TotalTime>
  <Pages>13</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programme data and prospects for compliance - Revision (part 3)</dc:title>
  <dc:subject/>
  <dc:creator>Laura Duong</dc:creator>
  <cp:keywords/>
  <dc:description/>
  <cp:lastModifiedBy>Saša CVIJETIĆ</cp:lastModifiedBy>
  <cp:revision>24</cp:revision>
  <cp:lastPrinted>2019-11-21T17:05:00Z</cp:lastPrinted>
  <dcterms:created xsi:type="dcterms:W3CDTF">2019-11-21T17:09:00Z</dcterms:created>
  <dcterms:modified xsi:type="dcterms:W3CDTF">2019-11-21T22:32:00Z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UNEP/OzL.Pro/ExCom/84/9/Rev.1</vt:lpwstr>
  </property>
  <property fmtid="{D5CDD505-2E9C-101B-9397-08002B2CF9AE}" pid="3" name="ContentTypeId">
    <vt:lpwstr>0x010100D1FC51483EAF9547AF5405F34A68D8CF</vt:lpwstr>
  </property>
</Properties>
</file>