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Default="00264ACF" w:rsidP="00264ACF">
      <w:r>
        <w:rPr>
          <w:noProof/>
          <w:lang w:val="en-CA"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rsidR="00D0546C" w:rsidRDefault="00D0546C" w:rsidP="00D0546C">
      <w:pPr>
        <w:tabs>
          <w:tab w:val="left" w:pos="1410"/>
        </w:tabs>
      </w:pPr>
    </w:p>
    <w:p w:rsidR="00D0546C" w:rsidRDefault="00D0546C" w:rsidP="003919B9">
      <w:pPr>
        <w:ind w:left="5040"/>
      </w:pPr>
    </w:p>
    <w:p w:rsidR="003919B9" w:rsidRDefault="005A4390" w:rsidP="003919B9">
      <w:pPr>
        <w:ind w:left="5040"/>
      </w:pPr>
      <w:r>
        <w:t xml:space="preserve"> </w:t>
      </w:r>
      <w:r>
        <w:br/>
        <w:t xml:space="preserve">   </w:t>
      </w:r>
      <w:r w:rsidR="00D0546C">
        <w:br/>
      </w:r>
      <w:r w:rsidR="00D0546C">
        <w:br/>
      </w:r>
      <w:r w:rsidR="00D0546C">
        <w:br/>
      </w:r>
      <w:r w:rsidR="00264ACF">
        <w:t xml:space="preserve">   </w:t>
      </w:r>
      <w:r w:rsidR="003919B9">
        <w:fldChar w:fldCharType="begin"/>
      </w:r>
      <w:r w:rsidR="003919B9">
        <w:instrText xml:space="preserve"> DOCPROPERTY "Document number"  \* MERGEFORMAT </w:instrText>
      </w:r>
      <w:r w:rsidR="003919B9">
        <w:fldChar w:fldCharType="separate"/>
      </w:r>
      <w:r w:rsidR="00C94255">
        <w:t>UNEP/</w:t>
      </w:r>
      <w:proofErr w:type="spellStart"/>
      <w:r w:rsidR="00C94255">
        <w:t>OzL.Pro</w:t>
      </w:r>
      <w:proofErr w:type="spellEnd"/>
      <w:r w:rsidR="00C94255">
        <w:t>/</w:t>
      </w:r>
      <w:proofErr w:type="spellStart"/>
      <w:r w:rsidR="00C94255">
        <w:t>ExCom</w:t>
      </w:r>
      <w:proofErr w:type="spellEnd"/>
      <w:r w:rsidR="00C94255">
        <w:t>/84/6</w:t>
      </w:r>
      <w:r w:rsidR="003919B9">
        <w:fldChar w:fldCharType="end"/>
      </w:r>
      <w:r w:rsidR="003919B9">
        <w:br/>
        <w:t xml:space="preserve">   </w:t>
      </w:r>
      <w:r w:rsidR="003919B9">
        <w:fldChar w:fldCharType="begin"/>
      </w:r>
      <w:r w:rsidR="003919B9">
        <w:instrText xml:space="preserve"> DOCPROPERTY "Revision date" \@ "d MMMM YYYY"  \* MERGEFORMAT </w:instrText>
      </w:r>
      <w:r w:rsidR="003919B9">
        <w:fldChar w:fldCharType="separate"/>
      </w:r>
      <w:r w:rsidR="00D4014C">
        <w:t>26 November 2019</w:t>
      </w:r>
      <w:r w:rsidR="003919B9">
        <w:fldChar w:fldCharType="end"/>
      </w:r>
    </w:p>
    <w:p w:rsidR="003919B9" w:rsidRPr="003F73BA" w:rsidRDefault="003919B9" w:rsidP="003919B9"/>
    <w:p w:rsidR="00EE66BA" w:rsidRDefault="00EE66BA" w:rsidP="001C3C80">
      <w:pPr>
        <w:tabs>
          <w:tab w:val="left" w:pos="8280"/>
        </w:tabs>
      </w:pPr>
    </w:p>
    <w:p w:rsidR="003919B9" w:rsidRDefault="003919B9" w:rsidP="001C3C80">
      <w:pPr>
        <w:tabs>
          <w:tab w:val="left" w:pos="8280"/>
        </w:tabs>
      </w:pPr>
    </w:p>
    <w:p w:rsidR="003919B9" w:rsidRDefault="00D66982" w:rsidP="00D66982">
      <w:pPr>
        <w:tabs>
          <w:tab w:val="left" w:pos="3940"/>
        </w:tabs>
      </w:pPr>
      <w:r>
        <w:tab/>
      </w: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0E59CB" w:rsidRDefault="000E59CB" w:rsidP="001C3C80">
      <w:pPr>
        <w:tabs>
          <w:tab w:val="left" w:pos="8280"/>
        </w:tabs>
      </w:pPr>
    </w:p>
    <w:p w:rsidR="004731B8" w:rsidRDefault="004731B8" w:rsidP="001C3C80">
      <w:pPr>
        <w:tabs>
          <w:tab w:val="left" w:pos="8280"/>
        </w:tabs>
      </w:pPr>
    </w:p>
    <w:p w:rsidR="00C94255" w:rsidRPr="00C94255" w:rsidRDefault="00C94255" w:rsidP="00C94255">
      <w:pPr>
        <w:jc w:val="center"/>
        <w:rPr>
          <w:b/>
        </w:rPr>
      </w:pPr>
      <w:r w:rsidRPr="00C94255">
        <w:rPr>
          <w:b/>
        </w:rPr>
        <w:t>FINAL 2018 ACCOUNTS</w:t>
      </w:r>
    </w:p>
    <w:p w:rsidR="00C94255" w:rsidRPr="00C94255" w:rsidRDefault="00C94255" w:rsidP="00C94255">
      <w:pPr>
        <w:rPr>
          <w:b/>
          <w:bCs/>
        </w:rPr>
      </w:pPr>
    </w:p>
    <w:p w:rsidR="00C94255" w:rsidRPr="00C94255" w:rsidRDefault="00C94255" w:rsidP="00C94255">
      <w:pPr>
        <w:spacing w:after="240"/>
        <w:rPr>
          <w:b/>
          <w:bCs/>
        </w:rPr>
      </w:pPr>
      <w:r w:rsidRPr="00C94255">
        <w:rPr>
          <w:b/>
          <w:bCs/>
        </w:rPr>
        <w:t>Introduction</w:t>
      </w:r>
    </w:p>
    <w:p w:rsidR="00CA7728" w:rsidRPr="00CA7728" w:rsidRDefault="00C94255" w:rsidP="00C94255">
      <w:pPr>
        <w:pStyle w:val="Heading1"/>
      </w:pPr>
      <w:r w:rsidRPr="00C94255">
        <w:rPr>
          <w:lang w:val="en-CA"/>
        </w:rPr>
        <w:t>This document presents the final accounts of the Multilateral Fund (MLF) for the year ended 31</w:t>
      </w:r>
      <w:r w:rsidR="007D6E60">
        <w:rPr>
          <w:lang w:val="en-CA"/>
        </w:rPr>
        <w:t> </w:t>
      </w:r>
      <w:r w:rsidRPr="00C94255">
        <w:rPr>
          <w:lang w:val="en-CA"/>
        </w:rPr>
        <w:t xml:space="preserve">December 2018. </w:t>
      </w:r>
      <w:r w:rsidR="007D6E60">
        <w:rPr>
          <w:lang w:val="en-CA"/>
        </w:rPr>
        <w:t>In addition, in response to decision 83/4(b),</w:t>
      </w:r>
      <w:r w:rsidR="007D6E60">
        <w:rPr>
          <w:rStyle w:val="FootnoteReference"/>
          <w:lang w:val="en-CA"/>
        </w:rPr>
        <w:footnoteReference w:id="1"/>
      </w:r>
      <w:r w:rsidR="007D6E60">
        <w:rPr>
          <w:lang w:val="en-CA"/>
        </w:rPr>
        <w:t xml:space="preserve"> a separate certified statement of income and disbursements of the additional contributions for the fast-start support for the implementation of the HFC phase-down is included. </w:t>
      </w:r>
    </w:p>
    <w:p w:rsidR="00C94255" w:rsidRPr="00C94255" w:rsidRDefault="00C94255" w:rsidP="00C94255">
      <w:pPr>
        <w:pStyle w:val="Heading1"/>
      </w:pPr>
      <w:r w:rsidRPr="00C94255">
        <w:t>Annex I to the present document consis</w:t>
      </w:r>
      <w:r w:rsidR="00A43AE2">
        <w:t>ts of the following schedules:</w:t>
      </w:r>
    </w:p>
    <w:p w:rsidR="007D6E60" w:rsidRDefault="00C94255" w:rsidP="00CA7728">
      <w:pPr>
        <w:pStyle w:val="Heading2"/>
        <w:numPr>
          <w:ilvl w:val="0"/>
          <w:numId w:val="0"/>
        </w:numPr>
        <w:spacing w:after="0"/>
        <w:ind w:left="1440" w:hanging="720"/>
      </w:pPr>
      <w:r w:rsidRPr="00C94255">
        <w:t xml:space="preserve">Schedule 1.1: </w:t>
      </w:r>
      <w:r w:rsidR="00CA7728">
        <w:tab/>
      </w:r>
      <w:r w:rsidR="00CA7728">
        <w:tab/>
        <w:t xml:space="preserve">    </w:t>
      </w:r>
      <w:r w:rsidR="0036484D">
        <w:t xml:space="preserve"> </w:t>
      </w:r>
      <w:r w:rsidRPr="00C94255">
        <w:t>The state</w:t>
      </w:r>
      <w:r w:rsidR="00A43AE2">
        <w:t xml:space="preserve">ment of revenue and expenses </w:t>
      </w:r>
    </w:p>
    <w:p w:rsidR="00CA7728" w:rsidRDefault="007D6E60" w:rsidP="00CA7728">
      <w:pPr>
        <w:pStyle w:val="Heading2"/>
        <w:numPr>
          <w:ilvl w:val="0"/>
          <w:numId w:val="0"/>
        </w:numPr>
        <w:spacing w:after="0"/>
        <w:ind w:left="1440" w:hanging="731"/>
      </w:pPr>
      <w:r>
        <w:t>Appendix</w:t>
      </w:r>
      <w:r w:rsidR="00CA7728">
        <w:t xml:space="preserve"> of Schedule 1.1: </w:t>
      </w:r>
      <w:r w:rsidR="0036484D">
        <w:t xml:space="preserve"> </w:t>
      </w:r>
      <w:r w:rsidR="00C94255" w:rsidRPr="00C94255">
        <w:t>Certified statement of income and disbursements of the additional</w:t>
      </w:r>
    </w:p>
    <w:p w:rsidR="00F83080" w:rsidRDefault="00CA7728" w:rsidP="00CA7728">
      <w:pPr>
        <w:pStyle w:val="Heading2"/>
        <w:numPr>
          <w:ilvl w:val="0"/>
          <w:numId w:val="0"/>
        </w:numPr>
        <w:spacing w:after="0"/>
        <w:ind w:left="3150"/>
      </w:pPr>
      <w:r>
        <w:t xml:space="preserve">contributions for fast-start support for the implementation of HFC       phase-down </w:t>
      </w:r>
      <w:r w:rsidRPr="00C94255">
        <w:t xml:space="preserve"> </w:t>
      </w:r>
      <w:r>
        <w:t xml:space="preserve">              </w:t>
      </w:r>
    </w:p>
    <w:p w:rsidR="00C94255" w:rsidRPr="00C94255" w:rsidRDefault="00C94255" w:rsidP="00CA7728">
      <w:pPr>
        <w:pStyle w:val="Heading2"/>
        <w:numPr>
          <w:ilvl w:val="0"/>
          <w:numId w:val="0"/>
        </w:numPr>
        <w:spacing w:after="0"/>
        <w:ind w:left="1440" w:hanging="720"/>
      </w:pPr>
      <w:r w:rsidRPr="00C94255">
        <w:t xml:space="preserve">Schedule 1.2: </w:t>
      </w:r>
      <w:r w:rsidR="00CA7728">
        <w:tab/>
      </w:r>
      <w:r w:rsidR="00CA7728">
        <w:tab/>
        <w:t xml:space="preserve">     </w:t>
      </w:r>
      <w:r w:rsidRPr="00C94255">
        <w:t>2018 Statement of financial position</w:t>
      </w:r>
    </w:p>
    <w:p w:rsidR="00C94255" w:rsidRPr="00C94255" w:rsidRDefault="00C94255" w:rsidP="00CA7728">
      <w:pPr>
        <w:pStyle w:val="Heading2"/>
        <w:numPr>
          <w:ilvl w:val="0"/>
          <w:numId w:val="0"/>
        </w:numPr>
        <w:spacing w:after="0"/>
        <w:ind w:left="1440" w:hanging="720"/>
      </w:pPr>
      <w:r w:rsidRPr="00C94255">
        <w:t xml:space="preserve">Schedule 1.3: </w:t>
      </w:r>
      <w:r w:rsidR="00CA7728">
        <w:tab/>
      </w:r>
      <w:r w:rsidR="00CA7728">
        <w:tab/>
        <w:t xml:space="preserve">     </w:t>
      </w:r>
      <w:r w:rsidRPr="00C94255">
        <w:t>2018 MLF Secretariat expenses</w:t>
      </w:r>
    </w:p>
    <w:p w:rsidR="00C94255" w:rsidRPr="00C94255" w:rsidRDefault="00C94255" w:rsidP="00CA7728">
      <w:pPr>
        <w:pStyle w:val="Heading2"/>
        <w:numPr>
          <w:ilvl w:val="0"/>
          <w:numId w:val="0"/>
        </w:numPr>
        <w:spacing w:after="0"/>
        <w:ind w:left="1440" w:hanging="720"/>
      </w:pPr>
      <w:r w:rsidRPr="00C94255">
        <w:t xml:space="preserve">Schedule 1.4: </w:t>
      </w:r>
      <w:r w:rsidR="00CA7728">
        <w:tab/>
      </w:r>
      <w:r w:rsidR="00CA7728">
        <w:tab/>
        <w:t xml:space="preserve">     </w:t>
      </w:r>
      <w:r w:rsidRPr="00C94255">
        <w:t>Sub-accounts of UNDP managed activities 1991-2018</w:t>
      </w:r>
    </w:p>
    <w:p w:rsidR="00C94255" w:rsidRPr="00C94255" w:rsidRDefault="00C94255" w:rsidP="00CA7728">
      <w:pPr>
        <w:pStyle w:val="Heading2"/>
        <w:numPr>
          <w:ilvl w:val="0"/>
          <w:numId w:val="0"/>
        </w:numPr>
        <w:spacing w:after="0"/>
        <w:ind w:left="1440" w:hanging="720"/>
      </w:pPr>
      <w:r w:rsidRPr="00C94255">
        <w:t xml:space="preserve">Schedule 1.5: </w:t>
      </w:r>
      <w:r w:rsidR="00CA7728">
        <w:tab/>
      </w:r>
      <w:r w:rsidR="00CA7728">
        <w:tab/>
        <w:t xml:space="preserve">     </w:t>
      </w:r>
      <w:r w:rsidRPr="00C94255">
        <w:t>Sub-accounts of UNEP managed activities 1991-2018</w:t>
      </w:r>
    </w:p>
    <w:p w:rsidR="00C94255" w:rsidRPr="00C94255" w:rsidRDefault="00C94255" w:rsidP="00CA7728">
      <w:pPr>
        <w:pStyle w:val="Heading2"/>
        <w:numPr>
          <w:ilvl w:val="0"/>
          <w:numId w:val="0"/>
        </w:numPr>
        <w:spacing w:after="0"/>
        <w:ind w:left="1440" w:hanging="720"/>
      </w:pPr>
      <w:r w:rsidRPr="00C94255">
        <w:t xml:space="preserve">Schedule 1.6: </w:t>
      </w:r>
      <w:r w:rsidR="00CA7728">
        <w:tab/>
      </w:r>
      <w:r w:rsidR="00CA7728">
        <w:tab/>
        <w:t xml:space="preserve">     </w:t>
      </w:r>
      <w:r w:rsidRPr="00C94255">
        <w:t>Sub-accounts of UNIDO managed activities 1991-2018</w:t>
      </w:r>
    </w:p>
    <w:p w:rsidR="00C94255" w:rsidRPr="00C94255" w:rsidRDefault="00CA7728" w:rsidP="00CA7728">
      <w:pPr>
        <w:pStyle w:val="Heading2"/>
        <w:numPr>
          <w:ilvl w:val="0"/>
          <w:numId w:val="0"/>
        </w:numPr>
        <w:ind w:left="1440" w:hanging="720"/>
      </w:pPr>
      <w:r>
        <w:t>Schedule 1.7:</w:t>
      </w:r>
      <w:r>
        <w:tab/>
      </w:r>
      <w:r>
        <w:tab/>
        <w:t xml:space="preserve">     </w:t>
      </w:r>
      <w:r w:rsidR="00C94255" w:rsidRPr="00C94255">
        <w:t>Sub-accounts of the World Bank managed activities 1991-2018</w:t>
      </w:r>
    </w:p>
    <w:p w:rsidR="00380386" w:rsidRDefault="00EA0FD7" w:rsidP="00380386">
      <w:pPr>
        <w:pStyle w:val="Heading1"/>
      </w:pPr>
      <w:r>
        <w:t>Schedule 1.1 provides information on the agreed contributions under the revenue category and shows that t</w:t>
      </w:r>
      <w:r w:rsidR="007D6E60">
        <w:t>he fixed-exchange-rate-m</w:t>
      </w:r>
      <w:r w:rsidR="00C94255" w:rsidRPr="00C94255">
        <w:t>echanism</w:t>
      </w:r>
      <w:r w:rsidR="007D6E60">
        <w:t xml:space="preserve"> (FERM)</w:t>
      </w:r>
      <w:r w:rsidR="00C94255" w:rsidRPr="00C94255">
        <w:t xml:space="preserve"> gain was </w:t>
      </w:r>
      <w:r w:rsidR="00C94255" w:rsidRPr="00C94255">
        <w:rPr>
          <w:color w:val="000000"/>
          <w:lang w:val="en-US"/>
        </w:rPr>
        <w:t>US $1,879,766</w:t>
      </w:r>
      <w:r w:rsidR="00C94255" w:rsidRPr="00C94255">
        <w:t xml:space="preserve"> in 2018 compared to</w:t>
      </w:r>
      <w:r w:rsidR="007D6E60">
        <w:t xml:space="preserve"> a</w:t>
      </w:r>
      <w:r w:rsidR="00C94255" w:rsidRPr="00C94255">
        <w:t xml:space="preserve"> loss of </w:t>
      </w:r>
      <w:r w:rsidR="007D6E60">
        <w:rPr>
          <w:color w:val="000000"/>
          <w:lang w:val="en-US"/>
        </w:rPr>
        <w:t>US $</w:t>
      </w:r>
      <w:r w:rsidR="00C94255" w:rsidRPr="00C94255">
        <w:rPr>
          <w:color w:val="000000"/>
          <w:lang w:val="en-US"/>
        </w:rPr>
        <w:t xml:space="preserve">15,507,000 </w:t>
      </w:r>
      <w:r w:rsidR="00C94255" w:rsidRPr="00C94255">
        <w:t>in 2017. This is attrib</w:t>
      </w:r>
      <w:r w:rsidR="007D6E60">
        <w:t>uted</w:t>
      </w:r>
      <w:r w:rsidR="00C94255" w:rsidRPr="00C94255">
        <w:t xml:space="preserve"> to the United States dollar exchange rates in 2018 compared to other currencies. This schedule also provides the aggregated data on the Secretariat and the implementing agencies’ (IAs) expenses; and the net Fund balance as at the end of 2018. </w:t>
      </w:r>
    </w:p>
    <w:p w:rsidR="00EA0FD7" w:rsidRPr="00EA0FD7" w:rsidRDefault="00D1136A" w:rsidP="00380386">
      <w:pPr>
        <w:pStyle w:val="Heading1"/>
      </w:pPr>
      <w:bookmarkStart w:id="0" w:name="_GoBack"/>
      <w:bookmarkEnd w:id="0"/>
      <w:r>
        <w:t xml:space="preserve">Appendix </w:t>
      </w:r>
      <w:r w:rsidRPr="00C94255">
        <w:t>of schedule 1</w:t>
      </w:r>
      <w:r>
        <w:t>.1</w:t>
      </w:r>
      <w:r w:rsidRPr="00C94255">
        <w:t xml:space="preserve"> is provided as a follow-up to decision 83/4(b). It reflects an unused balance of US $13,698</w:t>
      </w:r>
      <w:r>
        <w:t xml:space="preserve"> which will be added to the regular pledged contributions to the Multilateral Fund.</w:t>
      </w:r>
      <w:r>
        <w:rPr>
          <w:rStyle w:val="FootnoteReference"/>
        </w:rPr>
        <w:footnoteReference w:id="2"/>
      </w:r>
      <w:r w:rsidRPr="00C94255">
        <w:t xml:space="preserve">  </w:t>
      </w:r>
    </w:p>
    <w:p w:rsidR="00C94255" w:rsidRPr="00C94255" w:rsidRDefault="00C94255" w:rsidP="00C94255">
      <w:pPr>
        <w:pStyle w:val="Heading1"/>
        <w:rPr>
          <w:lang w:eastAsia="fr-FR"/>
        </w:rPr>
      </w:pPr>
      <w:r w:rsidRPr="00C94255">
        <w:rPr>
          <w:lang w:val="en-CA" w:eastAsia="fr-FR"/>
        </w:rPr>
        <w:t xml:space="preserve">Schedule 1.2 </w:t>
      </w:r>
      <w:r w:rsidRPr="00C94255">
        <w:rPr>
          <w:lang w:eastAsia="fr-FR"/>
        </w:rPr>
        <w:t>presents the status of voluntary pledges receivable which amounte</w:t>
      </w:r>
      <w:r w:rsidR="00E02877">
        <w:rPr>
          <w:lang w:eastAsia="fr-FR"/>
        </w:rPr>
        <w:t xml:space="preserve">d to US $10,560,860. </w:t>
      </w:r>
      <w:r w:rsidRPr="00C94255">
        <w:rPr>
          <w:lang w:eastAsia="fr-FR"/>
        </w:rPr>
        <w:t xml:space="preserve">This is after reducing </w:t>
      </w:r>
      <w:r w:rsidRPr="00C94255">
        <w:t>total aggregate receivable</w:t>
      </w:r>
      <w:r w:rsidR="00A43AE2">
        <w:t>s</w:t>
      </w:r>
      <w:r w:rsidRPr="00C94255">
        <w:t xml:space="preserve"> of </w:t>
      </w:r>
      <w:r w:rsidRPr="00C94255">
        <w:rPr>
          <w:color w:val="000000"/>
          <w:lang w:val="en-US"/>
        </w:rPr>
        <w:t>US $</w:t>
      </w:r>
      <w:r w:rsidRPr="00C94255">
        <w:rPr>
          <w:lang w:eastAsia="fr-FR"/>
        </w:rPr>
        <w:t>192,651,963</w:t>
      </w:r>
      <w:r w:rsidR="007D6E60">
        <w:rPr>
          <w:lang w:eastAsia="fr-FR"/>
        </w:rPr>
        <w:t>,</w:t>
      </w:r>
      <w:r w:rsidR="00E02877">
        <w:rPr>
          <w:lang w:eastAsia="fr-FR"/>
        </w:rPr>
        <w:t xml:space="preserve"> by</w:t>
      </w:r>
      <w:r w:rsidRPr="00C94255">
        <w:rPr>
          <w:lang w:eastAsia="fr-FR"/>
        </w:rPr>
        <w:t xml:space="preserve"> </w:t>
      </w:r>
      <w:r w:rsidRPr="00C94255">
        <w:rPr>
          <w:color w:val="000000"/>
          <w:lang w:val="en-US"/>
        </w:rPr>
        <w:t>US $</w:t>
      </w:r>
      <w:r w:rsidRPr="00C94255">
        <w:rPr>
          <w:lang w:eastAsia="fr-FR"/>
        </w:rPr>
        <w:t>182,091,103,</w:t>
      </w:r>
      <w:r w:rsidR="00E02877">
        <w:rPr>
          <w:lang w:eastAsia="fr-FR"/>
        </w:rPr>
        <w:t xml:space="preserve"> </w:t>
      </w:r>
      <w:r w:rsidR="00CA7728">
        <w:rPr>
          <w:lang w:eastAsia="fr-FR"/>
        </w:rPr>
        <w:t xml:space="preserve">representing </w:t>
      </w:r>
      <w:r w:rsidRPr="00C94255">
        <w:rPr>
          <w:lang w:eastAsia="fr-FR"/>
        </w:rPr>
        <w:t xml:space="preserve">doubtful accounts in line with the </w:t>
      </w:r>
      <w:r w:rsidRPr="00C94255">
        <w:t>International Public Sector Accounting Standards (</w:t>
      </w:r>
      <w:r w:rsidRPr="00C94255">
        <w:rPr>
          <w:lang w:eastAsia="fr-FR"/>
        </w:rPr>
        <w:t xml:space="preserve">IPSAS). </w:t>
      </w:r>
    </w:p>
    <w:p w:rsidR="00C94255" w:rsidRPr="00C94255" w:rsidRDefault="00C94255" w:rsidP="00DE2C47">
      <w:pPr>
        <w:pStyle w:val="Heading1"/>
      </w:pPr>
      <w:r w:rsidRPr="00C94255">
        <w:t xml:space="preserve">Schedule 1.3 presents actual expenses charged against the Secretariat budget in 2018 </w:t>
      </w:r>
      <w:r w:rsidR="007D6E60">
        <w:t>as approved by decision 80/5(b)</w:t>
      </w:r>
      <w:r w:rsidRPr="00C94255">
        <w:t>(</w:t>
      </w:r>
      <w:proofErr w:type="spellStart"/>
      <w:r w:rsidRPr="00C94255">
        <w:t>i</w:t>
      </w:r>
      <w:proofErr w:type="spellEnd"/>
      <w:r w:rsidRPr="00C94255">
        <w:t>). Although the unspent balance is US $1,743,969, the return to the Multilateral Fund at the 84</w:t>
      </w:r>
      <w:r w:rsidRPr="00C94255">
        <w:rPr>
          <w:vertAlign w:val="superscript"/>
        </w:rPr>
        <w:t>th</w:t>
      </w:r>
      <w:r w:rsidR="00BE39EE">
        <w:t xml:space="preserve"> meeting is US $1,6</w:t>
      </w:r>
      <w:r w:rsidR="00D4014C">
        <w:t>4</w:t>
      </w:r>
      <w:r w:rsidR="00A14800">
        <w:t>6</w:t>
      </w:r>
      <w:r w:rsidR="00314E19">
        <w:t>,</w:t>
      </w:r>
      <w:r w:rsidR="00A14800">
        <w:t>463</w:t>
      </w:r>
      <w:r w:rsidRPr="00C94255">
        <w:t>, consisting of US $1,624,548 from the Secretariat’s budget and US $</w:t>
      </w:r>
      <w:r w:rsidR="00A14800">
        <w:t>21</w:t>
      </w:r>
      <w:r w:rsidR="00D4014C">
        <w:t>,</w:t>
      </w:r>
      <w:r w:rsidR="00A14800">
        <w:t>915</w:t>
      </w:r>
      <w:r w:rsidRPr="00C94255">
        <w:t xml:space="preserve"> from the Monitoring and Evaluation budget. </w:t>
      </w:r>
      <w:r w:rsidR="00DE2C47">
        <w:t>The amount of US $</w:t>
      </w:r>
      <w:r w:rsidR="00DE2C47" w:rsidRPr="00DE2C47">
        <w:t>97,506</w:t>
      </w:r>
      <w:r w:rsidR="005B368A">
        <w:t xml:space="preserve"> not </w:t>
      </w:r>
      <w:r w:rsidR="00DE2C47">
        <w:t>returned to the Fund consists of 2018 expenditures</w:t>
      </w:r>
      <w:r w:rsidR="00EC30CE">
        <w:t xml:space="preserve"> to be</w:t>
      </w:r>
      <w:r w:rsidR="00DE2C47">
        <w:t xml:space="preserve"> recorded in 2019. </w:t>
      </w:r>
    </w:p>
    <w:p w:rsidR="00C94255" w:rsidRPr="007F3E92" w:rsidRDefault="00C94255" w:rsidP="00C94255">
      <w:pPr>
        <w:pStyle w:val="Heading1"/>
      </w:pPr>
      <w:r w:rsidRPr="007F3E92">
        <w:t xml:space="preserve">Schedules 1.4 to 1.7 contain the final accounts of the IAs submitted to the Treasurer by the end of September 2019. Since the IAs’ final accounts were submitted after UNEP 2018 accounts were closed, only the provisional accounts submitted by the IAs in January 2019 were recorded in the UNEP final accounts. </w:t>
      </w:r>
      <w:r w:rsidRPr="007F3E92">
        <w:rPr>
          <w:bCs/>
        </w:rPr>
        <w:t xml:space="preserve">Table 1 provides the difference between IAs’ provisional and final 2018 accounts on aggregate revenue and expenses </w:t>
      </w:r>
      <w:r w:rsidRPr="007F3E92">
        <w:t>and shall be recorded in the 2019 accounts</w:t>
      </w:r>
      <w:r w:rsidRPr="007F3E92">
        <w:rPr>
          <w:bCs/>
        </w:rPr>
        <w:t xml:space="preserve">. </w:t>
      </w:r>
    </w:p>
    <w:p w:rsidR="00C94255" w:rsidRPr="0036484D" w:rsidRDefault="00C94255" w:rsidP="00C94255">
      <w:pPr>
        <w:keepNext/>
        <w:tabs>
          <w:tab w:val="left" w:pos="1260"/>
        </w:tabs>
        <w:rPr>
          <w:b/>
        </w:rPr>
      </w:pPr>
      <w:r w:rsidRPr="0036484D">
        <w:rPr>
          <w:b/>
        </w:rPr>
        <w:t xml:space="preserve">Table 1. </w:t>
      </w:r>
      <w:r w:rsidRPr="0036484D">
        <w:rPr>
          <w:b/>
          <w:bCs/>
        </w:rPr>
        <w:t>Differences between provisional and final 2018 accounts on aggregate income and expenditure (US $)</w:t>
      </w:r>
    </w:p>
    <w:tbl>
      <w:tblPr>
        <w:tblW w:w="9356" w:type="dxa"/>
        <w:tblInd w:w="-5" w:type="dxa"/>
        <w:tblLook w:val="04A0" w:firstRow="1" w:lastRow="0" w:firstColumn="1" w:lastColumn="0" w:noHBand="0" w:noVBand="1"/>
      </w:tblPr>
      <w:tblGrid>
        <w:gridCol w:w="2439"/>
        <w:gridCol w:w="12"/>
        <w:gridCol w:w="2330"/>
        <w:gridCol w:w="8"/>
        <w:gridCol w:w="2338"/>
        <w:gridCol w:w="2229"/>
      </w:tblGrid>
      <w:tr w:rsidR="00C94255" w:rsidRPr="00C94255" w:rsidTr="002F0ACF">
        <w:trPr>
          <w:tblHeader/>
        </w:trPr>
        <w:tc>
          <w:tcPr>
            <w:tcW w:w="2439" w:type="dxa"/>
            <w:tcBorders>
              <w:top w:val="single" w:sz="4" w:space="0" w:color="auto"/>
              <w:left w:val="single" w:sz="4" w:space="0" w:color="auto"/>
              <w:bottom w:val="single" w:sz="4" w:space="0" w:color="auto"/>
              <w:right w:val="single" w:sz="4" w:space="0" w:color="auto"/>
            </w:tcBorders>
            <w:vAlign w:val="center"/>
            <w:hideMark/>
          </w:tcPr>
          <w:p w:rsidR="00C94255" w:rsidRPr="00C94255" w:rsidRDefault="00C94255" w:rsidP="00F83080">
            <w:pPr>
              <w:widowControl w:val="0"/>
              <w:jc w:val="left"/>
              <w:rPr>
                <w:rFonts w:eastAsia="MS Mincho"/>
                <w:b/>
                <w:bCs/>
                <w:sz w:val="21"/>
                <w:szCs w:val="21"/>
                <w:lang w:val="en-US" w:eastAsia="ja-JP"/>
              </w:rPr>
            </w:pPr>
            <w:r w:rsidRPr="00C94255">
              <w:rPr>
                <w:rFonts w:eastAsia="MS Mincho"/>
                <w:b/>
                <w:bCs/>
                <w:sz w:val="21"/>
                <w:szCs w:val="21"/>
                <w:lang w:eastAsia="ja-JP"/>
              </w:rPr>
              <w:t>Agency</w:t>
            </w:r>
          </w:p>
        </w:tc>
        <w:tc>
          <w:tcPr>
            <w:tcW w:w="2342" w:type="dxa"/>
            <w:gridSpan w:val="2"/>
            <w:tcBorders>
              <w:top w:val="single" w:sz="4" w:space="0" w:color="auto"/>
              <w:left w:val="nil"/>
              <w:bottom w:val="single" w:sz="4" w:space="0" w:color="auto"/>
              <w:right w:val="single" w:sz="4" w:space="0" w:color="auto"/>
            </w:tcBorders>
            <w:hideMark/>
          </w:tcPr>
          <w:p w:rsidR="00C94255" w:rsidRPr="00C94255" w:rsidRDefault="00C94255" w:rsidP="00C94255">
            <w:pPr>
              <w:keepNext/>
              <w:jc w:val="center"/>
              <w:rPr>
                <w:rFonts w:eastAsia="MS Mincho"/>
                <w:b/>
                <w:bCs/>
                <w:sz w:val="21"/>
                <w:szCs w:val="21"/>
                <w:lang w:val="en-US" w:eastAsia="ja-JP"/>
              </w:rPr>
            </w:pPr>
            <w:r w:rsidRPr="00C94255">
              <w:rPr>
                <w:rFonts w:eastAsia="MS Mincho"/>
                <w:b/>
                <w:bCs/>
                <w:sz w:val="21"/>
                <w:szCs w:val="21"/>
                <w:lang w:eastAsia="ja-JP"/>
              </w:rPr>
              <w:t>Provisional</w:t>
            </w:r>
          </w:p>
        </w:tc>
        <w:tc>
          <w:tcPr>
            <w:tcW w:w="2346" w:type="dxa"/>
            <w:gridSpan w:val="2"/>
            <w:tcBorders>
              <w:top w:val="single" w:sz="4" w:space="0" w:color="auto"/>
              <w:left w:val="nil"/>
              <w:bottom w:val="single" w:sz="4" w:space="0" w:color="auto"/>
              <w:right w:val="single" w:sz="4" w:space="0" w:color="auto"/>
            </w:tcBorders>
            <w:hideMark/>
          </w:tcPr>
          <w:p w:rsidR="00C94255" w:rsidRPr="00C94255" w:rsidRDefault="00C94255" w:rsidP="00C94255">
            <w:pPr>
              <w:keepNext/>
              <w:jc w:val="center"/>
              <w:rPr>
                <w:rFonts w:eastAsia="MS Mincho"/>
                <w:b/>
                <w:bCs/>
                <w:sz w:val="21"/>
                <w:szCs w:val="21"/>
                <w:lang w:val="en-US" w:eastAsia="ja-JP"/>
              </w:rPr>
            </w:pPr>
            <w:r w:rsidRPr="00C94255">
              <w:rPr>
                <w:rFonts w:eastAsia="MS Mincho"/>
                <w:b/>
                <w:bCs/>
                <w:sz w:val="21"/>
                <w:szCs w:val="21"/>
                <w:lang w:eastAsia="ja-JP"/>
              </w:rPr>
              <w:t>Final</w:t>
            </w:r>
          </w:p>
        </w:tc>
        <w:tc>
          <w:tcPr>
            <w:tcW w:w="2229" w:type="dxa"/>
            <w:tcBorders>
              <w:top w:val="single" w:sz="4" w:space="0" w:color="auto"/>
              <w:left w:val="nil"/>
              <w:bottom w:val="single" w:sz="4" w:space="0" w:color="auto"/>
              <w:right w:val="single" w:sz="4" w:space="0" w:color="auto"/>
            </w:tcBorders>
            <w:hideMark/>
          </w:tcPr>
          <w:p w:rsidR="00C94255" w:rsidRPr="00C94255" w:rsidRDefault="00C94255" w:rsidP="00C94255">
            <w:pPr>
              <w:keepNext/>
              <w:jc w:val="center"/>
              <w:rPr>
                <w:rFonts w:eastAsia="MS Mincho"/>
                <w:b/>
                <w:bCs/>
                <w:sz w:val="21"/>
                <w:szCs w:val="21"/>
                <w:lang w:val="en-US" w:eastAsia="ja-JP"/>
              </w:rPr>
            </w:pPr>
            <w:r w:rsidRPr="00C94255">
              <w:rPr>
                <w:rFonts w:eastAsia="MS Mincho"/>
                <w:b/>
                <w:bCs/>
                <w:sz w:val="21"/>
                <w:szCs w:val="21"/>
                <w:lang w:eastAsia="ja-JP"/>
              </w:rPr>
              <w:t>Difference</w:t>
            </w:r>
          </w:p>
        </w:tc>
      </w:tr>
      <w:tr w:rsidR="00C94255" w:rsidRPr="00C94255" w:rsidTr="002F0ACF">
        <w:tc>
          <w:tcPr>
            <w:tcW w:w="9356" w:type="dxa"/>
            <w:gridSpan w:val="6"/>
            <w:tcBorders>
              <w:top w:val="nil"/>
              <w:left w:val="single" w:sz="4" w:space="0" w:color="auto"/>
              <w:bottom w:val="single" w:sz="4" w:space="0" w:color="auto"/>
              <w:right w:val="single" w:sz="4" w:space="0" w:color="auto"/>
            </w:tcBorders>
            <w:vAlign w:val="center"/>
          </w:tcPr>
          <w:p w:rsidR="00C94255" w:rsidRPr="00C94255" w:rsidRDefault="00C94255" w:rsidP="00C94255">
            <w:pPr>
              <w:jc w:val="left"/>
              <w:rPr>
                <w:b/>
                <w:sz w:val="21"/>
                <w:szCs w:val="21"/>
              </w:rPr>
            </w:pPr>
            <w:r w:rsidRPr="00C94255">
              <w:rPr>
                <w:rFonts w:eastAsia="MS Mincho"/>
                <w:b/>
                <w:sz w:val="21"/>
                <w:szCs w:val="21"/>
                <w:lang w:eastAsia="ja-JP"/>
              </w:rPr>
              <w:t>Revenue</w:t>
            </w:r>
          </w:p>
        </w:tc>
      </w:tr>
      <w:tr w:rsidR="00C94255" w:rsidRPr="00C94255" w:rsidTr="002F0ACF">
        <w:tc>
          <w:tcPr>
            <w:tcW w:w="2439" w:type="dxa"/>
            <w:tcBorders>
              <w:top w:val="nil"/>
              <w:left w:val="single" w:sz="4" w:space="0" w:color="auto"/>
              <w:bottom w:val="single" w:sz="4" w:space="0" w:color="auto"/>
              <w:right w:val="single" w:sz="4" w:space="0" w:color="auto"/>
            </w:tcBorders>
            <w:vAlign w:val="center"/>
            <w:hideMark/>
          </w:tcPr>
          <w:p w:rsidR="00C94255" w:rsidRPr="00C94255" w:rsidRDefault="00C94255" w:rsidP="00C94255">
            <w:pPr>
              <w:widowControl w:val="0"/>
              <w:jc w:val="left"/>
              <w:rPr>
                <w:rFonts w:eastAsia="MS Mincho"/>
                <w:sz w:val="21"/>
                <w:szCs w:val="21"/>
                <w:lang w:val="en-US" w:eastAsia="ja-JP"/>
              </w:rPr>
            </w:pPr>
            <w:r w:rsidRPr="00C94255">
              <w:rPr>
                <w:rFonts w:eastAsia="MS Mincho"/>
                <w:sz w:val="21"/>
                <w:szCs w:val="21"/>
                <w:lang w:eastAsia="ja-JP"/>
              </w:rPr>
              <w:t>UNDP</w:t>
            </w:r>
          </w:p>
        </w:tc>
        <w:tc>
          <w:tcPr>
            <w:tcW w:w="2342" w:type="dxa"/>
            <w:gridSpan w:val="2"/>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907,188,989</w:t>
            </w:r>
          </w:p>
        </w:tc>
        <w:tc>
          <w:tcPr>
            <w:tcW w:w="2346" w:type="dxa"/>
            <w:gridSpan w:val="2"/>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939,609,957</w:t>
            </w:r>
          </w:p>
        </w:tc>
        <w:tc>
          <w:tcPr>
            <w:tcW w:w="2229" w:type="dxa"/>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32,420,968</w:t>
            </w:r>
          </w:p>
        </w:tc>
      </w:tr>
      <w:tr w:rsidR="00C94255" w:rsidRPr="00C94255" w:rsidTr="002F0ACF">
        <w:tc>
          <w:tcPr>
            <w:tcW w:w="2439" w:type="dxa"/>
            <w:tcBorders>
              <w:top w:val="nil"/>
              <w:left w:val="single" w:sz="4" w:space="0" w:color="auto"/>
              <w:bottom w:val="single" w:sz="4" w:space="0" w:color="auto"/>
              <w:right w:val="single" w:sz="4" w:space="0" w:color="auto"/>
            </w:tcBorders>
            <w:vAlign w:val="center"/>
            <w:hideMark/>
          </w:tcPr>
          <w:p w:rsidR="00C94255" w:rsidRPr="00C94255" w:rsidRDefault="00C94255" w:rsidP="00C94255">
            <w:pPr>
              <w:widowControl w:val="0"/>
              <w:jc w:val="left"/>
              <w:rPr>
                <w:rFonts w:eastAsia="MS Mincho"/>
                <w:sz w:val="21"/>
                <w:szCs w:val="21"/>
                <w:lang w:val="en-US" w:eastAsia="ja-JP"/>
              </w:rPr>
            </w:pPr>
            <w:r w:rsidRPr="00C94255">
              <w:rPr>
                <w:rFonts w:eastAsia="MS Mincho"/>
                <w:sz w:val="21"/>
                <w:szCs w:val="21"/>
                <w:lang w:eastAsia="ja-JP"/>
              </w:rPr>
              <w:t>UNEP</w:t>
            </w:r>
          </w:p>
        </w:tc>
        <w:tc>
          <w:tcPr>
            <w:tcW w:w="2342" w:type="dxa"/>
            <w:gridSpan w:val="2"/>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351,124,435</w:t>
            </w:r>
          </w:p>
        </w:tc>
        <w:tc>
          <w:tcPr>
            <w:tcW w:w="2346" w:type="dxa"/>
            <w:gridSpan w:val="2"/>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351,434,682</w:t>
            </w:r>
          </w:p>
        </w:tc>
        <w:tc>
          <w:tcPr>
            <w:tcW w:w="2229" w:type="dxa"/>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310,247</w:t>
            </w:r>
          </w:p>
        </w:tc>
      </w:tr>
      <w:tr w:rsidR="00C94255" w:rsidRPr="00C94255" w:rsidTr="002F0ACF">
        <w:tc>
          <w:tcPr>
            <w:tcW w:w="2439" w:type="dxa"/>
            <w:tcBorders>
              <w:top w:val="single" w:sz="4" w:space="0" w:color="auto"/>
              <w:left w:val="single" w:sz="4" w:space="0" w:color="auto"/>
              <w:bottom w:val="single" w:sz="4" w:space="0" w:color="auto"/>
              <w:right w:val="single" w:sz="4" w:space="0" w:color="auto"/>
            </w:tcBorders>
            <w:vAlign w:val="center"/>
            <w:hideMark/>
          </w:tcPr>
          <w:p w:rsidR="00C94255" w:rsidRPr="00C94255" w:rsidRDefault="00C94255" w:rsidP="00C94255">
            <w:pPr>
              <w:jc w:val="left"/>
              <w:rPr>
                <w:rFonts w:eastAsia="MS Mincho"/>
                <w:sz w:val="21"/>
                <w:szCs w:val="21"/>
                <w:lang w:val="en-US" w:eastAsia="ja-JP"/>
              </w:rPr>
            </w:pPr>
            <w:r w:rsidRPr="00C94255">
              <w:rPr>
                <w:rFonts w:eastAsia="MS Mincho"/>
                <w:sz w:val="21"/>
                <w:szCs w:val="21"/>
                <w:lang w:eastAsia="ja-JP"/>
              </w:rPr>
              <w:t>UNIDO</w:t>
            </w:r>
          </w:p>
        </w:tc>
        <w:tc>
          <w:tcPr>
            <w:tcW w:w="2342" w:type="dxa"/>
            <w:gridSpan w:val="2"/>
            <w:tcBorders>
              <w:top w:val="single" w:sz="4" w:space="0" w:color="auto"/>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934,192,374</w:t>
            </w:r>
          </w:p>
        </w:tc>
        <w:tc>
          <w:tcPr>
            <w:tcW w:w="2346" w:type="dxa"/>
            <w:gridSpan w:val="2"/>
            <w:tcBorders>
              <w:top w:val="single" w:sz="4" w:space="0" w:color="auto"/>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934,192,374</w:t>
            </w:r>
          </w:p>
        </w:tc>
        <w:tc>
          <w:tcPr>
            <w:tcW w:w="2229" w:type="dxa"/>
            <w:tcBorders>
              <w:top w:val="single" w:sz="4" w:space="0" w:color="auto"/>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p>
        </w:tc>
      </w:tr>
      <w:tr w:rsidR="00C94255" w:rsidRPr="00C94255" w:rsidTr="002F0ACF">
        <w:tc>
          <w:tcPr>
            <w:tcW w:w="2439" w:type="dxa"/>
            <w:tcBorders>
              <w:top w:val="nil"/>
              <w:left w:val="single" w:sz="4" w:space="0" w:color="auto"/>
              <w:bottom w:val="single" w:sz="4" w:space="0" w:color="auto"/>
              <w:right w:val="single" w:sz="4" w:space="0" w:color="auto"/>
            </w:tcBorders>
            <w:vAlign w:val="center"/>
            <w:hideMark/>
          </w:tcPr>
          <w:p w:rsidR="00C94255" w:rsidRPr="00C94255" w:rsidRDefault="00C94255" w:rsidP="00C94255">
            <w:pPr>
              <w:jc w:val="left"/>
              <w:rPr>
                <w:rFonts w:eastAsia="MS Mincho"/>
                <w:sz w:val="21"/>
                <w:szCs w:val="21"/>
                <w:lang w:val="en-US" w:eastAsia="ja-JP"/>
              </w:rPr>
            </w:pPr>
            <w:r w:rsidRPr="00C94255">
              <w:rPr>
                <w:rFonts w:eastAsia="MS Mincho"/>
                <w:sz w:val="21"/>
                <w:szCs w:val="21"/>
                <w:lang w:eastAsia="ja-JP"/>
              </w:rPr>
              <w:t>World Bank</w:t>
            </w:r>
          </w:p>
        </w:tc>
        <w:tc>
          <w:tcPr>
            <w:tcW w:w="2342" w:type="dxa"/>
            <w:gridSpan w:val="2"/>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1,291,222,683</w:t>
            </w:r>
          </w:p>
        </w:tc>
        <w:tc>
          <w:tcPr>
            <w:tcW w:w="2346" w:type="dxa"/>
            <w:gridSpan w:val="2"/>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1,291,222,683</w:t>
            </w:r>
          </w:p>
        </w:tc>
        <w:tc>
          <w:tcPr>
            <w:tcW w:w="2229" w:type="dxa"/>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p>
        </w:tc>
      </w:tr>
      <w:tr w:rsidR="00C94255" w:rsidRPr="00C94255" w:rsidTr="002F0ACF">
        <w:tc>
          <w:tcPr>
            <w:tcW w:w="9356" w:type="dxa"/>
            <w:gridSpan w:val="6"/>
            <w:tcBorders>
              <w:top w:val="nil"/>
              <w:left w:val="single" w:sz="4" w:space="0" w:color="auto"/>
              <w:bottom w:val="single" w:sz="4" w:space="0" w:color="auto"/>
              <w:right w:val="single" w:sz="4" w:space="0" w:color="auto"/>
            </w:tcBorders>
          </w:tcPr>
          <w:p w:rsidR="00C94255" w:rsidRPr="00C94255" w:rsidRDefault="00C94255" w:rsidP="00C94255">
            <w:pPr>
              <w:jc w:val="left"/>
              <w:rPr>
                <w:sz w:val="21"/>
                <w:szCs w:val="21"/>
              </w:rPr>
            </w:pPr>
            <w:r w:rsidRPr="00C94255">
              <w:rPr>
                <w:rFonts w:eastAsia="MS Mincho"/>
                <w:b/>
                <w:sz w:val="21"/>
                <w:szCs w:val="21"/>
                <w:lang w:eastAsia="ja-JP"/>
              </w:rPr>
              <w:t>Expenses</w:t>
            </w:r>
          </w:p>
        </w:tc>
      </w:tr>
      <w:tr w:rsidR="00C94255" w:rsidRPr="00C94255" w:rsidTr="002F0ACF">
        <w:tc>
          <w:tcPr>
            <w:tcW w:w="2451" w:type="dxa"/>
            <w:gridSpan w:val="2"/>
            <w:tcBorders>
              <w:top w:val="nil"/>
              <w:left w:val="single" w:sz="4" w:space="0" w:color="auto"/>
              <w:bottom w:val="single" w:sz="4" w:space="0" w:color="auto"/>
              <w:right w:val="single" w:sz="4" w:space="0" w:color="auto"/>
            </w:tcBorders>
            <w:vAlign w:val="bottom"/>
            <w:hideMark/>
          </w:tcPr>
          <w:p w:rsidR="00C94255" w:rsidRPr="00C94255" w:rsidRDefault="00C94255" w:rsidP="00C94255">
            <w:pPr>
              <w:jc w:val="left"/>
              <w:rPr>
                <w:rFonts w:eastAsia="MS Mincho"/>
                <w:sz w:val="21"/>
                <w:szCs w:val="21"/>
                <w:lang w:val="en-US" w:eastAsia="ja-JP"/>
              </w:rPr>
            </w:pPr>
            <w:r w:rsidRPr="00C94255">
              <w:rPr>
                <w:rFonts w:eastAsia="MS Mincho"/>
                <w:sz w:val="21"/>
                <w:szCs w:val="21"/>
                <w:lang w:eastAsia="ja-JP"/>
              </w:rPr>
              <w:t>UNDP</w:t>
            </w:r>
          </w:p>
        </w:tc>
        <w:tc>
          <w:tcPr>
            <w:tcW w:w="2338" w:type="dxa"/>
            <w:gridSpan w:val="2"/>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846,848,840</w:t>
            </w:r>
          </w:p>
        </w:tc>
        <w:tc>
          <w:tcPr>
            <w:tcW w:w="2338" w:type="dxa"/>
            <w:tcBorders>
              <w:top w:val="nil"/>
              <w:left w:val="nil"/>
              <w:bottom w:val="single" w:sz="4" w:space="0" w:color="auto"/>
              <w:right w:val="single" w:sz="4" w:space="0" w:color="auto"/>
            </w:tcBorders>
            <w:vAlign w:val="center"/>
          </w:tcPr>
          <w:p w:rsidR="00C94255" w:rsidRPr="00C94255" w:rsidRDefault="00C94255" w:rsidP="00A43AE2">
            <w:pPr>
              <w:jc w:val="right"/>
              <w:rPr>
                <w:sz w:val="21"/>
                <w:szCs w:val="21"/>
                <w:highlight w:val="yellow"/>
              </w:rPr>
            </w:pPr>
            <w:r w:rsidRPr="00C94255">
              <w:rPr>
                <w:sz w:val="21"/>
                <w:szCs w:val="21"/>
              </w:rPr>
              <w:t>849,819,008</w:t>
            </w:r>
          </w:p>
        </w:tc>
        <w:tc>
          <w:tcPr>
            <w:tcW w:w="2229" w:type="dxa"/>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2,970,168</w:t>
            </w:r>
          </w:p>
        </w:tc>
      </w:tr>
      <w:tr w:rsidR="00C94255" w:rsidRPr="00C94255" w:rsidTr="002F0ACF">
        <w:tc>
          <w:tcPr>
            <w:tcW w:w="2451" w:type="dxa"/>
            <w:gridSpan w:val="2"/>
            <w:tcBorders>
              <w:top w:val="nil"/>
              <w:left w:val="single" w:sz="4" w:space="0" w:color="auto"/>
              <w:bottom w:val="single" w:sz="4" w:space="0" w:color="auto"/>
              <w:right w:val="single" w:sz="4" w:space="0" w:color="auto"/>
            </w:tcBorders>
            <w:vAlign w:val="bottom"/>
            <w:hideMark/>
          </w:tcPr>
          <w:p w:rsidR="00C94255" w:rsidRPr="00C94255" w:rsidRDefault="00C94255" w:rsidP="00C94255">
            <w:pPr>
              <w:jc w:val="left"/>
              <w:rPr>
                <w:rFonts w:eastAsia="MS Mincho"/>
                <w:sz w:val="21"/>
                <w:szCs w:val="21"/>
                <w:lang w:val="en-US" w:eastAsia="ja-JP"/>
              </w:rPr>
            </w:pPr>
            <w:r w:rsidRPr="00C94255">
              <w:rPr>
                <w:rFonts w:eastAsia="MS Mincho"/>
                <w:sz w:val="21"/>
                <w:szCs w:val="21"/>
                <w:lang w:eastAsia="ja-JP"/>
              </w:rPr>
              <w:t>UNEP</w:t>
            </w:r>
          </w:p>
        </w:tc>
        <w:tc>
          <w:tcPr>
            <w:tcW w:w="2338" w:type="dxa"/>
            <w:gridSpan w:val="2"/>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291,320,463</w:t>
            </w:r>
          </w:p>
        </w:tc>
        <w:tc>
          <w:tcPr>
            <w:tcW w:w="2338" w:type="dxa"/>
            <w:tcBorders>
              <w:top w:val="nil"/>
              <w:left w:val="nil"/>
              <w:bottom w:val="single" w:sz="4" w:space="0" w:color="auto"/>
              <w:right w:val="single" w:sz="4" w:space="0" w:color="auto"/>
            </w:tcBorders>
            <w:vAlign w:val="center"/>
          </w:tcPr>
          <w:p w:rsidR="00C94255" w:rsidRPr="00C94255" w:rsidRDefault="00C94255" w:rsidP="00A43AE2">
            <w:pPr>
              <w:jc w:val="right"/>
              <w:rPr>
                <w:sz w:val="21"/>
                <w:szCs w:val="21"/>
                <w:highlight w:val="yellow"/>
              </w:rPr>
            </w:pPr>
            <w:r w:rsidRPr="00C94255">
              <w:rPr>
                <w:sz w:val="21"/>
                <w:szCs w:val="21"/>
              </w:rPr>
              <w:t>292,878,761</w:t>
            </w:r>
          </w:p>
        </w:tc>
        <w:tc>
          <w:tcPr>
            <w:tcW w:w="2229" w:type="dxa"/>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1,558,298</w:t>
            </w:r>
          </w:p>
        </w:tc>
      </w:tr>
      <w:tr w:rsidR="00C94255" w:rsidRPr="00C94255" w:rsidTr="002F0ACF">
        <w:tc>
          <w:tcPr>
            <w:tcW w:w="2451" w:type="dxa"/>
            <w:gridSpan w:val="2"/>
            <w:tcBorders>
              <w:top w:val="nil"/>
              <w:left w:val="single" w:sz="4" w:space="0" w:color="auto"/>
              <w:bottom w:val="single" w:sz="4" w:space="0" w:color="auto"/>
              <w:right w:val="single" w:sz="4" w:space="0" w:color="auto"/>
            </w:tcBorders>
            <w:vAlign w:val="bottom"/>
            <w:hideMark/>
          </w:tcPr>
          <w:p w:rsidR="00C94255" w:rsidRPr="00C94255" w:rsidRDefault="00C94255" w:rsidP="00C94255">
            <w:pPr>
              <w:jc w:val="left"/>
              <w:rPr>
                <w:rFonts w:eastAsia="MS Mincho"/>
                <w:sz w:val="21"/>
                <w:szCs w:val="21"/>
                <w:lang w:val="en-US" w:eastAsia="ja-JP"/>
              </w:rPr>
            </w:pPr>
            <w:r w:rsidRPr="00C94255">
              <w:rPr>
                <w:rFonts w:eastAsia="MS Mincho"/>
                <w:sz w:val="21"/>
                <w:szCs w:val="21"/>
                <w:lang w:eastAsia="ja-JP"/>
              </w:rPr>
              <w:t>UNIDO</w:t>
            </w:r>
          </w:p>
        </w:tc>
        <w:tc>
          <w:tcPr>
            <w:tcW w:w="2338" w:type="dxa"/>
            <w:gridSpan w:val="2"/>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811,470,932</w:t>
            </w:r>
          </w:p>
        </w:tc>
        <w:tc>
          <w:tcPr>
            <w:tcW w:w="2338" w:type="dxa"/>
            <w:tcBorders>
              <w:top w:val="nil"/>
              <w:left w:val="nil"/>
              <w:bottom w:val="single" w:sz="4" w:space="0" w:color="auto"/>
              <w:right w:val="single" w:sz="4" w:space="0" w:color="auto"/>
            </w:tcBorders>
            <w:vAlign w:val="center"/>
          </w:tcPr>
          <w:p w:rsidR="00C94255" w:rsidRPr="00C94255" w:rsidRDefault="00C94255" w:rsidP="00A43AE2">
            <w:pPr>
              <w:jc w:val="right"/>
              <w:rPr>
                <w:sz w:val="21"/>
                <w:szCs w:val="21"/>
                <w:highlight w:val="yellow"/>
              </w:rPr>
            </w:pPr>
            <w:r w:rsidRPr="00C94255">
              <w:rPr>
                <w:sz w:val="21"/>
                <w:szCs w:val="21"/>
              </w:rPr>
              <w:t>810,485,357</w:t>
            </w:r>
          </w:p>
        </w:tc>
        <w:tc>
          <w:tcPr>
            <w:tcW w:w="2229" w:type="dxa"/>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(985,575)</w:t>
            </w:r>
          </w:p>
        </w:tc>
      </w:tr>
      <w:tr w:rsidR="00C94255" w:rsidRPr="00C94255" w:rsidTr="002F0ACF">
        <w:tc>
          <w:tcPr>
            <w:tcW w:w="2451" w:type="dxa"/>
            <w:gridSpan w:val="2"/>
            <w:tcBorders>
              <w:top w:val="nil"/>
              <w:left w:val="single" w:sz="4" w:space="0" w:color="auto"/>
              <w:bottom w:val="single" w:sz="4" w:space="0" w:color="auto"/>
              <w:right w:val="single" w:sz="4" w:space="0" w:color="auto"/>
            </w:tcBorders>
            <w:vAlign w:val="bottom"/>
          </w:tcPr>
          <w:p w:rsidR="00C94255" w:rsidRPr="00C94255" w:rsidRDefault="00C94255" w:rsidP="00C94255">
            <w:pPr>
              <w:jc w:val="left"/>
              <w:rPr>
                <w:rFonts w:eastAsia="MS Mincho"/>
                <w:sz w:val="21"/>
                <w:szCs w:val="21"/>
                <w:lang w:val="en-US" w:eastAsia="ja-JP"/>
              </w:rPr>
            </w:pPr>
            <w:r w:rsidRPr="00C94255">
              <w:rPr>
                <w:rFonts w:eastAsia="MS Mincho"/>
                <w:sz w:val="21"/>
                <w:szCs w:val="21"/>
                <w:lang w:eastAsia="ja-JP"/>
              </w:rPr>
              <w:t>World Bank</w:t>
            </w:r>
          </w:p>
        </w:tc>
        <w:tc>
          <w:tcPr>
            <w:tcW w:w="2338" w:type="dxa"/>
            <w:gridSpan w:val="2"/>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r w:rsidRPr="00C94255">
              <w:rPr>
                <w:sz w:val="21"/>
                <w:szCs w:val="21"/>
              </w:rPr>
              <w:t>1,237,741,650</w:t>
            </w:r>
          </w:p>
        </w:tc>
        <w:tc>
          <w:tcPr>
            <w:tcW w:w="2338" w:type="dxa"/>
            <w:tcBorders>
              <w:top w:val="nil"/>
              <w:left w:val="nil"/>
              <w:bottom w:val="single" w:sz="4" w:space="0" w:color="auto"/>
              <w:right w:val="single" w:sz="4" w:space="0" w:color="auto"/>
            </w:tcBorders>
            <w:vAlign w:val="center"/>
          </w:tcPr>
          <w:p w:rsidR="00C94255" w:rsidRPr="00C94255" w:rsidRDefault="00C94255" w:rsidP="00A43AE2">
            <w:pPr>
              <w:jc w:val="right"/>
              <w:rPr>
                <w:sz w:val="21"/>
                <w:szCs w:val="21"/>
                <w:highlight w:val="yellow"/>
              </w:rPr>
            </w:pPr>
            <w:r w:rsidRPr="00C94255">
              <w:rPr>
                <w:sz w:val="21"/>
                <w:szCs w:val="21"/>
              </w:rPr>
              <w:t>1,237,741,650</w:t>
            </w:r>
          </w:p>
        </w:tc>
        <w:tc>
          <w:tcPr>
            <w:tcW w:w="2229" w:type="dxa"/>
            <w:tcBorders>
              <w:top w:val="nil"/>
              <w:left w:val="nil"/>
              <w:bottom w:val="single" w:sz="4" w:space="0" w:color="auto"/>
              <w:right w:val="single" w:sz="4" w:space="0" w:color="auto"/>
            </w:tcBorders>
            <w:vAlign w:val="center"/>
          </w:tcPr>
          <w:p w:rsidR="00C94255" w:rsidRPr="00C94255" w:rsidRDefault="00C94255" w:rsidP="00C94255">
            <w:pPr>
              <w:jc w:val="right"/>
              <w:rPr>
                <w:sz w:val="21"/>
                <w:szCs w:val="21"/>
                <w:highlight w:val="yellow"/>
              </w:rPr>
            </w:pPr>
          </w:p>
        </w:tc>
      </w:tr>
    </w:tbl>
    <w:p w:rsidR="00C94255" w:rsidRDefault="00C94255" w:rsidP="00C94255">
      <w:pPr>
        <w:rPr>
          <w:b/>
        </w:rPr>
      </w:pPr>
    </w:p>
    <w:p w:rsidR="00C94255" w:rsidRPr="00C94255" w:rsidRDefault="00C94255" w:rsidP="0036484D">
      <w:pPr>
        <w:rPr>
          <w:b/>
          <w:u w:val="single"/>
        </w:rPr>
      </w:pPr>
      <w:r w:rsidRPr="00C94255">
        <w:rPr>
          <w:b/>
        </w:rPr>
        <w:t xml:space="preserve">Report of the </w:t>
      </w:r>
      <w:r w:rsidR="0036484D">
        <w:rPr>
          <w:b/>
        </w:rPr>
        <w:t>United Nations Board of Auditors (</w:t>
      </w:r>
      <w:proofErr w:type="spellStart"/>
      <w:r w:rsidRPr="00C94255">
        <w:rPr>
          <w:b/>
        </w:rPr>
        <w:t>UNBoA</w:t>
      </w:r>
      <w:proofErr w:type="spellEnd"/>
      <w:r w:rsidR="0036484D">
        <w:rPr>
          <w:b/>
        </w:rPr>
        <w:t>)</w:t>
      </w:r>
      <w:r w:rsidRPr="00C94255">
        <w:rPr>
          <w:b/>
        </w:rPr>
        <w:t xml:space="preserve"> on the finan</w:t>
      </w:r>
      <w:r w:rsidR="003A3945">
        <w:rPr>
          <w:b/>
        </w:rPr>
        <w:t xml:space="preserve">cial statements of the Fund for </w:t>
      </w:r>
      <w:r w:rsidRPr="00C94255">
        <w:rPr>
          <w:b/>
        </w:rPr>
        <w:t>the year ended 31 December 2018</w:t>
      </w:r>
    </w:p>
    <w:p w:rsidR="00C94255" w:rsidRPr="00C94255" w:rsidRDefault="00C94255" w:rsidP="00C94255">
      <w:pPr>
        <w:jc w:val="left"/>
        <w:rPr>
          <w:u w:val="single"/>
        </w:rPr>
      </w:pPr>
    </w:p>
    <w:p w:rsidR="00F83080" w:rsidRPr="00F83080" w:rsidRDefault="00C94255" w:rsidP="00F83080">
      <w:pPr>
        <w:pStyle w:val="Heading1"/>
        <w:rPr>
          <w:szCs w:val="16"/>
        </w:rPr>
      </w:pPr>
      <w:r w:rsidRPr="00C94255">
        <w:rPr>
          <w:lang w:val="en-CA"/>
        </w:rPr>
        <w:t xml:space="preserve"> The report of the </w:t>
      </w:r>
      <w:proofErr w:type="spellStart"/>
      <w:r w:rsidRPr="00C94255">
        <w:rPr>
          <w:lang w:val="en-CA"/>
        </w:rPr>
        <w:t>UNBoA</w:t>
      </w:r>
      <w:proofErr w:type="spellEnd"/>
      <w:r w:rsidRPr="00C94255">
        <w:rPr>
          <w:lang w:val="en-CA"/>
        </w:rPr>
        <w:t xml:space="preserve"> on the accounts of the Fund for the year ended 31 December 2018 (A/74/5/Add.7)</w:t>
      </w:r>
      <w:r w:rsidR="00A43AE2">
        <w:rPr>
          <w:lang w:val="en-CA"/>
        </w:rPr>
        <w:t>.</w:t>
      </w:r>
      <w:r w:rsidR="00A43AE2">
        <w:rPr>
          <w:rStyle w:val="FootnoteReference"/>
          <w:lang w:val="en-CA"/>
        </w:rPr>
        <w:footnoteReference w:id="3"/>
      </w:r>
      <w:r w:rsidRPr="00C94255">
        <w:rPr>
          <w:lang w:val="en-CA"/>
        </w:rPr>
        <w:t xml:space="preserve"> </w:t>
      </w:r>
      <w:r w:rsidRPr="00C94255">
        <w:t>has been finalised and submitted to the UNEP Executive Director. The report included a section on the MLF financial statements</w:t>
      </w:r>
      <w:r w:rsidR="003A3945">
        <w:rPr>
          <w:iCs/>
          <w:lang w:val="en-CA"/>
        </w:rPr>
        <w:t>. The UNEP a</w:t>
      </w:r>
      <w:r w:rsidRPr="00C94255">
        <w:rPr>
          <w:iCs/>
          <w:lang w:val="en-CA"/>
        </w:rPr>
        <w:t>udit report is unqualified and none of the audit observations pertain</w:t>
      </w:r>
      <w:r w:rsidR="003A3945">
        <w:rPr>
          <w:iCs/>
          <w:lang w:val="en-CA"/>
        </w:rPr>
        <w:t xml:space="preserve"> to the Multilateral F</w:t>
      </w:r>
      <w:r w:rsidRPr="00C94255">
        <w:rPr>
          <w:iCs/>
          <w:lang w:val="en-CA"/>
        </w:rPr>
        <w:t xml:space="preserve">und. </w:t>
      </w:r>
    </w:p>
    <w:p w:rsidR="00C94255" w:rsidRPr="00C94255" w:rsidRDefault="00C94255" w:rsidP="00F83080">
      <w:pPr>
        <w:keepNext/>
        <w:tabs>
          <w:tab w:val="left" w:pos="0"/>
        </w:tabs>
      </w:pPr>
      <w:r w:rsidRPr="00C94255">
        <w:rPr>
          <w:b/>
          <w:bCs/>
        </w:rPr>
        <w:t>Recommendation</w:t>
      </w:r>
    </w:p>
    <w:p w:rsidR="00C94255" w:rsidRPr="00C94255" w:rsidRDefault="00C94255" w:rsidP="00F83080">
      <w:pPr>
        <w:keepNext/>
        <w:ind w:left="720"/>
        <w:rPr>
          <w:highlight w:val="yellow"/>
        </w:rPr>
      </w:pPr>
    </w:p>
    <w:p w:rsidR="00C94255" w:rsidRPr="00C94255" w:rsidRDefault="00C94255" w:rsidP="00F83080">
      <w:pPr>
        <w:pStyle w:val="Heading1"/>
        <w:keepNext/>
      </w:pPr>
      <w:r w:rsidRPr="00C94255">
        <w:t>The Executive Committee may wish:</w:t>
      </w:r>
    </w:p>
    <w:p w:rsidR="00A171D6" w:rsidRDefault="00A171D6" w:rsidP="003A3945">
      <w:pPr>
        <w:pStyle w:val="Heading6"/>
        <w:ind w:left="1418" w:hanging="709"/>
        <w:rPr>
          <w:rFonts w:ascii="Times New Roman" w:hAnsi="Times New Roman"/>
          <w:i w:val="0"/>
        </w:rPr>
      </w:pPr>
      <w:r w:rsidRPr="003A3945">
        <w:rPr>
          <w:rFonts w:ascii="Times New Roman" w:hAnsi="Times New Roman"/>
          <w:i w:val="0"/>
        </w:rPr>
        <w:t>To note the final audited financial statements of the Mult</w:t>
      </w:r>
      <w:r w:rsidR="00D36830">
        <w:rPr>
          <w:rFonts w:ascii="Times New Roman" w:hAnsi="Times New Roman"/>
          <w:i w:val="0"/>
        </w:rPr>
        <w:t>ilateral Fund as at 31 December </w:t>
      </w:r>
      <w:r w:rsidRPr="003A3945">
        <w:rPr>
          <w:rFonts w:ascii="Times New Roman" w:hAnsi="Times New Roman"/>
          <w:i w:val="0"/>
        </w:rPr>
        <w:t>2018 prepared in accordance with the International Public Sector Accounting Standards,</w:t>
      </w:r>
      <w:r w:rsidR="003A3945" w:rsidRPr="003A3945">
        <w:rPr>
          <w:rFonts w:ascii="Times New Roman" w:hAnsi="Times New Roman"/>
          <w:i w:val="0"/>
        </w:rPr>
        <w:t xml:space="preserve"> and</w:t>
      </w:r>
      <w:r w:rsidRPr="003A3945">
        <w:rPr>
          <w:rFonts w:ascii="Times New Roman" w:hAnsi="Times New Roman"/>
          <w:i w:val="0"/>
        </w:rPr>
        <w:t xml:space="preserve"> the certified statement of income and disbursements of the additional </w:t>
      </w:r>
      <w:r w:rsidRPr="003A3945">
        <w:rPr>
          <w:rFonts w:ascii="Times New Roman" w:hAnsi="Times New Roman"/>
          <w:i w:val="0"/>
        </w:rPr>
        <w:lastRenderedPageBreak/>
        <w:t>contributions for fast-start support for the implementation of HFC phase-down</w:t>
      </w:r>
      <w:r w:rsidR="003A3945" w:rsidRPr="003A3945">
        <w:rPr>
          <w:rFonts w:ascii="Times New Roman" w:hAnsi="Times New Roman"/>
          <w:i w:val="0"/>
        </w:rPr>
        <w:t xml:space="preserve"> pursuant to decision </w:t>
      </w:r>
      <w:r w:rsidR="003A3945" w:rsidRPr="00E17D31">
        <w:rPr>
          <w:rFonts w:ascii="Times New Roman" w:hAnsi="Times New Roman"/>
          <w:i w:val="0"/>
        </w:rPr>
        <w:t>83/</w:t>
      </w:r>
      <w:r w:rsidR="00E17D31" w:rsidRPr="00E17D31">
        <w:rPr>
          <w:rFonts w:ascii="Times New Roman" w:hAnsi="Times New Roman"/>
          <w:i w:val="0"/>
        </w:rPr>
        <w:t>4</w:t>
      </w:r>
      <w:r w:rsidR="00E17D31">
        <w:rPr>
          <w:rFonts w:ascii="Times New Roman" w:hAnsi="Times New Roman"/>
          <w:i w:val="0"/>
        </w:rPr>
        <w:t>(b)</w:t>
      </w:r>
      <w:r w:rsidR="003A3945" w:rsidRPr="003A3945">
        <w:rPr>
          <w:rFonts w:ascii="Times New Roman" w:hAnsi="Times New Roman"/>
          <w:i w:val="0"/>
        </w:rPr>
        <w:t xml:space="preserve"> as contained in document UNEP/</w:t>
      </w:r>
      <w:proofErr w:type="spellStart"/>
      <w:r w:rsidR="003A3945" w:rsidRPr="003A3945">
        <w:rPr>
          <w:rFonts w:ascii="Times New Roman" w:hAnsi="Times New Roman"/>
          <w:i w:val="0"/>
        </w:rPr>
        <w:t>OzL.Pro</w:t>
      </w:r>
      <w:proofErr w:type="spellEnd"/>
      <w:r w:rsidR="003A3945" w:rsidRPr="003A3945">
        <w:rPr>
          <w:rFonts w:ascii="Times New Roman" w:hAnsi="Times New Roman"/>
          <w:i w:val="0"/>
        </w:rPr>
        <w:t>/</w:t>
      </w:r>
      <w:proofErr w:type="spellStart"/>
      <w:r w:rsidR="003A3945" w:rsidRPr="003A3945">
        <w:rPr>
          <w:rFonts w:ascii="Times New Roman" w:hAnsi="Times New Roman"/>
          <w:i w:val="0"/>
        </w:rPr>
        <w:t>ExCom</w:t>
      </w:r>
      <w:proofErr w:type="spellEnd"/>
      <w:r w:rsidR="003A3945" w:rsidRPr="003A3945">
        <w:rPr>
          <w:rFonts w:ascii="Times New Roman" w:hAnsi="Times New Roman"/>
          <w:i w:val="0"/>
        </w:rPr>
        <w:t>/84/6;</w:t>
      </w:r>
      <w:r w:rsidR="003A3945">
        <w:rPr>
          <w:rFonts w:ascii="Times New Roman" w:hAnsi="Times New Roman"/>
          <w:i w:val="0"/>
        </w:rPr>
        <w:t xml:space="preserve"> and</w:t>
      </w:r>
    </w:p>
    <w:p w:rsidR="003A3945" w:rsidRPr="00D36830" w:rsidRDefault="003A3945" w:rsidP="003A3945">
      <w:pPr>
        <w:pStyle w:val="Heading6"/>
        <w:ind w:left="1418" w:hanging="709"/>
        <w:rPr>
          <w:rFonts w:ascii="Times New Roman" w:hAnsi="Times New Roman"/>
          <w:i w:val="0"/>
        </w:rPr>
      </w:pPr>
      <w:r w:rsidRPr="003A3945">
        <w:rPr>
          <w:rFonts w:ascii="Times New Roman" w:hAnsi="Times New Roman"/>
          <w:i w:val="0"/>
        </w:rPr>
        <w:t>To request The Treasurer to record in the 2019 accounts of the Multilateral Fund, the differences between the implementing agencies’ provisional 2018 financial statements and their final 2018 statements as refle</w:t>
      </w:r>
      <w:r>
        <w:rPr>
          <w:rFonts w:ascii="Times New Roman" w:hAnsi="Times New Roman"/>
          <w:i w:val="0"/>
        </w:rPr>
        <w:t>cted in Table 1 of the document </w:t>
      </w:r>
      <w:r w:rsidRPr="003A3945">
        <w:rPr>
          <w:rFonts w:ascii="Times New Roman" w:hAnsi="Times New Roman"/>
          <w:i w:val="0"/>
        </w:rPr>
        <w:t>UNEP/</w:t>
      </w:r>
      <w:proofErr w:type="spellStart"/>
      <w:r w:rsidRPr="003A3945">
        <w:rPr>
          <w:rFonts w:ascii="Times New Roman" w:hAnsi="Times New Roman"/>
          <w:i w:val="0"/>
        </w:rPr>
        <w:t>OzL.Pro</w:t>
      </w:r>
      <w:proofErr w:type="spellEnd"/>
      <w:r w:rsidRPr="003A3945">
        <w:rPr>
          <w:rFonts w:ascii="Times New Roman" w:hAnsi="Times New Roman"/>
          <w:i w:val="0"/>
        </w:rPr>
        <w:t>/</w:t>
      </w:r>
      <w:proofErr w:type="spellStart"/>
      <w:r w:rsidRPr="003A3945">
        <w:rPr>
          <w:rFonts w:ascii="Times New Roman" w:hAnsi="Times New Roman"/>
          <w:i w:val="0"/>
        </w:rPr>
        <w:t>ExCom</w:t>
      </w:r>
      <w:proofErr w:type="spellEnd"/>
      <w:r w:rsidRPr="003A3945">
        <w:rPr>
          <w:rFonts w:ascii="Times New Roman" w:hAnsi="Times New Roman"/>
          <w:i w:val="0"/>
        </w:rPr>
        <w:t>/84/6.</w:t>
      </w:r>
    </w:p>
    <w:p w:rsidR="003A3945" w:rsidRDefault="003A3945" w:rsidP="003A3945"/>
    <w:p w:rsidR="00C94255" w:rsidRPr="00C94255" w:rsidRDefault="00C94255" w:rsidP="00C94255">
      <w:pPr>
        <w:ind w:left="2268"/>
        <w:contextualSpacing/>
      </w:pPr>
    </w:p>
    <w:p w:rsidR="00052C5C" w:rsidRPr="001C3C80" w:rsidRDefault="00052C5C" w:rsidP="001C3C80">
      <w:pPr>
        <w:tabs>
          <w:tab w:val="left" w:pos="8280"/>
        </w:tabs>
      </w:pPr>
    </w:p>
    <w:sectPr w:rsidR="00052C5C" w:rsidRPr="001C3C80"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55" w:rsidRDefault="00C94255" w:rsidP="004A504B">
      <w:r>
        <w:separator/>
      </w:r>
    </w:p>
  </w:endnote>
  <w:endnote w:type="continuationSeparator" w:id="0">
    <w:p w:rsidR="00C94255" w:rsidRDefault="00C9425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380386">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380386">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55" w:rsidRDefault="00C94255" w:rsidP="004A504B">
      <w:r>
        <w:separator/>
      </w:r>
    </w:p>
  </w:footnote>
  <w:footnote w:type="continuationSeparator" w:id="0">
    <w:p w:rsidR="00C94255" w:rsidRDefault="00C94255" w:rsidP="004A504B">
      <w:r>
        <w:continuationSeparator/>
      </w:r>
    </w:p>
  </w:footnote>
  <w:footnote w:id="1">
    <w:p w:rsidR="007D6E60" w:rsidRDefault="007D6E60">
      <w:pPr>
        <w:pStyle w:val="FootnoteText"/>
      </w:pPr>
      <w:r>
        <w:rPr>
          <w:rStyle w:val="FootnoteReference"/>
        </w:rPr>
        <w:footnoteRef/>
      </w:r>
      <w:r>
        <w:t xml:space="preserve"> </w:t>
      </w:r>
      <w:r w:rsidR="00563880">
        <w:t>T</w:t>
      </w:r>
      <w:r w:rsidRPr="009D016D">
        <w:t xml:space="preserve">he Treasurer </w:t>
      </w:r>
      <w:r w:rsidR="00563880">
        <w:t xml:space="preserve">was requested </w:t>
      </w:r>
      <w:r w:rsidRPr="009D016D">
        <w:t>to submit to the 84</w:t>
      </w:r>
      <w:r w:rsidR="00A43AE2" w:rsidRPr="00A43AE2">
        <w:rPr>
          <w:vertAlign w:val="superscript"/>
        </w:rPr>
        <w:t>th</w:t>
      </w:r>
      <w:r w:rsidR="00A43AE2">
        <w:t xml:space="preserve"> </w:t>
      </w:r>
      <w:r w:rsidRPr="009D016D">
        <w:t>meeting, as part of the 2018 accounts of the Multilateral Fund, a certified statement of income and disbursements of the additional contributions for fast-start support for the implementation of HFC phase-down separately</w:t>
      </w:r>
      <w:r>
        <w:t xml:space="preserve"> from the regular contributions to the Multilateral Fund.</w:t>
      </w:r>
    </w:p>
    <w:p w:rsidR="003A0B42" w:rsidRPr="007D6E60" w:rsidRDefault="003A0B42">
      <w:pPr>
        <w:pStyle w:val="FootnoteText"/>
      </w:pPr>
    </w:p>
  </w:footnote>
  <w:footnote w:id="2">
    <w:p w:rsidR="00A43AE2" w:rsidRPr="00D1136A" w:rsidRDefault="00D1136A">
      <w:pPr>
        <w:pStyle w:val="FootnoteText"/>
      </w:pPr>
      <w:r>
        <w:rPr>
          <w:rStyle w:val="FootnoteReference"/>
        </w:rPr>
        <w:footnoteRef/>
      </w:r>
      <w:r>
        <w:t xml:space="preserve"> </w:t>
      </w:r>
      <w:r w:rsidR="0036484D">
        <w:t xml:space="preserve">This issue is discussed in document </w:t>
      </w:r>
      <w:r>
        <w:t>UNEP/</w:t>
      </w:r>
      <w:proofErr w:type="spellStart"/>
      <w:r>
        <w:t>OzL.</w:t>
      </w:r>
      <w:r w:rsidRPr="008D0044">
        <w:t>Pro</w:t>
      </w:r>
      <w:proofErr w:type="spellEnd"/>
      <w:r w:rsidRPr="008D0044">
        <w:t>/</w:t>
      </w:r>
      <w:proofErr w:type="spellStart"/>
      <w:r w:rsidRPr="008D0044">
        <w:t>ExCom</w:t>
      </w:r>
      <w:proofErr w:type="spellEnd"/>
      <w:r w:rsidRPr="008D0044">
        <w:t>/</w:t>
      </w:r>
      <w:r>
        <w:t>84/5</w:t>
      </w:r>
    </w:p>
  </w:footnote>
  <w:footnote w:id="3">
    <w:p w:rsidR="00A43AE2" w:rsidRPr="00A43AE2" w:rsidRDefault="00A43AE2">
      <w:pPr>
        <w:pStyle w:val="FootnoteText"/>
        <w:rPr>
          <w:lang w:val="en-CA"/>
        </w:rPr>
      </w:pPr>
      <w:r>
        <w:rPr>
          <w:rStyle w:val="FootnoteReference"/>
        </w:rPr>
        <w:footnoteRef/>
      </w:r>
      <w:r>
        <w:t xml:space="preserve"> http://undocs.org/en/A/74</w:t>
      </w:r>
      <w:r w:rsidRPr="00867C4D">
        <w:t>/5/Add.7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r>
      <w:fldChar w:fldCharType="begin"/>
    </w:r>
    <w:r>
      <w:instrText xml:space="preserve"> DOCPROPERTY "Document number"  \* MERGEFORMAT </w:instrText>
    </w:r>
    <w:r>
      <w:fldChar w:fldCharType="separate"/>
    </w:r>
    <w:r w:rsidR="00380386">
      <w:t>UNEP/</w:t>
    </w:r>
    <w:proofErr w:type="spellStart"/>
    <w:r w:rsidR="00380386">
      <w:t>OzL.Pro</w:t>
    </w:r>
    <w:proofErr w:type="spellEnd"/>
    <w:r w:rsidR="00380386">
      <w:t>/</w:t>
    </w:r>
    <w:proofErr w:type="spellStart"/>
    <w:r w:rsidR="00380386">
      <w:t>ExCom</w:t>
    </w:r>
    <w:proofErr w:type="spellEnd"/>
    <w:r w:rsidR="00380386">
      <w:t>/84/6</w:t>
    </w:r>
    <w:r>
      <w:fldChar w:fldCharType="end"/>
    </w:r>
  </w:p>
  <w:p w:rsidR="007C227C" w:rsidRPr="0033525D" w:rsidRDefault="007C227C"/>
  <w:p w:rsidR="007C227C" w:rsidRPr="0033525D" w:rsidRDefault="007C22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right"/>
    </w:pPr>
    <w:r>
      <w:fldChar w:fldCharType="begin"/>
    </w:r>
    <w:r>
      <w:instrText xml:space="preserve"> DOCPROPERTY "Document number"  \* MERGEFORMAT </w:instrText>
    </w:r>
    <w:r>
      <w:fldChar w:fldCharType="separate"/>
    </w:r>
    <w:r w:rsidR="00380386">
      <w:t>UNEP/</w:t>
    </w:r>
    <w:proofErr w:type="spellStart"/>
    <w:r w:rsidR="00380386">
      <w:t>OzL.Pro</w:t>
    </w:r>
    <w:proofErr w:type="spellEnd"/>
    <w:r w:rsidR="00380386">
      <w:t>/</w:t>
    </w:r>
    <w:proofErr w:type="spellStart"/>
    <w:r w:rsidR="00380386">
      <w:t>ExCom</w:t>
    </w:r>
    <w:proofErr w:type="spellEnd"/>
    <w:r w:rsidR="00380386">
      <w:t>/84/6</w:t>
    </w:r>
    <w:r>
      <w:fldChar w:fldCharType="end"/>
    </w:r>
  </w:p>
  <w:p w:rsidR="007C227C" w:rsidRDefault="007C227C">
    <w:pPr>
      <w:pStyle w:val="Header"/>
    </w:pPr>
  </w:p>
  <w:p w:rsidR="00C94255" w:rsidRPr="0033525D" w:rsidRDefault="00C942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8420380"/>
    <w:lvl w:ilvl="0">
      <w:start w:val="1"/>
      <w:numFmt w:val="decimal"/>
      <w:pStyle w:val="Heading1"/>
      <w:lvlText w:val="%1."/>
      <w:lvlJc w:val="left"/>
      <w:pPr>
        <w:tabs>
          <w:tab w:val="num" w:pos="0"/>
        </w:tabs>
        <w:ind w:left="0" w:firstLine="0"/>
      </w:pPr>
    </w:lvl>
    <w:lvl w:ilvl="1">
      <w:start w:val="1"/>
      <w:numFmt w:val="bullet"/>
      <w:pStyle w:val="Heading2"/>
      <w:lvlText w:val=""/>
      <w:lvlJc w:val="left"/>
      <w:pPr>
        <w:tabs>
          <w:tab w:val="num" w:pos="0"/>
        </w:tabs>
        <w:ind w:left="1440" w:hanging="720"/>
      </w:pPr>
      <w:rPr>
        <w:rFonts w:ascii="Symbol" w:hAnsi="Symbol" w:hint="default"/>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rPr>
        <w:rFonts w:ascii="Times New Roman" w:hAnsi="Times New Roman" w:cs="Times New Roman" w:hint="default"/>
      </w:r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8"/>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C94255"/>
    <w:rsid w:val="00000FED"/>
    <w:rsid w:val="0000434E"/>
    <w:rsid w:val="00017C3F"/>
    <w:rsid w:val="000211A9"/>
    <w:rsid w:val="00031260"/>
    <w:rsid w:val="0003681A"/>
    <w:rsid w:val="00052C5C"/>
    <w:rsid w:val="00060BAE"/>
    <w:rsid w:val="00061EC2"/>
    <w:rsid w:val="00080ED0"/>
    <w:rsid w:val="00085B8F"/>
    <w:rsid w:val="00090481"/>
    <w:rsid w:val="00092009"/>
    <w:rsid w:val="000A6C26"/>
    <w:rsid w:val="000D52A4"/>
    <w:rsid w:val="000E07BC"/>
    <w:rsid w:val="000E59CB"/>
    <w:rsid w:val="000F1CD4"/>
    <w:rsid w:val="000F4103"/>
    <w:rsid w:val="000F70A7"/>
    <w:rsid w:val="00113CCA"/>
    <w:rsid w:val="00122F25"/>
    <w:rsid w:val="00135980"/>
    <w:rsid w:val="00164719"/>
    <w:rsid w:val="00166FC4"/>
    <w:rsid w:val="001677AC"/>
    <w:rsid w:val="001804EA"/>
    <w:rsid w:val="00190A61"/>
    <w:rsid w:val="001A3342"/>
    <w:rsid w:val="001A3E3D"/>
    <w:rsid w:val="001A7049"/>
    <w:rsid w:val="001B1D88"/>
    <w:rsid w:val="001B1E40"/>
    <w:rsid w:val="001B6487"/>
    <w:rsid w:val="001C3C80"/>
    <w:rsid w:val="001C764E"/>
    <w:rsid w:val="001E1052"/>
    <w:rsid w:val="001E21B1"/>
    <w:rsid w:val="001E2F93"/>
    <w:rsid w:val="001E61E5"/>
    <w:rsid w:val="001F2159"/>
    <w:rsid w:val="00213B82"/>
    <w:rsid w:val="00214863"/>
    <w:rsid w:val="002156B4"/>
    <w:rsid w:val="00253222"/>
    <w:rsid w:val="00262847"/>
    <w:rsid w:val="00264ACF"/>
    <w:rsid w:val="00281BB2"/>
    <w:rsid w:val="002B08D9"/>
    <w:rsid w:val="002B72E9"/>
    <w:rsid w:val="002C7998"/>
    <w:rsid w:val="002F1E53"/>
    <w:rsid w:val="002F263D"/>
    <w:rsid w:val="002F2CAA"/>
    <w:rsid w:val="0030052C"/>
    <w:rsid w:val="00314E19"/>
    <w:rsid w:val="003306E1"/>
    <w:rsid w:val="003320E4"/>
    <w:rsid w:val="0033525D"/>
    <w:rsid w:val="003414F3"/>
    <w:rsid w:val="00346674"/>
    <w:rsid w:val="003512CB"/>
    <w:rsid w:val="0035613E"/>
    <w:rsid w:val="00363EE9"/>
    <w:rsid w:val="0036427C"/>
    <w:rsid w:val="0036484D"/>
    <w:rsid w:val="00366505"/>
    <w:rsid w:val="00376128"/>
    <w:rsid w:val="0037742E"/>
    <w:rsid w:val="00377D56"/>
    <w:rsid w:val="00380386"/>
    <w:rsid w:val="0038245A"/>
    <w:rsid w:val="003840E6"/>
    <w:rsid w:val="00385613"/>
    <w:rsid w:val="00385CFC"/>
    <w:rsid w:val="003919B9"/>
    <w:rsid w:val="0039337A"/>
    <w:rsid w:val="003967B0"/>
    <w:rsid w:val="003A0B42"/>
    <w:rsid w:val="003A3189"/>
    <w:rsid w:val="003A3945"/>
    <w:rsid w:val="003A3CA7"/>
    <w:rsid w:val="003B33BD"/>
    <w:rsid w:val="003B569D"/>
    <w:rsid w:val="003B5BC6"/>
    <w:rsid w:val="003C0C29"/>
    <w:rsid w:val="003C3C0E"/>
    <w:rsid w:val="003D4FAC"/>
    <w:rsid w:val="003E7906"/>
    <w:rsid w:val="003F3C50"/>
    <w:rsid w:val="003F5FBE"/>
    <w:rsid w:val="00406A6A"/>
    <w:rsid w:val="00406B22"/>
    <w:rsid w:val="00407B7C"/>
    <w:rsid w:val="004174B4"/>
    <w:rsid w:val="004328A7"/>
    <w:rsid w:val="00434C74"/>
    <w:rsid w:val="00456EB4"/>
    <w:rsid w:val="004718F3"/>
    <w:rsid w:val="004731B8"/>
    <w:rsid w:val="00475040"/>
    <w:rsid w:val="00493D40"/>
    <w:rsid w:val="004967B6"/>
    <w:rsid w:val="004A504B"/>
    <w:rsid w:val="004A6911"/>
    <w:rsid w:val="004B54E0"/>
    <w:rsid w:val="004B7384"/>
    <w:rsid w:val="004C4269"/>
    <w:rsid w:val="004D6236"/>
    <w:rsid w:val="004D7F90"/>
    <w:rsid w:val="004E4DBB"/>
    <w:rsid w:val="004E4E41"/>
    <w:rsid w:val="004E7F9C"/>
    <w:rsid w:val="004F18A7"/>
    <w:rsid w:val="004F3493"/>
    <w:rsid w:val="004F5143"/>
    <w:rsid w:val="00512B09"/>
    <w:rsid w:val="00515B2F"/>
    <w:rsid w:val="00533796"/>
    <w:rsid w:val="00555D75"/>
    <w:rsid w:val="00560DF0"/>
    <w:rsid w:val="00563880"/>
    <w:rsid w:val="0056759C"/>
    <w:rsid w:val="0059513E"/>
    <w:rsid w:val="005A4390"/>
    <w:rsid w:val="005B368A"/>
    <w:rsid w:val="005B48FF"/>
    <w:rsid w:val="00600A22"/>
    <w:rsid w:val="00604C15"/>
    <w:rsid w:val="00614BE0"/>
    <w:rsid w:val="006158D5"/>
    <w:rsid w:val="00625D83"/>
    <w:rsid w:val="006623E7"/>
    <w:rsid w:val="00662B80"/>
    <w:rsid w:val="00670F6C"/>
    <w:rsid w:val="00675795"/>
    <w:rsid w:val="006852C7"/>
    <w:rsid w:val="006852CE"/>
    <w:rsid w:val="006B2830"/>
    <w:rsid w:val="006C1727"/>
    <w:rsid w:val="006C32FD"/>
    <w:rsid w:val="006C39CE"/>
    <w:rsid w:val="006D0FCC"/>
    <w:rsid w:val="006D1D2D"/>
    <w:rsid w:val="006D54FC"/>
    <w:rsid w:val="006E1FC3"/>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227C"/>
    <w:rsid w:val="007C3D33"/>
    <w:rsid w:val="007D294A"/>
    <w:rsid w:val="007D47D2"/>
    <w:rsid w:val="007D6E60"/>
    <w:rsid w:val="007D6EC0"/>
    <w:rsid w:val="007D7E1D"/>
    <w:rsid w:val="007F3E92"/>
    <w:rsid w:val="00831979"/>
    <w:rsid w:val="00851352"/>
    <w:rsid w:val="00863230"/>
    <w:rsid w:val="008717D8"/>
    <w:rsid w:val="0087215C"/>
    <w:rsid w:val="00880E35"/>
    <w:rsid w:val="008875FE"/>
    <w:rsid w:val="00887F8E"/>
    <w:rsid w:val="00896234"/>
    <w:rsid w:val="00897E43"/>
    <w:rsid w:val="008C5738"/>
    <w:rsid w:val="008C7EAD"/>
    <w:rsid w:val="008D0CFE"/>
    <w:rsid w:val="008D3375"/>
    <w:rsid w:val="008D54C2"/>
    <w:rsid w:val="008D6152"/>
    <w:rsid w:val="008F0F81"/>
    <w:rsid w:val="008F27BF"/>
    <w:rsid w:val="009142EC"/>
    <w:rsid w:val="009154C3"/>
    <w:rsid w:val="00923540"/>
    <w:rsid w:val="00926767"/>
    <w:rsid w:val="009361D5"/>
    <w:rsid w:val="009428A4"/>
    <w:rsid w:val="009659F4"/>
    <w:rsid w:val="009709B0"/>
    <w:rsid w:val="00970D60"/>
    <w:rsid w:val="009960E5"/>
    <w:rsid w:val="009A7ADC"/>
    <w:rsid w:val="009C19B7"/>
    <w:rsid w:val="009D7C51"/>
    <w:rsid w:val="009E196C"/>
    <w:rsid w:val="009F36BF"/>
    <w:rsid w:val="00A111B6"/>
    <w:rsid w:val="00A14800"/>
    <w:rsid w:val="00A171D6"/>
    <w:rsid w:val="00A2547B"/>
    <w:rsid w:val="00A26D27"/>
    <w:rsid w:val="00A376EE"/>
    <w:rsid w:val="00A42A99"/>
    <w:rsid w:val="00A43AE2"/>
    <w:rsid w:val="00A5151A"/>
    <w:rsid w:val="00A56465"/>
    <w:rsid w:val="00A57E0A"/>
    <w:rsid w:val="00A823F6"/>
    <w:rsid w:val="00A93BBA"/>
    <w:rsid w:val="00AA0A89"/>
    <w:rsid w:val="00AA6429"/>
    <w:rsid w:val="00AC01AA"/>
    <w:rsid w:val="00AC4F72"/>
    <w:rsid w:val="00AE77AA"/>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E39EE"/>
    <w:rsid w:val="00BF3022"/>
    <w:rsid w:val="00BF3214"/>
    <w:rsid w:val="00BF5573"/>
    <w:rsid w:val="00C104A8"/>
    <w:rsid w:val="00C15867"/>
    <w:rsid w:val="00C2296D"/>
    <w:rsid w:val="00C23155"/>
    <w:rsid w:val="00C40C41"/>
    <w:rsid w:val="00C45885"/>
    <w:rsid w:val="00C50F22"/>
    <w:rsid w:val="00C55303"/>
    <w:rsid w:val="00C57971"/>
    <w:rsid w:val="00C65BD7"/>
    <w:rsid w:val="00C76BA4"/>
    <w:rsid w:val="00C83A48"/>
    <w:rsid w:val="00C85865"/>
    <w:rsid w:val="00C85E85"/>
    <w:rsid w:val="00C94255"/>
    <w:rsid w:val="00CA2EAE"/>
    <w:rsid w:val="00CA4AC1"/>
    <w:rsid w:val="00CA7728"/>
    <w:rsid w:val="00CB0316"/>
    <w:rsid w:val="00CB0B11"/>
    <w:rsid w:val="00CB5354"/>
    <w:rsid w:val="00CC299E"/>
    <w:rsid w:val="00CC6236"/>
    <w:rsid w:val="00CC6A14"/>
    <w:rsid w:val="00CC70A3"/>
    <w:rsid w:val="00CD4442"/>
    <w:rsid w:val="00CD53C3"/>
    <w:rsid w:val="00CD574E"/>
    <w:rsid w:val="00CE4C22"/>
    <w:rsid w:val="00CF41EC"/>
    <w:rsid w:val="00CF5D04"/>
    <w:rsid w:val="00D04DE4"/>
    <w:rsid w:val="00D0546C"/>
    <w:rsid w:val="00D063F1"/>
    <w:rsid w:val="00D1136A"/>
    <w:rsid w:val="00D13CD0"/>
    <w:rsid w:val="00D14F22"/>
    <w:rsid w:val="00D22563"/>
    <w:rsid w:val="00D36830"/>
    <w:rsid w:val="00D4014C"/>
    <w:rsid w:val="00D4741C"/>
    <w:rsid w:val="00D51B89"/>
    <w:rsid w:val="00D57918"/>
    <w:rsid w:val="00D62899"/>
    <w:rsid w:val="00D66982"/>
    <w:rsid w:val="00D73DC6"/>
    <w:rsid w:val="00D74C1A"/>
    <w:rsid w:val="00D754C1"/>
    <w:rsid w:val="00D77393"/>
    <w:rsid w:val="00D77A35"/>
    <w:rsid w:val="00D81B3E"/>
    <w:rsid w:val="00D90C70"/>
    <w:rsid w:val="00D90E49"/>
    <w:rsid w:val="00D96ADE"/>
    <w:rsid w:val="00DA0CE2"/>
    <w:rsid w:val="00DC6A10"/>
    <w:rsid w:val="00DE2C47"/>
    <w:rsid w:val="00DE657E"/>
    <w:rsid w:val="00DF4704"/>
    <w:rsid w:val="00E024AA"/>
    <w:rsid w:val="00E02877"/>
    <w:rsid w:val="00E17D31"/>
    <w:rsid w:val="00E250F1"/>
    <w:rsid w:val="00E3550D"/>
    <w:rsid w:val="00E41335"/>
    <w:rsid w:val="00E614E0"/>
    <w:rsid w:val="00E73F7F"/>
    <w:rsid w:val="00E85409"/>
    <w:rsid w:val="00EA0FD7"/>
    <w:rsid w:val="00EA429F"/>
    <w:rsid w:val="00EA4F9E"/>
    <w:rsid w:val="00EA63CA"/>
    <w:rsid w:val="00EA6D3B"/>
    <w:rsid w:val="00EB00AD"/>
    <w:rsid w:val="00EB136C"/>
    <w:rsid w:val="00EB480E"/>
    <w:rsid w:val="00EB5EC6"/>
    <w:rsid w:val="00EB7FC9"/>
    <w:rsid w:val="00EC30CE"/>
    <w:rsid w:val="00ED27E8"/>
    <w:rsid w:val="00ED7137"/>
    <w:rsid w:val="00EE66BA"/>
    <w:rsid w:val="00F07A58"/>
    <w:rsid w:val="00F21088"/>
    <w:rsid w:val="00F268BE"/>
    <w:rsid w:val="00F26E2B"/>
    <w:rsid w:val="00F327E7"/>
    <w:rsid w:val="00F35746"/>
    <w:rsid w:val="00F447C7"/>
    <w:rsid w:val="00F5211B"/>
    <w:rsid w:val="00F554A9"/>
    <w:rsid w:val="00F716FD"/>
    <w:rsid w:val="00F80355"/>
    <w:rsid w:val="00F83080"/>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829F3"/>
  <w15:docId w15:val="{D89B4621-EECB-43BB-A200-7E7BDC44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rsid w:val="00C94255"/>
    <w:rPr>
      <w:sz w:val="20"/>
      <w:szCs w:val="20"/>
    </w:rPr>
  </w:style>
  <w:style w:type="character" w:customStyle="1" w:styleId="FootnoteTextChar">
    <w:name w:val="Footnote Text Char"/>
    <w:basedOn w:val="DefaultParagraphFont"/>
    <w:link w:val="FootnoteText"/>
    <w:uiPriority w:val="99"/>
    <w:semiHidden/>
    <w:rsid w:val="00C94255"/>
    <w:rPr>
      <w:lang w:val="en-GB"/>
    </w:rPr>
  </w:style>
  <w:style w:type="character" w:styleId="FootnoteReference">
    <w:name w:val="footnote reference"/>
    <w:uiPriority w:val="99"/>
    <w:semiHidden/>
    <w:rsid w:val="00C94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UNEP/OzL.Pro/ExCom/84/6</Document_x0020_Number>
    <DocumentType xmlns="64e33b30-101d-41de-b951-961aab25ea29">Pre-session</DocumentType>
  </documentManagement>
</p:properties>
</file>

<file path=customXml/itemProps1.xml><?xml version="1.0" encoding="utf-8"?>
<ds:datastoreItem xmlns:ds="http://schemas.openxmlformats.org/officeDocument/2006/customXml" ds:itemID="{26BD5963-A836-49B8-B9AE-D3825D0BB21F}"/>
</file>

<file path=customXml/itemProps2.xml><?xml version="1.0" encoding="utf-8"?>
<ds:datastoreItem xmlns:ds="http://schemas.openxmlformats.org/officeDocument/2006/customXml" ds:itemID="{95392238-15E9-4FE4-84B6-D9CB2F746FA9}"/>
</file>

<file path=customXml/itemProps3.xml><?xml version="1.0" encoding="utf-8"?>
<ds:datastoreItem xmlns:ds="http://schemas.openxmlformats.org/officeDocument/2006/customXml" ds:itemID="{BDC38439-AB16-4EA4-AB97-A8F1EDE6C2B4}"/>
</file>

<file path=customXml/itemProps4.xml><?xml version="1.0" encoding="utf-8"?>
<ds:datastoreItem xmlns:ds="http://schemas.openxmlformats.org/officeDocument/2006/customXml" ds:itemID="{D5EC01F0-6E11-43EE-AC3E-602CD3950214}"/>
</file>

<file path=docProps/app.xml><?xml version="1.0" encoding="utf-8"?>
<Properties xmlns="http://schemas.openxmlformats.org/officeDocument/2006/extended-properties" xmlns:vt="http://schemas.openxmlformats.org/officeDocument/2006/docPropsVTypes">
  <Template>Eec84G</Template>
  <TotalTime>23</TotalTime>
  <Pages>3</Pages>
  <Words>690</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2018 accounts</dc:title>
  <dc:creator>Stephanie Muteba</dc:creator>
  <cp:lastModifiedBy>Stephanie Muteba</cp:lastModifiedBy>
  <cp:revision>6</cp:revision>
  <cp:lastPrinted>2019-11-27T00:18:00Z</cp:lastPrinted>
  <dcterms:created xsi:type="dcterms:W3CDTF">2019-11-26T21:27:00Z</dcterms:created>
  <dcterms:modified xsi:type="dcterms:W3CDTF">2019-11-27T00:27:00Z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UNEP/OzL.Pro/ExCom/84/6</vt:lpwstr>
  </property>
  <property fmtid="{D5CDD505-2E9C-101B-9397-08002B2CF9AE}" pid="3" name="Revision date">
    <vt:lpwstr>11/26/2019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