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9252BB" w:rsidRPr="009252BB" w14:paraId="33256EC6" w14:textId="77777777" w:rsidTr="00194B3F">
        <w:trPr>
          <w:trHeight w:val="720"/>
        </w:trPr>
        <w:tc>
          <w:tcPr>
            <w:tcW w:w="5490" w:type="dxa"/>
            <w:gridSpan w:val="2"/>
            <w:tcBorders>
              <w:bottom w:val="single" w:sz="18" w:space="0" w:color="auto"/>
            </w:tcBorders>
          </w:tcPr>
          <w:p w14:paraId="79D68946" w14:textId="77777777" w:rsidR="009252BB" w:rsidRPr="009252BB" w:rsidRDefault="009252BB" w:rsidP="009252B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line="240" w:lineRule="auto"/>
              <w:jc w:val="both"/>
              <w:rPr>
                <w:rFonts w:cs="Times New Roman"/>
                <w:b/>
                <w:bCs/>
                <w:sz w:val="28"/>
                <w:szCs w:val="28"/>
                <w:lang w:val="en-GB" w:eastAsia="en-US"/>
              </w:rPr>
            </w:pPr>
            <w:r w:rsidRPr="009252BB">
              <w:rPr>
                <w:rFonts w:cs="Times New Roman"/>
                <w:b/>
                <w:bCs/>
                <w:color w:val="000000"/>
                <w:sz w:val="36"/>
                <w:szCs w:val="36"/>
                <w:lang w:val="en-GB" w:eastAsia="en-US"/>
              </w:rPr>
              <w:t>联</w:t>
            </w:r>
            <w:r w:rsidRPr="009252BB">
              <w:rPr>
                <w:rFonts w:cs="Times New Roman"/>
                <w:b/>
                <w:bCs/>
                <w:color w:val="000000"/>
                <w:sz w:val="36"/>
                <w:szCs w:val="36"/>
                <w:lang w:val="en-GB" w:eastAsia="en-US"/>
              </w:rPr>
              <w:t xml:space="preserve">  </w:t>
            </w:r>
            <w:r w:rsidRPr="009252BB">
              <w:rPr>
                <w:rFonts w:cs="Times New Roman"/>
                <w:b/>
                <w:bCs/>
                <w:color w:val="000000"/>
                <w:sz w:val="36"/>
                <w:szCs w:val="36"/>
                <w:lang w:val="en-GB" w:eastAsia="en-US"/>
              </w:rPr>
              <w:t>合</w:t>
            </w:r>
            <w:r w:rsidRPr="009252BB">
              <w:rPr>
                <w:rFonts w:cs="Times New Roman"/>
                <w:b/>
                <w:bCs/>
                <w:color w:val="000000"/>
                <w:sz w:val="36"/>
                <w:szCs w:val="36"/>
                <w:lang w:val="en-GB" w:eastAsia="en-US"/>
              </w:rPr>
              <w:t xml:space="preserve">  </w:t>
            </w:r>
            <w:r w:rsidRPr="009252BB">
              <w:rPr>
                <w:rFonts w:cs="Times New Roman"/>
                <w:b/>
                <w:bCs/>
                <w:color w:val="000000"/>
                <w:sz w:val="36"/>
                <w:szCs w:val="36"/>
                <w:lang w:val="en-GB" w:eastAsia="en-US"/>
              </w:rPr>
              <w:t>国</w:t>
            </w:r>
          </w:p>
        </w:tc>
        <w:tc>
          <w:tcPr>
            <w:tcW w:w="4590" w:type="dxa"/>
            <w:tcBorders>
              <w:bottom w:val="single" w:sz="18" w:space="0" w:color="auto"/>
            </w:tcBorders>
          </w:tcPr>
          <w:p w14:paraId="365D44CE" w14:textId="77777777" w:rsidR="009252BB" w:rsidRPr="009252BB" w:rsidRDefault="009252BB" w:rsidP="009252BB">
            <w:pPr>
              <w:spacing w:before="0" w:after="0" w:line="240" w:lineRule="auto"/>
              <w:jc w:val="right"/>
              <w:rPr>
                <w:rFonts w:ascii="Arial" w:hAnsi="Arial" w:cs="Arial"/>
                <w:sz w:val="52"/>
                <w:szCs w:val="52"/>
                <w:lang w:val="en-GB" w:eastAsia="en-US"/>
              </w:rPr>
            </w:pPr>
            <w:r w:rsidRPr="009252BB">
              <w:rPr>
                <w:rFonts w:ascii="Arial" w:hAnsi="Arial" w:cs="Arial"/>
                <w:b/>
                <w:sz w:val="72"/>
                <w:lang w:val="en-GB" w:eastAsia="en-US"/>
              </w:rPr>
              <w:t>EP</w:t>
            </w:r>
          </w:p>
        </w:tc>
      </w:tr>
      <w:tr w:rsidR="009252BB" w:rsidRPr="009252BB" w14:paraId="3A20E968" w14:textId="77777777" w:rsidTr="00194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3E1776E6" w14:textId="77777777" w:rsidR="009252BB" w:rsidRPr="009252BB" w:rsidRDefault="009252BB" w:rsidP="009252BB">
            <w:pPr>
              <w:spacing w:after="0" w:line="240" w:lineRule="auto"/>
              <w:jc w:val="both"/>
              <w:rPr>
                <w:rFonts w:cs="Times New Roman"/>
                <w:sz w:val="22"/>
                <w:lang w:val="en-GB" w:eastAsia="en-US"/>
              </w:rPr>
            </w:pPr>
            <w:r w:rsidRPr="009252BB">
              <w:rPr>
                <w:rFonts w:cs="Times New Roman"/>
                <w:noProof/>
                <w:sz w:val="22"/>
                <w:lang w:val="en-CA" w:eastAsia="en-CA"/>
              </w:rPr>
              <w:drawing>
                <wp:anchor distT="0" distB="0" distL="114300" distR="114300" simplePos="0" relativeHeight="251659264" behindDoc="0" locked="0" layoutInCell="1" allowOverlap="1" wp14:anchorId="4A877602" wp14:editId="49C6F6A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7" cstate="print"/>
                          <a:srcRect/>
                          <a:stretch>
                            <a:fillRect/>
                          </a:stretch>
                        </pic:blipFill>
                        <pic:spPr bwMode="auto">
                          <a:xfrm>
                            <a:off x="0" y="0"/>
                            <a:ext cx="800100" cy="705485"/>
                          </a:xfrm>
                          <a:prstGeom prst="rect">
                            <a:avLst/>
                          </a:prstGeom>
                          <a:noFill/>
                        </pic:spPr>
                      </pic:pic>
                    </a:graphicData>
                  </a:graphic>
                </wp:anchor>
              </w:drawing>
            </w:r>
            <w:r w:rsidRPr="009252BB">
              <w:rPr>
                <w:rFonts w:cs="Times New Roman"/>
                <w:noProof/>
                <w:sz w:val="22"/>
                <w:lang w:val="en-CA" w:eastAsia="en-CA"/>
              </w:rPr>
              <w:drawing>
                <wp:anchor distT="0" distB="0" distL="114300" distR="114300" simplePos="0" relativeHeight="251660288" behindDoc="1" locked="0" layoutInCell="0" allowOverlap="1" wp14:anchorId="70F05866" wp14:editId="4F7C400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25392EA5" w14:textId="77777777" w:rsidR="009252BB" w:rsidRPr="009252BB" w:rsidRDefault="009252BB" w:rsidP="009252BB">
            <w:pPr>
              <w:widowControl w:val="0"/>
              <w:spacing w:before="0" w:after="0" w:line="240" w:lineRule="auto"/>
              <w:outlineLvl w:val="2"/>
              <w:rPr>
                <w:rFonts w:cs="Times New Roman"/>
                <w:b/>
                <w:sz w:val="32"/>
                <w:lang w:val="en-CA" w:eastAsia="en-US"/>
              </w:rPr>
            </w:pPr>
          </w:p>
          <w:p w14:paraId="1DBF48A9" w14:textId="77777777" w:rsidR="009252BB" w:rsidRPr="009252BB" w:rsidRDefault="009252BB" w:rsidP="009252BB">
            <w:pPr>
              <w:widowControl w:val="0"/>
              <w:spacing w:before="0" w:after="0" w:line="240" w:lineRule="auto"/>
              <w:outlineLvl w:val="2"/>
              <w:rPr>
                <w:rFonts w:cs="Times New Roman"/>
                <w:b/>
                <w:bCs/>
                <w:sz w:val="32"/>
                <w:lang w:val="ru-RU" w:eastAsia="en-US"/>
              </w:rPr>
            </w:pPr>
            <w:r w:rsidRPr="009252BB">
              <w:rPr>
                <w:rFonts w:cs="Times New Roman"/>
                <w:b/>
                <w:bCs/>
                <w:color w:val="000000"/>
                <w:sz w:val="44"/>
                <w:lang w:val="en-GB" w:eastAsia="en-US"/>
              </w:rPr>
              <w:t>联</w:t>
            </w:r>
            <w:r w:rsidRPr="009252BB">
              <w:rPr>
                <w:rFonts w:cs="Times New Roman"/>
                <w:b/>
                <w:bCs/>
                <w:color w:val="000000"/>
                <w:sz w:val="44"/>
                <w:lang w:val="en-GB" w:eastAsia="en-US"/>
              </w:rPr>
              <w:t xml:space="preserve"> </w:t>
            </w:r>
            <w:r w:rsidRPr="009252BB">
              <w:rPr>
                <w:rFonts w:cs="Times New Roman"/>
                <w:b/>
                <w:bCs/>
                <w:color w:val="000000"/>
                <w:sz w:val="44"/>
                <w:lang w:val="en-GB" w:eastAsia="en-US"/>
              </w:rPr>
              <w:t>合</w:t>
            </w:r>
            <w:r w:rsidRPr="009252BB">
              <w:rPr>
                <w:rFonts w:cs="Times New Roman"/>
                <w:b/>
                <w:bCs/>
                <w:color w:val="000000"/>
                <w:sz w:val="44"/>
                <w:lang w:val="en-GB" w:eastAsia="en-US"/>
              </w:rPr>
              <w:t xml:space="preserve"> </w:t>
            </w:r>
            <w:r w:rsidRPr="009252BB">
              <w:rPr>
                <w:rFonts w:cs="Times New Roman"/>
                <w:b/>
                <w:bCs/>
                <w:color w:val="000000"/>
                <w:sz w:val="44"/>
                <w:lang w:val="en-GB" w:eastAsia="en-US"/>
              </w:rPr>
              <w:t>国</w:t>
            </w:r>
          </w:p>
          <w:p w14:paraId="4E533144" w14:textId="77777777" w:rsidR="009252BB" w:rsidRPr="009252BB" w:rsidRDefault="009252BB" w:rsidP="009252B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line="240" w:lineRule="auto"/>
              <w:rPr>
                <w:rFonts w:ascii="SimHei" w:eastAsia="SimHei" w:cs="Times New Roman"/>
                <w:color w:val="000000"/>
                <w:sz w:val="44"/>
                <w:lang w:val="en-GB" w:eastAsia="en-US"/>
              </w:rPr>
            </w:pPr>
            <w:r w:rsidRPr="009252BB">
              <w:rPr>
                <w:rFonts w:cs="Times New Roman"/>
                <w:b/>
                <w:bCs/>
                <w:color w:val="000000"/>
                <w:sz w:val="44"/>
                <w:lang w:val="en-GB" w:eastAsia="en-US"/>
              </w:rPr>
              <w:t>环</w:t>
            </w:r>
            <w:r w:rsidRPr="009252BB">
              <w:rPr>
                <w:rFonts w:cs="Times New Roman"/>
                <w:b/>
                <w:bCs/>
                <w:color w:val="000000"/>
                <w:sz w:val="44"/>
                <w:lang w:val="ru-RU" w:eastAsia="en-US"/>
              </w:rPr>
              <w:t xml:space="preserve"> </w:t>
            </w:r>
            <w:r w:rsidRPr="009252BB">
              <w:rPr>
                <w:rFonts w:cs="Times New Roman"/>
                <w:b/>
                <w:bCs/>
                <w:color w:val="000000"/>
                <w:sz w:val="44"/>
                <w:lang w:val="en-GB" w:eastAsia="en-US"/>
              </w:rPr>
              <w:t>境</w:t>
            </w:r>
            <w:r w:rsidRPr="009252BB">
              <w:rPr>
                <w:rFonts w:cs="Times New Roman"/>
                <w:b/>
                <w:bCs/>
                <w:color w:val="000000"/>
                <w:sz w:val="44"/>
                <w:lang w:val="ru-RU" w:eastAsia="en-US"/>
              </w:rPr>
              <w:t xml:space="preserve"> </w:t>
            </w:r>
            <w:r w:rsidRPr="009252BB">
              <w:rPr>
                <w:rFonts w:cs="Times New Roman"/>
                <w:b/>
                <w:bCs/>
                <w:color w:val="000000"/>
                <w:sz w:val="44"/>
                <w:lang w:val="en-GB" w:eastAsia="en-US"/>
              </w:rPr>
              <w:t>规</w:t>
            </w:r>
            <w:r w:rsidRPr="009252BB">
              <w:rPr>
                <w:rFonts w:cs="Times New Roman"/>
                <w:b/>
                <w:bCs/>
                <w:color w:val="000000"/>
                <w:sz w:val="44"/>
                <w:lang w:val="ru-RU" w:eastAsia="en-US"/>
              </w:rPr>
              <w:t xml:space="preserve"> </w:t>
            </w:r>
            <w:r w:rsidRPr="009252BB">
              <w:rPr>
                <w:rFonts w:cs="Times New Roman"/>
                <w:b/>
                <w:bCs/>
                <w:color w:val="000000"/>
                <w:sz w:val="44"/>
                <w:lang w:val="en-GB" w:eastAsia="en-US"/>
              </w:rPr>
              <w:t>划</w:t>
            </w:r>
            <w:r w:rsidRPr="009252BB">
              <w:rPr>
                <w:rFonts w:cs="Times New Roman"/>
                <w:b/>
                <w:bCs/>
                <w:color w:val="000000"/>
                <w:sz w:val="44"/>
                <w:lang w:val="ru-RU" w:eastAsia="en-US"/>
              </w:rPr>
              <w:t xml:space="preserve"> </w:t>
            </w:r>
            <w:r w:rsidRPr="009252BB">
              <w:rPr>
                <w:rFonts w:cs="Times New Roman"/>
                <w:b/>
                <w:bCs/>
                <w:color w:val="000000"/>
                <w:sz w:val="44"/>
                <w:lang w:val="en-GB" w:eastAsia="en-US"/>
              </w:rPr>
              <w:t>署</w:t>
            </w:r>
          </w:p>
          <w:p w14:paraId="6895EE8B" w14:textId="77777777" w:rsidR="009252BB" w:rsidRPr="009252BB" w:rsidRDefault="009252BB" w:rsidP="009252B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line="240" w:lineRule="auto"/>
              <w:rPr>
                <w:rFonts w:ascii="SimHei" w:eastAsia="SimHei" w:cs="Times New Roman"/>
                <w:color w:val="000000"/>
                <w:sz w:val="44"/>
                <w:lang w:val="en-GB" w:eastAsia="en-US"/>
              </w:rPr>
            </w:pPr>
          </w:p>
          <w:p w14:paraId="5AED3977" w14:textId="77777777" w:rsidR="009252BB" w:rsidRPr="009252BB" w:rsidRDefault="009252BB" w:rsidP="009252B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0" w:after="0" w:line="240" w:lineRule="auto"/>
              <w:rPr>
                <w:rFonts w:ascii="Univers Bold" w:hAnsi="Univers Bold" w:cs="Times New Roman"/>
                <w:b/>
                <w:sz w:val="32"/>
                <w:lang w:val="ru-RU" w:eastAsia="en-US"/>
              </w:rPr>
            </w:pPr>
          </w:p>
        </w:tc>
        <w:tc>
          <w:tcPr>
            <w:tcW w:w="4590" w:type="dxa"/>
            <w:tcBorders>
              <w:top w:val="nil"/>
              <w:left w:val="nil"/>
              <w:bottom w:val="single" w:sz="36" w:space="0" w:color="auto"/>
              <w:right w:val="nil"/>
            </w:tcBorders>
          </w:tcPr>
          <w:p w14:paraId="59C26471" w14:textId="77777777" w:rsidR="009252BB" w:rsidRPr="009252BB" w:rsidRDefault="009252BB" w:rsidP="009252BB">
            <w:pPr>
              <w:spacing w:before="0" w:after="0" w:line="240" w:lineRule="auto"/>
              <w:jc w:val="both"/>
              <w:rPr>
                <w:rFonts w:cs="Times New Roman"/>
                <w:color w:val="000000"/>
                <w:sz w:val="22"/>
                <w:szCs w:val="24"/>
                <w:lang w:val="ru-RU" w:eastAsia="en-US"/>
              </w:rPr>
            </w:pPr>
          </w:p>
          <w:p w14:paraId="11943791" w14:textId="77777777" w:rsidR="009252BB" w:rsidRPr="009252BB" w:rsidRDefault="009252BB" w:rsidP="009252BB">
            <w:pPr>
              <w:spacing w:before="0" w:after="0" w:line="240" w:lineRule="auto"/>
              <w:jc w:val="both"/>
              <w:rPr>
                <w:rFonts w:cs="Times New Roman"/>
                <w:color w:val="000000"/>
                <w:sz w:val="22"/>
                <w:szCs w:val="24"/>
                <w:lang w:val="en-GB" w:eastAsia="en-US"/>
              </w:rPr>
            </w:pPr>
            <w:r w:rsidRPr="009252BB">
              <w:rPr>
                <w:rFonts w:cs="Times New Roman"/>
                <w:color w:val="000000"/>
                <w:sz w:val="22"/>
                <w:szCs w:val="24"/>
                <w:lang w:val="en-GB" w:eastAsia="en-US"/>
              </w:rPr>
              <w:t>Distr.</w:t>
            </w:r>
          </w:p>
          <w:p w14:paraId="7E247A75" w14:textId="77777777" w:rsidR="009252BB" w:rsidRPr="009252BB" w:rsidRDefault="009252BB" w:rsidP="009252BB">
            <w:pPr>
              <w:spacing w:before="0" w:after="0" w:line="240" w:lineRule="auto"/>
              <w:jc w:val="both"/>
              <w:rPr>
                <w:rFonts w:cs="Times New Roman"/>
                <w:color w:val="000000"/>
                <w:sz w:val="22"/>
                <w:szCs w:val="24"/>
                <w:lang w:val="en-GB" w:eastAsia="en-US"/>
              </w:rPr>
            </w:pPr>
            <w:r w:rsidRPr="009252BB">
              <w:rPr>
                <w:rFonts w:cs="Times New Roman" w:hint="eastAsia"/>
                <w:color w:val="000000"/>
                <w:sz w:val="22"/>
                <w:szCs w:val="24"/>
                <w:lang w:val="en-GB" w:eastAsia="en-US"/>
              </w:rPr>
              <w:t>GENERAL</w:t>
            </w:r>
          </w:p>
          <w:p w14:paraId="587AD0F7" w14:textId="77777777" w:rsidR="009252BB" w:rsidRPr="009252BB" w:rsidRDefault="009252BB" w:rsidP="009252BB">
            <w:pPr>
              <w:spacing w:before="0" w:after="0" w:line="240" w:lineRule="auto"/>
              <w:jc w:val="both"/>
              <w:rPr>
                <w:rFonts w:cs="Times New Roman"/>
                <w:color w:val="000000"/>
                <w:sz w:val="22"/>
                <w:szCs w:val="24"/>
                <w:lang w:val="en-GB" w:eastAsia="en-US"/>
              </w:rPr>
            </w:pPr>
          </w:p>
          <w:p w14:paraId="7AAF744F" w14:textId="33A3E874" w:rsidR="009252BB" w:rsidRPr="009252BB" w:rsidRDefault="009252BB" w:rsidP="009252BB">
            <w:pPr>
              <w:spacing w:before="0" w:after="0" w:line="240" w:lineRule="auto"/>
              <w:jc w:val="both"/>
              <w:rPr>
                <w:rFonts w:cs="Times New Roman"/>
                <w:sz w:val="22"/>
                <w:lang w:val="en-GB" w:eastAsia="en-US"/>
              </w:rPr>
            </w:pPr>
            <w:r w:rsidRPr="009252BB">
              <w:rPr>
                <w:rFonts w:cs="Times New Roman"/>
                <w:sz w:val="22"/>
                <w:lang w:val="en-GB" w:eastAsia="en-US"/>
              </w:rPr>
              <w:fldChar w:fldCharType="begin"/>
            </w:r>
            <w:r w:rsidRPr="009252BB">
              <w:rPr>
                <w:rFonts w:cs="Times New Roman"/>
                <w:sz w:val="22"/>
                <w:lang w:val="pt-BR" w:eastAsia="en-US"/>
              </w:rPr>
              <w:instrText xml:space="preserve"> DOCPROPERTY "Document number"  \* MERGEFORMAT </w:instrText>
            </w:r>
            <w:r w:rsidRPr="009252BB">
              <w:rPr>
                <w:rFonts w:cs="Times New Roman"/>
                <w:sz w:val="22"/>
                <w:lang w:val="en-GB" w:eastAsia="en-US"/>
              </w:rPr>
              <w:fldChar w:fldCharType="separate"/>
            </w:r>
            <w:r w:rsidR="00DB4B33">
              <w:rPr>
                <w:rFonts w:cs="Times New Roman"/>
                <w:sz w:val="22"/>
                <w:lang w:val="pt-BR" w:eastAsia="en-US"/>
              </w:rPr>
              <w:t>UNEP/OzL.Pro/ExCom/84/</w:t>
            </w:r>
            <w:r w:rsidR="00DB4B33">
              <w:rPr>
                <w:rFonts w:cs="Times New Roman"/>
                <w:sz w:val="22"/>
                <w:lang w:val="pt-BR"/>
              </w:rPr>
              <w:t>22</w:t>
            </w:r>
            <w:r w:rsidR="00DB4B33">
              <w:rPr>
                <w:rFonts w:cs="Times New Roman"/>
                <w:sz w:val="22"/>
                <w:lang w:val="pt-BR" w:eastAsia="en-US"/>
              </w:rPr>
              <w:t>/Add.1</w:t>
            </w:r>
            <w:r w:rsidRPr="009252BB">
              <w:rPr>
                <w:rFonts w:cs="Times New Roman"/>
                <w:sz w:val="22"/>
                <w:lang w:val="en-GB" w:eastAsia="en-US"/>
              </w:rPr>
              <w:fldChar w:fldCharType="end"/>
            </w:r>
          </w:p>
          <w:p w14:paraId="380E0013" w14:textId="5835CDAF" w:rsidR="009252BB" w:rsidRPr="009252BB" w:rsidRDefault="00DB4B33" w:rsidP="009252BB">
            <w:pPr>
              <w:spacing w:before="0" w:after="0" w:line="240" w:lineRule="auto"/>
              <w:jc w:val="both"/>
              <w:rPr>
                <w:rFonts w:cs="Times New Roman"/>
                <w:color w:val="000000"/>
                <w:sz w:val="22"/>
                <w:szCs w:val="24"/>
                <w:lang w:val="en-GB" w:eastAsia="en-US"/>
              </w:rPr>
            </w:pPr>
            <w:r>
              <w:rPr>
                <w:rFonts w:cs="Times New Roman"/>
                <w:color w:val="000000"/>
                <w:sz w:val="22"/>
                <w:szCs w:val="24"/>
                <w:lang w:val="en-GB" w:eastAsia="en-US"/>
              </w:rPr>
              <w:fldChar w:fldCharType="begin"/>
            </w:r>
            <w:r>
              <w:rPr>
                <w:rFonts w:cs="Times New Roman"/>
                <w:color w:val="000000"/>
                <w:sz w:val="22"/>
                <w:szCs w:val="24"/>
                <w:lang w:val="en-GB" w:eastAsia="en-US"/>
              </w:rPr>
              <w:instrText xml:space="preserve"> DOCPROPERTY  "Recorded date"  \* MERGEFORMAT </w:instrText>
            </w:r>
            <w:r>
              <w:rPr>
                <w:rFonts w:cs="Times New Roman"/>
                <w:color w:val="000000"/>
                <w:sz w:val="22"/>
                <w:szCs w:val="24"/>
                <w:lang w:val="en-GB" w:eastAsia="en-US"/>
              </w:rPr>
              <w:fldChar w:fldCharType="separate"/>
            </w:r>
            <w:r>
              <w:rPr>
                <w:rFonts w:cs="Times New Roman"/>
                <w:color w:val="000000"/>
                <w:sz w:val="22"/>
                <w:szCs w:val="24"/>
                <w:lang w:val="en-GB" w:eastAsia="en-US"/>
              </w:rPr>
              <w:t>28 November 2019</w:t>
            </w:r>
            <w:r>
              <w:rPr>
                <w:rFonts w:cs="Times New Roman"/>
                <w:color w:val="000000"/>
                <w:sz w:val="22"/>
                <w:szCs w:val="24"/>
                <w:lang w:val="en-GB" w:eastAsia="en-US"/>
              </w:rPr>
              <w:fldChar w:fldCharType="end"/>
            </w:r>
          </w:p>
          <w:p w14:paraId="0C2598AB" w14:textId="77777777" w:rsidR="009252BB" w:rsidRPr="009252BB" w:rsidRDefault="009252BB" w:rsidP="009252BB">
            <w:pPr>
              <w:spacing w:before="0" w:after="0" w:line="240" w:lineRule="auto"/>
              <w:jc w:val="both"/>
              <w:rPr>
                <w:rFonts w:cs="Times New Roman"/>
                <w:color w:val="000000"/>
                <w:sz w:val="22"/>
                <w:szCs w:val="24"/>
                <w:lang w:val="en-GB" w:eastAsia="en-US"/>
              </w:rPr>
            </w:pPr>
          </w:p>
          <w:p w14:paraId="195EA1B4" w14:textId="77777777" w:rsidR="009252BB" w:rsidRPr="009252BB" w:rsidRDefault="009252BB" w:rsidP="009252BB">
            <w:pPr>
              <w:tabs>
                <w:tab w:val="left" w:pos="10080"/>
              </w:tabs>
              <w:spacing w:before="0" w:after="0" w:line="240" w:lineRule="auto"/>
              <w:jc w:val="both"/>
              <w:rPr>
                <w:rFonts w:cs="Times New Roman"/>
                <w:color w:val="000000"/>
                <w:sz w:val="22"/>
                <w:szCs w:val="24"/>
                <w:lang w:val="en-GB" w:eastAsia="en-US"/>
              </w:rPr>
            </w:pPr>
            <w:r w:rsidRPr="009252BB">
              <w:rPr>
                <w:rFonts w:cs="Times New Roman"/>
                <w:color w:val="000000"/>
                <w:sz w:val="22"/>
                <w:szCs w:val="24"/>
                <w:lang w:val="en-GB" w:eastAsia="en-US"/>
              </w:rPr>
              <w:t>CHINESE</w:t>
            </w:r>
          </w:p>
          <w:p w14:paraId="5E6E381A" w14:textId="77777777" w:rsidR="009252BB" w:rsidRPr="009252BB" w:rsidRDefault="009252BB" w:rsidP="009252BB">
            <w:pPr>
              <w:tabs>
                <w:tab w:val="left" w:pos="10080"/>
              </w:tabs>
              <w:spacing w:before="0" w:after="0" w:line="240" w:lineRule="auto"/>
              <w:jc w:val="both"/>
              <w:rPr>
                <w:rFonts w:cs="Times New Roman"/>
                <w:color w:val="000000"/>
                <w:spacing w:val="-10"/>
                <w:sz w:val="22"/>
                <w:szCs w:val="24"/>
                <w:lang w:val="en-GB" w:eastAsia="en-US"/>
              </w:rPr>
            </w:pPr>
            <w:r w:rsidRPr="009252BB">
              <w:rPr>
                <w:rFonts w:cs="Times New Roman"/>
                <w:color w:val="000000"/>
                <w:sz w:val="22"/>
                <w:szCs w:val="24"/>
                <w:lang w:val="en-GB" w:eastAsia="en-US"/>
              </w:rPr>
              <w:t>ORIGINAL: ENGLISH</w:t>
            </w:r>
          </w:p>
          <w:p w14:paraId="456B22C0" w14:textId="77777777" w:rsidR="009252BB" w:rsidRPr="009252BB" w:rsidRDefault="009252BB" w:rsidP="009252BB">
            <w:pPr>
              <w:spacing w:before="0" w:after="0" w:line="240" w:lineRule="auto"/>
              <w:jc w:val="both"/>
              <w:rPr>
                <w:rFonts w:cs="Times New Roman"/>
                <w:sz w:val="22"/>
                <w:lang w:val="en-GB" w:eastAsia="en-US"/>
              </w:rPr>
            </w:pPr>
          </w:p>
        </w:tc>
      </w:tr>
    </w:tbl>
    <w:p w14:paraId="1BA70377" w14:textId="77777777" w:rsidR="009252BB" w:rsidRPr="00C55DAC" w:rsidRDefault="009252BB" w:rsidP="009252BB">
      <w:pPr>
        <w:widowControl w:val="0"/>
        <w:tabs>
          <w:tab w:val="left" w:pos="3705"/>
        </w:tabs>
        <w:adjustRightInd w:val="0"/>
        <w:spacing w:before="0" w:after="0" w:line="240" w:lineRule="atLeast"/>
        <w:jc w:val="both"/>
        <w:textAlignment w:val="baseline"/>
        <w:rPr>
          <w:rFonts w:cs="Times New Roman"/>
          <w:color w:val="000000"/>
          <w:szCs w:val="24"/>
        </w:rPr>
      </w:pPr>
      <w:r w:rsidRPr="00C55DAC">
        <w:rPr>
          <w:rFonts w:cs="Times New Roman" w:hint="eastAsia"/>
          <w:color w:val="000000"/>
          <w:szCs w:val="24"/>
        </w:rPr>
        <w:t>执行蒙特利尔议定书</w:t>
      </w:r>
    </w:p>
    <w:p w14:paraId="713CA70C" w14:textId="77777777" w:rsidR="009252BB" w:rsidRPr="00C55DAC" w:rsidRDefault="009252BB" w:rsidP="009252BB">
      <w:pPr>
        <w:widowControl w:val="0"/>
        <w:tabs>
          <w:tab w:val="left" w:pos="3705"/>
        </w:tabs>
        <w:adjustRightInd w:val="0"/>
        <w:spacing w:before="0" w:after="0" w:line="240" w:lineRule="atLeast"/>
        <w:jc w:val="both"/>
        <w:textAlignment w:val="baseline"/>
        <w:rPr>
          <w:rFonts w:cs="Times New Roman"/>
          <w:color w:val="000000"/>
          <w:szCs w:val="24"/>
        </w:rPr>
      </w:pPr>
      <w:r w:rsidRPr="00C55DAC">
        <w:rPr>
          <w:rFonts w:cs="Times New Roman"/>
          <w:color w:val="000000"/>
          <w:szCs w:val="24"/>
          <w:lang w:val="en-CA"/>
        </w:rPr>
        <w:t xml:space="preserve">  </w:t>
      </w:r>
      <w:r w:rsidRPr="00C55DAC">
        <w:rPr>
          <w:rFonts w:cs="Times New Roman" w:hint="eastAsia"/>
          <w:color w:val="000000"/>
          <w:szCs w:val="24"/>
        </w:rPr>
        <w:t>多边基金执行委员会</w:t>
      </w:r>
      <w:r w:rsidRPr="00C55DAC">
        <w:rPr>
          <w:rFonts w:cs="Times New Roman"/>
          <w:color w:val="000000"/>
          <w:szCs w:val="24"/>
        </w:rPr>
        <w:tab/>
      </w:r>
    </w:p>
    <w:p w14:paraId="3EE167C1" w14:textId="77777777" w:rsidR="009252BB" w:rsidRPr="00C55DAC" w:rsidRDefault="009252BB" w:rsidP="009252BB">
      <w:pPr>
        <w:spacing w:before="0" w:after="0" w:line="240" w:lineRule="auto"/>
        <w:ind w:left="360" w:hanging="360"/>
        <w:rPr>
          <w:rFonts w:cs="Times New Roman"/>
          <w:szCs w:val="24"/>
          <w:lang w:val="en-CA" w:eastAsia="en-US"/>
        </w:rPr>
      </w:pPr>
      <w:r w:rsidRPr="00C55DAC">
        <w:rPr>
          <w:rFonts w:hAnsi="SimSun" w:cs="Times New Roman" w:hint="eastAsia"/>
          <w:noProof/>
          <w:szCs w:val="24"/>
          <w:lang w:val="en-CA" w:eastAsia="en-US"/>
        </w:rPr>
        <w:t>第八十四</w:t>
      </w:r>
      <w:r w:rsidRPr="00C55DAC">
        <w:rPr>
          <w:rFonts w:hAnsi="SimSun" w:cs="Times New Roman"/>
          <w:noProof/>
          <w:szCs w:val="24"/>
          <w:lang w:val="en-CA" w:eastAsia="en-US"/>
        </w:rPr>
        <w:t>次会议</w:t>
      </w:r>
    </w:p>
    <w:p w14:paraId="68561C45" w14:textId="77777777" w:rsidR="009252BB" w:rsidRPr="00C55DAC" w:rsidRDefault="009252BB" w:rsidP="009252BB">
      <w:pPr>
        <w:spacing w:before="0" w:after="0" w:line="240" w:lineRule="auto"/>
        <w:ind w:left="360" w:hanging="360"/>
        <w:rPr>
          <w:rFonts w:cs="Times New Roman"/>
          <w:szCs w:val="24"/>
          <w:lang w:val="en-CA" w:eastAsia="en-US"/>
        </w:rPr>
      </w:pPr>
      <w:r w:rsidRPr="00C55DAC">
        <w:rPr>
          <w:rFonts w:cs="Times New Roman"/>
          <w:noProof/>
          <w:szCs w:val="24"/>
          <w:lang w:val="en-CA" w:eastAsia="en-US"/>
        </w:rPr>
        <w:t>2019</w:t>
      </w:r>
      <w:r w:rsidRPr="00C55DAC">
        <w:rPr>
          <w:rFonts w:hAnsi="SimSun" w:cs="Times New Roman"/>
          <w:noProof/>
          <w:szCs w:val="24"/>
          <w:lang w:val="en-CA" w:eastAsia="en-US"/>
        </w:rPr>
        <w:t>年</w:t>
      </w:r>
      <w:r w:rsidRPr="00C55DAC">
        <w:rPr>
          <w:rFonts w:hAnsi="SimSun" w:cs="Times New Roman" w:hint="eastAsia"/>
          <w:noProof/>
          <w:szCs w:val="24"/>
          <w:lang w:val="en-CA" w:eastAsia="en-US"/>
        </w:rPr>
        <w:t>1</w:t>
      </w:r>
      <w:r w:rsidRPr="00C55DAC">
        <w:rPr>
          <w:rFonts w:hAnsi="SimSun" w:cs="Times New Roman"/>
          <w:noProof/>
          <w:szCs w:val="24"/>
          <w:lang w:val="en-CA" w:eastAsia="en-US"/>
        </w:rPr>
        <w:t>2</w:t>
      </w:r>
      <w:r w:rsidRPr="00C55DAC">
        <w:rPr>
          <w:rFonts w:hAnsi="SimSun" w:cs="Times New Roman"/>
          <w:noProof/>
          <w:szCs w:val="24"/>
          <w:lang w:val="en-CA" w:eastAsia="en-US"/>
        </w:rPr>
        <w:t>月</w:t>
      </w:r>
      <w:r w:rsidRPr="00C55DAC">
        <w:rPr>
          <w:rFonts w:hAnsi="SimSun" w:cs="Times New Roman" w:hint="eastAsia"/>
          <w:noProof/>
          <w:szCs w:val="24"/>
          <w:lang w:val="en-CA" w:eastAsia="en-US"/>
        </w:rPr>
        <w:t>16</w:t>
      </w:r>
      <w:r w:rsidRPr="00C55DAC">
        <w:rPr>
          <w:rFonts w:hAnsi="SimSun" w:cs="Times New Roman"/>
          <w:noProof/>
          <w:szCs w:val="24"/>
          <w:lang w:val="en-CA" w:eastAsia="en-US"/>
        </w:rPr>
        <w:t>日至</w:t>
      </w:r>
      <w:r w:rsidRPr="00C55DAC">
        <w:rPr>
          <w:rFonts w:hAnsi="SimSun" w:cs="Times New Roman"/>
          <w:noProof/>
          <w:szCs w:val="24"/>
          <w:lang w:val="en-CA" w:eastAsia="en-US"/>
        </w:rPr>
        <w:t>20</w:t>
      </w:r>
      <w:r w:rsidRPr="00C55DAC">
        <w:rPr>
          <w:rFonts w:hAnsi="SimSun" w:cs="Times New Roman"/>
          <w:noProof/>
          <w:szCs w:val="24"/>
          <w:lang w:val="en-CA" w:eastAsia="en-US"/>
        </w:rPr>
        <w:t>日，蒙特利尔</w:t>
      </w:r>
    </w:p>
    <w:p w14:paraId="217B3B39" w14:textId="2C332BB7" w:rsidR="005A7A4B" w:rsidRDefault="005A7A4B" w:rsidP="00E31425">
      <w:pPr>
        <w:spacing w:line="259" w:lineRule="auto"/>
        <w:rPr>
          <w:rFonts w:ascii="SimSun" w:hAnsi="SimSun" w:cs="Times New Roman"/>
          <w:szCs w:val="24"/>
        </w:rPr>
      </w:pPr>
    </w:p>
    <w:p w14:paraId="436B154F" w14:textId="64B3C9FC" w:rsidR="007B5E0D" w:rsidRPr="007B5E0D" w:rsidRDefault="00DC7E81" w:rsidP="00E31425">
      <w:pPr>
        <w:spacing w:line="259" w:lineRule="auto"/>
        <w:jc w:val="center"/>
        <w:rPr>
          <w:rFonts w:cs="Times New Roman"/>
          <w:b/>
          <w:bCs/>
          <w:sz w:val="28"/>
          <w:szCs w:val="28"/>
          <w:lang w:val="en-CA"/>
        </w:rPr>
      </w:pPr>
      <w:r>
        <w:rPr>
          <w:rFonts w:cs="Times New Roman" w:hint="eastAsia"/>
          <w:b/>
          <w:bCs/>
          <w:sz w:val="28"/>
          <w:szCs w:val="28"/>
          <w:lang w:val="en-GB"/>
        </w:rPr>
        <w:t>关于有特殊报告要求的项目的报告</w:t>
      </w:r>
    </w:p>
    <w:p w14:paraId="37763C08" w14:textId="0574BEF7" w:rsidR="00A7447E" w:rsidRPr="00A7447E" w:rsidRDefault="00DC7E81" w:rsidP="00DC7E81">
      <w:pPr>
        <w:pStyle w:val="Heading1"/>
        <w:spacing w:line="259" w:lineRule="auto"/>
        <w:jc w:val="center"/>
        <w:rPr>
          <w:rFonts w:hint="eastAsia"/>
          <w:lang w:val="en-CA"/>
        </w:rPr>
      </w:pPr>
      <w:r>
        <w:rPr>
          <w:rFonts w:hint="eastAsia"/>
          <w:lang w:val="en-GB"/>
        </w:rPr>
        <w:t>增编</w:t>
      </w:r>
    </w:p>
    <w:p w14:paraId="011C0B22" w14:textId="1F2925DD" w:rsidR="00BF4E24" w:rsidRPr="00BF4E24" w:rsidRDefault="007F540C" w:rsidP="00E31425">
      <w:pPr>
        <w:numPr>
          <w:ilvl w:val="0"/>
          <w:numId w:val="20"/>
        </w:numPr>
        <w:spacing w:line="259" w:lineRule="auto"/>
        <w:ind w:left="0" w:firstLine="0"/>
        <w:jc w:val="both"/>
        <w:rPr>
          <w:rFonts w:cs="Times New Roman"/>
          <w:szCs w:val="24"/>
          <w:lang w:val="en-GB"/>
        </w:rPr>
      </w:pPr>
      <w:r w:rsidRPr="007F540C">
        <w:rPr>
          <w:rFonts w:cs="Times New Roman" w:hint="eastAsia"/>
          <w:szCs w:val="24"/>
        </w:rPr>
        <w:t>印发本增编是为了列入关于那些涉及中国的有特殊报告要求的项目的报告。</w:t>
      </w:r>
    </w:p>
    <w:p w14:paraId="5F55DCC1" w14:textId="3ECA699C" w:rsidR="00BF4E24" w:rsidRPr="00BF4E24" w:rsidRDefault="007F540C" w:rsidP="007F540C">
      <w:pPr>
        <w:numPr>
          <w:ilvl w:val="0"/>
          <w:numId w:val="20"/>
        </w:numPr>
        <w:spacing w:line="259" w:lineRule="auto"/>
        <w:ind w:left="0" w:firstLine="0"/>
        <w:jc w:val="both"/>
        <w:rPr>
          <w:rFonts w:cs="Times New Roman"/>
          <w:szCs w:val="24"/>
          <w:lang w:val="en-GB"/>
        </w:rPr>
      </w:pPr>
      <w:r w:rsidRPr="007F540C">
        <w:rPr>
          <w:rFonts w:cs="Times New Roman" w:hint="eastAsia"/>
          <w:szCs w:val="24"/>
        </w:rPr>
        <w:t>本文件分为以下几个部分：</w:t>
      </w:r>
    </w:p>
    <w:p w14:paraId="44DEFF76" w14:textId="782F6997" w:rsidR="007F540C" w:rsidRPr="007F540C" w:rsidRDefault="007F540C" w:rsidP="007F540C">
      <w:pPr>
        <w:tabs>
          <w:tab w:val="left" w:pos="1800"/>
        </w:tabs>
        <w:spacing w:line="259" w:lineRule="auto"/>
        <w:ind w:left="1800" w:hanging="1310"/>
        <w:rPr>
          <w:rFonts w:cs="Times New Roman"/>
          <w:szCs w:val="24"/>
        </w:rPr>
      </w:pPr>
      <w:r w:rsidRPr="007F540C">
        <w:rPr>
          <w:rFonts w:cs="Times New Roman" w:hint="eastAsia"/>
          <w:szCs w:val="24"/>
        </w:rPr>
        <w:t>第一部分：</w:t>
      </w:r>
      <w:r>
        <w:rPr>
          <w:rFonts w:cs="Times New Roman"/>
          <w:szCs w:val="24"/>
        </w:rPr>
        <w:tab/>
      </w:r>
      <w:bookmarkStart w:id="0" w:name="_Hlk25936828"/>
      <w:r w:rsidRPr="007F540C">
        <w:rPr>
          <w:rFonts w:cs="Times New Roman" w:hint="eastAsia"/>
          <w:szCs w:val="24"/>
        </w:rPr>
        <w:t>第</w:t>
      </w:r>
      <w:r w:rsidRPr="007F540C">
        <w:rPr>
          <w:rFonts w:cs="Times New Roman"/>
          <w:szCs w:val="24"/>
        </w:rPr>
        <w:t>83/41</w:t>
      </w:r>
      <w:r w:rsidRPr="007F540C">
        <w:rPr>
          <w:rFonts w:cs="Times New Roman" w:hint="eastAsia"/>
          <w:szCs w:val="24"/>
        </w:rPr>
        <w:t>号决定所列活动的执行进度报告</w:t>
      </w:r>
      <w:bookmarkEnd w:id="0"/>
      <w:r w:rsidRPr="007F540C">
        <w:rPr>
          <w:rFonts w:cs="Times New Roman"/>
          <w:szCs w:val="24"/>
        </w:rPr>
        <w:t>               </w:t>
      </w:r>
    </w:p>
    <w:p w14:paraId="39FB3AB1" w14:textId="4DF2B62C" w:rsidR="007F540C" w:rsidRPr="007F540C" w:rsidRDefault="007F540C" w:rsidP="007F540C">
      <w:pPr>
        <w:tabs>
          <w:tab w:val="left" w:pos="1800"/>
        </w:tabs>
        <w:spacing w:line="259" w:lineRule="auto"/>
        <w:ind w:left="1800" w:hanging="1310"/>
        <w:rPr>
          <w:rFonts w:cs="Times New Roman"/>
          <w:szCs w:val="24"/>
        </w:rPr>
      </w:pPr>
      <w:r w:rsidRPr="007F540C">
        <w:rPr>
          <w:rFonts w:cs="Times New Roman" w:hint="eastAsia"/>
          <w:szCs w:val="24"/>
        </w:rPr>
        <w:t>第二部分：</w:t>
      </w:r>
      <w:r>
        <w:rPr>
          <w:rFonts w:cs="Times New Roman"/>
          <w:szCs w:val="24"/>
        </w:rPr>
        <w:tab/>
      </w:r>
      <w:bookmarkStart w:id="1" w:name="_Hlk25938456"/>
      <w:r w:rsidRPr="007F540C">
        <w:rPr>
          <w:rFonts w:cs="Times New Roman" w:hint="eastAsia"/>
          <w:szCs w:val="24"/>
        </w:rPr>
        <w:t>关于</w:t>
      </w:r>
      <w:r w:rsidRPr="007F540C">
        <w:rPr>
          <w:rFonts w:cs="Times New Roman"/>
          <w:szCs w:val="24"/>
        </w:rPr>
        <w:t>氟氯化碳</w:t>
      </w:r>
      <w:r w:rsidRPr="007F540C">
        <w:rPr>
          <w:rFonts w:cs="Times New Roman" w:hint="eastAsia"/>
          <w:szCs w:val="24"/>
        </w:rPr>
        <w:t>生产、哈龙、聚氨酯泡沫塑料、二类加工剂、制冷维修和溶剂行业的财务审计报告（第</w:t>
      </w:r>
      <w:r w:rsidRPr="007F540C">
        <w:rPr>
          <w:rFonts w:cs="Times New Roman"/>
          <w:szCs w:val="24"/>
        </w:rPr>
        <w:t>83/42</w:t>
      </w:r>
      <w:r w:rsidRPr="007F540C">
        <w:rPr>
          <w:rFonts w:cs="Times New Roman" w:hint="eastAsia"/>
          <w:szCs w:val="24"/>
        </w:rPr>
        <w:t>号决定）（开发计划署、环境规划署、工发组织和世界银行）</w:t>
      </w:r>
      <w:r w:rsidRPr="007F540C">
        <w:rPr>
          <w:rFonts w:cs="Times New Roman"/>
          <w:szCs w:val="24"/>
        </w:rPr>
        <w:t>             </w:t>
      </w:r>
      <w:bookmarkEnd w:id="1"/>
    </w:p>
    <w:p w14:paraId="0EEEB9BA" w14:textId="1568CB54" w:rsidR="00BF4E24" w:rsidRPr="00BF4E24" w:rsidRDefault="007F540C" w:rsidP="007F540C">
      <w:pPr>
        <w:tabs>
          <w:tab w:val="left" w:pos="1800"/>
        </w:tabs>
        <w:spacing w:line="259" w:lineRule="auto"/>
        <w:ind w:left="1800" w:hanging="1310"/>
        <w:rPr>
          <w:rFonts w:cs="Times New Roman"/>
          <w:szCs w:val="24"/>
          <w:lang w:val="en-GB"/>
        </w:rPr>
      </w:pPr>
      <w:r w:rsidRPr="007F540C">
        <w:rPr>
          <w:rFonts w:cs="Times New Roman" w:hint="eastAsia"/>
          <w:szCs w:val="24"/>
        </w:rPr>
        <w:t>第三部分：</w:t>
      </w:r>
      <w:r>
        <w:rPr>
          <w:rFonts w:cs="Times New Roman"/>
          <w:szCs w:val="24"/>
        </w:rPr>
        <w:tab/>
      </w:r>
      <w:r w:rsidR="00573AB1">
        <w:rPr>
          <w:rFonts w:cs="Times New Roman" w:hint="eastAsia"/>
          <w:szCs w:val="24"/>
        </w:rPr>
        <w:t>淘汰甲基溴生产的行业计划</w:t>
      </w:r>
      <w:r w:rsidRPr="007F540C">
        <w:rPr>
          <w:rFonts w:cs="Times New Roman" w:hint="eastAsia"/>
          <w:szCs w:val="24"/>
        </w:rPr>
        <w:t>（第</w:t>
      </w:r>
      <w:r w:rsidRPr="007F540C">
        <w:rPr>
          <w:rFonts w:cs="Times New Roman"/>
          <w:szCs w:val="24"/>
        </w:rPr>
        <w:t>83/43</w:t>
      </w:r>
      <w:r w:rsidRPr="007F540C">
        <w:rPr>
          <w:rFonts w:cs="Times New Roman" w:hint="eastAsia"/>
          <w:szCs w:val="24"/>
        </w:rPr>
        <w:t>号决定</w:t>
      </w:r>
      <w:r w:rsidRPr="007F540C">
        <w:rPr>
          <w:rFonts w:cs="Times New Roman" w:hint="eastAsia"/>
          <w:szCs w:val="24"/>
        </w:rPr>
        <w:t>(b)</w:t>
      </w:r>
      <w:r w:rsidRPr="007F540C">
        <w:rPr>
          <w:rFonts w:cs="Times New Roman"/>
          <w:szCs w:val="24"/>
        </w:rPr>
        <w:fldChar w:fldCharType="begin"/>
      </w:r>
      <w:r w:rsidRPr="007F540C">
        <w:rPr>
          <w:rFonts w:cs="Times New Roman"/>
          <w:szCs w:val="24"/>
        </w:rPr>
        <w:instrText xml:space="preserve"> </w:instrText>
      </w:r>
      <w:r w:rsidRPr="007F540C">
        <w:rPr>
          <w:rFonts w:cs="Times New Roman" w:hint="eastAsia"/>
          <w:szCs w:val="24"/>
        </w:rPr>
        <w:instrText>= 1 \* GB4</w:instrText>
      </w:r>
      <w:r w:rsidRPr="007F540C">
        <w:rPr>
          <w:rFonts w:cs="Times New Roman"/>
          <w:szCs w:val="24"/>
        </w:rPr>
        <w:instrText xml:space="preserve"> </w:instrText>
      </w:r>
      <w:r w:rsidRPr="007F540C">
        <w:rPr>
          <w:rFonts w:cs="Times New Roman"/>
          <w:szCs w:val="24"/>
        </w:rPr>
        <w:fldChar w:fldCharType="separate"/>
      </w:r>
      <w:r w:rsidRPr="007F540C">
        <w:rPr>
          <w:rFonts w:cs="Times New Roman" w:hint="eastAsia"/>
          <w:szCs w:val="24"/>
        </w:rPr>
        <w:t>㈠</w:t>
      </w:r>
      <w:r w:rsidRPr="007F540C">
        <w:rPr>
          <w:rFonts w:cs="Times New Roman"/>
          <w:szCs w:val="24"/>
          <w:lang w:val="en-GB"/>
        </w:rPr>
        <w:fldChar w:fldCharType="end"/>
      </w:r>
      <w:r w:rsidRPr="007F540C">
        <w:rPr>
          <w:rFonts w:cs="Times New Roman"/>
          <w:szCs w:val="24"/>
        </w:rPr>
        <w:t>段</w:t>
      </w:r>
      <w:r w:rsidRPr="007F540C">
        <w:rPr>
          <w:rFonts w:cs="Times New Roman" w:hint="eastAsia"/>
          <w:szCs w:val="24"/>
        </w:rPr>
        <w:t>和第</w:t>
      </w:r>
      <w:r w:rsidRPr="007F540C">
        <w:rPr>
          <w:rFonts w:cs="Times New Roman"/>
          <w:szCs w:val="24"/>
        </w:rPr>
        <w:t>83/44</w:t>
      </w:r>
      <w:r w:rsidRPr="007F540C">
        <w:rPr>
          <w:rFonts w:cs="Times New Roman" w:hint="eastAsia"/>
          <w:szCs w:val="24"/>
        </w:rPr>
        <w:t>号决定</w:t>
      </w:r>
      <w:r w:rsidRPr="007F540C">
        <w:rPr>
          <w:rFonts w:cs="Times New Roman" w:hint="eastAsia"/>
          <w:szCs w:val="24"/>
        </w:rPr>
        <w:t>(b)</w:t>
      </w:r>
      <w:r w:rsidRPr="007F540C">
        <w:rPr>
          <w:rFonts w:cs="Times New Roman" w:hint="eastAsia"/>
          <w:szCs w:val="24"/>
        </w:rPr>
        <w:t>和</w:t>
      </w:r>
      <w:r w:rsidRPr="007F540C">
        <w:rPr>
          <w:rFonts w:cs="Times New Roman" w:hint="eastAsia"/>
          <w:szCs w:val="24"/>
        </w:rPr>
        <w:t>(c)</w:t>
      </w:r>
      <w:r w:rsidRPr="007F540C">
        <w:rPr>
          <w:rFonts w:cs="Times New Roman"/>
          <w:szCs w:val="24"/>
        </w:rPr>
        <w:t>段</w:t>
      </w:r>
      <w:r w:rsidRPr="007F540C">
        <w:rPr>
          <w:rFonts w:cs="Times New Roman" w:hint="eastAsia"/>
          <w:szCs w:val="24"/>
        </w:rPr>
        <w:t>）（工发组织）</w:t>
      </w:r>
    </w:p>
    <w:p w14:paraId="23DBDA61" w14:textId="0F7781A9" w:rsidR="00BF4E24" w:rsidRPr="00BF4E24" w:rsidRDefault="007F540C" w:rsidP="00F63D27">
      <w:pPr>
        <w:numPr>
          <w:ilvl w:val="0"/>
          <w:numId w:val="20"/>
        </w:numPr>
        <w:spacing w:line="259" w:lineRule="auto"/>
        <w:ind w:left="0" w:firstLine="0"/>
        <w:jc w:val="both"/>
        <w:rPr>
          <w:rFonts w:cs="Times New Roman"/>
          <w:szCs w:val="24"/>
          <w:lang w:val="en-GB"/>
        </w:rPr>
      </w:pPr>
      <w:r w:rsidRPr="007F540C">
        <w:rPr>
          <w:rFonts w:cs="Times New Roman" w:hint="eastAsia"/>
          <w:szCs w:val="24"/>
        </w:rPr>
        <w:t>每个部分都</w:t>
      </w:r>
      <w:r w:rsidRPr="007F540C">
        <w:rPr>
          <w:rFonts w:cs="Times New Roman"/>
          <w:szCs w:val="24"/>
        </w:rPr>
        <w:t>包括</w:t>
      </w:r>
      <w:r w:rsidRPr="007F540C">
        <w:rPr>
          <w:rFonts w:cs="Times New Roman" w:hint="eastAsia"/>
          <w:szCs w:val="24"/>
        </w:rPr>
        <w:t>对报告或项目执行进度的简要说明</w:t>
      </w:r>
      <w:r w:rsidRPr="007F540C">
        <w:rPr>
          <w:rFonts w:cs="Times New Roman"/>
          <w:szCs w:val="24"/>
        </w:rPr>
        <w:t>以及</w:t>
      </w:r>
      <w:r w:rsidRPr="007F540C">
        <w:rPr>
          <w:rFonts w:cs="Times New Roman" w:hint="eastAsia"/>
          <w:szCs w:val="24"/>
        </w:rPr>
        <w:t>秘书处的评论和建议。</w:t>
      </w:r>
    </w:p>
    <w:p w14:paraId="3DFC5A5A" w14:textId="77777777" w:rsidR="007F540C" w:rsidRDefault="007F540C" w:rsidP="007F540C">
      <w:pPr>
        <w:pStyle w:val="Heading1"/>
        <w:spacing w:line="259" w:lineRule="auto"/>
        <w:rPr>
          <w:rFonts w:hint="eastAsia"/>
          <w:lang w:val="en-GB"/>
        </w:rPr>
      </w:pPr>
    </w:p>
    <w:p w14:paraId="140DC209" w14:textId="47986F8D" w:rsidR="007F540C" w:rsidRPr="007F540C" w:rsidRDefault="007F540C" w:rsidP="007B369C">
      <w:pPr>
        <w:pStyle w:val="Heading1"/>
        <w:spacing w:line="259" w:lineRule="auto"/>
        <w:ind w:left="1260" w:hanging="1260"/>
        <w:rPr>
          <w:rFonts w:hint="eastAsia"/>
          <w:lang w:val="en-GB"/>
        </w:rPr>
      </w:pPr>
      <w:r w:rsidRPr="007F540C">
        <w:rPr>
          <w:rFonts w:hint="eastAsia"/>
          <w:lang w:val="en-GB"/>
        </w:rPr>
        <w:t>第一部分：第</w:t>
      </w:r>
      <w:r w:rsidRPr="007F540C">
        <w:rPr>
          <w:rFonts w:hint="eastAsia"/>
          <w:lang w:val="en-GB"/>
        </w:rPr>
        <w:t>83/41</w:t>
      </w:r>
      <w:r w:rsidRPr="007F540C">
        <w:rPr>
          <w:rFonts w:hint="eastAsia"/>
          <w:lang w:val="en-GB"/>
        </w:rPr>
        <w:t>号决定所列活动的执行进度报告（开发计划署、环境规划署、工发组织和世界银行）</w:t>
      </w:r>
      <w:r w:rsidRPr="007F540C">
        <w:rPr>
          <w:rFonts w:hint="eastAsia"/>
          <w:lang w:val="en-GB"/>
        </w:rPr>
        <w:t xml:space="preserve">               </w:t>
      </w:r>
    </w:p>
    <w:p w14:paraId="3E0D0FFD" w14:textId="1D7E6559" w:rsidR="007F540C" w:rsidRDefault="007F540C" w:rsidP="007F540C">
      <w:pPr>
        <w:pStyle w:val="Heading1"/>
        <w:spacing w:line="259" w:lineRule="auto"/>
        <w:rPr>
          <w:rFonts w:hint="eastAsia"/>
          <w:lang w:val="en-GB"/>
        </w:rPr>
      </w:pPr>
      <w:r w:rsidRPr="007F540C">
        <w:rPr>
          <w:rFonts w:hint="eastAsia"/>
          <w:lang w:val="en-GB"/>
        </w:rPr>
        <w:t>背景</w:t>
      </w:r>
    </w:p>
    <w:p w14:paraId="1502DABB" w14:textId="520583F8" w:rsidR="00F5481F" w:rsidRPr="000C6BF2" w:rsidRDefault="000C6BF2" w:rsidP="000C6BF2">
      <w:pPr>
        <w:numPr>
          <w:ilvl w:val="0"/>
          <w:numId w:val="20"/>
        </w:numPr>
        <w:spacing w:line="259" w:lineRule="auto"/>
        <w:ind w:left="0" w:firstLine="0"/>
        <w:jc w:val="both"/>
        <w:rPr>
          <w:lang w:val="en-GB"/>
        </w:rPr>
      </w:pPr>
      <w:r w:rsidRPr="000C6BF2">
        <w:rPr>
          <w:rFonts w:cs="Times New Roman"/>
          <w:szCs w:val="24"/>
        </w:rPr>
        <w:t>执行委员会第八十三次会议审议了一份关于根据中国政府与执行委员会之间的氟氯烃消费和生产淘汰管理计划协定</w:t>
      </w:r>
      <w:r w:rsidRPr="000C6BF2">
        <w:t>，对现行监测、报告、核查和执法制度</w:t>
      </w:r>
      <w:r w:rsidRPr="000C6BF2">
        <w:rPr>
          <w:rFonts w:hint="eastAsia"/>
        </w:rPr>
        <w:t>进行审查</w:t>
      </w:r>
      <w:r w:rsidRPr="000C6BF2">
        <w:t>的文件，这份文件是开发计划署代表中国政府提交的。执行委员会在审议中除其他外，欢迎中国政府将采取的一些监管和执法行动；赞赏地注意到政府将采取更多</w:t>
      </w:r>
      <w:r w:rsidR="006F2934">
        <w:rPr>
          <w:rFonts w:hint="eastAsia"/>
        </w:rPr>
        <w:t>措施</w:t>
      </w:r>
      <w:r w:rsidRPr="000C6BF2">
        <w:t>来支持其执法行动；</w:t>
      </w:r>
      <w:r w:rsidRPr="000C6BF2">
        <w:lastRenderedPageBreak/>
        <w:t>还赞赏地注意到，中国政府将考虑一套</w:t>
      </w:r>
      <w:r w:rsidRPr="000C6BF2">
        <w:rPr>
          <w:rFonts w:hint="eastAsia"/>
        </w:rPr>
        <w:t>旨在</w:t>
      </w:r>
      <w:r w:rsidRPr="000C6BF2">
        <w:t>补充和加强其监管和执法行动的建议。执行委员会</w:t>
      </w:r>
      <w:r w:rsidR="006F2934">
        <w:rPr>
          <w:rFonts w:hint="eastAsia"/>
        </w:rPr>
        <w:t>又</w:t>
      </w:r>
      <w:r w:rsidRPr="000C6BF2">
        <w:t>注意到，中国政府将向第八十四会议，并再次向第八十六次会议提交一份报告，说明第</w:t>
      </w:r>
      <w:r w:rsidRPr="000C6BF2">
        <w:t>83</w:t>
      </w:r>
      <w:r w:rsidRPr="000C6BF2">
        <w:t>号决定</w:t>
      </w:r>
      <w:r w:rsidRPr="000C6BF2">
        <w:t>(a) – (d)</w:t>
      </w:r>
      <w:r w:rsidRPr="000C6BF2">
        <w:rPr>
          <w:rFonts w:hint="eastAsia"/>
        </w:rPr>
        <w:t xml:space="preserve"> </w:t>
      </w:r>
      <w:r w:rsidRPr="000C6BF2">
        <w:t>段所述活动的执行进度。</w:t>
      </w:r>
    </w:p>
    <w:p w14:paraId="2EE5ECE0" w14:textId="7A9CCBB6" w:rsidR="000C6BF2" w:rsidRPr="007B369C" w:rsidRDefault="007B369C" w:rsidP="000C6BF2">
      <w:pPr>
        <w:numPr>
          <w:ilvl w:val="0"/>
          <w:numId w:val="20"/>
        </w:numPr>
        <w:spacing w:line="259" w:lineRule="auto"/>
        <w:ind w:left="0" w:firstLine="0"/>
        <w:jc w:val="both"/>
        <w:rPr>
          <w:lang w:val="en-GB"/>
        </w:rPr>
      </w:pPr>
      <w:r w:rsidRPr="007B369C">
        <w:t>中国政府按照第</w:t>
      </w:r>
      <w:r w:rsidRPr="007B369C">
        <w:t>83/41</w:t>
      </w:r>
      <w:r w:rsidRPr="007B369C">
        <w:t>号决定向第八十四次会议提交了一份进度报告。根据中国政府的要求，已将报告全文未经编辑或进一步审查列入本文件的附件。</w:t>
      </w:r>
    </w:p>
    <w:p w14:paraId="6C40053E" w14:textId="33FEFE3C" w:rsidR="007B369C" w:rsidRDefault="007B369C" w:rsidP="007B369C">
      <w:pPr>
        <w:pStyle w:val="Heading1"/>
        <w:spacing w:line="259" w:lineRule="auto"/>
        <w:ind w:left="1260" w:hanging="1260"/>
        <w:rPr>
          <w:rFonts w:hint="eastAsia"/>
          <w:lang w:val="en-GB"/>
        </w:rPr>
      </w:pPr>
      <w:r w:rsidRPr="007B369C">
        <w:rPr>
          <w:lang w:val="en-GB"/>
        </w:rPr>
        <w:t>第二部分：</w:t>
      </w:r>
      <w:r w:rsidRPr="007F540C">
        <w:rPr>
          <w:rFonts w:hint="eastAsia"/>
          <w:lang w:val="en-GB"/>
        </w:rPr>
        <w:t>关于</w:t>
      </w:r>
      <w:r w:rsidRPr="007F540C">
        <w:rPr>
          <w:lang w:val="en-GB"/>
        </w:rPr>
        <w:t>氟氯化碳</w:t>
      </w:r>
      <w:r w:rsidRPr="007F540C">
        <w:rPr>
          <w:rFonts w:hint="eastAsia"/>
          <w:lang w:val="en-GB"/>
        </w:rPr>
        <w:t>生产、哈龙、聚氨酯泡沫塑料、二类加工剂、制冷维修和溶剂行业的财务审计报告（第</w:t>
      </w:r>
      <w:r w:rsidRPr="007F540C">
        <w:rPr>
          <w:lang w:val="en-GB"/>
        </w:rPr>
        <w:t>83/42</w:t>
      </w:r>
      <w:r w:rsidRPr="007F540C">
        <w:rPr>
          <w:rFonts w:hint="eastAsia"/>
          <w:lang w:val="en-GB"/>
        </w:rPr>
        <w:t>号决定）（开发计划署、环境规划署、工发组织和世界银行）</w:t>
      </w:r>
    </w:p>
    <w:p w14:paraId="586C1624" w14:textId="0ED66715" w:rsidR="007B369C" w:rsidRDefault="007B369C" w:rsidP="007B369C">
      <w:pPr>
        <w:pStyle w:val="Heading1"/>
        <w:spacing w:line="259" w:lineRule="auto"/>
        <w:ind w:left="1260" w:hanging="1260"/>
        <w:rPr>
          <w:rFonts w:hint="eastAsia"/>
          <w:lang w:val="en-GB"/>
        </w:rPr>
      </w:pPr>
      <w:r>
        <w:rPr>
          <w:rFonts w:hint="eastAsia"/>
          <w:lang w:val="en-GB"/>
        </w:rPr>
        <w:t>背景</w:t>
      </w:r>
    </w:p>
    <w:p w14:paraId="523D412F" w14:textId="6DC49012" w:rsidR="007B369C" w:rsidRPr="009369F2" w:rsidRDefault="009369F2" w:rsidP="009369F2">
      <w:pPr>
        <w:numPr>
          <w:ilvl w:val="0"/>
          <w:numId w:val="20"/>
        </w:numPr>
        <w:spacing w:line="259" w:lineRule="auto"/>
        <w:ind w:left="0" w:firstLine="0"/>
        <w:jc w:val="both"/>
        <w:rPr>
          <w:lang w:val="en-GB"/>
        </w:rPr>
      </w:pPr>
      <w:r w:rsidRPr="009369F2">
        <w:t>根据第</w:t>
      </w:r>
      <w:r w:rsidRPr="009369F2">
        <w:t>71/12</w:t>
      </w:r>
      <w:r w:rsidRPr="009369F2">
        <w:t>号决定</w:t>
      </w:r>
      <w:r w:rsidRPr="009369F2">
        <w:t>(b)</w:t>
      </w:r>
      <w:r w:rsidRPr="009369F2">
        <w:t>㈡和㈢</w:t>
      </w:r>
      <w:r w:rsidRPr="009369F2">
        <w:rPr>
          <w:rFonts w:hint="eastAsia"/>
        </w:rPr>
        <w:t>段</w:t>
      </w:r>
      <w:r w:rsidRPr="009369F2">
        <w:rPr>
          <w:vertAlign w:val="superscript"/>
        </w:rPr>
        <w:footnoteReference w:id="1"/>
      </w:r>
      <w:r w:rsidRPr="009369F2">
        <w:rPr>
          <w:rFonts w:hint="eastAsia"/>
        </w:rPr>
        <w:t>、第</w:t>
      </w:r>
      <w:r w:rsidRPr="009369F2">
        <w:t>72/13</w:t>
      </w:r>
      <w:bookmarkStart w:id="2" w:name="_ftnref2"/>
      <w:bookmarkEnd w:id="2"/>
      <w:r w:rsidRPr="009369F2">
        <w:t>号决定</w:t>
      </w:r>
      <w:r w:rsidRPr="009369F2">
        <w:rPr>
          <w:vertAlign w:val="superscript"/>
        </w:rPr>
        <w:footnoteReference w:id="2"/>
      </w:r>
      <w:r w:rsidRPr="009369F2">
        <w:t>、第</w:t>
      </w:r>
      <w:r w:rsidRPr="009369F2">
        <w:t>73/20</w:t>
      </w:r>
      <w:r w:rsidRPr="009369F2">
        <w:t>号</w:t>
      </w:r>
      <w:r w:rsidRPr="009369F2">
        <w:rPr>
          <w:rFonts w:hint="eastAsia"/>
        </w:rPr>
        <w:t>决定</w:t>
      </w:r>
      <w:r w:rsidRPr="009369F2">
        <w:t>(b)</w:t>
      </w:r>
      <w:bookmarkStart w:id="3" w:name="_ftnref3"/>
      <w:bookmarkEnd w:id="3"/>
      <w:r w:rsidRPr="009369F2">
        <w:t>段</w:t>
      </w:r>
      <w:r w:rsidRPr="009369F2">
        <w:rPr>
          <w:vertAlign w:val="superscript"/>
        </w:rPr>
        <w:footnoteReference w:id="3"/>
      </w:r>
      <w:r w:rsidRPr="009369F2">
        <w:t>、第</w:t>
      </w:r>
      <w:r w:rsidRPr="009369F2">
        <w:t>75/18</w:t>
      </w:r>
      <w:bookmarkStart w:id="4" w:name="_ftnref4"/>
      <w:bookmarkEnd w:id="4"/>
      <w:r w:rsidRPr="009369F2">
        <w:t>号</w:t>
      </w:r>
      <w:r w:rsidRPr="009369F2">
        <w:rPr>
          <w:rFonts w:hint="eastAsia"/>
        </w:rPr>
        <w:t>决定</w:t>
      </w:r>
      <w:r w:rsidRPr="009369F2">
        <w:rPr>
          <w:vertAlign w:val="superscript"/>
        </w:rPr>
        <w:footnoteReference w:id="4"/>
      </w:r>
      <w:r w:rsidRPr="009369F2">
        <w:rPr>
          <w:rFonts w:hint="eastAsia"/>
        </w:rPr>
        <w:t>、第</w:t>
      </w:r>
      <w:r w:rsidRPr="009369F2">
        <w:t>77/26</w:t>
      </w:r>
      <w:r w:rsidRPr="009369F2">
        <w:t>号决定</w:t>
      </w:r>
      <w:r w:rsidRPr="009369F2">
        <w:t>(b)</w:t>
      </w:r>
      <w:bookmarkStart w:id="5" w:name="_ftnref5"/>
      <w:bookmarkEnd w:id="5"/>
      <w:r w:rsidRPr="009369F2">
        <w:t>段</w:t>
      </w:r>
      <w:r w:rsidRPr="009369F2">
        <w:rPr>
          <w:vertAlign w:val="superscript"/>
        </w:rPr>
        <w:footnoteReference w:id="5"/>
      </w:r>
      <w:r w:rsidRPr="009369F2">
        <w:t>和第</w:t>
      </w:r>
      <w:r w:rsidRPr="009369F2">
        <w:t>80/27</w:t>
      </w:r>
      <w:bookmarkStart w:id="6" w:name="_ftnref6"/>
      <w:bookmarkEnd w:id="6"/>
      <w:r w:rsidRPr="009369F2">
        <w:t>号决定</w:t>
      </w:r>
      <w:r w:rsidRPr="009369F2">
        <w:rPr>
          <w:vertAlign w:val="superscript"/>
        </w:rPr>
        <w:footnoteReference w:id="6"/>
      </w:r>
      <w:r w:rsidRPr="009369F2">
        <w:t>，中国政府通过有关的双边机构和执行机构向第八十二和第八十三次会议提交了</w:t>
      </w:r>
      <w:r w:rsidRPr="009369F2">
        <w:rPr>
          <w:rFonts w:hint="eastAsia"/>
        </w:rPr>
        <w:t>最后</w:t>
      </w:r>
      <w:r w:rsidRPr="009369F2">
        <w:t>进度报告、相关的研究报告、技术援助报告和审计报告，包括说明在氟氯化碳生产、哈龙、聚氨酯泡沫泡沫塑料、二类加工剂、制冷维修和溶剂行业计划执行期间产生的利息。</w:t>
      </w:r>
      <w:r w:rsidRPr="009369F2">
        <w:t>  </w:t>
      </w:r>
    </w:p>
    <w:p w14:paraId="28D7FC13" w14:textId="49CD77B4" w:rsidR="009369F2" w:rsidRPr="00A221C9" w:rsidRDefault="00A221C9" w:rsidP="009369F2">
      <w:pPr>
        <w:numPr>
          <w:ilvl w:val="0"/>
          <w:numId w:val="20"/>
        </w:numPr>
        <w:spacing w:line="259" w:lineRule="auto"/>
        <w:ind w:left="0" w:firstLine="0"/>
        <w:jc w:val="both"/>
        <w:rPr>
          <w:lang w:val="en-GB"/>
        </w:rPr>
      </w:pPr>
      <w:r w:rsidRPr="00A221C9">
        <w:t>执行委员会第八十三次会议决定</w:t>
      </w:r>
      <w:r w:rsidRPr="00A221C9">
        <w:rPr>
          <w:rFonts w:hint="eastAsia"/>
        </w:rPr>
        <w:t>，把</w:t>
      </w:r>
      <w:r w:rsidRPr="00A221C9">
        <w:t>中国氟氯化碳生产</w:t>
      </w:r>
      <w:r w:rsidRPr="00A221C9">
        <w:rPr>
          <w:rFonts w:hint="eastAsia"/>
        </w:rPr>
        <w:t>、</w:t>
      </w:r>
      <w:r w:rsidRPr="00A221C9">
        <w:t>哈龙</w:t>
      </w:r>
      <w:r w:rsidRPr="00A221C9">
        <w:rPr>
          <w:rFonts w:hint="eastAsia"/>
        </w:rPr>
        <w:t>、</w:t>
      </w:r>
      <w:r w:rsidRPr="00A221C9">
        <w:t>聚氨酯泡沫</w:t>
      </w:r>
      <w:r w:rsidRPr="00A221C9">
        <w:rPr>
          <w:rFonts w:hint="eastAsia"/>
        </w:rPr>
        <w:t>塑料、</w:t>
      </w:r>
      <w:r w:rsidRPr="00A221C9">
        <w:t>二类加工剂</w:t>
      </w:r>
      <w:r w:rsidRPr="00A221C9">
        <w:rPr>
          <w:rFonts w:hint="eastAsia"/>
        </w:rPr>
        <w:t>、</w:t>
      </w:r>
      <w:r w:rsidRPr="00A221C9">
        <w:t>制冷维修和溶剂行业</w:t>
      </w:r>
      <w:r w:rsidRPr="00A221C9">
        <w:rPr>
          <w:rFonts w:hint="eastAsia"/>
        </w:rPr>
        <w:t>的</w:t>
      </w:r>
      <w:r w:rsidRPr="00A221C9">
        <w:t>财务审计报告</w:t>
      </w:r>
      <w:r w:rsidRPr="00A221C9">
        <w:rPr>
          <w:rFonts w:hint="eastAsia"/>
        </w:rPr>
        <w:t>推迟到第八十四次</w:t>
      </w:r>
      <w:r w:rsidRPr="00A221C9">
        <w:t>会议</w:t>
      </w:r>
      <w:r w:rsidRPr="00A221C9">
        <w:rPr>
          <w:rFonts w:hint="eastAsia"/>
        </w:rPr>
        <w:t>审议（第</w:t>
      </w:r>
      <w:r w:rsidRPr="00A221C9">
        <w:rPr>
          <w:rFonts w:hint="eastAsia"/>
        </w:rPr>
        <w:t>83/42</w:t>
      </w:r>
      <w:r w:rsidRPr="00A221C9">
        <w:rPr>
          <w:rFonts w:hint="eastAsia"/>
        </w:rPr>
        <w:t>号决定）。</w:t>
      </w:r>
      <w:r w:rsidRPr="00A221C9">
        <w:t>中国政府</w:t>
      </w:r>
      <w:r w:rsidRPr="00A221C9">
        <w:rPr>
          <w:rFonts w:hint="eastAsia"/>
        </w:rPr>
        <w:t>因此</w:t>
      </w:r>
      <w:r w:rsidRPr="00A221C9">
        <w:t>通过</w:t>
      </w:r>
      <w:r w:rsidRPr="00A221C9">
        <w:rPr>
          <w:rFonts w:hint="eastAsia"/>
        </w:rPr>
        <w:t>有关</w:t>
      </w:r>
      <w:r w:rsidRPr="00A221C9">
        <w:t>执行机构</w:t>
      </w:r>
      <w:r w:rsidRPr="00A221C9">
        <w:rPr>
          <w:rFonts w:hint="eastAsia"/>
        </w:rPr>
        <w:t>向</w:t>
      </w:r>
      <w:r w:rsidRPr="00A221C9">
        <w:t>第八十四次会议</w:t>
      </w:r>
      <w:r w:rsidRPr="00A221C9">
        <w:rPr>
          <w:rFonts w:hint="eastAsia"/>
        </w:rPr>
        <w:t>提交了截至</w:t>
      </w:r>
      <w:r w:rsidRPr="00A221C9">
        <w:t>2019</w:t>
      </w:r>
      <w:r w:rsidRPr="00A221C9">
        <w:rPr>
          <w:rFonts w:hint="eastAsia"/>
        </w:rPr>
        <w:t>年</w:t>
      </w:r>
      <w:r w:rsidRPr="00A221C9">
        <w:t>6</w:t>
      </w:r>
      <w:r w:rsidRPr="00A221C9">
        <w:t>月</w:t>
      </w:r>
      <w:r w:rsidRPr="00A221C9">
        <w:t>30</w:t>
      </w:r>
      <w:r w:rsidRPr="00A221C9">
        <w:t>日</w:t>
      </w:r>
      <w:r w:rsidRPr="00A221C9">
        <w:rPr>
          <w:rFonts w:hint="eastAsia"/>
        </w:rPr>
        <w:t>的</w:t>
      </w:r>
      <w:r w:rsidRPr="00A221C9">
        <w:t>财务审计</w:t>
      </w:r>
      <w:r w:rsidRPr="00A221C9">
        <w:rPr>
          <w:rFonts w:hint="eastAsia"/>
        </w:rPr>
        <w:t>报告</w:t>
      </w:r>
      <w:r w:rsidRPr="00A221C9">
        <w:t>，</w:t>
      </w:r>
      <w:r w:rsidRPr="00A221C9">
        <w:rPr>
          <w:rFonts w:hint="eastAsia"/>
        </w:rPr>
        <w:t>并提交了向第八十三次会议所提出各项报告的</w:t>
      </w:r>
      <w:r w:rsidRPr="00A221C9">
        <w:t>截至</w:t>
      </w:r>
      <w:r w:rsidRPr="00A221C9">
        <w:t>2019</w:t>
      </w:r>
      <w:r w:rsidRPr="00A221C9">
        <w:t>年</w:t>
      </w:r>
      <w:r w:rsidRPr="00A221C9">
        <w:t>9</w:t>
      </w:r>
      <w:r w:rsidRPr="00A221C9">
        <w:rPr>
          <w:rFonts w:hint="eastAsia"/>
        </w:rPr>
        <w:t>月的</w:t>
      </w:r>
      <w:r w:rsidR="006F2934">
        <w:rPr>
          <w:rFonts w:hint="eastAsia"/>
        </w:rPr>
        <w:t>资料</w:t>
      </w:r>
      <w:r w:rsidRPr="00A221C9">
        <w:rPr>
          <w:rFonts w:hint="eastAsia"/>
        </w:rPr>
        <w:t>更新</w:t>
      </w:r>
      <w:r w:rsidRPr="00A221C9">
        <w:t>。</w:t>
      </w:r>
    </w:p>
    <w:p w14:paraId="15056FA8" w14:textId="18F4D094" w:rsidR="00A221C9" w:rsidRPr="00F22FE4" w:rsidRDefault="00F22FE4" w:rsidP="009369F2">
      <w:pPr>
        <w:numPr>
          <w:ilvl w:val="0"/>
          <w:numId w:val="20"/>
        </w:numPr>
        <w:spacing w:line="259" w:lineRule="auto"/>
        <w:ind w:left="0" w:firstLine="0"/>
        <w:jc w:val="both"/>
        <w:rPr>
          <w:lang w:val="en-GB"/>
        </w:rPr>
      </w:pPr>
      <w:r w:rsidRPr="00F22FE4">
        <w:t>为了反映</w:t>
      </w:r>
      <w:r w:rsidRPr="00F22FE4">
        <w:rPr>
          <w:rFonts w:hint="eastAsia"/>
        </w:rPr>
        <w:t>自第八十三次会议以来的更新</w:t>
      </w:r>
      <w:r w:rsidRPr="00F22FE4">
        <w:t>，秘书处使用了第八十三次会议</w:t>
      </w:r>
      <w:r w:rsidRPr="00F22FE4">
        <w:rPr>
          <w:rFonts w:hint="eastAsia"/>
        </w:rPr>
        <w:t>所</w:t>
      </w:r>
      <w:r w:rsidRPr="00F22FE4">
        <w:t>使用的同样文件</w:t>
      </w:r>
      <w:r w:rsidRPr="00F22FE4">
        <w:rPr>
          <w:vertAlign w:val="superscript"/>
        </w:rPr>
        <w:footnoteReference w:id="7"/>
      </w:r>
      <w:r w:rsidRPr="00F22FE4">
        <w:rPr>
          <w:rFonts w:hint="eastAsia"/>
        </w:rPr>
        <w:t>，</w:t>
      </w:r>
      <w:r w:rsidRPr="00F22FE4">
        <w:rPr>
          <w:rFonts w:hint="eastAsia"/>
          <w:b/>
          <w:bCs/>
        </w:rPr>
        <w:t>包括</w:t>
      </w:r>
      <w:r w:rsidRPr="00F22FE4">
        <w:rPr>
          <w:b/>
          <w:bCs/>
        </w:rPr>
        <w:t>以粗体字显示与审查报告</w:t>
      </w:r>
      <w:r w:rsidR="006F2934">
        <w:rPr>
          <w:rFonts w:hint="eastAsia"/>
          <w:b/>
          <w:bCs/>
        </w:rPr>
        <w:t>资料</w:t>
      </w:r>
      <w:r w:rsidRPr="00F22FE4">
        <w:rPr>
          <w:b/>
          <w:bCs/>
        </w:rPr>
        <w:t>更新相关的新案文。</w:t>
      </w:r>
    </w:p>
    <w:p w14:paraId="32734936" w14:textId="2EB111E5" w:rsidR="00F22FE4" w:rsidRPr="00F22FE4" w:rsidRDefault="00F22FE4" w:rsidP="006F2934">
      <w:pPr>
        <w:keepNext/>
        <w:spacing w:line="259" w:lineRule="auto"/>
        <w:jc w:val="both"/>
        <w:rPr>
          <w:lang w:val="en-GB"/>
        </w:rPr>
      </w:pPr>
      <w:r w:rsidRPr="00F22FE4">
        <w:rPr>
          <w:u w:val="single"/>
        </w:rPr>
        <w:lastRenderedPageBreak/>
        <w:t>规划的预算和进度报告</w:t>
      </w:r>
    </w:p>
    <w:p w14:paraId="30F12E60" w14:textId="791B45E3" w:rsidR="00140D39" w:rsidRDefault="00140D39" w:rsidP="00140D39">
      <w:pPr>
        <w:numPr>
          <w:ilvl w:val="0"/>
          <w:numId w:val="20"/>
        </w:numPr>
        <w:spacing w:line="259" w:lineRule="auto"/>
        <w:ind w:left="0" w:firstLine="0"/>
        <w:jc w:val="both"/>
      </w:pPr>
      <w:r w:rsidRPr="00140D39">
        <w:t>本报告中的财务数据是以中国政府提交的截至</w:t>
      </w:r>
      <w:r w:rsidRPr="00140D39">
        <w:t>2019</w:t>
      </w:r>
      <w:r w:rsidRPr="00140D39">
        <w:t>年</w:t>
      </w:r>
      <w:r w:rsidRPr="00140D39">
        <w:t>6</w:t>
      </w:r>
      <w:r w:rsidRPr="00140D39">
        <w:t>月的审计报告为基础</w:t>
      </w:r>
      <w:r w:rsidRPr="00140D39">
        <w:rPr>
          <w:rFonts w:hint="eastAsia"/>
        </w:rPr>
        <w:t>。在</w:t>
      </w:r>
      <w:r w:rsidRPr="00140D39">
        <w:rPr>
          <w:b/>
          <w:bCs/>
        </w:rPr>
        <w:t>2019</w:t>
      </w:r>
      <w:r w:rsidRPr="00140D39">
        <w:rPr>
          <w:b/>
          <w:bCs/>
        </w:rPr>
        <w:t>年</w:t>
      </w:r>
      <w:r w:rsidRPr="00140D39">
        <w:rPr>
          <w:b/>
          <w:bCs/>
        </w:rPr>
        <w:t>6</w:t>
      </w:r>
      <w:r w:rsidRPr="00140D39">
        <w:rPr>
          <w:b/>
          <w:bCs/>
        </w:rPr>
        <w:t>月</w:t>
      </w:r>
      <w:r w:rsidRPr="00140D39">
        <w:rPr>
          <w:b/>
          <w:bCs/>
        </w:rPr>
        <w:t>30</w:t>
      </w:r>
      <w:r w:rsidRPr="00140D39">
        <w:rPr>
          <w:b/>
          <w:bCs/>
        </w:rPr>
        <w:t>日</w:t>
      </w:r>
      <w:r w:rsidRPr="00140D39">
        <w:t>，所剩余额为</w:t>
      </w:r>
      <w:r w:rsidRPr="00140D39">
        <w:rPr>
          <w:b/>
          <w:bCs/>
          <w:lang w:val="en-CA"/>
        </w:rPr>
        <w:t>14,752,436</w:t>
      </w:r>
      <w:r w:rsidRPr="00140D39">
        <w:rPr>
          <w:b/>
          <w:bCs/>
          <w:lang w:val="en-CA"/>
        </w:rPr>
        <w:t>美元</w:t>
      </w:r>
      <w:r w:rsidRPr="00140D39">
        <w:rPr>
          <w:b/>
          <w:bCs/>
        </w:rPr>
        <w:t> </w:t>
      </w:r>
      <w:r w:rsidRPr="00140D39">
        <w:t>。表</w:t>
      </w:r>
      <w:r w:rsidRPr="00140D39">
        <w:t>1 </w:t>
      </w:r>
      <w:r w:rsidRPr="00140D39">
        <w:t>概述了每</w:t>
      </w:r>
      <w:r w:rsidRPr="00140D39">
        <w:rPr>
          <w:rFonts w:hint="eastAsia"/>
        </w:rPr>
        <w:t>项</w:t>
      </w:r>
      <w:r w:rsidRPr="00140D39">
        <w:t>行业计划在</w:t>
      </w:r>
      <w:r w:rsidRPr="00140D39">
        <w:rPr>
          <w:b/>
          <w:bCs/>
        </w:rPr>
        <w:t>2018</w:t>
      </w:r>
      <w:r w:rsidRPr="00140D39">
        <w:rPr>
          <w:b/>
          <w:bCs/>
        </w:rPr>
        <w:t>年</w:t>
      </w:r>
      <w:r w:rsidRPr="00140D39">
        <w:rPr>
          <w:b/>
          <w:bCs/>
        </w:rPr>
        <w:t>7 </w:t>
      </w:r>
      <w:r w:rsidRPr="00140D39">
        <w:rPr>
          <w:b/>
          <w:bCs/>
        </w:rPr>
        <w:t>月</w:t>
      </w:r>
      <w:r w:rsidRPr="00140D39">
        <w:rPr>
          <w:b/>
          <w:bCs/>
        </w:rPr>
        <w:t>1 </w:t>
      </w:r>
      <w:r w:rsidRPr="00140D39">
        <w:rPr>
          <w:b/>
          <w:bCs/>
        </w:rPr>
        <w:t>日至</w:t>
      </w:r>
      <w:r w:rsidRPr="00140D39">
        <w:rPr>
          <w:b/>
          <w:bCs/>
        </w:rPr>
        <w:t>2019 </w:t>
      </w:r>
      <w:r w:rsidRPr="00140D39">
        <w:rPr>
          <w:b/>
          <w:bCs/>
        </w:rPr>
        <w:t>年</w:t>
      </w:r>
      <w:r w:rsidRPr="00140D39">
        <w:rPr>
          <w:b/>
          <w:bCs/>
        </w:rPr>
        <w:t>6</w:t>
      </w:r>
      <w:r w:rsidRPr="00140D39">
        <w:rPr>
          <w:b/>
          <w:bCs/>
        </w:rPr>
        <w:t>月</w:t>
      </w:r>
      <w:r w:rsidRPr="00140D39">
        <w:rPr>
          <w:b/>
          <w:bCs/>
        </w:rPr>
        <w:t>30 </w:t>
      </w:r>
      <w:r w:rsidRPr="00140D39">
        <w:rPr>
          <w:b/>
          <w:bCs/>
        </w:rPr>
        <w:t>日</w:t>
      </w:r>
      <w:r w:rsidRPr="00140D39">
        <w:t>期间</w:t>
      </w:r>
      <w:r w:rsidR="001800A0">
        <w:t>发放</w:t>
      </w:r>
      <w:r w:rsidRPr="00140D39">
        <w:t>的资金、资金余额和计划完成日期。</w:t>
      </w:r>
    </w:p>
    <w:p w14:paraId="783D8B8F" w14:textId="314FC288" w:rsidR="00140D39" w:rsidRPr="00140D39" w:rsidRDefault="00140D39" w:rsidP="00140D39">
      <w:pPr>
        <w:keepNext/>
        <w:keepLines/>
        <w:spacing w:line="259" w:lineRule="auto"/>
        <w:rPr>
          <w:rFonts w:eastAsia="Times New Roman" w:cs="Times New Roman"/>
          <w:b/>
          <w:szCs w:val="24"/>
          <w:lang w:val="en-CA"/>
        </w:rPr>
      </w:pPr>
      <w:r>
        <w:rPr>
          <w:rFonts w:ascii="SimSun" w:hAnsi="SimSun" w:cs="SimSun" w:hint="eastAsia"/>
          <w:b/>
          <w:szCs w:val="24"/>
          <w:lang w:val="en-CA"/>
        </w:rPr>
        <w:t>表</w:t>
      </w:r>
      <w:r w:rsidRPr="00140D39">
        <w:rPr>
          <w:rFonts w:eastAsia="Times New Roman" w:cs="Times New Roman"/>
          <w:b/>
          <w:szCs w:val="24"/>
          <w:lang w:val="en-CA"/>
        </w:rPr>
        <w:t>1</w:t>
      </w:r>
      <w:r>
        <w:rPr>
          <w:rFonts w:ascii="SimSun" w:hAnsi="SimSun" w:cs="SimSun" w:hint="eastAsia"/>
          <w:b/>
          <w:szCs w:val="24"/>
          <w:lang w:val="en-CA"/>
        </w:rPr>
        <w:t>：使用剩余资金的规划预算（美元）</w:t>
      </w:r>
    </w:p>
    <w:tbl>
      <w:tblPr>
        <w:tblW w:w="9639" w:type="dxa"/>
        <w:tblInd w:w="-8" w:type="dxa"/>
        <w:tblLayout w:type="fixed"/>
        <w:tblLook w:val="04A0" w:firstRow="1" w:lastRow="0" w:firstColumn="1" w:lastColumn="0" w:noHBand="0" w:noVBand="1"/>
      </w:tblPr>
      <w:tblGrid>
        <w:gridCol w:w="4590"/>
        <w:gridCol w:w="1350"/>
        <w:gridCol w:w="1170"/>
        <w:gridCol w:w="1395"/>
        <w:gridCol w:w="1134"/>
      </w:tblGrid>
      <w:tr w:rsidR="00F2561F" w:rsidRPr="00140D39" w14:paraId="247C9CC6" w14:textId="77777777" w:rsidTr="00473E67">
        <w:trPr>
          <w:tblHeader/>
        </w:trPr>
        <w:tc>
          <w:tcPr>
            <w:tcW w:w="4590" w:type="dxa"/>
            <w:tcBorders>
              <w:top w:val="single" w:sz="6" w:space="0" w:color="000000"/>
              <w:left w:val="single" w:sz="6" w:space="0" w:color="000000"/>
              <w:bottom w:val="single" w:sz="6" w:space="0" w:color="000000"/>
              <w:right w:val="single" w:sz="6" w:space="0" w:color="000000"/>
            </w:tcBorders>
            <w:hideMark/>
          </w:tcPr>
          <w:p w14:paraId="6C1FD3C0" w14:textId="4A4EFD93" w:rsidR="00F2561F" w:rsidRPr="00473E67" w:rsidRDefault="00F2561F" w:rsidP="00473E67">
            <w:pPr>
              <w:keepNext/>
              <w:keepLines/>
              <w:spacing w:before="0" w:after="0" w:line="240" w:lineRule="atLeast"/>
              <w:rPr>
                <w:rFonts w:cs="Times New Roman"/>
                <w:b/>
                <w:color w:val="000000"/>
                <w:sz w:val="18"/>
                <w:szCs w:val="18"/>
                <w:lang w:val="en-CA" w:eastAsia="en-US"/>
              </w:rPr>
            </w:pPr>
            <w:r w:rsidRPr="00473E67">
              <w:rPr>
                <w:rFonts w:cs="Times New Roman"/>
                <w:b/>
                <w:bCs/>
                <w:sz w:val="18"/>
                <w:szCs w:val="18"/>
              </w:rPr>
              <w:t>活动</w:t>
            </w:r>
          </w:p>
        </w:tc>
        <w:tc>
          <w:tcPr>
            <w:tcW w:w="1350" w:type="dxa"/>
            <w:tcBorders>
              <w:top w:val="single" w:sz="6" w:space="0" w:color="000000"/>
              <w:bottom w:val="single" w:sz="6" w:space="0" w:color="000000"/>
              <w:right w:val="single" w:sz="6" w:space="0" w:color="000000"/>
            </w:tcBorders>
            <w:tcMar>
              <w:left w:w="14" w:type="dxa"/>
              <w:right w:w="14" w:type="dxa"/>
            </w:tcMar>
            <w:hideMark/>
          </w:tcPr>
          <w:p w14:paraId="1C0B4EAF" w14:textId="11A4AACD" w:rsidR="00F2561F" w:rsidRPr="00473E67" w:rsidRDefault="00F2561F" w:rsidP="00473E67">
            <w:pPr>
              <w:keepNext/>
              <w:keepLines/>
              <w:spacing w:before="0" w:after="0" w:line="240" w:lineRule="atLeast"/>
              <w:jc w:val="center"/>
              <w:rPr>
                <w:rFonts w:cs="Times New Roman"/>
                <w:b/>
                <w:color w:val="000000"/>
                <w:sz w:val="18"/>
                <w:szCs w:val="18"/>
                <w:lang w:val="en-CA" w:eastAsia="en-US"/>
              </w:rPr>
            </w:pPr>
            <w:r w:rsidRPr="00473E67">
              <w:rPr>
                <w:rFonts w:cs="Times New Roman"/>
                <w:b/>
                <w:bCs/>
                <w:sz w:val="18"/>
                <w:szCs w:val="18"/>
              </w:rPr>
              <w:t>2018 </w:t>
            </w:r>
            <w:r w:rsidRPr="00473E67">
              <w:rPr>
                <w:rFonts w:cs="Times New Roman"/>
                <w:b/>
                <w:bCs/>
                <w:sz w:val="18"/>
                <w:szCs w:val="18"/>
              </w:rPr>
              <w:t>年</w:t>
            </w:r>
            <w:r w:rsidRPr="00473E67">
              <w:rPr>
                <w:rFonts w:cs="Times New Roman"/>
                <w:b/>
                <w:bCs/>
                <w:sz w:val="18"/>
                <w:szCs w:val="18"/>
              </w:rPr>
              <w:t>6</w:t>
            </w:r>
            <w:r w:rsidRPr="00473E67">
              <w:rPr>
                <w:rFonts w:cs="Times New Roman"/>
                <w:b/>
                <w:bCs/>
                <w:sz w:val="18"/>
                <w:szCs w:val="18"/>
              </w:rPr>
              <w:t>月</w:t>
            </w:r>
            <w:r w:rsidRPr="00473E67">
              <w:rPr>
                <w:rFonts w:cs="Times New Roman"/>
                <w:b/>
                <w:bCs/>
                <w:sz w:val="18"/>
                <w:szCs w:val="18"/>
              </w:rPr>
              <w:t>30 </w:t>
            </w:r>
            <w:r w:rsidRPr="00473E67">
              <w:rPr>
                <w:rFonts w:cs="Times New Roman"/>
                <w:b/>
                <w:bCs/>
                <w:sz w:val="18"/>
                <w:szCs w:val="18"/>
              </w:rPr>
              <w:t>日资金余额</w:t>
            </w:r>
            <w:r w:rsidRPr="00473E67">
              <w:rPr>
                <w:rFonts w:cs="Times New Roman"/>
                <w:b/>
                <w:bCs/>
                <w:sz w:val="18"/>
                <w:szCs w:val="18"/>
              </w:rPr>
              <w:t> </w:t>
            </w:r>
          </w:p>
        </w:tc>
        <w:tc>
          <w:tcPr>
            <w:tcW w:w="1170" w:type="dxa"/>
            <w:tcBorders>
              <w:top w:val="single" w:sz="6" w:space="0" w:color="000000"/>
              <w:bottom w:val="single" w:sz="6" w:space="0" w:color="000000"/>
              <w:right w:val="single" w:sz="6" w:space="0" w:color="000000"/>
            </w:tcBorders>
            <w:tcMar>
              <w:left w:w="14" w:type="dxa"/>
              <w:right w:w="14" w:type="dxa"/>
            </w:tcMar>
            <w:hideMark/>
          </w:tcPr>
          <w:p w14:paraId="78D652A2" w14:textId="36DB7395" w:rsidR="00F2561F" w:rsidRPr="00473E67" w:rsidRDefault="00F2561F" w:rsidP="00473E67">
            <w:pPr>
              <w:keepNext/>
              <w:keepLines/>
              <w:spacing w:before="0" w:after="0" w:line="240" w:lineRule="atLeast"/>
              <w:jc w:val="center"/>
              <w:rPr>
                <w:rFonts w:cs="Times New Roman"/>
                <w:b/>
                <w:color w:val="000000"/>
                <w:sz w:val="18"/>
                <w:szCs w:val="18"/>
                <w:lang w:val="en-CA" w:eastAsia="en-US"/>
              </w:rPr>
            </w:pPr>
            <w:r w:rsidRPr="00473E67">
              <w:rPr>
                <w:rFonts w:cs="Times New Roman"/>
                <w:b/>
                <w:bCs/>
                <w:sz w:val="18"/>
                <w:szCs w:val="18"/>
              </w:rPr>
              <w:t>新</w:t>
            </w:r>
            <w:r w:rsidR="001800A0">
              <w:rPr>
                <w:rFonts w:cs="Times New Roman" w:hint="eastAsia"/>
                <w:b/>
                <w:bCs/>
                <w:sz w:val="18"/>
                <w:szCs w:val="18"/>
              </w:rPr>
              <w:t>发放资金</w:t>
            </w:r>
          </w:p>
        </w:tc>
        <w:tc>
          <w:tcPr>
            <w:tcW w:w="1395" w:type="dxa"/>
            <w:tcBorders>
              <w:top w:val="single" w:sz="6" w:space="0" w:color="000000"/>
              <w:bottom w:val="single" w:sz="6" w:space="0" w:color="000000"/>
              <w:right w:val="single" w:sz="6" w:space="0" w:color="000000"/>
            </w:tcBorders>
            <w:tcMar>
              <w:left w:w="14" w:type="dxa"/>
              <w:right w:w="14" w:type="dxa"/>
            </w:tcMar>
            <w:hideMark/>
          </w:tcPr>
          <w:p w14:paraId="512D007E" w14:textId="3C6BAC1C" w:rsidR="00F2561F" w:rsidRPr="00473E67" w:rsidRDefault="00F2561F" w:rsidP="00473E67">
            <w:pPr>
              <w:keepNext/>
              <w:keepLines/>
              <w:spacing w:before="0" w:after="0" w:line="240" w:lineRule="atLeast"/>
              <w:jc w:val="center"/>
              <w:rPr>
                <w:rFonts w:cs="Times New Roman"/>
                <w:b/>
                <w:color w:val="000000"/>
                <w:sz w:val="18"/>
                <w:szCs w:val="18"/>
                <w:lang w:val="en-CA" w:eastAsia="en-US"/>
              </w:rPr>
            </w:pPr>
            <w:r w:rsidRPr="00473E67">
              <w:rPr>
                <w:rFonts w:cs="Times New Roman"/>
                <w:b/>
                <w:bCs/>
                <w:sz w:val="18"/>
                <w:szCs w:val="18"/>
              </w:rPr>
              <w:t>2019</w:t>
            </w:r>
            <w:r w:rsidRPr="00473E67">
              <w:rPr>
                <w:rFonts w:cs="Times New Roman"/>
                <w:b/>
                <w:bCs/>
                <w:sz w:val="18"/>
                <w:szCs w:val="18"/>
              </w:rPr>
              <w:t>年</w:t>
            </w:r>
            <w:r w:rsidRPr="00473E67">
              <w:rPr>
                <w:rFonts w:cs="Times New Roman"/>
                <w:b/>
                <w:bCs/>
                <w:sz w:val="18"/>
                <w:szCs w:val="18"/>
              </w:rPr>
              <w:t>6</w:t>
            </w:r>
            <w:r w:rsidRPr="00473E67">
              <w:rPr>
                <w:rFonts w:cs="Times New Roman"/>
                <w:b/>
                <w:bCs/>
                <w:sz w:val="18"/>
                <w:szCs w:val="18"/>
              </w:rPr>
              <w:t>月</w:t>
            </w:r>
            <w:r w:rsidRPr="00473E67">
              <w:rPr>
                <w:rFonts w:cs="Times New Roman"/>
                <w:b/>
                <w:bCs/>
                <w:sz w:val="18"/>
                <w:szCs w:val="18"/>
              </w:rPr>
              <w:t>30 </w:t>
            </w:r>
            <w:r w:rsidRPr="00473E67">
              <w:rPr>
                <w:rFonts w:cs="Times New Roman"/>
                <w:b/>
                <w:bCs/>
                <w:sz w:val="18"/>
                <w:szCs w:val="18"/>
              </w:rPr>
              <w:t>日资金余额</w:t>
            </w:r>
            <w:r w:rsidRPr="00473E67">
              <w:rPr>
                <w:rFonts w:cs="Times New Roman"/>
                <w:b/>
                <w:bCs/>
                <w:sz w:val="18"/>
                <w:szCs w:val="18"/>
              </w:rPr>
              <w:t>  </w:t>
            </w:r>
          </w:p>
        </w:tc>
        <w:tc>
          <w:tcPr>
            <w:tcW w:w="1134" w:type="dxa"/>
            <w:tcBorders>
              <w:top w:val="single" w:sz="6" w:space="0" w:color="000000"/>
              <w:bottom w:val="single" w:sz="6" w:space="0" w:color="000000"/>
              <w:right w:val="single" w:sz="6" w:space="0" w:color="000000"/>
            </w:tcBorders>
            <w:tcMar>
              <w:left w:w="14" w:type="dxa"/>
              <w:right w:w="14" w:type="dxa"/>
            </w:tcMar>
            <w:hideMark/>
          </w:tcPr>
          <w:p w14:paraId="4678D47D" w14:textId="3C3BD95D" w:rsidR="00F2561F" w:rsidRPr="00473E67" w:rsidRDefault="00F2561F" w:rsidP="00473E67">
            <w:pPr>
              <w:keepNext/>
              <w:keepLines/>
              <w:spacing w:before="0" w:after="0" w:line="240" w:lineRule="atLeast"/>
              <w:jc w:val="center"/>
              <w:rPr>
                <w:rFonts w:cs="Times New Roman"/>
                <w:b/>
                <w:color w:val="000000"/>
                <w:sz w:val="18"/>
                <w:szCs w:val="18"/>
                <w:lang w:val="en-CA" w:eastAsia="en-US"/>
              </w:rPr>
            </w:pPr>
            <w:r w:rsidRPr="00473E67">
              <w:rPr>
                <w:rFonts w:cs="Times New Roman"/>
                <w:b/>
                <w:bCs/>
                <w:sz w:val="18"/>
                <w:szCs w:val="18"/>
              </w:rPr>
              <w:t>完成日期</w:t>
            </w:r>
          </w:p>
        </w:tc>
      </w:tr>
      <w:tr w:rsidR="00F2561F" w:rsidRPr="00140D39" w14:paraId="4E7A90FC" w14:textId="77777777" w:rsidTr="00F2561F">
        <w:tc>
          <w:tcPr>
            <w:tcW w:w="9639" w:type="dxa"/>
            <w:gridSpan w:val="5"/>
            <w:tcBorders>
              <w:top w:val="nil"/>
              <w:left w:val="single" w:sz="4" w:space="0" w:color="auto"/>
              <w:bottom w:val="single" w:sz="4" w:space="0" w:color="auto"/>
              <w:right w:val="single" w:sz="4" w:space="0" w:color="auto"/>
            </w:tcBorders>
            <w:noWrap/>
            <w:hideMark/>
          </w:tcPr>
          <w:p w14:paraId="5B9717D8" w14:textId="1F4AFEE8" w:rsidR="00F2561F" w:rsidRPr="00473E67" w:rsidRDefault="00F2561F" w:rsidP="00473E67">
            <w:pPr>
              <w:widowControl w:val="0"/>
              <w:spacing w:before="0" w:after="0" w:line="240" w:lineRule="atLeast"/>
              <w:rPr>
                <w:rFonts w:cs="Times New Roman"/>
                <w:color w:val="000000"/>
                <w:sz w:val="18"/>
                <w:szCs w:val="18"/>
                <w:lang w:val="en-CA"/>
              </w:rPr>
            </w:pPr>
            <w:r w:rsidRPr="00473E67">
              <w:rPr>
                <w:rFonts w:cs="Times New Roman"/>
                <w:b/>
                <w:bCs/>
                <w:color w:val="000000"/>
                <w:sz w:val="18"/>
                <w:szCs w:val="18"/>
              </w:rPr>
              <w:t>氟氯化碳生产：</w:t>
            </w:r>
            <w:r w:rsidR="009F4EB4" w:rsidRPr="00473E67">
              <w:rPr>
                <w:rFonts w:cs="Times New Roman"/>
                <w:b/>
                <w:bCs/>
                <w:color w:val="000000"/>
                <w:sz w:val="18"/>
                <w:szCs w:val="18"/>
              </w:rPr>
              <w:t>核准费用总额</w:t>
            </w:r>
            <w:r w:rsidRPr="00473E67">
              <w:rPr>
                <w:rFonts w:cs="Times New Roman"/>
                <w:b/>
                <w:bCs/>
                <w:color w:val="000000"/>
                <w:sz w:val="18"/>
                <w:szCs w:val="18"/>
              </w:rPr>
              <w:t>150,000,000</w:t>
            </w:r>
            <w:r w:rsidRPr="00473E67">
              <w:rPr>
                <w:rFonts w:cs="Times New Roman"/>
                <w:b/>
                <w:bCs/>
                <w:color w:val="000000"/>
                <w:sz w:val="18"/>
                <w:szCs w:val="18"/>
              </w:rPr>
              <w:t>美元（世界银行）</w:t>
            </w:r>
            <w:r w:rsidRPr="00473E67">
              <w:rPr>
                <w:rFonts w:cs="Times New Roman"/>
                <w:b/>
                <w:bCs/>
                <w:color w:val="000000"/>
                <w:sz w:val="18"/>
                <w:szCs w:val="18"/>
              </w:rPr>
              <w:t>  </w:t>
            </w:r>
          </w:p>
        </w:tc>
      </w:tr>
      <w:tr w:rsidR="00F2561F" w:rsidRPr="00140D39" w14:paraId="0203562D" w14:textId="77777777" w:rsidTr="00473E67">
        <w:tc>
          <w:tcPr>
            <w:tcW w:w="4590" w:type="dxa"/>
            <w:tcBorders>
              <w:left w:val="single" w:sz="6" w:space="0" w:color="000000"/>
              <w:bottom w:val="single" w:sz="6" w:space="0" w:color="000000"/>
              <w:right w:val="single" w:sz="6" w:space="0" w:color="000000"/>
            </w:tcBorders>
            <w:hideMark/>
          </w:tcPr>
          <w:p w14:paraId="4F18F361" w14:textId="297BCD6C" w:rsidR="00F2561F" w:rsidRPr="00473E67" w:rsidRDefault="00F2561F"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ODS</w:t>
            </w:r>
            <w:r w:rsidRPr="00473E67">
              <w:rPr>
                <w:rFonts w:cs="Times New Roman"/>
                <w:sz w:val="18"/>
                <w:szCs w:val="18"/>
              </w:rPr>
              <w:t>替代技术研发</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0B3DB64B"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742,087</w:t>
            </w:r>
          </w:p>
        </w:tc>
        <w:tc>
          <w:tcPr>
            <w:tcW w:w="1170" w:type="dxa"/>
            <w:tcBorders>
              <w:top w:val="nil"/>
              <w:left w:val="nil"/>
              <w:bottom w:val="single" w:sz="4" w:space="0" w:color="auto"/>
              <w:right w:val="single" w:sz="4" w:space="0" w:color="auto"/>
            </w:tcBorders>
            <w:shd w:val="clear" w:color="auto" w:fill="auto"/>
            <w:vAlign w:val="center"/>
            <w:hideMark/>
          </w:tcPr>
          <w:p w14:paraId="59871DDB"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697,952</w:t>
            </w:r>
          </w:p>
        </w:tc>
        <w:tc>
          <w:tcPr>
            <w:tcW w:w="1395" w:type="dxa"/>
            <w:tcBorders>
              <w:top w:val="nil"/>
              <w:left w:val="nil"/>
              <w:bottom w:val="single" w:sz="4" w:space="0" w:color="auto"/>
              <w:right w:val="single" w:sz="4" w:space="0" w:color="auto"/>
            </w:tcBorders>
            <w:shd w:val="clear" w:color="auto" w:fill="auto"/>
            <w:vAlign w:val="center"/>
            <w:hideMark/>
          </w:tcPr>
          <w:p w14:paraId="2F9146C2"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44,135</w:t>
            </w:r>
          </w:p>
        </w:tc>
        <w:tc>
          <w:tcPr>
            <w:tcW w:w="1134" w:type="dxa"/>
            <w:tcBorders>
              <w:top w:val="nil"/>
              <w:left w:val="nil"/>
              <w:bottom w:val="single" w:sz="4" w:space="0" w:color="auto"/>
              <w:right w:val="single" w:sz="4" w:space="0" w:color="auto"/>
            </w:tcBorders>
            <w:shd w:val="clear" w:color="auto" w:fill="auto"/>
            <w:hideMark/>
          </w:tcPr>
          <w:p w14:paraId="73543F0A" w14:textId="77777777" w:rsidR="00F2561F" w:rsidRPr="00473E67" w:rsidRDefault="00F2561F" w:rsidP="00473E67">
            <w:pPr>
              <w:spacing w:before="0" w:after="0" w:line="240" w:lineRule="atLeast"/>
              <w:jc w:val="right"/>
              <w:rPr>
                <w:rFonts w:cs="Times New Roman"/>
                <w:color w:val="000000"/>
                <w:sz w:val="18"/>
                <w:szCs w:val="18"/>
                <w:lang w:val="en-GB" w:eastAsia="en-US"/>
              </w:rPr>
            </w:pPr>
          </w:p>
        </w:tc>
      </w:tr>
      <w:tr w:rsidR="00F2561F" w:rsidRPr="00140D39" w14:paraId="4441691A" w14:textId="77777777" w:rsidTr="00473E67">
        <w:tc>
          <w:tcPr>
            <w:tcW w:w="4590" w:type="dxa"/>
            <w:tcBorders>
              <w:left w:val="single" w:sz="6" w:space="0" w:color="000000"/>
              <w:bottom w:val="single" w:sz="6" w:space="0" w:color="000000"/>
              <w:right w:val="single" w:sz="6" w:space="0" w:color="000000"/>
            </w:tcBorders>
            <w:hideMark/>
          </w:tcPr>
          <w:p w14:paraId="550DB36B" w14:textId="2C34AA78" w:rsidR="00F2561F" w:rsidRPr="00473E67" w:rsidRDefault="00F2561F"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监督管理</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09A8FD1F"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233,411</w:t>
            </w:r>
          </w:p>
        </w:tc>
        <w:tc>
          <w:tcPr>
            <w:tcW w:w="1170" w:type="dxa"/>
            <w:tcBorders>
              <w:top w:val="nil"/>
              <w:left w:val="nil"/>
              <w:bottom w:val="single" w:sz="4" w:space="0" w:color="auto"/>
              <w:right w:val="single" w:sz="4" w:space="0" w:color="auto"/>
            </w:tcBorders>
            <w:shd w:val="clear" w:color="auto" w:fill="auto"/>
            <w:vAlign w:val="center"/>
            <w:hideMark/>
          </w:tcPr>
          <w:p w14:paraId="3303524C"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97,668</w:t>
            </w:r>
          </w:p>
        </w:tc>
        <w:tc>
          <w:tcPr>
            <w:tcW w:w="1395" w:type="dxa"/>
            <w:tcBorders>
              <w:top w:val="nil"/>
              <w:left w:val="nil"/>
              <w:bottom w:val="single" w:sz="4" w:space="0" w:color="auto"/>
              <w:right w:val="single" w:sz="4" w:space="0" w:color="auto"/>
            </w:tcBorders>
            <w:shd w:val="clear" w:color="auto" w:fill="auto"/>
            <w:vAlign w:val="center"/>
            <w:hideMark/>
          </w:tcPr>
          <w:p w14:paraId="217904C1"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135,743</w:t>
            </w:r>
          </w:p>
        </w:tc>
        <w:tc>
          <w:tcPr>
            <w:tcW w:w="1134" w:type="dxa"/>
            <w:tcBorders>
              <w:top w:val="nil"/>
              <w:left w:val="nil"/>
              <w:bottom w:val="single" w:sz="4" w:space="0" w:color="auto"/>
              <w:right w:val="single" w:sz="4" w:space="0" w:color="auto"/>
            </w:tcBorders>
            <w:shd w:val="clear" w:color="auto" w:fill="auto"/>
            <w:hideMark/>
          </w:tcPr>
          <w:p w14:paraId="3AB81D1B" w14:textId="77777777" w:rsidR="00F2561F" w:rsidRPr="00473E67" w:rsidRDefault="00F2561F" w:rsidP="00473E67">
            <w:pPr>
              <w:spacing w:before="0" w:after="0" w:line="240" w:lineRule="atLeast"/>
              <w:jc w:val="right"/>
              <w:rPr>
                <w:rFonts w:cs="Times New Roman"/>
                <w:color w:val="000000"/>
                <w:sz w:val="18"/>
                <w:szCs w:val="18"/>
                <w:lang w:val="en-GB" w:eastAsia="en-US"/>
              </w:rPr>
            </w:pPr>
          </w:p>
        </w:tc>
      </w:tr>
      <w:tr w:rsidR="00F2561F" w:rsidRPr="00140D39" w14:paraId="305C2B07" w14:textId="77777777" w:rsidTr="00E408FC">
        <w:tc>
          <w:tcPr>
            <w:tcW w:w="4590" w:type="dxa"/>
            <w:tcBorders>
              <w:left w:val="single" w:sz="6" w:space="0" w:color="000000"/>
              <w:bottom w:val="single" w:sz="6" w:space="0" w:color="000000"/>
              <w:right w:val="single" w:sz="6" w:space="0" w:color="000000"/>
            </w:tcBorders>
            <w:hideMark/>
          </w:tcPr>
          <w:p w14:paraId="1C69F18D" w14:textId="72B3D28F" w:rsidR="00F2561F" w:rsidRPr="00473E67" w:rsidRDefault="00F2561F"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共计</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7645F4D" w14:textId="77777777" w:rsidR="00F2561F" w:rsidRPr="00473E67" w:rsidRDefault="00F2561F"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975,498</w:t>
            </w:r>
          </w:p>
        </w:tc>
        <w:tc>
          <w:tcPr>
            <w:tcW w:w="1170" w:type="dxa"/>
            <w:tcBorders>
              <w:top w:val="nil"/>
              <w:left w:val="nil"/>
              <w:bottom w:val="single" w:sz="4" w:space="0" w:color="auto"/>
              <w:right w:val="single" w:sz="4" w:space="0" w:color="auto"/>
            </w:tcBorders>
            <w:shd w:val="clear" w:color="auto" w:fill="auto"/>
            <w:noWrap/>
            <w:vAlign w:val="center"/>
            <w:hideMark/>
          </w:tcPr>
          <w:p w14:paraId="50A8E5D6" w14:textId="77777777" w:rsidR="00F2561F" w:rsidRPr="00473E67" w:rsidRDefault="00F2561F"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795,620</w:t>
            </w:r>
          </w:p>
        </w:tc>
        <w:tc>
          <w:tcPr>
            <w:tcW w:w="1395" w:type="dxa"/>
            <w:tcBorders>
              <w:top w:val="nil"/>
              <w:left w:val="nil"/>
              <w:bottom w:val="single" w:sz="4" w:space="0" w:color="auto"/>
              <w:right w:val="single" w:sz="4" w:space="0" w:color="auto"/>
            </w:tcBorders>
            <w:shd w:val="clear" w:color="auto" w:fill="auto"/>
            <w:noWrap/>
            <w:vAlign w:val="center"/>
            <w:hideMark/>
          </w:tcPr>
          <w:p w14:paraId="7A862CEA" w14:textId="77777777" w:rsidR="00F2561F" w:rsidRPr="00473E67" w:rsidRDefault="00F2561F"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179,878</w:t>
            </w:r>
          </w:p>
        </w:tc>
        <w:tc>
          <w:tcPr>
            <w:tcW w:w="1134" w:type="dxa"/>
            <w:tcBorders>
              <w:top w:val="nil"/>
              <w:left w:val="nil"/>
              <w:bottom w:val="single" w:sz="4" w:space="0" w:color="auto"/>
              <w:right w:val="single" w:sz="4" w:space="0" w:color="auto"/>
            </w:tcBorders>
            <w:shd w:val="clear" w:color="auto" w:fill="auto"/>
            <w:noWrap/>
            <w:tcMar>
              <w:left w:w="29" w:type="dxa"/>
              <w:right w:w="29" w:type="dxa"/>
            </w:tcMar>
            <w:hideMark/>
          </w:tcPr>
          <w:p w14:paraId="0875F59D" w14:textId="13D69CA9" w:rsidR="00F2561F" w:rsidRPr="00473E67" w:rsidRDefault="00F2561F"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2019</w:t>
            </w:r>
            <w:r w:rsidR="00E408FC">
              <w:rPr>
                <w:rFonts w:cs="Times New Roman" w:hint="eastAsia"/>
                <w:b/>
                <w:bCs/>
                <w:color w:val="000000"/>
                <w:sz w:val="18"/>
                <w:szCs w:val="18"/>
                <w:lang w:val="en-GB"/>
              </w:rPr>
              <w:t>年</w:t>
            </w:r>
            <w:r w:rsidR="00E408FC">
              <w:rPr>
                <w:rFonts w:cs="Times New Roman" w:hint="eastAsia"/>
                <w:b/>
                <w:bCs/>
                <w:color w:val="000000"/>
                <w:sz w:val="18"/>
                <w:szCs w:val="18"/>
                <w:lang w:val="en-GB"/>
              </w:rPr>
              <w:t>12</w:t>
            </w:r>
            <w:r w:rsidR="00E408FC">
              <w:rPr>
                <w:rFonts w:cs="Times New Roman" w:hint="eastAsia"/>
                <w:b/>
                <w:bCs/>
                <w:color w:val="000000"/>
                <w:sz w:val="18"/>
                <w:szCs w:val="18"/>
                <w:lang w:val="en-GB"/>
              </w:rPr>
              <w:t>月</w:t>
            </w:r>
          </w:p>
        </w:tc>
      </w:tr>
      <w:tr w:rsidR="00F2561F" w:rsidRPr="00140D39" w14:paraId="1768FDC9" w14:textId="77777777" w:rsidTr="00FF1D1E">
        <w:tc>
          <w:tcPr>
            <w:tcW w:w="9639" w:type="dxa"/>
            <w:gridSpan w:val="5"/>
            <w:tcBorders>
              <w:left w:val="single" w:sz="6" w:space="0" w:color="000000"/>
              <w:bottom w:val="single" w:sz="6" w:space="0" w:color="000000"/>
              <w:right w:val="single" w:sz="6" w:space="0" w:color="000000"/>
            </w:tcBorders>
            <w:noWrap/>
            <w:hideMark/>
          </w:tcPr>
          <w:p w14:paraId="5AEB7EB6" w14:textId="7BE645B3" w:rsidR="00F2561F" w:rsidRPr="00473E67" w:rsidRDefault="00F2561F" w:rsidP="00473E67">
            <w:pPr>
              <w:widowControl w:val="0"/>
              <w:spacing w:before="0" w:after="0" w:line="240" w:lineRule="atLeast"/>
              <w:rPr>
                <w:rFonts w:cs="Times New Roman"/>
                <w:b/>
                <w:bCs/>
                <w:color w:val="000000"/>
                <w:sz w:val="18"/>
                <w:szCs w:val="18"/>
                <w:lang w:val="en-CA"/>
              </w:rPr>
            </w:pPr>
            <w:r w:rsidRPr="00473E67">
              <w:rPr>
                <w:rFonts w:cs="Times New Roman"/>
                <w:b/>
                <w:bCs/>
                <w:sz w:val="18"/>
                <w:szCs w:val="18"/>
              </w:rPr>
              <w:t>哈龙行业：</w:t>
            </w:r>
            <w:r w:rsidR="009F4EB4" w:rsidRPr="00473E67">
              <w:rPr>
                <w:rFonts w:cs="Times New Roman"/>
                <w:b/>
                <w:bCs/>
                <w:sz w:val="18"/>
                <w:szCs w:val="18"/>
              </w:rPr>
              <w:t>核准费用总额</w:t>
            </w:r>
            <w:r w:rsidRPr="00473E67">
              <w:rPr>
                <w:rFonts w:cs="Times New Roman"/>
                <w:b/>
                <w:bCs/>
                <w:sz w:val="18"/>
                <w:szCs w:val="18"/>
              </w:rPr>
              <w:t>62,000,000</w:t>
            </w:r>
            <w:r w:rsidRPr="00473E67">
              <w:rPr>
                <w:rFonts w:cs="Times New Roman"/>
                <w:b/>
                <w:bCs/>
                <w:sz w:val="18"/>
                <w:szCs w:val="18"/>
              </w:rPr>
              <w:t>美元（世界银行）</w:t>
            </w:r>
            <w:r w:rsidRPr="00473E67">
              <w:rPr>
                <w:rFonts w:cs="Times New Roman"/>
                <w:b/>
                <w:bCs/>
                <w:sz w:val="18"/>
                <w:szCs w:val="18"/>
              </w:rPr>
              <w:t> </w:t>
            </w:r>
          </w:p>
        </w:tc>
      </w:tr>
      <w:tr w:rsidR="00F2561F" w:rsidRPr="00140D39" w14:paraId="24851212" w14:textId="77777777" w:rsidTr="00473E67">
        <w:tc>
          <w:tcPr>
            <w:tcW w:w="4590" w:type="dxa"/>
            <w:tcBorders>
              <w:left w:val="single" w:sz="6" w:space="0" w:color="000000"/>
              <w:bottom w:val="single" w:sz="6" w:space="0" w:color="000000"/>
              <w:right w:val="single" w:sz="6" w:space="0" w:color="000000"/>
            </w:tcBorders>
          </w:tcPr>
          <w:p w14:paraId="31DCD08D" w14:textId="4DB4F5DD" w:rsidR="00F2561F" w:rsidRPr="00473E67" w:rsidRDefault="00F2561F" w:rsidP="00473E67">
            <w:pPr>
              <w:widowControl w:val="0"/>
              <w:spacing w:before="0" w:after="0" w:line="240" w:lineRule="atLeast"/>
              <w:rPr>
                <w:rFonts w:cs="Times New Roman"/>
                <w:color w:val="000000"/>
                <w:sz w:val="18"/>
                <w:szCs w:val="18"/>
                <w:lang w:val="en-CA"/>
              </w:rPr>
            </w:pPr>
            <w:r w:rsidRPr="00473E67">
              <w:rPr>
                <w:rFonts w:cs="Times New Roman"/>
                <w:sz w:val="18"/>
                <w:szCs w:val="18"/>
              </w:rPr>
              <w:t>建立一个国家哈龙再循环管理中心，包括能力建设、检测设备和信息系统</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398477" w14:textId="77777777" w:rsidR="00F2561F" w:rsidRPr="00473E67" w:rsidRDefault="00F2561F" w:rsidP="00473E67">
            <w:pPr>
              <w:spacing w:before="0" w:after="0" w:line="240" w:lineRule="atLeast"/>
              <w:jc w:val="right"/>
              <w:rPr>
                <w:rFonts w:cs="Times New Roman"/>
                <w:color w:val="000000"/>
                <w:sz w:val="18"/>
                <w:szCs w:val="18"/>
                <w:lang w:val="en-CA" w:eastAsia="en-US"/>
              </w:rPr>
            </w:pPr>
            <w:r w:rsidRPr="00473E67">
              <w:rPr>
                <w:rFonts w:cs="Times New Roman"/>
                <w:color w:val="000000"/>
                <w:sz w:val="18"/>
                <w:szCs w:val="18"/>
                <w:lang w:val="en-GB" w:eastAsia="en-US"/>
              </w:rPr>
              <w:t>2,232,991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9BC1DD" w14:textId="77777777" w:rsidR="00F2561F" w:rsidRPr="00473E67" w:rsidRDefault="00F2561F" w:rsidP="00473E67">
            <w:pPr>
              <w:spacing w:before="0" w:after="0" w:line="240" w:lineRule="atLeast"/>
              <w:jc w:val="right"/>
              <w:rPr>
                <w:rFonts w:cs="Times New Roman"/>
                <w:color w:val="000000"/>
                <w:sz w:val="18"/>
                <w:szCs w:val="18"/>
                <w:lang w:val="en-CA" w:eastAsia="en-US"/>
              </w:rPr>
            </w:pPr>
            <w:r w:rsidRPr="00473E67">
              <w:rPr>
                <w:rFonts w:cs="Times New Roman"/>
                <w:color w:val="000000"/>
                <w:sz w:val="18"/>
                <w:szCs w:val="18"/>
                <w:lang w:val="en-GB" w:eastAsia="en-US"/>
              </w:rPr>
              <w:t>1,125,726</w:t>
            </w:r>
          </w:p>
        </w:tc>
        <w:tc>
          <w:tcPr>
            <w:tcW w:w="1395" w:type="dxa"/>
            <w:tcBorders>
              <w:top w:val="single" w:sz="4" w:space="0" w:color="auto"/>
              <w:left w:val="nil"/>
              <w:bottom w:val="single" w:sz="4" w:space="0" w:color="auto"/>
              <w:right w:val="single" w:sz="4" w:space="0" w:color="auto"/>
            </w:tcBorders>
            <w:shd w:val="clear" w:color="auto" w:fill="auto"/>
          </w:tcPr>
          <w:p w14:paraId="5E692635"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1,107,265</w:t>
            </w:r>
          </w:p>
        </w:tc>
        <w:tc>
          <w:tcPr>
            <w:tcW w:w="1134" w:type="dxa"/>
            <w:tcBorders>
              <w:top w:val="nil"/>
              <w:left w:val="nil"/>
              <w:bottom w:val="single" w:sz="4" w:space="0" w:color="auto"/>
              <w:right w:val="single" w:sz="4" w:space="0" w:color="auto"/>
            </w:tcBorders>
          </w:tcPr>
          <w:p w14:paraId="02EBA0D1" w14:textId="77777777" w:rsidR="00F2561F" w:rsidRPr="00473E67" w:rsidRDefault="00F2561F" w:rsidP="00473E67">
            <w:pPr>
              <w:widowControl w:val="0"/>
              <w:spacing w:before="0" w:after="0" w:line="240" w:lineRule="atLeast"/>
              <w:jc w:val="right"/>
              <w:rPr>
                <w:rFonts w:cs="Times New Roman"/>
                <w:color w:val="000000"/>
                <w:sz w:val="18"/>
                <w:szCs w:val="18"/>
                <w:lang w:val="en-CA" w:eastAsia="en-US"/>
              </w:rPr>
            </w:pPr>
          </w:p>
        </w:tc>
      </w:tr>
      <w:tr w:rsidR="00F2561F" w:rsidRPr="00140D39" w14:paraId="55B2FDBC" w14:textId="77777777" w:rsidTr="00473E67">
        <w:tc>
          <w:tcPr>
            <w:tcW w:w="4590" w:type="dxa"/>
            <w:tcBorders>
              <w:left w:val="single" w:sz="6" w:space="0" w:color="000000"/>
              <w:bottom w:val="single" w:sz="6" w:space="0" w:color="000000"/>
              <w:right w:val="single" w:sz="6" w:space="0" w:color="000000"/>
            </w:tcBorders>
          </w:tcPr>
          <w:p w14:paraId="20131376" w14:textId="34001881" w:rsidR="00F2561F" w:rsidRPr="00473E67" w:rsidRDefault="00F2561F" w:rsidP="00473E67">
            <w:pPr>
              <w:widowControl w:val="0"/>
              <w:spacing w:before="0" w:after="0" w:line="240" w:lineRule="atLeast"/>
              <w:rPr>
                <w:rFonts w:cs="Times New Roman"/>
                <w:color w:val="000000"/>
                <w:sz w:val="18"/>
                <w:szCs w:val="18"/>
                <w:lang w:val="en-CA"/>
              </w:rPr>
            </w:pPr>
            <w:r w:rsidRPr="00473E67">
              <w:rPr>
                <w:rFonts w:cs="Times New Roman"/>
                <w:sz w:val="18"/>
                <w:szCs w:val="18"/>
              </w:rPr>
              <w:t>建立一个</w:t>
            </w:r>
            <w:r w:rsidRPr="00473E67">
              <w:rPr>
                <w:rFonts w:cs="Times New Roman"/>
                <w:sz w:val="18"/>
                <w:szCs w:val="18"/>
              </w:rPr>
              <w:t>halon-1211</w:t>
            </w:r>
            <w:r w:rsidRPr="00473E67">
              <w:rPr>
                <w:rFonts w:cs="Times New Roman"/>
                <w:sz w:val="18"/>
                <w:szCs w:val="18"/>
              </w:rPr>
              <w:t>再循环中心，包括收集、运输、再循环和再生</w:t>
            </w:r>
          </w:p>
        </w:tc>
        <w:tc>
          <w:tcPr>
            <w:tcW w:w="1350" w:type="dxa"/>
            <w:tcBorders>
              <w:top w:val="nil"/>
              <w:left w:val="single" w:sz="4" w:space="0" w:color="auto"/>
              <w:bottom w:val="single" w:sz="4" w:space="0" w:color="auto"/>
              <w:right w:val="single" w:sz="4" w:space="0" w:color="auto"/>
            </w:tcBorders>
            <w:shd w:val="clear" w:color="auto" w:fill="auto"/>
          </w:tcPr>
          <w:p w14:paraId="16DE54F6"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3,017,686</w:t>
            </w:r>
          </w:p>
        </w:tc>
        <w:tc>
          <w:tcPr>
            <w:tcW w:w="1170" w:type="dxa"/>
            <w:tcBorders>
              <w:top w:val="nil"/>
              <w:left w:val="single" w:sz="4" w:space="0" w:color="auto"/>
              <w:bottom w:val="single" w:sz="4" w:space="0" w:color="auto"/>
              <w:right w:val="single" w:sz="4" w:space="0" w:color="auto"/>
            </w:tcBorders>
            <w:shd w:val="clear" w:color="auto" w:fill="auto"/>
          </w:tcPr>
          <w:p w14:paraId="6A6E1298"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0</w:t>
            </w:r>
          </w:p>
        </w:tc>
        <w:tc>
          <w:tcPr>
            <w:tcW w:w="1395" w:type="dxa"/>
            <w:tcBorders>
              <w:top w:val="nil"/>
              <w:left w:val="nil"/>
              <w:bottom w:val="single" w:sz="4" w:space="0" w:color="auto"/>
              <w:right w:val="single" w:sz="4" w:space="0" w:color="auto"/>
            </w:tcBorders>
            <w:shd w:val="clear" w:color="auto" w:fill="auto"/>
          </w:tcPr>
          <w:p w14:paraId="1BCC3806"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3,017,686</w:t>
            </w:r>
          </w:p>
        </w:tc>
        <w:tc>
          <w:tcPr>
            <w:tcW w:w="1134" w:type="dxa"/>
            <w:tcBorders>
              <w:top w:val="nil"/>
              <w:left w:val="nil"/>
              <w:bottom w:val="single" w:sz="4" w:space="0" w:color="auto"/>
              <w:right w:val="single" w:sz="4" w:space="0" w:color="auto"/>
            </w:tcBorders>
          </w:tcPr>
          <w:p w14:paraId="048DF9C0" w14:textId="77777777" w:rsidR="00F2561F" w:rsidRPr="00473E67" w:rsidRDefault="00F2561F" w:rsidP="00473E67">
            <w:pPr>
              <w:widowControl w:val="0"/>
              <w:spacing w:before="0" w:after="0" w:line="240" w:lineRule="atLeast"/>
              <w:jc w:val="right"/>
              <w:rPr>
                <w:rFonts w:cs="Times New Roman"/>
                <w:color w:val="000000"/>
                <w:sz w:val="18"/>
                <w:szCs w:val="18"/>
                <w:lang w:val="en-CA" w:eastAsia="en-US"/>
              </w:rPr>
            </w:pPr>
          </w:p>
        </w:tc>
      </w:tr>
      <w:tr w:rsidR="00F2561F" w:rsidRPr="00140D39" w14:paraId="6DC4CBE1" w14:textId="77777777" w:rsidTr="00473E67">
        <w:tc>
          <w:tcPr>
            <w:tcW w:w="4590" w:type="dxa"/>
            <w:tcBorders>
              <w:left w:val="single" w:sz="6" w:space="0" w:color="000000"/>
              <w:bottom w:val="single" w:sz="6" w:space="0" w:color="000000"/>
              <w:right w:val="single" w:sz="6" w:space="0" w:color="000000"/>
            </w:tcBorders>
          </w:tcPr>
          <w:p w14:paraId="4EBCFDF9" w14:textId="0B4C0F7F" w:rsidR="00F2561F" w:rsidRPr="00473E67" w:rsidRDefault="00F2561F" w:rsidP="00473E67">
            <w:pPr>
              <w:widowControl w:val="0"/>
              <w:spacing w:before="0" w:after="0" w:line="240" w:lineRule="atLeast"/>
              <w:rPr>
                <w:rFonts w:cs="Times New Roman"/>
                <w:color w:val="000000"/>
                <w:sz w:val="18"/>
                <w:szCs w:val="18"/>
                <w:lang w:val="en-CA"/>
              </w:rPr>
            </w:pPr>
            <w:r w:rsidRPr="00473E67">
              <w:rPr>
                <w:rFonts w:cs="Times New Roman"/>
                <w:sz w:val="18"/>
                <w:szCs w:val="18"/>
              </w:rPr>
              <w:t>建立一个</w:t>
            </w:r>
            <w:r w:rsidRPr="00473E67">
              <w:rPr>
                <w:rFonts w:cs="Times New Roman"/>
                <w:sz w:val="18"/>
                <w:szCs w:val="18"/>
              </w:rPr>
              <w:t>halon-1301</w:t>
            </w:r>
            <w:r w:rsidRPr="00473E67">
              <w:rPr>
                <w:rFonts w:cs="Times New Roman"/>
                <w:sz w:val="18"/>
                <w:szCs w:val="18"/>
              </w:rPr>
              <w:t>回收中心，包括收集、运输、再循环和再生</w:t>
            </w:r>
          </w:p>
        </w:tc>
        <w:tc>
          <w:tcPr>
            <w:tcW w:w="1350" w:type="dxa"/>
            <w:tcBorders>
              <w:top w:val="nil"/>
              <w:left w:val="single" w:sz="4" w:space="0" w:color="auto"/>
              <w:bottom w:val="single" w:sz="4" w:space="0" w:color="auto"/>
              <w:right w:val="single" w:sz="4" w:space="0" w:color="auto"/>
            </w:tcBorders>
            <w:shd w:val="clear" w:color="auto" w:fill="auto"/>
          </w:tcPr>
          <w:p w14:paraId="436809C8"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1,305,460</w:t>
            </w:r>
          </w:p>
        </w:tc>
        <w:tc>
          <w:tcPr>
            <w:tcW w:w="1170" w:type="dxa"/>
            <w:tcBorders>
              <w:top w:val="nil"/>
              <w:left w:val="single" w:sz="4" w:space="0" w:color="auto"/>
              <w:bottom w:val="single" w:sz="4" w:space="0" w:color="auto"/>
              <w:right w:val="single" w:sz="4" w:space="0" w:color="auto"/>
            </w:tcBorders>
            <w:shd w:val="clear" w:color="auto" w:fill="auto"/>
          </w:tcPr>
          <w:p w14:paraId="094C0CB6"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440,790</w:t>
            </w:r>
          </w:p>
        </w:tc>
        <w:tc>
          <w:tcPr>
            <w:tcW w:w="1395" w:type="dxa"/>
            <w:tcBorders>
              <w:top w:val="nil"/>
              <w:left w:val="nil"/>
              <w:bottom w:val="single" w:sz="4" w:space="0" w:color="auto"/>
              <w:right w:val="single" w:sz="4" w:space="0" w:color="auto"/>
            </w:tcBorders>
            <w:shd w:val="clear" w:color="auto" w:fill="auto"/>
          </w:tcPr>
          <w:p w14:paraId="4590476E"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864,669</w:t>
            </w:r>
          </w:p>
        </w:tc>
        <w:tc>
          <w:tcPr>
            <w:tcW w:w="1134" w:type="dxa"/>
            <w:tcBorders>
              <w:top w:val="nil"/>
              <w:left w:val="nil"/>
              <w:bottom w:val="single" w:sz="4" w:space="0" w:color="auto"/>
              <w:right w:val="single" w:sz="4" w:space="0" w:color="auto"/>
            </w:tcBorders>
          </w:tcPr>
          <w:p w14:paraId="4B113255" w14:textId="77777777" w:rsidR="00F2561F" w:rsidRPr="00473E67" w:rsidRDefault="00F2561F" w:rsidP="00473E67">
            <w:pPr>
              <w:widowControl w:val="0"/>
              <w:spacing w:before="0" w:after="0" w:line="240" w:lineRule="atLeast"/>
              <w:jc w:val="right"/>
              <w:rPr>
                <w:rFonts w:cs="Times New Roman"/>
                <w:color w:val="000000"/>
                <w:sz w:val="18"/>
                <w:szCs w:val="18"/>
                <w:lang w:val="en-CA" w:eastAsia="en-US"/>
              </w:rPr>
            </w:pPr>
          </w:p>
        </w:tc>
      </w:tr>
      <w:tr w:rsidR="00F2561F" w:rsidRPr="00140D39" w14:paraId="29EC0899" w14:textId="77777777" w:rsidTr="00473E67">
        <w:tc>
          <w:tcPr>
            <w:tcW w:w="4590" w:type="dxa"/>
            <w:tcBorders>
              <w:left w:val="single" w:sz="6" w:space="0" w:color="000000"/>
              <w:bottom w:val="single" w:sz="6" w:space="0" w:color="000000"/>
              <w:right w:val="single" w:sz="6" w:space="0" w:color="000000"/>
            </w:tcBorders>
          </w:tcPr>
          <w:p w14:paraId="31CE713F" w14:textId="6271A31D" w:rsidR="00F2561F" w:rsidRPr="00473E67" w:rsidRDefault="00F2561F" w:rsidP="00473E67">
            <w:pPr>
              <w:widowControl w:val="0"/>
              <w:spacing w:before="0" w:after="0" w:line="240" w:lineRule="atLeast"/>
              <w:rPr>
                <w:rFonts w:cs="Times New Roman"/>
                <w:color w:val="000000"/>
                <w:sz w:val="18"/>
                <w:szCs w:val="18"/>
                <w:lang w:val="en-CA"/>
              </w:rPr>
            </w:pPr>
            <w:r w:rsidRPr="00473E67">
              <w:rPr>
                <w:rFonts w:cs="Times New Roman"/>
                <w:sz w:val="18"/>
                <w:szCs w:val="18"/>
              </w:rPr>
              <w:t>技术援助：调查民用航空业和拆船业使用的哈龙数量；哈龙再循环政策和法规</w:t>
            </w:r>
          </w:p>
        </w:tc>
        <w:tc>
          <w:tcPr>
            <w:tcW w:w="1350" w:type="dxa"/>
            <w:tcBorders>
              <w:top w:val="nil"/>
              <w:left w:val="single" w:sz="4" w:space="0" w:color="auto"/>
              <w:bottom w:val="single" w:sz="4" w:space="0" w:color="auto"/>
              <w:right w:val="single" w:sz="4" w:space="0" w:color="auto"/>
            </w:tcBorders>
            <w:shd w:val="clear" w:color="auto" w:fill="auto"/>
          </w:tcPr>
          <w:p w14:paraId="57DB5720"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2,917,936</w:t>
            </w:r>
          </w:p>
        </w:tc>
        <w:tc>
          <w:tcPr>
            <w:tcW w:w="1170" w:type="dxa"/>
            <w:tcBorders>
              <w:top w:val="nil"/>
              <w:left w:val="single" w:sz="4" w:space="0" w:color="auto"/>
              <w:bottom w:val="single" w:sz="4" w:space="0" w:color="auto"/>
              <w:right w:val="single" w:sz="4" w:space="0" w:color="auto"/>
            </w:tcBorders>
            <w:shd w:val="clear" w:color="auto" w:fill="auto"/>
          </w:tcPr>
          <w:p w14:paraId="14AA4D48"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256,834</w:t>
            </w:r>
          </w:p>
        </w:tc>
        <w:tc>
          <w:tcPr>
            <w:tcW w:w="1395" w:type="dxa"/>
            <w:tcBorders>
              <w:top w:val="nil"/>
              <w:left w:val="nil"/>
              <w:bottom w:val="single" w:sz="4" w:space="0" w:color="auto"/>
              <w:right w:val="single" w:sz="4" w:space="0" w:color="auto"/>
            </w:tcBorders>
            <w:shd w:val="clear" w:color="auto" w:fill="auto"/>
          </w:tcPr>
          <w:p w14:paraId="646370C9"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2,661,102</w:t>
            </w:r>
          </w:p>
        </w:tc>
        <w:tc>
          <w:tcPr>
            <w:tcW w:w="1134" w:type="dxa"/>
            <w:tcBorders>
              <w:top w:val="nil"/>
              <w:left w:val="nil"/>
              <w:bottom w:val="single" w:sz="4" w:space="0" w:color="auto"/>
              <w:right w:val="single" w:sz="4" w:space="0" w:color="auto"/>
            </w:tcBorders>
          </w:tcPr>
          <w:p w14:paraId="55EAC09C" w14:textId="77777777" w:rsidR="00F2561F" w:rsidRPr="00473E67" w:rsidRDefault="00F2561F" w:rsidP="00473E67">
            <w:pPr>
              <w:widowControl w:val="0"/>
              <w:spacing w:before="0" w:after="0" w:line="240" w:lineRule="atLeast"/>
              <w:jc w:val="right"/>
              <w:rPr>
                <w:rFonts w:cs="Times New Roman"/>
                <w:color w:val="000000"/>
                <w:sz w:val="18"/>
                <w:szCs w:val="18"/>
                <w:lang w:val="en-CA" w:eastAsia="en-US"/>
              </w:rPr>
            </w:pPr>
          </w:p>
        </w:tc>
      </w:tr>
      <w:tr w:rsidR="00F2561F" w:rsidRPr="00140D39" w14:paraId="6CB50C13" w14:textId="77777777" w:rsidTr="00473E67">
        <w:tc>
          <w:tcPr>
            <w:tcW w:w="4590" w:type="dxa"/>
            <w:tcBorders>
              <w:left w:val="single" w:sz="6" w:space="0" w:color="000000"/>
              <w:bottom w:val="single" w:sz="6" w:space="0" w:color="000000"/>
              <w:right w:val="single" w:sz="6" w:space="0" w:color="000000"/>
            </w:tcBorders>
          </w:tcPr>
          <w:p w14:paraId="5F12ACF2" w14:textId="4C870BD6" w:rsidR="00F2561F" w:rsidRPr="00473E67" w:rsidRDefault="00F2561F" w:rsidP="00473E67">
            <w:pPr>
              <w:widowControl w:val="0"/>
              <w:spacing w:before="0" w:after="0" w:line="240" w:lineRule="atLeast"/>
              <w:rPr>
                <w:rFonts w:cs="Times New Roman"/>
                <w:color w:val="000000"/>
                <w:sz w:val="18"/>
                <w:szCs w:val="18"/>
                <w:lang w:val="en-CA"/>
              </w:rPr>
            </w:pPr>
            <w:r w:rsidRPr="00473E67">
              <w:rPr>
                <w:rFonts w:cs="Times New Roman"/>
                <w:sz w:val="18"/>
                <w:szCs w:val="18"/>
              </w:rPr>
              <w:t>处置无法使用的哈龙和残留物</w:t>
            </w:r>
          </w:p>
        </w:tc>
        <w:tc>
          <w:tcPr>
            <w:tcW w:w="1350" w:type="dxa"/>
            <w:tcBorders>
              <w:top w:val="nil"/>
              <w:left w:val="single" w:sz="4" w:space="0" w:color="auto"/>
              <w:bottom w:val="single" w:sz="4" w:space="0" w:color="auto"/>
              <w:right w:val="single" w:sz="4" w:space="0" w:color="auto"/>
            </w:tcBorders>
            <w:shd w:val="clear" w:color="auto" w:fill="auto"/>
          </w:tcPr>
          <w:p w14:paraId="6A81B82C"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1,504,105</w:t>
            </w:r>
          </w:p>
        </w:tc>
        <w:tc>
          <w:tcPr>
            <w:tcW w:w="1170" w:type="dxa"/>
            <w:tcBorders>
              <w:top w:val="nil"/>
              <w:left w:val="single" w:sz="4" w:space="0" w:color="auto"/>
              <w:bottom w:val="single" w:sz="4" w:space="0" w:color="auto"/>
              <w:right w:val="single" w:sz="4" w:space="0" w:color="auto"/>
            </w:tcBorders>
            <w:shd w:val="clear" w:color="auto" w:fill="auto"/>
          </w:tcPr>
          <w:p w14:paraId="0D835E48"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0</w:t>
            </w:r>
          </w:p>
        </w:tc>
        <w:tc>
          <w:tcPr>
            <w:tcW w:w="1395" w:type="dxa"/>
            <w:tcBorders>
              <w:top w:val="nil"/>
              <w:left w:val="nil"/>
              <w:bottom w:val="single" w:sz="4" w:space="0" w:color="auto"/>
              <w:right w:val="single" w:sz="4" w:space="0" w:color="auto"/>
            </w:tcBorders>
            <w:shd w:val="clear" w:color="auto" w:fill="auto"/>
          </w:tcPr>
          <w:p w14:paraId="03C4B206" w14:textId="77777777" w:rsidR="00F2561F" w:rsidRPr="00473E67" w:rsidRDefault="00F2561F"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1,504,105</w:t>
            </w:r>
          </w:p>
        </w:tc>
        <w:tc>
          <w:tcPr>
            <w:tcW w:w="1134" w:type="dxa"/>
            <w:tcBorders>
              <w:top w:val="nil"/>
              <w:left w:val="nil"/>
              <w:bottom w:val="single" w:sz="4" w:space="0" w:color="auto"/>
              <w:right w:val="single" w:sz="4" w:space="0" w:color="auto"/>
            </w:tcBorders>
          </w:tcPr>
          <w:p w14:paraId="2BEE36B2" w14:textId="77777777" w:rsidR="00F2561F" w:rsidRPr="00473E67" w:rsidRDefault="00F2561F" w:rsidP="00473E67">
            <w:pPr>
              <w:widowControl w:val="0"/>
              <w:spacing w:before="0" w:after="0" w:line="240" w:lineRule="atLeast"/>
              <w:jc w:val="right"/>
              <w:rPr>
                <w:rFonts w:cs="Times New Roman"/>
                <w:color w:val="000000"/>
                <w:sz w:val="18"/>
                <w:szCs w:val="18"/>
                <w:lang w:val="en-CA" w:eastAsia="en-US"/>
              </w:rPr>
            </w:pPr>
          </w:p>
        </w:tc>
      </w:tr>
      <w:tr w:rsidR="00F2561F" w:rsidRPr="00140D39" w14:paraId="011106B2" w14:textId="77777777" w:rsidTr="00E408FC">
        <w:tc>
          <w:tcPr>
            <w:tcW w:w="4590" w:type="dxa"/>
            <w:tcBorders>
              <w:left w:val="single" w:sz="6" w:space="0" w:color="000000"/>
              <w:bottom w:val="single" w:sz="6" w:space="0" w:color="000000"/>
              <w:right w:val="single" w:sz="6" w:space="0" w:color="000000"/>
            </w:tcBorders>
            <w:noWrap/>
            <w:hideMark/>
          </w:tcPr>
          <w:p w14:paraId="789D24B1" w14:textId="26F27FF8" w:rsidR="00F2561F" w:rsidRPr="00473E67" w:rsidRDefault="00F2561F"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共计</w:t>
            </w:r>
          </w:p>
        </w:tc>
        <w:tc>
          <w:tcPr>
            <w:tcW w:w="1350" w:type="dxa"/>
            <w:tcBorders>
              <w:top w:val="nil"/>
              <w:left w:val="single" w:sz="4" w:space="0" w:color="auto"/>
              <w:bottom w:val="single" w:sz="4" w:space="0" w:color="auto"/>
              <w:right w:val="single" w:sz="4" w:space="0" w:color="auto"/>
            </w:tcBorders>
            <w:shd w:val="clear" w:color="auto" w:fill="auto"/>
            <w:noWrap/>
          </w:tcPr>
          <w:p w14:paraId="3F959ACE" w14:textId="77777777" w:rsidR="00F2561F" w:rsidRPr="00473E67" w:rsidRDefault="00F2561F"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10,978,178</w:t>
            </w:r>
          </w:p>
        </w:tc>
        <w:tc>
          <w:tcPr>
            <w:tcW w:w="1170" w:type="dxa"/>
            <w:tcBorders>
              <w:top w:val="nil"/>
              <w:left w:val="single" w:sz="4" w:space="0" w:color="auto"/>
              <w:bottom w:val="single" w:sz="4" w:space="0" w:color="auto"/>
              <w:right w:val="single" w:sz="4" w:space="0" w:color="auto"/>
            </w:tcBorders>
            <w:shd w:val="clear" w:color="auto" w:fill="auto"/>
            <w:noWrap/>
          </w:tcPr>
          <w:p w14:paraId="69609817" w14:textId="77777777" w:rsidR="00F2561F" w:rsidRPr="00473E67" w:rsidRDefault="00F2561F"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1,823,351</w:t>
            </w:r>
          </w:p>
        </w:tc>
        <w:tc>
          <w:tcPr>
            <w:tcW w:w="1395" w:type="dxa"/>
            <w:tcBorders>
              <w:top w:val="nil"/>
              <w:left w:val="nil"/>
              <w:bottom w:val="single" w:sz="4" w:space="0" w:color="auto"/>
              <w:right w:val="single" w:sz="4" w:space="0" w:color="auto"/>
            </w:tcBorders>
            <w:shd w:val="clear" w:color="auto" w:fill="auto"/>
            <w:noWrap/>
            <w:hideMark/>
          </w:tcPr>
          <w:p w14:paraId="39B7A098" w14:textId="77777777" w:rsidR="00F2561F" w:rsidRPr="00473E67" w:rsidRDefault="00F2561F"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9,154,827</w:t>
            </w:r>
          </w:p>
        </w:tc>
        <w:tc>
          <w:tcPr>
            <w:tcW w:w="1134" w:type="dxa"/>
            <w:tcBorders>
              <w:top w:val="nil"/>
              <w:left w:val="nil"/>
              <w:bottom w:val="single" w:sz="4" w:space="0" w:color="auto"/>
              <w:right w:val="single" w:sz="4" w:space="0" w:color="auto"/>
            </w:tcBorders>
            <w:noWrap/>
            <w:tcMar>
              <w:left w:w="29" w:type="dxa"/>
              <w:right w:w="29" w:type="dxa"/>
            </w:tcMar>
          </w:tcPr>
          <w:p w14:paraId="5498B2D2" w14:textId="5DCD5567" w:rsidR="00F2561F" w:rsidRPr="00473E67" w:rsidRDefault="00F2561F" w:rsidP="00473E67">
            <w:pPr>
              <w:widowControl w:val="0"/>
              <w:spacing w:before="0" w:after="0" w:line="240" w:lineRule="atLeast"/>
              <w:jc w:val="right"/>
              <w:rPr>
                <w:rFonts w:cs="Times New Roman"/>
                <w:color w:val="000000"/>
                <w:sz w:val="18"/>
                <w:szCs w:val="18"/>
                <w:lang w:val="en-CA" w:eastAsia="en-US"/>
              </w:rPr>
            </w:pPr>
            <w:r w:rsidRPr="00473E67">
              <w:rPr>
                <w:rFonts w:cs="Times New Roman"/>
                <w:color w:val="000000"/>
                <w:sz w:val="18"/>
                <w:szCs w:val="18"/>
                <w:lang w:val="en-CA" w:eastAsia="en-US"/>
              </w:rPr>
              <w:t>2022</w:t>
            </w:r>
            <w:r w:rsidR="00E408FC">
              <w:rPr>
                <w:rFonts w:cs="Times New Roman" w:hint="eastAsia"/>
                <w:color w:val="000000"/>
                <w:sz w:val="18"/>
                <w:szCs w:val="18"/>
                <w:lang w:val="en-CA"/>
              </w:rPr>
              <w:t>年</w:t>
            </w:r>
            <w:r w:rsidR="00E408FC">
              <w:rPr>
                <w:rFonts w:cs="Times New Roman" w:hint="eastAsia"/>
                <w:color w:val="000000"/>
                <w:sz w:val="18"/>
                <w:szCs w:val="18"/>
                <w:lang w:val="en-CA"/>
              </w:rPr>
              <w:t>12</w:t>
            </w:r>
            <w:r w:rsidR="00E408FC">
              <w:rPr>
                <w:rFonts w:cs="Times New Roman" w:hint="eastAsia"/>
                <w:color w:val="000000"/>
                <w:sz w:val="18"/>
                <w:szCs w:val="18"/>
                <w:lang w:val="en-CA"/>
              </w:rPr>
              <w:t>月</w:t>
            </w:r>
          </w:p>
        </w:tc>
      </w:tr>
      <w:tr w:rsidR="00F2561F" w:rsidRPr="00140D39" w14:paraId="34B6325F" w14:textId="77777777" w:rsidTr="00F2561F">
        <w:tc>
          <w:tcPr>
            <w:tcW w:w="9639" w:type="dxa"/>
            <w:gridSpan w:val="5"/>
            <w:tcBorders>
              <w:top w:val="nil"/>
              <w:left w:val="single" w:sz="4" w:space="0" w:color="auto"/>
              <w:bottom w:val="single" w:sz="4" w:space="0" w:color="auto"/>
            </w:tcBorders>
            <w:noWrap/>
            <w:hideMark/>
          </w:tcPr>
          <w:p w14:paraId="053A9D6E" w14:textId="26E70E62" w:rsidR="00F2561F"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b/>
                <w:bCs/>
                <w:color w:val="000000"/>
                <w:sz w:val="18"/>
                <w:szCs w:val="18"/>
              </w:rPr>
              <w:t>II</w:t>
            </w:r>
            <w:r w:rsidRPr="00473E67">
              <w:rPr>
                <w:rFonts w:cs="Times New Roman"/>
                <w:b/>
                <w:bCs/>
                <w:color w:val="000000"/>
                <w:sz w:val="18"/>
                <w:szCs w:val="18"/>
              </w:rPr>
              <w:t>类加工剂：</w:t>
            </w:r>
            <w:r w:rsidR="009F4EB4" w:rsidRPr="00473E67">
              <w:rPr>
                <w:rFonts w:cs="Times New Roman"/>
                <w:b/>
                <w:bCs/>
                <w:color w:val="000000"/>
                <w:sz w:val="18"/>
                <w:szCs w:val="18"/>
              </w:rPr>
              <w:t>核准费用总额</w:t>
            </w:r>
            <w:r w:rsidRPr="00473E67">
              <w:rPr>
                <w:rFonts w:cs="Times New Roman"/>
                <w:b/>
                <w:bCs/>
                <w:color w:val="000000"/>
                <w:sz w:val="18"/>
                <w:szCs w:val="18"/>
              </w:rPr>
              <w:t>46,500,000</w:t>
            </w:r>
            <w:r w:rsidRPr="00473E67">
              <w:rPr>
                <w:rFonts w:cs="Times New Roman"/>
                <w:b/>
                <w:bCs/>
                <w:color w:val="000000"/>
                <w:sz w:val="18"/>
                <w:szCs w:val="18"/>
              </w:rPr>
              <w:t>美元（世界银行）</w:t>
            </w:r>
            <w:r w:rsidRPr="00473E67">
              <w:rPr>
                <w:rFonts w:cs="Times New Roman"/>
                <w:b/>
                <w:bCs/>
                <w:color w:val="000000"/>
                <w:sz w:val="18"/>
                <w:szCs w:val="18"/>
              </w:rPr>
              <w:t> </w:t>
            </w:r>
          </w:p>
        </w:tc>
      </w:tr>
      <w:tr w:rsidR="002E4470" w:rsidRPr="00140D39" w14:paraId="41FF2825" w14:textId="77777777" w:rsidTr="00473E67">
        <w:tc>
          <w:tcPr>
            <w:tcW w:w="4590" w:type="dxa"/>
            <w:tcBorders>
              <w:left w:val="single" w:sz="6" w:space="0" w:color="000000"/>
              <w:bottom w:val="single" w:sz="6" w:space="0" w:color="000000"/>
              <w:right w:val="single" w:sz="6" w:space="0" w:color="000000"/>
            </w:tcBorders>
            <w:hideMark/>
          </w:tcPr>
          <w:p w14:paraId="4CB72855" w14:textId="006D0123"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sz w:val="18"/>
                <w:szCs w:val="18"/>
              </w:rPr>
              <w:t>地方</w:t>
            </w:r>
            <w:r w:rsidR="00FF1D1E">
              <w:rPr>
                <w:rFonts w:cs="Times New Roman"/>
                <w:sz w:val="18"/>
                <w:szCs w:val="18"/>
              </w:rPr>
              <w:t>生态环境局</w:t>
            </w:r>
            <w:r w:rsidRPr="00473E67">
              <w:rPr>
                <w:rFonts w:cs="Times New Roman"/>
                <w:sz w:val="18"/>
                <w:szCs w:val="18"/>
              </w:rPr>
              <w:t>的能力建设</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299319D0" w14:textId="77777777" w:rsidR="002E4470" w:rsidRPr="00473E67" w:rsidRDefault="002E4470" w:rsidP="00473E67">
            <w:pPr>
              <w:spacing w:before="0" w:after="0" w:line="240" w:lineRule="atLeast"/>
              <w:jc w:val="right"/>
              <w:rPr>
                <w:rFonts w:cs="Times New Roman"/>
                <w:color w:val="000000"/>
                <w:sz w:val="18"/>
                <w:szCs w:val="18"/>
                <w:lang w:val="en-CA" w:eastAsia="en-US"/>
              </w:rPr>
            </w:pPr>
            <w:r w:rsidRPr="00473E67">
              <w:rPr>
                <w:rFonts w:cs="Times New Roman"/>
                <w:color w:val="000000"/>
                <w:sz w:val="18"/>
                <w:szCs w:val="18"/>
                <w:lang w:val="en-GB" w:eastAsia="en-US"/>
              </w:rPr>
              <w:t>273,694</w:t>
            </w:r>
          </w:p>
        </w:tc>
        <w:tc>
          <w:tcPr>
            <w:tcW w:w="1170" w:type="dxa"/>
            <w:tcBorders>
              <w:top w:val="single" w:sz="4" w:space="0" w:color="auto"/>
              <w:left w:val="nil"/>
              <w:bottom w:val="single" w:sz="4" w:space="0" w:color="auto"/>
              <w:right w:val="single" w:sz="4" w:space="0" w:color="auto"/>
            </w:tcBorders>
            <w:shd w:val="clear" w:color="auto" w:fill="auto"/>
            <w:noWrap/>
            <w:hideMark/>
          </w:tcPr>
          <w:p w14:paraId="0B5202F4"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273,694</w:t>
            </w:r>
          </w:p>
        </w:tc>
        <w:tc>
          <w:tcPr>
            <w:tcW w:w="1395" w:type="dxa"/>
            <w:tcBorders>
              <w:top w:val="single" w:sz="4" w:space="0" w:color="auto"/>
              <w:left w:val="nil"/>
              <w:bottom w:val="single" w:sz="4" w:space="0" w:color="auto"/>
              <w:right w:val="single" w:sz="4" w:space="0" w:color="auto"/>
            </w:tcBorders>
            <w:shd w:val="clear" w:color="auto" w:fill="auto"/>
            <w:noWrap/>
          </w:tcPr>
          <w:p w14:paraId="6447FB91"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388ADAF8" w14:textId="77777777" w:rsidR="002E4470" w:rsidRPr="00473E67" w:rsidRDefault="002E4470" w:rsidP="00473E67">
            <w:pPr>
              <w:spacing w:before="0" w:after="0" w:line="240" w:lineRule="atLeast"/>
              <w:jc w:val="right"/>
              <w:rPr>
                <w:rFonts w:cs="Times New Roman"/>
                <w:color w:val="000000"/>
                <w:sz w:val="18"/>
                <w:szCs w:val="18"/>
                <w:lang w:val="en-GB" w:eastAsia="en-US"/>
              </w:rPr>
            </w:pPr>
          </w:p>
        </w:tc>
      </w:tr>
      <w:tr w:rsidR="002E4470" w:rsidRPr="00140D39" w14:paraId="7F1EB05D" w14:textId="77777777" w:rsidTr="00473E67">
        <w:tc>
          <w:tcPr>
            <w:tcW w:w="4590" w:type="dxa"/>
            <w:tcBorders>
              <w:left w:val="single" w:sz="6" w:space="0" w:color="000000"/>
              <w:bottom w:val="single" w:sz="6" w:space="0" w:color="000000"/>
              <w:right w:val="single" w:sz="6" w:space="0" w:color="000000"/>
            </w:tcBorders>
            <w:hideMark/>
          </w:tcPr>
          <w:p w14:paraId="74B3FB4A" w14:textId="26C8A7A2"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sz w:val="18"/>
                <w:szCs w:val="18"/>
              </w:rPr>
              <w:t>四氯化碳残留物的处置</w:t>
            </w:r>
          </w:p>
        </w:tc>
        <w:tc>
          <w:tcPr>
            <w:tcW w:w="1350" w:type="dxa"/>
            <w:tcBorders>
              <w:top w:val="nil"/>
              <w:left w:val="single" w:sz="4" w:space="0" w:color="auto"/>
              <w:bottom w:val="single" w:sz="4" w:space="0" w:color="auto"/>
              <w:right w:val="single" w:sz="4" w:space="0" w:color="auto"/>
            </w:tcBorders>
            <w:shd w:val="clear" w:color="auto" w:fill="auto"/>
            <w:noWrap/>
            <w:hideMark/>
          </w:tcPr>
          <w:p w14:paraId="37BC3CA5"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4,600,000</w:t>
            </w:r>
          </w:p>
        </w:tc>
        <w:tc>
          <w:tcPr>
            <w:tcW w:w="1170" w:type="dxa"/>
            <w:tcBorders>
              <w:top w:val="nil"/>
              <w:left w:val="nil"/>
              <w:bottom w:val="single" w:sz="4" w:space="0" w:color="auto"/>
              <w:right w:val="single" w:sz="4" w:space="0" w:color="auto"/>
            </w:tcBorders>
            <w:shd w:val="clear" w:color="auto" w:fill="auto"/>
            <w:noWrap/>
            <w:hideMark/>
          </w:tcPr>
          <w:p w14:paraId="4B6F5C09"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3,754,325</w:t>
            </w:r>
          </w:p>
        </w:tc>
        <w:tc>
          <w:tcPr>
            <w:tcW w:w="1395" w:type="dxa"/>
            <w:tcBorders>
              <w:top w:val="nil"/>
              <w:left w:val="nil"/>
              <w:bottom w:val="single" w:sz="4" w:space="0" w:color="auto"/>
              <w:right w:val="single" w:sz="4" w:space="0" w:color="auto"/>
            </w:tcBorders>
            <w:shd w:val="clear" w:color="auto" w:fill="auto"/>
            <w:noWrap/>
          </w:tcPr>
          <w:p w14:paraId="0A2A93CC"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845,675</w:t>
            </w:r>
          </w:p>
        </w:tc>
        <w:tc>
          <w:tcPr>
            <w:tcW w:w="1134" w:type="dxa"/>
            <w:tcBorders>
              <w:top w:val="nil"/>
              <w:left w:val="nil"/>
              <w:bottom w:val="single" w:sz="4" w:space="0" w:color="auto"/>
              <w:right w:val="single" w:sz="4" w:space="0" w:color="auto"/>
            </w:tcBorders>
            <w:shd w:val="clear" w:color="auto" w:fill="auto"/>
            <w:noWrap/>
            <w:hideMark/>
          </w:tcPr>
          <w:p w14:paraId="1E74BA60" w14:textId="77777777" w:rsidR="002E4470" w:rsidRPr="00473E67" w:rsidRDefault="002E4470" w:rsidP="00473E67">
            <w:pPr>
              <w:spacing w:before="0" w:after="0" w:line="240" w:lineRule="atLeast"/>
              <w:jc w:val="right"/>
              <w:rPr>
                <w:rFonts w:cs="Times New Roman"/>
                <w:color w:val="000000"/>
                <w:sz w:val="18"/>
                <w:szCs w:val="18"/>
                <w:lang w:val="en-GB" w:eastAsia="en-US"/>
              </w:rPr>
            </w:pPr>
          </w:p>
        </w:tc>
      </w:tr>
      <w:tr w:rsidR="002E4470" w:rsidRPr="00140D39" w14:paraId="25A9C0EF" w14:textId="77777777" w:rsidTr="00473E67">
        <w:tc>
          <w:tcPr>
            <w:tcW w:w="4590" w:type="dxa"/>
            <w:tcBorders>
              <w:left w:val="single" w:sz="6" w:space="0" w:color="000000"/>
              <w:bottom w:val="single" w:sz="6" w:space="0" w:color="000000"/>
              <w:right w:val="single" w:sz="6" w:space="0" w:color="000000"/>
            </w:tcBorders>
          </w:tcPr>
          <w:p w14:paraId="5760E887" w14:textId="2557AF3B"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sz w:val="18"/>
                <w:szCs w:val="18"/>
              </w:rPr>
              <w:t>研究四氯化碳生产及其在原料应用中的使用情况</w:t>
            </w:r>
          </w:p>
        </w:tc>
        <w:tc>
          <w:tcPr>
            <w:tcW w:w="1350" w:type="dxa"/>
            <w:tcBorders>
              <w:top w:val="nil"/>
              <w:left w:val="single" w:sz="4" w:space="0" w:color="auto"/>
              <w:bottom w:val="single" w:sz="4" w:space="0" w:color="auto"/>
              <w:right w:val="single" w:sz="4" w:space="0" w:color="auto"/>
            </w:tcBorders>
            <w:shd w:val="clear" w:color="auto" w:fill="auto"/>
          </w:tcPr>
          <w:p w14:paraId="3BC56FEA"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20,285</w:t>
            </w:r>
          </w:p>
        </w:tc>
        <w:tc>
          <w:tcPr>
            <w:tcW w:w="1170" w:type="dxa"/>
            <w:tcBorders>
              <w:top w:val="nil"/>
              <w:left w:val="nil"/>
              <w:bottom w:val="single" w:sz="4" w:space="0" w:color="auto"/>
              <w:right w:val="single" w:sz="4" w:space="0" w:color="auto"/>
            </w:tcBorders>
            <w:shd w:val="clear" w:color="auto" w:fill="auto"/>
          </w:tcPr>
          <w:p w14:paraId="20633AED"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15,824</w:t>
            </w:r>
          </w:p>
        </w:tc>
        <w:tc>
          <w:tcPr>
            <w:tcW w:w="1395" w:type="dxa"/>
            <w:tcBorders>
              <w:top w:val="nil"/>
              <w:left w:val="nil"/>
              <w:bottom w:val="single" w:sz="4" w:space="0" w:color="auto"/>
              <w:right w:val="single" w:sz="4" w:space="0" w:color="auto"/>
            </w:tcBorders>
            <w:shd w:val="clear" w:color="auto" w:fill="auto"/>
          </w:tcPr>
          <w:p w14:paraId="19D8648D"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4,461</w:t>
            </w:r>
          </w:p>
        </w:tc>
        <w:tc>
          <w:tcPr>
            <w:tcW w:w="1134" w:type="dxa"/>
            <w:tcBorders>
              <w:top w:val="nil"/>
              <w:left w:val="nil"/>
              <w:bottom w:val="single" w:sz="4" w:space="0" w:color="auto"/>
              <w:right w:val="single" w:sz="4" w:space="0" w:color="auto"/>
            </w:tcBorders>
            <w:shd w:val="clear" w:color="auto" w:fill="auto"/>
          </w:tcPr>
          <w:p w14:paraId="1D962F85" w14:textId="77777777" w:rsidR="002E4470" w:rsidRPr="00473E67" w:rsidRDefault="002E4470" w:rsidP="00473E67">
            <w:pPr>
              <w:spacing w:before="0" w:after="0" w:line="240" w:lineRule="atLeast"/>
              <w:jc w:val="right"/>
              <w:rPr>
                <w:rFonts w:cs="Times New Roman"/>
                <w:color w:val="000000"/>
                <w:sz w:val="18"/>
                <w:szCs w:val="18"/>
                <w:lang w:val="en-GB" w:eastAsia="en-US"/>
              </w:rPr>
            </w:pPr>
          </w:p>
        </w:tc>
      </w:tr>
      <w:tr w:rsidR="002E4470" w:rsidRPr="00140D39" w14:paraId="542F894B" w14:textId="77777777" w:rsidTr="00473E67">
        <w:tc>
          <w:tcPr>
            <w:tcW w:w="4590" w:type="dxa"/>
            <w:tcBorders>
              <w:left w:val="single" w:sz="6" w:space="0" w:color="000000"/>
              <w:bottom w:val="single" w:sz="6" w:space="0" w:color="000000"/>
              <w:right w:val="single" w:sz="6" w:space="0" w:color="000000"/>
            </w:tcBorders>
            <w:hideMark/>
          </w:tcPr>
          <w:p w14:paraId="7C5B4C77" w14:textId="47AC15B9"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sz w:val="18"/>
                <w:szCs w:val="18"/>
              </w:rPr>
              <w:t>监测、管理和事后评估</w:t>
            </w:r>
          </w:p>
        </w:tc>
        <w:tc>
          <w:tcPr>
            <w:tcW w:w="1350" w:type="dxa"/>
            <w:tcBorders>
              <w:top w:val="nil"/>
              <w:left w:val="single" w:sz="4" w:space="0" w:color="auto"/>
              <w:bottom w:val="single" w:sz="4" w:space="0" w:color="auto"/>
              <w:right w:val="single" w:sz="4" w:space="0" w:color="auto"/>
            </w:tcBorders>
            <w:shd w:val="clear" w:color="auto" w:fill="auto"/>
            <w:hideMark/>
          </w:tcPr>
          <w:p w14:paraId="5591618C"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2,439,041</w:t>
            </w:r>
          </w:p>
        </w:tc>
        <w:tc>
          <w:tcPr>
            <w:tcW w:w="1170" w:type="dxa"/>
            <w:tcBorders>
              <w:top w:val="nil"/>
              <w:left w:val="nil"/>
              <w:bottom w:val="single" w:sz="4" w:space="0" w:color="auto"/>
              <w:right w:val="single" w:sz="4" w:space="0" w:color="auto"/>
            </w:tcBorders>
            <w:shd w:val="clear" w:color="auto" w:fill="auto"/>
            <w:hideMark/>
          </w:tcPr>
          <w:p w14:paraId="45581C7D"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213,067</w:t>
            </w:r>
          </w:p>
        </w:tc>
        <w:tc>
          <w:tcPr>
            <w:tcW w:w="1395" w:type="dxa"/>
            <w:tcBorders>
              <w:top w:val="nil"/>
              <w:left w:val="nil"/>
              <w:bottom w:val="single" w:sz="4" w:space="0" w:color="auto"/>
              <w:right w:val="single" w:sz="4" w:space="0" w:color="auto"/>
            </w:tcBorders>
            <w:shd w:val="clear" w:color="auto" w:fill="auto"/>
          </w:tcPr>
          <w:p w14:paraId="6049BF13" w14:textId="77777777" w:rsidR="002E4470" w:rsidRPr="00473E67" w:rsidRDefault="002E4470"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2,225,974</w:t>
            </w:r>
          </w:p>
        </w:tc>
        <w:tc>
          <w:tcPr>
            <w:tcW w:w="1134" w:type="dxa"/>
            <w:tcBorders>
              <w:top w:val="nil"/>
              <w:left w:val="nil"/>
              <w:bottom w:val="single" w:sz="4" w:space="0" w:color="auto"/>
              <w:right w:val="single" w:sz="4" w:space="0" w:color="auto"/>
            </w:tcBorders>
            <w:shd w:val="clear" w:color="auto" w:fill="auto"/>
            <w:hideMark/>
          </w:tcPr>
          <w:p w14:paraId="083429AD" w14:textId="77777777" w:rsidR="002E4470" w:rsidRPr="00473E67" w:rsidRDefault="002E4470" w:rsidP="00473E67">
            <w:pPr>
              <w:spacing w:before="0" w:after="0" w:line="240" w:lineRule="atLeast"/>
              <w:jc w:val="right"/>
              <w:rPr>
                <w:rFonts w:cs="Times New Roman"/>
                <w:color w:val="000000"/>
                <w:sz w:val="18"/>
                <w:szCs w:val="18"/>
                <w:lang w:val="en-GB" w:eastAsia="en-US"/>
              </w:rPr>
            </w:pPr>
          </w:p>
        </w:tc>
      </w:tr>
      <w:tr w:rsidR="002E4470" w:rsidRPr="00140D39" w14:paraId="527BAF6D" w14:textId="77777777" w:rsidTr="00E408FC">
        <w:tc>
          <w:tcPr>
            <w:tcW w:w="4590" w:type="dxa"/>
            <w:tcBorders>
              <w:left w:val="single" w:sz="6" w:space="0" w:color="000000"/>
              <w:bottom w:val="single" w:sz="6" w:space="0" w:color="000000"/>
              <w:right w:val="single" w:sz="6" w:space="0" w:color="000000"/>
            </w:tcBorders>
            <w:hideMark/>
          </w:tcPr>
          <w:p w14:paraId="3EB2EBF8" w14:textId="7DDC23C4" w:rsidR="002E4470" w:rsidRPr="00473E67" w:rsidRDefault="002E4470"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共计</w:t>
            </w:r>
          </w:p>
        </w:tc>
        <w:tc>
          <w:tcPr>
            <w:tcW w:w="1350" w:type="dxa"/>
            <w:tcBorders>
              <w:top w:val="nil"/>
              <w:left w:val="single" w:sz="4" w:space="0" w:color="auto"/>
              <w:bottom w:val="single" w:sz="4" w:space="0" w:color="auto"/>
              <w:right w:val="single" w:sz="4" w:space="0" w:color="auto"/>
            </w:tcBorders>
            <w:shd w:val="clear" w:color="auto" w:fill="auto"/>
            <w:hideMark/>
          </w:tcPr>
          <w:p w14:paraId="71136E3F" w14:textId="77777777" w:rsidR="002E4470" w:rsidRPr="00473E67" w:rsidRDefault="002E4470"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7,333,019</w:t>
            </w:r>
          </w:p>
        </w:tc>
        <w:tc>
          <w:tcPr>
            <w:tcW w:w="1170" w:type="dxa"/>
            <w:tcBorders>
              <w:top w:val="nil"/>
              <w:left w:val="nil"/>
              <w:bottom w:val="single" w:sz="4" w:space="0" w:color="auto"/>
              <w:right w:val="single" w:sz="4" w:space="0" w:color="auto"/>
            </w:tcBorders>
            <w:shd w:val="clear" w:color="auto" w:fill="auto"/>
            <w:hideMark/>
          </w:tcPr>
          <w:p w14:paraId="117948F9" w14:textId="77777777" w:rsidR="002E4470" w:rsidRPr="00473E67" w:rsidRDefault="002E4470"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4,256,910</w:t>
            </w:r>
          </w:p>
        </w:tc>
        <w:tc>
          <w:tcPr>
            <w:tcW w:w="1395" w:type="dxa"/>
            <w:tcBorders>
              <w:top w:val="nil"/>
              <w:left w:val="nil"/>
              <w:bottom w:val="single" w:sz="4" w:space="0" w:color="auto"/>
              <w:right w:val="single" w:sz="4" w:space="0" w:color="auto"/>
            </w:tcBorders>
            <w:shd w:val="clear" w:color="auto" w:fill="auto"/>
          </w:tcPr>
          <w:p w14:paraId="74F12317" w14:textId="77777777" w:rsidR="002E4470" w:rsidRPr="00473E67" w:rsidRDefault="002E4470"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3,076,109</w:t>
            </w:r>
          </w:p>
        </w:tc>
        <w:tc>
          <w:tcPr>
            <w:tcW w:w="1134" w:type="dxa"/>
            <w:tcBorders>
              <w:top w:val="nil"/>
              <w:left w:val="nil"/>
              <w:bottom w:val="single" w:sz="4" w:space="0" w:color="auto"/>
              <w:right w:val="single" w:sz="4" w:space="0" w:color="auto"/>
            </w:tcBorders>
            <w:shd w:val="clear" w:color="auto" w:fill="auto"/>
            <w:tcMar>
              <w:left w:w="29" w:type="dxa"/>
              <w:right w:w="29" w:type="dxa"/>
            </w:tcMar>
            <w:hideMark/>
          </w:tcPr>
          <w:p w14:paraId="61DC10C1" w14:textId="1CE6FE9D" w:rsidR="002E4470" w:rsidRPr="00473E67" w:rsidRDefault="002E4470" w:rsidP="00473E67">
            <w:pPr>
              <w:spacing w:before="0" w:after="0" w:line="240" w:lineRule="atLeast"/>
              <w:jc w:val="right"/>
              <w:rPr>
                <w:rFonts w:cs="Times New Roman"/>
                <w:bCs/>
                <w:color w:val="000000"/>
                <w:sz w:val="18"/>
                <w:szCs w:val="18"/>
                <w:lang w:val="en-GB" w:eastAsia="en-US"/>
              </w:rPr>
            </w:pPr>
            <w:r w:rsidRPr="00473E67">
              <w:rPr>
                <w:rFonts w:cs="Times New Roman"/>
                <w:bCs/>
                <w:color w:val="000000"/>
                <w:sz w:val="18"/>
                <w:szCs w:val="18"/>
                <w:lang w:val="en-GB" w:eastAsia="en-US"/>
              </w:rPr>
              <w:t>2020</w:t>
            </w:r>
            <w:r w:rsidR="00E408FC">
              <w:rPr>
                <w:rFonts w:cs="Times New Roman" w:hint="eastAsia"/>
                <w:bCs/>
                <w:color w:val="000000"/>
                <w:sz w:val="18"/>
                <w:szCs w:val="18"/>
                <w:lang w:val="en-GB"/>
              </w:rPr>
              <w:t>年</w:t>
            </w:r>
            <w:r w:rsidR="00E408FC">
              <w:rPr>
                <w:rFonts w:cs="Times New Roman" w:hint="eastAsia"/>
                <w:bCs/>
                <w:color w:val="000000"/>
                <w:sz w:val="18"/>
                <w:szCs w:val="18"/>
                <w:lang w:val="en-GB"/>
              </w:rPr>
              <w:t>12</w:t>
            </w:r>
            <w:r w:rsidR="00E408FC">
              <w:rPr>
                <w:rFonts w:cs="Times New Roman" w:hint="eastAsia"/>
                <w:bCs/>
                <w:color w:val="000000"/>
                <w:sz w:val="18"/>
                <w:szCs w:val="18"/>
                <w:lang w:val="en-GB"/>
              </w:rPr>
              <w:t>月</w:t>
            </w:r>
          </w:p>
        </w:tc>
      </w:tr>
      <w:tr w:rsidR="002E4470" w:rsidRPr="00140D39" w14:paraId="71231046" w14:textId="77777777" w:rsidTr="00F2561F">
        <w:tc>
          <w:tcPr>
            <w:tcW w:w="9639" w:type="dxa"/>
            <w:gridSpan w:val="5"/>
            <w:tcBorders>
              <w:top w:val="nil"/>
              <w:left w:val="single" w:sz="4" w:space="0" w:color="auto"/>
              <w:bottom w:val="single" w:sz="4" w:space="0" w:color="auto"/>
              <w:right w:val="single" w:sz="4" w:space="0" w:color="auto"/>
            </w:tcBorders>
            <w:noWrap/>
            <w:hideMark/>
          </w:tcPr>
          <w:p w14:paraId="6E05D757" w14:textId="034FE4FA"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b/>
                <w:bCs/>
                <w:color w:val="000000"/>
                <w:sz w:val="18"/>
                <w:szCs w:val="18"/>
              </w:rPr>
              <w:t>聚氨酯泡沫塑料：</w:t>
            </w:r>
            <w:r w:rsidR="009F4EB4" w:rsidRPr="00473E67">
              <w:rPr>
                <w:rFonts w:cs="Times New Roman"/>
                <w:b/>
                <w:bCs/>
                <w:color w:val="000000"/>
                <w:sz w:val="18"/>
                <w:szCs w:val="18"/>
              </w:rPr>
              <w:t>核准费用总额</w:t>
            </w:r>
            <w:r w:rsidRPr="00473E67">
              <w:rPr>
                <w:rFonts w:cs="Times New Roman"/>
                <w:b/>
                <w:bCs/>
                <w:color w:val="000000"/>
                <w:sz w:val="18"/>
                <w:szCs w:val="18"/>
              </w:rPr>
              <w:t>53,846,000</w:t>
            </w:r>
            <w:r w:rsidRPr="00473E67">
              <w:rPr>
                <w:rFonts w:cs="Times New Roman"/>
                <w:b/>
                <w:bCs/>
                <w:color w:val="000000"/>
                <w:sz w:val="18"/>
                <w:szCs w:val="18"/>
              </w:rPr>
              <w:t>美元（世界银行）</w:t>
            </w:r>
            <w:r w:rsidRPr="00473E67">
              <w:rPr>
                <w:rFonts w:cs="Times New Roman"/>
                <w:b/>
                <w:bCs/>
                <w:color w:val="000000"/>
                <w:sz w:val="18"/>
                <w:szCs w:val="18"/>
              </w:rPr>
              <w:t> </w:t>
            </w:r>
          </w:p>
        </w:tc>
      </w:tr>
      <w:tr w:rsidR="002E4470" w:rsidRPr="00140D39" w14:paraId="6C892048" w14:textId="77777777" w:rsidTr="00473E67">
        <w:tc>
          <w:tcPr>
            <w:tcW w:w="4590" w:type="dxa"/>
            <w:tcBorders>
              <w:left w:val="single" w:sz="6" w:space="0" w:color="000000"/>
              <w:bottom w:val="single" w:sz="6" w:space="0" w:color="000000"/>
              <w:right w:val="single" w:sz="6" w:space="0" w:color="000000"/>
            </w:tcBorders>
            <w:hideMark/>
          </w:tcPr>
          <w:p w14:paraId="69344E61" w14:textId="508664F6"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sz w:val="18"/>
                <w:szCs w:val="18"/>
              </w:rPr>
              <w:t>筛选和评价无氟氯化碳替代品和开发新替代品</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6AFD04F" w14:textId="77777777" w:rsidR="002E4470" w:rsidRPr="00473E67" w:rsidRDefault="002E4470" w:rsidP="00473E67">
            <w:pPr>
              <w:spacing w:before="0" w:after="0" w:line="240" w:lineRule="atLeast"/>
              <w:jc w:val="right"/>
              <w:rPr>
                <w:rFonts w:cs="Times New Roman"/>
                <w:sz w:val="18"/>
                <w:szCs w:val="18"/>
                <w:lang w:val="en-CA" w:eastAsia="en-US"/>
              </w:rPr>
            </w:pPr>
            <w:r w:rsidRPr="00473E67">
              <w:rPr>
                <w:rFonts w:cs="Times New Roman"/>
                <w:sz w:val="18"/>
                <w:szCs w:val="18"/>
                <w:lang w:val="en-GB" w:eastAsia="en-US"/>
              </w:rPr>
              <w:t>270,935</w:t>
            </w:r>
          </w:p>
        </w:tc>
        <w:tc>
          <w:tcPr>
            <w:tcW w:w="1170" w:type="dxa"/>
            <w:tcBorders>
              <w:top w:val="single" w:sz="4" w:space="0" w:color="auto"/>
              <w:left w:val="nil"/>
              <w:bottom w:val="single" w:sz="4" w:space="0" w:color="auto"/>
              <w:right w:val="single" w:sz="4" w:space="0" w:color="auto"/>
            </w:tcBorders>
            <w:shd w:val="clear" w:color="auto" w:fill="auto"/>
            <w:noWrap/>
          </w:tcPr>
          <w:p w14:paraId="71D71DD8"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80,994</w:t>
            </w:r>
          </w:p>
        </w:tc>
        <w:tc>
          <w:tcPr>
            <w:tcW w:w="1395" w:type="dxa"/>
            <w:tcBorders>
              <w:top w:val="single" w:sz="4" w:space="0" w:color="auto"/>
              <w:left w:val="nil"/>
              <w:bottom w:val="single" w:sz="4" w:space="0" w:color="auto"/>
              <w:right w:val="single" w:sz="4" w:space="0" w:color="auto"/>
            </w:tcBorders>
            <w:shd w:val="clear" w:color="auto" w:fill="auto"/>
            <w:noWrap/>
            <w:hideMark/>
          </w:tcPr>
          <w:p w14:paraId="64A0DBAE"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189,941</w:t>
            </w:r>
          </w:p>
        </w:tc>
        <w:tc>
          <w:tcPr>
            <w:tcW w:w="1134" w:type="dxa"/>
            <w:tcBorders>
              <w:top w:val="single" w:sz="4" w:space="0" w:color="auto"/>
              <w:left w:val="nil"/>
              <w:bottom w:val="single" w:sz="4" w:space="0" w:color="auto"/>
              <w:right w:val="single" w:sz="4" w:space="0" w:color="auto"/>
            </w:tcBorders>
            <w:shd w:val="clear" w:color="auto" w:fill="auto"/>
            <w:noWrap/>
            <w:hideMark/>
          </w:tcPr>
          <w:p w14:paraId="0A1897ED" w14:textId="77777777" w:rsidR="002E4470" w:rsidRPr="00473E67" w:rsidRDefault="002E4470" w:rsidP="00473E67">
            <w:pPr>
              <w:spacing w:before="0" w:after="0" w:line="240" w:lineRule="atLeast"/>
              <w:jc w:val="right"/>
              <w:rPr>
                <w:rFonts w:cs="Times New Roman"/>
                <w:sz w:val="18"/>
                <w:szCs w:val="18"/>
                <w:lang w:val="en-GB" w:eastAsia="en-US"/>
              </w:rPr>
            </w:pPr>
          </w:p>
        </w:tc>
      </w:tr>
      <w:tr w:rsidR="002E4470" w:rsidRPr="00140D39" w14:paraId="71227C62" w14:textId="77777777" w:rsidTr="00473E67">
        <w:tc>
          <w:tcPr>
            <w:tcW w:w="4590" w:type="dxa"/>
            <w:tcBorders>
              <w:left w:val="single" w:sz="6" w:space="0" w:color="000000"/>
              <w:bottom w:val="single" w:sz="6" w:space="0" w:color="000000"/>
              <w:right w:val="single" w:sz="6" w:space="0" w:color="000000"/>
            </w:tcBorders>
            <w:hideMark/>
          </w:tcPr>
          <w:p w14:paraId="63A86B68" w14:textId="690314CE"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sz w:val="18"/>
                <w:szCs w:val="18"/>
              </w:rPr>
              <w:t>增加的省级泡沫塑料活动（</w:t>
            </w:r>
            <w:r w:rsidRPr="00473E67">
              <w:rPr>
                <w:rFonts w:cs="Times New Roman"/>
                <w:sz w:val="18"/>
                <w:szCs w:val="18"/>
              </w:rPr>
              <w:t>11</w:t>
            </w:r>
            <w:r w:rsidRPr="00473E67">
              <w:rPr>
                <w:rFonts w:cs="Times New Roman"/>
                <w:sz w:val="18"/>
                <w:szCs w:val="18"/>
              </w:rPr>
              <w:t>个省的能力建设）</w:t>
            </w:r>
            <w:r w:rsidRPr="00473E67">
              <w:rPr>
                <w:rFonts w:cs="Times New Roman"/>
                <w:sz w:val="18"/>
                <w:szCs w:val="18"/>
              </w:rPr>
              <w:t> </w:t>
            </w:r>
          </w:p>
        </w:tc>
        <w:tc>
          <w:tcPr>
            <w:tcW w:w="1350" w:type="dxa"/>
            <w:tcBorders>
              <w:top w:val="nil"/>
              <w:left w:val="single" w:sz="4" w:space="0" w:color="auto"/>
              <w:bottom w:val="single" w:sz="4" w:space="0" w:color="auto"/>
              <w:right w:val="single" w:sz="4" w:space="0" w:color="auto"/>
            </w:tcBorders>
            <w:shd w:val="clear" w:color="auto" w:fill="auto"/>
            <w:noWrap/>
          </w:tcPr>
          <w:p w14:paraId="4F2D5B5C"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490,812</w:t>
            </w:r>
          </w:p>
        </w:tc>
        <w:tc>
          <w:tcPr>
            <w:tcW w:w="1170" w:type="dxa"/>
            <w:tcBorders>
              <w:top w:val="nil"/>
              <w:left w:val="nil"/>
              <w:bottom w:val="single" w:sz="4" w:space="0" w:color="auto"/>
              <w:right w:val="single" w:sz="4" w:space="0" w:color="auto"/>
            </w:tcBorders>
            <w:shd w:val="clear" w:color="auto" w:fill="auto"/>
            <w:noWrap/>
          </w:tcPr>
          <w:p w14:paraId="1A16A573"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260,084</w:t>
            </w:r>
          </w:p>
        </w:tc>
        <w:tc>
          <w:tcPr>
            <w:tcW w:w="1395" w:type="dxa"/>
            <w:tcBorders>
              <w:top w:val="nil"/>
              <w:left w:val="nil"/>
              <w:bottom w:val="single" w:sz="4" w:space="0" w:color="auto"/>
              <w:right w:val="single" w:sz="4" w:space="0" w:color="auto"/>
            </w:tcBorders>
            <w:shd w:val="clear" w:color="auto" w:fill="auto"/>
            <w:noWrap/>
            <w:hideMark/>
          </w:tcPr>
          <w:p w14:paraId="71D5FC20"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230,727</w:t>
            </w:r>
          </w:p>
        </w:tc>
        <w:tc>
          <w:tcPr>
            <w:tcW w:w="1134" w:type="dxa"/>
            <w:tcBorders>
              <w:top w:val="nil"/>
              <w:left w:val="nil"/>
              <w:bottom w:val="single" w:sz="4" w:space="0" w:color="auto"/>
              <w:right w:val="single" w:sz="4" w:space="0" w:color="auto"/>
            </w:tcBorders>
            <w:shd w:val="clear" w:color="auto" w:fill="auto"/>
            <w:noWrap/>
            <w:hideMark/>
          </w:tcPr>
          <w:p w14:paraId="39363F2D" w14:textId="77777777" w:rsidR="002E4470" w:rsidRPr="00473E67" w:rsidRDefault="002E4470" w:rsidP="00473E67">
            <w:pPr>
              <w:spacing w:before="0" w:after="0" w:line="240" w:lineRule="atLeast"/>
              <w:jc w:val="right"/>
              <w:rPr>
                <w:rFonts w:cs="Times New Roman"/>
                <w:sz w:val="18"/>
                <w:szCs w:val="18"/>
                <w:lang w:val="en-GB" w:eastAsia="en-US"/>
              </w:rPr>
            </w:pPr>
          </w:p>
        </w:tc>
      </w:tr>
      <w:tr w:rsidR="002E4470" w:rsidRPr="00140D39" w14:paraId="3AC8A104" w14:textId="77777777" w:rsidTr="00473E67">
        <w:tc>
          <w:tcPr>
            <w:tcW w:w="4590" w:type="dxa"/>
            <w:tcBorders>
              <w:left w:val="single" w:sz="6" w:space="0" w:color="000000"/>
              <w:bottom w:val="single" w:sz="6" w:space="0" w:color="000000"/>
              <w:right w:val="single" w:sz="6" w:space="0" w:color="000000"/>
            </w:tcBorders>
            <w:hideMark/>
          </w:tcPr>
          <w:p w14:paraId="530AB00A" w14:textId="20641E09"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sz w:val="18"/>
                <w:szCs w:val="18"/>
              </w:rPr>
              <w:t>为泡沫企业提供技术服务，以改进对新替代品的应用</w:t>
            </w:r>
          </w:p>
        </w:tc>
        <w:tc>
          <w:tcPr>
            <w:tcW w:w="1350" w:type="dxa"/>
            <w:tcBorders>
              <w:top w:val="nil"/>
              <w:left w:val="single" w:sz="4" w:space="0" w:color="auto"/>
              <w:bottom w:val="single" w:sz="4" w:space="0" w:color="auto"/>
              <w:right w:val="single" w:sz="4" w:space="0" w:color="auto"/>
            </w:tcBorders>
            <w:shd w:val="clear" w:color="auto" w:fill="auto"/>
            <w:noWrap/>
          </w:tcPr>
          <w:p w14:paraId="5C1053F6"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375,377</w:t>
            </w:r>
          </w:p>
        </w:tc>
        <w:tc>
          <w:tcPr>
            <w:tcW w:w="1170" w:type="dxa"/>
            <w:tcBorders>
              <w:top w:val="nil"/>
              <w:left w:val="nil"/>
              <w:bottom w:val="single" w:sz="4" w:space="0" w:color="auto"/>
              <w:right w:val="single" w:sz="4" w:space="0" w:color="auto"/>
            </w:tcBorders>
            <w:shd w:val="clear" w:color="auto" w:fill="auto"/>
            <w:noWrap/>
          </w:tcPr>
          <w:p w14:paraId="7971E685"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188,039</w:t>
            </w:r>
          </w:p>
        </w:tc>
        <w:tc>
          <w:tcPr>
            <w:tcW w:w="1395" w:type="dxa"/>
            <w:tcBorders>
              <w:top w:val="nil"/>
              <w:left w:val="nil"/>
              <w:bottom w:val="single" w:sz="4" w:space="0" w:color="auto"/>
              <w:right w:val="single" w:sz="4" w:space="0" w:color="auto"/>
            </w:tcBorders>
            <w:shd w:val="clear" w:color="auto" w:fill="auto"/>
            <w:noWrap/>
            <w:hideMark/>
          </w:tcPr>
          <w:p w14:paraId="21A57A93"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187,338</w:t>
            </w:r>
          </w:p>
        </w:tc>
        <w:tc>
          <w:tcPr>
            <w:tcW w:w="1134" w:type="dxa"/>
            <w:tcBorders>
              <w:top w:val="nil"/>
              <w:left w:val="nil"/>
              <w:bottom w:val="single" w:sz="4" w:space="0" w:color="auto"/>
              <w:right w:val="single" w:sz="4" w:space="0" w:color="auto"/>
            </w:tcBorders>
            <w:shd w:val="clear" w:color="auto" w:fill="auto"/>
            <w:noWrap/>
            <w:hideMark/>
          </w:tcPr>
          <w:p w14:paraId="645C0F6C" w14:textId="77777777" w:rsidR="002E4470" w:rsidRPr="00473E67" w:rsidRDefault="002E4470" w:rsidP="00473E67">
            <w:pPr>
              <w:spacing w:before="0" w:after="0" w:line="240" w:lineRule="atLeast"/>
              <w:jc w:val="right"/>
              <w:rPr>
                <w:rFonts w:cs="Times New Roman"/>
                <w:sz w:val="18"/>
                <w:szCs w:val="18"/>
                <w:lang w:val="en-GB" w:eastAsia="en-US"/>
              </w:rPr>
            </w:pPr>
          </w:p>
        </w:tc>
      </w:tr>
      <w:tr w:rsidR="002E4470" w:rsidRPr="00140D39" w14:paraId="6F0BA23F" w14:textId="77777777" w:rsidTr="00473E67">
        <w:tc>
          <w:tcPr>
            <w:tcW w:w="4590" w:type="dxa"/>
            <w:tcBorders>
              <w:left w:val="single" w:sz="6" w:space="0" w:color="000000"/>
              <w:bottom w:val="single" w:sz="6" w:space="0" w:color="000000"/>
              <w:right w:val="single" w:sz="6" w:space="0" w:color="000000"/>
            </w:tcBorders>
            <w:hideMark/>
          </w:tcPr>
          <w:p w14:paraId="3DD5D6D1" w14:textId="400118BB" w:rsidR="002E4470" w:rsidRPr="00473E67" w:rsidRDefault="002E4470" w:rsidP="00473E67">
            <w:pPr>
              <w:widowControl w:val="0"/>
              <w:spacing w:before="0" w:after="0" w:line="240" w:lineRule="atLeast"/>
              <w:rPr>
                <w:rFonts w:cs="Times New Roman"/>
                <w:color w:val="000000"/>
                <w:sz w:val="18"/>
                <w:szCs w:val="18"/>
                <w:lang w:val="en-CA"/>
              </w:rPr>
            </w:pPr>
            <w:r w:rsidRPr="00473E67">
              <w:rPr>
                <w:rFonts w:cs="Times New Roman"/>
                <w:sz w:val="18"/>
                <w:szCs w:val="18"/>
              </w:rPr>
              <w:t>继续监测泡沫塑料行业的氟氯化碳淘汰工作</w:t>
            </w:r>
          </w:p>
        </w:tc>
        <w:tc>
          <w:tcPr>
            <w:tcW w:w="1350" w:type="dxa"/>
            <w:tcBorders>
              <w:top w:val="nil"/>
              <w:left w:val="single" w:sz="4" w:space="0" w:color="auto"/>
              <w:bottom w:val="single" w:sz="4" w:space="0" w:color="auto"/>
              <w:right w:val="single" w:sz="4" w:space="0" w:color="auto"/>
            </w:tcBorders>
            <w:shd w:val="clear" w:color="auto" w:fill="auto"/>
            <w:noWrap/>
          </w:tcPr>
          <w:p w14:paraId="4F9EEAE3"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370,373</w:t>
            </w:r>
          </w:p>
        </w:tc>
        <w:tc>
          <w:tcPr>
            <w:tcW w:w="1170" w:type="dxa"/>
            <w:tcBorders>
              <w:top w:val="nil"/>
              <w:left w:val="nil"/>
              <w:bottom w:val="single" w:sz="4" w:space="0" w:color="auto"/>
              <w:right w:val="single" w:sz="4" w:space="0" w:color="auto"/>
            </w:tcBorders>
            <w:shd w:val="clear" w:color="auto" w:fill="auto"/>
            <w:noWrap/>
          </w:tcPr>
          <w:p w14:paraId="1EA5F3F0"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105,685</w:t>
            </w:r>
          </w:p>
        </w:tc>
        <w:tc>
          <w:tcPr>
            <w:tcW w:w="1395" w:type="dxa"/>
            <w:tcBorders>
              <w:top w:val="nil"/>
              <w:left w:val="nil"/>
              <w:bottom w:val="single" w:sz="4" w:space="0" w:color="auto"/>
              <w:right w:val="single" w:sz="4" w:space="0" w:color="auto"/>
            </w:tcBorders>
            <w:shd w:val="clear" w:color="auto" w:fill="auto"/>
            <w:noWrap/>
            <w:hideMark/>
          </w:tcPr>
          <w:p w14:paraId="5F8C001F"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264,687</w:t>
            </w:r>
          </w:p>
        </w:tc>
        <w:tc>
          <w:tcPr>
            <w:tcW w:w="1134" w:type="dxa"/>
            <w:tcBorders>
              <w:top w:val="nil"/>
              <w:left w:val="nil"/>
              <w:bottom w:val="single" w:sz="4" w:space="0" w:color="auto"/>
              <w:right w:val="single" w:sz="4" w:space="0" w:color="auto"/>
            </w:tcBorders>
            <w:shd w:val="clear" w:color="auto" w:fill="auto"/>
            <w:noWrap/>
            <w:hideMark/>
          </w:tcPr>
          <w:p w14:paraId="18ED9F79" w14:textId="77777777" w:rsidR="002E4470" w:rsidRPr="00473E67" w:rsidRDefault="002E4470" w:rsidP="00473E67">
            <w:pPr>
              <w:spacing w:before="0" w:after="0" w:line="240" w:lineRule="atLeast"/>
              <w:jc w:val="right"/>
              <w:rPr>
                <w:rFonts w:cs="Times New Roman"/>
                <w:sz w:val="18"/>
                <w:szCs w:val="18"/>
                <w:lang w:val="en-GB" w:eastAsia="en-US"/>
              </w:rPr>
            </w:pPr>
          </w:p>
        </w:tc>
      </w:tr>
      <w:tr w:rsidR="002E4470" w:rsidRPr="00140D39" w14:paraId="17B946D7" w14:textId="77777777" w:rsidTr="00473E67">
        <w:tc>
          <w:tcPr>
            <w:tcW w:w="4590" w:type="dxa"/>
            <w:tcBorders>
              <w:left w:val="single" w:sz="6" w:space="0" w:color="000000"/>
              <w:bottom w:val="single" w:sz="6" w:space="0" w:color="000000"/>
              <w:right w:val="single" w:sz="6" w:space="0" w:color="000000"/>
            </w:tcBorders>
            <w:hideMark/>
          </w:tcPr>
          <w:p w14:paraId="2C5C3B0E" w14:textId="0201D4FC" w:rsidR="002E4470" w:rsidRPr="00473E67" w:rsidRDefault="002E4470"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项目监测与管理</w:t>
            </w:r>
          </w:p>
        </w:tc>
        <w:tc>
          <w:tcPr>
            <w:tcW w:w="1350" w:type="dxa"/>
            <w:tcBorders>
              <w:top w:val="nil"/>
              <w:left w:val="single" w:sz="4" w:space="0" w:color="auto"/>
              <w:bottom w:val="single" w:sz="4" w:space="0" w:color="auto"/>
              <w:right w:val="single" w:sz="4" w:space="0" w:color="auto"/>
            </w:tcBorders>
            <w:shd w:val="clear" w:color="auto" w:fill="auto"/>
          </w:tcPr>
          <w:p w14:paraId="69525EC7"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147,901</w:t>
            </w:r>
          </w:p>
        </w:tc>
        <w:tc>
          <w:tcPr>
            <w:tcW w:w="1170" w:type="dxa"/>
            <w:tcBorders>
              <w:top w:val="nil"/>
              <w:left w:val="nil"/>
              <w:bottom w:val="single" w:sz="4" w:space="0" w:color="auto"/>
              <w:right w:val="single" w:sz="4" w:space="0" w:color="auto"/>
            </w:tcBorders>
            <w:shd w:val="clear" w:color="auto" w:fill="auto"/>
          </w:tcPr>
          <w:p w14:paraId="180AD834"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123,587</w:t>
            </w:r>
          </w:p>
        </w:tc>
        <w:tc>
          <w:tcPr>
            <w:tcW w:w="1395" w:type="dxa"/>
            <w:tcBorders>
              <w:top w:val="nil"/>
              <w:left w:val="nil"/>
              <w:bottom w:val="single" w:sz="4" w:space="0" w:color="auto"/>
              <w:right w:val="single" w:sz="4" w:space="0" w:color="auto"/>
            </w:tcBorders>
            <w:shd w:val="clear" w:color="auto" w:fill="auto"/>
            <w:hideMark/>
          </w:tcPr>
          <w:p w14:paraId="7315098C" w14:textId="77777777" w:rsidR="002E4470" w:rsidRPr="00473E67" w:rsidRDefault="002E4470"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24,314</w:t>
            </w:r>
          </w:p>
        </w:tc>
        <w:tc>
          <w:tcPr>
            <w:tcW w:w="1134" w:type="dxa"/>
            <w:tcBorders>
              <w:top w:val="nil"/>
              <w:left w:val="nil"/>
              <w:bottom w:val="single" w:sz="4" w:space="0" w:color="auto"/>
              <w:right w:val="single" w:sz="4" w:space="0" w:color="auto"/>
            </w:tcBorders>
            <w:shd w:val="clear" w:color="auto" w:fill="auto"/>
            <w:hideMark/>
          </w:tcPr>
          <w:p w14:paraId="091C24B7" w14:textId="77777777" w:rsidR="002E4470" w:rsidRPr="00473E67" w:rsidRDefault="002E4470" w:rsidP="00473E67">
            <w:pPr>
              <w:spacing w:before="0" w:after="0" w:line="240" w:lineRule="atLeast"/>
              <w:jc w:val="right"/>
              <w:rPr>
                <w:rFonts w:cs="Times New Roman"/>
                <w:sz w:val="18"/>
                <w:szCs w:val="18"/>
                <w:lang w:val="en-GB" w:eastAsia="en-US"/>
              </w:rPr>
            </w:pPr>
          </w:p>
        </w:tc>
      </w:tr>
      <w:tr w:rsidR="002E4470" w:rsidRPr="00140D39" w14:paraId="59D6523E" w14:textId="77777777" w:rsidTr="00E408FC">
        <w:tc>
          <w:tcPr>
            <w:tcW w:w="4590" w:type="dxa"/>
            <w:tcBorders>
              <w:left w:val="single" w:sz="6" w:space="0" w:color="000000"/>
              <w:bottom w:val="single" w:sz="6" w:space="0" w:color="000000"/>
              <w:right w:val="single" w:sz="6" w:space="0" w:color="000000"/>
            </w:tcBorders>
            <w:hideMark/>
          </w:tcPr>
          <w:p w14:paraId="39DF6F16" w14:textId="12E3A826" w:rsidR="002E4470" w:rsidRPr="00473E67" w:rsidRDefault="002E4470"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共计</w:t>
            </w:r>
          </w:p>
        </w:tc>
        <w:tc>
          <w:tcPr>
            <w:tcW w:w="1350" w:type="dxa"/>
            <w:tcBorders>
              <w:top w:val="nil"/>
              <w:left w:val="single" w:sz="4" w:space="0" w:color="auto"/>
              <w:bottom w:val="single" w:sz="4" w:space="0" w:color="auto"/>
              <w:right w:val="single" w:sz="4" w:space="0" w:color="auto"/>
            </w:tcBorders>
            <w:shd w:val="clear" w:color="auto" w:fill="auto"/>
            <w:noWrap/>
          </w:tcPr>
          <w:p w14:paraId="4BB575AF" w14:textId="77777777" w:rsidR="002E4470" w:rsidRPr="00473E67" w:rsidRDefault="002E4470" w:rsidP="00473E67">
            <w:pPr>
              <w:spacing w:before="0" w:after="0" w:line="240" w:lineRule="atLeast"/>
              <w:jc w:val="right"/>
              <w:rPr>
                <w:rFonts w:cs="Times New Roman"/>
                <w:b/>
                <w:bCs/>
                <w:sz w:val="18"/>
                <w:szCs w:val="18"/>
                <w:lang w:val="en-GB" w:eastAsia="en-US"/>
              </w:rPr>
            </w:pPr>
            <w:r w:rsidRPr="00473E67">
              <w:rPr>
                <w:rFonts w:cs="Times New Roman"/>
                <w:b/>
                <w:bCs/>
                <w:sz w:val="18"/>
                <w:szCs w:val="18"/>
                <w:lang w:val="en-GB" w:eastAsia="en-US"/>
              </w:rPr>
              <w:t>1,655,397</w:t>
            </w:r>
          </w:p>
        </w:tc>
        <w:tc>
          <w:tcPr>
            <w:tcW w:w="1170" w:type="dxa"/>
            <w:tcBorders>
              <w:top w:val="nil"/>
              <w:left w:val="nil"/>
              <w:bottom w:val="single" w:sz="4" w:space="0" w:color="auto"/>
              <w:right w:val="single" w:sz="4" w:space="0" w:color="auto"/>
            </w:tcBorders>
            <w:shd w:val="clear" w:color="auto" w:fill="auto"/>
            <w:noWrap/>
          </w:tcPr>
          <w:p w14:paraId="0B709A7C" w14:textId="77777777" w:rsidR="002E4470" w:rsidRPr="00473E67" w:rsidRDefault="002E4470" w:rsidP="00473E67">
            <w:pPr>
              <w:spacing w:before="0" w:after="0" w:line="240" w:lineRule="atLeast"/>
              <w:jc w:val="right"/>
              <w:rPr>
                <w:rFonts w:cs="Times New Roman"/>
                <w:b/>
                <w:bCs/>
                <w:sz w:val="18"/>
                <w:szCs w:val="18"/>
                <w:lang w:val="en-GB" w:eastAsia="en-US"/>
              </w:rPr>
            </w:pPr>
            <w:r w:rsidRPr="00473E67">
              <w:rPr>
                <w:rFonts w:cs="Times New Roman"/>
                <w:b/>
                <w:bCs/>
                <w:sz w:val="18"/>
                <w:szCs w:val="18"/>
                <w:lang w:val="en-GB" w:eastAsia="en-US"/>
              </w:rPr>
              <w:t>758,389</w:t>
            </w:r>
          </w:p>
        </w:tc>
        <w:tc>
          <w:tcPr>
            <w:tcW w:w="1395" w:type="dxa"/>
            <w:tcBorders>
              <w:top w:val="nil"/>
              <w:left w:val="nil"/>
              <w:bottom w:val="single" w:sz="4" w:space="0" w:color="auto"/>
              <w:right w:val="single" w:sz="4" w:space="0" w:color="auto"/>
            </w:tcBorders>
            <w:shd w:val="clear" w:color="auto" w:fill="auto"/>
            <w:noWrap/>
            <w:hideMark/>
          </w:tcPr>
          <w:p w14:paraId="79E34DB3" w14:textId="77777777" w:rsidR="002E4470" w:rsidRPr="00473E67" w:rsidRDefault="002E4470" w:rsidP="00473E67">
            <w:pPr>
              <w:spacing w:before="0" w:after="0" w:line="240" w:lineRule="atLeast"/>
              <w:jc w:val="right"/>
              <w:rPr>
                <w:rFonts w:cs="Times New Roman"/>
                <w:b/>
                <w:bCs/>
                <w:sz w:val="18"/>
                <w:szCs w:val="18"/>
                <w:lang w:val="en-GB" w:eastAsia="en-US"/>
              </w:rPr>
            </w:pPr>
            <w:r w:rsidRPr="00473E67">
              <w:rPr>
                <w:rFonts w:cs="Times New Roman"/>
                <w:b/>
                <w:bCs/>
                <w:sz w:val="18"/>
                <w:szCs w:val="18"/>
                <w:lang w:val="en-GB" w:eastAsia="en-US"/>
              </w:rPr>
              <w:t>897,009</w:t>
            </w:r>
          </w:p>
        </w:tc>
        <w:tc>
          <w:tcPr>
            <w:tcW w:w="1134" w:type="dxa"/>
            <w:tcBorders>
              <w:top w:val="nil"/>
              <w:left w:val="nil"/>
              <w:bottom w:val="single" w:sz="4" w:space="0" w:color="auto"/>
              <w:right w:val="single" w:sz="4" w:space="0" w:color="auto"/>
            </w:tcBorders>
            <w:shd w:val="clear" w:color="auto" w:fill="auto"/>
            <w:tcMar>
              <w:left w:w="29" w:type="dxa"/>
              <w:right w:w="29" w:type="dxa"/>
            </w:tcMar>
            <w:hideMark/>
          </w:tcPr>
          <w:p w14:paraId="2028D73F" w14:textId="60B3DAF9" w:rsidR="002E4470" w:rsidRPr="00473E67" w:rsidRDefault="002E4470" w:rsidP="00473E67">
            <w:pPr>
              <w:spacing w:before="0" w:after="0" w:line="240" w:lineRule="atLeast"/>
              <w:jc w:val="right"/>
              <w:rPr>
                <w:rFonts w:cs="Times New Roman"/>
                <w:b/>
                <w:bCs/>
                <w:sz w:val="18"/>
                <w:szCs w:val="18"/>
                <w:lang w:val="en-GB" w:eastAsia="en-US"/>
              </w:rPr>
            </w:pPr>
            <w:r w:rsidRPr="00473E67">
              <w:rPr>
                <w:rFonts w:cs="Times New Roman"/>
                <w:b/>
                <w:bCs/>
                <w:sz w:val="18"/>
                <w:szCs w:val="18"/>
                <w:lang w:val="en-GB" w:eastAsia="en-US"/>
              </w:rPr>
              <w:t>2019</w:t>
            </w:r>
            <w:r w:rsidR="00E408FC">
              <w:rPr>
                <w:rFonts w:cs="Times New Roman" w:hint="eastAsia"/>
                <w:b/>
                <w:bCs/>
                <w:sz w:val="18"/>
                <w:szCs w:val="18"/>
                <w:lang w:val="en-GB"/>
              </w:rPr>
              <w:t>年</w:t>
            </w:r>
            <w:r w:rsidR="00E408FC">
              <w:rPr>
                <w:rFonts w:cs="Times New Roman" w:hint="eastAsia"/>
                <w:b/>
                <w:bCs/>
                <w:sz w:val="18"/>
                <w:szCs w:val="18"/>
                <w:lang w:val="en-GB"/>
              </w:rPr>
              <w:t>12</w:t>
            </w:r>
            <w:r w:rsidR="00E408FC">
              <w:rPr>
                <w:rFonts w:cs="Times New Roman" w:hint="eastAsia"/>
                <w:b/>
                <w:bCs/>
                <w:sz w:val="18"/>
                <w:szCs w:val="18"/>
                <w:lang w:val="en-GB"/>
              </w:rPr>
              <w:t>月</w:t>
            </w:r>
          </w:p>
        </w:tc>
      </w:tr>
      <w:tr w:rsidR="002E4470" w:rsidRPr="00140D39" w14:paraId="30873257" w14:textId="77777777" w:rsidTr="00F2561F">
        <w:tc>
          <w:tcPr>
            <w:tcW w:w="9639" w:type="dxa"/>
            <w:gridSpan w:val="5"/>
            <w:tcBorders>
              <w:top w:val="nil"/>
              <w:left w:val="single" w:sz="4" w:space="0" w:color="auto"/>
              <w:bottom w:val="single" w:sz="4" w:space="0" w:color="auto"/>
              <w:right w:val="single" w:sz="4" w:space="0" w:color="auto"/>
            </w:tcBorders>
            <w:noWrap/>
            <w:hideMark/>
          </w:tcPr>
          <w:p w14:paraId="0E1E03DF" w14:textId="751497A9" w:rsidR="002E4470" w:rsidRPr="00473E67" w:rsidRDefault="009F4EB4" w:rsidP="00473E67">
            <w:pPr>
              <w:widowControl w:val="0"/>
              <w:spacing w:before="0" w:after="0" w:line="240" w:lineRule="atLeast"/>
              <w:rPr>
                <w:rFonts w:cs="Times New Roman"/>
                <w:color w:val="000000"/>
                <w:sz w:val="18"/>
                <w:szCs w:val="18"/>
                <w:lang w:val="en-CA"/>
              </w:rPr>
            </w:pPr>
            <w:r w:rsidRPr="00473E67">
              <w:rPr>
                <w:rFonts w:cs="Times New Roman"/>
                <w:b/>
                <w:bCs/>
                <w:color w:val="000000"/>
                <w:sz w:val="18"/>
                <w:szCs w:val="18"/>
              </w:rPr>
              <w:t>制冷维修：核准费用总额</w:t>
            </w:r>
            <w:r w:rsidRPr="00473E67">
              <w:rPr>
                <w:rFonts w:cs="Times New Roman"/>
                <w:b/>
                <w:bCs/>
                <w:color w:val="000000"/>
                <w:sz w:val="18"/>
                <w:szCs w:val="18"/>
              </w:rPr>
              <w:t>7,884,853</w:t>
            </w:r>
            <w:r w:rsidRPr="00473E67">
              <w:rPr>
                <w:rFonts w:cs="Times New Roman"/>
                <w:b/>
                <w:bCs/>
                <w:color w:val="000000"/>
                <w:sz w:val="18"/>
                <w:szCs w:val="18"/>
              </w:rPr>
              <w:t>美元（日本、环境规划署、工发组织）</w:t>
            </w:r>
            <w:r w:rsidRPr="00473E67">
              <w:rPr>
                <w:rFonts w:cs="Times New Roman"/>
                <w:b/>
                <w:bCs/>
                <w:color w:val="000000"/>
                <w:sz w:val="18"/>
                <w:szCs w:val="18"/>
              </w:rPr>
              <w:t> </w:t>
            </w:r>
          </w:p>
        </w:tc>
      </w:tr>
      <w:tr w:rsidR="00FA6BDE" w:rsidRPr="00140D39" w14:paraId="79064AF6" w14:textId="77777777" w:rsidTr="00473E67">
        <w:tc>
          <w:tcPr>
            <w:tcW w:w="4590" w:type="dxa"/>
            <w:tcBorders>
              <w:left w:val="single" w:sz="6" w:space="0" w:color="000000"/>
              <w:bottom w:val="single" w:sz="6" w:space="0" w:color="000000"/>
              <w:right w:val="single" w:sz="6" w:space="0" w:color="000000"/>
            </w:tcBorders>
            <w:vAlign w:val="bottom"/>
          </w:tcPr>
          <w:p w14:paraId="4DA31383" w14:textId="1E928393" w:rsidR="00FA6BDE" w:rsidRPr="00473E67" w:rsidRDefault="00FA6BDE" w:rsidP="00473E67">
            <w:pPr>
              <w:widowControl w:val="0"/>
              <w:spacing w:before="0" w:after="0" w:line="240" w:lineRule="atLeast"/>
              <w:rPr>
                <w:rFonts w:cs="Times New Roman"/>
                <w:color w:val="000000"/>
                <w:sz w:val="18"/>
                <w:szCs w:val="18"/>
                <w:lang w:val="en-CA"/>
              </w:rPr>
            </w:pPr>
            <w:r w:rsidRPr="00473E67">
              <w:rPr>
                <w:rFonts w:cs="Times New Roman"/>
                <w:sz w:val="18"/>
                <w:szCs w:val="18"/>
              </w:rPr>
              <w:t>正在进行的活动（例如：</w:t>
            </w:r>
            <w:r w:rsidRPr="00473E67">
              <w:rPr>
                <w:rFonts w:cs="Times New Roman"/>
                <w:sz w:val="18"/>
                <w:szCs w:val="18"/>
              </w:rPr>
              <w:t>8</w:t>
            </w:r>
            <w:r w:rsidRPr="00473E67">
              <w:rPr>
                <w:rFonts w:cs="Times New Roman"/>
                <w:sz w:val="18"/>
                <w:szCs w:val="18"/>
              </w:rPr>
              <w:t>个培训中心、</w:t>
            </w:r>
            <w:r w:rsidR="000A7703">
              <w:rPr>
                <w:rFonts w:cs="Times New Roman"/>
                <w:sz w:val="18"/>
                <w:szCs w:val="18"/>
              </w:rPr>
              <w:t>拆船</w:t>
            </w:r>
            <w:r w:rsidRPr="00473E67">
              <w:rPr>
                <w:rFonts w:cs="Times New Roman"/>
                <w:sz w:val="18"/>
                <w:szCs w:val="18"/>
              </w:rPr>
              <w:t>行业培训、深圳示范项目）</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30759D" w14:textId="77777777" w:rsidR="00FA6BDE" w:rsidRPr="00473E67" w:rsidRDefault="00FA6BDE" w:rsidP="00473E67">
            <w:pPr>
              <w:spacing w:before="0" w:after="0" w:line="240" w:lineRule="atLeast"/>
              <w:jc w:val="right"/>
              <w:rPr>
                <w:rFonts w:cs="Times New Roman"/>
                <w:color w:val="000000"/>
                <w:sz w:val="18"/>
                <w:szCs w:val="18"/>
                <w:lang w:val="en-CA" w:eastAsia="en-US"/>
              </w:rPr>
            </w:pPr>
            <w:r w:rsidRPr="00473E67">
              <w:rPr>
                <w:rFonts w:cs="Times New Roman"/>
                <w:color w:val="000000"/>
                <w:sz w:val="18"/>
                <w:szCs w:val="18"/>
                <w:lang w:val="en-GB" w:eastAsia="en-US"/>
              </w:rPr>
              <w:t>94,415</w:t>
            </w:r>
          </w:p>
        </w:tc>
        <w:tc>
          <w:tcPr>
            <w:tcW w:w="1170" w:type="dxa"/>
            <w:tcBorders>
              <w:top w:val="single" w:sz="4" w:space="0" w:color="auto"/>
              <w:left w:val="nil"/>
              <w:bottom w:val="single" w:sz="4" w:space="0" w:color="auto"/>
              <w:right w:val="single" w:sz="4" w:space="0" w:color="auto"/>
            </w:tcBorders>
            <w:shd w:val="clear" w:color="auto" w:fill="auto"/>
          </w:tcPr>
          <w:p w14:paraId="521CC686"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94,415</w:t>
            </w:r>
          </w:p>
        </w:tc>
        <w:tc>
          <w:tcPr>
            <w:tcW w:w="1395" w:type="dxa"/>
            <w:tcBorders>
              <w:top w:val="single" w:sz="4" w:space="0" w:color="auto"/>
              <w:left w:val="nil"/>
              <w:bottom w:val="single" w:sz="4" w:space="0" w:color="auto"/>
              <w:right w:val="single" w:sz="4" w:space="0" w:color="auto"/>
            </w:tcBorders>
            <w:shd w:val="clear" w:color="auto" w:fill="auto"/>
          </w:tcPr>
          <w:p w14:paraId="34F8EF40"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0</w:t>
            </w:r>
          </w:p>
        </w:tc>
        <w:tc>
          <w:tcPr>
            <w:tcW w:w="1134" w:type="dxa"/>
            <w:tcBorders>
              <w:top w:val="nil"/>
              <w:left w:val="nil"/>
              <w:bottom w:val="single" w:sz="4" w:space="0" w:color="auto"/>
              <w:right w:val="single" w:sz="4" w:space="0" w:color="auto"/>
            </w:tcBorders>
          </w:tcPr>
          <w:p w14:paraId="4CFF4BA8" w14:textId="77777777" w:rsidR="00FA6BDE" w:rsidRPr="00473E67" w:rsidRDefault="00FA6BDE" w:rsidP="00473E67">
            <w:pPr>
              <w:widowControl w:val="0"/>
              <w:spacing w:before="0" w:after="0" w:line="240" w:lineRule="atLeast"/>
              <w:jc w:val="right"/>
              <w:rPr>
                <w:rFonts w:cs="Times New Roman"/>
                <w:color w:val="000000"/>
                <w:sz w:val="18"/>
                <w:szCs w:val="18"/>
                <w:lang w:val="en-CA" w:eastAsia="en-US"/>
              </w:rPr>
            </w:pPr>
          </w:p>
        </w:tc>
      </w:tr>
      <w:tr w:rsidR="00FA6BDE" w:rsidRPr="00140D39" w14:paraId="3DEA0D89" w14:textId="77777777" w:rsidTr="00473E67">
        <w:tc>
          <w:tcPr>
            <w:tcW w:w="4590" w:type="dxa"/>
            <w:tcBorders>
              <w:left w:val="single" w:sz="6" w:space="0" w:color="000000"/>
              <w:bottom w:val="single" w:sz="6" w:space="0" w:color="000000"/>
              <w:right w:val="single" w:sz="6" w:space="0" w:color="000000"/>
            </w:tcBorders>
            <w:vAlign w:val="bottom"/>
          </w:tcPr>
          <w:p w14:paraId="0176C4E5" w14:textId="09A84252" w:rsidR="00FA6BDE" w:rsidRPr="00473E67" w:rsidRDefault="00FA6BDE" w:rsidP="00473E67">
            <w:pPr>
              <w:widowControl w:val="0"/>
              <w:spacing w:before="0" w:after="0" w:line="240" w:lineRule="atLeast"/>
              <w:rPr>
                <w:rFonts w:cs="Times New Roman"/>
                <w:color w:val="000000"/>
                <w:sz w:val="18"/>
                <w:szCs w:val="18"/>
                <w:lang w:val="en-CA"/>
              </w:rPr>
            </w:pPr>
            <w:r w:rsidRPr="00473E67">
              <w:rPr>
                <w:rFonts w:cs="Times New Roman"/>
                <w:sz w:val="18"/>
                <w:szCs w:val="18"/>
              </w:rPr>
              <w:t>工业和商用制冷</w:t>
            </w:r>
            <w:r w:rsidRPr="00473E67">
              <w:rPr>
                <w:rFonts w:cs="Times New Roman"/>
                <w:sz w:val="18"/>
                <w:szCs w:val="18"/>
              </w:rPr>
              <w:t>/</w:t>
            </w:r>
            <w:r w:rsidRPr="00473E67">
              <w:rPr>
                <w:rFonts w:cs="Times New Roman"/>
                <w:sz w:val="18"/>
                <w:szCs w:val="18"/>
              </w:rPr>
              <w:t>室内空调次级行业培训方案</w:t>
            </w:r>
          </w:p>
        </w:tc>
        <w:tc>
          <w:tcPr>
            <w:tcW w:w="1350" w:type="dxa"/>
            <w:tcBorders>
              <w:top w:val="nil"/>
              <w:left w:val="single" w:sz="4" w:space="0" w:color="auto"/>
              <w:bottom w:val="single" w:sz="4" w:space="0" w:color="auto"/>
              <w:right w:val="single" w:sz="4" w:space="0" w:color="auto"/>
            </w:tcBorders>
            <w:shd w:val="clear" w:color="auto" w:fill="auto"/>
          </w:tcPr>
          <w:p w14:paraId="446C2CAE"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580,733</w:t>
            </w:r>
          </w:p>
        </w:tc>
        <w:tc>
          <w:tcPr>
            <w:tcW w:w="1170" w:type="dxa"/>
            <w:tcBorders>
              <w:top w:val="nil"/>
              <w:left w:val="nil"/>
              <w:bottom w:val="single" w:sz="4" w:space="0" w:color="auto"/>
              <w:right w:val="single" w:sz="4" w:space="0" w:color="auto"/>
            </w:tcBorders>
            <w:shd w:val="clear" w:color="auto" w:fill="auto"/>
          </w:tcPr>
          <w:p w14:paraId="04FADE7D"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232,828</w:t>
            </w:r>
          </w:p>
        </w:tc>
        <w:tc>
          <w:tcPr>
            <w:tcW w:w="1395" w:type="dxa"/>
            <w:tcBorders>
              <w:top w:val="nil"/>
              <w:left w:val="nil"/>
              <w:bottom w:val="single" w:sz="4" w:space="0" w:color="auto"/>
              <w:right w:val="single" w:sz="4" w:space="0" w:color="auto"/>
            </w:tcBorders>
            <w:shd w:val="clear" w:color="auto" w:fill="auto"/>
          </w:tcPr>
          <w:p w14:paraId="27362718"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347,904</w:t>
            </w:r>
          </w:p>
        </w:tc>
        <w:tc>
          <w:tcPr>
            <w:tcW w:w="1134" w:type="dxa"/>
            <w:tcBorders>
              <w:top w:val="nil"/>
              <w:left w:val="nil"/>
              <w:bottom w:val="single" w:sz="4" w:space="0" w:color="auto"/>
              <w:right w:val="single" w:sz="4" w:space="0" w:color="auto"/>
            </w:tcBorders>
          </w:tcPr>
          <w:p w14:paraId="63869AB5" w14:textId="77777777" w:rsidR="00FA6BDE" w:rsidRPr="00473E67" w:rsidRDefault="00FA6BDE" w:rsidP="00473E67">
            <w:pPr>
              <w:widowControl w:val="0"/>
              <w:spacing w:before="0" w:after="0" w:line="240" w:lineRule="atLeast"/>
              <w:jc w:val="right"/>
              <w:rPr>
                <w:rFonts w:cs="Times New Roman"/>
                <w:b/>
                <w:color w:val="000000"/>
                <w:sz w:val="18"/>
                <w:szCs w:val="18"/>
                <w:lang w:val="en-CA" w:eastAsia="en-US"/>
              </w:rPr>
            </w:pPr>
          </w:p>
        </w:tc>
      </w:tr>
      <w:tr w:rsidR="00FA6BDE" w:rsidRPr="00140D39" w14:paraId="18C69010" w14:textId="77777777" w:rsidTr="00473E67">
        <w:tc>
          <w:tcPr>
            <w:tcW w:w="4590" w:type="dxa"/>
            <w:tcBorders>
              <w:left w:val="single" w:sz="6" w:space="0" w:color="000000"/>
              <w:bottom w:val="single" w:sz="6" w:space="0" w:color="000000"/>
              <w:right w:val="single" w:sz="6" w:space="0" w:color="000000"/>
            </w:tcBorders>
            <w:vAlign w:val="bottom"/>
          </w:tcPr>
          <w:p w14:paraId="57161D4E" w14:textId="338C1484" w:rsidR="00FA6BDE" w:rsidRPr="00473E67" w:rsidRDefault="00FA6BDE" w:rsidP="00473E67">
            <w:pPr>
              <w:widowControl w:val="0"/>
              <w:spacing w:before="0" w:after="0" w:line="240" w:lineRule="atLeast"/>
              <w:rPr>
                <w:rFonts w:cs="Times New Roman"/>
                <w:color w:val="000000"/>
                <w:sz w:val="18"/>
                <w:szCs w:val="18"/>
                <w:lang w:val="en-CA"/>
              </w:rPr>
            </w:pPr>
            <w:r w:rsidRPr="00473E67">
              <w:rPr>
                <w:rFonts w:cs="Times New Roman"/>
                <w:sz w:val="18"/>
                <w:szCs w:val="18"/>
              </w:rPr>
              <w:t xml:space="preserve">R-290 </w:t>
            </w:r>
            <w:r w:rsidRPr="00473E67">
              <w:rPr>
                <w:rFonts w:cs="Times New Roman"/>
                <w:sz w:val="18"/>
                <w:szCs w:val="18"/>
              </w:rPr>
              <w:t>室内空调机维修和运行过程中的制冷剂泄漏问题研究</w:t>
            </w:r>
          </w:p>
        </w:tc>
        <w:tc>
          <w:tcPr>
            <w:tcW w:w="1350" w:type="dxa"/>
            <w:tcBorders>
              <w:top w:val="nil"/>
              <w:left w:val="single" w:sz="4" w:space="0" w:color="auto"/>
              <w:bottom w:val="single" w:sz="4" w:space="0" w:color="auto"/>
              <w:right w:val="single" w:sz="4" w:space="0" w:color="auto"/>
            </w:tcBorders>
            <w:shd w:val="clear" w:color="auto" w:fill="auto"/>
          </w:tcPr>
          <w:p w14:paraId="066F1FB1"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282,040</w:t>
            </w:r>
          </w:p>
        </w:tc>
        <w:tc>
          <w:tcPr>
            <w:tcW w:w="1170" w:type="dxa"/>
            <w:tcBorders>
              <w:top w:val="nil"/>
              <w:left w:val="nil"/>
              <w:bottom w:val="single" w:sz="4" w:space="0" w:color="auto"/>
              <w:right w:val="single" w:sz="4" w:space="0" w:color="auto"/>
            </w:tcBorders>
            <w:shd w:val="clear" w:color="auto" w:fill="auto"/>
          </w:tcPr>
          <w:p w14:paraId="701F816B"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0</w:t>
            </w:r>
          </w:p>
        </w:tc>
        <w:tc>
          <w:tcPr>
            <w:tcW w:w="1395" w:type="dxa"/>
            <w:tcBorders>
              <w:top w:val="nil"/>
              <w:left w:val="nil"/>
              <w:bottom w:val="single" w:sz="4" w:space="0" w:color="auto"/>
              <w:right w:val="single" w:sz="4" w:space="0" w:color="auto"/>
            </w:tcBorders>
            <w:shd w:val="clear" w:color="auto" w:fill="auto"/>
          </w:tcPr>
          <w:p w14:paraId="03B4E7F3"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282,040</w:t>
            </w:r>
          </w:p>
        </w:tc>
        <w:tc>
          <w:tcPr>
            <w:tcW w:w="1134" w:type="dxa"/>
            <w:tcBorders>
              <w:top w:val="nil"/>
              <w:left w:val="nil"/>
              <w:bottom w:val="single" w:sz="4" w:space="0" w:color="auto"/>
              <w:right w:val="single" w:sz="4" w:space="0" w:color="auto"/>
            </w:tcBorders>
          </w:tcPr>
          <w:p w14:paraId="4E331557" w14:textId="77777777" w:rsidR="00FA6BDE" w:rsidRPr="00473E67" w:rsidRDefault="00FA6BDE" w:rsidP="00473E67">
            <w:pPr>
              <w:widowControl w:val="0"/>
              <w:spacing w:before="0" w:after="0" w:line="240" w:lineRule="atLeast"/>
              <w:jc w:val="right"/>
              <w:rPr>
                <w:rFonts w:cs="Times New Roman"/>
                <w:color w:val="000000"/>
                <w:sz w:val="18"/>
                <w:szCs w:val="18"/>
                <w:lang w:val="en-CA" w:eastAsia="en-US"/>
              </w:rPr>
            </w:pPr>
          </w:p>
        </w:tc>
      </w:tr>
      <w:tr w:rsidR="00FA6BDE" w:rsidRPr="00140D39" w14:paraId="0F9CEF53" w14:textId="77777777" w:rsidTr="00473E67">
        <w:tc>
          <w:tcPr>
            <w:tcW w:w="4590" w:type="dxa"/>
            <w:tcBorders>
              <w:left w:val="single" w:sz="6" w:space="0" w:color="000000"/>
              <w:bottom w:val="single" w:sz="6" w:space="0" w:color="000000"/>
              <w:right w:val="single" w:sz="6" w:space="0" w:color="000000"/>
            </w:tcBorders>
            <w:vAlign w:val="bottom"/>
          </w:tcPr>
          <w:p w14:paraId="1491670B" w14:textId="1DE37BE6" w:rsidR="00FA6BDE" w:rsidRPr="00473E67" w:rsidRDefault="00FA6BDE"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数据调查</w:t>
            </w:r>
          </w:p>
        </w:tc>
        <w:tc>
          <w:tcPr>
            <w:tcW w:w="1350" w:type="dxa"/>
            <w:tcBorders>
              <w:top w:val="nil"/>
              <w:left w:val="single" w:sz="4" w:space="0" w:color="auto"/>
              <w:bottom w:val="single" w:sz="4" w:space="0" w:color="auto"/>
              <w:right w:val="single" w:sz="4" w:space="0" w:color="auto"/>
            </w:tcBorders>
            <w:shd w:val="clear" w:color="auto" w:fill="auto"/>
          </w:tcPr>
          <w:p w14:paraId="292AD170"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84,586</w:t>
            </w:r>
          </w:p>
        </w:tc>
        <w:tc>
          <w:tcPr>
            <w:tcW w:w="1170" w:type="dxa"/>
            <w:tcBorders>
              <w:top w:val="nil"/>
              <w:left w:val="nil"/>
              <w:bottom w:val="single" w:sz="4" w:space="0" w:color="auto"/>
              <w:right w:val="single" w:sz="4" w:space="0" w:color="auto"/>
            </w:tcBorders>
            <w:shd w:val="clear" w:color="auto" w:fill="auto"/>
          </w:tcPr>
          <w:p w14:paraId="6AB17141"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84,586</w:t>
            </w:r>
          </w:p>
        </w:tc>
        <w:tc>
          <w:tcPr>
            <w:tcW w:w="1395" w:type="dxa"/>
            <w:tcBorders>
              <w:top w:val="nil"/>
              <w:left w:val="nil"/>
              <w:bottom w:val="single" w:sz="4" w:space="0" w:color="auto"/>
              <w:right w:val="single" w:sz="4" w:space="0" w:color="auto"/>
            </w:tcBorders>
            <w:shd w:val="clear" w:color="auto" w:fill="auto"/>
          </w:tcPr>
          <w:p w14:paraId="3452B3F7"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0</w:t>
            </w:r>
          </w:p>
        </w:tc>
        <w:tc>
          <w:tcPr>
            <w:tcW w:w="1134" w:type="dxa"/>
            <w:tcBorders>
              <w:top w:val="nil"/>
              <w:left w:val="nil"/>
              <w:bottom w:val="single" w:sz="4" w:space="0" w:color="auto"/>
              <w:right w:val="single" w:sz="4" w:space="0" w:color="auto"/>
            </w:tcBorders>
          </w:tcPr>
          <w:p w14:paraId="63CECD0A" w14:textId="77777777" w:rsidR="00FA6BDE" w:rsidRPr="00473E67" w:rsidRDefault="00FA6BDE" w:rsidP="00473E67">
            <w:pPr>
              <w:widowControl w:val="0"/>
              <w:spacing w:before="0" w:after="0" w:line="240" w:lineRule="atLeast"/>
              <w:jc w:val="right"/>
              <w:rPr>
                <w:rFonts w:cs="Times New Roman"/>
                <w:color w:val="000000"/>
                <w:sz w:val="18"/>
                <w:szCs w:val="18"/>
                <w:lang w:val="en-CA" w:eastAsia="en-US"/>
              </w:rPr>
            </w:pPr>
          </w:p>
        </w:tc>
      </w:tr>
      <w:tr w:rsidR="00FA6BDE" w:rsidRPr="00140D39" w14:paraId="7C37E186" w14:textId="77777777" w:rsidTr="00473E67">
        <w:tc>
          <w:tcPr>
            <w:tcW w:w="4590" w:type="dxa"/>
            <w:tcBorders>
              <w:left w:val="single" w:sz="6" w:space="0" w:color="000000"/>
              <w:bottom w:val="single" w:sz="6" w:space="0" w:color="000000"/>
              <w:right w:val="single" w:sz="6" w:space="0" w:color="000000"/>
            </w:tcBorders>
            <w:vAlign w:val="bottom"/>
          </w:tcPr>
          <w:p w14:paraId="1295EBD7" w14:textId="2C406C85" w:rsidR="00FA6BDE" w:rsidRPr="00473E67" w:rsidRDefault="00FA6BDE"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监测和管理</w:t>
            </w:r>
          </w:p>
        </w:tc>
        <w:tc>
          <w:tcPr>
            <w:tcW w:w="1350" w:type="dxa"/>
            <w:tcBorders>
              <w:top w:val="nil"/>
              <w:left w:val="single" w:sz="4" w:space="0" w:color="auto"/>
              <w:bottom w:val="single" w:sz="4" w:space="0" w:color="auto"/>
              <w:right w:val="single" w:sz="4" w:space="0" w:color="auto"/>
            </w:tcBorders>
            <w:shd w:val="clear" w:color="auto" w:fill="auto"/>
            <w:noWrap/>
          </w:tcPr>
          <w:p w14:paraId="1C8562C9"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10,000</w:t>
            </w:r>
          </w:p>
        </w:tc>
        <w:tc>
          <w:tcPr>
            <w:tcW w:w="1170" w:type="dxa"/>
            <w:tcBorders>
              <w:top w:val="nil"/>
              <w:left w:val="nil"/>
              <w:bottom w:val="single" w:sz="4" w:space="0" w:color="auto"/>
              <w:right w:val="single" w:sz="4" w:space="0" w:color="auto"/>
            </w:tcBorders>
            <w:shd w:val="clear" w:color="auto" w:fill="auto"/>
            <w:noWrap/>
          </w:tcPr>
          <w:p w14:paraId="442B7E07"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0</w:t>
            </w:r>
          </w:p>
        </w:tc>
        <w:tc>
          <w:tcPr>
            <w:tcW w:w="1395" w:type="dxa"/>
            <w:tcBorders>
              <w:top w:val="nil"/>
              <w:left w:val="nil"/>
              <w:bottom w:val="single" w:sz="4" w:space="0" w:color="auto"/>
              <w:right w:val="single" w:sz="4" w:space="0" w:color="auto"/>
            </w:tcBorders>
            <w:shd w:val="clear" w:color="auto" w:fill="auto"/>
            <w:noWrap/>
          </w:tcPr>
          <w:p w14:paraId="538EB78C"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10,000</w:t>
            </w:r>
          </w:p>
        </w:tc>
        <w:tc>
          <w:tcPr>
            <w:tcW w:w="1134" w:type="dxa"/>
            <w:tcBorders>
              <w:top w:val="nil"/>
              <w:left w:val="nil"/>
              <w:bottom w:val="single" w:sz="4" w:space="0" w:color="auto"/>
              <w:right w:val="single" w:sz="4" w:space="0" w:color="auto"/>
            </w:tcBorders>
            <w:noWrap/>
          </w:tcPr>
          <w:p w14:paraId="25244A01" w14:textId="77777777" w:rsidR="00FA6BDE" w:rsidRPr="00473E67" w:rsidRDefault="00FA6BDE" w:rsidP="00473E67">
            <w:pPr>
              <w:widowControl w:val="0"/>
              <w:spacing w:before="0" w:after="0" w:line="240" w:lineRule="atLeast"/>
              <w:jc w:val="right"/>
              <w:rPr>
                <w:rFonts w:cs="Times New Roman"/>
                <w:color w:val="000000"/>
                <w:sz w:val="18"/>
                <w:szCs w:val="18"/>
                <w:lang w:val="en-CA" w:eastAsia="en-US"/>
              </w:rPr>
            </w:pPr>
          </w:p>
        </w:tc>
      </w:tr>
      <w:tr w:rsidR="00FA6BDE" w:rsidRPr="00140D39" w14:paraId="5CFC7573" w14:textId="77777777" w:rsidTr="00473E67">
        <w:tc>
          <w:tcPr>
            <w:tcW w:w="4590" w:type="dxa"/>
            <w:tcBorders>
              <w:left w:val="single" w:sz="6" w:space="0" w:color="000000"/>
              <w:bottom w:val="single" w:sz="6" w:space="0" w:color="000000"/>
              <w:right w:val="single" w:sz="6" w:space="0" w:color="000000"/>
            </w:tcBorders>
            <w:vAlign w:val="bottom"/>
          </w:tcPr>
          <w:p w14:paraId="06D3D7BB" w14:textId="35136EAE" w:rsidR="00FA6BDE" w:rsidRPr="00473E67" w:rsidRDefault="00FA6BDE" w:rsidP="00473E67">
            <w:pPr>
              <w:widowControl w:val="0"/>
              <w:spacing w:before="0" w:after="0" w:line="240" w:lineRule="atLeast"/>
              <w:rPr>
                <w:rFonts w:cs="Times New Roman"/>
                <w:color w:val="000000"/>
                <w:sz w:val="18"/>
                <w:szCs w:val="18"/>
                <w:lang w:val="en-CA"/>
              </w:rPr>
            </w:pPr>
            <w:r w:rsidRPr="00473E67">
              <w:rPr>
                <w:rFonts w:cs="Times New Roman"/>
                <w:sz w:val="18"/>
                <w:szCs w:val="18"/>
              </w:rPr>
              <w:t>ODS</w:t>
            </w:r>
            <w:r w:rsidRPr="00473E67">
              <w:rPr>
                <w:rFonts w:cs="Times New Roman"/>
                <w:sz w:val="18"/>
                <w:szCs w:val="18"/>
              </w:rPr>
              <w:t>监测能力建设（培训活动资金的重新分配）</w:t>
            </w:r>
          </w:p>
        </w:tc>
        <w:tc>
          <w:tcPr>
            <w:tcW w:w="1350" w:type="dxa"/>
            <w:tcBorders>
              <w:top w:val="nil"/>
              <w:left w:val="single" w:sz="4" w:space="0" w:color="auto"/>
              <w:bottom w:val="single" w:sz="4" w:space="0" w:color="auto"/>
              <w:right w:val="single" w:sz="4" w:space="0" w:color="auto"/>
            </w:tcBorders>
            <w:shd w:val="clear" w:color="auto" w:fill="auto"/>
            <w:noWrap/>
          </w:tcPr>
          <w:p w14:paraId="0807D2C4"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95,846</w:t>
            </w:r>
          </w:p>
        </w:tc>
        <w:tc>
          <w:tcPr>
            <w:tcW w:w="1170" w:type="dxa"/>
            <w:tcBorders>
              <w:top w:val="nil"/>
              <w:left w:val="nil"/>
              <w:bottom w:val="single" w:sz="4" w:space="0" w:color="auto"/>
              <w:right w:val="single" w:sz="4" w:space="0" w:color="auto"/>
            </w:tcBorders>
            <w:shd w:val="clear" w:color="auto" w:fill="auto"/>
            <w:noWrap/>
          </w:tcPr>
          <w:p w14:paraId="2F2D54AA"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0</w:t>
            </w:r>
          </w:p>
        </w:tc>
        <w:tc>
          <w:tcPr>
            <w:tcW w:w="1395" w:type="dxa"/>
            <w:tcBorders>
              <w:top w:val="nil"/>
              <w:left w:val="nil"/>
              <w:bottom w:val="single" w:sz="4" w:space="0" w:color="auto"/>
              <w:right w:val="single" w:sz="4" w:space="0" w:color="auto"/>
            </w:tcBorders>
            <w:shd w:val="clear" w:color="auto" w:fill="auto"/>
            <w:noWrap/>
          </w:tcPr>
          <w:p w14:paraId="7915BEB8" w14:textId="77777777" w:rsidR="00FA6BDE" w:rsidRPr="00473E67" w:rsidRDefault="00FA6BDE"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95,846</w:t>
            </w:r>
          </w:p>
        </w:tc>
        <w:tc>
          <w:tcPr>
            <w:tcW w:w="1134" w:type="dxa"/>
            <w:tcBorders>
              <w:top w:val="nil"/>
              <w:left w:val="nil"/>
              <w:bottom w:val="single" w:sz="4" w:space="0" w:color="auto"/>
              <w:right w:val="single" w:sz="4" w:space="0" w:color="auto"/>
            </w:tcBorders>
            <w:noWrap/>
          </w:tcPr>
          <w:p w14:paraId="52428530" w14:textId="77777777" w:rsidR="00FA6BDE" w:rsidRPr="00473E67" w:rsidRDefault="00FA6BDE" w:rsidP="00473E67">
            <w:pPr>
              <w:widowControl w:val="0"/>
              <w:spacing w:before="0" w:after="0" w:line="240" w:lineRule="atLeast"/>
              <w:jc w:val="right"/>
              <w:rPr>
                <w:rFonts w:cs="Times New Roman"/>
                <w:b/>
                <w:color w:val="000000"/>
                <w:sz w:val="18"/>
                <w:szCs w:val="18"/>
                <w:lang w:val="en-CA" w:eastAsia="en-US"/>
              </w:rPr>
            </w:pPr>
          </w:p>
        </w:tc>
      </w:tr>
      <w:tr w:rsidR="00FA6BDE" w:rsidRPr="00140D39" w14:paraId="5B90EF13" w14:textId="77777777" w:rsidTr="00E408FC">
        <w:tc>
          <w:tcPr>
            <w:tcW w:w="4590" w:type="dxa"/>
            <w:tcBorders>
              <w:left w:val="single" w:sz="6" w:space="0" w:color="000000"/>
              <w:bottom w:val="single" w:sz="6" w:space="0" w:color="000000"/>
              <w:right w:val="single" w:sz="6" w:space="0" w:color="000000"/>
            </w:tcBorders>
            <w:vAlign w:val="bottom"/>
          </w:tcPr>
          <w:p w14:paraId="5C32B603" w14:textId="540F2FF5" w:rsidR="00FA6BDE" w:rsidRPr="00473E67" w:rsidRDefault="00FA6BDE" w:rsidP="00473E67">
            <w:pPr>
              <w:widowControl w:val="0"/>
              <w:spacing w:before="0" w:after="0" w:line="240" w:lineRule="atLeast"/>
              <w:rPr>
                <w:rFonts w:cs="Times New Roman"/>
                <w:color w:val="000000"/>
                <w:sz w:val="18"/>
                <w:szCs w:val="18"/>
                <w:lang w:val="en-CA" w:eastAsia="en-US"/>
              </w:rPr>
            </w:pPr>
            <w:r w:rsidRPr="00473E67">
              <w:rPr>
                <w:rFonts w:cs="Times New Roman"/>
                <w:sz w:val="18"/>
                <w:szCs w:val="18"/>
              </w:rPr>
              <w:t>共计</w:t>
            </w:r>
          </w:p>
        </w:tc>
        <w:tc>
          <w:tcPr>
            <w:tcW w:w="1350" w:type="dxa"/>
            <w:tcBorders>
              <w:top w:val="nil"/>
              <w:left w:val="single" w:sz="4" w:space="0" w:color="auto"/>
              <w:bottom w:val="single" w:sz="4" w:space="0" w:color="auto"/>
              <w:right w:val="single" w:sz="4" w:space="0" w:color="auto"/>
            </w:tcBorders>
            <w:shd w:val="clear" w:color="auto" w:fill="auto"/>
          </w:tcPr>
          <w:p w14:paraId="207D66E3" w14:textId="77777777" w:rsidR="00FA6BDE" w:rsidRPr="00473E67" w:rsidRDefault="00FA6BDE"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1,147,620</w:t>
            </w:r>
          </w:p>
        </w:tc>
        <w:tc>
          <w:tcPr>
            <w:tcW w:w="1170" w:type="dxa"/>
            <w:tcBorders>
              <w:top w:val="nil"/>
              <w:left w:val="nil"/>
              <w:bottom w:val="single" w:sz="4" w:space="0" w:color="auto"/>
              <w:right w:val="single" w:sz="4" w:space="0" w:color="auto"/>
            </w:tcBorders>
            <w:shd w:val="clear" w:color="auto" w:fill="auto"/>
          </w:tcPr>
          <w:p w14:paraId="05E0C51F" w14:textId="77777777" w:rsidR="00FA6BDE" w:rsidRPr="00473E67" w:rsidRDefault="00FA6BDE"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411,829</w:t>
            </w:r>
          </w:p>
        </w:tc>
        <w:tc>
          <w:tcPr>
            <w:tcW w:w="1395" w:type="dxa"/>
            <w:tcBorders>
              <w:top w:val="nil"/>
              <w:left w:val="nil"/>
              <w:bottom w:val="single" w:sz="4" w:space="0" w:color="auto"/>
              <w:right w:val="single" w:sz="4" w:space="0" w:color="auto"/>
            </w:tcBorders>
            <w:shd w:val="clear" w:color="auto" w:fill="auto"/>
          </w:tcPr>
          <w:p w14:paraId="1AF6E1A6" w14:textId="77777777" w:rsidR="00FA6BDE" w:rsidRPr="00473E67" w:rsidRDefault="00FA6BDE"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735,790</w:t>
            </w:r>
          </w:p>
        </w:tc>
        <w:tc>
          <w:tcPr>
            <w:tcW w:w="1134" w:type="dxa"/>
            <w:tcBorders>
              <w:top w:val="nil"/>
              <w:left w:val="nil"/>
              <w:bottom w:val="single" w:sz="4" w:space="0" w:color="auto"/>
              <w:right w:val="single" w:sz="4" w:space="0" w:color="auto"/>
            </w:tcBorders>
            <w:tcMar>
              <w:left w:w="29" w:type="dxa"/>
              <w:right w:w="29" w:type="dxa"/>
            </w:tcMar>
          </w:tcPr>
          <w:p w14:paraId="0C3B574D" w14:textId="39FBE052" w:rsidR="00FA6BDE" w:rsidRPr="00473E67" w:rsidRDefault="00FA6BDE" w:rsidP="00473E67">
            <w:pPr>
              <w:widowControl w:val="0"/>
              <w:spacing w:before="0" w:after="0" w:line="240" w:lineRule="atLeast"/>
              <w:jc w:val="right"/>
              <w:rPr>
                <w:rFonts w:cs="Times New Roman"/>
                <w:b/>
                <w:color w:val="000000"/>
                <w:sz w:val="18"/>
                <w:szCs w:val="18"/>
                <w:lang w:val="en-CA" w:eastAsia="en-US"/>
              </w:rPr>
            </w:pPr>
            <w:r w:rsidRPr="00473E67">
              <w:rPr>
                <w:rFonts w:cs="Times New Roman"/>
                <w:b/>
                <w:color w:val="000000"/>
                <w:sz w:val="18"/>
                <w:szCs w:val="18"/>
                <w:lang w:val="en-CA" w:eastAsia="en-US"/>
              </w:rPr>
              <w:t>2019</w:t>
            </w:r>
            <w:r w:rsidR="00E408FC">
              <w:rPr>
                <w:rFonts w:cs="Times New Roman" w:hint="eastAsia"/>
                <w:b/>
                <w:color w:val="000000"/>
                <w:sz w:val="18"/>
                <w:szCs w:val="18"/>
                <w:lang w:val="en-CA"/>
              </w:rPr>
              <w:t>年</w:t>
            </w:r>
            <w:r w:rsidR="00E408FC">
              <w:rPr>
                <w:rFonts w:cs="Times New Roman" w:hint="eastAsia"/>
                <w:b/>
                <w:color w:val="000000"/>
                <w:sz w:val="18"/>
                <w:szCs w:val="18"/>
                <w:lang w:val="en-CA"/>
              </w:rPr>
              <w:t>10</w:t>
            </w:r>
            <w:r w:rsidR="00E408FC">
              <w:rPr>
                <w:rFonts w:cs="Times New Roman" w:hint="eastAsia"/>
                <w:b/>
                <w:color w:val="000000"/>
                <w:sz w:val="18"/>
                <w:szCs w:val="18"/>
                <w:lang w:val="en-CA"/>
              </w:rPr>
              <w:t>月</w:t>
            </w:r>
          </w:p>
        </w:tc>
      </w:tr>
      <w:tr w:rsidR="00FA6BDE" w:rsidRPr="00140D39" w14:paraId="7E395125" w14:textId="77777777" w:rsidTr="00F2561F">
        <w:tc>
          <w:tcPr>
            <w:tcW w:w="9639" w:type="dxa"/>
            <w:gridSpan w:val="5"/>
            <w:tcBorders>
              <w:top w:val="nil"/>
              <w:left w:val="single" w:sz="4" w:space="0" w:color="auto"/>
              <w:bottom w:val="single" w:sz="4" w:space="0" w:color="auto"/>
              <w:right w:val="single" w:sz="4" w:space="0" w:color="auto"/>
            </w:tcBorders>
            <w:noWrap/>
            <w:hideMark/>
          </w:tcPr>
          <w:p w14:paraId="62309E64" w14:textId="7355124D" w:rsidR="00FA6BDE" w:rsidRPr="00473E67" w:rsidRDefault="00FA6BDE" w:rsidP="00473E67">
            <w:pPr>
              <w:widowControl w:val="0"/>
              <w:spacing w:before="0" w:after="0" w:line="240" w:lineRule="atLeast"/>
              <w:rPr>
                <w:rFonts w:cs="Times New Roman"/>
                <w:color w:val="000000"/>
                <w:sz w:val="18"/>
                <w:szCs w:val="18"/>
                <w:lang w:val="en-CA"/>
              </w:rPr>
            </w:pPr>
            <w:r w:rsidRPr="00473E67">
              <w:rPr>
                <w:rFonts w:cs="Times New Roman"/>
                <w:b/>
                <w:bCs/>
                <w:color w:val="000000"/>
                <w:sz w:val="18"/>
                <w:szCs w:val="18"/>
              </w:rPr>
              <w:t>溶剂行业：核准费用总额</w:t>
            </w:r>
            <w:r w:rsidRPr="00473E67">
              <w:rPr>
                <w:rFonts w:cs="Times New Roman"/>
                <w:b/>
                <w:bCs/>
                <w:color w:val="000000"/>
                <w:sz w:val="18"/>
                <w:szCs w:val="18"/>
              </w:rPr>
              <w:t>52,000,000</w:t>
            </w:r>
            <w:r w:rsidRPr="00473E67">
              <w:rPr>
                <w:rFonts w:cs="Times New Roman"/>
                <w:b/>
                <w:bCs/>
                <w:color w:val="000000"/>
                <w:sz w:val="18"/>
                <w:szCs w:val="18"/>
              </w:rPr>
              <w:t>美元（开发计划署）</w:t>
            </w:r>
            <w:r w:rsidRPr="00473E67">
              <w:rPr>
                <w:rFonts w:cs="Times New Roman"/>
                <w:b/>
                <w:bCs/>
                <w:color w:val="000000"/>
                <w:sz w:val="18"/>
                <w:szCs w:val="18"/>
              </w:rPr>
              <w:t> </w:t>
            </w:r>
          </w:p>
        </w:tc>
      </w:tr>
      <w:tr w:rsidR="00FA6BDE" w:rsidRPr="00140D39" w14:paraId="35E402B6" w14:textId="77777777" w:rsidTr="00473E67">
        <w:tc>
          <w:tcPr>
            <w:tcW w:w="4590" w:type="dxa"/>
            <w:tcBorders>
              <w:left w:val="single" w:sz="6" w:space="0" w:color="000000"/>
              <w:bottom w:val="single" w:sz="6" w:space="0" w:color="000000"/>
              <w:right w:val="single" w:sz="6" w:space="0" w:color="000000"/>
            </w:tcBorders>
            <w:hideMark/>
          </w:tcPr>
          <w:p w14:paraId="77EAEB14" w14:textId="25A2C1C8" w:rsidR="00FA6BDE" w:rsidRPr="00473E67" w:rsidRDefault="00FA6BDE" w:rsidP="00473E67">
            <w:pPr>
              <w:widowControl w:val="0"/>
              <w:spacing w:before="0" w:after="0" w:line="240" w:lineRule="atLeast"/>
              <w:rPr>
                <w:rFonts w:cs="Times New Roman"/>
                <w:sz w:val="18"/>
                <w:szCs w:val="18"/>
                <w:lang w:val="en-CA"/>
              </w:rPr>
            </w:pPr>
            <w:r w:rsidRPr="00473E67">
              <w:rPr>
                <w:rFonts w:cs="Times New Roman"/>
                <w:sz w:val="18"/>
                <w:szCs w:val="18"/>
              </w:rPr>
              <w:t>打击非法</w:t>
            </w:r>
            <w:r w:rsidRPr="00473E67">
              <w:rPr>
                <w:rFonts w:cs="Times New Roman"/>
                <w:sz w:val="18"/>
                <w:szCs w:val="18"/>
              </w:rPr>
              <w:t>ODS</w:t>
            </w:r>
            <w:r w:rsidRPr="00473E67">
              <w:rPr>
                <w:rFonts w:cs="Times New Roman"/>
                <w:sz w:val="18"/>
                <w:szCs w:val="18"/>
              </w:rPr>
              <w:t>活动：</w:t>
            </w:r>
            <w:r w:rsidRPr="00473E67">
              <w:rPr>
                <w:rFonts w:cs="Times New Roman"/>
                <w:sz w:val="18"/>
                <w:szCs w:val="18"/>
              </w:rPr>
              <w:t>10</w:t>
            </w:r>
            <w:r w:rsidRPr="00473E67">
              <w:rPr>
                <w:rFonts w:cs="Times New Roman"/>
                <w:sz w:val="18"/>
                <w:szCs w:val="18"/>
              </w:rPr>
              <w:t>个地方海关的能力建设</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95B2D" w14:textId="77777777" w:rsidR="00FA6BDE" w:rsidRPr="00473E67" w:rsidRDefault="00FA6BDE" w:rsidP="00473E67">
            <w:pPr>
              <w:spacing w:before="0" w:after="0" w:line="240" w:lineRule="atLeast"/>
              <w:jc w:val="right"/>
              <w:rPr>
                <w:rFonts w:cs="Times New Roman"/>
                <w:sz w:val="18"/>
                <w:szCs w:val="18"/>
                <w:lang w:val="en-CA" w:eastAsia="en-US"/>
              </w:rPr>
            </w:pPr>
            <w:r w:rsidRPr="00473E67">
              <w:rPr>
                <w:rFonts w:cs="Times New Roman"/>
                <w:sz w:val="18"/>
                <w:szCs w:val="18"/>
                <w:lang w:val="en-GB" w:eastAsia="en-US"/>
              </w:rPr>
              <w:t>644,985</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B3B7908"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191,866</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739EFDC5"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453,119</w:t>
            </w:r>
          </w:p>
        </w:tc>
        <w:tc>
          <w:tcPr>
            <w:tcW w:w="1134" w:type="dxa"/>
            <w:tcBorders>
              <w:top w:val="nil"/>
              <w:left w:val="nil"/>
              <w:bottom w:val="single" w:sz="4" w:space="0" w:color="auto"/>
              <w:right w:val="single" w:sz="4" w:space="0" w:color="auto"/>
            </w:tcBorders>
            <w:noWrap/>
          </w:tcPr>
          <w:p w14:paraId="357A74EA" w14:textId="77777777" w:rsidR="00FA6BDE" w:rsidRPr="00473E67" w:rsidRDefault="00FA6BDE" w:rsidP="00473E67">
            <w:pPr>
              <w:widowControl w:val="0"/>
              <w:spacing w:before="0" w:after="0" w:line="240" w:lineRule="atLeast"/>
              <w:jc w:val="right"/>
              <w:rPr>
                <w:rFonts w:cs="Times New Roman"/>
                <w:b/>
                <w:sz w:val="18"/>
                <w:szCs w:val="18"/>
                <w:highlight w:val="yellow"/>
                <w:lang w:val="en-CA" w:eastAsia="en-US"/>
              </w:rPr>
            </w:pPr>
          </w:p>
        </w:tc>
      </w:tr>
      <w:tr w:rsidR="00FA6BDE" w:rsidRPr="00140D39" w14:paraId="7AC43269" w14:textId="77777777" w:rsidTr="00473E67">
        <w:tc>
          <w:tcPr>
            <w:tcW w:w="4590" w:type="dxa"/>
            <w:tcBorders>
              <w:left w:val="single" w:sz="6" w:space="0" w:color="000000"/>
              <w:bottom w:val="single" w:sz="6" w:space="0" w:color="000000"/>
              <w:right w:val="single" w:sz="6" w:space="0" w:color="000000"/>
            </w:tcBorders>
            <w:hideMark/>
          </w:tcPr>
          <w:p w14:paraId="0748C175" w14:textId="06D36753" w:rsidR="00FA6BDE" w:rsidRPr="00473E67" w:rsidRDefault="00FA6BDE" w:rsidP="00473E67">
            <w:pPr>
              <w:widowControl w:val="0"/>
              <w:spacing w:before="0" w:after="0" w:line="240" w:lineRule="atLeast"/>
              <w:rPr>
                <w:rFonts w:cs="Times New Roman"/>
                <w:sz w:val="18"/>
                <w:szCs w:val="18"/>
                <w:lang w:val="en-CA"/>
              </w:rPr>
            </w:pPr>
            <w:r w:rsidRPr="00473E67">
              <w:rPr>
                <w:rFonts w:cs="Times New Roman"/>
                <w:sz w:val="18"/>
                <w:szCs w:val="18"/>
              </w:rPr>
              <w:t>14</w:t>
            </w:r>
            <w:r w:rsidRPr="00473E67">
              <w:rPr>
                <w:rFonts w:cs="Times New Roman"/>
                <w:sz w:val="18"/>
                <w:szCs w:val="18"/>
              </w:rPr>
              <w:t>个省的</w:t>
            </w:r>
            <w:r w:rsidRPr="00473E67">
              <w:rPr>
                <w:rFonts w:cs="Times New Roman"/>
                <w:sz w:val="18"/>
                <w:szCs w:val="18"/>
              </w:rPr>
              <w:t>ODS</w:t>
            </w:r>
            <w:r w:rsidRPr="00473E67">
              <w:rPr>
                <w:rFonts w:cs="Times New Roman"/>
                <w:sz w:val="18"/>
                <w:szCs w:val="18"/>
              </w:rPr>
              <w:t>工作人员能力建设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D3267F8"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340,000</w:t>
            </w:r>
          </w:p>
        </w:tc>
        <w:tc>
          <w:tcPr>
            <w:tcW w:w="1170" w:type="dxa"/>
            <w:tcBorders>
              <w:top w:val="nil"/>
              <w:left w:val="nil"/>
              <w:bottom w:val="single" w:sz="4" w:space="0" w:color="auto"/>
              <w:right w:val="single" w:sz="4" w:space="0" w:color="auto"/>
            </w:tcBorders>
            <w:shd w:val="clear" w:color="auto" w:fill="auto"/>
            <w:noWrap/>
            <w:vAlign w:val="center"/>
          </w:tcPr>
          <w:p w14:paraId="61CB4CFD"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340,000</w:t>
            </w:r>
          </w:p>
        </w:tc>
        <w:tc>
          <w:tcPr>
            <w:tcW w:w="1395" w:type="dxa"/>
            <w:tcBorders>
              <w:top w:val="nil"/>
              <w:left w:val="nil"/>
              <w:bottom w:val="single" w:sz="4" w:space="0" w:color="auto"/>
              <w:right w:val="single" w:sz="4" w:space="0" w:color="auto"/>
            </w:tcBorders>
            <w:shd w:val="clear" w:color="auto" w:fill="auto"/>
            <w:noWrap/>
            <w:vAlign w:val="center"/>
            <w:hideMark/>
          </w:tcPr>
          <w:p w14:paraId="4F557314"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0</w:t>
            </w:r>
          </w:p>
        </w:tc>
        <w:tc>
          <w:tcPr>
            <w:tcW w:w="1134" w:type="dxa"/>
            <w:tcBorders>
              <w:top w:val="nil"/>
              <w:left w:val="nil"/>
              <w:bottom w:val="single" w:sz="4" w:space="0" w:color="auto"/>
              <w:right w:val="single" w:sz="4" w:space="0" w:color="auto"/>
            </w:tcBorders>
            <w:noWrap/>
          </w:tcPr>
          <w:p w14:paraId="1C2CB90F" w14:textId="77777777" w:rsidR="00FA6BDE" w:rsidRPr="00473E67" w:rsidRDefault="00FA6BDE" w:rsidP="00473E67">
            <w:pPr>
              <w:widowControl w:val="0"/>
              <w:spacing w:before="0" w:after="0" w:line="240" w:lineRule="atLeast"/>
              <w:jc w:val="right"/>
              <w:rPr>
                <w:rFonts w:cs="Times New Roman"/>
                <w:sz w:val="18"/>
                <w:szCs w:val="18"/>
                <w:highlight w:val="yellow"/>
                <w:lang w:val="en-CA" w:eastAsia="en-US"/>
              </w:rPr>
            </w:pPr>
          </w:p>
        </w:tc>
      </w:tr>
      <w:tr w:rsidR="00FA6BDE" w:rsidRPr="00140D39" w14:paraId="002742C2" w14:textId="77777777" w:rsidTr="00473E67">
        <w:tc>
          <w:tcPr>
            <w:tcW w:w="4590" w:type="dxa"/>
            <w:tcBorders>
              <w:left w:val="single" w:sz="6" w:space="0" w:color="000000"/>
              <w:bottom w:val="single" w:sz="6" w:space="0" w:color="000000"/>
              <w:right w:val="single" w:sz="6" w:space="0" w:color="000000"/>
            </w:tcBorders>
            <w:hideMark/>
          </w:tcPr>
          <w:p w14:paraId="53CEEEAA" w14:textId="7690C762" w:rsidR="00FA6BDE" w:rsidRPr="00473E67" w:rsidRDefault="00FA6BDE" w:rsidP="00473E67">
            <w:pPr>
              <w:widowControl w:val="0"/>
              <w:spacing w:before="0" w:after="0" w:line="240" w:lineRule="atLeast"/>
              <w:rPr>
                <w:rFonts w:cs="Times New Roman"/>
                <w:sz w:val="18"/>
                <w:szCs w:val="18"/>
                <w:lang w:val="en-CA" w:eastAsia="en-US"/>
              </w:rPr>
            </w:pPr>
            <w:r w:rsidRPr="00473E67">
              <w:rPr>
                <w:rFonts w:cs="Times New Roman"/>
                <w:sz w:val="18"/>
                <w:szCs w:val="18"/>
              </w:rPr>
              <w:lastRenderedPageBreak/>
              <w:t>替代技术评估和研究</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4A6C7CC"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140,178</w:t>
            </w:r>
          </w:p>
        </w:tc>
        <w:tc>
          <w:tcPr>
            <w:tcW w:w="1170" w:type="dxa"/>
            <w:tcBorders>
              <w:top w:val="nil"/>
              <w:left w:val="nil"/>
              <w:bottom w:val="single" w:sz="4" w:space="0" w:color="auto"/>
              <w:right w:val="single" w:sz="4" w:space="0" w:color="auto"/>
            </w:tcBorders>
            <w:shd w:val="clear" w:color="auto" w:fill="auto"/>
            <w:noWrap/>
            <w:vAlign w:val="center"/>
          </w:tcPr>
          <w:p w14:paraId="4D4BC75B"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140,178</w:t>
            </w:r>
          </w:p>
        </w:tc>
        <w:tc>
          <w:tcPr>
            <w:tcW w:w="1395" w:type="dxa"/>
            <w:tcBorders>
              <w:top w:val="nil"/>
              <w:left w:val="nil"/>
              <w:bottom w:val="single" w:sz="4" w:space="0" w:color="auto"/>
              <w:right w:val="single" w:sz="4" w:space="0" w:color="auto"/>
            </w:tcBorders>
            <w:shd w:val="clear" w:color="auto" w:fill="auto"/>
            <w:noWrap/>
            <w:vAlign w:val="center"/>
            <w:hideMark/>
          </w:tcPr>
          <w:p w14:paraId="6F2BDDA0"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0</w:t>
            </w:r>
          </w:p>
        </w:tc>
        <w:tc>
          <w:tcPr>
            <w:tcW w:w="1134" w:type="dxa"/>
            <w:tcBorders>
              <w:top w:val="nil"/>
              <w:left w:val="nil"/>
              <w:bottom w:val="single" w:sz="4" w:space="0" w:color="auto"/>
              <w:right w:val="single" w:sz="4" w:space="0" w:color="auto"/>
            </w:tcBorders>
            <w:noWrap/>
          </w:tcPr>
          <w:p w14:paraId="00E22EBA" w14:textId="77777777" w:rsidR="00FA6BDE" w:rsidRPr="00473E67" w:rsidRDefault="00FA6BDE" w:rsidP="00473E67">
            <w:pPr>
              <w:widowControl w:val="0"/>
              <w:spacing w:before="0" w:after="0" w:line="240" w:lineRule="atLeast"/>
              <w:jc w:val="right"/>
              <w:rPr>
                <w:rFonts w:cs="Times New Roman"/>
                <w:sz w:val="18"/>
                <w:szCs w:val="18"/>
                <w:highlight w:val="yellow"/>
                <w:lang w:val="en-CA" w:eastAsia="en-US"/>
              </w:rPr>
            </w:pPr>
          </w:p>
        </w:tc>
      </w:tr>
      <w:tr w:rsidR="00FA6BDE" w:rsidRPr="00140D39" w14:paraId="02C95A71" w14:textId="77777777" w:rsidTr="00473E67">
        <w:tc>
          <w:tcPr>
            <w:tcW w:w="4590" w:type="dxa"/>
            <w:tcBorders>
              <w:left w:val="single" w:sz="6" w:space="0" w:color="000000"/>
              <w:bottom w:val="single" w:sz="6" w:space="0" w:color="000000"/>
              <w:right w:val="single" w:sz="6" w:space="0" w:color="000000"/>
            </w:tcBorders>
            <w:hideMark/>
          </w:tcPr>
          <w:p w14:paraId="7D38ADE4" w14:textId="0005AE0A" w:rsidR="00FA6BDE" w:rsidRPr="00473E67" w:rsidRDefault="00FA6BDE" w:rsidP="00473E67">
            <w:pPr>
              <w:widowControl w:val="0"/>
              <w:spacing w:before="0" w:after="0" w:line="240" w:lineRule="atLeast"/>
              <w:rPr>
                <w:rFonts w:cs="Times New Roman"/>
                <w:sz w:val="18"/>
                <w:szCs w:val="18"/>
                <w:lang w:val="en-CA" w:eastAsia="en-US"/>
              </w:rPr>
            </w:pPr>
            <w:r w:rsidRPr="00473E67">
              <w:rPr>
                <w:rFonts w:cs="Times New Roman"/>
                <w:sz w:val="18"/>
                <w:szCs w:val="18"/>
              </w:rPr>
              <w:t>电子文档管理系统</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2740FFC"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92,307</w:t>
            </w:r>
          </w:p>
        </w:tc>
        <w:tc>
          <w:tcPr>
            <w:tcW w:w="1170" w:type="dxa"/>
            <w:tcBorders>
              <w:top w:val="nil"/>
              <w:left w:val="nil"/>
              <w:bottom w:val="single" w:sz="4" w:space="0" w:color="auto"/>
              <w:right w:val="single" w:sz="4" w:space="0" w:color="auto"/>
            </w:tcBorders>
            <w:shd w:val="clear" w:color="auto" w:fill="auto"/>
            <w:noWrap/>
            <w:vAlign w:val="center"/>
          </w:tcPr>
          <w:p w14:paraId="3995DFD5"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0</w:t>
            </w:r>
          </w:p>
        </w:tc>
        <w:tc>
          <w:tcPr>
            <w:tcW w:w="1395" w:type="dxa"/>
            <w:tcBorders>
              <w:top w:val="nil"/>
              <w:left w:val="nil"/>
              <w:bottom w:val="single" w:sz="4" w:space="0" w:color="auto"/>
              <w:right w:val="single" w:sz="4" w:space="0" w:color="auto"/>
            </w:tcBorders>
            <w:shd w:val="clear" w:color="auto" w:fill="auto"/>
            <w:noWrap/>
            <w:vAlign w:val="center"/>
            <w:hideMark/>
          </w:tcPr>
          <w:p w14:paraId="45B8CB71"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92,307</w:t>
            </w:r>
          </w:p>
        </w:tc>
        <w:tc>
          <w:tcPr>
            <w:tcW w:w="1134" w:type="dxa"/>
            <w:tcBorders>
              <w:top w:val="nil"/>
              <w:left w:val="nil"/>
              <w:bottom w:val="single" w:sz="4" w:space="0" w:color="auto"/>
              <w:right w:val="single" w:sz="4" w:space="0" w:color="auto"/>
            </w:tcBorders>
            <w:noWrap/>
          </w:tcPr>
          <w:p w14:paraId="5D618F75" w14:textId="77777777" w:rsidR="00FA6BDE" w:rsidRPr="00473E67" w:rsidRDefault="00FA6BDE" w:rsidP="00473E67">
            <w:pPr>
              <w:widowControl w:val="0"/>
              <w:spacing w:before="0" w:after="0" w:line="240" w:lineRule="atLeast"/>
              <w:jc w:val="right"/>
              <w:rPr>
                <w:rFonts w:cs="Times New Roman"/>
                <w:b/>
                <w:sz w:val="18"/>
                <w:szCs w:val="18"/>
                <w:highlight w:val="yellow"/>
                <w:lang w:val="en-CA" w:eastAsia="en-US"/>
              </w:rPr>
            </w:pPr>
          </w:p>
        </w:tc>
      </w:tr>
      <w:tr w:rsidR="00FA6BDE" w:rsidRPr="00140D39" w14:paraId="3E9BD474" w14:textId="77777777" w:rsidTr="00473E67">
        <w:tc>
          <w:tcPr>
            <w:tcW w:w="4590" w:type="dxa"/>
            <w:tcBorders>
              <w:left w:val="single" w:sz="6" w:space="0" w:color="000000"/>
              <w:bottom w:val="single" w:sz="6" w:space="0" w:color="000000"/>
              <w:right w:val="single" w:sz="6" w:space="0" w:color="000000"/>
            </w:tcBorders>
            <w:hideMark/>
          </w:tcPr>
          <w:p w14:paraId="019F59DA" w14:textId="143B3764" w:rsidR="00FA6BDE" w:rsidRPr="00473E67" w:rsidRDefault="00FA6BDE" w:rsidP="00473E67">
            <w:pPr>
              <w:widowControl w:val="0"/>
              <w:spacing w:before="0" w:after="0" w:line="240" w:lineRule="atLeast"/>
              <w:rPr>
                <w:rFonts w:cs="Times New Roman"/>
                <w:sz w:val="18"/>
                <w:szCs w:val="18"/>
                <w:lang w:val="en-CA" w:eastAsia="en-US"/>
              </w:rPr>
            </w:pPr>
            <w:r w:rsidRPr="00473E67">
              <w:rPr>
                <w:rFonts w:cs="Times New Roman"/>
                <w:sz w:val="18"/>
                <w:szCs w:val="18"/>
              </w:rPr>
              <w:t>活动管理和监测</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946A789"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249,470</w:t>
            </w:r>
          </w:p>
        </w:tc>
        <w:tc>
          <w:tcPr>
            <w:tcW w:w="1170" w:type="dxa"/>
            <w:tcBorders>
              <w:top w:val="nil"/>
              <w:left w:val="nil"/>
              <w:bottom w:val="single" w:sz="4" w:space="0" w:color="auto"/>
              <w:right w:val="single" w:sz="4" w:space="0" w:color="auto"/>
            </w:tcBorders>
            <w:shd w:val="clear" w:color="auto" w:fill="auto"/>
            <w:noWrap/>
            <w:vAlign w:val="center"/>
          </w:tcPr>
          <w:p w14:paraId="06960B1C"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86,074</w:t>
            </w:r>
          </w:p>
        </w:tc>
        <w:tc>
          <w:tcPr>
            <w:tcW w:w="1395" w:type="dxa"/>
            <w:tcBorders>
              <w:top w:val="nil"/>
              <w:left w:val="nil"/>
              <w:bottom w:val="single" w:sz="4" w:space="0" w:color="auto"/>
              <w:right w:val="single" w:sz="4" w:space="0" w:color="auto"/>
            </w:tcBorders>
            <w:shd w:val="clear" w:color="auto" w:fill="auto"/>
            <w:noWrap/>
            <w:vAlign w:val="center"/>
            <w:hideMark/>
          </w:tcPr>
          <w:p w14:paraId="4534D776" w14:textId="77777777" w:rsidR="00FA6BDE" w:rsidRPr="00473E67" w:rsidRDefault="00FA6BDE" w:rsidP="00473E67">
            <w:pPr>
              <w:spacing w:before="0" w:after="0" w:line="240" w:lineRule="atLeast"/>
              <w:jc w:val="right"/>
              <w:rPr>
                <w:rFonts w:cs="Times New Roman"/>
                <w:sz w:val="18"/>
                <w:szCs w:val="18"/>
                <w:lang w:val="en-GB" w:eastAsia="en-US"/>
              </w:rPr>
            </w:pPr>
            <w:r w:rsidRPr="00473E67">
              <w:rPr>
                <w:rFonts w:cs="Times New Roman"/>
                <w:sz w:val="18"/>
                <w:szCs w:val="18"/>
                <w:lang w:val="en-GB" w:eastAsia="en-US"/>
              </w:rPr>
              <w:t>163,396</w:t>
            </w:r>
          </w:p>
        </w:tc>
        <w:tc>
          <w:tcPr>
            <w:tcW w:w="1134" w:type="dxa"/>
            <w:tcBorders>
              <w:top w:val="nil"/>
              <w:left w:val="nil"/>
              <w:bottom w:val="single" w:sz="4" w:space="0" w:color="auto"/>
              <w:right w:val="single" w:sz="4" w:space="0" w:color="auto"/>
            </w:tcBorders>
            <w:noWrap/>
          </w:tcPr>
          <w:p w14:paraId="173A9CBE" w14:textId="77777777" w:rsidR="00FA6BDE" w:rsidRPr="00473E67" w:rsidRDefault="00FA6BDE" w:rsidP="00473E67">
            <w:pPr>
              <w:widowControl w:val="0"/>
              <w:spacing w:before="0" w:after="0" w:line="240" w:lineRule="atLeast"/>
              <w:jc w:val="right"/>
              <w:rPr>
                <w:rFonts w:cs="Times New Roman"/>
                <w:b/>
                <w:sz w:val="18"/>
                <w:szCs w:val="18"/>
                <w:highlight w:val="yellow"/>
                <w:lang w:val="en-CA" w:eastAsia="en-US"/>
              </w:rPr>
            </w:pPr>
          </w:p>
        </w:tc>
      </w:tr>
      <w:tr w:rsidR="00FA6BDE" w:rsidRPr="00140D39" w14:paraId="705EF49B" w14:textId="77777777" w:rsidTr="00E408FC">
        <w:tc>
          <w:tcPr>
            <w:tcW w:w="4590" w:type="dxa"/>
            <w:tcBorders>
              <w:top w:val="single" w:sz="6" w:space="0" w:color="000000"/>
              <w:left w:val="single" w:sz="6" w:space="0" w:color="000000"/>
              <w:bottom w:val="single" w:sz="6" w:space="0" w:color="000000"/>
              <w:right w:val="single" w:sz="6" w:space="0" w:color="000000"/>
            </w:tcBorders>
            <w:hideMark/>
          </w:tcPr>
          <w:p w14:paraId="7B323F27" w14:textId="326D3C99" w:rsidR="00FA6BDE" w:rsidRPr="00473E67" w:rsidRDefault="00FA6BDE" w:rsidP="00473E67">
            <w:pPr>
              <w:widowControl w:val="0"/>
              <w:spacing w:before="0" w:after="0" w:line="240" w:lineRule="atLeast"/>
              <w:rPr>
                <w:rFonts w:cs="Times New Roman"/>
                <w:sz w:val="18"/>
                <w:szCs w:val="18"/>
                <w:lang w:val="en-CA" w:eastAsia="en-US"/>
              </w:rPr>
            </w:pPr>
            <w:r w:rsidRPr="00473E67">
              <w:rPr>
                <w:rFonts w:cs="Times New Roman"/>
                <w:sz w:val="18"/>
                <w:szCs w:val="18"/>
              </w:rPr>
              <w:t>共计</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1ADB347" w14:textId="77777777" w:rsidR="00FA6BDE" w:rsidRPr="00473E67" w:rsidRDefault="00FA6BDE"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1,466,940</w:t>
            </w:r>
          </w:p>
        </w:tc>
        <w:tc>
          <w:tcPr>
            <w:tcW w:w="1170" w:type="dxa"/>
            <w:tcBorders>
              <w:top w:val="nil"/>
              <w:left w:val="nil"/>
              <w:bottom w:val="single" w:sz="4" w:space="0" w:color="auto"/>
              <w:right w:val="single" w:sz="4" w:space="0" w:color="auto"/>
            </w:tcBorders>
            <w:shd w:val="clear" w:color="auto" w:fill="auto"/>
            <w:noWrap/>
            <w:vAlign w:val="center"/>
          </w:tcPr>
          <w:p w14:paraId="0FC38B3B" w14:textId="77777777" w:rsidR="00FA6BDE" w:rsidRPr="00473E67" w:rsidRDefault="00FA6BDE"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758,118</w:t>
            </w:r>
          </w:p>
        </w:tc>
        <w:tc>
          <w:tcPr>
            <w:tcW w:w="1395" w:type="dxa"/>
            <w:tcBorders>
              <w:top w:val="nil"/>
              <w:left w:val="nil"/>
              <w:bottom w:val="single" w:sz="4" w:space="0" w:color="auto"/>
              <w:right w:val="single" w:sz="4" w:space="0" w:color="auto"/>
            </w:tcBorders>
            <w:shd w:val="clear" w:color="auto" w:fill="auto"/>
            <w:noWrap/>
            <w:vAlign w:val="center"/>
            <w:hideMark/>
          </w:tcPr>
          <w:p w14:paraId="5BC10124" w14:textId="77777777" w:rsidR="00FA6BDE" w:rsidRPr="00473E67" w:rsidRDefault="00FA6BDE"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708,822</w:t>
            </w:r>
          </w:p>
        </w:tc>
        <w:tc>
          <w:tcPr>
            <w:tcW w:w="1134" w:type="dxa"/>
            <w:tcBorders>
              <w:top w:val="single" w:sz="4" w:space="0" w:color="auto"/>
              <w:left w:val="nil"/>
              <w:bottom w:val="single" w:sz="4" w:space="0" w:color="auto"/>
              <w:right w:val="single" w:sz="4" w:space="0" w:color="auto"/>
            </w:tcBorders>
            <w:noWrap/>
            <w:tcMar>
              <w:left w:w="29" w:type="dxa"/>
              <w:right w:w="29" w:type="dxa"/>
            </w:tcMar>
            <w:hideMark/>
          </w:tcPr>
          <w:p w14:paraId="1655B073" w14:textId="7942993E" w:rsidR="00FA6BDE" w:rsidRPr="00473E67" w:rsidRDefault="00FA6BDE" w:rsidP="00473E67">
            <w:pPr>
              <w:widowControl w:val="0"/>
              <w:spacing w:before="0" w:after="0" w:line="240" w:lineRule="atLeast"/>
              <w:jc w:val="right"/>
              <w:rPr>
                <w:rFonts w:cs="Times New Roman"/>
                <w:b/>
                <w:sz w:val="18"/>
                <w:szCs w:val="18"/>
                <w:highlight w:val="yellow"/>
                <w:lang w:val="en-CA" w:eastAsia="en-US"/>
              </w:rPr>
            </w:pPr>
            <w:r w:rsidRPr="00473E67">
              <w:rPr>
                <w:rFonts w:cs="Times New Roman"/>
                <w:b/>
                <w:sz w:val="18"/>
                <w:szCs w:val="18"/>
                <w:lang w:val="en-CA" w:eastAsia="en-US"/>
              </w:rPr>
              <w:t>2019</w:t>
            </w:r>
            <w:r w:rsidR="00E408FC">
              <w:rPr>
                <w:rFonts w:cs="Times New Roman" w:hint="eastAsia"/>
                <w:b/>
                <w:sz w:val="18"/>
                <w:szCs w:val="18"/>
                <w:lang w:val="en-CA"/>
              </w:rPr>
              <w:t>年</w:t>
            </w:r>
            <w:r w:rsidR="00E408FC">
              <w:rPr>
                <w:rFonts w:cs="Times New Roman" w:hint="eastAsia"/>
                <w:b/>
                <w:sz w:val="18"/>
                <w:szCs w:val="18"/>
                <w:lang w:val="en-CA"/>
              </w:rPr>
              <w:t>12</w:t>
            </w:r>
            <w:r w:rsidR="00E408FC">
              <w:rPr>
                <w:rFonts w:cs="Times New Roman" w:hint="eastAsia"/>
                <w:b/>
                <w:sz w:val="18"/>
                <w:szCs w:val="18"/>
                <w:lang w:val="en-CA"/>
              </w:rPr>
              <w:t>月</w:t>
            </w:r>
          </w:p>
        </w:tc>
      </w:tr>
      <w:tr w:rsidR="00FA6BDE" w:rsidRPr="00140D39" w14:paraId="0FFB68FC" w14:textId="77777777" w:rsidTr="00473E67">
        <w:trPr>
          <w:trHeight w:val="370"/>
        </w:trPr>
        <w:tc>
          <w:tcPr>
            <w:tcW w:w="4590" w:type="dxa"/>
            <w:tcBorders>
              <w:top w:val="single" w:sz="4" w:space="0" w:color="auto"/>
              <w:left w:val="single" w:sz="4" w:space="0" w:color="auto"/>
              <w:bottom w:val="single" w:sz="4" w:space="0" w:color="auto"/>
              <w:right w:val="single" w:sz="4" w:space="0" w:color="auto"/>
            </w:tcBorders>
          </w:tcPr>
          <w:p w14:paraId="05DACD6E" w14:textId="3BEC906F" w:rsidR="00FA6BDE" w:rsidRPr="00473E67" w:rsidRDefault="00FA6BDE" w:rsidP="00473E67">
            <w:pPr>
              <w:widowControl w:val="0"/>
              <w:spacing w:before="0" w:after="0" w:line="240" w:lineRule="atLeast"/>
              <w:rPr>
                <w:rFonts w:cs="Times New Roman"/>
                <w:b/>
                <w:sz w:val="18"/>
                <w:szCs w:val="18"/>
                <w:lang w:val="en-CA" w:eastAsia="en-US"/>
              </w:rPr>
            </w:pPr>
            <w:r w:rsidRPr="00473E67">
              <w:rPr>
                <w:rFonts w:cs="Times New Roman"/>
                <w:b/>
                <w:sz w:val="18"/>
                <w:szCs w:val="18"/>
                <w:lang w:val="en-CA"/>
              </w:rPr>
              <w:t>概要</w:t>
            </w:r>
          </w:p>
        </w:tc>
        <w:tc>
          <w:tcPr>
            <w:tcW w:w="1350" w:type="dxa"/>
            <w:tcBorders>
              <w:top w:val="single" w:sz="4" w:space="0" w:color="auto"/>
              <w:left w:val="nil"/>
              <w:bottom w:val="single" w:sz="4" w:space="0" w:color="auto"/>
              <w:right w:val="single" w:sz="4" w:space="0" w:color="auto"/>
            </w:tcBorders>
            <w:noWrap/>
          </w:tcPr>
          <w:p w14:paraId="3607B6D3" w14:textId="77777777" w:rsidR="00FA6BDE" w:rsidRPr="00473E67" w:rsidRDefault="00FA6BDE" w:rsidP="00473E67">
            <w:pPr>
              <w:spacing w:before="0" w:after="0" w:line="240" w:lineRule="atLeast"/>
              <w:jc w:val="right"/>
              <w:rPr>
                <w:rFonts w:cs="Times New Roman"/>
                <w:b/>
                <w:sz w:val="18"/>
                <w:szCs w:val="18"/>
                <w:lang w:val="en-GB" w:eastAsia="en-US"/>
              </w:rPr>
            </w:pPr>
          </w:p>
        </w:tc>
        <w:tc>
          <w:tcPr>
            <w:tcW w:w="1170" w:type="dxa"/>
            <w:tcBorders>
              <w:top w:val="single" w:sz="4" w:space="0" w:color="auto"/>
              <w:left w:val="nil"/>
              <w:bottom w:val="single" w:sz="4" w:space="0" w:color="auto"/>
              <w:right w:val="single" w:sz="4" w:space="0" w:color="auto"/>
            </w:tcBorders>
            <w:noWrap/>
          </w:tcPr>
          <w:p w14:paraId="60FD8987" w14:textId="77777777" w:rsidR="00FA6BDE" w:rsidRPr="00473E67" w:rsidRDefault="00FA6BDE" w:rsidP="00473E67">
            <w:pPr>
              <w:spacing w:before="0" w:after="0" w:line="240" w:lineRule="atLeast"/>
              <w:jc w:val="right"/>
              <w:rPr>
                <w:rFonts w:cs="Times New Roman"/>
                <w:b/>
                <w:sz w:val="18"/>
                <w:szCs w:val="18"/>
                <w:lang w:val="en-GB" w:eastAsia="en-US"/>
              </w:rPr>
            </w:pPr>
          </w:p>
        </w:tc>
        <w:tc>
          <w:tcPr>
            <w:tcW w:w="1395" w:type="dxa"/>
            <w:tcBorders>
              <w:top w:val="single" w:sz="4" w:space="0" w:color="auto"/>
              <w:left w:val="nil"/>
              <w:bottom w:val="single" w:sz="4" w:space="0" w:color="auto"/>
              <w:right w:val="single" w:sz="4" w:space="0" w:color="auto"/>
            </w:tcBorders>
            <w:noWrap/>
          </w:tcPr>
          <w:p w14:paraId="7991E7D1" w14:textId="77777777" w:rsidR="00FA6BDE" w:rsidRPr="00473E67" w:rsidRDefault="00FA6BDE" w:rsidP="00473E67">
            <w:pPr>
              <w:spacing w:before="0" w:after="0" w:line="240" w:lineRule="atLeast"/>
              <w:jc w:val="right"/>
              <w:rPr>
                <w:rFonts w:cs="Times New Roman"/>
                <w:b/>
                <w:sz w:val="18"/>
                <w:szCs w:val="18"/>
                <w:lang w:val="en-GB" w:eastAsia="en-US"/>
              </w:rPr>
            </w:pPr>
          </w:p>
        </w:tc>
        <w:tc>
          <w:tcPr>
            <w:tcW w:w="1134" w:type="dxa"/>
            <w:tcBorders>
              <w:top w:val="single" w:sz="4" w:space="0" w:color="auto"/>
              <w:left w:val="nil"/>
              <w:bottom w:val="single" w:sz="4" w:space="0" w:color="auto"/>
              <w:right w:val="single" w:sz="4" w:space="0" w:color="auto"/>
            </w:tcBorders>
            <w:noWrap/>
          </w:tcPr>
          <w:p w14:paraId="6D772CB7" w14:textId="77777777" w:rsidR="00FA6BDE" w:rsidRPr="00473E67" w:rsidRDefault="00FA6BDE" w:rsidP="00473E67">
            <w:pPr>
              <w:widowControl w:val="0"/>
              <w:spacing w:before="0" w:after="0" w:line="240" w:lineRule="atLeast"/>
              <w:rPr>
                <w:rFonts w:cs="Times New Roman"/>
                <w:b/>
                <w:sz w:val="18"/>
                <w:szCs w:val="18"/>
                <w:lang w:val="en-CA" w:eastAsia="en-US"/>
              </w:rPr>
            </w:pPr>
          </w:p>
        </w:tc>
      </w:tr>
      <w:tr w:rsidR="00473E67" w:rsidRPr="00140D39" w14:paraId="0C12B4DD" w14:textId="77777777" w:rsidTr="00473E67">
        <w:tc>
          <w:tcPr>
            <w:tcW w:w="4590" w:type="dxa"/>
            <w:tcBorders>
              <w:top w:val="single" w:sz="6" w:space="0" w:color="000000"/>
              <w:left w:val="single" w:sz="6" w:space="0" w:color="000000"/>
              <w:bottom w:val="single" w:sz="6" w:space="0" w:color="000000"/>
              <w:right w:val="single" w:sz="6" w:space="0" w:color="000000"/>
            </w:tcBorders>
          </w:tcPr>
          <w:p w14:paraId="3AF752CE" w14:textId="228B7E6E" w:rsidR="00473E67" w:rsidRPr="00473E67" w:rsidRDefault="00473E67" w:rsidP="00473E67">
            <w:pPr>
              <w:widowControl w:val="0"/>
              <w:spacing w:before="0" w:after="0" w:line="240" w:lineRule="atLeast"/>
              <w:rPr>
                <w:rFonts w:cs="Times New Roman"/>
                <w:sz w:val="18"/>
                <w:szCs w:val="18"/>
                <w:lang w:val="en-CA"/>
              </w:rPr>
            </w:pPr>
            <w:r w:rsidRPr="00473E67">
              <w:rPr>
                <w:rFonts w:cs="Times New Roman"/>
                <w:sz w:val="18"/>
                <w:szCs w:val="18"/>
              </w:rPr>
              <w:t>氟氯化碳生产（</w:t>
            </w:r>
            <w:r w:rsidRPr="00473E67">
              <w:rPr>
                <w:rFonts w:cs="Times New Roman"/>
                <w:sz w:val="18"/>
                <w:szCs w:val="18"/>
                <w:lang w:val="en-CA"/>
              </w:rPr>
              <w:t>150,000,000</w:t>
            </w:r>
            <w:r w:rsidRPr="00473E67">
              <w:rPr>
                <w:rFonts w:cs="Times New Roman"/>
                <w:sz w:val="18"/>
                <w:szCs w:val="18"/>
              </w:rPr>
              <w:t>亿美元</w:t>
            </w:r>
            <w:r w:rsidRPr="00473E67">
              <w:rPr>
                <w:rFonts w:cs="Times New Roman"/>
                <w:sz w:val="18"/>
                <w:szCs w:val="18"/>
              </w:rPr>
              <w:t>-</w:t>
            </w:r>
            <w:r w:rsidRPr="00473E67">
              <w:rPr>
                <w:rFonts w:cs="Times New Roman"/>
                <w:sz w:val="18"/>
                <w:szCs w:val="18"/>
              </w:rPr>
              <w:t>世界银行）</w:t>
            </w:r>
            <w:r w:rsidRPr="00473E67">
              <w:rPr>
                <w:rFonts w:cs="Times New Roman"/>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078B6" w14:textId="77777777" w:rsidR="00473E67" w:rsidRPr="00473E67" w:rsidRDefault="00473E67" w:rsidP="00473E67">
            <w:pPr>
              <w:spacing w:before="0" w:after="0" w:line="240" w:lineRule="atLeast"/>
              <w:jc w:val="right"/>
              <w:rPr>
                <w:rFonts w:cs="Times New Roman"/>
                <w:color w:val="000000"/>
                <w:sz w:val="18"/>
                <w:szCs w:val="18"/>
                <w:lang w:val="en-CA" w:eastAsia="en-US"/>
              </w:rPr>
            </w:pPr>
            <w:r w:rsidRPr="00473E67">
              <w:rPr>
                <w:rFonts w:cs="Times New Roman"/>
                <w:color w:val="000000"/>
                <w:sz w:val="18"/>
                <w:szCs w:val="18"/>
                <w:lang w:val="en-GB" w:eastAsia="en-US"/>
              </w:rPr>
              <w:t>975,498</w:t>
            </w:r>
          </w:p>
        </w:tc>
        <w:tc>
          <w:tcPr>
            <w:tcW w:w="1170" w:type="dxa"/>
            <w:tcBorders>
              <w:top w:val="single" w:sz="4" w:space="0" w:color="auto"/>
              <w:left w:val="nil"/>
              <w:bottom w:val="single" w:sz="4" w:space="0" w:color="auto"/>
              <w:right w:val="single" w:sz="4" w:space="0" w:color="auto"/>
            </w:tcBorders>
            <w:shd w:val="clear" w:color="auto" w:fill="auto"/>
            <w:noWrap/>
          </w:tcPr>
          <w:p w14:paraId="0793A9B9"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795,620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2DC3F" w14:textId="77777777" w:rsidR="00473E67" w:rsidRPr="00473E67" w:rsidRDefault="00473E67" w:rsidP="00473E67">
            <w:pPr>
              <w:spacing w:before="0" w:after="0" w:line="240" w:lineRule="atLeast"/>
              <w:jc w:val="right"/>
              <w:rPr>
                <w:rFonts w:cs="Times New Roman"/>
                <w:color w:val="000000"/>
                <w:sz w:val="18"/>
                <w:szCs w:val="18"/>
                <w:lang w:val="en-CA" w:eastAsia="en-US"/>
              </w:rPr>
            </w:pPr>
            <w:r w:rsidRPr="00473E67">
              <w:rPr>
                <w:rFonts w:cs="Times New Roman"/>
                <w:color w:val="000000"/>
                <w:sz w:val="18"/>
                <w:szCs w:val="18"/>
                <w:lang w:val="en-GB" w:eastAsia="en-US"/>
              </w:rPr>
              <w:t>179,878</w:t>
            </w:r>
          </w:p>
        </w:tc>
        <w:tc>
          <w:tcPr>
            <w:tcW w:w="1134" w:type="dxa"/>
            <w:tcBorders>
              <w:top w:val="single" w:sz="4" w:space="0" w:color="auto"/>
              <w:left w:val="nil"/>
              <w:bottom w:val="single" w:sz="4" w:space="0" w:color="auto"/>
              <w:right w:val="single" w:sz="4" w:space="0" w:color="auto"/>
            </w:tcBorders>
            <w:noWrap/>
          </w:tcPr>
          <w:p w14:paraId="08284604" w14:textId="5EEA5288" w:rsidR="00473E67" w:rsidRPr="00473E67" w:rsidRDefault="00473E67" w:rsidP="00473E67">
            <w:pPr>
              <w:widowControl w:val="0"/>
              <w:spacing w:before="0" w:after="0" w:line="240" w:lineRule="atLeast"/>
              <w:jc w:val="right"/>
              <w:rPr>
                <w:rFonts w:cs="Times New Roman"/>
                <w:sz w:val="18"/>
                <w:szCs w:val="18"/>
                <w:lang w:val="en-CA" w:eastAsia="en-US"/>
              </w:rPr>
            </w:pPr>
            <w:r w:rsidRPr="00473E67">
              <w:rPr>
                <w:rFonts w:cs="Times New Roman"/>
                <w:sz w:val="18"/>
                <w:szCs w:val="18"/>
                <w:lang w:val="en-CA" w:eastAsia="en-US"/>
              </w:rPr>
              <w:t>2019</w:t>
            </w:r>
            <w:r w:rsidR="00E408FC">
              <w:rPr>
                <w:rFonts w:cs="Times New Roman" w:hint="eastAsia"/>
                <w:sz w:val="18"/>
                <w:szCs w:val="18"/>
                <w:lang w:val="en-CA"/>
              </w:rPr>
              <w:t>年</w:t>
            </w:r>
          </w:p>
        </w:tc>
      </w:tr>
      <w:tr w:rsidR="00473E67" w:rsidRPr="00140D39" w14:paraId="659DDCFA" w14:textId="77777777" w:rsidTr="00473E67">
        <w:tc>
          <w:tcPr>
            <w:tcW w:w="4590" w:type="dxa"/>
            <w:tcBorders>
              <w:top w:val="single" w:sz="6" w:space="0" w:color="000000"/>
              <w:left w:val="single" w:sz="6" w:space="0" w:color="000000"/>
              <w:bottom w:val="single" w:sz="6" w:space="0" w:color="000000"/>
              <w:right w:val="single" w:sz="6" w:space="0" w:color="000000"/>
            </w:tcBorders>
          </w:tcPr>
          <w:p w14:paraId="44B1389C" w14:textId="690986AA" w:rsidR="00473E67" w:rsidRPr="00473E67" w:rsidRDefault="00473E67" w:rsidP="00473E67">
            <w:pPr>
              <w:widowControl w:val="0"/>
              <w:spacing w:before="0" w:after="0" w:line="240" w:lineRule="atLeast"/>
              <w:rPr>
                <w:rFonts w:cs="Times New Roman"/>
                <w:sz w:val="18"/>
                <w:szCs w:val="18"/>
                <w:lang w:val="en-CA"/>
              </w:rPr>
            </w:pPr>
            <w:r w:rsidRPr="00473E67">
              <w:rPr>
                <w:rFonts w:cs="Times New Roman"/>
                <w:sz w:val="18"/>
                <w:szCs w:val="18"/>
              </w:rPr>
              <w:t>哈龙行业（</w:t>
            </w:r>
            <w:r w:rsidRPr="00473E67">
              <w:rPr>
                <w:rFonts w:cs="Times New Roman"/>
                <w:sz w:val="18"/>
                <w:szCs w:val="18"/>
              </w:rPr>
              <w:t>62,000,000</w:t>
            </w:r>
            <w:r w:rsidRPr="00473E67">
              <w:rPr>
                <w:rFonts w:cs="Times New Roman"/>
                <w:sz w:val="18"/>
                <w:szCs w:val="18"/>
              </w:rPr>
              <w:t>美元</w:t>
            </w:r>
            <w:r w:rsidRPr="00473E67">
              <w:rPr>
                <w:rFonts w:cs="Times New Roman"/>
                <w:sz w:val="18"/>
                <w:szCs w:val="18"/>
              </w:rPr>
              <w:t>-</w:t>
            </w:r>
            <w:r w:rsidRPr="00473E67">
              <w:rPr>
                <w:rFonts w:cs="Times New Roman"/>
                <w:sz w:val="18"/>
                <w:szCs w:val="18"/>
              </w:rPr>
              <w:t>世界银行）</w:t>
            </w:r>
            <w:r w:rsidRPr="00473E67">
              <w:rPr>
                <w:rFonts w:cs="Times New Roman"/>
                <w:sz w:val="18"/>
                <w:szCs w:val="18"/>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DD58699"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10,978,177</w:t>
            </w:r>
          </w:p>
        </w:tc>
        <w:tc>
          <w:tcPr>
            <w:tcW w:w="1170" w:type="dxa"/>
            <w:tcBorders>
              <w:top w:val="nil"/>
              <w:left w:val="nil"/>
              <w:bottom w:val="single" w:sz="4" w:space="0" w:color="auto"/>
              <w:right w:val="single" w:sz="4" w:space="0" w:color="auto"/>
            </w:tcBorders>
            <w:shd w:val="clear" w:color="auto" w:fill="auto"/>
            <w:noWrap/>
          </w:tcPr>
          <w:p w14:paraId="639971D3"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1,823,351</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10B0881E"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9,154,827</w:t>
            </w:r>
          </w:p>
        </w:tc>
        <w:tc>
          <w:tcPr>
            <w:tcW w:w="1134" w:type="dxa"/>
            <w:tcBorders>
              <w:top w:val="single" w:sz="4" w:space="0" w:color="auto"/>
              <w:left w:val="nil"/>
              <w:bottom w:val="single" w:sz="4" w:space="0" w:color="auto"/>
              <w:right w:val="single" w:sz="4" w:space="0" w:color="auto"/>
            </w:tcBorders>
            <w:noWrap/>
          </w:tcPr>
          <w:p w14:paraId="5F629FEB" w14:textId="6439ADD8" w:rsidR="00473E67" w:rsidRPr="00473E67" w:rsidRDefault="00473E67" w:rsidP="00473E67">
            <w:pPr>
              <w:widowControl w:val="0"/>
              <w:spacing w:before="0" w:after="0" w:line="240" w:lineRule="atLeast"/>
              <w:jc w:val="right"/>
              <w:rPr>
                <w:rFonts w:cs="Times New Roman"/>
                <w:sz w:val="18"/>
                <w:szCs w:val="18"/>
                <w:lang w:val="en-CA" w:eastAsia="en-US"/>
              </w:rPr>
            </w:pPr>
            <w:r w:rsidRPr="00473E67">
              <w:rPr>
                <w:rFonts w:cs="Times New Roman"/>
                <w:sz w:val="18"/>
                <w:szCs w:val="18"/>
                <w:lang w:val="en-CA" w:eastAsia="en-US"/>
              </w:rPr>
              <w:t>2022</w:t>
            </w:r>
            <w:r w:rsidR="00E408FC">
              <w:rPr>
                <w:rFonts w:cs="Times New Roman" w:hint="eastAsia"/>
                <w:sz w:val="18"/>
                <w:szCs w:val="18"/>
                <w:lang w:val="en-CA"/>
              </w:rPr>
              <w:t>年</w:t>
            </w:r>
          </w:p>
        </w:tc>
      </w:tr>
      <w:tr w:rsidR="00473E67" w:rsidRPr="00140D39" w14:paraId="52117DE3" w14:textId="77777777" w:rsidTr="00473E67">
        <w:tc>
          <w:tcPr>
            <w:tcW w:w="4590" w:type="dxa"/>
            <w:tcBorders>
              <w:top w:val="single" w:sz="6" w:space="0" w:color="000000"/>
              <w:left w:val="single" w:sz="6" w:space="0" w:color="000000"/>
              <w:bottom w:val="single" w:sz="6" w:space="0" w:color="000000"/>
              <w:right w:val="single" w:sz="6" w:space="0" w:color="000000"/>
            </w:tcBorders>
          </w:tcPr>
          <w:p w14:paraId="74333E28" w14:textId="2764A73B" w:rsidR="00473E67" w:rsidRPr="00473E67" w:rsidRDefault="00473E67" w:rsidP="00473E67">
            <w:pPr>
              <w:widowControl w:val="0"/>
              <w:spacing w:before="0" w:after="0" w:line="240" w:lineRule="atLeast"/>
              <w:rPr>
                <w:rFonts w:cs="Times New Roman"/>
                <w:sz w:val="18"/>
                <w:szCs w:val="18"/>
                <w:lang w:val="en-CA"/>
              </w:rPr>
            </w:pPr>
            <w:r w:rsidRPr="00473E67">
              <w:rPr>
                <w:rFonts w:cs="Times New Roman"/>
                <w:sz w:val="18"/>
                <w:szCs w:val="18"/>
              </w:rPr>
              <w:t>II</w:t>
            </w:r>
            <w:r w:rsidRPr="00473E67">
              <w:rPr>
                <w:rFonts w:cs="Times New Roman"/>
                <w:sz w:val="18"/>
                <w:szCs w:val="18"/>
              </w:rPr>
              <w:t>类加工剂（</w:t>
            </w:r>
            <w:r w:rsidRPr="00473E67">
              <w:rPr>
                <w:rFonts w:cs="Times New Roman"/>
                <w:sz w:val="18"/>
                <w:szCs w:val="18"/>
              </w:rPr>
              <w:t>46,500,000</w:t>
            </w:r>
            <w:r w:rsidRPr="00473E67">
              <w:rPr>
                <w:rFonts w:cs="Times New Roman"/>
                <w:sz w:val="18"/>
                <w:szCs w:val="18"/>
              </w:rPr>
              <w:t>美元</w:t>
            </w:r>
            <w:r w:rsidRPr="00473E67">
              <w:rPr>
                <w:rFonts w:cs="Times New Roman"/>
                <w:sz w:val="18"/>
                <w:szCs w:val="18"/>
              </w:rPr>
              <w:t>-</w:t>
            </w:r>
            <w:r w:rsidRPr="00473E67">
              <w:rPr>
                <w:rFonts w:cs="Times New Roman"/>
                <w:sz w:val="18"/>
                <w:szCs w:val="18"/>
              </w:rPr>
              <w:t>世界银行）</w:t>
            </w:r>
            <w:r w:rsidRPr="00473E67">
              <w:rPr>
                <w:rFonts w:cs="Times New Roman"/>
                <w:sz w:val="18"/>
                <w:szCs w:val="18"/>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CE46E7A"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7,333,019</w:t>
            </w:r>
          </w:p>
        </w:tc>
        <w:tc>
          <w:tcPr>
            <w:tcW w:w="1170" w:type="dxa"/>
            <w:tcBorders>
              <w:top w:val="nil"/>
              <w:left w:val="nil"/>
              <w:bottom w:val="single" w:sz="4" w:space="0" w:color="auto"/>
              <w:right w:val="single" w:sz="4" w:space="0" w:color="auto"/>
            </w:tcBorders>
            <w:shd w:val="clear" w:color="auto" w:fill="auto"/>
            <w:noWrap/>
          </w:tcPr>
          <w:p w14:paraId="126F3888"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4,256,910</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4FD876C6"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3,076,109</w:t>
            </w:r>
          </w:p>
        </w:tc>
        <w:tc>
          <w:tcPr>
            <w:tcW w:w="1134" w:type="dxa"/>
            <w:tcBorders>
              <w:top w:val="single" w:sz="4" w:space="0" w:color="auto"/>
              <w:left w:val="nil"/>
              <w:bottom w:val="single" w:sz="4" w:space="0" w:color="auto"/>
              <w:right w:val="single" w:sz="4" w:space="0" w:color="auto"/>
            </w:tcBorders>
            <w:noWrap/>
          </w:tcPr>
          <w:p w14:paraId="3E515AB4" w14:textId="3957CD17" w:rsidR="00473E67" w:rsidRPr="00473E67" w:rsidRDefault="00473E67" w:rsidP="00473E67">
            <w:pPr>
              <w:widowControl w:val="0"/>
              <w:spacing w:before="0" w:after="0" w:line="240" w:lineRule="atLeast"/>
              <w:jc w:val="right"/>
              <w:rPr>
                <w:rFonts w:cs="Times New Roman"/>
                <w:sz w:val="18"/>
                <w:szCs w:val="18"/>
                <w:lang w:val="en-CA" w:eastAsia="en-US"/>
              </w:rPr>
            </w:pPr>
            <w:r w:rsidRPr="00473E67">
              <w:rPr>
                <w:rFonts w:cs="Times New Roman"/>
                <w:sz w:val="18"/>
                <w:szCs w:val="18"/>
                <w:lang w:val="en-CA" w:eastAsia="en-US"/>
              </w:rPr>
              <w:t>2020</w:t>
            </w:r>
            <w:r w:rsidR="00E408FC">
              <w:rPr>
                <w:rFonts w:cs="Times New Roman" w:hint="eastAsia"/>
                <w:sz w:val="18"/>
                <w:szCs w:val="18"/>
                <w:lang w:val="en-CA"/>
              </w:rPr>
              <w:t>年</w:t>
            </w:r>
          </w:p>
        </w:tc>
      </w:tr>
      <w:tr w:rsidR="00473E67" w:rsidRPr="00140D39" w14:paraId="09814BD2" w14:textId="77777777" w:rsidTr="00473E67">
        <w:tc>
          <w:tcPr>
            <w:tcW w:w="4590" w:type="dxa"/>
            <w:tcBorders>
              <w:top w:val="single" w:sz="6" w:space="0" w:color="000000"/>
              <w:left w:val="single" w:sz="6" w:space="0" w:color="000000"/>
              <w:bottom w:val="single" w:sz="6" w:space="0" w:color="000000"/>
              <w:right w:val="single" w:sz="6" w:space="0" w:color="000000"/>
            </w:tcBorders>
          </w:tcPr>
          <w:p w14:paraId="041746C9" w14:textId="00403EBA" w:rsidR="00473E67" w:rsidRPr="00473E67" w:rsidRDefault="00473E67" w:rsidP="00473E67">
            <w:pPr>
              <w:widowControl w:val="0"/>
              <w:spacing w:before="0" w:after="0" w:line="240" w:lineRule="atLeast"/>
              <w:rPr>
                <w:rFonts w:cs="Times New Roman"/>
                <w:sz w:val="18"/>
                <w:szCs w:val="18"/>
                <w:lang w:val="en-CA"/>
              </w:rPr>
            </w:pPr>
            <w:r w:rsidRPr="00473E67">
              <w:rPr>
                <w:rFonts w:cs="Times New Roman"/>
                <w:sz w:val="18"/>
                <w:szCs w:val="18"/>
              </w:rPr>
              <w:t>聚氨酯泡沫塑料（</w:t>
            </w:r>
            <w:r w:rsidRPr="00473E67">
              <w:rPr>
                <w:rFonts w:cs="Times New Roman"/>
                <w:sz w:val="18"/>
                <w:szCs w:val="18"/>
              </w:rPr>
              <w:t>53,846,000</w:t>
            </w:r>
            <w:r w:rsidRPr="00473E67">
              <w:rPr>
                <w:rFonts w:cs="Times New Roman"/>
                <w:sz w:val="18"/>
                <w:szCs w:val="18"/>
              </w:rPr>
              <w:t>美元</w:t>
            </w:r>
            <w:r w:rsidRPr="00473E67">
              <w:rPr>
                <w:rFonts w:cs="Times New Roman"/>
                <w:sz w:val="18"/>
                <w:szCs w:val="18"/>
              </w:rPr>
              <w:t>-</w:t>
            </w:r>
            <w:r w:rsidRPr="00473E67">
              <w:rPr>
                <w:rFonts w:cs="Times New Roman"/>
                <w:sz w:val="18"/>
                <w:szCs w:val="18"/>
              </w:rPr>
              <w:t>世界银行）</w:t>
            </w:r>
            <w:r w:rsidRPr="00473E67">
              <w:rPr>
                <w:rFonts w:cs="Times New Roman"/>
                <w:sz w:val="18"/>
                <w:szCs w:val="18"/>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C032DEB"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1,655,397</w:t>
            </w:r>
          </w:p>
        </w:tc>
        <w:tc>
          <w:tcPr>
            <w:tcW w:w="1170" w:type="dxa"/>
            <w:tcBorders>
              <w:top w:val="nil"/>
              <w:left w:val="nil"/>
              <w:bottom w:val="single" w:sz="4" w:space="0" w:color="auto"/>
              <w:right w:val="single" w:sz="4" w:space="0" w:color="auto"/>
            </w:tcBorders>
            <w:shd w:val="clear" w:color="auto" w:fill="auto"/>
            <w:noWrap/>
          </w:tcPr>
          <w:p w14:paraId="710539E1"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758,389</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708A5EB4"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897,009</w:t>
            </w:r>
          </w:p>
        </w:tc>
        <w:tc>
          <w:tcPr>
            <w:tcW w:w="1134" w:type="dxa"/>
            <w:tcBorders>
              <w:top w:val="single" w:sz="4" w:space="0" w:color="auto"/>
              <w:left w:val="nil"/>
              <w:bottom w:val="single" w:sz="4" w:space="0" w:color="auto"/>
              <w:right w:val="single" w:sz="4" w:space="0" w:color="auto"/>
            </w:tcBorders>
            <w:noWrap/>
          </w:tcPr>
          <w:p w14:paraId="076003E0" w14:textId="6E93495B" w:rsidR="00473E67" w:rsidRPr="00473E67" w:rsidRDefault="00473E67" w:rsidP="00473E67">
            <w:pPr>
              <w:widowControl w:val="0"/>
              <w:spacing w:before="0" w:after="0" w:line="240" w:lineRule="atLeast"/>
              <w:jc w:val="right"/>
              <w:rPr>
                <w:rFonts w:cs="Times New Roman"/>
                <w:sz w:val="18"/>
                <w:szCs w:val="18"/>
                <w:lang w:val="en-CA" w:eastAsia="en-US"/>
              </w:rPr>
            </w:pPr>
            <w:r w:rsidRPr="00473E67">
              <w:rPr>
                <w:rFonts w:cs="Times New Roman"/>
                <w:sz w:val="18"/>
                <w:szCs w:val="18"/>
                <w:lang w:val="en-CA" w:eastAsia="en-US"/>
              </w:rPr>
              <w:t>2019</w:t>
            </w:r>
            <w:r w:rsidR="00E408FC">
              <w:rPr>
                <w:rFonts w:cs="Times New Roman" w:hint="eastAsia"/>
                <w:sz w:val="18"/>
                <w:szCs w:val="18"/>
                <w:lang w:val="en-CA"/>
              </w:rPr>
              <w:t>年</w:t>
            </w:r>
          </w:p>
        </w:tc>
      </w:tr>
      <w:tr w:rsidR="00473E67" w:rsidRPr="00140D39" w14:paraId="40FF7F7B" w14:textId="77777777" w:rsidTr="00473E67">
        <w:tc>
          <w:tcPr>
            <w:tcW w:w="4590" w:type="dxa"/>
            <w:tcBorders>
              <w:top w:val="single" w:sz="6" w:space="0" w:color="000000"/>
              <w:left w:val="single" w:sz="6" w:space="0" w:color="000000"/>
              <w:bottom w:val="single" w:sz="6" w:space="0" w:color="000000"/>
              <w:right w:val="single" w:sz="6" w:space="0" w:color="000000"/>
            </w:tcBorders>
          </w:tcPr>
          <w:p w14:paraId="4046678B" w14:textId="60CEF34A" w:rsidR="00473E67" w:rsidRPr="00473E67" w:rsidRDefault="00473E67" w:rsidP="00473E67">
            <w:pPr>
              <w:widowControl w:val="0"/>
              <w:spacing w:before="0" w:after="0" w:line="240" w:lineRule="atLeast"/>
              <w:rPr>
                <w:rFonts w:cs="Times New Roman"/>
                <w:sz w:val="18"/>
                <w:szCs w:val="18"/>
                <w:lang w:val="en-CA"/>
              </w:rPr>
            </w:pPr>
            <w:r w:rsidRPr="00473E67">
              <w:rPr>
                <w:rFonts w:cs="Times New Roman"/>
                <w:sz w:val="18"/>
                <w:szCs w:val="18"/>
              </w:rPr>
              <w:t>维修业（</w:t>
            </w:r>
            <w:r w:rsidRPr="00473E67">
              <w:rPr>
                <w:rFonts w:cs="Times New Roman"/>
                <w:sz w:val="18"/>
                <w:szCs w:val="18"/>
              </w:rPr>
              <w:t>7,884,853</w:t>
            </w:r>
            <w:r w:rsidRPr="00473E67">
              <w:rPr>
                <w:rFonts w:cs="Times New Roman"/>
                <w:sz w:val="18"/>
                <w:szCs w:val="18"/>
              </w:rPr>
              <w:t>美元</w:t>
            </w:r>
            <w:r w:rsidRPr="00473E67">
              <w:rPr>
                <w:rFonts w:cs="Times New Roman"/>
                <w:sz w:val="18"/>
                <w:szCs w:val="18"/>
              </w:rPr>
              <w:t>-</w:t>
            </w:r>
            <w:r w:rsidRPr="00473E67">
              <w:rPr>
                <w:rFonts w:cs="Times New Roman"/>
                <w:sz w:val="18"/>
                <w:szCs w:val="18"/>
              </w:rPr>
              <w:t>日本、环境规划署、工发组织）</w:t>
            </w:r>
            <w:r w:rsidRPr="00473E67">
              <w:rPr>
                <w:rFonts w:cs="Times New Roman"/>
                <w:sz w:val="18"/>
                <w:szCs w:val="18"/>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7FF186F"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1,147,621</w:t>
            </w:r>
          </w:p>
        </w:tc>
        <w:tc>
          <w:tcPr>
            <w:tcW w:w="1170" w:type="dxa"/>
            <w:tcBorders>
              <w:top w:val="nil"/>
              <w:left w:val="nil"/>
              <w:bottom w:val="single" w:sz="4" w:space="0" w:color="auto"/>
              <w:right w:val="single" w:sz="4" w:space="0" w:color="auto"/>
            </w:tcBorders>
            <w:shd w:val="clear" w:color="auto" w:fill="auto"/>
            <w:noWrap/>
          </w:tcPr>
          <w:p w14:paraId="40594B77"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411,829</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3CB0F8B6"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735,791</w:t>
            </w:r>
          </w:p>
        </w:tc>
        <w:tc>
          <w:tcPr>
            <w:tcW w:w="1134" w:type="dxa"/>
            <w:tcBorders>
              <w:top w:val="single" w:sz="4" w:space="0" w:color="auto"/>
              <w:left w:val="nil"/>
              <w:bottom w:val="single" w:sz="4" w:space="0" w:color="auto"/>
              <w:right w:val="single" w:sz="4" w:space="0" w:color="auto"/>
            </w:tcBorders>
            <w:noWrap/>
          </w:tcPr>
          <w:p w14:paraId="6C4227D8" w14:textId="53C2F006" w:rsidR="00473E67" w:rsidRPr="00473E67" w:rsidRDefault="00473E67" w:rsidP="00473E67">
            <w:pPr>
              <w:widowControl w:val="0"/>
              <w:spacing w:before="0" w:after="0" w:line="240" w:lineRule="atLeast"/>
              <w:jc w:val="right"/>
              <w:rPr>
                <w:rFonts w:cs="Times New Roman"/>
                <w:sz w:val="18"/>
                <w:szCs w:val="18"/>
                <w:lang w:val="en-CA" w:eastAsia="en-US"/>
              </w:rPr>
            </w:pPr>
            <w:r w:rsidRPr="00473E67">
              <w:rPr>
                <w:rFonts w:cs="Times New Roman"/>
                <w:sz w:val="18"/>
                <w:szCs w:val="18"/>
                <w:lang w:val="en-CA" w:eastAsia="en-US"/>
              </w:rPr>
              <w:t>2019</w:t>
            </w:r>
            <w:r w:rsidR="00E408FC">
              <w:rPr>
                <w:rFonts w:cs="Times New Roman" w:hint="eastAsia"/>
                <w:sz w:val="18"/>
                <w:szCs w:val="18"/>
                <w:lang w:val="en-CA"/>
              </w:rPr>
              <w:t>年</w:t>
            </w:r>
          </w:p>
        </w:tc>
      </w:tr>
      <w:tr w:rsidR="00473E67" w:rsidRPr="00140D39" w14:paraId="205F67F2" w14:textId="77777777" w:rsidTr="00473E67">
        <w:tc>
          <w:tcPr>
            <w:tcW w:w="4590" w:type="dxa"/>
            <w:tcBorders>
              <w:top w:val="single" w:sz="6" w:space="0" w:color="000000"/>
              <w:left w:val="single" w:sz="6" w:space="0" w:color="000000"/>
              <w:bottom w:val="single" w:sz="6" w:space="0" w:color="000000"/>
              <w:right w:val="single" w:sz="6" w:space="0" w:color="000000"/>
            </w:tcBorders>
          </w:tcPr>
          <w:p w14:paraId="24CA6ED2" w14:textId="1CB15F9A" w:rsidR="00473E67" w:rsidRPr="00473E67" w:rsidRDefault="00473E67" w:rsidP="00473E67">
            <w:pPr>
              <w:widowControl w:val="0"/>
              <w:spacing w:before="0" w:after="0" w:line="240" w:lineRule="atLeast"/>
              <w:rPr>
                <w:rFonts w:cs="Times New Roman"/>
                <w:sz w:val="18"/>
                <w:szCs w:val="18"/>
                <w:lang w:val="en-CA"/>
              </w:rPr>
            </w:pPr>
            <w:r w:rsidRPr="00473E67">
              <w:rPr>
                <w:rFonts w:cs="Times New Roman"/>
                <w:sz w:val="18"/>
                <w:szCs w:val="18"/>
              </w:rPr>
              <w:t>溶剂（</w:t>
            </w:r>
            <w:r w:rsidRPr="00473E67">
              <w:rPr>
                <w:rFonts w:cs="Times New Roman"/>
                <w:sz w:val="18"/>
                <w:szCs w:val="18"/>
              </w:rPr>
              <w:t>52,000,000</w:t>
            </w:r>
            <w:r w:rsidRPr="00473E67">
              <w:rPr>
                <w:rFonts w:cs="Times New Roman"/>
                <w:sz w:val="18"/>
                <w:szCs w:val="18"/>
              </w:rPr>
              <w:t>美元</w:t>
            </w:r>
            <w:r w:rsidRPr="00473E67">
              <w:rPr>
                <w:rFonts w:cs="Times New Roman"/>
                <w:sz w:val="18"/>
                <w:szCs w:val="18"/>
              </w:rPr>
              <w:t>-</w:t>
            </w:r>
            <w:r w:rsidRPr="00473E67">
              <w:rPr>
                <w:rFonts w:cs="Times New Roman"/>
                <w:sz w:val="18"/>
                <w:szCs w:val="18"/>
              </w:rPr>
              <w:t>开发计划署）</w:t>
            </w:r>
            <w:r w:rsidRPr="00473E67">
              <w:rPr>
                <w:rFonts w:cs="Times New Roman"/>
                <w:sz w:val="18"/>
                <w:szCs w:val="18"/>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50A3FAA"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1,466,940</w:t>
            </w:r>
          </w:p>
        </w:tc>
        <w:tc>
          <w:tcPr>
            <w:tcW w:w="1170" w:type="dxa"/>
            <w:tcBorders>
              <w:top w:val="nil"/>
              <w:left w:val="nil"/>
              <w:bottom w:val="single" w:sz="4" w:space="0" w:color="auto"/>
              <w:right w:val="single" w:sz="4" w:space="0" w:color="auto"/>
            </w:tcBorders>
            <w:shd w:val="clear" w:color="auto" w:fill="auto"/>
            <w:noWrap/>
          </w:tcPr>
          <w:p w14:paraId="75391A45"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758,118</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2AB1CE24" w14:textId="77777777" w:rsidR="00473E67" w:rsidRPr="00473E67" w:rsidRDefault="00473E67" w:rsidP="00473E67">
            <w:pPr>
              <w:spacing w:before="0" w:after="0" w:line="240" w:lineRule="atLeast"/>
              <w:jc w:val="right"/>
              <w:rPr>
                <w:rFonts w:cs="Times New Roman"/>
                <w:color w:val="000000"/>
                <w:sz w:val="18"/>
                <w:szCs w:val="18"/>
                <w:lang w:val="en-GB" w:eastAsia="en-US"/>
              </w:rPr>
            </w:pPr>
            <w:r w:rsidRPr="00473E67">
              <w:rPr>
                <w:rFonts w:cs="Times New Roman"/>
                <w:color w:val="000000"/>
                <w:sz w:val="18"/>
                <w:szCs w:val="18"/>
                <w:lang w:val="en-GB" w:eastAsia="en-US"/>
              </w:rPr>
              <w:t>708,822</w:t>
            </w:r>
          </w:p>
        </w:tc>
        <w:tc>
          <w:tcPr>
            <w:tcW w:w="1134" w:type="dxa"/>
            <w:tcBorders>
              <w:top w:val="single" w:sz="4" w:space="0" w:color="auto"/>
              <w:left w:val="nil"/>
              <w:bottom w:val="single" w:sz="4" w:space="0" w:color="auto"/>
              <w:right w:val="single" w:sz="4" w:space="0" w:color="auto"/>
            </w:tcBorders>
            <w:noWrap/>
          </w:tcPr>
          <w:p w14:paraId="023E0556" w14:textId="33FF3A02" w:rsidR="00473E67" w:rsidRPr="00473E67" w:rsidRDefault="00473E67" w:rsidP="00473E67">
            <w:pPr>
              <w:widowControl w:val="0"/>
              <w:spacing w:before="0" w:after="0" w:line="240" w:lineRule="atLeast"/>
              <w:jc w:val="right"/>
              <w:rPr>
                <w:rFonts w:cs="Times New Roman"/>
                <w:sz w:val="18"/>
                <w:szCs w:val="18"/>
                <w:lang w:val="en-CA" w:eastAsia="en-US"/>
              </w:rPr>
            </w:pPr>
            <w:r w:rsidRPr="00473E67">
              <w:rPr>
                <w:rFonts w:cs="Times New Roman"/>
                <w:sz w:val="18"/>
                <w:szCs w:val="18"/>
                <w:lang w:val="en-CA" w:eastAsia="en-US"/>
              </w:rPr>
              <w:t>2019</w:t>
            </w:r>
            <w:r w:rsidR="00E408FC">
              <w:rPr>
                <w:rFonts w:cs="Times New Roman" w:hint="eastAsia"/>
                <w:sz w:val="18"/>
                <w:szCs w:val="18"/>
                <w:lang w:val="en-CA"/>
              </w:rPr>
              <w:t>年</w:t>
            </w:r>
          </w:p>
        </w:tc>
      </w:tr>
      <w:tr w:rsidR="00473E67" w:rsidRPr="00140D39" w14:paraId="1CAF03BE" w14:textId="77777777" w:rsidTr="00473E67">
        <w:tc>
          <w:tcPr>
            <w:tcW w:w="4590" w:type="dxa"/>
            <w:tcBorders>
              <w:top w:val="single" w:sz="6" w:space="0" w:color="000000"/>
              <w:left w:val="single" w:sz="6" w:space="0" w:color="000000"/>
              <w:bottom w:val="single" w:sz="6" w:space="0" w:color="000000"/>
              <w:right w:val="single" w:sz="6" w:space="0" w:color="000000"/>
            </w:tcBorders>
          </w:tcPr>
          <w:p w14:paraId="07236F22" w14:textId="232C55FA" w:rsidR="00473E67" w:rsidRPr="00473E67" w:rsidRDefault="00473E67" w:rsidP="00473E67">
            <w:pPr>
              <w:widowControl w:val="0"/>
              <w:spacing w:before="0" w:after="0" w:line="240" w:lineRule="atLeast"/>
              <w:rPr>
                <w:rFonts w:cs="Times New Roman"/>
                <w:b/>
                <w:sz w:val="18"/>
                <w:szCs w:val="18"/>
                <w:lang w:val="en-CA" w:eastAsia="en-US"/>
              </w:rPr>
            </w:pPr>
            <w:r w:rsidRPr="00473E67">
              <w:rPr>
                <w:rFonts w:cs="Times New Roman"/>
                <w:b/>
                <w:bCs/>
                <w:sz w:val="18"/>
                <w:szCs w:val="18"/>
              </w:rPr>
              <w:t>共计</w:t>
            </w:r>
            <w:r w:rsidRPr="00473E67">
              <w:rPr>
                <w:rFonts w:cs="Times New Roman"/>
                <w:b/>
                <w:bCs/>
                <w:sz w:val="18"/>
                <w:szCs w:val="18"/>
              </w:rPr>
              <w:t>*</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56B2904" w14:textId="77777777" w:rsidR="00473E67" w:rsidRPr="00473E67" w:rsidRDefault="00473E67"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23,556,652</w:t>
            </w:r>
          </w:p>
        </w:tc>
        <w:tc>
          <w:tcPr>
            <w:tcW w:w="1170" w:type="dxa"/>
            <w:tcBorders>
              <w:top w:val="nil"/>
              <w:left w:val="nil"/>
              <w:bottom w:val="single" w:sz="4" w:space="0" w:color="auto"/>
              <w:right w:val="single" w:sz="4" w:space="0" w:color="auto"/>
            </w:tcBorders>
            <w:shd w:val="clear" w:color="auto" w:fill="auto"/>
            <w:noWrap/>
          </w:tcPr>
          <w:p w14:paraId="2B116B1A" w14:textId="77777777" w:rsidR="00473E67" w:rsidRPr="00473E67" w:rsidRDefault="00473E67"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8,804,217</w:t>
            </w:r>
          </w:p>
        </w:tc>
        <w:tc>
          <w:tcPr>
            <w:tcW w:w="1395" w:type="dxa"/>
            <w:tcBorders>
              <w:top w:val="nil"/>
              <w:left w:val="single" w:sz="4" w:space="0" w:color="auto"/>
              <w:bottom w:val="single" w:sz="4" w:space="0" w:color="auto"/>
              <w:right w:val="single" w:sz="4" w:space="0" w:color="auto"/>
            </w:tcBorders>
            <w:shd w:val="clear" w:color="auto" w:fill="auto"/>
            <w:noWrap/>
            <w:vAlign w:val="bottom"/>
          </w:tcPr>
          <w:p w14:paraId="5646869B" w14:textId="77777777" w:rsidR="00473E67" w:rsidRPr="00473E67" w:rsidRDefault="00473E67" w:rsidP="00473E67">
            <w:pPr>
              <w:spacing w:before="0" w:after="0" w:line="240" w:lineRule="atLeast"/>
              <w:jc w:val="right"/>
              <w:rPr>
                <w:rFonts w:cs="Times New Roman"/>
                <w:b/>
                <w:bCs/>
                <w:color w:val="000000"/>
                <w:sz w:val="18"/>
                <w:szCs w:val="18"/>
                <w:lang w:val="en-GB" w:eastAsia="en-US"/>
              </w:rPr>
            </w:pPr>
            <w:r w:rsidRPr="00473E67">
              <w:rPr>
                <w:rFonts w:cs="Times New Roman"/>
                <w:b/>
                <w:bCs/>
                <w:color w:val="000000"/>
                <w:sz w:val="18"/>
                <w:szCs w:val="18"/>
                <w:lang w:val="en-GB" w:eastAsia="en-US"/>
              </w:rPr>
              <w:t>14,752,436</w:t>
            </w:r>
          </w:p>
        </w:tc>
        <w:tc>
          <w:tcPr>
            <w:tcW w:w="1134" w:type="dxa"/>
            <w:tcBorders>
              <w:top w:val="single" w:sz="4" w:space="0" w:color="auto"/>
              <w:left w:val="nil"/>
              <w:bottom w:val="single" w:sz="4" w:space="0" w:color="auto"/>
              <w:right w:val="single" w:sz="4" w:space="0" w:color="auto"/>
            </w:tcBorders>
            <w:noWrap/>
          </w:tcPr>
          <w:p w14:paraId="6AA6D10E" w14:textId="77777777" w:rsidR="00473E67" w:rsidRPr="00473E67" w:rsidRDefault="00473E67" w:rsidP="00473E67">
            <w:pPr>
              <w:widowControl w:val="0"/>
              <w:spacing w:before="0" w:after="0" w:line="240" w:lineRule="atLeast"/>
              <w:rPr>
                <w:rFonts w:cs="Times New Roman"/>
                <w:b/>
                <w:sz w:val="18"/>
                <w:szCs w:val="18"/>
                <w:lang w:val="en-CA" w:eastAsia="en-US"/>
              </w:rPr>
            </w:pPr>
          </w:p>
        </w:tc>
      </w:tr>
    </w:tbl>
    <w:p w14:paraId="6E044B5B" w14:textId="32DC0F21" w:rsidR="00473E67" w:rsidRDefault="00140D39" w:rsidP="00473E67">
      <w:pPr>
        <w:widowControl w:val="0"/>
        <w:spacing w:after="0" w:line="240" w:lineRule="auto"/>
        <w:jc w:val="both"/>
        <w:rPr>
          <w:rFonts w:eastAsia="Times New Roman" w:cs="Times New Roman"/>
          <w:b/>
          <w:sz w:val="18"/>
          <w:szCs w:val="18"/>
          <w:lang w:val="en-CA"/>
        </w:rPr>
      </w:pPr>
      <w:r w:rsidRPr="00140D39">
        <w:rPr>
          <w:rFonts w:eastAsia="Times New Roman" w:cs="Times New Roman"/>
          <w:b/>
          <w:sz w:val="18"/>
          <w:szCs w:val="18"/>
          <w:lang w:val="en-CA"/>
        </w:rPr>
        <w:t xml:space="preserve">* </w:t>
      </w:r>
      <w:r w:rsidR="00473E67">
        <w:rPr>
          <w:rFonts w:eastAsia="Times New Roman" w:cs="Times New Roman"/>
          <w:b/>
          <w:sz w:val="18"/>
          <w:szCs w:val="18"/>
          <w:lang w:val="en-CA"/>
        </w:rPr>
        <w:tab/>
      </w:r>
      <w:r w:rsidR="00473E67">
        <w:rPr>
          <w:rFonts w:ascii="SimSun" w:hAnsi="SimSun" w:cs="SimSun" w:hint="eastAsia"/>
          <w:b/>
          <w:sz w:val="18"/>
          <w:szCs w:val="18"/>
          <w:lang w:val="en-CA"/>
        </w:rPr>
        <w:t>收到的</w:t>
      </w:r>
      <w:r w:rsidR="00473E67" w:rsidRPr="00473E67">
        <w:rPr>
          <w:rFonts w:ascii="SimSun" w:hAnsi="SimSun" w:cs="SimSun" w:hint="eastAsia"/>
          <w:b/>
          <w:bCs/>
          <w:sz w:val="18"/>
          <w:szCs w:val="18"/>
        </w:rPr>
        <w:t>每个</w:t>
      </w:r>
      <w:r w:rsidR="00473E67">
        <w:rPr>
          <w:rFonts w:ascii="SimSun" w:hAnsi="SimSun" w:cs="SimSun" w:hint="eastAsia"/>
          <w:b/>
          <w:bCs/>
          <w:sz w:val="18"/>
          <w:szCs w:val="18"/>
        </w:rPr>
        <w:t>行业</w:t>
      </w:r>
      <w:r w:rsidR="00473E67" w:rsidRPr="00473E67">
        <w:rPr>
          <w:rFonts w:ascii="SimSun" w:hAnsi="SimSun" w:cs="SimSun" w:hint="eastAsia"/>
          <w:b/>
          <w:bCs/>
          <w:sz w:val="18"/>
          <w:szCs w:val="18"/>
        </w:rPr>
        <w:t>计划的进度报告显示，截至</w:t>
      </w:r>
      <w:r w:rsidR="00473E67" w:rsidRPr="00473E67">
        <w:rPr>
          <w:rFonts w:eastAsia="Times New Roman" w:cs="Times New Roman"/>
          <w:b/>
          <w:bCs/>
          <w:sz w:val="18"/>
          <w:szCs w:val="18"/>
        </w:rPr>
        <w:t>2019</w:t>
      </w:r>
      <w:r w:rsidR="00473E67">
        <w:rPr>
          <w:rFonts w:ascii="SimSun" w:hAnsi="SimSun" w:cs="SimSun" w:hint="eastAsia"/>
          <w:b/>
          <w:bCs/>
          <w:sz w:val="18"/>
          <w:szCs w:val="18"/>
        </w:rPr>
        <w:t>年8</w:t>
      </w:r>
      <w:r w:rsidR="00473E67" w:rsidRPr="00473E67">
        <w:rPr>
          <w:rFonts w:ascii="SimSun" w:hAnsi="SimSun" w:cs="SimSun" w:hint="eastAsia"/>
          <w:b/>
          <w:bCs/>
          <w:sz w:val="18"/>
          <w:szCs w:val="18"/>
        </w:rPr>
        <w:t>月</w:t>
      </w:r>
      <w:r w:rsidR="00473E67">
        <w:rPr>
          <w:rFonts w:ascii="SimSun" w:hAnsi="SimSun" w:cs="SimSun" w:hint="eastAsia"/>
          <w:b/>
          <w:bCs/>
          <w:sz w:val="18"/>
          <w:szCs w:val="18"/>
        </w:rPr>
        <w:t>31日，资金</w:t>
      </w:r>
      <w:r w:rsidR="00473E67" w:rsidRPr="00473E67">
        <w:rPr>
          <w:rFonts w:ascii="SimSun" w:hAnsi="SimSun" w:cs="SimSun" w:hint="eastAsia"/>
          <w:b/>
          <w:bCs/>
          <w:sz w:val="18"/>
          <w:szCs w:val="18"/>
        </w:rPr>
        <w:t>余额已降至</w:t>
      </w:r>
      <w:r w:rsidR="00473E67" w:rsidRPr="00473E67">
        <w:rPr>
          <w:rFonts w:eastAsia="Times New Roman" w:cs="Times New Roman"/>
          <w:b/>
          <w:bCs/>
          <w:sz w:val="18"/>
          <w:szCs w:val="18"/>
        </w:rPr>
        <w:t>13</w:t>
      </w:r>
      <w:r w:rsidR="00473E67">
        <w:rPr>
          <w:rFonts w:eastAsia="Times New Roman" w:cs="Times New Roman"/>
          <w:b/>
          <w:bCs/>
          <w:sz w:val="18"/>
          <w:szCs w:val="18"/>
        </w:rPr>
        <w:t>,</w:t>
      </w:r>
      <w:r w:rsidR="00473E67" w:rsidRPr="00473E67">
        <w:rPr>
          <w:rFonts w:eastAsia="Times New Roman" w:cs="Times New Roman"/>
          <w:b/>
          <w:bCs/>
          <w:sz w:val="18"/>
          <w:szCs w:val="18"/>
        </w:rPr>
        <w:t>280</w:t>
      </w:r>
      <w:r w:rsidR="00473E67">
        <w:rPr>
          <w:rFonts w:eastAsia="Times New Roman" w:cs="Times New Roman"/>
          <w:b/>
          <w:bCs/>
          <w:sz w:val="18"/>
          <w:szCs w:val="18"/>
        </w:rPr>
        <w:t>,</w:t>
      </w:r>
      <w:r w:rsidR="00473E67" w:rsidRPr="00473E67">
        <w:rPr>
          <w:rFonts w:eastAsia="Times New Roman" w:cs="Times New Roman"/>
          <w:b/>
          <w:bCs/>
          <w:sz w:val="18"/>
          <w:szCs w:val="18"/>
        </w:rPr>
        <w:t>207 </w:t>
      </w:r>
      <w:r w:rsidR="00473E67">
        <w:rPr>
          <w:rFonts w:ascii="SimSun" w:hAnsi="SimSun" w:cs="SimSun" w:hint="eastAsia"/>
          <w:b/>
          <w:bCs/>
          <w:sz w:val="18"/>
          <w:szCs w:val="18"/>
        </w:rPr>
        <w:t>美元</w:t>
      </w:r>
      <w:r w:rsidR="00473E67" w:rsidRPr="00473E67">
        <w:rPr>
          <w:rFonts w:ascii="SimSun" w:hAnsi="SimSun" w:cs="SimSun" w:hint="eastAsia"/>
          <w:b/>
          <w:bCs/>
          <w:sz w:val="18"/>
          <w:szCs w:val="18"/>
        </w:rPr>
        <w:t>（即</w:t>
      </w:r>
      <w:r w:rsidR="00473E67">
        <w:rPr>
          <w:rFonts w:ascii="SimSun" w:hAnsi="SimSun" w:cs="SimSun" w:hint="eastAsia"/>
          <w:b/>
          <w:bCs/>
          <w:sz w:val="18"/>
          <w:szCs w:val="18"/>
        </w:rPr>
        <w:t>：氟氯化碳</w:t>
      </w:r>
      <w:r w:rsidR="00473E67" w:rsidRPr="00473E67">
        <w:rPr>
          <w:rFonts w:ascii="SimSun" w:hAnsi="SimSun" w:cs="SimSun" w:hint="eastAsia"/>
          <w:b/>
          <w:bCs/>
          <w:sz w:val="18"/>
          <w:szCs w:val="18"/>
        </w:rPr>
        <w:t>生产</w:t>
      </w:r>
      <w:r w:rsidR="00473E67" w:rsidRPr="00473E67">
        <w:rPr>
          <w:rFonts w:ascii="SimSun" w:hAnsi="SimSun" w:cs="SimSun"/>
          <w:b/>
          <w:bCs/>
          <w:sz w:val="18"/>
          <w:szCs w:val="18"/>
          <w:lang w:val="en-CA"/>
        </w:rPr>
        <w:t>179,878</w:t>
      </w:r>
      <w:r w:rsidR="00473E67">
        <w:rPr>
          <w:rFonts w:ascii="SimSun" w:hAnsi="SimSun" w:cs="SimSun" w:hint="eastAsia"/>
          <w:b/>
          <w:bCs/>
          <w:sz w:val="18"/>
          <w:szCs w:val="18"/>
          <w:lang w:val="en-CA"/>
        </w:rPr>
        <w:t>美元、</w:t>
      </w:r>
      <w:r w:rsidR="00473E67" w:rsidRPr="00473E67">
        <w:rPr>
          <w:rFonts w:ascii="SimSun" w:hAnsi="SimSun" w:cs="SimSun" w:hint="eastAsia"/>
          <w:b/>
          <w:bCs/>
          <w:sz w:val="18"/>
          <w:szCs w:val="18"/>
        </w:rPr>
        <w:t>哈龙</w:t>
      </w:r>
      <w:r w:rsidR="00473E67" w:rsidRPr="00140D39">
        <w:rPr>
          <w:rFonts w:eastAsia="Times New Roman" w:cs="Times New Roman"/>
          <w:b/>
          <w:sz w:val="18"/>
          <w:szCs w:val="18"/>
          <w:lang w:val="en-CA"/>
        </w:rPr>
        <w:t xml:space="preserve">9,154,827 </w:t>
      </w:r>
      <w:r w:rsidR="00473E67">
        <w:rPr>
          <w:rFonts w:ascii="SimSun" w:hAnsi="SimSun" w:cs="SimSun" w:hint="eastAsia"/>
          <w:b/>
          <w:sz w:val="18"/>
          <w:szCs w:val="18"/>
          <w:lang w:val="en-CA"/>
        </w:rPr>
        <w:t>美元、</w:t>
      </w:r>
      <w:r w:rsidR="00473E67" w:rsidRPr="00473E67">
        <w:rPr>
          <w:rFonts w:ascii="SimSun" w:hAnsi="SimSun" w:cs="SimSun" w:hint="eastAsia"/>
          <w:b/>
          <w:bCs/>
          <w:sz w:val="18"/>
          <w:szCs w:val="18"/>
        </w:rPr>
        <w:t>二类加工剂</w:t>
      </w:r>
      <w:r w:rsidR="00473E67" w:rsidRPr="00473E67">
        <w:rPr>
          <w:rFonts w:ascii="SimSun" w:hAnsi="SimSun" w:cs="SimSun"/>
          <w:b/>
          <w:bCs/>
          <w:sz w:val="18"/>
          <w:szCs w:val="18"/>
          <w:lang w:val="en-CA"/>
        </w:rPr>
        <w:t>3,076,109</w:t>
      </w:r>
      <w:r w:rsidR="00473E67">
        <w:rPr>
          <w:rFonts w:ascii="SimSun" w:hAnsi="SimSun" w:cs="SimSun" w:hint="eastAsia"/>
          <w:b/>
          <w:bCs/>
          <w:sz w:val="18"/>
          <w:szCs w:val="18"/>
          <w:lang w:val="en-CA"/>
        </w:rPr>
        <w:t>美元、</w:t>
      </w:r>
      <w:r w:rsidR="00473E67" w:rsidRPr="00473E67">
        <w:rPr>
          <w:rFonts w:ascii="SimSun" w:hAnsi="SimSun" w:cs="SimSun" w:hint="eastAsia"/>
          <w:b/>
          <w:bCs/>
          <w:sz w:val="18"/>
          <w:szCs w:val="18"/>
        </w:rPr>
        <w:t>聚氨酯泡沫</w:t>
      </w:r>
      <w:r w:rsidR="00473E67">
        <w:rPr>
          <w:rFonts w:ascii="SimSun" w:hAnsi="SimSun" w:cs="SimSun" w:hint="eastAsia"/>
          <w:b/>
          <w:bCs/>
          <w:sz w:val="18"/>
          <w:szCs w:val="18"/>
        </w:rPr>
        <w:t>塑料</w:t>
      </w:r>
      <w:r w:rsidR="00473E67" w:rsidRPr="00140D39">
        <w:rPr>
          <w:rFonts w:eastAsia="Times New Roman" w:cs="Times New Roman"/>
          <w:b/>
          <w:sz w:val="18"/>
          <w:szCs w:val="18"/>
          <w:lang w:val="en-CA"/>
        </w:rPr>
        <w:t>200,000</w:t>
      </w:r>
      <w:r w:rsidR="00473E67">
        <w:rPr>
          <w:rFonts w:ascii="SimSun" w:hAnsi="SimSun" w:cs="SimSun" w:hint="eastAsia"/>
          <w:b/>
          <w:sz w:val="18"/>
          <w:szCs w:val="18"/>
          <w:lang w:val="en-CA"/>
        </w:rPr>
        <w:t>美元、</w:t>
      </w:r>
      <w:r w:rsidR="00473E67" w:rsidRPr="00473E67">
        <w:rPr>
          <w:rFonts w:ascii="SimSun" w:hAnsi="SimSun" w:cs="SimSun" w:hint="eastAsia"/>
          <w:b/>
          <w:bCs/>
          <w:sz w:val="18"/>
          <w:szCs w:val="18"/>
        </w:rPr>
        <w:t>维修</w:t>
      </w:r>
      <w:r w:rsidR="00473E67" w:rsidRPr="00473E67">
        <w:rPr>
          <w:rFonts w:ascii="SimSun" w:hAnsi="SimSun" w:cs="SimSun"/>
          <w:b/>
          <w:bCs/>
          <w:sz w:val="18"/>
          <w:szCs w:val="18"/>
          <w:lang w:val="en-CA"/>
        </w:rPr>
        <w:t>288,183</w:t>
      </w:r>
      <w:r w:rsidR="00DB4B33">
        <w:rPr>
          <w:rFonts w:ascii="SimSun" w:hAnsi="SimSun" w:cs="SimSun"/>
          <w:b/>
          <w:bCs/>
          <w:sz w:val="18"/>
          <w:szCs w:val="18"/>
          <w:lang w:val="en-CA"/>
        </w:rPr>
        <w:t> </w:t>
      </w:r>
      <w:r w:rsidR="00473E67">
        <w:rPr>
          <w:rFonts w:ascii="SimSun" w:hAnsi="SimSun" w:cs="SimSun" w:hint="eastAsia"/>
          <w:b/>
          <w:bCs/>
          <w:sz w:val="18"/>
          <w:szCs w:val="18"/>
          <w:lang w:val="en-CA"/>
        </w:rPr>
        <w:t>美元</w:t>
      </w:r>
      <w:r w:rsidR="00473E67" w:rsidRPr="00473E67">
        <w:rPr>
          <w:rFonts w:ascii="SimSun" w:hAnsi="SimSun" w:cs="SimSun" w:hint="eastAsia"/>
          <w:b/>
          <w:bCs/>
          <w:sz w:val="18"/>
          <w:szCs w:val="18"/>
        </w:rPr>
        <w:t>和溶剂</w:t>
      </w:r>
      <w:r w:rsidR="00473E67" w:rsidRPr="00140D39">
        <w:rPr>
          <w:rFonts w:eastAsia="Times New Roman" w:cs="Times New Roman"/>
          <w:b/>
          <w:sz w:val="18"/>
          <w:szCs w:val="18"/>
          <w:lang w:val="en-CA"/>
        </w:rPr>
        <w:t>381,211</w:t>
      </w:r>
      <w:r w:rsidR="00473E67">
        <w:rPr>
          <w:rFonts w:ascii="SimSun" w:hAnsi="SimSun" w:cs="SimSun" w:hint="eastAsia"/>
          <w:b/>
          <w:sz w:val="18"/>
          <w:szCs w:val="18"/>
          <w:lang w:val="en-CA"/>
        </w:rPr>
        <w:t>美元</w:t>
      </w:r>
      <w:r w:rsidR="00473E67" w:rsidRPr="00473E67">
        <w:rPr>
          <w:rFonts w:ascii="SimSun" w:hAnsi="SimSun" w:cs="SimSun" w:hint="eastAsia"/>
          <w:b/>
          <w:bCs/>
          <w:sz w:val="18"/>
          <w:szCs w:val="18"/>
        </w:rPr>
        <w:t>）。</w:t>
      </w:r>
      <w:r w:rsidR="00473E67">
        <w:rPr>
          <w:rFonts w:ascii="SimSun" w:hAnsi="SimSun" w:cs="SimSun" w:hint="eastAsia"/>
          <w:b/>
          <w:bCs/>
          <w:sz w:val="18"/>
          <w:szCs w:val="18"/>
        </w:rPr>
        <w:t>这些增加的支出</w:t>
      </w:r>
      <w:r w:rsidR="00473E67" w:rsidRPr="00473E67">
        <w:rPr>
          <w:rFonts w:ascii="SimSun" w:hAnsi="SimSun" w:cs="SimSun" w:hint="eastAsia"/>
          <w:b/>
          <w:bCs/>
          <w:sz w:val="18"/>
          <w:szCs w:val="18"/>
        </w:rPr>
        <w:t>尚未</w:t>
      </w:r>
      <w:r w:rsidR="00473E67">
        <w:rPr>
          <w:rFonts w:ascii="SimSun" w:hAnsi="SimSun" w:cs="SimSun" w:hint="eastAsia"/>
          <w:b/>
          <w:bCs/>
          <w:sz w:val="18"/>
          <w:szCs w:val="18"/>
        </w:rPr>
        <w:t>经过审计，此处将其列入仅供参考</w:t>
      </w:r>
      <w:r w:rsidR="00473E67" w:rsidRPr="00473E67">
        <w:rPr>
          <w:rFonts w:ascii="SimSun" w:hAnsi="SimSun" w:cs="SimSun" w:hint="eastAsia"/>
          <w:b/>
          <w:bCs/>
          <w:sz w:val="18"/>
          <w:szCs w:val="18"/>
        </w:rPr>
        <w:t>。</w:t>
      </w:r>
      <w:r w:rsidR="00E408FC" w:rsidRPr="00E408FC">
        <w:rPr>
          <w:rFonts w:ascii="SimSun" w:hAnsi="SimSun" w:cs="SimSun"/>
          <w:b/>
          <w:bCs/>
          <w:sz w:val="18"/>
          <w:szCs w:val="18"/>
        </w:rPr>
        <w:t>2019年6月30日</w:t>
      </w:r>
      <w:r w:rsidR="00E408FC">
        <w:rPr>
          <w:rFonts w:ascii="SimSun" w:hAnsi="SimSun" w:cs="SimSun" w:hint="eastAsia"/>
          <w:b/>
          <w:bCs/>
          <w:sz w:val="18"/>
          <w:szCs w:val="18"/>
        </w:rPr>
        <w:t>经过</w:t>
      </w:r>
      <w:r w:rsidR="00473E67" w:rsidRPr="00473E67">
        <w:rPr>
          <w:rFonts w:ascii="SimSun" w:hAnsi="SimSun" w:cs="SimSun" w:hint="eastAsia"/>
          <w:b/>
          <w:bCs/>
          <w:sz w:val="18"/>
          <w:szCs w:val="18"/>
        </w:rPr>
        <w:t>审计的</w:t>
      </w:r>
      <w:r w:rsidR="00E408FC">
        <w:rPr>
          <w:rFonts w:ascii="SimSun" w:hAnsi="SimSun" w:cs="SimSun" w:hint="eastAsia"/>
          <w:b/>
          <w:bCs/>
          <w:sz w:val="18"/>
          <w:szCs w:val="18"/>
        </w:rPr>
        <w:t>资金余额为</w:t>
      </w:r>
      <w:r w:rsidR="00E408FC" w:rsidRPr="00140D39">
        <w:rPr>
          <w:rFonts w:eastAsia="Times New Roman" w:cs="Times New Roman"/>
          <w:b/>
          <w:sz w:val="18"/>
          <w:szCs w:val="18"/>
          <w:lang w:val="en-CA" w:eastAsia="en-US"/>
        </w:rPr>
        <w:t>14,752,436</w:t>
      </w:r>
      <w:r w:rsidR="00E408FC">
        <w:rPr>
          <w:rFonts w:ascii="SimSun" w:hAnsi="SimSun" w:cs="SimSun" w:hint="eastAsia"/>
          <w:b/>
          <w:sz w:val="18"/>
          <w:szCs w:val="18"/>
          <w:lang w:val="en-CA"/>
        </w:rPr>
        <w:t>美元</w:t>
      </w:r>
      <w:r w:rsidR="00473E67" w:rsidRPr="00473E67">
        <w:rPr>
          <w:rFonts w:ascii="SimSun" w:hAnsi="SimSun" w:cs="SimSun" w:hint="eastAsia"/>
          <w:b/>
          <w:bCs/>
          <w:sz w:val="18"/>
          <w:szCs w:val="18"/>
        </w:rPr>
        <w:t>。</w:t>
      </w:r>
    </w:p>
    <w:p w14:paraId="5A083A6F" w14:textId="077AC9FC" w:rsidR="00F22FE4" w:rsidRPr="00765ECA" w:rsidRDefault="00765ECA" w:rsidP="009369F2">
      <w:pPr>
        <w:numPr>
          <w:ilvl w:val="0"/>
          <w:numId w:val="20"/>
        </w:numPr>
        <w:spacing w:line="259" w:lineRule="auto"/>
        <w:ind w:left="0" w:firstLine="0"/>
        <w:jc w:val="both"/>
        <w:rPr>
          <w:lang w:val="en-GB"/>
        </w:rPr>
      </w:pPr>
      <w:r w:rsidRPr="00765ECA">
        <w:rPr>
          <w:rFonts w:hint="eastAsia"/>
          <w:b/>
          <w:bCs/>
        </w:rPr>
        <w:t>对</w:t>
      </w:r>
      <w:r w:rsidRPr="00765ECA">
        <w:rPr>
          <w:b/>
          <w:bCs/>
        </w:rPr>
        <w:t>截至</w:t>
      </w:r>
      <w:r w:rsidRPr="00765ECA">
        <w:rPr>
          <w:b/>
          <w:bCs/>
        </w:rPr>
        <w:t>2019</w:t>
      </w:r>
      <w:r w:rsidRPr="00765ECA">
        <w:rPr>
          <w:b/>
          <w:bCs/>
        </w:rPr>
        <w:t>年</w:t>
      </w:r>
      <w:r w:rsidRPr="00765ECA">
        <w:rPr>
          <w:b/>
          <w:bCs/>
        </w:rPr>
        <w:t>6</w:t>
      </w:r>
      <w:r w:rsidRPr="00765ECA">
        <w:rPr>
          <w:b/>
          <w:bCs/>
        </w:rPr>
        <w:t>月</w:t>
      </w:r>
      <w:r w:rsidRPr="00765ECA">
        <w:rPr>
          <w:b/>
          <w:bCs/>
        </w:rPr>
        <w:t>30</w:t>
      </w:r>
      <w:r w:rsidRPr="00765ECA">
        <w:rPr>
          <w:b/>
          <w:bCs/>
        </w:rPr>
        <w:t>日</w:t>
      </w:r>
      <w:r w:rsidR="006F2934" w:rsidRPr="006F2934">
        <w:rPr>
          <w:rFonts w:hint="eastAsia"/>
        </w:rPr>
        <w:t>所</w:t>
      </w:r>
      <w:r w:rsidR="001800A0">
        <w:rPr>
          <w:rFonts w:hint="eastAsia"/>
        </w:rPr>
        <w:t>发放资金</w:t>
      </w:r>
      <w:r w:rsidRPr="00765ECA">
        <w:rPr>
          <w:rFonts w:hint="eastAsia"/>
        </w:rPr>
        <w:t>的</w:t>
      </w:r>
      <w:r w:rsidRPr="00765ECA">
        <w:t>财务审计是由大新会计师事务所按照国家准则进行。审计意见认为</w:t>
      </w:r>
      <w:r w:rsidRPr="00765ECA">
        <w:rPr>
          <w:b/>
          <w:bCs/>
        </w:rPr>
        <w:t>，氟氯化碳生产、哈龙、四氯化碳加工剂、聚氨酯泡沫塑料、溶剂和制冷维修行业计划的项目赠款和</w:t>
      </w:r>
      <w:r w:rsidR="001800A0">
        <w:rPr>
          <w:b/>
          <w:bCs/>
        </w:rPr>
        <w:t>发放资金</w:t>
      </w:r>
      <w:r w:rsidRPr="00765ECA">
        <w:rPr>
          <w:b/>
          <w:bCs/>
        </w:rPr>
        <w:t>报表均符合《蒙特利尔议定书》的规定和中国的会计准则，是由中国生态环境部</w:t>
      </w:r>
      <w:r w:rsidR="00FF1D1E">
        <w:rPr>
          <w:rFonts w:hint="eastAsia"/>
          <w:b/>
          <w:bCs/>
        </w:rPr>
        <w:t>对外合作与交流</w:t>
      </w:r>
      <w:r w:rsidR="00FF1D1E" w:rsidRPr="00FF1D1E">
        <w:rPr>
          <w:b/>
          <w:bCs/>
        </w:rPr>
        <w:t>中心</w:t>
      </w:r>
      <w:r w:rsidR="00E54F2A">
        <w:rPr>
          <w:rFonts w:hint="eastAsia"/>
          <w:b/>
          <w:bCs/>
        </w:rPr>
        <w:t>（</w:t>
      </w:r>
      <w:r w:rsidR="00E54F2A">
        <w:rPr>
          <w:rFonts w:hint="eastAsia"/>
          <w:b/>
          <w:bCs/>
        </w:rPr>
        <w:t>FECO</w:t>
      </w:r>
      <w:r w:rsidR="00E54F2A">
        <w:rPr>
          <w:rFonts w:hint="eastAsia"/>
          <w:b/>
          <w:bCs/>
        </w:rPr>
        <w:t>）</w:t>
      </w:r>
      <w:r w:rsidRPr="00765ECA">
        <w:rPr>
          <w:b/>
          <w:bCs/>
        </w:rPr>
        <w:t>公平和公正地提出。</w:t>
      </w:r>
    </w:p>
    <w:p w14:paraId="1BCB70F3" w14:textId="724E2CAD" w:rsidR="00765ECA" w:rsidRPr="00765ECA" w:rsidRDefault="00765ECA" w:rsidP="009369F2">
      <w:pPr>
        <w:numPr>
          <w:ilvl w:val="0"/>
          <w:numId w:val="20"/>
        </w:numPr>
        <w:spacing w:line="259" w:lineRule="auto"/>
        <w:ind w:left="0" w:firstLine="0"/>
        <w:jc w:val="both"/>
        <w:rPr>
          <w:lang w:val="en-GB"/>
        </w:rPr>
      </w:pPr>
      <w:r w:rsidRPr="00765ECA">
        <w:t>下文概述了</w:t>
      </w:r>
      <w:r w:rsidRPr="00765ECA">
        <w:t>2018</w:t>
      </w:r>
      <w:r w:rsidRPr="00765ECA">
        <w:t>年</w:t>
      </w:r>
      <w:r w:rsidRPr="00765ECA">
        <w:t>7</w:t>
      </w:r>
      <w:r w:rsidRPr="00765ECA">
        <w:t>月</w:t>
      </w:r>
      <w:r w:rsidRPr="00765ECA">
        <w:t>1</w:t>
      </w:r>
      <w:r w:rsidRPr="00765ECA">
        <w:t>日以来</w:t>
      </w:r>
      <w:r w:rsidRPr="00765ECA">
        <w:rPr>
          <w:rFonts w:hint="eastAsia"/>
        </w:rPr>
        <w:t>在</w:t>
      </w:r>
      <w:r w:rsidRPr="00765ECA">
        <w:t>每个行业计划中开展的活动。</w:t>
      </w:r>
    </w:p>
    <w:p w14:paraId="3C14D6B1" w14:textId="08715606" w:rsidR="00765ECA" w:rsidRPr="00765ECA" w:rsidRDefault="00765ECA" w:rsidP="00765ECA">
      <w:pPr>
        <w:spacing w:line="259" w:lineRule="auto"/>
        <w:jc w:val="both"/>
        <w:rPr>
          <w:u w:val="single"/>
        </w:rPr>
      </w:pPr>
      <w:r w:rsidRPr="00765ECA">
        <w:rPr>
          <w:u w:val="single"/>
        </w:rPr>
        <w:t>氟氯化碳生产行业</w:t>
      </w:r>
    </w:p>
    <w:p w14:paraId="6057E68B" w14:textId="2C83B53A" w:rsidR="00765ECA" w:rsidRPr="00765ECA" w:rsidRDefault="00765ECA" w:rsidP="00765ECA">
      <w:pPr>
        <w:numPr>
          <w:ilvl w:val="0"/>
          <w:numId w:val="20"/>
        </w:numPr>
        <w:spacing w:line="259" w:lineRule="auto"/>
        <w:ind w:left="0" w:firstLine="0"/>
        <w:jc w:val="both"/>
      </w:pPr>
      <w:r w:rsidRPr="00765ECA">
        <w:t>自</w:t>
      </w:r>
      <w:r w:rsidRPr="00765ECA">
        <w:t>2015</w:t>
      </w:r>
      <w:r w:rsidRPr="00765ECA">
        <w:t>年以来，氟氯化碳生产</w:t>
      </w:r>
      <w:r>
        <w:rPr>
          <w:rFonts w:hint="eastAsia"/>
        </w:rPr>
        <w:t>行业</w:t>
      </w:r>
      <w:r w:rsidRPr="00765ECA">
        <w:t>计划中仅有的剩余活动是</w:t>
      </w:r>
      <w:r w:rsidR="00C4138F">
        <w:rPr>
          <w:rFonts w:hint="eastAsia"/>
        </w:rPr>
        <w:t>消耗臭氧层物质（</w:t>
      </w:r>
      <w:r>
        <w:rPr>
          <w:rFonts w:hint="eastAsia"/>
        </w:rPr>
        <w:t>ODS</w:t>
      </w:r>
      <w:r w:rsidR="00C4138F">
        <w:rPr>
          <w:rFonts w:hint="eastAsia"/>
        </w:rPr>
        <w:t>）</w:t>
      </w:r>
      <w:r w:rsidRPr="00765ECA">
        <w:t>替代品的研发以及监督和管理。</w:t>
      </w:r>
      <w:r w:rsidRPr="009700D4">
        <w:rPr>
          <w:rFonts w:hint="eastAsia"/>
          <w:b/>
          <w:bCs/>
        </w:rPr>
        <w:t>2018</w:t>
      </w:r>
      <w:r w:rsidRPr="009700D4">
        <w:rPr>
          <w:rFonts w:hint="eastAsia"/>
          <w:b/>
          <w:bCs/>
        </w:rPr>
        <w:t>年</w:t>
      </w:r>
      <w:r w:rsidRPr="009700D4">
        <w:rPr>
          <w:rFonts w:hint="eastAsia"/>
          <w:b/>
          <w:bCs/>
        </w:rPr>
        <w:t>7</w:t>
      </w:r>
      <w:r w:rsidRPr="009700D4">
        <w:rPr>
          <w:rFonts w:hint="eastAsia"/>
          <w:b/>
          <w:bCs/>
        </w:rPr>
        <w:t>月</w:t>
      </w:r>
      <w:r w:rsidRPr="009700D4">
        <w:rPr>
          <w:rFonts w:hint="eastAsia"/>
          <w:b/>
          <w:bCs/>
        </w:rPr>
        <w:t>1</w:t>
      </w:r>
      <w:r w:rsidRPr="009700D4">
        <w:rPr>
          <w:rFonts w:hint="eastAsia"/>
          <w:b/>
          <w:bCs/>
        </w:rPr>
        <w:t>日至</w:t>
      </w:r>
      <w:r w:rsidRPr="009700D4">
        <w:rPr>
          <w:rFonts w:hint="eastAsia"/>
          <w:b/>
          <w:bCs/>
        </w:rPr>
        <w:t>2019</w:t>
      </w:r>
      <w:r w:rsidRPr="009700D4">
        <w:rPr>
          <w:rFonts w:hint="eastAsia"/>
          <w:b/>
          <w:bCs/>
        </w:rPr>
        <w:t>年</w:t>
      </w:r>
      <w:r w:rsidRPr="009700D4">
        <w:rPr>
          <w:rFonts w:hint="eastAsia"/>
          <w:b/>
          <w:bCs/>
        </w:rPr>
        <w:t>6</w:t>
      </w:r>
      <w:r w:rsidRPr="009700D4">
        <w:rPr>
          <w:rFonts w:hint="eastAsia"/>
          <w:b/>
          <w:bCs/>
        </w:rPr>
        <w:t>月</w:t>
      </w:r>
      <w:r w:rsidRPr="009700D4">
        <w:rPr>
          <w:rFonts w:hint="eastAsia"/>
          <w:b/>
          <w:bCs/>
        </w:rPr>
        <w:t>30</w:t>
      </w:r>
      <w:r w:rsidRPr="009700D4">
        <w:rPr>
          <w:rFonts w:hint="eastAsia"/>
          <w:b/>
          <w:bCs/>
        </w:rPr>
        <w:t>日</w:t>
      </w:r>
      <w:r w:rsidR="009700D4">
        <w:rPr>
          <w:rFonts w:hint="eastAsia"/>
          <w:b/>
          <w:bCs/>
        </w:rPr>
        <w:t>期间</w:t>
      </w:r>
      <w:r w:rsidRPr="00765ECA">
        <w:t>共</w:t>
      </w:r>
      <w:r w:rsidR="001800A0">
        <w:rPr>
          <w:rFonts w:hint="eastAsia"/>
        </w:rPr>
        <w:t>发放</w:t>
      </w:r>
      <w:r w:rsidR="009700D4">
        <w:rPr>
          <w:rFonts w:hint="eastAsia"/>
        </w:rPr>
        <w:t>了</w:t>
      </w:r>
      <w:r w:rsidR="009700D4" w:rsidRPr="009700D4">
        <w:rPr>
          <w:b/>
          <w:bCs/>
          <w:lang w:val="en-CA"/>
        </w:rPr>
        <w:t>795,620</w:t>
      </w:r>
      <w:r w:rsidR="00DB4B33">
        <w:rPr>
          <w:b/>
          <w:bCs/>
          <w:lang w:val="en-CA"/>
        </w:rPr>
        <w:t> </w:t>
      </w:r>
      <w:r w:rsidR="009700D4">
        <w:rPr>
          <w:rFonts w:hint="eastAsia"/>
          <w:b/>
          <w:bCs/>
          <w:lang w:val="en-CA"/>
        </w:rPr>
        <w:t>美元。</w:t>
      </w:r>
      <w:r w:rsidRPr="00765ECA">
        <w:t>剩余资金</w:t>
      </w:r>
      <w:r w:rsidR="009700D4" w:rsidRPr="009700D4">
        <w:rPr>
          <w:b/>
          <w:bCs/>
          <w:lang w:val="en-CA"/>
        </w:rPr>
        <w:t>179,878</w:t>
      </w:r>
      <w:r w:rsidR="009700D4">
        <w:rPr>
          <w:rFonts w:hint="eastAsia"/>
          <w:b/>
          <w:bCs/>
          <w:lang w:val="en-CA"/>
        </w:rPr>
        <w:t>美元</w:t>
      </w:r>
      <w:r w:rsidRPr="00765ECA">
        <w:t>预计将在</w:t>
      </w:r>
      <w:r w:rsidRPr="00765ECA">
        <w:t>20</w:t>
      </w:r>
      <w:r w:rsidR="009700D4">
        <w:rPr>
          <w:rFonts w:hint="eastAsia"/>
        </w:rPr>
        <w:t>19</w:t>
      </w:r>
      <w:r w:rsidRPr="00765ECA">
        <w:t>年底</w:t>
      </w:r>
      <w:r w:rsidR="009700D4">
        <w:rPr>
          <w:rFonts w:hint="eastAsia"/>
        </w:rPr>
        <w:t>之前</w:t>
      </w:r>
      <w:r w:rsidR="001800A0">
        <w:rPr>
          <w:rFonts w:hint="eastAsia"/>
        </w:rPr>
        <w:t>发放</w:t>
      </w:r>
      <w:r w:rsidRPr="00765ECA">
        <w:t>。</w:t>
      </w:r>
      <w:r w:rsidRPr="00765ECA">
        <w:t>                </w:t>
      </w:r>
      <w:r w:rsidRPr="00765ECA">
        <w:rPr>
          <w:b/>
          <w:bCs/>
        </w:rPr>
        <w:t>      </w:t>
      </w:r>
      <w:r w:rsidRPr="00765ECA">
        <w:t> </w:t>
      </w:r>
    </w:p>
    <w:p w14:paraId="27345045" w14:textId="6BEFF8D5" w:rsidR="00765ECA" w:rsidRPr="00765ECA" w:rsidRDefault="009700D4" w:rsidP="00765ECA">
      <w:pPr>
        <w:numPr>
          <w:ilvl w:val="0"/>
          <w:numId w:val="20"/>
        </w:numPr>
        <w:spacing w:line="259" w:lineRule="auto"/>
        <w:ind w:left="0" w:firstLine="0"/>
        <w:jc w:val="both"/>
      </w:pPr>
      <w:r>
        <w:rPr>
          <w:rFonts w:hint="eastAsia"/>
        </w:rPr>
        <w:t>已经为</w:t>
      </w:r>
      <w:r>
        <w:rPr>
          <w:rFonts w:hint="eastAsia"/>
        </w:rPr>
        <w:t>ODS</w:t>
      </w:r>
      <w:r w:rsidR="00765ECA" w:rsidRPr="00765ECA">
        <w:t>替代品的研发选择了</w:t>
      </w:r>
      <w:r>
        <w:rPr>
          <w:rFonts w:hint="eastAsia"/>
        </w:rPr>
        <w:t>13</w:t>
      </w:r>
      <w:r w:rsidR="00765ECA" w:rsidRPr="00765ECA">
        <w:t>项</w:t>
      </w:r>
      <w:r>
        <w:rPr>
          <w:rFonts w:hint="eastAsia"/>
        </w:rPr>
        <w:t>提案</w:t>
      </w:r>
      <w:r w:rsidR="00765ECA" w:rsidRPr="00765ECA">
        <w:t>，</w:t>
      </w:r>
      <w:r w:rsidR="00765ECA" w:rsidRPr="00765ECA">
        <w:rPr>
          <w:b/>
          <w:bCs/>
        </w:rPr>
        <w:t>所有</w:t>
      </w:r>
      <w:r>
        <w:rPr>
          <w:rFonts w:hint="eastAsia"/>
        </w:rPr>
        <w:t>提案</w:t>
      </w:r>
      <w:r w:rsidR="00765ECA" w:rsidRPr="00765ECA">
        <w:t>均已完成</w:t>
      </w:r>
      <w:r w:rsidR="00765ECA" w:rsidRPr="00765ECA">
        <w:rPr>
          <w:b/>
          <w:bCs/>
        </w:rPr>
        <w:t>并通过了项目验收。第八</w:t>
      </w:r>
      <w:r w:rsidRPr="009700D4">
        <w:rPr>
          <w:rFonts w:hint="eastAsia"/>
          <w:b/>
          <w:bCs/>
        </w:rPr>
        <w:t>十二次</w:t>
      </w:r>
      <w:r w:rsidR="00765ECA" w:rsidRPr="00765ECA">
        <w:rPr>
          <w:b/>
          <w:bCs/>
        </w:rPr>
        <w:t>会议以来</w:t>
      </w:r>
      <w:r w:rsidR="001800A0">
        <w:rPr>
          <w:b/>
          <w:bCs/>
        </w:rPr>
        <w:t>发放</w:t>
      </w:r>
      <w:r>
        <w:rPr>
          <w:rFonts w:hint="eastAsia"/>
          <w:b/>
          <w:bCs/>
        </w:rPr>
        <w:t>了</w:t>
      </w:r>
      <w:r w:rsidR="00765ECA" w:rsidRPr="00765ECA">
        <w:rPr>
          <w:b/>
          <w:bCs/>
        </w:rPr>
        <w:t>697,952</w:t>
      </w:r>
      <w:r w:rsidR="00765ECA" w:rsidRPr="00765ECA">
        <w:rPr>
          <w:b/>
          <w:bCs/>
        </w:rPr>
        <w:t>美元。由于签订合同和</w:t>
      </w:r>
      <w:r w:rsidR="001800A0">
        <w:rPr>
          <w:b/>
          <w:bCs/>
        </w:rPr>
        <w:t>发放资金</w:t>
      </w:r>
      <w:r w:rsidR="00765ECA" w:rsidRPr="00765ECA">
        <w:rPr>
          <w:b/>
          <w:bCs/>
        </w:rPr>
        <w:t>之间的币值波动，</w:t>
      </w:r>
      <w:r>
        <w:rPr>
          <w:rFonts w:hint="eastAsia"/>
          <w:b/>
          <w:bCs/>
        </w:rPr>
        <w:t>尚有</w:t>
      </w:r>
      <w:r w:rsidRPr="00765ECA">
        <w:rPr>
          <w:b/>
          <w:bCs/>
        </w:rPr>
        <w:t>未</w:t>
      </w:r>
      <w:r>
        <w:rPr>
          <w:rFonts w:hint="eastAsia"/>
          <w:b/>
          <w:bCs/>
        </w:rPr>
        <w:t>分配</w:t>
      </w:r>
      <w:r w:rsidRPr="00765ECA">
        <w:rPr>
          <w:b/>
          <w:bCs/>
        </w:rPr>
        <w:t>余额</w:t>
      </w:r>
      <w:r w:rsidRPr="00765ECA">
        <w:rPr>
          <w:b/>
          <w:bCs/>
        </w:rPr>
        <w:t>4,4,135 </w:t>
      </w:r>
      <w:r w:rsidRPr="00765ECA">
        <w:rPr>
          <w:b/>
          <w:bCs/>
        </w:rPr>
        <w:t>美元</w:t>
      </w:r>
      <w:r>
        <w:rPr>
          <w:rFonts w:hint="eastAsia"/>
          <w:b/>
          <w:bCs/>
        </w:rPr>
        <w:t>，</w:t>
      </w:r>
      <w:r w:rsidR="00765ECA" w:rsidRPr="00765ECA">
        <w:rPr>
          <w:b/>
          <w:bCs/>
        </w:rPr>
        <w:t>中国政府</w:t>
      </w:r>
      <w:r>
        <w:rPr>
          <w:rFonts w:hint="eastAsia"/>
          <w:b/>
          <w:bCs/>
        </w:rPr>
        <w:t>提议将其用于为地方</w:t>
      </w:r>
      <w:r w:rsidR="00FF1D1E">
        <w:rPr>
          <w:rFonts w:hint="eastAsia"/>
          <w:b/>
          <w:bCs/>
        </w:rPr>
        <w:t>生态环境局</w:t>
      </w:r>
      <w:r>
        <w:rPr>
          <w:rFonts w:hint="eastAsia"/>
          <w:b/>
          <w:bCs/>
        </w:rPr>
        <w:t>购置</w:t>
      </w:r>
      <w:r w:rsidR="00765ECA" w:rsidRPr="00765ECA">
        <w:rPr>
          <w:b/>
          <w:bCs/>
        </w:rPr>
        <w:t>ODS</w:t>
      </w:r>
      <w:r w:rsidR="00765ECA" w:rsidRPr="00765ECA">
        <w:rPr>
          <w:b/>
          <w:bCs/>
        </w:rPr>
        <w:t>监测</w:t>
      </w:r>
      <w:r>
        <w:rPr>
          <w:rFonts w:hint="eastAsia"/>
          <w:b/>
          <w:bCs/>
        </w:rPr>
        <w:t>仪器，以</w:t>
      </w:r>
      <w:r w:rsidR="00765ECA" w:rsidRPr="00765ECA">
        <w:rPr>
          <w:b/>
          <w:bCs/>
        </w:rPr>
        <w:t>建设其能力</w:t>
      </w:r>
      <w:r>
        <w:rPr>
          <w:rFonts w:hint="eastAsia"/>
          <w:b/>
          <w:bCs/>
        </w:rPr>
        <w:t>和</w:t>
      </w:r>
      <w:r w:rsidR="00765ECA" w:rsidRPr="00765ECA">
        <w:rPr>
          <w:b/>
          <w:bCs/>
        </w:rPr>
        <w:t>实现可持续的氟氯化碳淘汰</w:t>
      </w:r>
      <w:r>
        <w:rPr>
          <w:rFonts w:hint="eastAsia"/>
          <w:b/>
          <w:bCs/>
        </w:rPr>
        <w:t>履约</w:t>
      </w:r>
      <w:r w:rsidR="00765ECA" w:rsidRPr="00765ECA">
        <w:t>。</w:t>
      </w:r>
      <w:r w:rsidR="00765ECA" w:rsidRPr="00765ECA">
        <w:t>                </w:t>
      </w:r>
      <w:r w:rsidR="00765ECA" w:rsidRPr="00765ECA">
        <w:rPr>
          <w:b/>
          <w:bCs/>
        </w:rPr>
        <w:t>  </w:t>
      </w:r>
    </w:p>
    <w:p w14:paraId="4472BC0C" w14:textId="38544D6B" w:rsidR="00140D39" w:rsidRPr="001E78A8" w:rsidRDefault="00765ECA" w:rsidP="00765ECA">
      <w:pPr>
        <w:numPr>
          <w:ilvl w:val="0"/>
          <w:numId w:val="20"/>
        </w:numPr>
        <w:spacing w:line="259" w:lineRule="auto"/>
        <w:ind w:left="0" w:firstLine="0"/>
        <w:jc w:val="both"/>
        <w:rPr>
          <w:lang w:val="en-GB"/>
        </w:rPr>
      </w:pPr>
      <w:r w:rsidRPr="00765ECA">
        <w:t>总共为监督和管理拨款</w:t>
      </w:r>
      <w:r w:rsidR="00FF1D1E" w:rsidRPr="00FF1D1E">
        <w:rPr>
          <w:lang w:val="en-CA"/>
        </w:rPr>
        <w:t>233,411</w:t>
      </w:r>
      <w:r w:rsidRPr="00765ECA">
        <w:t>美元。</w:t>
      </w:r>
      <w:r w:rsidR="00E54F2A">
        <w:rPr>
          <w:b/>
          <w:bCs/>
        </w:rPr>
        <w:t>FECO</w:t>
      </w:r>
      <w:r w:rsidR="001800A0">
        <w:t>发放</w:t>
      </w:r>
      <w:r w:rsidRPr="00765ECA">
        <w:t>了</w:t>
      </w:r>
      <w:r w:rsidRPr="00765ECA">
        <w:t>97,668</w:t>
      </w:r>
      <w:r w:rsidRPr="00765ECA">
        <w:t>美元，用于</w:t>
      </w:r>
      <w:r w:rsidR="00CC0D0B">
        <w:rPr>
          <w:rFonts w:hint="eastAsia"/>
        </w:rPr>
        <w:t>：</w:t>
      </w:r>
      <w:r w:rsidRPr="00765ECA">
        <w:t>制作</w:t>
      </w:r>
      <w:r w:rsidR="00FF1D1E">
        <w:rPr>
          <w:rFonts w:hint="eastAsia"/>
        </w:rPr>
        <w:t>ODS</w:t>
      </w:r>
      <w:r w:rsidRPr="00765ECA">
        <w:t>进出口管理视频培训材料</w:t>
      </w:r>
      <w:r w:rsidRPr="00765ECA">
        <w:rPr>
          <w:b/>
          <w:bCs/>
        </w:rPr>
        <w:t>（</w:t>
      </w:r>
      <w:r w:rsidRPr="00765ECA">
        <w:rPr>
          <w:b/>
          <w:bCs/>
        </w:rPr>
        <w:t>32,073</w:t>
      </w:r>
      <w:r w:rsidRPr="00765ECA">
        <w:rPr>
          <w:b/>
          <w:bCs/>
        </w:rPr>
        <w:t>美元，合同</w:t>
      </w:r>
      <w:r w:rsidR="00FF1D1E">
        <w:rPr>
          <w:rFonts w:hint="eastAsia"/>
          <w:b/>
          <w:bCs/>
        </w:rPr>
        <w:t>剩余</w:t>
      </w:r>
      <w:r w:rsidRPr="00765ECA">
        <w:rPr>
          <w:b/>
          <w:bCs/>
        </w:rPr>
        <w:t>金额为</w:t>
      </w:r>
      <w:r w:rsidRPr="00765ECA">
        <w:rPr>
          <w:b/>
          <w:bCs/>
        </w:rPr>
        <w:t>80,080</w:t>
      </w:r>
      <w:r w:rsidRPr="00765ECA">
        <w:rPr>
          <w:b/>
          <w:bCs/>
        </w:rPr>
        <w:t>美元）</w:t>
      </w:r>
      <w:r w:rsidR="00CC0D0B">
        <w:rPr>
          <w:rFonts w:hint="eastAsia"/>
        </w:rPr>
        <w:t>；</w:t>
      </w:r>
      <w:r w:rsidRPr="00765ECA">
        <w:rPr>
          <w:b/>
          <w:bCs/>
        </w:rPr>
        <w:t>2019</w:t>
      </w:r>
      <w:r w:rsidRPr="00765ECA">
        <w:rPr>
          <w:b/>
          <w:bCs/>
        </w:rPr>
        <w:t>年</w:t>
      </w:r>
      <w:r w:rsidRPr="00765ECA">
        <w:rPr>
          <w:b/>
          <w:bCs/>
        </w:rPr>
        <w:t>1</w:t>
      </w:r>
      <w:r w:rsidRPr="00765ECA">
        <w:rPr>
          <w:b/>
          <w:bCs/>
        </w:rPr>
        <w:t>月</w:t>
      </w:r>
      <w:r w:rsidRPr="00765ECA">
        <w:rPr>
          <w:b/>
          <w:bCs/>
        </w:rPr>
        <w:t>21</w:t>
      </w:r>
      <w:r w:rsidR="00DB4B33">
        <w:rPr>
          <w:b/>
          <w:bCs/>
        </w:rPr>
        <w:t xml:space="preserve">  </w:t>
      </w:r>
      <w:r w:rsidR="00FF1D1E">
        <w:rPr>
          <w:b/>
          <w:bCs/>
        </w:rPr>
        <w:t xml:space="preserve">– </w:t>
      </w:r>
      <w:r w:rsidRPr="00765ECA">
        <w:rPr>
          <w:b/>
          <w:bCs/>
        </w:rPr>
        <w:t>23</w:t>
      </w:r>
      <w:r w:rsidRPr="00765ECA">
        <w:rPr>
          <w:b/>
          <w:bCs/>
        </w:rPr>
        <w:t>日在长沙举办一次培训班，来自</w:t>
      </w:r>
      <w:r w:rsidR="00FF1D1E">
        <w:rPr>
          <w:rFonts w:hint="eastAsia"/>
          <w:b/>
          <w:bCs/>
        </w:rPr>
        <w:t>所有省级生态环境局的</w:t>
      </w:r>
      <w:r w:rsidRPr="00765ECA">
        <w:rPr>
          <w:b/>
          <w:bCs/>
        </w:rPr>
        <w:t>140</w:t>
      </w:r>
      <w:r w:rsidR="00CC0D0B">
        <w:rPr>
          <w:rFonts w:hint="eastAsia"/>
          <w:b/>
          <w:bCs/>
        </w:rPr>
        <w:t>官员参加了培训班</w:t>
      </w:r>
      <w:r w:rsidRPr="00765ECA">
        <w:rPr>
          <w:b/>
          <w:bCs/>
        </w:rPr>
        <w:t>（</w:t>
      </w:r>
      <w:r w:rsidRPr="00765ECA">
        <w:rPr>
          <w:b/>
          <w:bCs/>
        </w:rPr>
        <w:t>22,801</w:t>
      </w:r>
      <w:r w:rsidRPr="00765ECA">
        <w:rPr>
          <w:b/>
          <w:bCs/>
        </w:rPr>
        <w:t>美元）；</w:t>
      </w:r>
      <w:r w:rsidR="00CC0D0B">
        <w:rPr>
          <w:rFonts w:hint="eastAsia"/>
          <w:b/>
          <w:bCs/>
        </w:rPr>
        <w:t>制作</w:t>
      </w:r>
      <w:r w:rsidR="00CC0D0B" w:rsidRPr="00765ECA">
        <w:rPr>
          <w:b/>
          <w:bCs/>
        </w:rPr>
        <w:t>关于行业</w:t>
      </w:r>
      <w:r w:rsidR="00CC0D0B">
        <w:rPr>
          <w:rFonts w:hint="eastAsia"/>
          <w:b/>
          <w:bCs/>
        </w:rPr>
        <w:t>履约</w:t>
      </w:r>
      <w:r w:rsidR="00CC0D0B" w:rsidRPr="00765ECA">
        <w:rPr>
          <w:b/>
          <w:bCs/>
        </w:rPr>
        <w:t>的视频</w:t>
      </w:r>
      <w:r w:rsidR="00CC0D0B">
        <w:rPr>
          <w:rFonts w:hint="eastAsia"/>
          <w:b/>
          <w:bCs/>
        </w:rPr>
        <w:t>，</w:t>
      </w:r>
      <w:r w:rsidRPr="00765ECA">
        <w:rPr>
          <w:b/>
          <w:bCs/>
        </w:rPr>
        <w:t>2018</w:t>
      </w:r>
      <w:r w:rsidRPr="00765ECA">
        <w:rPr>
          <w:b/>
          <w:bCs/>
        </w:rPr>
        <w:t>年臭氧日</w:t>
      </w:r>
      <w:r w:rsidR="00CC0D0B">
        <w:rPr>
          <w:rFonts w:hint="eastAsia"/>
          <w:b/>
          <w:bCs/>
        </w:rPr>
        <w:t>播放了视频</w:t>
      </w:r>
      <w:r w:rsidRPr="00765ECA">
        <w:rPr>
          <w:b/>
          <w:bCs/>
        </w:rPr>
        <w:t>（</w:t>
      </w:r>
      <w:r w:rsidRPr="00765ECA">
        <w:rPr>
          <w:b/>
          <w:bCs/>
        </w:rPr>
        <w:t>34,145</w:t>
      </w:r>
      <w:r w:rsidRPr="00765ECA">
        <w:rPr>
          <w:b/>
          <w:bCs/>
        </w:rPr>
        <w:t>美元）</w:t>
      </w:r>
      <w:r w:rsidRPr="00765ECA">
        <w:rPr>
          <w:b/>
          <w:bCs/>
        </w:rPr>
        <w:t>; 2018</w:t>
      </w:r>
      <w:r w:rsidRPr="00765ECA">
        <w:rPr>
          <w:b/>
          <w:bCs/>
        </w:rPr>
        <w:t>年</w:t>
      </w:r>
      <w:r w:rsidR="00CC0D0B">
        <w:rPr>
          <w:rFonts w:hint="eastAsia"/>
          <w:b/>
          <w:bCs/>
        </w:rPr>
        <w:t>对</w:t>
      </w:r>
      <w:r w:rsidRPr="00765ECA">
        <w:rPr>
          <w:b/>
          <w:bCs/>
        </w:rPr>
        <w:t>所有行业</w:t>
      </w:r>
      <w:r w:rsidR="00CC0D0B">
        <w:rPr>
          <w:rFonts w:hint="eastAsia"/>
          <w:b/>
          <w:bCs/>
        </w:rPr>
        <w:t>进行</w:t>
      </w:r>
      <w:r w:rsidRPr="00765ECA">
        <w:rPr>
          <w:b/>
          <w:bCs/>
        </w:rPr>
        <w:t>财务审计（</w:t>
      </w:r>
      <w:r w:rsidRPr="00765ECA">
        <w:rPr>
          <w:b/>
          <w:bCs/>
        </w:rPr>
        <w:t>8,649</w:t>
      </w:r>
      <w:r w:rsidRPr="00765ECA">
        <w:rPr>
          <w:b/>
          <w:bCs/>
        </w:rPr>
        <w:t>美元）</w:t>
      </w:r>
      <w:r w:rsidRPr="00765ECA">
        <w:t>。</w:t>
      </w:r>
      <w:r w:rsidRPr="00765ECA">
        <w:rPr>
          <w:b/>
          <w:bCs/>
        </w:rPr>
        <w:t>剩余的未分配</w:t>
      </w:r>
      <w:r w:rsidR="00CC0D0B" w:rsidRPr="00CC0D0B">
        <w:rPr>
          <w:rFonts w:hint="eastAsia"/>
        </w:rPr>
        <w:t>余额</w:t>
      </w:r>
      <w:r w:rsidR="00CC0D0B">
        <w:rPr>
          <w:rFonts w:hint="eastAsia"/>
          <w:b/>
          <w:bCs/>
        </w:rPr>
        <w:t>为</w:t>
      </w:r>
      <w:r w:rsidR="00CC0D0B" w:rsidRPr="00CC0D0B">
        <w:rPr>
          <w:b/>
          <w:bCs/>
          <w:lang w:val="en-CA"/>
        </w:rPr>
        <w:t>55,662</w:t>
      </w:r>
      <w:r w:rsidR="00CC0D0B">
        <w:rPr>
          <w:rFonts w:hint="eastAsia"/>
          <w:b/>
          <w:bCs/>
          <w:lang w:val="en-CA"/>
        </w:rPr>
        <w:t>美元，</w:t>
      </w:r>
      <w:r w:rsidR="00E54F2A">
        <w:t>FECO</w:t>
      </w:r>
      <w:r w:rsidRPr="00765ECA">
        <w:t>将</w:t>
      </w:r>
      <w:r w:rsidR="00CC0D0B">
        <w:rPr>
          <w:rFonts w:hint="eastAsia"/>
        </w:rPr>
        <w:t>把其用于</w:t>
      </w:r>
      <w:r w:rsidR="00CC0D0B" w:rsidRPr="00CC0D0B">
        <w:rPr>
          <w:rFonts w:hint="eastAsia"/>
        </w:rPr>
        <w:t>为地方</w:t>
      </w:r>
      <w:r w:rsidR="00CC0D0B" w:rsidRPr="00CC0D0B">
        <w:rPr>
          <w:rFonts w:hint="eastAsia"/>
          <w:b/>
          <w:bCs/>
        </w:rPr>
        <w:t>生态环境局</w:t>
      </w:r>
      <w:r w:rsidR="00CC0D0B" w:rsidRPr="00CC0D0B">
        <w:rPr>
          <w:rFonts w:hint="eastAsia"/>
        </w:rPr>
        <w:t>购置</w:t>
      </w:r>
      <w:r w:rsidR="00CC0D0B" w:rsidRPr="00CC0D0B">
        <w:t>ODS</w:t>
      </w:r>
      <w:r w:rsidR="00CC0D0B" w:rsidRPr="00CC0D0B">
        <w:t>监测</w:t>
      </w:r>
      <w:r w:rsidR="00CC0D0B" w:rsidRPr="00CC0D0B">
        <w:rPr>
          <w:rFonts w:hint="eastAsia"/>
        </w:rPr>
        <w:t>仪器，以</w:t>
      </w:r>
      <w:r w:rsidR="00CC0D0B" w:rsidRPr="00CC0D0B">
        <w:t>建设其能力</w:t>
      </w:r>
      <w:r w:rsidR="00CC0D0B" w:rsidRPr="00CC0D0B">
        <w:rPr>
          <w:rFonts w:hint="eastAsia"/>
        </w:rPr>
        <w:t>和</w:t>
      </w:r>
      <w:r w:rsidR="00CC0D0B" w:rsidRPr="00CC0D0B">
        <w:t>实现可持续的氟氯化碳淘汰</w:t>
      </w:r>
      <w:r w:rsidR="00CC0D0B" w:rsidRPr="00CC0D0B">
        <w:rPr>
          <w:rFonts w:hint="eastAsia"/>
        </w:rPr>
        <w:t>履约</w:t>
      </w:r>
      <w:r w:rsidRPr="00CC0D0B">
        <w:t>。</w:t>
      </w:r>
      <w:r w:rsidRPr="00765ECA">
        <w:rPr>
          <w:b/>
          <w:bCs/>
        </w:rPr>
        <w:t>氟氯化碳生产行业的未分配余额</w:t>
      </w:r>
      <w:r w:rsidR="00CC0D0B">
        <w:rPr>
          <w:rFonts w:hint="eastAsia"/>
          <w:b/>
          <w:bCs/>
        </w:rPr>
        <w:t>共计</w:t>
      </w:r>
      <w:r w:rsidRPr="00765ECA">
        <w:rPr>
          <w:b/>
          <w:bCs/>
        </w:rPr>
        <w:t>99,797</w:t>
      </w:r>
      <w:r w:rsidRPr="00765ECA">
        <w:rPr>
          <w:b/>
          <w:bCs/>
        </w:rPr>
        <w:t>美元，</w:t>
      </w:r>
      <w:r w:rsidR="00CC0D0B" w:rsidRPr="00765ECA">
        <w:rPr>
          <w:b/>
          <w:bCs/>
        </w:rPr>
        <w:t>计划</w:t>
      </w:r>
      <w:r w:rsidR="00CC0D0B">
        <w:rPr>
          <w:rFonts w:hint="eastAsia"/>
          <w:b/>
          <w:bCs/>
        </w:rPr>
        <w:t>将</w:t>
      </w:r>
      <w:r w:rsidR="001E78A8">
        <w:rPr>
          <w:rFonts w:hint="eastAsia"/>
          <w:b/>
          <w:bCs/>
        </w:rPr>
        <w:t>这个数额</w:t>
      </w:r>
      <w:r w:rsidR="00CC0D0B">
        <w:rPr>
          <w:rFonts w:hint="eastAsia"/>
          <w:b/>
          <w:bCs/>
        </w:rPr>
        <w:lastRenderedPageBreak/>
        <w:t>与</w:t>
      </w:r>
      <w:r w:rsidRPr="00765ECA">
        <w:rPr>
          <w:b/>
          <w:bCs/>
        </w:rPr>
        <w:t>其他行业的未分配资金</w:t>
      </w:r>
      <w:r w:rsidR="001E78A8">
        <w:rPr>
          <w:rFonts w:hint="eastAsia"/>
          <w:b/>
          <w:bCs/>
        </w:rPr>
        <w:t>放在</w:t>
      </w:r>
      <w:r w:rsidR="00CC0D0B">
        <w:rPr>
          <w:rFonts w:hint="eastAsia"/>
          <w:b/>
          <w:bCs/>
        </w:rPr>
        <w:t>一起</w:t>
      </w:r>
      <w:r w:rsidR="001E78A8">
        <w:rPr>
          <w:rFonts w:hint="eastAsia"/>
          <w:b/>
          <w:bCs/>
        </w:rPr>
        <w:t>，</w:t>
      </w:r>
      <w:r w:rsidR="00CC0D0B">
        <w:rPr>
          <w:rFonts w:hint="eastAsia"/>
          <w:b/>
          <w:bCs/>
        </w:rPr>
        <w:t>用于</w:t>
      </w:r>
      <w:r w:rsidR="001E78A8">
        <w:rPr>
          <w:rFonts w:hint="eastAsia"/>
          <w:b/>
          <w:bCs/>
        </w:rPr>
        <w:t>购置</w:t>
      </w:r>
      <w:r w:rsidRPr="00765ECA">
        <w:rPr>
          <w:b/>
          <w:bCs/>
        </w:rPr>
        <w:t>纯</w:t>
      </w:r>
      <w:r w:rsidRPr="00765ECA">
        <w:rPr>
          <w:b/>
          <w:bCs/>
        </w:rPr>
        <w:t>ODS</w:t>
      </w:r>
      <w:r w:rsidRPr="00765ECA">
        <w:rPr>
          <w:b/>
          <w:bCs/>
        </w:rPr>
        <w:t>和含</w:t>
      </w:r>
      <w:r w:rsidRPr="00765ECA">
        <w:rPr>
          <w:b/>
          <w:bCs/>
        </w:rPr>
        <w:t>ODS</w:t>
      </w:r>
      <w:r w:rsidRPr="00765ECA">
        <w:rPr>
          <w:b/>
          <w:bCs/>
        </w:rPr>
        <w:t>泡沫</w:t>
      </w:r>
      <w:r w:rsidR="001E78A8">
        <w:rPr>
          <w:rFonts w:hint="eastAsia"/>
          <w:b/>
          <w:bCs/>
        </w:rPr>
        <w:t>塑料</w:t>
      </w:r>
      <w:r w:rsidRPr="00765ECA">
        <w:rPr>
          <w:b/>
          <w:bCs/>
        </w:rPr>
        <w:t>产品</w:t>
      </w:r>
      <w:r w:rsidR="001E78A8">
        <w:rPr>
          <w:rFonts w:hint="eastAsia"/>
          <w:b/>
          <w:bCs/>
        </w:rPr>
        <w:t>检测仪</w:t>
      </w:r>
      <w:r w:rsidRPr="00765ECA">
        <w:rPr>
          <w:b/>
          <w:bCs/>
        </w:rPr>
        <w:t>。</w:t>
      </w:r>
      <w:r w:rsidR="001E78A8" w:rsidRPr="00765ECA">
        <w:rPr>
          <w:b/>
          <w:bCs/>
        </w:rPr>
        <w:t>已</w:t>
      </w:r>
      <w:r w:rsidRPr="00765ECA">
        <w:rPr>
          <w:b/>
          <w:bCs/>
        </w:rPr>
        <w:t>根据</w:t>
      </w:r>
      <w:r w:rsidR="001E78A8">
        <w:rPr>
          <w:rFonts w:hint="eastAsia"/>
          <w:b/>
          <w:bCs/>
        </w:rPr>
        <w:t>检测仪</w:t>
      </w:r>
      <w:r w:rsidRPr="00765ECA">
        <w:rPr>
          <w:b/>
          <w:bCs/>
        </w:rPr>
        <w:t>的</w:t>
      </w:r>
      <w:r w:rsidR="001E78A8">
        <w:rPr>
          <w:rFonts w:hint="eastAsia"/>
          <w:b/>
          <w:bCs/>
        </w:rPr>
        <w:t>购置</w:t>
      </w:r>
      <w:r w:rsidRPr="00765ECA">
        <w:rPr>
          <w:b/>
          <w:bCs/>
        </w:rPr>
        <w:t>周期签署了此项活动的合同，预计将于</w:t>
      </w:r>
      <w:r w:rsidRPr="00765ECA">
        <w:rPr>
          <w:b/>
          <w:bCs/>
        </w:rPr>
        <w:t>2019</w:t>
      </w:r>
      <w:r w:rsidRPr="00765ECA">
        <w:rPr>
          <w:b/>
          <w:bCs/>
        </w:rPr>
        <w:t>年底</w:t>
      </w:r>
      <w:r w:rsidR="001E78A8">
        <w:rPr>
          <w:rFonts w:hint="eastAsia"/>
          <w:b/>
          <w:bCs/>
        </w:rPr>
        <w:t>之前</w:t>
      </w:r>
      <w:r w:rsidRPr="00765ECA">
        <w:rPr>
          <w:b/>
          <w:bCs/>
        </w:rPr>
        <w:t>完成</w:t>
      </w:r>
      <w:r w:rsidR="001E78A8">
        <w:rPr>
          <w:rFonts w:hint="eastAsia"/>
          <w:b/>
          <w:bCs/>
        </w:rPr>
        <w:t>合同</w:t>
      </w:r>
      <w:r w:rsidRPr="00765ECA">
        <w:rPr>
          <w:b/>
          <w:bCs/>
        </w:rPr>
        <w:t>。</w:t>
      </w:r>
    </w:p>
    <w:p w14:paraId="7A315C82" w14:textId="43745D0A" w:rsidR="001E78A8" w:rsidRPr="001E78A8" w:rsidRDefault="001E78A8" w:rsidP="001E78A8">
      <w:pPr>
        <w:spacing w:line="259" w:lineRule="auto"/>
        <w:jc w:val="both"/>
        <w:rPr>
          <w:u w:val="single"/>
        </w:rPr>
      </w:pPr>
      <w:r w:rsidRPr="001E78A8">
        <w:rPr>
          <w:rFonts w:hint="eastAsia"/>
          <w:u w:val="single"/>
        </w:rPr>
        <w:t>哈龙行业</w:t>
      </w:r>
    </w:p>
    <w:p w14:paraId="0D5EE442" w14:textId="3824819E" w:rsidR="001E78A8" w:rsidRPr="001E78A8" w:rsidRDefault="007C1E65" w:rsidP="001E78A8">
      <w:pPr>
        <w:numPr>
          <w:ilvl w:val="0"/>
          <w:numId w:val="20"/>
        </w:numPr>
        <w:spacing w:line="259" w:lineRule="auto"/>
        <w:ind w:left="0" w:firstLine="0"/>
        <w:jc w:val="both"/>
      </w:pPr>
      <w:r w:rsidRPr="001E78A8">
        <w:rPr>
          <w:b/>
          <w:bCs/>
        </w:rPr>
        <w:t>2018</w:t>
      </w:r>
      <w:r w:rsidRPr="001E78A8">
        <w:rPr>
          <w:b/>
          <w:bCs/>
        </w:rPr>
        <w:t>年</w:t>
      </w:r>
      <w:r w:rsidRPr="001E78A8">
        <w:rPr>
          <w:b/>
          <w:bCs/>
        </w:rPr>
        <w:t>7</w:t>
      </w:r>
      <w:r w:rsidRPr="001E78A8">
        <w:rPr>
          <w:b/>
          <w:bCs/>
        </w:rPr>
        <w:t>月</w:t>
      </w:r>
      <w:r w:rsidRPr="001E78A8">
        <w:rPr>
          <w:b/>
          <w:bCs/>
        </w:rPr>
        <w:t>1</w:t>
      </w:r>
      <w:r w:rsidRPr="001E78A8">
        <w:rPr>
          <w:b/>
          <w:bCs/>
        </w:rPr>
        <w:t>日</w:t>
      </w:r>
      <w:r>
        <w:rPr>
          <w:rFonts w:hint="eastAsia"/>
          <w:b/>
          <w:bCs/>
        </w:rPr>
        <w:t>至</w:t>
      </w:r>
      <w:r w:rsidRPr="001E78A8">
        <w:rPr>
          <w:b/>
          <w:bCs/>
        </w:rPr>
        <w:t>2019</w:t>
      </w:r>
      <w:r w:rsidRPr="001E78A8">
        <w:rPr>
          <w:b/>
          <w:bCs/>
        </w:rPr>
        <w:t>年</w:t>
      </w:r>
      <w:r w:rsidRPr="001E78A8">
        <w:rPr>
          <w:b/>
          <w:bCs/>
        </w:rPr>
        <w:t>6</w:t>
      </w:r>
      <w:r w:rsidRPr="001E78A8">
        <w:rPr>
          <w:b/>
          <w:bCs/>
        </w:rPr>
        <w:t>月</w:t>
      </w:r>
      <w:r w:rsidRPr="001E78A8">
        <w:rPr>
          <w:b/>
          <w:bCs/>
        </w:rPr>
        <w:t>30 </w:t>
      </w:r>
      <w:r>
        <w:rPr>
          <w:rFonts w:hint="eastAsia"/>
          <w:b/>
          <w:bCs/>
        </w:rPr>
        <w:t>日期间</w:t>
      </w:r>
      <w:r w:rsidRPr="007C1E65">
        <w:rPr>
          <w:rFonts w:hint="eastAsia"/>
        </w:rPr>
        <w:t>共</w:t>
      </w:r>
      <w:r w:rsidR="001800A0">
        <w:rPr>
          <w:rFonts w:hint="eastAsia"/>
        </w:rPr>
        <w:t>发放</w:t>
      </w:r>
      <w:r w:rsidRPr="007C1E65">
        <w:rPr>
          <w:rFonts w:hint="eastAsia"/>
        </w:rPr>
        <w:t>了</w:t>
      </w:r>
      <w:r w:rsidRPr="007C1E65">
        <w:rPr>
          <w:b/>
          <w:lang w:val="en-CA"/>
        </w:rPr>
        <w:t>1,823,351</w:t>
      </w:r>
      <w:r>
        <w:rPr>
          <w:rFonts w:hint="eastAsia"/>
          <w:b/>
          <w:lang w:val="en-CA"/>
        </w:rPr>
        <w:t>美元</w:t>
      </w:r>
      <w:r w:rsidR="001E78A8" w:rsidRPr="001E78A8">
        <w:t>。剩余</w:t>
      </w:r>
      <w:r>
        <w:rPr>
          <w:rFonts w:hint="eastAsia"/>
        </w:rPr>
        <w:t>资金</w:t>
      </w:r>
      <w:r w:rsidRPr="007C1E65">
        <w:rPr>
          <w:b/>
          <w:bCs/>
          <w:lang w:val="en-CA"/>
        </w:rPr>
        <w:t>9,154,827</w:t>
      </w:r>
      <w:r w:rsidR="00DB4B33">
        <w:rPr>
          <w:b/>
          <w:bCs/>
          <w:lang w:val="en-CA"/>
        </w:rPr>
        <w:t> </w:t>
      </w:r>
      <w:r w:rsidR="001E78A8" w:rsidRPr="001E78A8">
        <w:rPr>
          <w:b/>
          <w:bCs/>
        </w:rPr>
        <w:t>美元</w:t>
      </w:r>
      <w:r w:rsidR="001E78A8" w:rsidRPr="001E78A8">
        <w:t>预计将在</w:t>
      </w:r>
      <w:r w:rsidR="001E78A8" w:rsidRPr="001E78A8">
        <w:t>2019</w:t>
      </w:r>
      <w:r w:rsidR="001E78A8" w:rsidRPr="001E78A8">
        <w:t>年底至</w:t>
      </w:r>
      <w:r w:rsidR="001E78A8" w:rsidRPr="001E78A8">
        <w:t>2022</w:t>
      </w:r>
      <w:r w:rsidR="001E78A8" w:rsidRPr="001E78A8">
        <w:t>年</w:t>
      </w:r>
      <w:r>
        <w:rPr>
          <w:rFonts w:hint="eastAsia"/>
        </w:rPr>
        <w:t>期间</w:t>
      </w:r>
      <w:r w:rsidR="001800A0">
        <w:t>发放</w:t>
      </w:r>
      <w:r w:rsidR="001E78A8" w:rsidRPr="001E78A8">
        <w:t>。</w:t>
      </w:r>
      <w:r w:rsidR="001E78A8" w:rsidRPr="001E78A8">
        <w:t>                </w:t>
      </w:r>
      <w:r w:rsidR="001E78A8" w:rsidRPr="001E78A8">
        <w:rPr>
          <w:b/>
          <w:bCs/>
        </w:rPr>
        <w:t> </w:t>
      </w:r>
    </w:p>
    <w:p w14:paraId="0C6765E9" w14:textId="1C8ABB2B" w:rsidR="001E78A8" w:rsidRPr="001E78A8" w:rsidRDefault="00E54F2A" w:rsidP="001E78A8">
      <w:pPr>
        <w:numPr>
          <w:ilvl w:val="0"/>
          <w:numId w:val="20"/>
        </w:numPr>
        <w:spacing w:line="259" w:lineRule="auto"/>
        <w:ind w:left="0" w:firstLine="0"/>
        <w:jc w:val="both"/>
      </w:pPr>
      <w:r>
        <w:t>FECO</w:t>
      </w:r>
      <w:r w:rsidR="007C1E65">
        <w:rPr>
          <w:rFonts w:hint="eastAsia"/>
        </w:rPr>
        <w:t>于</w:t>
      </w:r>
      <w:r w:rsidR="001E78A8" w:rsidRPr="001E78A8">
        <w:t>2014</w:t>
      </w:r>
      <w:r w:rsidR="001E78A8" w:rsidRPr="001E78A8">
        <w:t>年制定了一项</w:t>
      </w:r>
      <w:r w:rsidR="00265A72">
        <w:rPr>
          <w:rFonts w:hint="eastAsia"/>
        </w:rPr>
        <w:t>建立</w:t>
      </w:r>
      <w:r w:rsidR="001E78A8" w:rsidRPr="001E78A8">
        <w:t>国家哈龙</w:t>
      </w:r>
      <w:r w:rsidR="00265A72">
        <w:rPr>
          <w:rFonts w:hint="eastAsia"/>
        </w:rPr>
        <w:t>再循环</w:t>
      </w:r>
      <w:r w:rsidR="001E78A8" w:rsidRPr="001E78A8">
        <w:t>和管理系统</w:t>
      </w:r>
      <w:r>
        <w:rPr>
          <w:rFonts w:hint="eastAsia"/>
        </w:rPr>
        <w:t>（</w:t>
      </w:r>
      <w:r w:rsidRPr="00E54F2A">
        <w:rPr>
          <w:lang w:val="en-CA"/>
        </w:rPr>
        <w:t>NHRMC</w:t>
      </w:r>
      <w:r>
        <w:rPr>
          <w:rFonts w:hint="eastAsia"/>
        </w:rPr>
        <w:t>）</w:t>
      </w:r>
      <w:r w:rsidR="001E78A8" w:rsidRPr="001E78A8">
        <w:t>的计划，</w:t>
      </w:r>
      <w:r w:rsidR="00265A72">
        <w:rPr>
          <w:rFonts w:hint="eastAsia"/>
        </w:rPr>
        <w:t>已把</w:t>
      </w:r>
      <w:r w:rsidR="001E78A8" w:rsidRPr="001E78A8">
        <w:t>哈龙行业的</w:t>
      </w:r>
      <w:r w:rsidR="00265A72" w:rsidRPr="001E78A8">
        <w:t>全部</w:t>
      </w:r>
      <w:r w:rsidR="001E78A8" w:rsidRPr="001E78A8">
        <w:t>剩余资金指定用于</w:t>
      </w:r>
      <w:r w:rsidR="00265A72">
        <w:rPr>
          <w:rFonts w:hint="eastAsia"/>
        </w:rPr>
        <w:t>资助</w:t>
      </w:r>
      <w:r w:rsidR="001E78A8" w:rsidRPr="001E78A8">
        <w:t>该计划。</w:t>
      </w:r>
      <w:r w:rsidR="001E78A8" w:rsidRPr="001E78A8">
        <w:t>2015</w:t>
      </w:r>
      <w:r w:rsidR="001E78A8" w:rsidRPr="001E78A8">
        <w:t>至</w:t>
      </w:r>
      <w:r w:rsidR="001E78A8" w:rsidRPr="001E78A8">
        <w:t>2016</w:t>
      </w:r>
      <w:r w:rsidR="001E78A8" w:rsidRPr="001E78A8">
        <w:t>年</w:t>
      </w:r>
      <w:r w:rsidR="00265A72">
        <w:rPr>
          <w:rFonts w:hint="eastAsia"/>
        </w:rPr>
        <w:t>期间</w:t>
      </w:r>
      <w:r w:rsidR="001E78A8" w:rsidRPr="001E78A8">
        <w:t>，</w:t>
      </w:r>
      <w:r>
        <w:t>FECO</w:t>
      </w:r>
      <w:r w:rsidR="00310D3F">
        <w:rPr>
          <w:rFonts w:hint="eastAsia"/>
        </w:rPr>
        <w:t>同</w:t>
      </w:r>
      <w:r w:rsidR="00265A72" w:rsidRPr="001E78A8">
        <w:t>公安部</w:t>
      </w:r>
      <w:r w:rsidR="001E78A8" w:rsidRPr="001E78A8">
        <w:t>消防产品认证中心合作建立了</w:t>
      </w:r>
      <w:r>
        <w:rPr>
          <w:rFonts w:hint="eastAsia"/>
        </w:rPr>
        <w:t>NHRMC</w:t>
      </w:r>
      <w:r w:rsidR="001E78A8" w:rsidRPr="001E78A8">
        <w:t>。</w:t>
      </w:r>
      <w:r w:rsidR="00265A72" w:rsidRPr="001E78A8">
        <w:t>2017</w:t>
      </w:r>
      <w:r w:rsidR="00265A72" w:rsidRPr="001E78A8">
        <w:t>年</w:t>
      </w:r>
      <w:r w:rsidR="00265A72">
        <w:rPr>
          <w:rFonts w:hint="eastAsia"/>
        </w:rPr>
        <w:t>，该系统</w:t>
      </w:r>
      <w:r w:rsidR="001E78A8" w:rsidRPr="001E78A8">
        <w:t>在上海</w:t>
      </w:r>
      <w:r w:rsidR="00265A72">
        <w:rPr>
          <w:rFonts w:hint="eastAsia"/>
        </w:rPr>
        <w:t>进行了哈龙再循环</w:t>
      </w:r>
      <w:r w:rsidR="001E78A8" w:rsidRPr="001E78A8">
        <w:t>宣传</w:t>
      </w:r>
      <w:r w:rsidR="00265A72">
        <w:rPr>
          <w:rFonts w:hint="eastAsia"/>
        </w:rPr>
        <w:t>活动</w:t>
      </w:r>
      <w:r w:rsidR="001E78A8" w:rsidRPr="001E78A8">
        <w:t>，并与政府和私营部门合作</w:t>
      </w:r>
      <w:r w:rsidR="00265A72">
        <w:rPr>
          <w:rFonts w:hint="eastAsia"/>
        </w:rPr>
        <w:t>，</w:t>
      </w:r>
      <w:r w:rsidR="001E78A8" w:rsidRPr="001E78A8">
        <w:t>鼓励哈龙的</w:t>
      </w:r>
      <w:r w:rsidR="00265A72">
        <w:rPr>
          <w:rFonts w:hint="eastAsia"/>
        </w:rPr>
        <w:t>再循环</w:t>
      </w:r>
      <w:r w:rsidR="001E78A8" w:rsidRPr="001E78A8">
        <w:t>。</w:t>
      </w:r>
      <w:r w:rsidR="00265A72" w:rsidRPr="001E78A8">
        <w:t>2018</w:t>
      </w:r>
      <w:r w:rsidR="00265A72" w:rsidRPr="001E78A8">
        <w:t>年</w:t>
      </w:r>
      <w:r w:rsidR="00265A72">
        <w:rPr>
          <w:rFonts w:hint="eastAsia"/>
        </w:rPr>
        <w:t>，</w:t>
      </w:r>
      <w:r>
        <w:t>NHRMC</w:t>
      </w:r>
      <w:r>
        <w:rPr>
          <w:rFonts w:hint="eastAsia"/>
        </w:rPr>
        <w:t>和</w:t>
      </w:r>
      <w:r>
        <w:rPr>
          <w:rFonts w:hint="eastAsia"/>
        </w:rPr>
        <w:t>FECO</w:t>
      </w:r>
      <w:r w:rsidR="00265A72">
        <w:rPr>
          <w:rFonts w:hint="eastAsia"/>
        </w:rPr>
        <w:t>根据</w:t>
      </w:r>
      <w:r w:rsidR="001E78A8" w:rsidRPr="001E78A8">
        <w:t>过去三年</w:t>
      </w:r>
      <w:r w:rsidR="00265A72">
        <w:rPr>
          <w:rFonts w:hint="eastAsia"/>
        </w:rPr>
        <w:t>获得的经验和反馈</w:t>
      </w:r>
      <w:r w:rsidR="001E78A8" w:rsidRPr="001E78A8">
        <w:t>，</w:t>
      </w:r>
      <w:r w:rsidR="00265A72">
        <w:rPr>
          <w:rFonts w:hint="eastAsia"/>
        </w:rPr>
        <w:t>对工作计划进行了</w:t>
      </w:r>
      <w:r w:rsidR="001E78A8" w:rsidRPr="001E78A8">
        <w:t>重新设计，启动了一个开发信息管理系统</w:t>
      </w:r>
      <w:r w:rsidR="00265A72">
        <w:rPr>
          <w:rFonts w:hint="eastAsia"/>
        </w:rPr>
        <w:t>的项目，并对</w:t>
      </w:r>
      <w:r w:rsidR="001E78A8" w:rsidRPr="001E78A8">
        <w:t>1.5</w:t>
      </w:r>
      <w:r w:rsidR="001E78A8" w:rsidRPr="001E78A8">
        <w:t>吨来自天津</w:t>
      </w:r>
      <w:r w:rsidR="00265A72">
        <w:rPr>
          <w:rFonts w:hint="eastAsia"/>
        </w:rPr>
        <w:t>和</w:t>
      </w:r>
      <w:r w:rsidR="001E78A8" w:rsidRPr="001E78A8">
        <w:t>江苏</w:t>
      </w:r>
      <w:r w:rsidR="00265A72">
        <w:rPr>
          <w:rFonts w:hint="eastAsia"/>
        </w:rPr>
        <w:t>的</w:t>
      </w:r>
      <w:r w:rsidR="00265A72">
        <w:rPr>
          <w:rFonts w:hint="eastAsia"/>
        </w:rPr>
        <w:t>h</w:t>
      </w:r>
      <w:r w:rsidR="00265A72">
        <w:t>alon-</w:t>
      </w:r>
      <w:r w:rsidR="001E78A8" w:rsidRPr="001E78A8">
        <w:t>1301</w:t>
      </w:r>
      <w:r w:rsidR="00265A72">
        <w:rPr>
          <w:rFonts w:hint="eastAsia"/>
        </w:rPr>
        <w:t>进行了再循环</w:t>
      </w:r>
      <w:r w:rsidR="001E78A8" w:rsidRPr="001E78A8">
        <w:t>。剩余资金的一部分将用于为</w:t>
      </w:r>
      <w:r w:rsidR="00265A72">
        <w:rPr>
          <w:rFonts w:hint="eastAsia"/>
        </w:rPr>
        <w:t>回收站、再循环</w:t>
      </w:r>
      <w:r w:rsidR="001E78A8" w:rsidRPr="001E78A8">
        <w:t>中心和</w:t>
      </w:r>
      <w:r w:rsidR="00265A72">
        <w:rPr>
          <w:rFonts w:hint="eastAsia"/>
        </w:rPr>
        <w:t>地方</w:t>
      </w:r>
      <w:r w:rsidR="001E78A8" w:rsidRPr="001E78A8">
        <w:t>消防局</w:t>
      </w:r>
      <w:r w:rsidR="00265A72">
        <w:rPr>
          <w:rFonts w:hint="eastAsia"/>
        </w:rPr>
        <w:t>购置</w:t>
      </w:r>
      <w:r w:rsidR="001E78A8" w:rsidRPr="001E78A8">
        <w:t>设</w:t>
      </w:r>
      <w:r w:rsidR="001E78A8" w:rsidRPr="001E78A8">
        <w:t>​​</w:t>
      </w:r>
      <w:r w:rsidR="001E78A8" w:rsidRPr="001E78A8">
        <w:t>备，</w:t>
      </w:r>
      <w:r w:rsidR="006F2934">
        <w:rPr>
          <w:rFonts w:hint="eastAsia"/>
        </w:rPr>
        <w:t>以便</w:t>
      </w:r>
      <w:r w:rsidR="00265A72" w:rsidRPr="001E78A8">
        <w:t>在</w:t>
      </w:r>
      <w:r w:rsidR="00265A72">
        <w:rPr>
          <w:rFonts w:hint="eastAsia"/>
        </w:rPr>
        <w:t>再循环过程中</w:t>
      </w:r>
      <w:r w:rsidR="001E78A8" w:rsidRPr="001E78A8">
        <w:t>分析哈龙产品的成分</w:t>
      </w:r>
      <w:r w:rsidR="00265A72">
        <w:rPr>
          <w:rFonts w:hint="eastAsia"/>
        </w:rPr>
        <w:t>和</w:t>
      </w:r>
      <w:r w:rsidR="001E78A8" w:rsidRPr="001E78A8">
        <w:t>确定其纯度。</w:t>
      </w:r>
      <w:r w:rsidR="001E78A8" w:rsidRPr="001E78A8">
        <w:t>               </w:t>
      </w:r>
    </w:p>
    <w:p w14:paraId="75BD5C61" w14:textId="5FCD3836" w:rsidR="001E78A8" w:rsidRPr="001E78A8" w:rsidRDefault="001E78A8" w:rsidP="001E78A8">
      <w:pPr>
        <w:numPr>
          <w:ilvl w:val="0"/>
          <w:numId w:val="20"/>
        </w:numPr>
        <w:spacing w:line="259" w:lineRule="auto"/>
        <w:ind w:left="0" w:firstLine="0"/>
        <w:jc w:val="both"/>
      </w:pPr>
      <w:r w:rsidRPr="001E78A8">
        <w:t>2018</w:t>
      </w:r>
      <w:r w:rsidRPr="001E78A8">
        <w:t>年，上海雷诺安防科技有限公司也</w:t>
      </w:r>
      <w:r w:rsidR="00310D3F" w:rsidRPr="001E78A8">
        <w:t>从废弃的</w:t>
      </w:r>
      <w:r w:rsidR="00310D3F">
        <w:rPr>
          <w:rFonts w:hint="eastAsia"/>
        </w:rPr>
        <w:t>船舶再循环了</w:t>
      </w:r>
      <w:r w:rsidRPr="001E78A8">
        <w:t>450</w:t>
      </w:r>
      <w:r w:rsidRPr="001E78A8">
        <w:t>公斤</w:t>
      </w:r>
      <w:r w:rsidR="00310D3F">
        <w:rPr>
          <w:rFonts w:hint="eastAsia"/>
        </w:rPr>
        <w:t>h</w:t>
      </w:r>
      <w:r w:rsidR="00310D3F">
        <w:t>alon</w:t>
      </w:r>
      <w:r w:rsidRPr="001E78A8">
        <w:t>-1301</w:t>
      </w:r>
      <w:r w:rsidR="00310D3F">
        <w:rPr>
          <w:rFonts w:hint="eastAsia"/>
        </w:rPr>
        <w:t>以供</w:t>
      </w:r>
      <w:r w:rsidRPr="001E78A8">
        <w:t>出售。由于</w:t>
      </w:r>
      <w:r w:rsidR="00310D3F">
        <w:rPr>
          <w:rFonts w:hint="eastAsia"/>
        </w:rPr>
        <w:t>再循环的</w:t>
      </w:r>
      <w:r w:rsidR="00310D3F">
        <w:rPr>
          <w:rFonts w:hint="eastAsia"/>
        </w:rPr>
        <w:t>h</w:t>
      </w:r>
      <w:r w:rsidR="00310D3F">
        <w:t>alon-</w:t>
      </w:r>
      <w:r w:rsidRPr="001E78A8">
        <w:t>1301</w:t>
      </w:r>
      <w:r w:rsidRPr="001E78A8">
        <w:t>的市场价格不足以支付</w:t>
      </w:r>
      <w:r w:rsidR="006F2934">
        <w:rPr>
          <w:rFonts w:hint="eastAsia"/>
        </w:rPr>
        <w:t>再</w:t>
      </w:r>
      <w:r w:rsidRPr="001E78A8">
        <w:t>循环</w:t>
      </w:r>
      <w:r w:rsidR="00310D3F">
        <w:rPr>
          <w:rFonts w:hint="eastAsia"/>
        </w:rPr>
        <w:t>成本</w:t>
      </w:r>
      <w:r w:rsidRPr="001E78A8">
        <w:t>，雷诺</w:t>
      </w:r>
      <w:r w:rsidR="00310D3F">
        <w:rPr>
          <w:rFonts w:hint="eastAsia"/>
        </w:rPr>
        <w:t>公司向</w:t>
      </w:r>
      <w:r w:rsidR="00E54F2A">
        <w:t>NHRMC</w:t>
      </w:r>
      <w:r w:rsidR="00310D3F">
        <w:rPr>
          <w:rFonts w:hint="eastAsia"/>
        </w:rPr>
        <w:t>申请了</w:t>
      </w:r>
      <w:r w:rsidRPr="001E78A8">
        <w:t>补偿性补贴，</w:t>
      </w:r>
      <w:r w:rsidR="00310D3F">
        <w:rPr>
          <w:rFonts w:hint="eastAsia"/>
        </w:rPr>
        <w:t>该系统</w:t>
      </w:r>
      <w:r w:rsidRPr="001E78A8">
        <w:t>目前正在评估</w:t>
      </w:r>
      <w:r w:rsidR="00310D3F">
        <w:rPr>
          <w:rFonts w:hint="eastAsia"/>
        </w:rPr>
        <w:t>这项申请</w:t>
      </w:r>
      <w:r w:rsidRPr="001E78A8">
        <w:t>。</w:t>
      </w:r>
      <w:r w:rsidRPr="001E78A8">
        <w:t>2019</w:t>
      </w:r>
      <w:r w:rsidRPr="001E78A8">
        <w:t>年</w:t>
      </w:r>
      <w:r w:rsidRPr="001E78A8">
        <w:t>1</w:t>
      </w:r>
      <w:r w:rsidRPr="001E78A8">
        <w:t>月，雷诺</w:t>
      </w:r>
      <w:r w:rsidR="00310D3F">
        <w:rPr>
          <w:rFonts w:hint="eastAsia"/>
        </w:rPr>
        <w:t>公司</w:t>
      </w:r>
      <w:r w:rsidRPr="001E78A8">
        <w:t>正式获得国家</w:t>
      </w:r>
      <w:r w:rsidR="00310D3F">
        <w:rPr>
          <w:rFonts w:hint="eastAsia"/>
        </w:rPr>
        <w:t>h</w:t>
      </w:r>
      <w:r w:rsidR="00310D3F">
        <w:t>alon-</w:t>
      </w:r>
      <w:r w:rsidRPr="001E78A8">
        <w:t>1301</w:t>
      </w:r>
      <w:r w:rsidR="00310D3F">
        <w:rPr>
          <w:rFonts w:hint="eastAsia"/>
        </w:rPr>
        <w:t>再循环</w:t>
      </w:r>
      <w:r w:rsidRPr="001E78A8">
        <w:t>站的认证，</w:t>
      </w:r>
      <w:r w:rsidRPr="001E78A8">
        <w:rPr>
          <w:b/>
          <w:bCs/>
        </w:rPr>
        <w:t>目前正在接受</w:t>
      </w:r>
      <w:r w:rsidRPr="001E78A8">
        <w:t>援助以</w:t>
      </w:r>
      <w:r w:rsidR="00310D3F">
        <w:rPr>
          <w:rFonts w:hint="eastAsia"/>
        </w:rPr>
        <w:t>加强</w:t>
      </w:r>
      <w:r w:rsidRPr="001E78A8">
        <w:t>能力。</w:t>
      </w:r>
      <w:r w:rsidRPr="001E78A8">
        <w:t>               </w:t>
      </w:r>
    </w:p>
    <w:p w14:paraId="7C8DF30A" w14:textId="7648873F" w:rsidR="001E78A8" w:rsidRPr="001E78A8" w:rsidRDefault="001E78A8" w:rsidP="001E78A8">
      <w:pPr>
        <w:numPr>
          <w:ilvl w:val="0"/>
          <w:numId w:val="20"/>
        </w:numPr>
        <w:spacing w:line="259" w:lineRule="auto"/>
        <w:ind w:left="0" w:firstLine="0"/>
        <w:jc w:val="both"/>
      </w:pPr>
      <w:r w:rsidRPr="001E78A8">
        <w:rPr>
          <w:b/>
          <w:bCs/>
        </w:rPr>
        <w:t>对中国民航业</w:t>
      </w:r>
      <w:r w:rsidR="00310D3F">
        <w:rPr>
          <w:rFonts w:hint="eastAsia"/>
          <w:b/>
          <w:bCs/>
        </w:rPr>
        <w:t>所使用的</w:t>
      </w:r>
      <w:r w:rsidRPr="001E78A8">
        <w:rPr>
          <w:b/>
          <w:bCs/>
        </w:rPr>
        <w:t>哈龙数量</w:t>
      </w:r>
      <w:r w:rsidR="00310D3F">
        <w:rPr>
          <w:rFonts w:hint="eastAsia"/>
          <w:b/>
          <w:bCs/>
        </w:rPr>
        <w:t>进行</w:t>
      </w:r>
      <w:r w:rsidRPr="001E78A8">
        <w:rPr>
          <w:b/>
          <w:bCs/>
        </w:rPr>
        <w:t>的调查</w:t>
      </w:r>
      <w:r w:rsidR="00310D3F">
        <w:rPr>
          <w:rFonts w:hint="eastAsia"/>
          <w:b/>
          <w:bCs/>
        </w:rPr>
        <w:t>已经结束</w:t>
      </w:r>
      <w:r w:rsidRPr="001E78A8">
        <w:rPr>
          <w:b/>
          <w:bCs/>
        </w:rPr>
        <w:t>。</w:t>
      </w:r>
      <w:r w:rsidR="00310D3F">
        <w:rPr>
          <w:rFonts w:hint="eastAsia"/>
          <w:b/>
          <w:bCs/>
        </w:rPr>
        <w:t>对</w:t>
      </w:r>
      <w:r w:rsidRPr="001E78A8">
        <w:rPr>
          <w:b/>
          <w:bCs/>
        </w:rPr>
        <w:t>飞机和维修企业</w:t>
      </w:r>
      <w:r w:rsidR="00310D3F">
        <w:rPr>
          <w:rFonts w:hint="eastAsia"/>
          <w:b/>
          <w:bCs/>
        </w:rPr>
        <w:t>现有的</w:t>
      </w:r>
      <w:r w:rsidR="00310D3F">
        <w:rPr>
          <w:b/>
        </w:rPr>
        <w:t>h</w:t>
      </w:r>
      <w:r w:rsidR="00310D3F" w:rsidRPr="0089210B">
        <w:rPr>
          <w:b/>
        </w:rPr>
        <w:t>al</w:t>
      </w:r>
      <w:r w:rsidR="00310D3F">
        <w:rPr>
          <w:b/>
        </w:rPr>
        <w:t>on</w:t>
      </w:r>
      <w:r w:rsidR="00310D3F">
        <w:rPr>
          <w:b/>
        </w:rPr>
        <w:noBreakHyphen/>
        <w:t>1301</w:t>
      </w:r>
      <w:r w:rsidR="00310D3F">
        <w:rPr>
          <w:rFonts w:hint="eastAsia"/>
          <w:b/>
        </w:rPr>
        <w:t>和</w:t>
      </w:r>
      <w:r w:rsidR="00310D3F">
        <w:rPr>
          <w:b/>
        </w:rPr>
        <w:t>halon</w:t>
      </w:r>
      <w:r w:rsidR="00310D3F">
        <w:rPr>
          <w:b/>
        </w:rPr>
        <w:noBreakHyphen/>
        <w:t>1211</w:t>
      </w:r>
      <w:r w:rsidR="00310D3F">
        <w:rPr>
          <w:rFonts w:hint="eastAsia"/>
          <w:b/>
        </w:rPr>
        <w:t>数量</w:t>
      </w:r>
      <w:r w:rsidRPr="001E78A8">
        <w:rPr>
          <w:b/>
          <w:bCs/>
        </w:rPr>
        <w:t>进行了</w:t>
      </w:r>
      <w:r w:rsidR="00310D3F">
        <w:rPr>
          <w:rFonts w:hint="eastAsia"/>
          <w:b/>
          <w:bCs/>
        </w:rPr>
        <w:t>估计</w:t>
      </w:r>
      <w:r w:rsidRPr="001E78A8">
        <w:rPr>
          <w:b/>
          <w:bCs/>
        </w:rPr>
        <w:t>，并且证实，</w:t>
      </w:r>
      <w:r w:rsidR="00310D3F">
        <w:rPr>
          <w:rFonts w:hint="eastAsia"/>
          <w:b/>
          <w:bCs/>
        </w:rPr>
        <w:t>机场已经按照法规</w:t>
      </w:r>
      <w:r w:rsidRPr="001E78A8">
        <w:rPr>
          <w:b/>
          <w:bCs/>
        </w:rPr>
        <w:t>不再使用</w:t>
      </w:r>
      <w:r w:rsidR="00310D3F">
        <w:rPr>
          <w:b/>
        </w:rPr>
        <w:t>h</w:t>
      </w:r>
      <w:r w:rsidR="00310D3F" w:rsidRPr="0089210B">
        <w:rPr>
          <w:b/>
        </w:rPr>
        <w:t>al</w:t>
      </w:r>
      <w:r w:rsidR="00310D3F">
        <w:rPr>
          <w:b/>
        </w:rPr>
        <w:t>on</w:t>
      </w:r>
      <w:r w:rsidR="00310D3F">
        <w:rPr>
          <w:b/>
        </w:rPr>
        <w:noBreakHyphen/>
        <w:t>1301</w:t>
      </w:r>
      <w:r w:rsidR="00310D3F">
        <w:rPr>
          <w:rFonts w:hint="eastAsia"/>
          <w:b/>
        </w:rPr>
        <w:t>和</w:t>
      </w:r>
      <w:r w:rsidR="00310D3F">
        <w:rPr>
          <w:b/>
        </w:rPr>
        <w:t>halon</w:t>
      </w:r>
      <w:r w:rsidR="00310D3F">
        <w:rPr>
          <w:b/>
        </w:rPr>
        <w:noBreakHyphen/>
        <w:t>1211</w:t>
      </w:r>
      <w:r w:rsidR="00310D3F">
        <w:rPr>
          <w:rFonts w:hint="eastAsia"/>
          <w:b/>
          <w:bCs/>
        </w:rPr>
        <w:t>灭火器</w:t>
      </w:r>
      <w:r w:rsidRPr="001E78A8">
        <w:rPr>
          <w:b/>
          <w:bCs/>
        </w:rPr>
        <w:t>。</w:t>
      </w:r>
      <w:r w:rsidRPr="001E78A8">
        <w:t>               </w:t>
      </w:r>
    </w:p>
    <w:p w14:paraId="6CB1C5EF" w14:textId="260909CF" w:rsidR="001E78A8" w:rsidRPr="001E78A8" w:rsidRDefault="00E54F2A" w:rsidP="001E78A8">
      <w:pPr>
        <w:numPr>
          <w:ilvl w:val="0"/>
          <w:numId w:val="20"/>
        </w:numPr>
        <w:spacing w:line="259" w:lineRule="auto"/>
        <w:ind w:left="0" w:firstLine="0"/>
        <w:jc w:val="both"/>
      </w:pPr>
      <w:r>
        <w:t>FECO</w:t>
      </w:r>
      <w:r w:rsidR="001E78A8" w:rsidRPr="001E78A8">
        <w:t>当前</w:t>
      </w:r>
      <w:r w:rsidR="00310D3F">
        <w:rPr>
          <w:rFonts w:hint="eastAsia"/>
        </w:rPr>
        <w:t>正在挑选</w:t>
      </w:r>
      <w:r w:rsidR="001E78A8" w:rsidRPr="001E78A8">
        <w:t>具备条件的企业</w:t>
      </w:r>
      <w:r w:rsidR="00310D3F">
        <w:rPr>
          <w:rFonts w:hint="eastAsia"/>
        </w:rPr>
        <w:t>来</w:t>
      </w:r>
      <w:r w:rsidR="001E78A8" w:rsidRPr="001E78A8">
        <w:t>建立一个</w:t>
      </w:r>
      <w:r w:rsidR="00310D3F">
        <w:rPr>
          <w:rFonts w:hint="eastAsia"/>
        </w:rPr>
        <w:t>h</w:t>
      </w:r>
      <w:r w:rsidR="00310D3F">
        <w:t>alon</w:t>
      </w:r>
      <w:r w:rsidR="001E78A8" w:rsidRPr="001E78A8">
        <w:t>-1211</w:t>
      </w:r>
      <w:r w:rsidR="00310D3F">
        <w:rPr>
          <w:rFonts w:hint="eastAsia"/>
        </w:rPr>
        <w:t>再循环</w:t>
      </w:r>
      <w:r w:rsidR="001E78A8" w:rsidRPr="001E78A8">
        <w:t>中心。</w:t>
      </w:r>
      <w:r w:rsidR="00310D3F">
        <w:rPr>
          <w:rFonts w:hint="eastAsia"/>
        </w:rPr>
        <w:t>这个</w:t>
      </w:r>
      <w:r w:rsidR="001E78A8" w:rsidRPr="001E78A8">
        <w:t>项目</w:t>
      </w:r>
      <w:r w:rsidR="00310D3F">
        <w:rPr>
          <w:rFonts w:hint="eastAsia"/>
        </w:rPr>
        <w:t>估计将</w:t>
      </w:r>
      <w:r w:rsidR="001E78A8" w:rsidRPr="001E78A8">
        <w:t>于</w:t>
      </w:r>
      <w:r w:rsidR="001E78A8" w:rsidRPr="001E78A8">
        <w:t>2019</w:t>
      </w:r>
      <w:r w:rsidR="001E78A8" w:rsidRPr="001E78A8">
        <w:t>年开始，于</w:t>
      </w:r>
      <w:r w:rsidR="001E78A8" w:rsidRPr="001E78A8">
        <w:t>2020</w:t>
      </w:r>
      <w:r w:rsidR="001E78A8" w:rsidRPr="001E78A8">
        <w:t>年完成。与此同时，</w:t>
      </w:r>
      <w:r>
        <w:rPr>
          <w:rFonts w:hint="eastAsia"/>
        </w:rPr>
        <w:t>FECO</w:t>
      </w:r>
      <w:r w:rsidR="001E78A8" w:rsidRPr="001E78A8">
        <w:t>将协助浙江东阳化工有限公司确保安全存储</w:t>
      </w:r>
      <w:r w:rsidR="001E78A8" w:rsidRPr="001E78A8">
        <w:t>2,261.4 </w:t>
      </w:r>
      <w:r w:rsidR="001E78A8" w:rsidRPr="001E78A8">
        <w:t>吨</w:t>
      </w:r>
      <w:r>
        <w:rPr>
          <w:rFonts w:hint="eastAsia"/>
        </w:rPr>
        <w:t>h</w:t>
      </w:r>
      <w:r>
        <w:t>alon-</w:t>
      </w:r>
      <w:r w:rsidR="001E78A8" w:rsidRPr="001E78A8">
        <w:t>1211</w:t>
      </w:r>
      <w:r w:rsidR="001E78A8" w:rsidRPr="001E78A8">
        <w:t>。</w:t>
      </w:r>
      <w:r w:rsidR="001E78A8" w:rsidRPr="001E78A8">
        <w:t>2018</w:t>
      </w:r>
      <w:r w:rsidR="001E78A8" w:rsidRPr="001E78A8">
        <w:t>年</w:t>
      </w:r>
      <w:r w:rsidR="001E78A8" w:rsidRPr="001E78A8">
        <w:t>12</w:t>
      </w:r>
      <w:r w:rsidR="001E78A8" w:rsidRPr="001E78A8">
        <w:t>月，</w:t>
      </w:r>
      <w:r w:rsidR="001E78A8" w:rsidRPr="001E78A8">
        <w:t>FECO</w:t>
      </w:r>
      <w:r w:rsidR="001E78A8" w:rsidRPr="001E78A8">
        <w:t>和</w:t>
      </w:r>
      <w:r w:rsidR="001E78A8" w:rsidRPr="001E78A8">
        <w:t>NHRMC</w:t>
      </w:r>
      <w:r>
        <w:rPr>
          <w:rFonts w:hint="eastAsia"/>
        </w:rPr>
        <w:t>核准</w:t>
      </w:r>
      <w:r w:rsidR="001E78A8" w:rsidRPr="001E78A8">
        <w:t>了该项目，</w:t>
      </w:r>
      <w:r>
        <w:rPr>
          <w:rFonts w:hint="eastAsia"/>
        </w:rPr>
        <w:t>其费用</w:t>
      </w:r>
      <w:r w:rsidR="001E78A8" w:rsidRPr="001E78A8">
        <w:t>为</w:t>
      </w:r>
      <w:r w:rsidR="001E78A8" w:rsidRPr="001E78A8">
        <w:t>145 </w:t>
      </w:r>
      <w:r w:rsidR="001E78A8" w:rsidRPr="001E78A8">
        <w:t>万美元，用于购买新的储罐和气瓶</w:t>
      </w:r>
      <w:r>
        <w:rPr>
          <w:rFonts w:hint="eastAsia"/>
        </w:rPr>
        <w:t>并</w:t>
      </w:r>
      <w:r w:rsidR="001E78A8" w:rsidRPr="001E78A8">
        <w:t>建立库存管理和监测系统。</w:t>
      </w:r>
      <w:r>
        <w:rPr>
          <w:rFonts w:hint="eastAsia"/>
        </w:rPr>
        <w:t>当前</w:t>
      </w:r>
      <w:r w:rsidR="001E78A8" w:rsidRPr="001E78A8">
        <w:t>，</w:t>
      </w:r>
      <w:r>
        <w:rPr>
          <w:rFonts w:hint="eastAsia"/>
        </w:rPr>
        <w:t>FECO</w:t>
      </w:r>
      <w:r w:rsidR="001E78A8" w:rsidRPr="001E78A8">
        <w:t>和</w:t>
      </w:r>
      <w:r w:rsidR="001E78A8" w:rsidRPr="001E78A8">
        <w:t>NHRMC</w:t>
      </w:r>
      <w:r w:rsidR="001E78A8" w:rsidRPr="001E78A8">
        <w:t>正在</w:t>
      </w:r>
      <w:r>
        <w:rPr>
          <w:rFonts w:hint="eastAsia"/>
        </w:rPr>
        <w:t>解决</w:t>
      </w:r>
      <w:r w:rsidR="001E78A8" w:rsidRPr="001E78A8">
        <w:t>当地政府提出的安全问题，该项目有望</w:t>
      </w:r>
      <w:r>
        <w:rPr>
          <w:rFonts w:hint="eastAsia"/>
        </w:rPr>
        <w:t>于</w:t>
      </w:r>
      <w:r w:rsidR="001E78A8" w:rsidRPr="001E78A8">
        <w:rPr>
          <w:b/>
          <w:bCs/>
        </w:rPr>
        <w:t>2019</w:t>
      </w:r>
      <w:r w:rsidR="001E78A8" w:rsidRPr="001E78A8">
        <w:rPr>
          <w:b/>
          <w:bCs/>
        </w:rPr>
        <w:t>年</w:t>
      </w:r>
      <w:r w:rsidR="001E78A8" w:rsidRPr="001E78A8">
        <w:rPr>
          <w:b/>
          <w:bCs/>
        </w:rPr>
        <w:t>11</w:t>
      </w:r>
      <w:r w:rsidR="001E78A8" w:rsidRPr="001E78A8">
        <w:rPr>
          <w:b/>
          <w:bCs/>
        </w:rPr>
        <w:t>月</w:t>
      </w:r>
      <w:r w:rsidRPr="00E54F2A">
        <w:rPr>
          <w:rFonts w:hint="eastAsia"/>
        </w:rPr>
        <w:t>重新开始</w:t>
      </w:r>
      <w:r w:rsidR="001E78A8" w:rsidRPr="001E78A8">
        <w:rPr>
          <w:b/>
          <w:bCs/>
        </w:rPr>
        <w:t>。</w:t>
      </w:r>
      <w:r w:rsidR="001E78A8" w:rsidRPr="001E78A8">
        <w:t>FECO</w:t>
      </w:r>
      <w:r w:rsidR="001E78A8" w:rsidRPr="001E78A8">
        <w:t>和</w:t>
      </w:r>
      <w:r w:rsidR="001E78A8" w:rsidRPr="001E78A8">
        <w:t>NHRMC</w:t>
      </w:r>
      <w:r w:rsidR="001E78A8" w:rsidRPr="001E78A8">
        <w:t>计划在</w:t>
      </w:r>
      <w:r w:rsidR="001E78A8" w:rsidRPr="001E78A8">
        <w:t>2019</w:t>
      </w:r>
      <w:r w:rsidR="001E78A8" w:rsidRPr="001E78A8">
        <w:t>年组织哈龙</w:t>
      </w:r>
      <w:r>
        <w:rPr>
          <w:rFonts w:hint="eastAsia"/>
        </w:rPr>
        <w:t>再循环</w:t>
      </w:r>
      <w:r w:rsidR="001E78A8" w:rsidRPr="001E78A8">
        <w:t>政策和法规研究。</w:t>
      </w:r>
      <w:r w:rsidR="001E78A8" w:rsidRPr="001E78A8">
        <w:t>                   </w:t>
      </w:r>
    </w:p>
    <w:p w14:paraId="7B03530A" w14:textId="5CB437D3" w:rsidR="001E78A8" w:rsidRPr="001E78A8" w:rsidRDefault="00E54F2A" w:rsidP="00824C2B">
      <w:pPr>
        <w:numPr>
          <w:ilvl w:val="0"/>
          <w:numId w:val="20"/>
        </w:numPr>
        <w:spacing w:line="259" w:lineRule="auto"/>
        <w:ind w:left="0" w:firstLine="0"/>
        <w:jc w:val="both"/>
      </w:pPr>
      <w:r>
        <w:t>FECO</w:t>
      </w:r>
      <w:r w:rsidR="001E78A8" w:rsidRPr="001E78A8">
        <w:t>和</w:t>
      </w:r>
      <w:r w:rsidR="001E78A8" w:rsidRPr="001E78A8">
        <w:t>NHRMC </w:t>
      </w:r>
      <w:r w:rsidR="00E37745">
        <w:rPr>
          <w:rFonts w:hint="eastAsia"/>
          <w:b/>
          <w:bCs/>
        </w:rPr>
        <w:t>核准了</w:t>
      </w:r>
      <w:r w:rsidR="001E78A8" w:rsidRPr="001E78A8">
        <w:t>一个</w:t>
      </w:r>
      <w:r w:rsidR="00E37745">
        <w:rPr>
          <w:rFonts w:hint="eastAsia"/>
        </w:rPr>
        <w:t>与上海消防部门之间的</w:t>
      </w:r>
      <w:r w:rsidR="001E78A8" w:rsidRPr="001E78A8">
        <w:t>200,000</w:t>
      </w:r>
      <w:r w:rsidR="00E37745">
        <w:rPr>
          <w:rFonts w:hint="eastAsia"/>
        </w:rPr>
        <w:t>美元的合同，目的是</w:t>
      </w:r>
      <w:r w:rsidR="001E78A8" w:rsidRPr="001E78A8">
        <w:t>调查哈龙数量和在上海</w:t>
      </w:r>
      <w:r w:rsidR="00E37745">
        <w:rPr>
          <w:rFonts w:hint="eastAsia"/>
        </w:rPr>
        <w:t>的分布情况</w:t>
      </w:r>
      <w:r w:rsidR="001E78A8" w:rsidRPr="001E78A8">
        <w:t>。</w:t>
      </w:r>
      <w:r w:rsidR="001E78A8" w:rsidRPr="001E78A8">
        <w:rPr>
          <w:b/>
          <w:bCs/>
        </w:rPr>
        <w:t>正在</w:t>
      </w:r>
      <w:r w:rsidR="00E37745">
        <w:rPr>
          <w:rFonts w:hint="eastAsia"/>
          <w:b/>
          <w:bCs/>
        </w:rPr>
        <w:t>编写</w:t>
      </w:r>
      <w:r w:rsidR="001E78A8" w:rsidRPr="001E78A8">
        <w:rPr>
          <w:b/>
          <w:bCs/>
        </w:rPr>
        <w:t>与河南消防部门</w:t>
      </w:r>
      <w:r w:rsidR="00E37745">
        <w:rPr>
          <w:rFonts w:hint="eastAsia"/>
          <w:b/>
          <w:bCs/>
        </w:rPr>
        <w:t>之间的</w:t>
      </w:r>
      <w:r w:rsidR="001E78A8" w:rsidRPr="001E78A8">
        <w:rPr>
          <w:b/>
          <w:bCs/>
        </w:rPr>
        <w:t>类似合同的职权范围。</w:t>
      </w:r>
      <w:r w:rsidR="001E78A8" w:rsidRPr="001E78A8">
        <w:t>                 </w:t>
      </w:r>
    </w:p>
    <w:p w14:paraId="49959228" w14:textId="34ED7D49" w:rsidR="001E78A8" w:rsidRPr="001E78A8" w:rsidRDefault="001E78A8" w:rsidP="00824C2B">
      <w:pPr>
        <w:numPr>
          <w:ilvl w:val="0"/>
          <w:numId w:val="20"/>
        </w:numPr>
        <w:spacing w:line="259" w:lineRule="auto"/>
        <w:ind w:left="0" w:firstLine="0"/>
        <w:jc w:val="both"/>
      </w:pPr>
      <w:r w:rsidRPr="001E78A8">
        <w:t>NHRMC</w:t>
      </w:r>
      <w:r w:rsidRPr="001E78A8">
        <w:t>和</w:t>
      </w:r>
      <w:r w:rsidRPr="001E78A8">
        <w:t>FECO</w:t>
      </w:r>
      <w:r w:rsidR="00C7583F">
        <w:rPr>
          <w:rFonts w:hint="eastAsia"/>
        </w:rPr>
        <w:t>承诺</w:t>
      </w:r>
      <w:r w:rsidRPr="001E78A8">
        <w:t>探讨在哈龙</w:t>
      </w:r>
      <w:r w:rsidR="00C7583F">
        <w:rPr>
          <w:rFonts w:hint="eastAsia"/>
        </w:rPr>
        <w:t>再循环</w:t>
      </w:r>
      <w:r w:rsidRPr="001E78A8">
        <w:t>和处置方面开展国际合作的可行性，以协助其他第</w:t>
      </w:r>
      <w:r w:rsidRPr="001E78A8">
        <w:t>5</w:t>
      </w:r>
      <w:r w:rsidRPr="001E78A8">
        <w:t>条国家实现履约目标。</w:t>
      </w:r>
      <w:bookmarkStart w:id="7" w:name="_Hlk524524810"/>
      <w:r w:rsidRPr="001E78A8">
        <w:t>在</w:t>
      </w:r>
      <w:r w:rsidR="00C7583F">
        <w:rPr>
          <w:rFonts w:hint="eastAsia"/>
        </w:rPr>
        <w:t>今后</w:t>
      </w:r>
      <w:r w:rsidRPr="001E78A8">
        <w:t>几十年中，</w:t>
      </w:r>
      <w:r w:rsidR="00C7583F">
        <w:rPr>
          <w:rFonts w:hint="eastAsia"/>
        </w:rPr>
        <w:t>氢氟碳化合物</w:t>
      </w:r>
      <w:r w:rsidRPr="001E78A8">
        <w:t>消防产品有可能成为哈龙产品的主要替代品。考虑到《基加利修正案》将逐步减少氢氟碳化合物的生产和消费，因此</w:t>
      </w:r>
      <w:r w:rsidR="00C7583F">
        <w:rPr>
          <w:rFonts w:hint="eastAsia"/>
        </w:rPr>
        <w:t>可以把</w:t>
      </w:r>
      <w:r w:rsidRPr="001E78A8">
        <w:t>建立</w:t>
      </w:r>
      <w:r w:rsidR="00C7583F" w:rsidRPr="001E78A8">
        <w:t>NHRMC</w:t>
      </w:r>
      <w:r w:rsidRPr="001E78A8">
        <w:t>的相关经验</w:t>
      </w:r>
      <w:r w:rsidR="00C7583F">
        <w:rPr>
          <w:rFonts w:hint="eastAsia"/>
        </w:rPr>
        <w:t>经过调整应用于</w:t>
      </w:r>
      <w:r w:rsidRPr="001E78A8">
        <w:t>氢氟碳化合物的</w:t>
      </w:r>
      <w:r w:rsidR="00C7583F">
        <w:rPr>
          <w:rFonts w:hint="eastAsia"/>
        </w:rPr>
        <w:t>再循环、再生、</w:t>
      </w:r>
      <w:r w:rsidRPr="001E78A8">
        <w:t>回收和处置。</w:t>
      </w:r>
      <w:r w:rsidRPr="001E78A8">
        <w:t>               </w:t>
      </w:r>
      <w:bookmarkEnd w:id="7"/>
    </w:p>
    <w:p w14:paraId="0A14D530" w14:textId="69FF9EA6" w:rsidR="001E78A8" w:rsidRPr="001E78A8" w:rsidRDefault="00E54F2A" w:rsidP="001E78A8">
      <w:pPr>
        <w:numPr>
          <w:ilvl w:val="0"/>
          <w:numId w:val="20"/>
        </w:numPr>
        <w:spacing w:line="259" w:lineRule="auto"/>
        <w:ind w:left="0" w:firstLine="0"/>
        <w:jc w:val="both"/>
      </w:pPr>
      <w:r>
        <w:rPr>
          <w:b/>
          <w:bCs/>
        </w:rPr>
        <w:lastRenderedPageBreak/>
        <w:t>FECO</w:t>
      </w:r>
      <w:r w:rsidR="00C7583F">
        <w:rPr>
          <w:rFonts w:hint="eastAsia"/>
          <w:b/>
          <w:bCs/>
        </w:rPr>
        <w:t>打算举办一个</w:t>
      </w:r>
      <w:r w:rsidR="001E78A8" w:rsidRPr="001E78A8">
        <w:rPr>
          <w:b/>
          <w:bCs/>
        </w:rPr>
        <w:t>项目</w:t>
      </w:r>
      <w:r w:rsidR="00C7583F">
        <w:rPr>
          <w:rFonts w:hint="eastAsia"/>
          <w:b/>
          <w:bCs/>
        </w:rPr>
        <w:t>来</w:t>
      </w:r>
      <w:r w:rsidR="001E78A8" w:rsidRPr="001E78A8">
        <w:rPr>
          <w:b/>
          <w:bCs/>
        </w:rPr>
        <w:t>监测</w:t>
      </w:r>
      <w:r w:rsidR="00C7583F">
        <w:rPr>
          <w:rFonts w:hint="eastAsia"/>
          <w:b/>
          <w:bCs/>
        </w:rPr>
        <w:t>把</w:t>
      </w:r>
      <w:r w:rsidR="00C7583F">
        <w:rPr>
          <w:rFonts w:hint="eastAsia"/>
          <w:b/>
          <w:bCs/>
        </w:rPr>
        <w:t>halon</w:t>
      </w:r>
      <w:r w:rsidR="001E78A8" w:rsidRPr="001E78A8">
        <w:rPr>
          <w:b/>
          <w:bCs/>
        </w:rPr>
        <w:t>-1301</w:t>
      </w:r>
      <w:r w:rsidR="00C7583F">
        <w:rPr>
          <w:rFonts w:hint="eastAsia"/>
          <w:b/>
          <w:bCs/>
        </w:rPr>
        <w:t>作为</w:t>
      </w:r>
      <w:r w:rsidR="00C7583F" w:rsidRPr="001E78A8">
        <w:rPr>
          <w:b/>
          <w:bCs/>
        </w:rPr>
        <w:t>原料</w:t>
      </w:r>
      <w:r w:rsidR="00C7583F">
        <w:rPr>
          <w:rFonts w:hint="eastAsia"/>
          <w:b/>
          <w:bCs/>
        </w:rPr>
        <w:t>的</w:t>
      </w:r>
      <w:r w:rsidR="00C7583F" w:rsidRPr="001E78A8">
        <w:rPr>
          <w:b/>
          <w:bCs/>
        </w:rPr>
        <w:t>使用</w:t>
      </w:r>
      <w:r w:rsidR="00C7583F">
        <w:rPr>
          <w:rFonts w:hint="eastAsia"/>
          <w:b/>
          <w:bCs/>
        </w:rPr>
        <w:t>情况并查明任何非法生产和出售</w:t>
      </w:r>
      <w:r w:rsidR="00C7583F" w:rsidRPr="00C7583F">
        <w:rPr>
          <w:b/>
          <w:bCs/>
        </w:rPr>
        <w:t>halon</w:t>
      </w:r>
      <w:r w:rsidR="00C7583F" w:rsidRPr="001E78A8">
        <w:rPr>
          <w:b/>
          <w:bCs/>
        </w:rPr>
        <w:t>-1301</w:t>
      </w:r>
      <w:r w:rsidR="00C7583F">
        <w:rPr>
          <w:rFonts w:hint="eastAsia"/>
          <w:b/>
          <w:bCs/>
        </w:rPr>
        <w:t>的情况。</w:t>
      </w:r>
      <w:r w:rsidR="001E78A8" w:rsidRPr="001E78A8">
        <w:rPr>
          <w:b/>
          <w:bCs/>
        </w:rPr>
        <w:t>目前</w:t>
      </w:r>
      <w:r w:rsidR="000F4FE5" w:rsidRPr="001E78A8">
        <w:rPr>
          <w:b/>
          <w:bCs/>
        </w:rPr>
        <w:t>仍在</w:t>
      </w:r>
      <w:r w:rsidR="000F4FE5">
        <w:rPr>
          <w:rFonts w:hint="eastAsia"/>
          <w:b/>
          <w:bCs/>
        </w:rPr>
        <w:t>编制</w:t>
      </w:r>
      <w:r w:rsidR="001E78A8" w:rsidRPr="001E78A8">
        <w:rPr>
          <w:b/>
          <w:bCs/>
        </w:rPr>
        <w:t>该项目</w:t>
      </w:r>
      <w:r w:rsidR="000F4FE5">
        <w:rPr>
          <w:rFonts w:hint="eastAsia"/>
          <w:b/>
          <w:bCs/>
        </w:rPr>
        <w:t>并与</w:t>
      </w:r>
      <w:r w:rsidR="001E78A8" w:rsidRPr="001E78A8">
        <w:rPr>
          <w:b/>
          <w:bCs/>
        </w:rPr>
        <w:t>相关部门</w:t>
      </w:r>
      <w:r w:rsidR="000F4FE5">
        <w:rPr>
          <w:rFonts w:hint="eastAsia"/>
          <w:b/>
          <w:bCs/>
        </w:rPr>
        <w:t>协调</w:t>
      </w:r>
      <w:r w:rsidR="001E78A8" w:rsidRPr="001E78A8">
        <w:rPr>
          <w:b/>
          <w:bCs/>
        </w:rPr>
        <w:t>。</w:t>
      </w:r>
      <w:r w:rsidR="001E78A8" w:rsidRPr="001E78A8">
        <w:t>               </w:t>
      </w:r>
    </w:p>
    <w:p w14:paraId="62221CA0" w14:textId="0574B753" w:rsidR="001E78A8" w:rsidRPr="000F4FE5" w:rsidRDefault="000F4FE5" w:rsidP="001E78A8">
      <w:pPr>
        <w:numPr>
          <w:ilvl w:val="0"/>
          <w:numId w:val="20"/>
        </w:numPr>
        <w:spacing w:line="259" w:lineRule="auto"/>
        <w:ind w:left="0" w:firstLine="0"/>
        <w:jc w:val="both"/>
        <w:rPr>
          <w:lang w:val="en-GB"/>
        </w:rPr>
      </w:pPr>
      <w:r w:rsidRPr="001E78A8">
        <w:t>中国政府</w:t>
      </w:r>
      <w:r>
        <w:rPr>
          <w:rFonts w:hint="eastAsia"/>
        </w:rPr>
        <w:t>已使用</w:t>
      </w:r>
      <w:r w:rsidR="001E78A8" w:rsidRPr="001E78A8">
        <w:t>迄今</w:t>
      </w:r>
      <w:r w:rsidR="001800A0">
        <w:rPr>
          <w:rFonts w:hint="eastAsia"/>
        </w:rPr>
        <w:t>发放</w:t>
      </w:r>
      <w:r>
        <w:rPr>
          <w:rFonts w:hint="eastAsia"/>
        </w:rPr>
        <w:t>的资金</w:t>
      </w:r>
      <w:r w:rsidR="001E78A8" w:rsidRPr="001E78A8">
        <w:t>逐步建立</w:t>
      </w:r>
      <w:r>
        <w:rPr>
          <w:rFonts w:hint="eastAsia"/>
        </w:rPr>
        <w:t>了</w:t>
      </w:r>
      <w:r w:rsidRPr="001E78A8">
        <w:t>NHRMC</w:t>
      </w:r>
      <w:r>
        <w:rPr>
          <w:rFonts w:hint="eastAsia"/>
        </w:rPr>
        <w:t>并将其投入运行</w:t>
      </w:r>
      <w:r w:rsidR="001E78A8" w:rsidRPr="001E78A8">
        <w:t>。</w:t>
      </w:r>
      <w:r>
        <w:rPr>
          <w:rFonts w:hint="eastAsia"/>
        </w:rPr>
        <w:t>在</w:t>
      </w:r>
      <w:r w:rsidRPr="000F4FE5">
        <w:rPr>
          <w:rFonts w:hint="eastAsia"/>
          <w:b/>
          <w:bCs/>
        </w:rPr>
        <w:t>915</w:t>
      </w:r>
      <w:r w:rsidRPr="000F4FE5">
        <w:rPr>
          <w:rFonts w:hint="eastAsia"/>
          <w:b/>
          <w:bCs/>
        </w:rPr>
        <w:t>万美元</w:t>
      </w:r>
      <w:r>
        <w:rPr>
          <w:rFonts w:hint="eastAsia"/>
        </w:rPr>
        <w:t>的资金余额中</w:t>
      </w:r>
      <w:r w:rsidR="001E78A8" w:rsidRPr="001E78A8">
        <w:t>，</w:t>
      </w:r>
      <w:r>
        <w:rPr>
          <w:rFonts w:hint="eastAsia"/>
          <w:b/>
          <w:bCs/>
        </w:rPr>
        <w:t>189</w:t>
      </w:r>
      <w:r>
        <w:rPr>
          <w:rFonts w:hint="eastAsia"/>
          <w:b/>
          <w:bCs/>
        </w:rPr>
        <w:t>万美元</w:t>
      </w:r>
      <w:r>
        <w:rPr>
          <w:rFonts w:hint="eastAsia"/>
        </w:rPr>
        <w:t>是对</w:t>
      </w:r>
      <w:r w:rsidR="001E78A8" w:rsidRPr="001E78A8">
        <w:t>正在进行的活动</w:t>
      </w:r>
      <w:r>
        <w:rPr>
          <w:rFonts w:hint="eastAsia"/>
        </w:rPr>
        <w:t>的承付款</w:t>
      </w:r>
      <w:r w:rsidR="001E78A8" w:rsidRPr="001E78A8">
        <w:t>。</w:t>
      </w:r>
      <w:r>
        <w:rPr>
          <w:rFonts w:hint="eastAsia"/>
        </w:rPr>
        <w:t>将把</w:t>
      </w:r>
      <w:r w:rsidRPr="000F4FE5">
        <w:rPr>
          <w:rFonts w:hint="eastAsia"/>
        </w:rPr>
        <w:t>尚未承付的</w:t>
      </w:r>
      <w:r w:rsidRPr="000F4FE5">
        <w:rPr>
          <w:rFonts w:hint="eastAsia"/>
          <w:b/>
          <w:bCs/>
        </w:rPr>
        <w:t>726</w:t>
      </w:r>
      <w:r w:rsidRPr="000F4FE5">
        <w:rPr>
          <w:rFonts w:hint="eastAsia"/>
          <w:b/>
          <w:bCs/>
        </w:rPr>
        <w:t>万美元</w:t>
      </w:r>
      <w:r>
        <w:rPr>
          <w:rFonts w:hint="eastAsia"/>
        </w:rPr>
        <w:t>用于</w:t>
      </w:r>
      <w:r w:rsidR="001E78A8" w:rsidRPr="001E78A8">
        <w:t>进一步完善</w:t>
      </w:r>
      <w:r>
        <w:rPr>
          <w:rFonts w:hint="eastAsia"/>
        </w:rPr>
        <w:t>再循环系统和实现</w:t>
      </w:r>
      <w:r w:rsidRPr="001E78A8">
        <w:t>可持续</w:t>
      </w:r>
      <w:r w:rsidR="001E78A8" w:rsidRPr="001E78A8">
        <w:t>的</w:t>
      </w:r>
      <w:r w:rsidRPr="001E78A8">
        <w:t>哈龙</w:t>
      </w:r>
      <w:r w:rsidR="001E78A8" w:rsidRPr="001E78A8">
        <w:t>管理</w:t>
      </w:r>
      <w:r>
        <w:rPr>
          <w:rFonts w:hint="eastAsia"/>
        </w:rPr>
        <w:t>的活动</w:t>
      </w:r>
      <w:r w:rsidR="001E78A8" w:rsidRPr="001E78A8">
        <w:t>，其中包括：</w:t>
      </w:r>
      <w:r>
        <w:rPr>
          <w:rFonts w:hint="eastAsia"/>
        </w:rPr>
        <w:t xml:space="preserve"> halon-1</w:t>
      </w:r>
      <w:r w:rsidR="001E78A8" w:rsidRPr="001E78A8">
        <w:t>211</w:t>
      </w:r>
      <w:r>
        <w:rPr>
          <w:rFonts w:hint="eastAsia"/>
        </w:rPr>
        <w:t>再循环</w:t>
      </w:r>
      <w:r w:rsidR="001E78A8" w:rsidRPr="001E78A8">
        <w:t>中心</w:t>
      </w:r>
      <w:r>
        <w:rPr>
          <w:rFonts w:hint="eastAsia"/>
        </w:rPr>
        <w:t>的建立和运行、</w:t>
      </w:r>
      <w:r>
        <w:rPr>
          <w:rFonts w:hint="eastAsia"/>
        </w:rPr>
        <w:t>h</w:t>
      </w:r>
      <w:r>
        <w:t>alon-</w:t>
      </w:r>
      <w:r w:rsidR="001E78A8" w:rsidRPr="001E78A8">
        <w:t>1301</w:t>
      </w:r>
      <w:r>
        <w:rPr>
          <w:rFonts w:hint="eastAsia"/>
        </w:rPr>
        <w:t>再循环业务、</w:t>
      </w:r>
      <w:r w:rsidRPr="001E78A8">
        <w:t>哈龙</w:t>
      </w:r>
      <w:r>
        <w:rPr>
          <w:rFonts w:hint="eastAsia"/>
        </w:rPr>
        <w:t>再循环</w:t>
      </w:r>
      <w:r w:rsidRPr="001E78A8">
        <w:t>站</w:t>
      </w:r>
      <w:r>
        <w:rPr>
          <w:rFonts w:hint="eastAsia"/>
        </w:rPr>
        <w:t>的</w:t>
      </w:r>
      <w:r w:rsidR="001E78A8" w:rsidRPr="001E78A8">
        <w:t>能力建设</w:t>
      </w:r>
      <w:r>
        <w:rPr>
          <w:rFonts w:hint="eastAsia"/>
        </w:rPr>
        <w:t>、</w:t>
      </w:r>
      <w:r w:rsidR="001E78A8" w:rsidRPr="001E78A8">
        <w:t>哈龙检测仪的</w:t>
      </w:r>
      <w:r>
        <w:rPr>
          <w:rFonts w:hint="eastAsia"/>
        </w:rPr>
        <w:t>购置、</w:t>
      </w:r>
      <w:r w:rsidR="001E78A8" w:rsidRPr="001E78A8">
        <w:t>哈龙</w:t>
      </w:r>
      <w:r>
        <w:rPr>
          <w:rFonts w:hint="eastAsia"/>
        </w:rPr>
        <w:t>再循环</w:t>
      </w:r>
      <w:r w:rsidR="001E78A8" w:rsidRPr="001E78A8">
        <w:t>政策和法规研究</w:t>
      </w:r>
      <w:r>
        <w:rPr>
          <w:rFonts w:hint="eastAsia"/>
        </w:rPr>
        <w:t>、在</w:t>
      </w:r>
      <w:r w:rsidR="001E78A8" w:rsidRPr="001E78A8">
        <w:t>中国重点地区</w:t>
      </w:r>
      <w:r>
        <w:rPr>
          <w:rFonts w:hint="eastAsia"/>
        </w:rPr>
        <w:t>进行</w:t>
      </w:r>
      <w:r w:rsidR="001E78A8" w:rsidRPr="001E78A8">
        <w:t>哈龙数量调查以及</w:t>
      </w:r>
      <w:r>
        <w:rPr>
          <w:rFonts w:hint="eastAsia"/>
        </w:rPr>
        <w:t>报废</w:t>
      </w:r>
      <w:r w:rsidR="001E78A8" w:rsidRPr="001E78A8">
        <w:t>哈龙和残留物的处置。这些活动将在</w:t>
      </w:r>
      <w:r w:rsidR="001E78A8" w:rsidRPr="001E78A8">
        <w:t>2019</w:t>
      </w:r>
      <w:r w:rsidR="001E78A8" w:rsidRPr="001E78A8">
        <w:t>至</w:t>
      </w:r>
      <w:r w:rsidR="001E78A8" w:rsidRPr="001E78A8">
        <w:t>2022</w:t>
      </w:r>
      <w:r w:rsidR="001E78A8" w:rsidRPr="001E78A8">
        <w:t>年</w:t>
      </w:r>
      <w:r>
        <w:rPr>
          <w:rFonts w:hint="eastAsia"/>
        </w:rPr>
        <w:t>期间开展</w:t>
      </w:r>
      <w:r w:rsidR="001E78A8" w:rsidRPr="001E78A8">
        <w:t>。</w:t>
      </w:r>
    </w:p>
    <w:p w14:paraId="66DF43BA" w14:textId="6895D681" w:rsidR="000F4FE5" w:rsidRPr="000F4FE5" w:rsidRDefault="000F4FE5" w:rsidP="000F4FE5">
      <w:pPr>
        <w:spacing w:line="259" w:lineRule="auto"/>
        <w:jc w:val="both"/>
        <w:rPr>
          <w:u w:val="single"/>
        </w:rPr>
      </w:pPr>
      <w:r w:rsidRPr="000F4FE5">
        <w:rPr>
          <w:rFonts w:hint="eastAsia"/>
          <w:u w:val="single"/>
        </w:rPr>
        <w:t>二类加工剂</w:t>
      </w:r>
    </w:p>
    <w:p w14:paraId="7F418C03" w14:textId="5530CCA9" w:rsidR="000F4FE5" w:rsidRPr="000F4FE5" w:rsidRDefault="000F4FE5" w:rsidP="000508C7">
      <w:pPr>
        <w:numPr>
          <w:ilvl w:val="0"/>
          <w:numId w:val="20"/>
        </w:numPr>
        <w:spacing w:line="259" w:lineRule="auto"/>
        <w:ind w:left="0" w:firstLine="0"/>
        <w:jc w:val="both"/>
      </w:pPr>
      <w:r w:rsidRPr="000F4FE5">
        <w:rPr>
          <w:b/>
          <w:bCs/>
        </w:rPr>
        <w:t>2018</w:t>
      </w:r>
      <w:r w:rsidRPr="000F4FE5">
        <w:rPr>
          <w:b/>
          <w:bCs/>
        </w:rPr>
        <w:t>年</w:t>
      </w:r>
      <w:r w:rsidRPr="000F4FE5">
        <w:rPr>
          <w:b/>
          <w:bCs/>
        </w:rPr>
        <w:t>7</w:t>
      </w:r>
      <w:r w:rsidRPr="000F4FE5">
        <w:rPr>
          <w:b/>
          <w:bCs/>
        </w:rPr>
        <w:t>月</w:t>
      </w:r>
      <w:r w:rsidRPr="000F4FE5">
        <w:rPr>
          <w:b/>
          <w:bCs/>
        </w:rPr>
        <w:t>1</w:t>
      </w:r>
      <w:r w:rsidRPr="000F4FE5">
        <w:rPr>
          <w:b/>
          <w:bCs/>
        </w:rPr>
        <w:t>日至</w:t>
      </w:r>
      <w:r w:rsidRPr="000F4FE5">
        <w:rPr>
          <w:b/>
          <w:bCs/>
        </w:rPr>
        <w:t>2019</w:t>
      </w:r>
      <w:r w:rsidRPr="000F4FE5">
        <w:rPr>
          <w:b/>
          <w:bCs/>
        </w:rPr>
        <w:t>年</w:t>
      </w:r>
      <w:r w:rsidRPr="000F4FE5">
        <w:rPr>
          <w:b/>
          <w:bCs/>
        </w:rPr>
        <w:t>6</w:t>
      </w:r>
      <w:r w:rsidRPr="000F4FE5">
        <w:rPr>
          <w:b/>
          <w:bCs/>
        </w:rPr>
        <w:t>月</w:t>
      </w:r>
      <w:r w:rsidRPr="000F4FE5">
        <w:rPr>
          <w:b/>
          <w:bCs/>
        </w:rPr>
        <w:t>30</w:t>
      </w:r>
      <w:r w:rsidRPr="000F4FE5">
        <w:rPr>
          <w:b/>
          <w:bCs/>
        </w:rPr>
        <w:t>日期</w:t>
      </w:r>
      <w:r w:rsidRPr="000F4FE5">
        <w:t>间共</w:t>
      </w:r>
      <w:r w:rsidR="001800A0">
        <w:t>发放</w:t>
      </w:r>
      <w:r w:rsidRPr="000F4FE5">
        <w:rPr>
          <w:b/>
          <w:bCs/>
        </w:rPr>
        <w:t>了</w:t>
      </w:r>
      <w:r w:rsidRPr="000F4FE5">
        <w:rPr>
          <w:b/>
          <w:bCs/>
        </w:rPr>
        <w:t>4,256,910</w:t>
      </w:r>
      <w:r w:rsidRPr="000F4FE5">
        <w:rPr>
          <w:b/>
          <w:bCs/>
        </w:rPr>
        <w:t>美元</w:t>
      </w:r>
      <w:r w:rsidRPr="000F4FE5">
        <w:t>。</w:t>
      </w:r>
      <w:r w:rsidR="000508C7" w:rsidRPr="000508C7">
        <w:rPr>
          <w:rFonts w:hint="eastAsia"/>
        </w:rPr>
        <w:t>剩余资金</w:t>
      </w:r>
      <w:r w:rsidR="000508C7" w:rsidRPr="000508C7">
        <w:rPr>
          <w:b/>
          <w:bCs/>
          <w:lang w:val="en-CA"/>
        </w:rPr>
        <w:t>3,076,109</w:t>
      </w:r>
      <w:r w:rsidR="000508C7">
        <w:rPr>
          <w:rFonts w:hint="eastAsia"/>
          <w:b/>
          <w:bCs/>
          <w:lang w:val="en-CA"/>
        </w:rPr>
        <w:t>美元</w:t>
      </w:r>
      <w:r w:rsidR="000508C7" w:rsidRPr="000508C7">
        <w:rPr>
          <w:rFonts w:hint="eastAsia"/>
          <w:lang w:val="en-CA"/>
        </w:rPr>
        <w:t>预计将在</w:t>
      </w:r>
      <w:r w:rsidRPr="000F4FE5">
        <w:t>2019</w:t>
      </w:r>
      <w:r w:rsidR="000508C7">
        <w:rPr>
          <w:rFonts w:hint="eastAsia"/>
        </w:rPr>
        <w:t>年底至</w:t>
      </w:r>
      <w:r w:rsidRPr="000F4FE5">
        <w:t>202</w:t>
      </w:r>
      <w:r w:rsidR="000508C7">
        <w:rPr>
          <w:rFonts w:hint="eastAsia"/>
        </w:rPr>
        <w:t>0</w:t>
      </w:r>
      <w:r w:rsidRPr="000F4FE5">
        <w:t>结束之间</w:t>
      </w:r>
      <w:r w:rsidR="001800A0">
        <w:rPr>
          <w:rFonts w:hint="eastAsia"/>
        </w:rPr>
        <w:t>发放</w:t>
      </w:r>
      <w:r w:rsidR="000508C7">
        <w:rPr>
          <w:rFonts w:hint="eastAsia"/>
        </w:rPr>
        <w:t>。</w:t>
      </w:r>
      <w:r w:rsidR="000508C7">
        <w:rPr>
          <w:rStyle w:val="FootnoteReference"/>
        </w:rPr>
        <w:footnoteReference w:id="8"/>
      </w:r>
    </w:p>
    <w:p w14:paraId="10A54F38" w14:textId="400DB052" w:rsidR="000F4FE5" w:rsidRPr="000F4FE5" w:rsidRDefault="000F4FE5" w:rsidP="000F4FE5">
      <w:pPr>
        <w:numPr>
          <w:ilvl w:val="0"/>
          <w:numId w:val="20"/>
        </w:numPr>
        <w:spacing w:line="259" w:lineRule="auto"/>
        <w:ind w:left="0" w:firstLine="0"/>
        <w:jc w:val="both"/>
      </w:pPr>
      <w:r w:rsidRPr="000F4FE5">
        <w:rPr>
          <w:b/>
          <w:bCs/>
        </w:rPr>
        <w:t>2019</w:t>
      </w:r>
      <w:r w:rsidRPr="000F4FE5">
        <w:rPr>
          <w:b/>
          <w:bCs/>
        </w:rPr>
        <w:t>年</w:t>
      </w:r>
      <w:r w:rsidRPr="000F4FE5">
        <w:rPr>
          <w:b/>
          <w:bCs/>
        </w:rPr>
        <w:t>11</w:t>
      </w:r>
      <w:r w:rsidRPr="000F4FE5">
        <w:rPr>
          <w:b/>
          <w:bCs/>
        </w:rPr>
        <w:t>月</w:t>
      </w:r>
      <w:r w:rsidRPr="000F4FE5">
        <w:rPr>
          <w:b/>
          <w:bCs/>
        </w:rPr>
        <w:t>15</w:t>
      </w:r>
      <w:r w:rsidRPr="000F4FE5">
        <w:rPr>
          <w:b/>
          <w:bCs/>
        </w:rPr>
        <w:t>日收到了关于二类加工剂的进度报告，秘书处无法及时审查该报告以</w:t>
      </w:r>
      <w:r w:rsidR="00373D27">
        <w:rPr>
          <w:rFonts w:hint="eastAsia"/>
          <w:b/>
          <w:bCs/>
        </w:rPr>
        <w:t>将其包括在</w:t>
      </w:r>
      <w:r w:rsidRPr="000F4FE5">
        <w:rPr>
          <w:b/>
          <w:bCs/>
        </w:rPr>
        <w:t>本文件</w:t>
      </w:r>
      <w:r w:rsidR="00373D27">
        <w:rPr>
          <w:rFonts w:hint="eastAsia"/>
          <w:b/>
          <w:bCs/>
        </w:rPr>
        <w:t>之中</w:t>
      </w:r>
      <w:r w:rsidRPr="000F4FE5">
        <w:rPr>
          <w:b/>
          <w:bCs/>
        </w:rPr>
        <w:t>。为便于参考，下面提供</w:t>
      </w:r>
      <w:r w:rsidR="00373D27">
        <w:rPr>
          <w:rFonts w:hint="eastAsia"/>
          <w:b/>
          <w:bCs/>
        </w:rPr>
        <w:t>的是</w:t>
      </w:r>
      <w:r w:rsidRPr="000F4FE5">
        <w:rPr>
          <w:b/>
          <w:bCs/>
        </w:rPr>
        <w:t>提交第八十三次会议的信息。</w:t>
      </w:r>
      <w:r w:rsidRPr="000F4FE5">
        <w:t>               </w:t>
      </w:r>
    </w:p>
    <w:p w14:paraId="4D24D611" w14:textId="3E74BE5B" w:rsidR="00C678D9" w:rsidRDefault="00C678D9" w:rsidP="00C4138F">
      <w:pPr>
        <w:numPr>
          <w:ilvl w:val="0"/>
          <w:numId w:val="20"/>
        </w:numPr>
        <w:spacing w:line="259" w:lineRule="auto"/>
        <w:ind w:left="0" w:firstLine="0"/>
        <w:jc w:val="both"/>
      </w:pPr>
      <w:r>
        <w:rPr>
          <w:rFonts w:hint="eastAsia"/>
        </w:rPr>
        <w:t>与四氯化碳和其他</w:t>
      </w:r>
      <w:r w:rsidR="00C4138F">
        <w:rPr>
          <w:rFonts w:hint="eastAsia"/>
        </w:rPr>
        <w:t>ODS</w:t>
      </w:r>
      <w:r w:rsidR="007D1266">
        <w:rPr>
          <w:rFonts w:hint="eastAsia"/>
        </w:rPr>
        <w:t>生产厂家</w:t>
      </w:r>
      <w:r w:rsidR="00C4138F">
        <w:rPr>
          <w:rFonts w:hint="eastAsia"/>
        </w:rPr>
        <w:t>开展</w:t>
      </w:r>
      <w:r>
        <w:rPr>
          <w:rFonts w:hint="eastAsia"/>
        </w:rPr>
        <w:t>合作的</w:t>
      </w:r>
      <w:r w:rsidR="00C4138F">
        <w:rPr>
          <w:rFonts w:hint="eastAsia"/>
        </w:rPr>
        <w:t>六个生态和环境局得到了援助，用于</w:t>
      </w:r>
      <w:r>
        <w:rPr>
          <w:rFonts w:hint="eastAsia"/>
        </w:rPr>
        <w:t>设立</w:t>
      </w:r>
      <w:r w:rsidR="00C4138F">
        <w:rPr>
          <w:rFonts w:hint="eastAsia"/>
        </w:rPr>
        <w:t>ODS</w:t>
      </w:r>
      <w:r>
        <w:rPr>
          <w:rFonts w:hint="eastAsia"/>
        </w:rPr>
        <w:t>管理办公室、建立企业</w:t>
      </w:r>
      <w:r w:rsidR="00C4138F">
        <w:rPr>
          <w:rFonts w:hint="eastAsia"/>
        </w:rPr>
        <w:t>上报</w:t>
      </w:r>
      <w:r w:rsidR="00C4138F">
        <w:rPr>
          <w:rFonts w:hint="eastAsia"/>
        </w:rPr>
        <w:t>ODS</w:t>
      </w:r>
      <w:r>
        <w:rPr>
          <w:rFonts w:hint="eastAsia"/>
        </w:rPr>
        <w:t>数据的专门渠道以及</w:t>
      </w:r>
      <w:r w:rsidR="00C4138F">
        <w:rPr>
          <w:rFonts w:hint="eastAsia"/>
        </w:rPr>
        <w:t>对</w:t>
      </w:r>
      <w:r>
        <w:rPr>
          <w:rFonts w:hint="eastAsia"/>
        </w:rPr>
        <w:t>企业</w:t>
      </w:r>
      <w:r w:rsidR="00C4138F">
        <w:rPr>
          <w:rFonts w:hint="eastAsia"/>
        </w:rPr>
        <w:t>进行</w:t>
      </w:r>
      <w:r>
        <w:rPr>
          <w:rFonts w:hint="eastAsia"/>
        </w:rPr>
        <w:t>现场视察。该项目已经完成，最后一笔资金已于</w:t>
      </w:r>
      <w:r>
        <w:rPr>
          <w:rFonts w:hint="eastAsia"/>
        </w:rPr>
        <w:t>2019</w:t>
      </w:r>
      <w:r>
        <w:rPr>
          <w:rFonts w:hint="eastAsia"/>
        </w:rPr>
        <w:t>年</w:t>
      </w:r>
      <w:r>
        <w:rPr>
          <w:rFonts w:hint="eastAsia"/>
        </w:rPr>
        <w:t>1</w:t>
      </w:r>
      <w:r>
        <w:rPr>
          <w:rFonts w:hint="eastAsia"/>
        </w:rPr>
        <w:t>月</w:t>
      </w:r>
      <w:r w:rsidR="001800A0">
        <w:rPr>
          <w:rFonts w:hint="eastAsia"/>
        </w:rPr>
        <w:t>发放</w:t>
      </w:r>
      <w:r>
        <w:rPr>
          <w:rFonts w:hint="eastAsia"/>
        </w:rPr>
        <w:t>，为此项活动</w:t>
      </w:r>
      <w:r w:rsidR="001800A0">
        <w:rPr>
          <w:rFonts w:hint="eastAsia"/>
        </w:rPr>
        <w:t>发放</w:t>
      </w:r>
      <w:r>
        <w:rPr>
          <w:rFonts w:hint="eastAsia"/>
        </w:rPr>
        <w:t>的总金额为</w:t>
      </w:r>
      <w:r>
        <w:rPr>
          <w:rFonts w:hint="eastAsia"/>
        </w:rPr>
        <w:t>280,000</w:t>
      </w:r>
      <w:r>
        <w:rPr>
          <w:rFonts w:hint="eastAsia"/>
        </w:rPr>
        <w:t>美元。建议将剩余的</w:t>
      </w:r>
      <w:r>
        <w:rPr>
          <w:rFonts w:hint="eastAsia"/>
        </w:rPr>
        <w:t>8,357</w:t>
      </w:r>
      <w:r>
        <w:rPr>
          <w:rFonts w:hint="eastAsia"/>
        </w:rPr>
        <w:t>美元</w:t>
      </w:r>
      <w:r w:rsidR="00C4138F">
        <w:rPr>
          <w:rFonts w:hint="eastAsia"/>
        </w:rPr>
        <w:t>余额</w:t>
      </w:r>
      <w:r>
        <w:rPr>
          <w:rFonts w:hint="eastAsia"/>
        </w:rPr>
        <w:t>用于加强</w:t>
      </w:r>
      <w:r w:rsidR="00C4138F">
        <w:rPr>
          <w:rFonts w:hint="eastAsia"/>
        </w:rPr>
        <w:t>ODS</w:t>
      </w:r>
      <w:r>
        <w:rPr>
          <w:rFonts w:hint="eastAsia"/>
        </w:rPr>
        <w:t>的监测和管理。</w:t>
      </w:r>
    </w:p>
    <w:p w14:paraId="1935243E" w14:textId="196F7E1C" w:rsidR="00C678D9" w:rsidRDefault="00C678D9" w:rsidP="00C4138F">
      <w:pPr>
        <w:numPr>
          <w:ilvl w:val="0"/>
          <w:numId w:val="20"/>
        </w:numPr>
        <w:spacing w:line="259" w:lineRule="auto"/>
        <w:ind w:left="0" w:firstLine="0"/>
        <w:jc w:val="both"/>
      </w:pPr>
      <w:r>
        <w:rPr>
          <w:rFonts w:hint="eastAsia"/>
        </w:rPr>
        <w:t>正在</w:t>
      </w:r>
      <w:r w:rsidR="00C4138F">
        <w:rPr>
          <w:rFonts w:hint="eastAsia"/>
        </w:rPr>
        <w:t>执行一个</w:t>
      </w:r>
      <w:r>
        <w:rPr>
          <w:rFonts w:hint="eastAsia"/>
        </w:rPr>
        <w:t>四氯化碳残留物处置项目，以支持四氯化碳副产品</w:t>
      </w:r>
      <w:r w:rsidR="007D1266">
        <w:rPr>
          <w:rFonts w:hint="eastAsia"/>
        </w:rPr>
        <w:t>生产厂家</w:t>
      </w:r>
      <w:r>
        <w:rPr>
          <w:rFonts w:hint="eastAsia"/>
        </w:rPr>
        <w:t>处置其四氯化碳精炼和转化设施产生的蒸馏残留物。与</w:t>
      </w:r>
      <w:r w:rsidR="00C4138F">
        <w:rPr>
          <w:rFonts w:hint="eastAsia"/>
        </w:rPr>
        <w:t>九</w:t>
      </w:r>
      <w:r>
        <w:rPr>
          <w:rFonts w:hint="eastAsia"/>
        </w:rPr>
        <w:t>家企业签署了总值</w:t>
      </w:r>
      <w:r>
        <w:rPr>
          <w:rFonts w:hint="eastAsia"/>
        </w:rPr>
        <w:t>460</w:t>
      </w:r>
      <w:r>
        <w:rPr>
          <w:rFonts w:hint="eastAsia"/>
        </w:rPr>
        <w:t>万美元的合同，用于建造焚烧炉（</w:t>
      </w:r>
      <w:r>
        <w:rPr>
          <w:rFonts w:hint="eastAsia"/>
        </w:rPr>
        <w:t>3</w:t>
      </w:r>
      <w:r>
        <w:rPr>
          <w:rFonts w:hint="eastAsia"/>
        </w:rPr>
        <w:t>）、现有焚烧炉</w:t>
      </w:r>
      <w:r w:rsidR="00C4138F">
        <w:rPr>
          <w:rFonts w:hint="eastAsia"/>
        </w:rPr>
        <w:t>升级</w:t>
      </w:r>
      <w:r>
        <w:rPr>
          <w:rFonts w:hint="eastAsia"/>
        </w:rPr>
        <w:t>（</w:t>
      </w:r>
      <w:r>
        <w:rPr>
          <w:rFonts w:hint="eastAsia"/>
        </w:rPr>
        <w:t>2</w:t>
      </w:r>
      <w:r>
        <w:rPr>
          <w:rFonts w:hint="eastAsia"/>
        </w:rPr>
        <w:t>）、建造减少残留物的装置（</w:t>
      </w:r>
      <w:r>
        <w:rPr>
          <w:rFonts w:hint="eastAsia"/>
        </w:rPr>
        <w:t>2</w:t>
      </w:r>
      <w:r>
        <w:rPr>
          <w:rFonts w:hint="eastAsia"/>
        </w:rPr>
        <w:t>）和补贴运营</w:t>
      </w:r>
      <w:r w:rsidR="00C4138F">
        <w:rPr>
          <w:rFonts w:hint="eastAsia"/>
        </w:rPr>
        <w:t>费用</w:t>
      </w:r>
      <w:r>
        <w:rPr>
          <w:rFonts w:hint="eastAsia"/>
        </w:rPr>
        <w:t>（</w:t>
      </w:r>
      <w:r>
        <w:rPr>
          <w:rFonts w:hint="eastAsia"/>
        </w:rPr>
        <w:t>2</w:t>
      </w:r>
      <w:r>
        <w:rPr>
          <w:rFonts w:hint="eastAsia"/>
        </w:rPr>
        <w:t>）。已完成三个焚烧炉和两个减少残留物装置的建造，对焚烧炉和装置进行</w:t>
      </w:r>
      <w:r w:rsidR="00C4138F">
        <w:rPr>
          <w:rFonts w:hint="eastAsia"/>
        </w:rPr>
        <w:t>了</w:t>
      </w:r>
      <w:r>
        <w:rPr>
          <w:rFonts w:hint="eastAsia"/>
        </w:rPr>
        <w:t>测试；一家企业已完成对现有焚烧炉的升级，但另一家企业尚未完成升级。对</w:t>
      </w:r>
      <w:r w:rsidR="001800A0">
        <w:rPr>
          <w:rFonts w:hint="eastAsia"/>
        </w:rPr>
        <w:t>接受</w:t>
      </w:r>
      <w:r>
        <w:rPr>
          <w:rFonts w:hint="eastAsia"/>
        </w:rPr>
        <w:t>焚烧炉</w:t>
      </w:r>
      <w:r w:rsidR="001800A0">
        <w:rPr>
          <w:rFonts w:hint="eastAsia"/>
        </w:rPr>
        <w:t>运行</w:t>
      </w:r>
      <w:r>
        <w:rPr>
          <w:rFonts w:hint="eastAsia"/>
        </w:rPr>
        <w:t>补贴的两</w:t>
      </w:r>
      <w:r w:rsidR="001800A0">
        <w:rPr>
          <w:rFonts w:hint="eastAsia"/>
        </w:rPr>
        <w:t>家</w:t>
      </w:r>
      <w:r>
        <w:rPr>
          <w:rFonts w:hint="eastAsia"/>
        </w:rPr>
        <w:t>企业进行现场核查的结果证实</w:t>
      </w:r>
      <w:r w:rsidR="001800A0">
        <w:rPr>
          <w:rFonts w:hint="eastAsia"/>
        </w:rPr>
        <w:t>，</w:t>
      </w:r>
      <w:r>
        <w:rPr>
          <w:rFonts w:hint="eastAsia"/>
        </w:rPr>
        <w:t>它们</w:t>
      </w:r>
      <w:r w:rsidR="001800A0">
        <w:rPr>
          <w:rFonts w:hint="eastAsia"/>
        </w:rPr>
        <w:t>确实在</w:t>
      </w:r>
      <w:r>
        <w:rPr>
          <w:rFonts w:hint="eastAsia"/>
        </w:rPr>
        <w:t>使用焚烧炉处置四氯化碳残留物。为这些活动</w:t>
      </w:r>
      <w:r w:rsidR="001800A0">
        <w:rPr>
          <w:rFonts w:hint="eastAsia"/>
        </w:rPr>
        <w:t>发放</w:t>
      </w:r>
      <w:r>
        <w:rPr>
          <w:rFonts w:hint="eastAsia"/>
        </w:rPr>
        <w:t>的资金为</w:t>
      </w:r>
      <w:r>
        <w:rPr>
          <w:rFonts w:hint="eastAsia"/>
        </w:rPr>
        <w:t>3,228,084</w:t>
      </w:r>
      <w:r>
        <w:rPr>
          <w:rFonts w:hint="eastAsia"/>
        </w:rPr>
        <w:t>美元，</w:t>
      </w:r>
      <w:r w:rsidR="001800A0">
        <w:rPr>
          <w:rFonts w:hint="eastAsia"/>
        </w:rPr>
        <w:t>最迟到</w:t>
      </w:r>
      <w:r>
        <w:rPr>
          <w:rFonts w:hint="eastAsia"/>
        </w:rPr>
        <w:t>2019</w:t>
      </w:r>
      <w:r>
        <w:rPr>
          <w:rFonts w:hint="eastAsia"/>
        </w:rPr>
        <w:t>年</w:t>
      </w:r>
      <w:r>
        <w:rPr>
          <w:rFonts w:hint="eastAsia"/>
        </w:rPr>
        <w:t>12</w:t>
      </w:r>
      <w:r>
        <w:rPr>
          <w:rFonts w:hint="eastAsia"/>
        </w:rPr>
        <w:t>月</w:t>
      </w:r>
      <w:r w:rsidR="001800A0">
        <w:rPr>
          <w:rFonts w:hint="eastAsia"/>
        </w:rPr>
        <w:t>还将</w:t>
      </w:r>
      <w:r>
        <w:rPr>
          <w:rFonts w:hint="eastAsia"/>
        </w:rPr>
        <w:t>为</w:t>
      </w:r>
      <w:r w:rsidR="001800A0">
        <w:rPr>
          <w:rFonts w:hint="eastAsia"/>
        </w:rPr>
        <w:t>届时</w:t>
      </w:r>
      <w:r>
        <w:rPr>
          <w:rFonts w:hint="eastAsia"/>
        </w:rPr>
        <w:t>完成的活动</w:t>
      </w:r>
      <w:r w:rsidR="001800A0">
        <w:rPr>
          <w:rFonts w:hint="eastAsia"/>
        </w:rPr>
        <w:t>发放</w:t>
      </w:r>
      <w:r>
        <w:rPr>
          <w:rFonts w:hint="eastAsia"/>
        </w:rPr>
        <w:t>1,371,915</w:t>
      </w:r>
      <w:r>
        <w:rPr>
          <w:rFonts w:hint="eastAsia"/>
        </w:rPr>
        <w:t>美元。建议将剩下的</w:t>
      </w:r>
      <w:r w:rsidR="001800A0">
        <w:rPr>
          <w:rFonts w:hint="eastAsia"/>
        </w:rPr>
        <w:t>余额</w:t>
      </w:r>
      <w:r>
        <w:rPr>
          <w:rFonts w:hint="eastAsia"/>
        </w:rPr>
        <w:t>845,970</w:t>
      </w:r>
      <w:r>
        <w:rPr>
          <w:rFonts w:hint="eastAsia"/>
        </w:rPr>
        <w:t>美元用于加强</w:t>
      </w:r>
      <w:r w:rsidR="00C4138F">
        <w:rPr>
          <w:rFonts w:hint="eastAsia"/>
        </w:rPr>
        <w:t>ODS</w:t>
      </w:r>
      <w:r>
        <w:rPr>
          <w:rFonts w:hint="eastAsia"/>
        </w:rPr>
        <w:t>的监测和管理。</w:t>
      </w:r>
      <w:r>
        <w:rPr>
          <w:rFonts w:hint="eastAsia"/>
        </w:rPr>
        <w:t xml:space="preserve"> </w:t>
      </w:r>
    </w:p>
    <w:p w14:paraId="26BC1EBD" w14:textId="5B62630A" w:rsidR="00C678D9" w:rsidRDefault="00C678D9" w:rsidP="00C4138F">
      <w:pPr>
        <w:numPr>
          <w:ilvl w:val="0"/>
          <w:numId w:val="20"/>
        </w:numPr>
        <w:spacing w:line="259" w:lineRule="auto"/>
        <w:ind w:left="0" w:firstLine="0"/>
        <w:jc w:val="both"/>
      </w:pPr>
      <w:r>
        <w:rPr>
          <w:rFonts w:hint="eastAsia"/>
        </w:rPr>
        <w:t>根据执行委员会第</w:t>
      </w:r>
      <w:r>
        <w:rPr>
          <w:rFonts w:hint="eastAsia"/>
        </w:rPr>
        <w:t>75/18</w:t>
      </w:r>
      <w:r>
        <w:rPr>
          <w:rFonts w:hint="eastAsia"/>
        </w:rPr>
        <w:t>号决定的要求，</w:t>
      </w:r>
      <w:r>
        <w:rPr>
          <w:rFonts w:hint="eastAsia"/>
        </w:rPr>
        <w:t>2018</w:t>
      </w:r>
      <w:r>
        <w:rPr>
          <w:rFonts w:hint="eastAsia"/>
        </w:rPr>
        <w:t>年</w:t>
      </w:r>
      <w:r>
        <w:rPr>
          <w:rFonts w:hint="eastAsia"/>
        </w:rPr>
        <w:t>3</w:t>
      </w:r>
      <w:r>
        <w:rPr>
          <w:rFonts w:hint="eastAsia"/>
        </w:rPr>
        <w:t>月</w:t>
      </w:r>
      <w:r w:rsidR="00C10CF3">
        <w:rPr>
          <w:rFonts w:hint="eastAsia"/>
        </w:rPr>
        <w:t>开始</w:t>
      </w:r>
      <w:r>
        <w:rPr>
          <w:rFonts w:hint="eastAsia"/>
        </w:rPr>
        <w:t>对中国四氯化碳的生产</w:t>
      </w:r>
      <w:r w:rsidR="00C10CF3">
        <w:rPr>
          <w:rFonts w:hint="eastAsia"/>
        </w:rPr>
        <w:t>和在</w:t>
      </w:r>
      <w:r>
        <w:rPr>
          <w:rFonts w:hint="eastAsia"/>
        </w:rPr>
        <w:t>原料</w:t>
      </w:r>
      <w:r w:rsidR="00C10CF3">
        <w:rPr>
          <w:rFonts w:hint="eastAsia"/>
        </w:rPr>
        <w:t>应用中的使用情况进行</w:t>
      </w:r>
      <w:r>
        <w:rPr>
          <w:rFonts w:hint="eastAsia"/>
        </w:rPr>
        <w:t>研究。已经设计</w:t>
      </w:r>
      <w:r w:rsidR="00C10CF3">
        <w:rPr>
          <w:rFonts w:hint="eastAsia"/>
        </w:rPr>
        <w:t>出</w:t>
      </w:r>
      <w:r>
        <w:rPr>
          <w:rFonts w:hint="eastAsia"/>
        </w:rPr>
        <w:t>了</w:t>
      </w:r>
      <w:r w:rsidR="00C10CF3">
        <w:rPr>
          <w:rFonts w:hint="eastAsia"/>
        </w:rPr>
        <w:t>针对</w:t>
      </w:r>
      <w:r>
        <w:rPr>
          <w:rFonts w:hint="eastAsia"/>
        </w:rPr>
        <w:t>甲烷氯化物生产企业（四氯化碳副产品</w:t>
      </w:r>
      <w:r w:rsidR="007D1266">
        <w:rPr>
          <w:rFonts w:hint="eastAsia"/>
        </w:rPr>
        <w:t>生产厂家</w:t>
      </w:r>
      <w:r>
        <w:rPr>
          <w:rFonts w:hint="eastAsia"/>
        </w:rPr>
        <w:t>）和四氯化碳原料应用企业的调查问卷</w:t>
      </w:r>
      <w:r w:rsidR="00C10CF3">
        <w:rPr>
          <w:rFonts w:hint="eastAsia"/>
        </w:rPr>
        <w:t>，</w:t>
      </w:r>
      <w:r>
        <w:rPr>
          <w:rFonts w:hint="eastAsia"/>
        </w:rPr>
        <w:t>并</w:t>
      </w:r>
      <w:r w:rsidR="00C10CF3">
        <w:rPr>
          <w:rFonts w:hint="eastAsia"/>
        </w:rPr>
        <w:t>于</w:t>
      </w:r>
      <w:r>
        <w:rPr>
          <w:rFonts w:hint="eastAsia"/>
        </w:rPr>
        <w:t>7</w:t>
      </w:r>
      <w:r>
        <w:rPr>
          <w:rFonts w:hint="eastAsia"/>
        </w:rPr>
        <w:t>月分发。正在对企业进行实地调查并编写一份</w:t>
      </w:r>
      <w:r w:rsidR="00C10CF3">
        <w:rPr>
          <w:rFonts w:hint="eastAsia"/>
        </w:rPr>
        <w:t>报告，</w:t>
      </w:r>
      <w:r>
        <w:rPr>
          <w:rFonts w:hint="eastAsia"/>
        </w:rPr>
        <w:t>评估目前四氯化碳生产和原料应用</w:t>
      </w:r>
      <w:r w:rsidR="00C10CF3">
        <w:rPr>
          <w:rFonts w:hint="eastAsia"/>
        </w:rPr>
        <w:t>所</w:t>
      </w:r>
      <w:r>
        <w:rPr>
          <w:rFonts w:hint="eastAsia"/>
        </w:rPr>
        <w:t>产生的排放。该报告已于</w:t>
      </w:r>
      <w:r>
        <w:rPr>
          <w:rFonts w:hint="eastAsia"/>
        </w:rPr>
        <w:t>2019</w:t>
      </w:r>
      <w:r>
        <w:rPr>
          <w:rFonts w:hint="eastAsia"/>
        </w:rPr>
        <w:t>年</w:t>
      </w:r>
      <w:r w:rsidR="00C10CF3">
        <w:rPr>
          <w:rFonts w:hint="eastAsia"/>
        </w:rPr>
        <w:t>10</w:t>
      </w:r>
      <w:r>
        <w:rPr>
          <w:rFonts w:hint="eastAsia"/>
        </w:rPr>
        <w:t>月</w:t>
      </w:r>
      <w:r>
        <w:rPr>
          <w:rFonts w:hint="eastAsia"/>
        </w:rPr>
        <w:t>2</w:t>
      </w:r>
      <w:r w:rsidR="00C10CF3">
        <w:rPr>
          <w:rFonts w:hint="eastAsia"/>
        </w:rPr>
        <w:t>1</w:t>
      </w:r>
      <w:r>
        <w:rPr>
          <w:rFonts w:hint="eastAsia"/>
        </w:rPr>
        <w:t>日提交；</w:t>
      </w:r>
      <w:r w:rsidRPr="00C10CF3">
        <w:rPr>
          <w:rFonts w:hint="eastAsia"/>
          <w:b/>
          <w:bCs/>
        </w:rPr>
        <w:t>秘书处</w:t>
      </w:r>
      <w:r w:rsidR="00C10CF3" w:rsidRPr="00C10CF3">
        <w:rPr>
          <w:rFonts w:hint="eastAsia"/>
          <w:b/>
          <w:bCs/>
        </w:rPr>
        <w:t>将把报告和它对报告的审查意见作为</w:t>
      </w:r>
      <w:r w:rsidR="00C10CF3" w:rsidRPr="00C10CF3">
        <w:rPr>
          <w:b/>
          <w:bCs/>
          <w:lang w:val="en-CA"/>
        </w:rPr>
        <w:t>UNEP/</w:t>
      </w:r>
      <w:proofErr w:type="spellStart"/>
      <w:r w:rsidR="00C10CF3" w:rsidRPr="00C10CF3">
        <w:rPr>
          <w:b/>
          <w:bCs/>
          <w:lang w:val="en-CA"/>
        </w:rPr>
        <w:t>OzLPro</w:t>
      </w:r>
      <w:proofErr w:type="spellEnd"/>
      <w:r w:rsidR="00C10CF3" w:rsidRPr="00C10CF3">
        <w:rPr>
          <w:b/>
          <w:bCs/>
          <w:lang w:val="en-CA"/>
        </w:rPr>
        <w:t>/</w:t>
      </w:r>
      <w:proofErr w:type="spellStart"/>
      <w:r w:rsidR="00C10CF3" w:rsidRPr="00C10CF3">
        <w:rPr>
          <w:b/>
          <w:bCs/>
          <w:lang w:val="en-CA"/>
        </w:rPr>
        <w:t>ExCom</w:t>
      </w:r>
      <w:proofErr w:type="spellEnd"/>
      <w:r w:rsidR="00C10CF3" w:rsidRPr="00C10CF3">
        <w:rPr>
          <w:b/>
          <w:bCs/>
          <w:lang w:val="en-CA"/>
        </w:rPr>
        <w:t>/84/22</w:t>
      </w:r>
      <w:r w:rsidR="00C10CF3" w:rsidRPr="00C10CF3">
        <w:rPr>
          <w:rFonts w:hint="eastAsia"/>
          <w:b/>
          <w:bCs/>
          <w:lang w:val="en-CA"/>
        </w:rPr>
        <w:t>号文件的附录二提交</w:t>
      </w:r>
      <w:r>
        <w:rPr>
          <w:rFonts w:hint="eastAsia"/>
        </w:rPr>
        <w:t>。</w:t>
      </w:r>
      <w:r>
        <w:rPr>
          <w:rFonts w:hint="eastAsia"/>
        </w:rPr>
        <w:t xml:space="preserve"> </w:t>
      </w:r>
    </w:p>
    <w:p w14:paraId="19F405B0" w14:textId="3A2F097B" w:rsidR="00C678D9" w:rsidRDefault="00C678D9" w:rsidP="00C4138F">
      <w:pPr>
        <w:numPr>
          <w:ilvl w:val="0"/>
          <w:numId w:val="20"/>
        </w:numPr>
        <w:spacing w:line="259" w:lineRule="auto"/>
        <w:ind w:left="0" w:firstLine="0"/>
        <w:jc w:val="both"/>
      </w:pPr>
      <w:r>
        <w:rPr>
          <w:rFonts w:hint="eastAsia"/>
        </w:rPr>
        <w:lastRenderedPageBreak/>
        <w:t>第</w:t>
      </w:r>
      <w:r>
        <w:rPr>
          <w:rFonts w:hint="eastAsia"/>
        </w:rPr>
        <w:t>XXIII/6</w:t>
      </w:r>
      <w:r>
        <w:rPr>
          <w:rFonts w:hint="eastAsia"/>
        </w:rPr>
        <w:t>号决定规定，在</w:t>
      </w:r>
      <w:r>
        <w:rPr>
          <w:rFonts w:hint="eastAsia"/>
        </w:rPr>
        <w:t>2014</w:t>
      </w:r>
      <w:r>
        <w:rPr>
          <w:rFonts w:hint="eastAsia"/>
        </w:rPr>
        <w:t>年</w:t>
      </w:r>
      <w:r>
        <w:rPr>
          <w:rFonts w:hint="eastAsia"/>
        </w:rPr>
        <w:t>12</w:t>
      </w:r>
      <w:r>
        <w:rPr>
          <w:rFonts w:hint="eastAsia"/>
        </w:rPr>
        <w:t>月</w:t>
      </w:r>
      <w:r>
        <w:rPr>
          <w:rFonts w:hint="eastAsia"/>
        </w:rPr>
        <w:t>31</w:t>
      </w:r>
      <w:r>
        <w:rPr>
          <w:rFonts w:hint="eastAsia"/>
        </w:rPr>
        <w:t>日之后，只有在</w:t>
      </w:r>
      <w:r w:rsidR="004D3019">
        <w:rPr>
          <w:rFonts w:hint="eastAsia"/>
        </w:rPr>
        <w:t>得到</w:t>
      </w:r>
      <w:r>
        <w:rPr>
          <w:rFonts w:hint="eastAsia"/>
        </w:rPr>
        <w:t>必要用途豁免</w:t>
      </w:r>
      <w:r w:rsidR="004D3019">
        <w:rPr>
          <w:rFonts w:hint="eastAsia"/>
        </w:rPr>
        <w:t>时</w:t>
      </w:r>
      <w:r>
        <w:rPr>
          <w:rFonts w:hint="eastAsia"/>
        </w:rPr>
        <w:t>才</w:t>
      </w:r>
      <w:r w:rsidR="004D3019">
        <w:rPr>
          <w:rFonts w:hint="eastAsia"/>
        </w:rPr>
        <w:t>可</w:t>
      </w:r>
      <w:r>
        <w:rPr>
          <w:rFonts w:hint="eastAsia"/>
        </w:rPr>
        <w:t>使用四氯化碳测试水中含油量。</w:t>
      </w:r>
      <w:r>
        <w:rPr>
          <w:rFonts w:hint="eastAsia"/>
        </w:rPr>
        <w:t>2017</w:t>
      </w:r>
      <w:r>
        <w:rPr>
          <w:rFonts w:hint="eastAsia"/>
        </w:rPr>
        <w:t>年，中国政府宣布</w:t>
      </w:r>
      <w:r w:rsidR="004D3019">
        <w:rPr>
          <w:rFonts w:hint="eastAsia"/>
        </w:rPr>
        <w:t>承诺最迟于</w:t>
      </w:r>
      <w:r>
        <w:rPr>
          <w:rFonts w:hint="eastAsia"/>
        </w:rPr>
        <w:t>2019</w:t>
      </w:r>
      <w:r>
        <w:rPr>
          <w:rFonts w:hint="eastAsia"/>
        </w:rPr>
        <w:t>年停止在实验室使用四氯化碳测试水中含油量。</w:t>
      </w:r>
      <w:r>
        <w:rPr>
          <w:rFonts w:hint="eastAsia"/>
        </w:rPr>
        <w:t>2018</w:t>
      </w:r>
      <w:r>
        <w:rPr>
          <w:rFonts w:hint="eastAsia"/>
        </w:rPr>
        <w:t>年</w:t>
      </w:r>
      <w:r>
        <w:rPr>
          <w:rFonts w:hint="eastAsia"/>
        </w:rPr>
        <w:t>1</w:t>
      </w:r>
      <w:r>
        <w:rPr>
          <w:rFonts w:hint="eastAsia"/>
        </w:rPr>
        <w:t>月，</w:t>
      </w:r>
      <w:r w:rsidR="004D3019">
        <w:rPr>
          <w:rFonts w:hint="eastAsia"/>
        </w:rPr>
        <w:t>FECO</w:t>
      </w:r>
      <w:r>
        <w:rPr>
          <w:rFonts w:hint="eastAsia"/>
        </w:rPr>
        <w:t>与天津生态环境监测中心签订合同，制定替代测试标准。现已确定使用正己烷取代四氯化碳的技术方法，并制定了三项国家标准，</w:t>
      </w:r>
      <w:r w:rsidR="004D3019">
        <w:rPr>
          <w:rFonts w:hint="eastAsia"/>
        </w:rPr>
        <w:t>予以公布</w:t>
      </w:r>
      <w:r>
        <w:rPr>
          <w:rFonts w:hint="eastAsia"/>
        </w:rPr>
        <w:t>并</w:t>
      </w:r>
      <w:r w:rsidR="004D3019">
        <w:rPr>
          <w:rFonts w:hint="eastAsia"/>
        </w:rPr>
        <w:t>使其于</w:t>
      </w:r>
      <w:r>
        <w:rPr>
          <w:rFonts w:hint="eastAsia"/>
        </w:rPr>
        <w:t>2019</w:t>
      </w:r>
      <w:r>
        <w:rPr>
          <w:rFonts w:hint="eastAsia"/>
        </w:rPr>
        <w:t>年</w:t>
      </w:r>
      <w:r>
        <w:rPr>
          <w:rFonts w:hint="eastAsia"/>
        </w:rPr>
        <w:t>1</w:t>
      </w:r>
      <w:r>
        <w:rPr>
          <w:rFonts w:hint="eastAsia"/>
        </w:rPr>
        <w:t>月</w:t>
      </w:r>
      <w:r>
        <w:rPr>
          <w:rFonts w:hint="eastAsia"/>
        </w:rPr>
        <w:t>1</w:t>
      </w:r>
      <w:r>
        <w:rPr>
          <w:rFonts w:hint="eastAsia"/>
        </w:rPr>
        <w:t>日生效，为合同的最后一笔付款发放了</w:t>
      </w:r>
      <w:r>
        <w:rPr>
          <w:rFonts w:hint="eastAsia"/>
        </w:rPr>
        <w:t>10,978</w:t>
      </w:r>
      <w:r>
        <w:rPr>
          <w:rFonts w:hint="eastAsia"/>
        </w:rPr>
        <w:t>美元。</w:t>
      </w:r>
      <w:r>
        <w:rPr>
          <w:rFonts w:hint="eastAsia"/>
        </w:rPr>
        <w:t>2018</w:t>
      </w:r>
      <w:r>
        <w:rPr>
          <w:rFonts w:hint="eastAsia"/>
        </w:rPr>
        <w:t>年</w:t>
      </w:r>
      <w:r>
        <w:rPr>
          <w:rFonts w:hint="eastAsia"/>
        </w:rPr>
        <w:t>8</w:t>
      </w:r>
      <w:r>
        <w:rPr>
          <w:rFonts w:hint="eastAsia"/>
        </w:rPr>
        <w:t>月与北京国化精试咨询有限公司签订了合同，继续进行替代技术的培训和推广，以取代实验室</w:t>
      </w:r>
      <w:r w:rsidR="004D3019">
        <w:rPr>
          <w:rFonts w:hint="eastAsia"/>
        </w:rPr>
        <w:t>分析</w:t>
      </w:r>
      <w:r>
        <w:rPr>
          <w:rFonts w:hint="eastAsia"/>
        </w:rPr>
        <w:t>中使用</w:t>
      </w:r>
      <w:r w:rsidR="004D3019">
        <w:rPr>
          <w:rFonts w:hint="eastAsia"/>
        </w:rPr>
        <w:t>的</w:t>
      </w:r>
      <w:r w:rsidR="00C4138F">
        <w:rPr>
          <w:rFonts w:hint="eastAsia"/>
        </w:rPr>
        <w:t>ODS</w:t>
      </w:r>
      <w:r>
        <w:rPr>
          <w:rFonts w:hint="eastAsia"/>
        </w:rPr>
        <w:t>；合同</w:t>
      </w:r>
      <w:r w:rsidR="004D3019">
        <w:rPr>
          <w:rFonts w:hint="eastAsia"/>
        </w:rPr>
        <w:t>费用为</w:t>
      </w:r>
      <w:r>
        <w:rPr>
          <w:rFonts w:hint="eastAsia"/>
        </w:rPr>
        <w:t>110,224</w:t>
      </w:r>
      <w:r>
        <w:rPr>
          <w:rFonts w:hint="eastAsia"/>
        </w:rPr>
        <w:t>美元，已经发放第一笔</w:t>
      </w:r>
      <w:r w:rsidR="001800A0">
        <w:rPr>
          <w:rFonts w:hint="eastAsia"/>
        </w:rPr>
        <w:t>资金</w:t>
      </w:r>
      <w:r>
        <w:rPr>
          <w:rFonts w:hint="eastAsia"/>
        </w:rPr>
        <w:t>10,978</w:t>
      </w:r>
      <w:r w:rsidR="00824C2B">
        <w:t> </w:t>
      </w:r>
      <w:r>
        <w:rPr>
          <w:rFonts w:hint="eastAsia"/>
        </w:rPr>
        <w:t>美元。另外还</w:t>
      </w:r>
      <w:r w:rsidR="004D3019">
        <w:rPr>
          <w:rFonts w:hint="eastAsia"/>
        </w:rPr>
        <w:t>向</w:t>
      </w:r>
      <w:r>
        <w:rPr>
          <w:rFonts w:hint="eastAsia"/>
        </w:rPr>
        <w:t>为项目评价、验收和现场核查提供技术支持的专家发放了</w:t>
      </w:r>
      <w:r>
        <w:rPr>
          <w:rFonts w:hint="eastAsia"/>
        </w:rPr>
        <w:t>14,125</w:t>
      </w:r>
      <w:r>
        <w:rPr>
          <w:rFonts w:hint="eastAsia"/>
        </w:rPr>
        <w:t>美元。</w:t>
      </w:r>
    </w:p>
    <w:p w14:paraId="418B0049" w14:textId="1C43C6C3" w:rsidR="00C678D9" w:rsidRDefault="00C678D9" w:rsidP="00C4138F">
      <w:pPr>
        <w:numPr>
          <w:ilvl w:val="0"/>
          <w:numId w:val="20"/>
        </w:numPr>
        <w:spacing w:line="259" w:lineRule="auto"/>
        <w:ind w:left="0" w:firstLine="0"/>
        <w:jc w:val="both"/>
      </w:pPr>
      <w:r>
        <w:rPr>
          <w:rFonts w:hint="eastAsia"/>
        </w:rPr>
        <w:t>此外还</w:t>
      </w:r>
      <w:r w:rsidR="004D3019">
        <w:rPr>
          <w:rFonts w:hint="eastAsia"/>
        </w:rPr>
        <w:t>发起</w:t>
      </w:r>
      <w:r>
        <w:rPr>
          <w:rFonts w:hint="eastAsia"/>
        </w:rPr>
        <w:t>了两个项目，为可持续履行《蒙特利尔议定书》加强能力建设。一个项目是设计和建造</w:t>
      </w:r>
      <w:r w:rsidR="00C4138F">
        <w:rPr>
          <w:rFonts w:hint="eastAsia"/>
        </w:rPr>
        <w:t>ODS</w:t>
      </w:r>
      <w:r>
        <w:rPr>
          <w:rFonts w:hint="eastAsia"/>
        </w:rPr>
        <w:t>在线数据报告信息系统（第二阶段）（</w:t>
      </w:r>
      <w:r>
        <w:rPr>
          <w:rFonts w:hint="eastAsia"/>
        </w:rPr>
        <w:t>250,000</w:t>
      </w:r>
      <w:r>
        <w:rPr>
          <w:rFonts w:hint="eastAsia"/>
        </w:rPr>
        <w:t>美元）。</w:t>
      </w:r>
      <w:r w:rsidR="004D3019">
        <w:rPr>
          <w:rFonts w:hint="eastAsia"/>
        </w:rPr>
        <w:t>该</w:t>
      </w:r>
      <w:r>
        <w:rPr>
          <w:rFonts w:hint="eastAsia"/>
        </w:rPr>
        <w:t>在线系统</w:t>
      </w:r>
      <w:r w:rsidR="004D3019">
        <w:rPr>
          <w:rFonts w:hint="eastAsia"/>
        </w:rPr>
        <w:t>将</w:t>
      </w:r>
      <w:r>
        <w:rPr>
          <w:rFonts w:hint="eastAsia"/>
        </w:rPr>
        <w:t>整合所有</w:t>
      </w:r>
      <w:r w:rsidR="00C4138F">
        <w:rPr>
          <w:rFonts w:hint="eastAsia"/>
        </w:rPr>
        <w:t>ODS</w:t>
      </w:r>
      <w:r>
        <w:rPr>
          <w:rFonts w:hint="eastAsia"/>
        </w:rPr>
        <w:t>的数据，</w:t>
      </w:r>
      <w:r w:rsidR="004D3019">
        <w:rPr>
          <w:rFonts w:hint="eastAsia"/>
        </w:rPr>
        <w:t>成为</w:t>
      </w:r>
      <w:r>
        <w:rPr>
          <w:rFonts w:hint="eastAsia"/>
        </w:rPr>
        <w:t>氟氯烃生产淘汰管理计划第一阶段建立的氟氯烃在线管理信息系统</w:t>
      </w:r>
      <w:r w:rsidR="007B76F6">
        <w:rPr>
          <w:rFonts w:hint="eastAsia"/>
        </w:rPr>
        <w:t>的</w:t>
      </w:r>
      <w:r>
        <w:rPr>
          <w:rFonts w:hint="eastAsia"/>
        </w:rPr>
        <w:t>补充，</w:t>
      </w:r>
      <w:r w:rsidR="007B76F6">
        <w:rPr>
          <w:rFonts w:hint="eastAsia"/>
        </w:rPr>
        <w:t>并</w:t>
      </w:r>
      <w:r>
        <w:rPr>
          <w:rFonts w:hint="eastAsia"/>
        </w:rPr>
        <w:t>将成为生态与环境部和地方生态和环境局</w:t>
      </w:r>
      <w:r w:rsidR="007B76F6">
        <w:rPr>
          <w:rFonts w:hint="eastAsia"/>
        </w:rPr>
        <w:t>的一个管理平台，用于</w:t>
      </w:r>
      <w:r>
        <w:rPr>
          <w:rFonts w:hint="eastAsia"/>
        </w:rPr>
        <w:t>监测其管辖范围内的企业。另一个项目是</w:t>
      </w:r>
      <w:r w:rsidR="007B76F6">
        <w:rPr>
          <w:rFonts w:hint="eastAsia"/>
        </w:rPr>
        <w:t>对海关进行</w:t>
      </w:r>
      <w:r w:rsidR="00C4138F">
        <w:rPr>
          <w:rFonts w:hint="eastAsia"/>
        </w:rPr>
        <w:t>ODS</w:t>
      </w:r>
      <w:r w:rsidR="007B76F6">
        <w:rPr>
          <w:rFonts w:hint="eastAsia"/>
        </w:rPr>
        <w:t>监督和管理方面</w:t>
      </w:r>
      <w:r>
        <w:rPr>
          <w:rFonts w:hint="eastAsia"/>
        </w:rPr>
        <w:t>的能力建设（</w:t>
      </w:r>
      <w:r>
        <w:rPr>
          <w:rFonts w:hint="eastAsia"/>
        </w:rPr>
        <w:t>750,000</w:t>
      </w:r>
      <w:r>
        <w:rPr>
          <w:rFonts w:hint="eastAsia"/>
        </w:rPr>
        <w:t>美元）。</w:t>
      </w:r>
      <w:r w:rsidR="007B76F6">
        <w:rPr>
          <w:rFonts w:hint="eastAsia"/>
        </w:rPr>
        <w:t>鉴于</w:t>
      </w:r>
      <w:r w:rsidR="00B203C3">
        <w:rPr>
          <w:rFonts w:hint="eastAsia"/>
        </w:rPr>
        <w:t>海关总署</w:t>
      </w:r>
      <w:r>
        <w:rPr>
          <w:rFonts w:hint="eastAsia"/>
        </w:rPr>
        <w:t>进行</w:t>
      </w:r>
      <w:r w:rsidR="007B76F6">
        <w:rPr>
          <w:rFonts w:hint="eastAsia"/>
        </w:rPr>
        <w:t>的机构</w:t>
      </w:r>
      <w:r>
        <w:rPr>
          <w:rFonts w:hint="eastAsia"/>
        </w:rPr>
        <w:t>改革，</w:t>
      </w:r>
      <w:r w:rsidR="007B76F6">
        <w:rPr>
          <w:rFonts w:hint="eastAsia"/>
        </w:rPr>
        <w:t>FECO</w:t>
      </w:r>
      <w:r>
        <w:rPr>
          <w:rFonts w:hint="eastAsia"/>
        </w:rPr>
        <w:t>正与</w:t>
      </w:r>
      <w:r w:rsidR="00B203C3">
        <w:rPr>
          <w:rFonts w:hint="eastAsia"/>
        </w:rPr>
        <w:t>海关总署</w:t>
      </w:r>
      <w:r>
        <w:rPr>
          <w:rFonts w:hint="eastAsia"/>
        </w:rPr>
        <w:t>的新部门进行协调，</w:t>
      </w:r>
      <w:r w:rsidR="007B76F6">
        <w:rPr>
          <w:rFonts w:hint="eastAsia"/>
        </w:rPr>
        <w:t>对</w:t>
      </w:r>
      <w:r w:rsidR="00C4138F">
        <w:rPr>
          <w:rFonts w:hint="eastAsia"/>
        </w:rPr>
        <w:t>ODS</w:t>
      </w:r>
      <w:r>
        <w:rPr>
          <w:rFonts w:hint="eastAsia"/>
        </w:rPr>
        <w:t>贸易</w:t>
      </w:r>
      <w:r w:rsidR="007B76F6">
        <w:rPr>
          <w:rFonts w:hint="eastAsia"/>
        </w:rPr>
        <w:t>进行监督和管理</w:t>
      </w:r>
      <w:r>
        <w:rPr>
          <w:rFonts w:hint="eastAsia"/>
        </w:rPr>
        <w:t>。</w:t>
      </w:r>
    </w:p>
    <w:p w14:paraId="0C96D813" w14:textId="36BBC0E7" w:rsidR="00C678D9" w:rsidRDefault="00C678D9" w:rsidP="00C4138F">
      <w:pPr>
        <w:numPr>
          <w:ilvl w:val="0"/>
          <w:numId w:val="20"/>
        </w:numPr>
        <w:spacing w:line="259" w:lineRule="auto"/>
        <w:ind w:left="0" w:firstLine="0"/>
        <w:jc w:val="both"/>
      </w:pPr>
      <w:r>
        <w:rPr>
          <w:rFonts w:hint="eastAsia"/>
        </w:rPr>
        <w:t>鉴于未</w:t>
      </w:r>
      <w:r w:rsidR="007B76F6">
        <w:rPr>
          <w:rFonts w:hint="eastAsia"/>
        </w:rPr>
        <w:t>分配</w:t>
      </w:r>
      <w:r>
        <w:rPr>
          <w:rFonts w:hint="eastAsia"/>
        </w:rPr>
        <w:t>的</w:t>
      </w:r>
      <w:r w:rsidR="007B76F6">
        <w:rPr>
          <w:rFonts w:hint="eastAsia"/>
        </w:rPr>
        <w:t>余额</w:t>
      </w:r>
      <w:r>
        <w:rPr>
          <w:rFonts w:hint="eastAsia"/>
        </w:rPr>
        <w:t>约有</w:t>
      </w:r>
      <w:r>
        <w:rPr>
          <w:rFonts w:hint="eastAsia"/>
        </w:rPr>
        <w:t>124</w:t>
      </w:r>
      <w:r>
        <w:rPr>
          <w:rFonts w:hint="eastAsia"/>
        </w:rPr>
        <w:t>万美元，中国政府</w:t>
      </w:r>
      <w:r w:rsidR="002D0682">
        <w:rPr>
          <w:rFonts w:hint="eastAsia"/>
        </w:rPr>
        <w:t>拟议</w:t>
      </w:r>
      <w:r>
        <w:rPr>
          <w:rFonts w:hint="eastAsia"/>
        </w:rPr>
        <w:t>开展以下活动，加强对</w:t>
      </w:r>
      <w:r w:rsidR="00C4138F">
        <w:rPr>
          <w:rFonts w:hint="eastAsia"/>
        </w:rPr>
        <w:t>ODS</w:t>
      </w:r>
      <w:r>
        <w:rPr>
          <w:rFonts w:hint="eastAsia"/>
        </w:rPr>
        <w:t>的长期监测和管理：</w:t>
      </w:r>
    </w:p>
    <w:p w14:paraId="11EC056E" w14:textId="53436836" w:rsidR="00C678D9" w:rsidRDefault="00C4138F" w:rsidP="00C4138F">
      <w:pPr>
        <w:spacing w:line="259" w:lineRule="auto"/>
        <w:ind w:left="980" w:hanging="490"/>
        <w:jc w:val="both"/>
      </w:pPr>
      <w:r>
        <w:rPr>
          <w:rFonts w:hint="eastAsia"/>
        </w:rPr>
        <w:t>(</w:t>
      </w:r>
      <w:r>
        <w:t>a)</w:t>
      </w:r>
      <w:r>
        <w:tab/>
      </w:r>
      <w:r w:rsidR="002D0682">
        <w:rPr>
          <w:rFonts w:hint="eastAsia"/>
        </w:rPr>
        <w:t>建造</w:t>
      </w:r>
      <w:r w:rsidR="00C678D9">
        <w:rPr>
          <w:rFonts w:hint="eastAsia"/>
        </w:rPr>
        <w:t>和提升四氯化碳生产在线监测系统。该系统重点关注所有氯甲烷</w:t>
      </w:r>
      <w:r w:rsidR="007D1266">
        <w:rPr>
          <w:rFonts w:hint="eastAsia"/>
        </w:rPr>
        <w:t>生产厂家</w:t>
      </w:r>
      <w:r w:rsidR="00C678D9">
        <w:rPr>
          <w:rFonts w:hint="eastAsia"/>
        </w:rPr>
        <w:t>的四氯化碳生产、转换、销售和储存</w:t>
      </w:r>
      <w:r w:rsidR="002D0682">
        <w:rPr>
          <w:rFonts w:hint="eastAsia"/>
        </w:rPr>
        <w:t>情况</w:t>
      </w:r>
      <w:r w:rsidR="00C678D9">
        <w:rPr>
          <w:rFonts w:hint="eastAsia"/>
        </w:rPr>
        <w:t>，将</w:t>
      </w:r>
      <w:r w:rsidR="002D0682">
        <w:rPr>
          <w:rFonts w:hint="eastAsia"/>
        </w:rPr>
        <w:t>成为</w:t>
      </w:r>
      <w:r>
        <w:rPr>
          <w:rFonts w:hint="eastAsia"/>
        </w:rPr>
        <w:t>ODS</w:t>
      </w:r>
      <w:r w:rsidR="00C678D9">
        <w:rPr>
          <w:rFonts w:hint="eastAsia"/>
        </w:rPr>
        <w:t>管理信息系统</w:t>
      </w:r>
      <w:r w:rsidR="002D0682">
        <w:rPr>
          <w:rFonts w:hint="eastAsia"/>
        </w:rPr>
        <w:t>的补充</w:t>
      </w:r>
      <w:r w:rsidR="00C678D9">
        <w:rPr>
          <w:rFonts w:hint="eastAsia"/>
        </w:rPr>
        <w:t>；</w:t>
      </w:r>
    </w:p>
    <w:p w14:paraId="26990D1A" w14:textId="4573F99A" w:rsidR="00C678D9" w:rsidRDefault="00C4138F" w:rsidP="00C4138F">
      <w:pPr>
        <w:spacing w:line="259" w:lineRule="auto"/>
        <w:ind w:left="980" w:hanging="490"/>
        <w:jc w:val="both"/>
      </w:pPr>
      <w:r>
        <w:rPr>
          <w:rFonts w:hint="eastAsia"/>
        </w:rPr>
        <w:t>(</w:t>
      </w:r>
      <w:r>
        <w:t>b)</w:t>
      </w:r>
      <w:r>
        <w:tab/>
      </w:r>
      <w:r w:rsidR="00C678D9">
        <w:rPr>
          <w:rFonts w:hint="eastAsia"/>
        </w:rPr>
        <w:t>调查四氯化碳</w:t>
      </w:r>
      <w:r w:rsidR="002D0682">
        <w:rPr>
          <w:rFonts w:hint="eastAsia"/>
        </w:rPr>
        <w:t>的</w:t>
      </w:r>
      <w:r w:rsidR="00C678D9">
        <w:rPr>
          <w:rFonts w:hint="eastAsia"/>
        </w:rPr>
        <w:t>生产</w:t>
      </w:r>
      <w:r w:rsidR="002D0682">
        <w:rPr>
          <w:rFonts w:hint="eastAsia"/>
        </w:rPr>
        <w:t>情况</w:t>
      </w:r>
      <w:r w:rsidR="00C678D9">
        <w:rPr>
          <w:rFonts w:hint="eastAsia"/>
        </w:rPr>
        <w:t>和原料用途。这项活动将补充根据第</w:t>
      </w:r>
      <w:r w:rsidR="00C678D9">
        <w:rPr>
          <w:rFonts w:hint="eastAsia"/>
        </w:rPr>
        <w:t>75/18</w:t>
      </w:r>
      <w:r w:rsidR="00C678D9">
        <w:rPr>
          <w:rFonts w:hint="eastAsia"/>
        </w:rPr>
        <w:t>号决定</w:t>
      </w:r>
      <w:r w:rsidR="002D0682">
        <w:rPr>
          <w:rFonts w:hint="eastAsia"/>
        </w:rPr>
        <w:t>应</w:t>
      </w:r>
      <w:r w:rsidR="00C678D9">
        <w:rPr>
          <w:rFonts w:hint="eastAsia"/>
        </w:rPr>
        <w:t>提交的研究报告，该研究由一名专家进行，重点是四氯化碳生产和</w:t>
      </w:r>
      <w:r w:rsidR="002D0682">
        <w:rPr>
          <w:rFonts w:hint="eastAsia"/>
        </w:rPr>
        <w:t>作为</w:t>
      </w:r>
      <w:r w:rsidR="00C678D9">
        <w:rPr>
          <w:rFonts w:hint="eastAsia"/>
        </w:rPr>
        <w:t>原料</w:t>
      </w:r>
      <w:r w:rsidR="002D0682">
        <w:rPr>
          <w:rFonts w:hint="eastAsia"/>
        </w:rPr>
        <w:t>使用</w:t>
      </w:r>
      <w:r w:rsidR="00C678D9">
        <w:rPr>
          <w:rFonts w:hint="eastAsia"/>
        </w:rPr>
        <w:t>期间的四氯化碳排放。</w:t>
      </w:r>
      <w:r w:rsidR="002D0682">
        <w:rPr>
          <w:rFonts w:hint="eastAsia"/>
        </w:rPr>
        <w:t>根据</w:t>
      </w:r>
      <w:r w:rsidR="00C678D9">
        <w:rPr>
          <w:rFonts w:hint="eastAsia"/>
        </w:rPr>
        <w:t>计划</w:t>
      </w:r>
      <w:r w:rsidR="002D0682">
        <w:rPr>
          <w:rFonts w:hint="eastAsia"/>
        </w:rPr>
        <w:t>，这项</w:t>
      </w:r>
      <w:r w:rsidR="00C678D9">
        <w:rPr>
          <w:rFonts w:hint="eastAsia"/>
        </w:rPr>
        <w:t>活动</w:t>
      </w:r>
      <w:r w:rsidR="002D0682">
        <w:rPr>
          <w:rFonts w:hint="eastAsia"/>
        </w:rPr>
        <w:t>是</w:t>
      </w:r>
      <w:r w:rsidR="00C678D9">
        <w:rPr>
          <w:rFonts w:hint="eastAsia"/>
        </w:rPr>
        <w:t>对四氯化碳生产和原料用途</w:t>
      </w:r>
      <w:r w:rsidR="002D0682">
        <w:rPr>
          <w:rFonts w:hint="eastAsia"/>
        </w:rPr>
        <w:t>进行现场</w:t>
      </w:r>
      <w:r w:rsidR="00C678D9">
        <w:rPr>
          <w:rFonts w:hint="eastAsia"/>
        </w:rPr>
        <w:t>调查和核查。四氯乙烯工厂</w:t>
      </w:r>
      <w:r w:rsidR="002D0682">
        <w:rPr>
          <w:rFonts w:hint="eastAsia"/>
        </w:rPr>
        <w:t>不</w:t>
      </w:r>
      <w:r w:rsidR="00C678D9">
        <w:rPr>
          <w:rFonts w:hint="eastAsia"/>
        </w:rPr>
        <w:t>包括在内</w:t>
      </w:r>
      <w:r w:rsidR="002D0682">
        <w:rPr>
          <w:rFonts w:hint="eastAsia"/>
        </w:rPr>
        <w:t>；</w:t>
      </w:r>
    </w:p>
    <w:p w14:paraId="58986481" w14:textId="4DFF8815" w:rsidR="00C678D9" w:rsidRDefault="00C4138F" w:rsidP="00C4138F">
      <w:pPr>
        <w:spacing w:line="259" w:lineRule="auto"/>
        <w:ind w:left="980" w:hanging="490"/>
        <w:jc w:val="both"/>
      </w:pPr>
      <w:r>
        <w:rPr>
          <w:rFonts w:hint="eastAsia"/>
        </w:rPr>
        <w:t>(</w:t>
      </w:r>
      <w:r>
        <w:t>c)</w:t>
      </w:r>
      <w:r>
        <w:tab/>
      </w:r>
      <w:r w:rsidR="00C678D9">
        <w:rPr>
          <w:rFonts w:hint="eastAsia"/>
        </w:rPr>
        <w:t>支持企业开发和供应</w:t>
      </w:r>
      <w:r w:rsidR="0074591C">
        <w:rPr>
          <w:rFonts w:hint="eastAsia"/>
        </w:rPr>
        <w:t>符合</w:t>
      </w:r>
      <w:r w:rsidR="00C678D9">
        <w:rPr>
          <w:rFonts w:hint="eastAsia"/>
        </w:rPr>
        <w:t>经修订的国家标准的必要试剂（四氯化碳替代</w:t>
      </w:r>
      <w:r w:rsidR="0074591C">
        <w:rPr>
          <w:rFonts w:hint="eastAsia"/>
        </w:rPr>
        <w:t>品</w:t>
      </w:r>
      <w:r w:rsidR="00C678D9">
        <w:rPr>
          <w:rFonts w:hint="eastAsia"/>
        </w:rPr>
        <w:t>）。新标准发布后，替代品四氯乙烯的供应无法满足市场需求。这项活动将支持试剂制造商建立</w:t>
      </w:r>
      <w:r w:rsidR="0074591C">
        <w:rPr>
          <w:rFonts w:hint="eastAsia"/>
        </w:rPr>
        <w:t>必要的</w:t>
      </w:r>
      <w:r w:rsidR="00C678D9">
        <w:rPr>
          <w:rFonts w:hint="eastAsia"/>
        </w:rPr>
        <w:t>四氯化碳</w:t>
      </w:r>
      <w:r w:rsidR="0074591C">
        <w:rPr>
          <w:rFonts w:hint="eastAsia"/>
        </w:rPr>
        <w:t>提纯</w:t>
      </w:r>
      <w:r w:rsidR="00C678D9">
        <w:rPr>
          <w:rFonts w:hint="eastAsia"/>
        </w:rPr>
        <w:t>设施，以</w:t>
      </w:r>
      <w:r w:rsidR="0074591C">
        <w:rPr>
          <w:rFonts w:hint="eastAsia"/>
        </w:rPr>
        <w:t>遵守</w:t>
      </w:r>
      <w:r w:rsidR="00C678D9">
        <w:rPr>
          <w:rFonts w:hint="eastAsia"/>
        </w:rPr>
        <w:t>新标准的规定和</w:t>
      </w:r>
      <w:r w:rsidR="0074591C">
        <w:rPr>
          <w:rFonts w:hint="eastAsia"/>
        </w:rPr>
        <w:t>满足</w:t>
      </w:r>
      <w:r w:rsidR="00C678D9">
        <w:rPr>
          <w:rFonts w:hint="eastAsia"/>
        </w:rPr>
        <w:t>市场需求；</w:t>
      </w:r>
    </w:p>
    <w:p w14:paraId="69547C55" w14:textId="3FECFAA0" w:rsidR="00C678D9" w:rsidRDefault="00C4138F" w:rsidP="00C4138F">
      <w:pPr>
        <w:spacing w:line="259" w:lineRule="auto"/>
        <w:ind w:left="980" w:hanging="490"/>
        <w:jc w:val="both"/>
      </w:pPr>
      <w:r>
        <w:rPr>
          <w:rFonts w:hint="eastAsia"/>
        </w:rPr>
        <w:t>(</w:t>
      </w:r>
      <w:r>
        <w:t>d)</w:t>
      </w:r>
      <w:r>
        <w:tab/>
      </w:r>
      <w:r w:rsidR="0074591C">
        <w:rPr>
          <w:rFonts w:hint="eastAsia"/>
        </w:rPr>
        <w:t>为</w:t>
      </w:r>
      <w:r w:rsidR="00C678D9">
        <w:rPr>
          <w:rFonts w:hint="eastAsia"/>
        </w:rPr>
        <w:t>地方生态和环境局</w:t>
      </w:r>
      <w:r w:rsidR="0074591C">
        <w:rPr>
          <w:rFonts w:hint="eastAsia"/>
        </w:rPr>
        <w:t>提供关于</w:t>
      </w:r>
      <w:r>
        <w:rPr>
          <w:rFonts w:hint="eastAsia"/>
        </w:rPr>
        <w:t>ODS</w:t>
      </w:r>
      <w:r w:rsidR="00C678D9">
        <w:rPr>
          <w:rFonts w:hint="eastAsia"/>
        </w:rPr>
        <w:t>的监督和执法培训和能力建设。这项活动旨在定期</w:t>
      </w:r>
      <w:r w:rsidR="0074591C">
        <w:rPr>
          <w:rFonts w:hint="eastAsia"/>
        </w:rPr>
        <w:t>为</w:t>
      </w:r>
      <w:r w:rsidR="00C678D9">
        <w:rPr>
          <w:rFonts w:hint="eastAsia"/>
        </w:rPr>
        <w:t>地方生态和环境局</w:t>
      </w:r>
      <w:r w:rsidR="0074591C">
        <w:rPr>
          <w:rFonts w:hint="eastAsia"/>
        </w:rPr>
        <w:t>举办</w:t>
      </w:r>
      <w:r>
        <w:rPr>
          <w:rFonts w:hint="eastAsia"/>
        </w:rPr>
        <w:t>ODS</w:t>
      </w:r>
      <w:r w:rsidR="00C678D9">
        <w:rPr>
          <w:rFonts w:hint="eastAsia"/>
        </w:rPr>
        <w:t>管理、</w:t>
      </w:r>
      <w:r w:rsidR="0074591C">
        <w:rPr>
          <w:rFonts w:hint="eastAsia"/>
        </w:rPr>
        <w:t>检查</w:t>
      </w:r>
      <w:r w:rsidR="00C678D9">
        <w:rPr>
          <w:rFonts w:hint="eastAsia"/>
        </w:rPr>
        <w:t>、监督和执法培训课程。将对</w:t>
      </w:r>
      <w:r w:rsidR="0074591C">
        <w:rPr>
          <w:rFonts w:hint="eastAsia"/>
        </w:rPr>
        <w:t>省、市、县级生态和环境局的</w:t>
      </w:r>
      <w:r w:rsidR="00C678D9">
        <w:rPr>
          <w:rFonts w:hint="eastAsia"/>
        </w:rPr>
        <w:t>环境</w:t>
      </w:r>
      <w:r w:rsidR="0074591C">
        <w:rPr>
          <w:rFonts w:hint="eastAsia"/>
        </w:rPr>
        <w:t>检测工作</w:t>
      </w:r>
      <w:r w:rsidR="00C678D9">
        <w:rPr>
          <w:rFonts w:hint="eastAsia"/>
        </w:rPr>
        <w:t>人员进行培训；</w:t>
      </w:r>
    </w:p>
    <w:p w14:paraId="6932B00E" w14:textId="232BA8E4" w:rsidR="00C678D9" w:rsidRDefault="00C4138F" w:rsidP="00C4138F">
      <w:pPr>
        <w:spacing w:line="259" w:lineRule="auto"/>
        <w:ind w:left="980" w:hanging="490"/>
        <w:jc w:val="both"/>
      </w:pPr>
      <w:r>
        <w:rPr>
          <w:rFonts w:hint="eastAsia"/>
        </w:rPr>
        <w:t>(</w:t>
      </w:r>
      <w:r>
        <w:t>e)</w:t>
      </w:r>
      <w:r>
        <w:tab/>
      </w:r>
      <w:r w:rsidR="007B5FFF">
        <w:rPr>
          <w:rFonts w:hint="eastAsia"/>
        </w:rPr>
        <w:t>针对</w:t>
      </w:r>
      <w:r>
        <w:rPr>
          <w:rFonts w:hint="eastAsia"/>
        </w:rPr>
        <w:t>ODS</w:t>
      </w:r>
      <w:r w:rsidR="007B5FFF">
        <w:rPr>
          <w:rFonts w:hint="eastAsia"/>
        </w:rPr>
        <w:t>的</w:t>
      </w:r>
      <w:r w:rsidR="00C678D9">
        <w:rPr>
          <w:rFonts w:hint="eastAsia"/>
        </w:rPr>
        <w:t>销售</w:t>
      </w:r>
      <w:r w:rsidR="007B5FFF">
        <w:rPr>
          <w:rFonts w:hint="eastAsia"/>
        </w:rPr>
        <w:t>进行</w:t>
      </w:r>
      <w:r w:rsidR="00C678D9">
        <w:rPr>
          <w:rFonts w:hint="eastAsia"/>
        </w:rPr>
        <w:t>市场监督和</w:t>
      </w:r>
      <w:r w:rsidR="007B5FFF">
        <w:rPr>
          <w:rFonts w:hint="eastAsia"/>
        </w:rPr>
        <w:t>收集</w:t>
      </w:r>
      <w:r w:rsidR="00C678D9">
        <w:rPr>
          <w:rFonts w:hint="eastAsia"/>
        </w:rPr>
        <w:t>信息。将与一家咨询公司签订合同，以收集</w:t>
      </w:r>
      <w:r>
        <w:rPr>
          <w:rFonts w:hint="eastAsia"/>
        </w:rPr>
        <w:t>ODS</w:t>
      </w:r>
      <w:r w:rsidR="00C678D9">
        <w:rPr>
          <w:rFonts w:hint="eastAsia"/>
        </w:rPr>
        <w:t>销售</w:t>
      </w:r>
      <w:r w:rsidR="007B5FFF">
        <w:rPr>
          <w:rFonts w:hint="eastAsia"/>
        </w:rPr>
        <w:t>信息</w:t>
      </w:r>
      <w:r w:rsidR="00C678D9">
        <w:rPr>
          <w:rFonts w:hint="eastAsia"/>
        </w:rPr>
        <w:t>和市场信息</w:t>
      </w:r>
      <w:r w:rsidR="007B5FFF">
        <w:rPr>
          <w:rFonts w:hint="eastAsia"/>
        </w:rPr>
        <w:t>，</w:t>
      </w:r>
      <w:r w:rsidR="00C678D9">
        <w:rPr>
          <w:rFonts w:hint="eastAsia"/>
        </w:rPr>
        <w:t>并查明可疑的非法销售</w:t>
      </w:r>
      <w:r w:rsidR="007B5FFF">
        <w:rPr>
          <w:rFonts w:hint="eastAsia"/>
        </w:rPr>
        <w:t>活动</w:t>
      </w:r>
      <w:r w:rsidR="00C678D9">
        <w:rPr>
          <w:rFonts w:hint="eastAsia"/>
        </w:rPr>
        <w:t>。</w:t>
      </w:r>
      <w:r w:rsidR="007B5FFF">
        <w:rPr>
          <w:rFonts w:hint="eastAsia"/>
        </w:rPr>
        <w:t>将向生态和环境部报告</w:t>
      </w:r>
      <w:r w:rsidR="00C678D9">
        <w:rPr>
          <w:rFonts w:hint="eastAsia"/>
        </w:rPr>
        <w:t>与此类销售</w:t>
      </w:r>
      <w:r w:rsidR="007B5FFF">
        <w:rPr>
          <w:rFonts w:hint="eastAsia"/>
        </w:rPr>
        <w:t>有关</w:t>
      </w:r>
      <w:r w:rsidR="00C678D9">
        <w:rPr>
          <w:rFonts w:hint="eastAsia"/>
        </w:rPr>
        <w:t>的信息，</w:t>
      </w:r>
      <w:r w:rsidR="007B5FFF">
        <w:rPr>
          <w:rFonts w:hint="eastAsia"/>
        </w:rPr>
        <w:t>供其</w:t>
      </w:r>
      <w:r w:rsidR="00C678D9">
        <w:rPr>
          <w:rFonts w:hint="eastAsia"/>
        </w:rPr>
        <w:t>采取进一步行动；</w:t>
      </w:r>
    </w:p>
    <w:p w14:paraId="5752FD2F" w14:textId="11B8DF90" w:rsidR="000F4FE5" w:rsidRDefault="00C4138F" w:rsidP="00C4138F">
      <w:pPr>
        <w:spacing w:line="259" w:lineRule="auto"/>
        <w:ind w:left="980" w:hanging="490"/>
        <w:jc w:val="both"/>
      </w:pPr>
      <w:r>
        <w:rPr>
          <w:rFonts w:hint="eastAsia"/>
        </w:rPr>
        <w:t>(</w:t>
      </w:r>
      <w:r>
        <w:t>f)</w:t>
      </w:r>
      <w:r>
        <w:tab/>
      </w:r>
      <w:r>
        <w:rPr>
          <w:rFonts w:hint="eastAsia"/>
        </w:rPr>
        <w:t>ODS</w:t>
      </w:r>
      <w:r w:rsidR="00C678D9">
        <w:rPr>
          <w:rFonts w:hint="eastAsia"/>
        </w:rPr>
        <w:t>管理、</w:t>
      </w:r>
      <w:r w:rsidR="007B5FFF">
        <w:rPr>
          <w:rFonts w:hint="eastAsia"/>
        </w:rPr>
        <w:t>检查</w:t>
      </w:r>
      <w:r w:rsidR="00C678D9">
        <w:rPr>
          <w:rFonts w:hint="eastAsia"/>
        </w:rPr>
        <w:t>、监督、执法</w:t>
      </w:r>
      <w:r w:rsidR="007B5FFF">
        <w:rPr>
          <w:rFonts w:hint="eastAsia"/>
        </w:rPr>
        <w:t>和</w:t>
      </w:r>
      <w:r w:rsidR="00C678D9">
        <w:rPr>
          <w:rFonts w:hint="eastAsia"/>
        </w:rPr>
        <w:t>处置等方面的技术、政策和法律支持。将雇用专家</w:t>
      </w:r>
      <w:r w:rsidR="007B5FFF">
        <w:rPr>
          <w:rFonts w:hint="eastAsia"/>
        </w:rPr>
        <w:t>人士</w:t>
      </w:r>
      <w:r w:rsidR="00C678D9">
        <w:rPr>
          <w:rFonts w:hint="eastAsia"/>
        </w:rPr>
        <w:t>向</w:t>
      </w:r>
      <w:r w:rsidR="007B5FFF">
        <w:rPr>
          <w:rFonts w:hint="eastAsia"/>
        </w:rPr>
        <w:t>有关</w:t>
      </w:r>
      <w:r w:rsidR="00C678D9">
        <w:rPr>
          <w:rFonts w:hint="eastAsia"/>
        </w:rPr>
        <w:t>机构提供此类支助。</w:t>
      </w:r>
    </w:p>
    <w:p w14:paraId="7C654397" w14:textId="6E573EC6" w:rsidR="007B5FFF" w:rsidRPr="007B5FFF" w:rsidRDefault="007B5FFF" w:rsidP="007B5FFF">
      <w:pPr>
        <w:keepNext/>
        <w:spacing w:line="259" w:lineRule="auto"/>
        <w:jc w:val="both"/>
        <w:rPr>
          <w:u w:val="single"/>
        </w:rPr>
      </w:pPr>
      <w:r w:rsidRPr="007B5FFF">
        <w:rPr>
          <w:rFonts w:hint="eastAsia"/>
          <w:u w:val="single"/>
        </w:rPr>
        <w:lastRenderedPageBreak/>
        <w:t>聚氨酯泡沫塑料</w:t>
      </w:r>
    </w:p>
    <w:p w14:paraId="32E4549C" w14:textId="25104A3C" w:rsidR="00F533BB" w:rsidRDefault="007B5FFF" w:rsidP="007B5FFF">
      <w:pPr>
        <w:numPr>
          <w:ilvl w:val="0"/>
          <w:numId w:val="20"/>
        </w:numPr>
        <w:spacing w:line="259" w:lineRule="auto"/>
        <w:ind w:left="0" w:firstLine="0"/>
        <w:jc w:val="both"/>
      </w:pPr>
      <w:r w:rsidRPr="007B5FFF">
        <w:rPr>
          <w:rFonts w:hint="eastAsia"/>
          <w:b/>
          <w:bCs/>
        </w:rPr>
        <w:t>2018</w:t>
      </w:r>
      <w:r w:rsidRPr="007B5FFF">
        <w:rPr>
          <w:rFonts w:hint="eastAsia"/>
          <w:b/>
          <w:bCs/>
        </w:rPr>
        <w:t>年</w:t>
      </w:r>
      <w:r w:rsidRPr="007B5FFF">
        <w:rPr>
          <w:rFonts w:hint="eastAsia"/>
          <w:b/>
          <w:bCs/>
        </w:rPr>
        <w:t>7</w:t>
      </w:r>
      <w:r w:rsidRPr="007B5FFF">
        <w:rPr>
          <w:rFonts w:hint="eastAsia"/>
          <w:b/>
          <w:bCs/>
        </w:rPr>
        <w:t>月</w:t>
      </w:r>
      <w:r w:rsidRPr="007B5FFF">
        <w:rPr>
          <w:rFonts w:hint="eastAsia"/>
          <w:b/>
          <w:bCs/>
        </w:rPr>
        <w:t>1</w:t>
      </w:r>
      <w:r w:rsidRPr="007B5FFF">
        <w:rPr>
          <w:rFonts w:hint="eastAsia"/>
          <w:b/>
          <w:bCs/>
        </w:rPr>
        <w:t>日至</w:t>
      </w:r>
      <w:r w:rsidRPr="007B5FFF">
        <w:rPr>
          <w:rFonts w:hint="eastAsia"/>
          <w:b/>
          <w:bCs/>
        </w:rPr>
        <w:t>2019</w:t>
      </w:r>
      <w:r w:rsidRPr="007B5FFF">
        <w:rPr>
          <w:rFonts w:hint="eastAsia"/>
          <w:b/>
          <w:bCs/>
        </w:rPr>
        <w:t>年</w:t>
      </w:r>
      <w:r w:rsidRPr="007B5FFF">
        <w:rPr>
          <w:rFonts w:hint="eastAsia"/>
          <w:b/>
          <w:bCs/>
        </w:rPr>
        <w:t>6</w:t>
      </w:r>
      <w:r w:rsidRPr="007B5FFF">
        <w:rPr>
          <w:rFonts w:hint="eastAsia"/>
          <w:b/>
          <w:bCs/>
        </w:rPr>
        <w:t>月</w:t>
      </w:r>
      <w:r w:rsidRPr="007B5FFF">
        <w:rPr>
          <w:rFonts w:hint="eastAsia"/>
          <w:b/>
          <w:bCs/>
        </w:rPr>
        <w:t xml:space="preserve">30 </w:t>
      </w:r>
      <w:r w:rsidRPr="007B5FFF">
        <w:rPr>
          <w:rFonts w:hint="eastAsia"/>
          <w:b/>
          <w:bCs/>
        </w:rPr>
        <w:t>日</w:t>
      </w:r>
      <w:r w:rsidRPr="007B5FFF">
        <w:rPr>
          <w:rFonts w:hint="eastAsia"/>
        </w:rPr>
        <w:t>期间共发放了</w:t>
      </w:r>
      <w:r w:rsidR="00F533BB" w:rsidRPr="00F533BB">
        <w:rPr>
          <w:b/>
          <w:lang w:val="en-CA"/>
        </w:rPr>
        <w:t>758,839</w:t>
      </w:r>
      <w:r w:rsidRPr="00F533BB">
        <w:rPr>
          <w:rFonts w:hint="eastAsia"/>
          <w:b/>
          <w:bCs/>
        </w:rPr>
        <w:t>美元</w:t>
      </w:r>
      <w:r w:rsidRPr="007B5FFF">
        <w:rPr>
          <w:rFonts w:hint="eastAsia"/>
        </w:rPr>
        <w:t>。</w:t>
      </w:r>
      <w:r w:rsidR="00F533BB" w:rsidRPr="00F533BB">
        <w:rPr>
          <w:rFonts w:hint="eastAsia"/>
          <w:b/>
          <w:bCs/>
        </w:rPr>
        <w:t>2019</w:t>
      </w:r>
      <w:r w:rsidR="00F533BB" w:rsidRPr="00F533BB">
        <w:rPr>
          <w:rFonts w:hint="eastAsia"/>
          <w:b/>
          <w:bCs/>
        </w:rPr>
        <w:t>年</w:t>
      </w:r>
      <w:r w:rsidR="00F533BB" w:rsidRPr="00F533BB">
        <w:rPr>
          <w:rFonts w:hint="eastAsia"/>
          <w:b/>
          <w:bCs/>
        </w:rPr>
        <w:t>6</w:t>
      </w:r>
      <w:r w:rsidR="00F533BB" w:rsidRPr="00F533BB">
        <w:rPr>
          <w:rFonts w:hint="eastAsia"/>
          <w:b/>
          <w:bCs/>
        </w:rPr>
        <w:t>月</w:t>
      </w:r>
      <w:r w:rsidR="00F533BB" w:rsidRPr="00F533BB">
        <w:rPr>
          <w:rFonts w:hint="eastAsia"/>
          <w:b/>
          <w:bCs/>
        </w:rPr>
        <w:t>30</w:t>
      </w:r>
      <w:r w:rsidR="00F533BB" w:rsidRPr="00F533BB">
        <w:rPr>
          <w:rFonts w:hint="eastAsia"/>
          <w:b/>
          <w:bCs/>
        </w:rPr>
        <w:t>日</w:t>
      </w:r>
      <w:r w:rsidR="00F533BB">
        <w:rPr>
          <w:rFonts w:hint="eastAsia"/>
        </w:rPr>
        <w:t>尚有</w:t>
      </w:r>
      <w:r w:rsidRPr="007B5FFF">
        <w:rPr>
          <w:rFonts w:hint="eastAsia"/>
        </w:rPr>
        <w:t>剩余资金</w:t>
      </w:r>
      <w:r w:rsidR="00F533BB" w:rsidRPr="00F533BB">
        <w:rPr>
          <w:b/>
          <w:lang w:val="en-CA"/>
        </w:rPr>
        <w:t>897,009</w:t>
      </w:r>
      <w:r w:rsidRPr="00F533BB">
        <w:rPr>
          <w:rFonts w:hint="eastAsia"/>
          <w:b/>
          <w:bCs/>
        </w:rPr>
        <w:t>美元</w:t>
      </w:r>
      <w:r w:rsidR="00F533BB">
        <w:rPr>
          <w:rFonts w:hint="eastAsia"/>
        </w:rPr>
        <w:t>，所提交的进度报告表示，</w:t>
      </w:r>
      <w:r w:rsidR="00607FDB">
        <w:rPr>
          <w:rFonts w:hint="eastAsia"/>
        </w:rPr>
        <w:t>截至</w:t>
      </w:r>
      <w:r w:rsidR="00607FDB">
        <w:rPr>
          <w:rFonts w:hint="eastAsia"/>
        </w:rPr>
        <w:t>2019</w:t>
      </w:r>
      <w:r w:rsidR="00607FDB">
        <w:rPr>
          <w:rFonts w:hint="eastAsia"/>
        </w:rPr>
        <w:t>年</w:t>
      </w:r>
      <w:r w:rsidR="00607FDB">
        <w:rPr>
          <w:rFonts w:hint="eastAsia"/>
        </w:rPr>
        <w:t>9</w:t>
      </w:r>
      <w:r w:rsidR="00607FDB">
        <w:rPr>
          <w:rFonts w:hint="eastAsia"/>
        </w:rPr>
        <w:t>月底，</w:t>
      </w:r>
      <w:r w:rsidR="00F533BB">
        <w:rPr>
          <w:rFonts w:hint="eastAsia"/>
        </w:rPr>
        <w:t>其中</w:t>
      </w:r>
      <w:r w:rsidR="00F533BB" w:rsidRPr="00F533BB">
        <w:rPr>
          <w:b/>
          <w:lang w:val="en-CA"/>
        </w:rPr>
        <w:t>200,000</w:t>
      </w:r>
      <w:r w:rsidR="00824C2B">
        <w:rPr>
          <w:b/>
          <w:lang w:val="en-CA"/>
        </w:rPr>
        <w:t> </w:t>
      </w:r>
      <w:r w:rsidR="00F533BB">
        <w:rPr>
          <w:rFonts w:hint="eastAsia"/>
          <w:b/>
          <w:lang w:val="en-CA"/>
        </w:rPr>
        <w:t>美元</w:t>
      </w:r>
      <w:r w:rsidRPr="007B5FFF">
        <w:rPr>
          <w:rFonts w:hint="eastAsia"/>
        </w:rPr>
        <w:t>预计将</w:t>
      </w:r>
      <w:r w:rsidRPr="00F533BB">
        <w:rPr>
          <w:rFonts w:hint="eastAsia"/>
        </w:rPr>
        <w:t>在</w:t>
      </w:r>
      <w:r w:rsidRPr="00F533BB">
        <w:rPr>
          <w:rFonts w:hint="eastAsia"/>
          <w:b/>
          <w:bCs/>
        </w:rPr>
        <w:t>2019</w:t>
      </w:r>
      <w:r w:rsidRPr="00F533BB">
        <w:rPr>
          <w:rFonts w:hint="eastAsia"/>
          <w:b/>
          <w:bCs/>
        </w:rPr>
        <w:t>年底</w:t>
      </w:r>
      <w:r w:rsidR="00F533BB" w:rsidRPr="00F533BB">
        <w:rPr>
          <w:rFonts w:hint="eastAsia"/>
          <w:b/>
          <w:bCs/>
        </w:rPr>
        <w:t>之前</w:t>
      </w:r>
      <w:r w:rsidRPr="007B5FFF">
        <w:rPr>
          <w:rFonts w:hint="eastAsia"/>
        </w:rPr>
        <w:t>发放</w:t>
      </w:r>
      <w:r w:rsidR="00F533BB">
        <w:rPr>
          <w:rFonts w:hint="eastAsia"/>
        </w:rPr>
        <w:t>。</w:t>
      </w:r>
    </w:p>
    <w:p w14:paraId="514E8791" w14:textId="6144CA4B" w:rsidR="00F533BB" w:rsidRPr="00F533BB" w:rsidRDefault="00960CA8" w:rsidP="00F533BB">
      <w:pPr>
        <w:numPr>
          <w:ilvl w:val="0"/>
          <w:numId w:val="20"/>
        </w:numPr>
        <w:spacing w:line="259" w:lineRule="auto"/>
        <w:ind w:left="0" w:firstLine="0"/>
        <w:jc w:val="both"/>
      </w:pPr>
      <w:r>
        <w:rPr>
          <w:rFonts w:hint="eastAsia"/>
        </w:rPr>
        <w:t>剩下的</w:t>
      </w:r>
      <w:r w:rsidR="00F533BB" w:rsidRPr="00960CA8">
        <w:t>余额</w:t>
      </w:r>
      <w:r>
        <w:rPr>
          <w:rFonts w:hint="eastAsia"/>
        </w:rPr>
        <w:t>将</w:t>
      </w:r>
      <w:r w:rsidR="00F533BB" w:rsidRPr="00F533BB">
        <w:t>用于</w:t>
      </w:r>
      <w:r>
        <w:rPr>
          <w:rFonts w:hint="eastAsia"/>
        </w:rPr>
        <w:t>购置即时</w:t>
      </w:r>
      <w:r w:rsidR="00F533BB" w:rsidRPr="00F533BB">
        <w:t>发泡剂</w:t>
      </w:r>
      <w:r w:rsidR="00414790">
        <w:t>检测仪</w:t>
      </w:r>
      <w:r w:rsidR="00F533BB" w:rsidRPr="00F533BB">
        <w:t>。在聚氨酯泡沫塑料行业</w:t>
      </w:r>
      <w:r>
        <w:rPr>
          <w:rFonts w:hint="eastAsia"/>
        </w:rPr>
        <w:t>开展的</w:t>
      </w:r>
      <w:r w:rsidR="00F533BB" w:rsidRPr="00F533BB">
        <w:t>10</w:t>
      </w:r>
      <w:r>
        <w:rPr>
          <w:rFonts w:hint="eastAsia"/>
        </w:rPr>
        <w:t>项</w:t>
      </w:r>
      <w:r w:rsidR="00F533BB" w:rsidRPr="00F533BB">
        <w:t>研究活动</w:t>
      </w:r>
      <w:r>
        <w:rPr>
          <w:rFonts w:hint="eastAsia"/>
        </w:rPr>
        <w:t>已在</w:t>
      </w:r>
      <w:r w:rsidR="00F533BB" w:rsidRPr="00F533BB">
        <w:t>2018</w:t>
      </w:r>
      <w:r w:rsidR="00F533BB" w:rsidRPr="00F533BB">
        <w:t>年</w:t>
      </w:r>
      <w:r>
        <w:rPr>
          <w:rFonts w:hint="eastAsia"/>
        </w:rPr>
        <w:t>上半年完成。挑选这些提案是为了支持开发零</w:t>
      </w:r>
      <w:r w:rsidR="00F533BB" w:rsidRPr="00F533BB">
        <w:t>制剂的开发</w:t>
      </w:r>
      <w:r>
        <w:rPr>
          <w:rFonts w:hint="eastAsia"/>
        </w:rPr>
        <w:t>价格低廉的</w:t>
      </w:r>
      <w:r w:rsidR="00F533BB" w:rsidRPr="00F533BB">
        <w:t>零</w:t>
      </w:r>
      <w:r w:rsidRPr="00960CA8">
        <w:t>消耗臭氧潜能值</w:t>
      </w:r>
      <w:r>
        <w:rPr>
          <w:rFonts w:hint="eastAsia"/>
        </w:rPr>
        <w:t>（</w:t>
      </w:r>
      <w:r w:rsidR="00F533BB" w:rsidRPr="00F533BB">
        <w:t>ODP</w:t>
      </w:r>
      <w:r>
        <w:rPr>
          <w:rFonts w:hint="eastAsia"/>
        </w:rPr>
        <w:t>）</w:t>
      </w:r>
      <w:r w:rsidR="00F533BB" w:rsidRPr="00F533BB">
        <w:t>和低</w:t>
      </w:r>
      <w:r>
        <w:rPr>
          <w:rFonts w:hint="eastAsia"/>
        </w:rPr>
        <w:t>全球升温潜能值（</w:t>
      </w:r>
      <w:r>
        <w:rPr>
          <w:rFonts w:hint="eastAsia"/>
        </w:rPr>
        <w:t>GWP</w:t>
      </w:r>
      <w:r>
        <w:rPr>
          <w:rFonts w:hint="eastAsia"/>
        </w:rPr>
        <w:t>）配方，以便可以供</w:t>
      </w:r>
      <w:r w:rsidR="00F533BB" w:rsidRPr="00F533BB">
        <w:t>中小企业使用</w:t>
      </w:r>
      <w:r>
        <w:rPr>
          <w:rFonts w:hint="eastAsia"/>
        </w:rPr>
        <w:t>，并支持开发</w:t>
      </w:r>
      <w:r w:rsidR="00F533BB" w:rsidRPr="00F533BB">
        <w:t>预混多元醇配方，</w:t>
      </w:r>
      <w:r>
        <w:rPr>
          <w:rFonts w:hint="eastAsia"/>
        </w:rPr>
        <w:t>用于</w:t>
      </w:r>
      <w:r w:rsidR="00F533BB" w:rsidRPr="00F533BB">
        <w:t>优化泡沫</w:t>
      </w:r>
      <w:r>
        <w:rPr>
          <w:rFonts w:hint="eastAsia"/>
        </w:rPr>
        <w:t>塑料</w:t>
      </w:r>
      <w:r w:rsidR="00F533BB" w:rsidRPr="00F533BB">
        <w:t>产品的稳定性</w:t>
      </w:r>
      <w:r>
        <w:rPr>
          <w:rFonts w:hint="eastAsia"/>
        </w:rPr>
        <w:t>、</w:t>
      </w:r>
      <w:r w:rsidR="00F533BB" w:rsidRPr="00F533BB">
        <w:t>性能和</w:t>
      </w:r>
      <w:r>
        <w:rPr>
          <w:rFonts w:hint="eastAsia"/>
        </w:rPr>
        <w:t>隔温</w:t>
      </w:r>
      <w:r w:rsidR="00F533BB" w:rsidRPr="00F533BB">
        <w:t>性能。</w:t>
      </w:r>
      <w:r w:rsidR="00F533BB" w:rsidRPr="00F533BB">
        <w:t>               </w:t>
      </w:r>
    </w:p>
    <w:p w14:paraId="4CB39D27" w14:textId="0820B412" w:rsidR="00F533BB" w:rsidRPr="00F533BB" w:rsidRDefault="00F533BB" w:rsidP="00F533BB">
      <w:pPr>
        <w:numPr>
          <w:ilvl w:val="0"/>
          <w:numId w:val="20"/>
        </w:numPr>
        <w:spacing w:line="259" w:lineRule="auto"/>
        <w:ind w:left="0" w:firstLine="0"/>
        <w:jc w:val="both"/>
      </w:pPr>
      <w:r w:rsidRPr="00F533BB">
        <w:t>2018</w:t>
      </w:r>
      <w:r w:rsidRPr="00F533BB">
        <w:t>年</w:t>
      </w:r>
      <w:r w:rsidRPr="00F533BB">
        <w:t>6</w:t>
      </w:r>
      <w:r w:rsidRPr="00F533BB">
        <w:t>月</w:t>
      </w:r>
      <w:r w:rsidR="00960CA8">
        <w:rPr>
          <w:rFonts w:hint="eastAsia"/>
        </w:rPr>
        <w:t>，在</w:t>
      </w:r>
      <w:r w:rsidR="00960CA8" w:rsidRPr="00F533BB">
        <w:t>河北省</w:t>
      </w:r>
      <w:r w:rsidR="00960CA8">
        <w:rPr>
          <w:rFonts w:hint="eastAsia"/>
        </w:rPr>
        <w:t>的</w:t>
      </w:r>
      <w:r w:rsidR="00960CA8" w:rsidRPr="00F533BB">
        <w:t>一个建筑工地完成了</w:t>
      </w:r>
      <w:r w:rsidR="00960CA8">
        <w:rPr>
          <w:rFonts w:hint="eastAsia"/>
        </w:rPr>
        <w:t>用</w:t>
      </w:r>
      <w:r w:rsidR="00960CA8" w:rsidRPr="00960CA8">
        <w:t>氢氟</w:t>
      </w:r>
      <w:r w:rsidR="00960CA8" w:rsidRPr="00960CA8">
        <w:rPr>
          <w:rFonts w:hint="eastAsia"/>
        </w:rPr>
        <w:t>烯烃</w:t>
      </w:r>
      <w:r w:rsidRPr="00F533BB">
        <w:t>作为发泡剂的现场</w:t>
      </w:r>
      <w:r w:rsidR="00960CA8">
        <w:rPr>
          <w:rFonts w:hint="eastAsia"/>
        </w:rPr>
        <w:t>喷射泡沫测试</w:t>
      </w:r>
      <w:r w:rsidRPr="00F533BB">
        <w:t>。</w:t>
      </w:r>
      <w:r w:rsidR="00960CA8">
        <w:rPr>
          <w:rFonts w:hint="eastAsia"/>
        </w:rPr>
        <w:t>在</w:t>
      </w:r>
      <w:r w:rsidRPr="00F533BB">
        <w:t>现场测试</w:t>
      </w:r>
      <w:r w:rsidR="00960CA8">
        <w:rPr>
          <w:rFonts w:hint="eastAsia"/>
        </w:rPr>
        <w:t>中</w:t>
      </w:r>
      <w:r w:rsidR="00E85626">
        <w:rPr>
          <w:rFonts w:hint="eastAsia"/>
        </w:rPr>
        <w:t>对</w:t>
      </w:r>
      <w:r w:rsidR="00E85626" w:rsidRPr="00F533BB">
        <w:t>住宅建筑</w:t>
      </w:r>
      <w:r w:rsidR="00E85626">
        <w:rPr>
          <w:rFonts w:hint="eastAsia"/>
        </w:rPr>
        <w:t>进行了</w:t>
      </w:r>
      <w:r w:rsidR="00960CA8" w:rsidRPr="00F533BB">
        <w:t>2,350</w:t>
      </w:r>
      <w:r w:rsidR="00960CA8">
        <w:rPr>
          <w:rFonts w:hint="eastAsia"/>
        </w:rPr>
        <w:t>平方米以上的</w:t>
      </w:r>
      <w:r w:rsidR="00E85626">
        <w:rPr>
          <w:rFonts w:hint="eastAsia"/>
        </w:rPr>
        <w:t>泡沫喷射</w:t>
      </w:r>
      <w:r w:rsidRPr="00F533BB">
        <w:t>。</w:t>
      </w:r>
      <w:r w:rsidR="00E85626">
        <w:rPr>
          <w:rFonts w:hint="eastAsia"/>
        </w:rPr>
        <w:t>在</w:t>
      </w:r>
      <w:r w:rsidRPr="00F533BB">
        <w:t>冬季低环境温度下</w:t>
      </w:r>
      <w:r w:rsidR="00E85626">
        <w:rPr>
          <w:rFonts w:hint="eastAsia"/>
        </w:rPr>
        <w:t>对形状</w:t>
      </w:r>
      <w:r w:rsidRPr="00F533BB">
        <w:t>稳定性</w:t>
      </w:r>
      <w:r w:rsidR="00E85626">
        <w:rPr>
          <w:rFonts w:hint="eastAsia"/>
        </w:rPr>
        <w:t>、隔温</w:t>
      </w:r>
      <w:r w:rsidRPr="00F533BB">
        <w:t>性能和其他相关的泡沫特性</w:t>
      </w:r>
      <w:r w:rsidR="00E85626">
        <w:rPr>
          <w:rFonts w:hint="eastAsia"/>
        </w:rPr>
        <w:t>进行了评估</w:t>
      </w:r>
      <w:r w:rsidRPr="00F533BB">
        <w:t>，</w:t>
      </w:r>
      <w:r w:rsidR="00E85626">
        <w:rPr>
          <w:rFonts w:hint="eastAsia"/>
        </w:rPr>
        <w:t>现在正为评估</w:t>
      </w:r>
      <w:r w:rsidRPr="00F533BB">
        <w:t>报告定稿。</w:t>
      </w:r>
      <w:r w:rsidRPr="00F533BB">
        <w:t>               </w:t>
      </w:r>
    </w:p>
    <w:p w14:paraId="21A0D0AA" w14:textId="486E912D" w:rsidR="00F533BB" w:rsidRPr="00F533BB" w:rsidRDefault="00F533BB" w:rsidP="00F533BB">
      <w:pPr>
        <w:numPr>
          <w:ilvl w:val="0"/>
          <w:numId w:val="20"/>
        </w:numPr>
        <w:spacing w:line="259" w:lineRule="auto"/>
        <w:ind w:left="0" w:firstLine="0"/>
        <w:jc w:val="both"/>
      </w:pPr>
      <w:r w:rsidRPr="00F533BB">
        <w:t>2014</w:t>
      </w:r>
      <w:r w:rsidRPr="00F533BB">
        <w:t>年</w:t>
      </w:r>
      <w:r w:rsidRPr="00F533BB">
        <w:t>12</w:t>
      </w:r>
      <w:r w:rsidRPr="00F533BB">
        <w:t>月，</w:t>
      </w:r>
      <w:r w:rsidR="00E85626">
        <w:rPr>
          <w:rFonts w:hint="eastAsia"/>
        </w:rPr>
        <w:t>FECO</w:t>
      </w:r>
      <w:r w:rsidRPr="00F533BB">
        <w:t>与四家</w:t>
      </w:r>
      <w:r w:rsidR="00E85626">
        <w:rPr>
          <w:rFonts w:hint="eastAsia"/>
        </w:rPr>
        <w:t>配方</w:t>
      </w:r>
      <w:r w:rsidR="00E85626" w:rsidRPr="00F533BB">
        <w:t>公司</w:t>
      </w:r>
      <w:r w:rsidR="00E85626">
        <w:rPr>
          <w:rFonts w:hint="eastAsia"/>
        </w:rPr>
        <w:t>签订</w:t>
      </w:r>
      <w:r w:rsidR="00E85626" w:rsidRPr="00F533BB">
        <w:t>了合同，</w:t>
      </w:r>
      <w:r w:rsidR="00E85626">
        <w:rPr>
          <w:rFonts w:hint="eastAsia"/>
        </w:rPr>
        <w:t>这些公司通过安装生产设施和实验室设备，并对新配方进行试生产和测试，建立了水发泡预混多元醇生产能力</w:t>
      </w:r>
      <w:r w:rsidRPr="00F533BB">
        <w:t>。目前，</w:t>
      </w:r>
      <w:r w:rsidR="00E85626">
        <w:rPr>
          <w:rFonts w:hint="eastAsia"/>
        </w:rPr>
        <w:t>这些配方公司</w:t>
      </w:r>
      <w:r w:rsidR="009469D6">
        <w:rPr>
          <w:rFonts w:hint="eastAsia"/>
        </w:rPr>
        <w:t>正</w:t>
      </w:r>
      <w:r w:rsidRPr="00F533BB">
        <w:t>向下游泡沫塑料企业提供技术服务，并</w:t>
      </w:r>
      <w:r w:rsidR="009469D6">
        <w:rPr>
          <w:rFonts w:hint="eastAsia"/>
        </w:rPr>
        <w:t>向</w:t>
      </w:r>
      <w:r w:rsidR="009469D6" w:rsidRPr="00F533BB">
        <w:t>包括中小企业</w:t>
      </w:r>
      <w:r w:rsidR="009469D6">
        <w:rPr>
          <w:rFonts w:hint="eastAsia"/>
        </w:rPr>
        <w:t>在内的</w:t>
      </w:r>
      <w:r w:rsidR="009469D6" w:rsidRPr="00F533BB">
        <w:t>下游用户</w:t>
      </w:r>
      <w:r w:rsidR="009469D6">
        <w:rPr>
          <w:rFonts w:hint="eastAsia"/>
        </w:rPr>
        <w:t>出售了</w:t>
      </w:r>
      <w:r w:rsidRPr="00F533BB">
        <w:t>超过</w:t>
      </w:r>
      <w:r w:rsidRPr="00F533BB">
        <w:t>2000 </w:t>
      </w:r>
      <w:r w:rsidR="009469D6">
        <w:rPr>
          <w:rFonts w:hint="eastAsia"/>
        </w:rPr>
        <w:t>公吨采用</w:t>
      </w:r>
      <w:r w:rsidRPr="00F533BB">
        <w:t>替代</w:t>
      </w:r>
      <w:r w:rsidR="009469D6">
        <w:rPr>
          <w:rFonts w:hint="eastAsia"/>
        </w:rPr>
        <w:t>配方的</w:t>
      </w:r>
      <w:r w:rsidRPr="00F533BB">
        <w:t>预混多元醇。这四个项目已于</w:t>
      </w:r>
      <w:r w:rsidRPr="00F533BB">
        <w:t>2018 </w:t>
      </w:r>
      <w:r w:rsidRPr="00F533BB">
        <w:t>年</w:t>
      </w:r>
      <w:r w:rsidRPr="00F533BB">
        <w:t>6 </w:t>
      </w:r>
      <w:r w:rsidRPr="00F533BB">
        <w:t>月完成，</w:t>
      </w:r>
      <w:r w:rsidR="009469D6">
        <w:rPr>
          <w:rFonts w:hint="eastAsia"/>
        </w:rPr>
        <w:t>所涉配方</w:t>
      </w:r>
      <w:r w:rsidRPr="00F533BB">
        <w:t>公司在</w:t>
      </w:r>
      <w:r w:rsidRPr="00F533BB">
        <w:t>2019</w:t>
      </w:r>
      <w:r w:rsidRPr="00F533BB">
        <w:t>年初收到了最后一笔付款。</w:t>
      </w:r>
      <w:r w:rsidRPr="00F533BB">
        <w:t>                   </w:t>
      </w:r>
    </w:p>
    <w:p w14:paraId="3171C806" w14:textId="27119436" w:rsidR="00F533BB" w:rsidRPr="00F533BB" w:rsidRDefault="009469D6" w:rsidP="00F533BB">
      <w:pPr>
        <w:numPr>
          <w:ilvl w:val="0"/>
          <w:numId w:val="20"/>
        </w:numPr>
        <w:spacing w:line="259" w:lineRule="auto"/>
        <w:ind w:left="0" w:firstLine="0"/>
        <w:jc w:val="both"/>
      </w:pPr>
      <w:r>
        <w:rPr>
          <w:rFonts w:hint="eastAsia"/>
        </w:rPr>
        <w:t>FECO</w:t>
      </w:r>
      <w:r w:rsidR="00F533BB" w:rsidRPr="00F533BB">
        <w:t>还与</w:t>
      </w:r>
      <w:r w:rsidR="00F533BB" w:rsidRPr="00F533BB">
        <w:t>11</w:t>
      </w:r>
      <w:r w:rsidR="00F533BB" w:rsidRPr="00F533BB">
        <w:t>个省</w:t>
      </w:r>
      <w:r w:rsidR="00F533BB" w:rsidRPr="00F533BB">
        <w:t>/</w:t>
      </w:r>
      <w:r w:rsidR="00F533BB" w:rsidRPr="00F533BB">
        <w:t>市的</w:t>
      </w:r>
      <w:r>
        <w:rPr>
          <w:rFonts w:hint="eastAsia"/>
        </w:rPr>
        <w:t>生态和环境局</w:t>
      </w:r>
      <w:r w:rsidR="00F533BB" w:rsidRPr="00F533BB">
        <w:t>签订了合同，</w:t>
      </w:r>
      <w:r>
        <w:rPr>
          <w:rFonts w:hint="eastAsia"/>
        </w:rPr>
        <w:t>以</w:t>
      </w:r>
      <w:r w:rsidR="00F533BB" w:rsidRPr="00F533BB">
        <w:t>提高公众对</w:t>
      </w:r>
      <w:r w:rsidRPr="00F533BB">
        <w:t>保护</w:t>
      </w:r>
      <w:r w:rsidR="00F533BB" w:rsidRPr="00F533BB">
        <w:t>臭氧层的认识，增强持续履约能力，并确保</w:t>
      </w:r>
      <w:r w:rsidR="00F533BB" w:rsidRPr="00F533BB">
        <w:t>2010</w:t>
      </w:r>
      <w:r w:rsidR="00F533BB" w:rsidRPr="00F533BB">
        <w:t>年后不会有任何氟氯化碳或其他受控</w:t>
      </w:r>
      <w:r>
        <w:rPr>
          <w:rFonts w:hint="eastAsia"/>
        </w:rPr>
        <w:t>ODS</w:t>
      </w:r>
      <w:r>
        <w:rPr>
          <w:rFonts w:hint="eastAsia"/>
        </w:rPr>
        <w:t>死灰复燃</w:t>
      </w:r>
      <w:r w:rsidR="00F533BB" w:rsidRPr="00F533BB">
        <w:t>。</w:t>
      </w:r>
      <w:r>
        <w:rPr>
          <w:rFonts w:hint="eastAsia"/>
        </w:rPr>
        <w:t>这</w:t>
      </w:r>
      <w:r w:rsidR="00F533BB" w:rsidRPr="00F533BB">
        <w:t>11</w:t>
      </w:r>
      <w:r>
        <w:rPr>
          <w:rFonts w:hint="eastAsia"/>
        </w:rPr>
        <w:t>个</w:t>
      </w:r>
      <w:r w:rsidR="00F533BB" w:rsidRPr="00F533BB">
        <w:t>地方</w:t>
      </w:r>
      <w:r>
        <w:rPr>
          <w:rFonts w:hint="eastAsia"/>
        </w:rPr>
        <w:t>生态和环境局</w:t>
      </w:r>
      <w:r w:rsidR="00F533BB" w:rsidRPr="00F533BB">
        <w:t>已经</w:t>
      </w:r>
      <w:r>
        <w:rPr>
          <w:rFonts w:hint="eastAsia"/>
        </w:rPr>
        <w:t>落实合同规定</w:t>
      </w:r>
      <w:r w:rsidR="00F533BB" w:rsidRPr="00F533BB">
        <w:t>的目标和条件。这些项目加强了这</w:t>
      </w:r>
      <w:r w:rsidR="00F533BB" w:rsidRPr="00F533BB">
        <w:t>11</w:t>
      </w:r>
      <w:r w:rsidR="00F533BB" w:rsidRPr="00F533BB">
        <w:t>个</w:t>
      </w:r>
      <w:r>
        <w:rPr>
          <w:rFonts w:hint="eastAsia"/>
        </w:rPr>
        <w:t>地区</w:t>
      </w:r>
      <w:r w:rsidR="00F533BB" w:rsidRPr="00F533BB">
        <w:t>的知识</w:t>
      </w:r>
      <w:r>
        <w:rPr>
          <w:rFonts w:hint="eastAsia"/>
        </w:rPr>
        <w:t>、</w:t>
      </w:r>
      <w:r w:rsidR="00F533BB" w:rsidRPr="00F533BB">
        <w:t>管理和执法能力，提高了对国家</w:t>
      </w:r>
      <w:r>
        <w:rPr>
          <w:rFonts w:hint="eastAsia"/>
        </w:rPr>
        <w:t>ODS</w:t>
      </w:r>
      <w:r w:rsidR="00F533BB" w:rsidRPr="00F533BB">
        <w:t>管理条例的认识。</w:t>
      </w:r>
      <w:r>
        <w:rPr>
          <w:rFonts w:hint="eastAsia"/>
        </w:rPr>
        <w:t>这</w:t>
      </w:r>
      <w:r w:rsidR="00F533BB" w:rsidRPr="00F533BB">
        <w:t>11</w:t>
      </w:r>
      <w:r w:rsidR="00F533BB" w:rsidRPr="00F533BB">
        <w:t>个</w:t>
      </w:r>
      <w:r>
        <w:rPr>
          <w:rFonts w:hint="eastAsia"/>
        </w:rPr>
        <w:t>生态和环境局</w:t>
      </w:r>
      <w:r w:rsidR="00F533BB" w:rsidRPr="00F533BB">
        <w:t>在</w:t>
      </w:r>
      <w:r w:rsidR="00F533BB" w:rsidRPr="00F533BB">
        <w:t>2018</w:t>
      </w:r>
      <w:r w:rsidR="00F533BB" w:rsidRPr="00F533BB">
        <w:t>年</w:t>
      </w:r>
      <w:r w:rsidR="00F533BB" w:rsidRPr="00F533BB">
        <w:t>12</w:t>
      </w:r>
      <w:r w:rsidR="00F533BB" w:rsidRPr="00F533BB">
        <w:t>月完成了项目，并收到</w:t>
      </w:r>
      <w:r>
        <w:rPr>
          <w:rFonts w:hint="eastAsia"/>
        </w:rPr>
        <w:t>最后一笔</w:t>
      </w:r>
      <w:r w:rsidR="00F533BB" w:rsidRPr="00F533BB">
        <w:t>合同付款。</w:t>
      </w:r>
      <w:r w:rsidR="00F533BB" w:rsidRPr="00F533BB">
        <w:t>               </w:t>
      </w:r>
    </w:p>
    <w:p w14:paraId="5C6229E2" w14:textId="40CCA884" w:rsidR="00A417C6" w:rsidRPr="00A417C6" w:rsidRDefault="00F533BB" w:rsidP="00F533BB">
      <w:pPr>
        <w:numPr>
          <w:ilvl w:val="0"/>
          <w:numId w:val="20"/>
        </w:numPr>
        <w:spacing w:line="259" w:lineRule="auto"/>
        <w:ind w:left="0" w:firstLine="0"/>
        <w:jc w:val="both"/>
      </w:pPr>
      <w:r w:rsidRPr="003650EB">
        <w:t>政府</w:t>
      </w:r>
      <w:r w:rsidRPr="00F533BB">
        <w:t>颁布了</w:t>
      </w:r>
      <w:r w:rsidR="003650EB">
        <w:rPr>
          <w:rFonts w:hint="eastAsia"/>
        </w:rPr>
        <w:t>《</w:t>
      </w:r>
      <w:r w:rsidRPr="00F533BB">
        <w:t>消耗臭氧层物质管理条例</w:t>
      </w:r>
      <w:r w:rsidR="003650EB">
        <w:rPr>
          <w:rFonts w:hint="eastAsia"/>
        </w:rPr>
        <w:t>》</w:t>
      </w:r>
      <w:r w:rsidRPr="00F533BB">
        <w:t>和</w:t>
      </w:r>
      <w:r w:rsidR="003650EB">
        <w:rPr>
          <w:rFonts w:hint="eastAsia"/>
        </w:rPr>
        <w:t>《</w:t>
      </w:r>
      <w:r w:rsidR="003650EB" w:rsidRPr="003650EB">
        <w:t>关于生产和使用消耗臭氧层物质建设项目管理工作的通知</w:t>
      </w:r>
      <w:r w:rsidR="003650EB">
        <w:rPr>
          <w:rFonts w:hint="eastAsia"/>
        </w:rPr>
        <w:t>》</w:t>
      </w:r>
      <w:r w:rsidRPr="00F533BB">
        <w:t>，并采取</w:t>
      </w:r>
      <w:r w:rsidR="003650EB">
        <w:rPr>
          <w:rFonts w:hint="eastAsia"/>
        </w:rPr>
        <w:t>了</w:t>
      </w:r>
      <w:r w:rsidRPr="00F533BB">
        <w:t>其他政策</w:t>
      </w:r>
      <w:r w:rsidR="003650EB">
        <w:rPr>
          <w:rFonts w:hint="eastAsia"/>
        </w:rPr>
        <w:t>行动</w:t>
      </w:r>
      <w:r w:rsidRPr="00F533BB">
        <w:t>，禁止</w:t>
      </w:r>
      <w:r w:rsidR="003650EB">
        <w:rPr>
          <w:rFonts w:hint="eastAsia"/>
        </w:rPr>
        <w:t>再次使用已经</w:t>
      </w:r>
      <w:r w:rsidRPr="00F533BB">
        <w:t>淘汰</w:t>
      </w:r>
      <w:r w:rsidR="003650EB">
        <w:rPr>
          <w:rFonts w:hint="eastAsia"/>
        </w:rPr>
        <w:t>的</w:t>
      </w:r>
      <w:r w:rsidRPr="00F533BB">
        <w:t>氟氯化碳和执行氟氯烃</w:t>
      </w:r>
      <w:r w:rsidR="003650EB">
        <w:rPr>
          <w:rFonts w:hint="eastAsia"/>
        </w:rPr>
        <w:t>控制措施</w:t>
      </w:r>
      <w:r w:rsidRPr="00F533BB">
        <w:t>。但是，泡沫塑料行业</w:t>
      </w:r>
      <w:r w:rsidR="003650EB">
        <w:rPr>
          <w:rFonts w:hint="eastAsia"/>
        </w:rPr>
        <w:t>中有许多把这些物质派作</w:t>
      </w:r>
      <w:r w:rsidRPr="00F533BB">
        <w:t>各种</w:t>
      </w:r>
      <w:r w:rsidR="003650EB">
        <w:rPr>
          <w:rFonts w:hint="eastAsia"/>
        </w:rPr>
        <w:t>用途</w:t>
      </w:r>
      <w:r w:rsidRPr="00F533BB">
        <w:t>的企业。因此，</w:t>
      </w:r>
      <w:r w:rsidR="003650EB">
        <w:rPr>
          <w:rFonts w:hint="eastAsia"/>
        </w:rPr>
        <w:t>FECO</w:t>
      </w:r>
      <w:r w:rsidRPr="00F533BB">
        <w:t>通过与</w:t>
      </w:r>
      <w:r w:rsidR="003650EB">
        <w:rPr>
          <w:rFonts w:hint="eastAsia"/>
        </w:rPr>
        <w:t>集中了大部分配方公司和泡沫塑料企业的</w:t>
      </w:r>
      <w:r w:rsidR="003650EB" w:rsidRPr="00F533BB">
        <w:t>五个省</w:t>
      </w:r>
      <w:r w:rsidR="003650EB">
        <w:rPr>
          <w:rFonts w:hint="eastAsia"/>
        </w:rPr>
        <w:t>市</w:t>
      </w:r>
      <w:r w:rsidR="003650EB" w:rsidRPr="00F533BB">
        <w:t>（河北</w:t>
      </w:r>
      <w:r w:rsidR="003650EB">
        <w:rPr>
          <w:rFonts w:hint="eastAsia"/>
        </w:rPr>
        <w:t>、</w:t>
      </w:r>
      <w:r w:rsidR="003650EB" w:rsidRPr="00F533BB">
        <w:t>河南</w:t>
      </w:r>
      <w:r w:rsidR="003650EB">
        <w:rPr>
          <w:rFonts w:hint="eastAsia"/>
        </w:rPr>
        <w:t>、</w:t>
      </w:r>
      <w:r w:rsidR="003650EB" w:rsidRPr="00F533BB">
        <w:t>山东</w:t>
      </w:r>
      <w:r w:rsidR="003650EB">
        <w:rPr>
          <w:rFonts w:hint="eastAsia"/>
        </w:rPr>
        <w:t>、</w:t>
      </w:r>
      <w:r w:rsidR="003650EB" w:rsidRPr="00F533BB">
        <w:t>四川和天津）签订合同，继续进行</w:t>
      </w:r>
      <w:r w:rsidR="003650EB">
        <w:rPr>
          <w:rFonts w:hint="eastAsia"/>
        </w:rPr>
        <w:t>监测</w:t>
      </w:r>
      <w:r w:rsidR="003650EB" w:rsidRPr="00F533BB">
        <w:t>活动，</w:t>
      </w:r>
      <w:r w:rsidR="003650EB">
        <w:rPr>
          <w:rFonts w:hint="eastAsia"/>
        </w:rPr>
        <w:t>并对</w:t>
      </w:r>
      <w:r w:rsidRPr="00F533BB">
        <w:t>化学</w:t>
      </w:r>
      <w:r w:rsidR="003650EB">
        <w:rPr>
          <w:rFonts w:hint="eastAsia"/>
        </w:rPr>
        <w:t>品</w:t>
      </w:r>
      <w:r w:rsidRPr="00F533BB">
        <w:t>经销商</w:t>
      </w:r>
      <w:r w:rsidR="003650EB">
        <w:rPr>
          <w:rFonts w:hint="eastAsia"/>
        </w:rPr>
        <w:t>、配方公司</w:t>
      </w:r>
      <w:r w:rsidRPr="00F533BB">
        <w:t>和泡沫塑料企业</w:t>
      </w:r>
      <w:r w:rsidR="003650EB">
        <w:rPr>
          <w:rFonts w:hint="eastAsia"/>
        </w:rPr>
        <w:t>进行</w:t>
      </w:r>
      <w:r w:rsidR="00414790">
        <w:rPr>
          <w:rFonts w:hint="eastAsia"/>
        </w:rPr>
        <w:t>实地</w:t>
      </w:r>
      <w:r w:rsidR="003650EB">
        <w:rPr>
          <w:rFonts w:hint="eastAsia"/>
        </w:rPr>
        <w:t>访问，收集</w:t>
      </w:r>
      <w:r w:rsidRPr="00F533BB">
        <w:t>发泡剂</w:t>
      </w:r>
      <w:r w:rsidR="003650EB">
        <w:rPr>
          <w:rFonts w:hint="eastAsia"/>
        </w:rPr>
        <w:t>、预混</w:t>
      </w:r>
      <w:r w:rsidR="003650EB" w:rsidRPr="00F533BB">
        <w:t>多元醇</w:t>
      </w:r>
      <w:r w:rsidR="003650EB">
        <w:rPr>
          <w:rFonts w:hint="eastAsia"/>
        </w:rPr>
        <w:t>配方和最后的</w:t>
      </w:r>
      <w:r w:rsidR="003650EB" w:rsidRPr="00F533BB">
        <w:t>泡沫</w:t>
      </w:r>
      <w:r w:rsidR="003650EB">
        <w:rPr>
          <w:rFonts w:hint="eastAsia"/>
        </w:rPr>
        <w:t>塑料</w:t>
      </w:r>
      <w:r w:rsidR="003650EB" w:rsidRPr="00F533BB">
        <w:t>产品</w:t>
      </w:r>
      <w:r w:rsidRPr="00F533BB">
        <w:t>的样本。</w:t>
      </w:r>
      <w:r w:rsidRPr="00F533BB">
        <w:rPr>
          <w:b/>
          <w:bCs/>
        </w:rPr>
        <w:t>截至第八十三次会议</w:t>
      </w:r>
      <w:r w:rsidRPr="00F533BB">
        <w:t>，</w:t>
      </w:r>
      <w:r w:rsidR="003650EB">
        <w:rPr>
          <w:rFonts w:hint="eastAsia"/>
        </w:rPr>
        <w:t>已经访问</w:t>
      </w:r>
      <w:r w:rsidRPr="00F533BB">
        <w:t>了</w:t>
      </w:r>
      <w:r w:rsidRPr="00F533BB">
        <w:t>420</w:t>
      </w:r>
      <w:r w:rsidRPr="00F533BB">
        <w:t>多家泡沫塑料企业和</w:t>
      </w:r>
      <w:r w:rsidR="003650EB">
        <w:t>配方公司</w:t>
      </w:r>
      <w:r w:rsidRPr="00F533BB">
        <w:t>，收集了</w:t>
      </w:r>
      <w:r w:rsidRPr="00F533BB">
        <w:t>780</w:t>
      </w:r>
      <w:r w:rsidRPr="00F533BB">
        <w:t>多种泡沫塑料和原材料样品。根据</w:t>
      </w:r>
      <w:r w:rsidR="00A417C6">
        <w:rPr>
          <w:rFonts w:hint="eastAsia"/>
        </w:rPr>
        <w:t>对</w:t>
      </w:r>
      <w:r w:rsidRPr="00F533BB">
        <w:t>样品的初步检测，</w:t>
      </w:r>
      <w:r w:rsidR="00A417C6">
        <w:rPr>
          <w:rFonts w:hint="eastAsia"/>
        </w:rPr>
        <w:t>很小一部分</w:t>
      </w:r>
      <w:r w:rsidRPr="00F533BB">
        <w:t>样品</w:t>
      </w:r>
      <w:r w:rsidR="00A417C6">
        <w:rPr>
          <w:rFonts w:hint="eastAsia"/>
        </w:rPr>
        <w:t>被怀疑可能包含已经</w:t>
      </w:r>
      <w:r w:rsidRPr="00F533BB">
        <w:t>淘汰</w:t>
      </w:r>
      <w:r w:rsidR="00A417C6">
        <w:rPr>
          <w:rFonts w:hint="eastAsia"/>
        </w:rPr>
        <w:t>的</w:t>
      </w:r>
      <w:r w:rsidRPr="00F533BB">
        <w:t>氟氯化碳</w:t>
      </w:r>
      <w:r w:rsidRPr="00F533BB">
        <w:t>/</w:t>
      </w:r>
      <w:r w:rsidR="00A417C6">
        <w:rPr>
          <w:rFonts w:hint="eastAsia"/>
        </w:rPr>
        <w:t>氟氯烃</w:t>
      </w:r>
      <w:r w:rsidRPr="00F533BB">
        <w:t>。山东省有</w:t>
      </w:r>
      <w:r w:rsidR="00A417C6">
        <w:rPr>
          <w:rFonts w:hint="eastAsia"/>
        </w:rPr>
        <w:t>三</w:t>
      </w:r>
      <w:r w:rsidRPr="00F533BB">
        <w:t>家企业被发现非法使用</w:t>
      </w:r>
      <w:r w:rsidRPr="00F533BB">
        <w:t>CFC-11</w:t>
      </w:r>
      <w:r w:rsidRPr="00F533BB">
        <w:t>，根据消耗臭氧层物质管理</w:t>
      </w:r>
      <w:r w:rsidR="00A417C6">
        <w:rPr>
          <w:rFonts w:hint="eastAsia"/>
        </w:rPr>
        <w:t>条例</w:t>
      </w:r>
      <w:r w:rsidRPr="00F533BB">
        <w:t>受到</w:t>
      </w:r>
      <w:r w:rsidR="00A417C6">
        <w:rPr>
          <w:rFonts w:hint="eastAsia"/>
        </w:rPr>
        <w:t>了</w:t>
      </w:r>
      <w:r w:rsidRPr="00F533BB">
        <w:t>处罚。</w:t>
      </w:r>
      <w:r w:rsidR="00A417C6" w:rsidRPr="00F533BB">
        <w:rPr>
          <w:b/>
          <w:bCs/>
        </w:rPr>
        <w:t>本文件</w:t>
      </w:r>
      <w:r w:rsidR="00A417C6">
        <w:rPr>
          <w:rFonts w:hint="eastAsia"/>
          <w:b/>
          <w:bCs/>
        </w:rPr>
        <w:t>的附件所载报告提供了关于</w:t>
      </w:r>
      <w:r w:rsidRPr="00F533BB">
        <w:rPr>
          <w:b/>
          <w:bCs/>
        </w:rPr>
        <w:t>这些监测活动</w:t>
      </w:r>
      <w:r w:rsidR="00A417C6">
        <w:rPr>
          <w:rFonts w:hint="eastAsia"/>
          <w:b/>
          <w:bCs/>
        </w:rPr>
        <w:t>所取得</w:t>
      </w:r>
      <w:r w:rsidRPr="00F533BB">
        <w:rPr>
          <w:b/>
          <w:bCs/>
        </w:rPr>
        <w:t>结果</w:t>
      </w:r>
      <w:r w:rsidR="00A417C6">
        <w:rPr>
          <w:rFonts w:hint="eastAsia"/>
          <w:b/>
          <w:bCs/>
        </w:rPr>
        <w:t>的最新信息</w:t>
      </w:r>
      <w:r w:rsidRPr="00F533BB">
        <w:rPr>
          <w:b/>
          <w:bCs/>
        </w:rPr>
        <w:t>，包括</w:t>
      </w:r>
      <w:r w:rsidR="00A417C6">
        <w:rPr>
          <w:rFonts w:hint="eastAsia"/>
          <w:b/>
          <w:bCs/>
        </w:rPr>
        <w:t>对另外</w:t>
      </w:r>
      <w:r w:rsidR="00A417C6">
        <w:rPr>
          <w:rFonts w:hint="eastAsia"/>
          <w:b/>
          <w:bCs/>
        </w:rPr>
        <w:t>656</w:t>
      </w:r>
      <w:r w:rsidR="00A417C6">
        <w:rPr>
          <w:rFonts w:hint="eastAsia"/>
          <w:b/>
          <w:bCs/>
        </w:rPr>
        <w:t>家配方公司和泡沫塑料企业进行检查的相关信息，这份报告是中国政府按照</w:t>
      </w:r>
      <w:r w:rsidR="00A417C6" w:rsidRPr="00F533BB">
        <w:rPr>
          <w:b/>
          <w:bCs/>
        </w:rPr>
        <w:t>第</w:t>
      </w:r>
      <w:r w:rsidR="00A417C6" w:rsidRPr="00F533BB">
        <w:rPr>
          <w:b/>
          <w:bCs/>
        </w:rPr>
        <w:t>83/41</w:t>
      </w:r>
      <w:r w:rsidR="00A417C6" w:rsidRPr="00F533BB">
        <w:rPr>
          <w:b/>
          <w:bCs/>
        </w:rPr>
        <w:t>号决定</w:t>
      </w:r>
      <w:r w:rsidR="00A417C6" w:rsidRPr="00F533BB">
        <w:rPr>
          <w:b/>
          <w:bCs/>
        </w:rPr>
        <w:t>(e)</w:t>
      </w:r>
      <w:r w:rsidR="00A417C6">
        <w:rPr>
          <w:rFonts w:hint="eastAsia"/>
          <w:b/>
          <w:bCs/>
        </w:rPr>
        <w:t>段提交的。</w:t>
      </w:r>
    </w:p>
    <w:p w14:paraId="0436FD3E" w14:textId="28C82BFE" w:rsidR="00F533BB" w:rsidRPr="00F533BB" w:rsidRDefault="00F533BB" w:rsidP="00F533BB">
      <w:pPr>
        <w:numPr>
          <w:ilvl w:val="0"/>
          <w:numId w:val="20"/>
        </w:numPr>
        <w:spacing w:line="259" w:lineRule="auto"/>
        <w:ind w:left="0" w:firstLine="0"/>
        <w:jc w:val="both"/>
      </w:pPr>
      <w:r w:rsidRPr="00F533BB">
        <w:lastRenderedPageBreak/>
        <w:t>政府认为，</w:t>
      </w:r>
      <w:r w:rsidR="00547CF4">
        <w:rPr>
          <w:rFonts w:hint="eastAsia"/>
        </w:rPr>
        <w:t>这些</w:t>
      </w:r>
      <w:r w:rsidRPr="00F533BB">
        <w:t>监测活动</w:t>
      </w:r>
      <w:r w:rsidR="00547CF4">
        <w:rPr>
          <w:rFonts w:hint="eastAsia"/>
        </w:rPr>
        <w:t>切实</w:t>
      </w:r>
      <w:r w:rsidRPr="00F533BB">
        <w:t>执行了已建立的政策</w:t>
      </w:r>
      <w:r w:rsidR="00414790">
        <w:rPr>
          <w:rFonts w:hint="eastAsia"/>
        </w:rPr>
        <w:t>制度</w:t>
      </w:r>
      <w:r w:rsidRPr="00F533BB">
        <w:t>。</w:t>
      </w:r>
      <w:r w:rsidR="00547CF4">
        <w:rPr>
          <w:rFonts w:hint="eastAsia"/>
        </w:rPr>
        <w:t>然而</w:t>
      </w:r>
      <w:r w:rsidRPr="00F533BB">
        <w:t>，</w:t>
      </w:r>
      <w:r w:rsidR="00547CF4">
        <w:rPr>
          <w:rFonts w:hint="eastAsia"/>
        </w:rPr>
        <w:t>由于次级</w:t>
      </w:r>
      <w:r w:rsidRPr="00F533BB">
        <w:t>行业和</w:t>
      </w:r>
      <w:r w:rsidR="00547CF4">
        <w:rPr>
          <w:rFonts w:hint="eastAsia"/>
        </w:rPr>
        <w:t>配方</w:t>
      </w:r>
      <w:r w:rsidR="00414790">
        <w:rPr>
          <w:rFonts w:hint="eastAsia"/>
        </w:rPr>
        <w:t>厂家</w:t>
      </w:r>
      <w:r w:rsidR="00547CF4">
        <w:rPr>
          <w:rFonts w:hint="eastAsia"/>
        </w:rPr>
        <w:t>数目众多</w:t>
      </w:r>
      <w:r w:rsidR="004732DE">
        <w:rPr>
          <w:rFonts w:hint="eastAsia"/>
        </w:rPr>
        <w:t>、</w:t>
      </w:r>
      <w:r w:rsidRPr="00F533BB">
        <w:t>检查人员</w:t>
      </w:r>
      <w:r w:rsidR="004732DE">
        <w:rPr>
          <w:rFonts w:hint="eastAsia"/>
        </w:rPr>
        <w:t>关于</w:t>
      </w:r>
      <w:r w:rsidRPr="00F533BB">
        <w:t>泡沫</w:t>
      </w:r>
      <w:r w:rsidR="004732DE">
        <w:rPr>
          <w:rFonts w:hint="eastAsia"/>
        </w:rPr>
        <w:t>塑料</w:t>
      </w:r>
      <w:r w:rsidRPr="00F533BB">
        <w:t>生产的</w:t>
      </w:r>
      <w:r w:rsidR="004732DE">
        <w:rPr>
          <w:rFonts w:hint="eastAsia"/>
        </w:rPr>
        <w:t>知识</w:t>
      </w:r>
      <w:r w:rsidRPr="00F533BB">
        <w:t>不足</w:t>
      </w:r>
      <w:r w:rsidR="004732DE">
        <w:rPr>
          <w:rFonts w:hint="eastAsia"/>
        </w:rPr>
        <w:t>和</w:t>
      </w:r>
      <w:r w:rsidRPr="00F533BB">
        <w:t>发泡剂检测</w:t>
      </w:r>
      <w:r w:rsidR="004732DE">
        <w:rPr>
          <w:rFonts w:hint="eastAsia"/>
        </w:rPr>
        <w:t>仪</w:t>
      </w:r>
      <w:r w:rsidRPr="00F533BB">
        <w:t>数量</w:t>
      </w:r>
      <w:r w:rsidR="004732DE">
        <w:rPr>
          <w:rFonts w:hint="eastAsia"/>
        </w:rPr>
        <w:t>不够</w:t>
      </w:r>
      <w:r w:rsidRPr="00F533BB">
        <w:t>（</w:t>
      </w:r>
      <w:r w:rsidR="004732DE">
        <w:rPr>
          <w:rFonts w:hint="eastAsia"/>
        </w:rPr>
        <w:t>一些市县没有检测仪</w:t>
      </w:r>
      <w:r w:rsidRPr="00F533BB">
        <w:t>），可能</w:t>
      </w:r>
      <w:r w:rsidR="004732DE">
        <w:rPr>
          <w:rFonts w:hint="eastAsia"/>
        </w:rPr>
        <w:t>妨碍了对</w:t>
      </w:r>
      <w:r w:rsidRPr="00F533BB">
        <w:t>泡沫塑料</w:t>
      </w:r>
      <w:r w:rsidR="004732DE">
        <w:rPr>
          <w:rFonts w:hint="eastAsia"/>
        </w:rPr>
        <w:t>行业进行</w:t>
      </w:r>
      <w:r w:rsidRPr="00F533BB">
        <w:t>检查和</w:t>
      </w:r>
      <w:r w:rsidR="004732DE">
        <w:rPr>
          <w:rFonts w:hint="eastAsia"/>
        </w:rPr>
        <w:t>监测</w:t>
      </w:r>
      <w:r w:rsidRPr="00F533BB">
        <w:t>的效率。此外，</w:t>
      </w:r>
      <w:r w:rsidR="004732DE">
        <w:rPr>
          <w:rFonts w:hint="eastAsia"/>
        </w:rPr>
        <w:t>ODS</w:t>
      </w:r>
      <w:r w:rsidRPr="00F533BB">
        <w:t>管理</w:t>
      </w:r>
      <w:r w:rsidR="004732DE">
        <w:rPr>
          <w:rFonts w:hint="eastAsia"/>
        </w:rPr>
        <w:t>条例</w:t>
      </w:r>
      <w:r w:rsidRPr="00F533BB">
        <w:t>很</w:t>
      </w:r>
      <w:r w:rsidR="004732DE">
        <w:rPr>
          <w:rFonts w:hint="eastAsia"/>
        </w:rPr>
        <w:t>简要</w:t>
      </w:r>
      <w:r w:rsidRPr="00F533BB">
        <w:t>，没有提供处理可能出现的每种具体情况的详细说明，</w:t>
      </w:r>
      <w:r w:rsidR="004732DE">
        <w:rPr>
          <w:rFonts w:hint="eastAsia"/>
        </w:rPr>
        <w:t>因此把很多问题留给</w:t>
      </w:r>
      <w:r w:rsidRPr="00F533BB">
        <w:t>省</w:t>
      </w:r>
      <w:r w:rsidR="004732DE">
        <w:rPr>
          <w:rFonts w:hint="eastAsia"/>
        </w:rPr>
        <w:t>一级做出</w:t>
      </w:r>
      <w:r w:rsidRPr="00F533BB">
        <w:t>政策</w:t>
      </w:r>
      <w:r w:rsidR="004732DE">
        <w:rPr>
          <w:rFonts w:hint="eastAsia"/>
        </w:rPr>
        <w:t>解释或由生态和环境局来</w:t>
      </w:r>
      <w:r w:rsidRPr="00F533BB">
        <w:t>解释。此外，替代技术尚未渗透到</w:t>
      </w:r>
      <w:r w:rsidR="004732DE">
        <w:rPr>
          <w:rFonts w:hint="eastAsia"/>
        </w:rPr>
        <w:t>这个</w:t>
      </w:r>
      <w:r w:rsidRPr="00F533BB">
        <w:t>行业，较高的成本削弱了中小企业</w:t>
      </w:r>
      <w:r w:rsidR="004732DE">
        <w:rPr>
          <w:rFonts w:hint="eastAsia"/>
        </w:rPr>
        <w:t>改用</w:t>
      </w:r>
      <w:r w:rsidRPr="00F533BB">
        <w:t>零</w:t>
      </w:r>
      <w:r w:rsidRPr="00F533BB">
        <w:t>ODP</w:t>
      </w:r>
      <w:r w:rsidR="004732DE">
        <w:rPr>
          <w:rFonts w:hint="eastAsia"/>
        </w:rPr>
        <w:t>和</w:t>
      </w:r>
      <w:r w:rsidRPr="00F533BB">
        <w:t>低</w:t>
      </w:r>
      <w:r w:rsidR="004732DE">
        <w:rPr>
          <w:rFonts w:hint="eastAsia"/>
        </w:rPr>
        <w:t>GWP</w:t>
      </w:r>
      <w:r w:rsidRPr="00F533BB">
        <w:t>替代品的意愿。</w:t>
      </w:r>
      <w:r w:rsidR="004732DE">
        <w:rPr>
          <w:rFonts w:hint="eastAsia"/>
        </w:rPr>
        <w:t>FECO</w:t>
      </w:r>
      <w:r w:rsidR="004732DE">
        <w:rPr>
          <w:rFonts w:hint="eastAsia"/>
        </w:rPr>
        <w:t>以及生态和环境部</w:t>
      </w:r>
      <w:r w:rsidRPr="00F533BB">
        <w:t>充分注意到这些挑战，将继续通过不同渠道为</w:t>
      </w:r>
      <w:r w:rsidR="004732DE">
        <w:rPr>
          <w:rFonts w:hint="eastAsia"/>
        </w:rPr>
        <w:t>各地生态和环境局以及</w:t>
      </w:r>
      <w:r w:rsidRPr="00F533BB">
        <w:t>环境监测部门提供技术支持。</w:t>
      </w:r>
      <w:r w:rsidRPr="00F533BB">
        <w:t>                 </w:t>
      </w:r>
    </w:p>
    <w:p w14:paraId="4C9DEB0B" w14:textId="48795C20" w:rsidR="00F533BB" w:rsidRPr="00F533BB" w:rsidRDefault="00F533BB" w:rsidP="00F533BB">
      <w:pPr>
        <w:numPr>
          <w:ilvl w:val="0"/>
          <w:numId w:val="20"/>
        </w:numPr>
        <w:spacing w:line="259" w:lineRule="auto"/>
        <w:ind w:left="0" w:firstLine="0"/>
        <w:jc w:val="both"/>
      </w:pPr>
      <w:r w:rsidRPr="00F533BB">
        <w:t>采购了</w:t>
      </w:r>
      <w:r w:rsidRPr="00F533BB">
        <w:t>14</w:t>
      </w:r>
      <w:r w:rsidRPr="00F533BB">
        <w:t>个</w:t>
      </w:r>
      <w:r w:rsidR="00380A36">
        <w:rPr>
          <w:rFonts w:hint="eastAsia"/>
        </w:rPr>
        <w:t>即时</w:t>
      </w:r>
      <w:r w:rsidRPr="00F533BB">
        <w:t>发泡剂检测</w:t>
      </w:r>
      <w:r w:rsidR="00380A36">
        <w:rPr>
          <w:rFonts w:hint="eastAsia"/>
        </w:rPr>
        <w:t>仪</w:t>
      </w:r>
      <w:r w:rsidRPr="00F533BB">
        <w:t>，分配给</w:t>
      </w:r>
      <w:r w:rsidR="00380A36">
        <w:rPr>
          <w:rFonts w:hint="eastAsia"/>
        </w:rPr>
        <w:t>五</w:t>
      </w:r>
      <w:r w:rsidRPr="00F533BB">
        <w:t>个</w:t>
      </w:r>
      <w:r w:rsidR="00380A36">
        <w:rPr>
          <w:rFonts w:hint="eastAsia"/>
        </w:rPr>
        <w:t>生态和环境局</w:t>
      </w:r>
      <w:r w:rsidRPr="00F533BB">
        <w:t>，</w:t>
      </w:r>
      <w:r w:rsidR="00380A36">
        <w:rPr>
          <w:rFonts w:hint="eastAsia"/>
        </w:rPr>
        <w:t>用于</w:t>
      </w:r>
      <w:r w:rsidRPr="00F533BB">
        <w:t>继续监测泡沫塑料行业的氟氯化碳淘汰情况。根据在提高检查效率方面取得的积极成果，</w:t>
      </w:r>
      <w:r w:rsidR="00380A36">
        <w:rPr>
          <w:rFonts w:hint="eastAsia"/>
        </w:rPr>
        <w:t>划拨</w:t>
      </w:r>
      <w:r w:rsidRPr="00F533BB">
        <w:t>了</w:t>
      </w:r>
      <w:r w:rsidRPr="00F533BB">
        <w:t>200,000</w:t>
      </w:r>
      <w:r w:rsidRPr="00F533BB">
        <w:t>美元，用于</w:t>
      </w:r>
      <w:r w:rsidR="00380A36">
        <w:rPr>
          <w:rFonts w:hint="eastAsia"/>
        </w:rPr>
        <w:t>再</w:t>
      </w:r>
      <w:r w:rsidRPr="00F533BB">
        <w:t>采购</w:t>
      </w:r>
      <w:r w:rsidRPr="00F533BB">
        <w:t>14</w:t>
      </w:r>
      <w:r w:rsidRPr="00F533BB">
        <w:t>个</w:t>
      </w:r>
      <w:r w:rsidR="00380A36">
        <w:rPr>
          <w:rFonts w:hint="eastAsia"/>
        </w:rPr>
        <w:t>检测仪</w:t>
      </w:r>
      <w:r w:rsidRPr="00F533BB">
        <w:t>，以加强缺乏测试设备的重点省份的监测和执法能力。</w:t>
      </w:r>
      <w:r w:rsidRPr="00F533BB">
        <w:rPr>
          <w:b/>
          <w:bCs/>
        </w:rPr>
        <w:t>鉴于并非所有检测</w:t>
      </w:r>
      <w:r w:rsidR="00380A36">
        <w:rPr>
          <w:rFonts w:hint="eastAsia"/>
          <w:b/>
          <w:bCs/>
        </w:rPr>
        <w:t>仪</w:t>
      </w:r>
      <w:r w:rsidRPr="00F533BB">
        <w:rPr>
          <w:b/>
          <w:bCs/>
        </w:rPr>
        <w:t>都已组装完毕并交付给</w:t>
      </w:r>
      <w:r w:rsidR="00380A36">
        <w:rPr>
          <w:rFonts w:hint="eastAsia"/>
          <w:b/>
          <w:bCs/>
        </w:rPr>
        <w:t>有关</w:t>
      </w:r>
      <w:r w:rsidRPr="00F533BB">
        <w:rPr>
          <w:b/>
          <w:bCs/>
        </w:rPr>
        <w:t>省份，因此</w:t>
      </w:r>
      <w:r w:rsidR="00380A36">
        <w:rPr>
          <w:rFonts w:hint="eastAsia"/>
          <w:b/>
          <w:bCs/>
        </w:rPr>
        <w:t>很有</w:t>
      </w:r>
      <w:r w:rsidRPr="00F533BB">
        <w:rPr>
          <w:b/>
          <w:bCs/>
        </w:rPr>
        <w:t>可能在</w:t>
      </w:r>
      <w:r w:rsidRPr="00F533BB">
        <w:rPr>
          <w:b/>
          <w:bCs/>
        </w:rPr>
        <w:t>2019</w:t>
      </w:r>
      <w:r w:rsidRPr="00F533BB">
        <w:rPr>
          <w:b/>
          <w:bCs/>
        </w:rPr>
        <w:t>年底之前</w:t>
      </w:r>
      <w:r w:rsidR="00380A36">
        <w:rPr>
          <w:rFonts w:hint="eastAsia"/>
          <w:b/>
          <w:bCs/>
        </w:rPr>
        <w:t>无法发放资金</w:t>
      </w:r>
      <w:r w:rsidRPr="00F533BB">
        <w:rPr>
          <w:b/>
          <w:bCs/>
        </w:rPr>
        <w:t>。</w:t>
      </w:r>
      <w:r w:rsidRPr="00F533BB">
        <w:t>                 </w:t>
      </w:r>
    </w:p>
    <w:p w14:paraId="614EF5B0" w14:textId="2DF45320" w:rsidR="00F533BB" w:rsidRPr="00F533BB" w:rsidRDefault="00F533BB" w:rsidP="00F533BB">
      <w:pPr>
        <w:numPr>
          <w:ilvl w:val="0"/>
          <w:numId w:val="20"/>
        </w:numPr>
        <w:spacing w:line="259" w:lineRule="auto"/>
        <w:ind w:left="0" w:firstLine="0"/>
        <w:jc w:val="both"/>
      </w:pPr>
      <w:r w:rsidRPr="00F533BB">
        <w:t>为了提高</w:t>
      </w:r>
      <w:r w:rsidR="00380A36">
        <w:rPr>
          <w:rFonts w:hint="eastAsia"/>
        </w:rPr>
        <w:t>测试</w:t>
      </w:r>
      <w:r w:rsidRPr="00F533BB">
        <w:t>能力并</w:t>
      </w:r>
      <w:r w:rsidR="00380A36">
        <w:rPr>
          <w:rFonts w:hint="eastAsia"/>
        </w:rPr>
        <w:t>帮助</w:t>
      </w:r>
      <w:r w:rsidRPr="00F533BB">
        <w:t>执行</w:t>
      </w:r>
      <w:r w:rsidR="00380A36">
        <w:rPr>
          <w:rFonts w:hint="eastAsia"/>
        </w:rPr>
        <w:t>工作</w:t>
      </w:r>
      <w:r w:rsidRPr="00F533BB">
        <w:t>（只有三个机构可以提供经认证的测试报告），中国政府将支持另外六个测试中心采用泡沫塑料发泡剂测试技术标准，</w:t>
      </w:r>
      <w:r w:rsidR="00380A36">
        <w:rPr>
          <w:rFonts w:hint="eastAsia"/>
        </w:rPr>
        <w:t>在</w:t>
      </w:r>
      <w:r w:rsidR="00380A36" w:rsidRPr="00F533BB">
        <w:t>2019</w:t>
      </w:r>
      <w:r w:rsidR="00380A36" w:rsidRPr="00F533BB">
        <w:t>年底</w:t>
      </w:r>
      <w:r w:rsidR="00380A36">
        <w:rPr>
          <w:rFonts w:hint="eastAsia"/>
        </w:rPr>
        <w:t>之前成为经过认证的</w:t>
      </w:r>
      <w:r w:rsidRPr="00F533BB">
        <w:t>聚氨酯泡沫塑料发泡剂测试实验室。</w:t>
      </w:r>
      <w:r w:rsidRPr="00F533BB">
        <w:t>               </w:t>
      </w:r>
    </w:p>
    <w:p w14:paraId="241015A9" w14:textId="2C48A6C7" w:rsidR="007B5FFF" w:rsidRDefault="00F533BB" w:rsidP="00F533BB">
      <w:pPr>
        <w:numPr>
          <w:ilvl w:val="0"/>
          <w:numId w:val="20"/>
        </w:numPr>
        <w:spacing w:line="259" w:lineRule="auto"/>
        <w:ind w:left="0" w:firstLine="0"/>
        <w:jc w:val="both"/>
      </w:pPr>
      <w:r w:rsidRPr="00F533BB">
        <w:t>中国政府还</w:t>
      </w:r>
      <w:r w:rsidR="00BA6527">
        <w:rPr>
          <w:rFonts w:hint="eastAsia"/>
        </w:rPr>
        <w:t>于</w:t>
      </w:r>
      <w:r w:rsidR="00BA6527">
        <w:rPr>
          <w:rFonts w:hint="eastAsia"/>
        </w:rPr>
        <w:t>2019</w:t>
      </w:r>
      <w:r w:rsidR="00BA6527">
        <w:rPr>
          <w:rFonts w:hint="eastAsia"/>
        </w:rPr>
        <w:t>年</w:t>
      </w:r>
      <w:r w:rsidR="00BA6527">
        <w:rPr>
          <w:rFonts w:hint="eastAsia"/>
        </w:rPr>
        <w:t>3</w:t>
      </w:r>
      <w:r w:rsidR="00BA6527">
        <w:rPr>
          <w:rFonts w:hint="eastAsia"/>
        </w:rPr>
        <w:t>月</w:t>
      </w:r>
      <w:r w:rsidR="00BA6527">
        <w:rPr>
          <w:rFonts w:hint="eastAsia"/>
        </w:rPr>
        <w:t>18</w:t>
      </w:r>
      <w:r w:rsidR="00BA6527">
        <w:rPr>
          <w:rFonts w:hint="eastAsia"/>
        </w:rPr>
        <w:t>日</w:t>
      </w:r>
      <w:r w:rsidRPr="00F533BB">
        <w:t>举办了</w:t>
      </w:r>
      <w:r w:rsidR="00BA6527" w:rsidRPr="00BA6527">
        <w:t>《蒙特利尔议定书》履约能力建设交流国际研讨会</w:t>
      </w:r>
      <w:r w:rsidRPr="00F533BB">
        <w:t>，</w:t>
      </w:r>
      <w:r w:rsidR="000A7703">
        <w:rPr>
          <w:rFonts w:hint="eastAsia"/>
        </w:rPr>
        <w:t>十几个</w:t>
      </w:r>
      <w:r w:rsidR="00BA6527">
        <w:rPr>
          <w:rFonts w:hint="eastAsia"/>
        </w:rPr>
        <w:t>第</w:t>
      </w:r>
      <w:r w:rsidRPr="00F533BB">
        <w:t>5</w:t>
      </w:r>
      <w:r w:rsidR="00BA6527">
        <w:rPr>
          <w:rFonts w:hint="eastAsia"/>
        </w:rPr>
        <w:t>条</w:t>
      </w:r>
      <w:r w:rsidRPr="00F533BB">
        <w:t>和非第</w:t>
      </w:r>
      <w:r w:rsidRPr="00F533BB">
        <w:t>5</w:t>
      </w:r>
      <w:r w:rsidR="00BA6527">
        <w:rPr>
          <w:rFonts w:hint="eastAsia"/>
        </w:rPr>
        <w:t>条缔约方、</w:t>
      </w:r>
      <w:r w:rsidRPr="00F533BB">
        <w:t>臭氧秘书处</w:t>
      </w:r>
      <w:r w:rsidR="00BA6527">
        <w:rPr>
          <w:rFonts w:hint="eastAsia"/>
        </w:rPr>
        <w:t>、多边</w:t>
      </w:r>
      <w:r w:rsidRPr="00F533BB">
        <w:t>基金秘书处</w:t>
      </w:r>
      <w:r w:rsidR="00BA6527">
        <w:rPr>
          <w:rFonts w:hint="eastAsia"/>
        </w:rPr>
        <w:t>、</w:t>
      </w:r>
      <w:r w:rsidRPr="00F533BB">
        <w:t>科学评估小组和所有执行机构</w:t>
      </w:r>
      <w:r w:rsidR="00BA6527">
        <w:rPr>
          <w:rFonts w:hint="eastAsia"/>
        </w:rPr>
        <w:t>参加了研讨会</w:t>
      </w:r>
      <w:r w:rsidRPr="00F533BB">
        <w:t>。</w:t>
      </w:r>
      <w:r w:rsidR="00BA6527" w:rsidRPr="00BA6527">
        <w:rPr>
          <w:rFonts w:hint="eastAsia"/>
          <w:b/>
          <w:bCs/>
        </w:rPr>
        <w:t>使用了</w:t>
      </w:r>
      <w:r w:rsidRPr="00F533BB">
        <w:t>将近</w:t>
      </w:r>
      <w:r w:rsidRPr="00F533BB">
        <w:t>100,000</w:t>
      </w:r>
      <w:r w:rsidRPr="00F533BB">
        <w:t>美元的余额</w:t>
      </w:r>
      <w:r w:rsidRPr="00F533BB">
        <w:rPr>
          <w:b/>
          <w:bCs/>
        </w:rPr>
        <w:t>用于</w:t>
      </w:r>
      <w:r w:rsidRPr="00F533BB">
        <w:t>举办该讲习班，</w:t>
      </w:r>
      <w:r w:rsidR="00BA6527">
        <w:rPr>
          <w:rFonts w:hint="eastAsia"/>
        </w:rPr>
        <w:t>支付</w:t>
      </w:r>
      <w:r w:rsidRPr="00F533BB">
        <w:t>2018 </w:t>
      </w:r>
      <w:r w:rsidRPr="00F533BB">
        <w:t>年</w:t>
      </w:r>
      <w:r w:rsidRPr="00F533BB">
        <w:t>8 </w:t>
      </w:r>
      <w:r w:rsidRPr="00F533BB">
        <w:t>月以来</w:t>
      </w:r>
      <w:r w:rsidR="00BA6527">
        <w:rPr>
          <w:rFonts w:hint="eastAsia"/>
        </w:rPr>
        <w:t>引起</w:t>
      </w:r>
      <w:r w:rsidRPr="00F533BB">
        <w:t>的泡沫</w:t>
      </w:r>
      <w:r w:rsidR="00BA6527">
        <w:rPr>
          <w:rFonts w:hint="eastAsia"/>
        </w:rPr>
        <w:t>塑料</w:t>
      </w:r>
      <w:r w:rsidRPr="00F533BB">
        <w:t>和多元醇样品测试费</w:t>
      </w:r>
      <w:r w:rsidR="00BA6527">
        <w:rPr>
          <w:rFonts w:hint="eastAsia"/>
        </w:rPr>
        <w:t>和</w:t>
      </w:r>
      <w:r w:rsidRPr="00F533BB">
        <w:t>提高测试能力。</w:t>
      </w:r>
    </w:p>
    <w:p w14:paraId="1CA06D3C" w14:textId="523070FD" w:rsidR="00BA6527" w:rsidRPr="00FB0F76" w:rsidRDefault="00FB0F76" w:rsidP="00FB0F76">
      <w:pPr>
        <w:keepNext/>
        <w:spacing w:line="259" w:lineRule="auto"/>
        <w:jc w:val="both"/>
        <w:rPr>
          <w:u w:val="single"/>
        </w:rPr>
      </w:pPr>
      <w:r w:rsidRPr="00FB0F76">
        <w:rPr>
          <w:u w:val="single"/>
        </w:rPr>
        <w:t>氟氯化碳制冷维修行业</w:t>
      </w:r>
    </w:p>
    <w:p w14:paraId="593FC31B" w14:textId="36C4F64F" w:rsidR="00FB0F76" w:rsidRPr="00FB0F76" w:rsidRDefault="00FB0F76" w:rsidP="00FB0F76">
      <w:pPr>
        <w:numPr>
          <w:ilvl w:val="0"/>
          <w:numId w:val="20"/>
        </w:numPr>
        <w:spacing w:line="259" w:lineRule="auto"/>
        <w:ind w:left="0" w:firstLine="0"/>
        <w:jc w:val="both"/>
      </w:pPr>
      <w:r w:rsidRPr="00FB0F76">
        <w:rPr>
          <w:rFonts w:hint="eastAsia"/>
          <w:b/>
          <w:bCs/>
        </w:rPr>
        <w:t>2018</w:t>
      </w:r>
      <w:r w:rsidRPr="00FB0F76">
        <w:rPr>
          <w:rFonts w:hint="eastAsia"/>
          <w:b/>
          <w:bCs/>
        </w:rPr>
        <w:t>年</w:t>
      </w:r>
      <w:r w:rsidRPr="00FB0F76">
        <w:rPr>
          <w:rFonts w:hint="eastAsia"/>
          <w:b/>
          <w:bCs/>
        </w:rPr>
        <w:t>7</w:t>
      </w:r>
      <w:r w:rsidRPr="00FB0F76">
        <w:rPr>
          <w:rFonts w:hint="eastAsia"/>
          <w:b/>
          <w:bCs/>
        </w:rPr>
        <w:t>月</w:t>
      </w:r>
      <w:r w:rsidRPr="00FB0F76">
        <w:rPr>
          <w:rFonts w:hint="eastAsia"/>
          <w:b/>
          <w:bCs/>
        </w:rPr>
        <w:t>1</w:t>
      </w:r>
      <w:r w:rsidRPr="00FB0F76">
        <w:rPr>
          <w:rFonts w:hint="eastAsia"/>
          <w:b/>
          <w:bCs/>
        </w:rPr>
        <w:t>日至</w:t>
      </w:r>
      <w:r w:rsidRPr="00FB0F76">
        <w:rPr>
          <w:rFonts w:hint="eastAsia"/>
          <w:b/>
          <w:bCs/>
        </w:rPr>
        <w:t>2019</w:t>
      </w:r>
      <w:r w:rsidRPr="00FB0F76">
        <w:rPr>
          <w:rFonts w:hint="eastAsia"/>
          <w:b/>
          <w:bCs/>
        </w:rPr>
        <w:t>年</w:t>
      </w:r>
      <w:r w:rsidRPr="00FB0F76">
        <w:rPr>
          <w:rFonts w:hint="eastAsia"/>
          <w:b/>
          <w:bCs/>
        </w:rPr>
        <w:t>6</w:t>
      </w:r>
      <w:r w:rsidRPr="00FB0F76">
        <w:rPr>
          <w:rFonts w:hint="eastAsia"/>
          <w:b/>
          <w:bCs/>
        </w:rPr>
        <w:t>月</w:t>
      </w:r>
      <w:r w:rsidRPr="00FB0F76">
        <w:rPr>
          <w:rFonts w:hint="eastAsia"/>
          <w:b/>
          <w:bCs/>
        </w:rPr>
        <w:t xml:space="preserve">30 </w:t>
      </w:r>
      <w:r w:rsidRPr="00FB0F76">
        <w:rPr>
          <w:rFonts w:hint="eastAsia"/>
          <w:b/>
          <w:bCs/>
        </w:rPr>
        <w:t>日</w:t>
      </w:r>
      <w:r w:rsidRPr="00FB0F76">
        <w:rPr>
          <w:rFonts w:hint="eastAsia"/>
        </w:rPr>
        <w:t>期间共发放了</w:t>
      </w:r>
      <w:r w:rsidRPr="00FB0F76">
        <w:rPr>
          <w:b/>
          <w:lang w:val="en-CA"/>
        </w:rPr>
        <w:t>411,829</w:t>
      </w:r>
      <w:r w:rsidRPr="00FB0F76">
        <w:rPr>
          <w:rFonts w:hint="eastAsia"/>
          <w:b/>
          <w:bCs/>
        </w:rPr>
        <w:t>美元</w:t>
      </w:r>
      <w:r w:rsidRPr="00FB0F76">
        <w:rPr>
          <w:rFonts w:hint="eastAsia"/>
        </w:rPr>
        <w:t>。</w:t>
      </w:r>
      <w:r w:rsidRPr="00FB0F76">
        <w:rPr>
          <w:rFonts w:hint="eastAsia"/>
          <w:b/>
          <w:bCs/>
        </w:rPr>
        <w:t>2019</w:t>
      </w:r>
      <w:r w:rsidRPr="00FB0F76">
        <w:rPr>
          <w:rFonts w:hint="eastAsia"/>
          <w:b/>
          <w:bCs/>
        </w:rPr>
        <w:t>年</w:t>
      </w:r>
      <w:r w:rsidRPr="00FB0F76">
        <w:rPr>
          <w:rFonts w:hint="eastAsia"/>
          <w:b/>
          <w:bCs/>
        </w:rPr>
        <w:t>6</w:t>
      </w:r>
      <w:r w:rsidRPr="00FB0F76">
        <w:rPr>
          <w:rFonts w:hint="eastAsia"/>
          <w:b/>
          <w:bCs/>
        </w:rPr>
        <w:t>月</w:t>
      </w:r>
      <w:r w:rsidRPr="00FB0F76">
        <w:rPr>
          <w:rFonts w:hint="eastAsia"/>
          <w:b/>
          <w:bCs/>
        </w:rPr>
        <w:t>30</w:t>
      </w:r>
      <w:r w:rsidRPr="00FB0F76">
        <w:rPr>
          <w:rFonts w:hint="eastAsia"/>
          <w:b/>
          <w:bCs/>
        </w:rPr>
        <w:t>日</w:t>
      </w:r>
      <w:r w:rsidRPr="00FB0F76">
        <w:rPr>
          <w:rFonts w:hint="eastAsia"/>
        </w:rPr>
        <w:t>尚有剩余资金</w:t>
      </w:r>
      <w:r w:rsidRPr="00FB0F76">
        <w:rPr>
          <w:b/>
          <w:lang w:val="en-CA"/>
        </w:rPr>
        <w:t>735,790</w:t>
      </w:r>
      <w:r w:rsidRPr="00FB0F76">
        <w:rPr>
          <w:rFonts w:hint="eastAsia"/>
          <w:b/>
          <w:bCs/>
        </w:rPr>
        <w:t>美元</w:t>
      </w:r>
      <w:r w:rsidRPr="00FB0F76">
        <w:rPr>
          <w:rFonts w:hint="eastAsia"/>
        </w:rPr>
        <w:t>，</w:t>
      </w:r>
      <w:r w:rsidRPr="00607FDB">
        <w:rPr>
          <w:rFonts w:hint="eastAsia"/>
          <w:b/>
          <w:bCs/>
        </w:rPr>
        <w:t>所提交的进度报告表示，</w:t>
      </w:r>
      <w:r w:rsidR="00607FDB">
        <w:rPr>
          <w:rFonts w:hint="eastAsia"/>
          <w:b/>
          <w:bCs/>
        </w:rPr>
        <w:t>截至</w:t>
      </w:r>
      <w:r w:rsidR="00607FDB" w:rsidRPr="00FB0F76">
        <w:rPr>
          <w:rFonts w:hint="eastAsia"/>
          <w:b/>
          <w:bCs/>
        </w:rPr>
        <w:t>2019</w:t>
      </w:r>
      <w:r w:rsidR="00607FDB" w:rsidRPr="00FB0F76">
        <w:rPr>
          <w:rFonts w:hint="eastAsia"/>
          <w:b/>
          <w:bCs/>
        </w:rPr>
        <w:t>年</w:t>
      </w:r>
      <w:r w:rsidR="00607FDB">
        <w:rPr>
          <w:rFonts w:hint="eastAsia"/>
          <w:b/>
          <w:bCs/>
        </w:rPr>
        <w:t>9</w:t>
      </w:r>
      <w:r w:rsidR="00607FDB">
        <w:rPr>
          <w:rFonts w:hint="eastAsia"/>
          <w:b/>
          <w:bCs/>
        </w:rPr>
        <w:t>月</w:t>
      </w:r>
      <w:r w:rsidR="00607FDB" w:rsidRPr="00FB0F76">
        <w:rPr>
          <w:rFonts w:hint="eastAsia"/>
          <w:b/>
          <w:bCs/>
        </w:rPr>
        <w:t>底</w:t>
      </w:r>
      <w:r w:rsidR="00607FDB">
        <w:rPr>
          <w:rFonts w:hint="eastAsia"/>
          <w:b/>
          <w:bCs/>
        </w:rPr>
        <w:t>，</w:t>
      </w:r>
      <w:r w:rsidRPr="00FB0F76">
        <w:rPr>
          <w:rFonts w:hint="eastAsia"/>
        </w:rPr>
        <w:t>其中</w:t>
      </w:r>
      <w:r w:rsidR="00607FDB" w:rsidRPr="00607FDB">
        <w:rPr>
          <w:b/>
          <w:lang w:val="en-CA"/>
        </w:rPr>
        <w:t>288,183</w:t>
      </w:r>
      <w:r w:rsidR="00824C2B">
        <w:rPr>
          <w:b/>
          <w:lang w:val="en-CA"/>
        </w:rPr>
        <w:t> </w:t>
      </w:r>
      <w:r w:rsidR="00607FDB" w:rsidRPr="00FB0F76">
        <w:rPr>
          <w:rFonts w:hint="eastAsia"/>
          <w:b/>
          <w:lang w:val="en-CA"/>
        </w:rPr>
        <w:t>美元</w:t>
      </w:r>
      <w:r w:rsidR="00607FDB" w:rsidRPr="00607FDB">
        <w:rPr>
          <w:rFonts w:hint="eastAsia"/>
        </w:rPr>
        <w:t>预计</w:t>
      </w:r>
      <w:r w:rsidR="00607FDB">
        <w:rPr>
          <w:rFonts w:hint="eastAsia"/>
        </w:rPr>
        <w:t>将</w:t>
      </w:r>
      <w:r w:rsidRPr="00FB0F76">
        <w:rPr>
          <w:rFonts w:hint="eastAsia"/>
        </w:rPr>
        <w:t>在</w:t>
      </w:r>
      <w:r w:rsidRPr="00FB0F76">
        <w:rPr>
          <w:rFonts w:hint="eastAsia"/>
          <w:b/>
          <w:bCs/>
        </w:rPr>
        <w:t>2019</w:t>
      </w:r>
      <w:r w:rsidRPr="00FB0F76">
        <w:rPr>
          <w:rFonts w:hint="eastAsia"/>
          <w:b/>
          <w:bCs/>
        </w:rPr>
        <w:t>年</w:t>
      </w:r>
      <w:r w:rsidR="00607FDB">
        <w:rPr>
          <w:rFonts w:hint="eastAsia"/>
          <w:b/>
          <w:bCs/>
        </w:rPr>
        <w:t>10</w:t>
      </w:r>
      <w:r w:rsidR="00607FDB">
        <w:rPr>
          <w:rFonts w:hint="eastAsia"/>
          <w:b/>
          <w:bCs/>
        </w:rPr>
        <w:t>月</w:t>
      </w:r>
      <w:r w:rsidRPr="00607FDB">
        <w:rPr>
          <w:rFonts w:hint="eastAsia"/>
        </w:rPr>
        <w:t>底之前</w:t>
      </w:r>
      <w:r w:rsidRPr="00FB0F76">
        <w:rPr>
          <w:rFonts w:hint="eastAsia"/>
        </w:rPr>
        <w:t>发放</w:t>
      </w:r>
      <w:r w:rsidRPr="00FB0F76">
        <w:t>。</w:t>
      </w:r>
      <w:r w:rsidRPr="00FB0F76">
        <w:t>                </w:t>
      </w:r>
      <w:r w:rsidRPr="00FB0F76">
        <w:rPr>
          <w:b/>
          <w:bCs/>
        </w:rPr>
        <w:t>   </w:t>
      </w:r>
    </w:p>
    <w:p w14:paraId="7E2CD419" w14:textId="66D81978" w:rsidR="00FB0F76" w:rsidRPr="00FB0F76" w:rsidRDefault="00607FDB" w:rsidP="00FB0F76">
      <w:pPr>
        <w:numPr>
          <w:ilvl w:val="0"/>
          <w:numId w:val="20"/>
        </w:numPr>
        <w:spacing w:line="259" w:lineRule="auto"/>
        <w:ind w:left="0" w:firstLine="0"/>
        <w:jc w:val="both"/>
      </w:pPr>
      <w:r>
        <w:rPr>
          <w:rFonts w:hint="eastAsia"/>
        </w:rPr>
        <w:t>FECO</w:t>
      </w:r>
      <w:r w:rsidR="00FB0F76" w:rsidRPr="00FB0F76">
        <w:t>在</w:t>
      </w:r>
      <w:r w:rsidR="00FB0F76" w:rsidRPr="00FB0F76">
        <w:t>13</w:t>
      </w:r>
      <w:r w:rsidR="00FB0F76" w:rsidRPr="00FB0F76">
        <w:t>个城市建立的</w:t>
      </w:r>
      <w:r>
        <w:rPr>
          <w:rFonts w:hint="eastAsia"/>
        </w:rPr>
        <w:t>为</w:t>
      </w:r>
      <w:r w:rsidR="00FB0F76" w:rsidRPr="00FB0F76">
        <w:t>维修</w:t>
      </w:r>
      <w:r>
        <w:t>技师</w:t>
      </w:r>
      <w:r w:rsidR="00FB0F76" w:rsidRPr="00FB0F76">
        <w:t>提供职业培训课程的</w:t>
      </w:r>
      <w:r w:rsidR="00FB0F76" w:rsidRPr="00FB0F76">
        <w:t>13</w:t>
      </w:r>
      <w:r w:rsidR="00FB0F76" w:rsidRPr="00FB0F76">
        <w:t>个培训中心均已完成</w:t>
      </w:r>
      <w:r>
        <w:rPr>
          <w:rFonts w:hint="eastAsia"/>
        </w:rPr>
        <w:t>自己的项目</w:t>
      </w:r>
      <w:r w:rsidR="00FB0F76" w:rsidRPr="00FB0F76">
        <w:t>。截至</w:t>
      </w:r>
      <w:r w:rsidR="00FB0F76" w:rsidRPr="00FB0F76">
        <w:t>2018</w:t>
      </w:r>
      <w:r w:rsidR="00FB0F76" w:rsidRPr="00FB0F76">
        <w:t>年</w:t>
      </w:r>
      <w:r w:rsidR="00FB0F76" w:rsidRPr="00FB0F76">
        <w:t>8</w:t>
      </w:r>
      <w:r w:rsidR="00FB0F76" w:rsidRPr="00FB0F76">
        <w:t>月，已对</w:t>
      </w:r>
      <w:r w:rsidR="00FB0F76" w:rsidRPr="00FB0F76">
        <w:t>4,100</w:t>
      </w:r>
      <w:r w:rsidR="00FB0F76" w:rsidRPr="00FB0F76">
        <w:t>多名</w:t>
      </w:r>
      <w:r>
        <w:t>技师</w:t>
      </w:r>
      <w:r>
        <w:rPr>
          <w:rFonts w:hint="eastAsia"/>
        </w:rPr>
        <w:t>、</w:t>
      </w:r>
      <w:r w:rsidR="00FB0F76" w:rsidRPr="00FB0F76">
        <w:t>培训</w:t>
      </w:r>
      <w:r>
        <w:rPr>
          <w:rFonts w:hint="eastAsia"/>
        </w:rPr>
        <w:t>员</w:t>
      </w:r>
      <w:r w:rsidR="00FB0F76" w:rsidRPr="00FB0F76">
        <w:t>和学生进行了培训（其中三个中心已完成培训</w:t>
      </w:r>
      <w:r>
        <w:rPr>
          <w:rFonts w:hint="eastAsia"/>
        </w:rPr>
        <w:t>方案</w:t>
      </w:r>
      <w:r w:rsidR="00FB0F76" w:rsidRPr="00FB0F76">
        <w:t>）。</w:t>
      </w:r>
      <w:r w:rsidR="00FB0F76" w:rsidRPr="00FB0F76">
        <w:t>2017</w:t>
      </w:r>
      <w:r>
        <w:t xml:space="preserve"> – </w:t>
      </w:r>
      <w:r w:rsidR="00FB0F76" w:rsidRPr="00FB0F76">
        <w:t>2018</w:t>
      </w:r>
      <w:r w:rsidR="00FB0F76" w:rsidRPr="00FB0F76">
        <w:t>年，</w:t>
      </w:r>
      <w:r>
        <w:t>FECO</w:t>
      </w:r>
      <w:r>
        <w:rPr>
          <w:rFonts w:hint="eastAsia"/>
        </w:rPr>
        <w:t>对</w:t>
      </w:r>
      <w:r w:rsidRPr="00FB0F76">
        <w:t>所有</w:t>
      </w:r>
      <w:r w:rsidRPr="00FB0F76">
        <w:t>13</w:t>
      </w:r>
      <w:r w:rsidRPr="00FB0F76">
        <w:t>个培训项目</w:t>
      </w:r>
      <w:r w:rsidR="00FB0F76" w:rsidRPr="00FB0F76">
        <w:t>进行了实地</w:t>
      </w:r>
      <w:r>
        <w:rPr>
          <w:rFonts w:hint="eastAsia"/>
        </w:rPr>
        <w:t>访问</w:t>
      </w:r>
      <w:r w:rsidR="00FB0F76" w:rsidRPr="00FB0F76">
        <w:t>，并</w:t>
      </w:r>
      <w:r>
        <w:rPr>
          <w:rFonts w:hint="eastAsia"/>
        </w:rPr>
        <w:t>发表</w:t>
      </w:r>
      <w:r w:rsidR="00FB0F76" w:rsidRPr="00FB0F76">
        <w:t>了</w:t>
      </w:r>
      <w:r>
        <w:rPr>
          <w:rFonts w:hint="eastAsia"/>
        </w:rPr>
        <w:t>这些项目的最后</w:t>
      </w:r>
      <w:r w:rsidR="00FB0F76" w:rsidRPr="00FB0F76">
        <w:t>报告。</w:t>
      </w:r>
      <w:r w:rsidR="00FB0F76" w:rsidRPr="00FB0F76">
        <w:t>               </w:t>
      </w:r>
    </w:p>
    <w:p w14:paraId="18D1CC81" w14:textId="0A5291F2" w:rsidR="00FB0F76" w:rsidRPr="00FB0F76" w:rsidRDefault="00FB0F76" w:rsidP="00FB0F76">
      <w:pPr>
        <w:numPr>
          <w:ilvl w:val="0"/>
          <w:numId w:val="20"/>
        </w:numPr>
        <w:spacing w:line="259" w:lineRule="auto"/>
        <w:ind w:left="0" w:firstLine="0"/>
        <w:jc w:val="both"/>
      </w:pPr>
      <w:r w:rsidRPr="00FB0F76">
        <w:t>到</w:t>
      </w:r>
      <w:r w:rsidRPr="00FB0F76">
        <w:t>2018</w:t>
      </w:r>
      <w:r w:rsidRPr="00FB0F76">
        <w:t>年底，在</w:t>
      </w:r>
      <w:r w:rsidRPr="00FB0F76">
        <w:t>2017</w:t>
      </w:r>
      <w:r w:rsidRPr="00FB0F76">
        <w:t>年签订</w:t>
      </w:r>
      <w:r w:rsidR="0013354E">
        <w:rPr>
          <w:rFonts w:hint="eastAsia"/>
        </w:rPr>
        <w:t>合同</w:t>
      </w:r>
      <w:r w:rsidRPr="00FB0F76">
        <w:t>的</w:t>
      </w:r>
      <w:r w:rsidR="0013354E">
        <w:rPr>
          <w:rFonts w:hint="eastAsia"/>
        </w:rPr>
        <w:t>另外</w:t>
      </w:r>
      <w:r w:rsidRPr="00FB0F76">
        <w:t>两个培训中心又</w:t>
      </w:r>
      <w:r w:rsidR="0013354E">
        <w:rPr>
          <w:rFonts w:hint="eastAsia"/>
        </w:rPr>
        <w:t>对</w:t>
      </w:r>
      <w:r w:rsidRPr="00FB0F76">
        <w:t>500</w:t>
      </w:r>
      <w:r w:rsidRPr="00FB0F76">
        <w:t>名</w:t>
      </w:r>
      <w:r w:rsidR="00607FDB">
        <w:t>技师</w:t>
      </w:r>
      <w:r w:rsidR="0013354E">
        <w:rPr>
          <w:rFonts w:hint="eastAsia"/>
        </w:rPr>
        <w:t>进行了培训</w:t>
      </w:r>
      <w:r w:rsidRPr="00FB0F76">
        <w:t>。</w:t>
      </w:r>
      <w:r w:rsidRPr="00FB0F76">
        <w:t>2018</w:t>
      </w:r>
      <w:r w:rsidRPr="00FB0F76">
        <w:t>年，</w:t>
      </w:r>
      <w:r w:rsidR="00355AB9">
        <w:t>FECO</w:t>
      </w:r>
      <w:r w:rsidRPr="00FB0F76">
        <w:t>与另外四个培训中心签署了</w:t>
      </w:r>
      <w:r w:rsidR="00355AB9" w:rsidRPr="00FB0F76">
        <w:rPr>
          <w:b/>
          <w:bCs/>
        </w:rPr>
        <w:t>将于</w:t>
      </w:r>
      <w:r w:rsidR="00355AB9" w:rsidRPr="00FB0F76">
        <w:rPr>
          <w:b/>
          <w:bCs/>
        </w:rPr>
        <w:t>2019</w:t>
      </w:r>
      <w:r w:rsidR="00355AB9" w:rsidRPr="00FB0F76">
        <w:rPr>
          <w:b/>
          <w:bCs/>
        </w:rPr>
        <w:t>年</w:t>
      </w:r>
      <w:r w:rsidR="00355AB9" w:rsidRPr="00FB0F76">
        <w:rPr>
          <w:b/>
          <w:bCs/>
        </w:rPr>
        <w:t>10</w:t>
      </w:r>
      <w:r w:rsidR="00355AB9" w:rsidRPr="00FB0F76">
        <w:rPr>
          <w:b/>
          <w:bCs/>
        </w:rPr>
        <w:t>月底</w:t>
      </w:r>
      <w:r w:rsidR="00355AB9">
        <w:rPr>
          <w:rFonts w:hint="eastAsia"/>
          <w:b/>
          <w:bCs/>
        </w:rPr>
        <w:t>完成的</w:t>
      </w:r>
      <w:r w:rsidRPr="00FB0F76">
        <w:t>良好制冷做法培训合同，完成了</w:t>
      </w:r>
      <w:r w:rsidR="00355AB9">
        <w:rPr>
          <w:rFonts w:hint="eastAsia"/>
        </w:rPr>
        <w:t>一项关于在</w:t>
      </w:r>
      <w:r w:rsidR="00355AB9">
        <w:rPr>
          <w:rFonts w:hint="eastAsia"/>
        </w:rPr>
        <w:t>R</w:t>
      </w:r>
      <w:r w:rsidRPr="00FB0F76">
        <w:t>-290</w:t>
      </w:r>
      <w:r w:rsidRPr="00FB0F76">
        <w:t>空调系统运行和维修过程中</w:t>
      </w:r>
      <w:r w:rsidR="00355AB9">
        <w:rPr>
          <w:rFonts w:hint="eastAsia"/>
        </w:rPr>
        <w:t>控制</w:t>
      </w:r>
      <w:r w:rsidRPr="00FB0F76">
        <w:t>制冷剂泄漏的研究</w:t>
      </w:r>
      <w:r w:rsidR="00355AB9">
        <w:rPr>
          <w:rFonts w:hint="eastAsia"/>
        </w:rPr>
        <w:t>，并完成了两项</w:t>
      </w:r>
      <w:r w:rsidRPr="00FB0F76">
        <w:t>对</w:t>
      </w:r>
      <w:r w:rsidR="000A7703">
        <w:t>拆船</w:t>
      </w:r>
      <w:r w:rsidR="00355AB9">
        <w:rPr>
          <w:rFonts w:hint="eastAsia"/>
        </w:rPr>
        <w:t>行业</w:t>
      </w:r>
      <w:r w:rsidRPr="00FB0F76">
        <w:t>和超市</w:t>
      </w:r>
      <w:r w:rsidR="00355AB9">
        <w:rPr>
          <w:rFonts w:hint="eastAsia"/>
        </w:rPr>
        <w:t>冷藏</w:t>
      </w:r>
      <w:r w:rsidRPr="00FB0F76">
        <w:t>链的调查。</w:t>
      </w:r>
      <w:r w:rsidR="00355AB9">
        <w:rPr>
          <w:rFonts w:hint="eastAsia"/>
        </w:rPr>
        <w:t>一共对</w:t>
      </w:r>
      <w:r w:rsidR="000A7703">
        <w:t>拆船</w:t>
      </w:r>
      <w:r w:rsidR="00355AB9">
        <w:rPr>
          <w:rFonts w:hint="eastAsia"/>
        </w:rPr>
        <w:t>行业的</w:t>
      </w:r>
      <w:r w:rsidRPr="00FB0F76">
        <w:t>150</w:t>
      </w:r>
      <w:r w:rsidRPr="00FB0F76">
        <w:t>名</w:t>
      </w:r>
      <w:r w:rsidR="00607FDB">
        <w:t>技师</w:t>
      </w:r>
      <w:r w:rsidRPr="00FB0F76">
        <w:t>和管理人员</w:t>
      </w:r>
      <w:r w:rsidR="00355AB9">
        <w:rPr>
          <w:rFonts w:hint="eastAsia"/>
        </w:rPr>
        <w:t>进行</w:t>
      </w:r>
      <w:r w:rsidRPr="00FB0F76">
        <w:t>了关于</w:t>
      </w:r>
      <w:r w:rsidR="00355AB9">
        <w:rPr>
          <w:rFonts w:hint="eastAsia"/>
        </w:rPr>
        <w:t>ODS</w:t>
      </w:r>
      <w:r w:rsidRPr="00FB0F76">
        <w:t>管理政策和通过回收减少</w:t>
      </w:r>
      <w:r w:rsidR="00355AB9">
        <w:rPr>
          <w:rFonts w:hint="eastAsia"/>
        </w:rPr>
        <w:t>ODS</w:t>
      </w:r>
      <w:r w:rsidRPr="00FB0F76">
        <w:t>排放的培训。</w:t>
      </w:r>
      <w:r w:rsidRPr="00FB0F76">
        <w:t>               </w:t>
      </w:r>
    </w:p>
    <w:p w14:paraId="41BBA5C3" w14:textId="4EA863B7" w:rsidR="002B48F0" w:rsidRDefault="00355AB9" w:rsidP="00FB0F76">
      <w:pPr>
        <w:numPr>
          <w:ilvl w:val="0"/>
          <w:numId w:val="20"/>
        </w:numPr>
        <w:spacing w:line="259" w:lineRule="auto"/>
        <w:ind w:left="0" w:firstLine="0"/>
        <w:jc w:val="both"/>
      </w:pPr>
      <w:r>
        <w:t>FECO</w:t>
      </w:r>
      <w:r w:rsidR="00FB0F76" w:rsidRPr="00FB0F76">
        <w:t>将进行监测和管理活动（包括咨询</w:t>
      </w:r>
      <w:r>
        <w:rPr>
          <w:rFonts w:hint="eastAsia"/>
        </w:rPr>
        <w:t>、</w:t>
      </w:r>
      <w:r w:rsidR="00FB0F76" w:rsidRPr="00FB0F76">
        <w:t>培训</w:t>
      </w:r>
      <w:r>
        <w:rPr>
          <w:rFonts w:hint="eastAsia"/>
        </w:rPr>
        <w:t>、评价</w:t>
      </w:r>
      <w:r w:rsidR="00FB0F76" w:rsidRPr="00FB0F76">
        <w:t>和核查），以实现氟氯化碳淘汰</w:t>
      </w:r>
      <w:r>
        <w:rPr>
          <w:rFonts w:hint="eastAsia"/>
        </w:rPr>
        <w:t>方面</w:t>
      </w:r>
      <w:r w:rsidR="00FB0F76" w:rsidRPr="00FB0F76">
        <w:t>的可持续</w:t>
      </w:r>
      <w:r>
        <w:rPr>
          <w:rFonts w:hint="eastAsia"/>
        </w:rPr>
        <w:t>履约</w:t>
      </w:r>
      <w:r w:rsidR="00FB0F76" w:rsidRPr="00FB0F76">
        <w:t>。</w:t>
      </w:r>
      <w:r w:rsidR="002B48F0">
        <w:rPr>
          <w:rFonts w:hint="eastAsia"/>
        </w:rPr>
        <w:t>已把</w:t>
      </w:r>
      <w:r>
        <w:rPr>
          <w:rFonts w:hint="eastAsia"/>
        </w:rPr>
        <w:t>培训活动的</w:t>
      </w:r>
      <w:r w:rsidRPr="00355AB9">
        <w:rPr>
          <w:lang w:val="en-CA"/>
        </w:rPr>
        <w:t>15,924</w:t>
      </w:r>
      <w:r>
        <w:rPr>
          <w:rFonts w:hint="eastAsia"/>
          <w:lang w:val="en-CA"/>
        </w:rPr>
        <w:t>美元</w:t>
      </w:r>
      <w:r w:rsidR="002B48F0">
        <w:rPr>
          <w:rFonts w:hint="eastAsia"/>
          <w:lang w:val="en-CA"/>
        </w:rPr>
        <w:t>余额</w:t>
      </w:r>
      <w:r w:rsidR="00FB0F76" w:rsidRPr="00FB0F76">
        <w:t>分配</w:t>
      </w:r>
      <w:r w:rsidR="002B48F0">
        <w:rPr>
          <w:rFonts w:hint="eastAsia"/>
        </w:rPr>
        <w:t>给</w:t>
      </w:r>
      <w:r w:rsidR="002B48F0" w:rsidRPr="00FB0F76">
        <w:t>即时</w:t>
      </w:r>
      <w:r w:rsidR="002B48F0" w:rsidRPr="00FB0F76">
        <w:t>ODS</w:t>
      </w:r>
      <w:r w:rsidR="002B48F0">
        <w:rPr>
          <w:rFonts w:hint="eastAsia"/>
        </w:rPr>
        <w:t>检测仪的</w:t>
      </w:r>
      <w:r w:rsidR="002B48F0" w:rsidRPr="00FB0F76">
        <w:t>采购</w:t>
      </w:r>
      <w:r w:rsidR="002B48F0">
        <w:rPr>
          <w:rFonts w:hint="eastAsia"/>
        </w:rPr>
        <w:t>工作，这些检测仪将用于支持各地生态和环境局进行</w:t>
      </w:r>
      <w:r w:rsidR="00FB0F76" w:rsidRPr="00FB0F76">
        <w:t>现场检查。</w:t>
      </w:r>
    </w:p>
    <w:p w14:paraId="4C05667C" w14:textId="77777777" w:rsidR="00FB0F76" w:rsidRPr="00FB0F76" w:rsidRDefault="00FB0F76" w:rsidP="002B48F0">
      <w:pPr>
        <w:keepNext/>
        <w:spacing w:line="259" w:lineRule="auto"/>
        <w:jc w:val="both"/>
        <w:rPr>
          <w:u w:val="single"/>
        </w:rPr>
      </w:pPr>
      <w:r w:rsidRPr="00FB0F76">
        <w:rPr>
          <w:u w:val="single"/>
        </w:rPr>
        <w:lastRenderedPageBreak/>
        <w:t>溶剂行业</w:t>
      </w:r>
    </w:p>
    <w:p w14:paraId="063970C0" w14:textId="08F3D871" w:rsidR="00FB0F76" w:rsidRPr="00FB0F76" w:rsidRDefault="002B48F0" w:rsidP="00FB0F76">
      <w:pPr>
        <w:numPr>
          <w:ilvl w:val="0"/>
          <w:numId w:val="20"/>
        </w:numPr>
        <w:spacing w:line="259" w:lineRule="auto"/>
        <w:ind w:left="0" w:firstLine="0"/>
        <w:jc w:val="both"/>
      </w:pPr>
      <w:r w:rsidRPr="002B48F0">
        <w:rPr>
          <w:rFonts w:hint="eastAsia"/>
          <w:b/>
          <w:bCs/>
        </w:rPr>
        <w:t>2018</w:t>
      </w:r>
      <w:r w:rsidRPr="002B48F0">
        <w:rPr>
          <w:rFonts w:hint="eastAsia"/>
          <w:b/>
          <w:bCs/>
        </w:rPr>
        <w:t>年</w:t>
      </w:r>
      <w:r w:rsidRPr="002B48F0">
        <w:rPr>
          <w:rFonts w:hint="eastAsia"/>
          <w:b/>
          <w:bCs/>
        </w:rPr>
        <w:t>7</w:t>
      </w:r>
      <w:r w:rsidRPr="002B48F0">
        <w:rPr>
          <w:rFonts w:hint="eastAsia"/>
          <w:b/>
          <w:bCs/>
        </w:rPr>
        <w:t>月</w:t>
      </w:r>
      <w:r w:rsidRPr="002B48F0">
        <w:rPr>
          <w:rFonts w:hint="eastAsia"/>
          <w:b/>
          <w:bCs/>
        </w:rPr>
        <w:t>1</w:t>
      </w:r>
      <w:r w:rsidRPr="002B48F0">
        <w:rPr>
          <w:rFonts w:hint="eastAsia"/>
          <w:b/>
          <w:bCs/>
        </w:rPr>
        <w:t>日至</w:t>
      </w:r>
      <w:r w:rsidRPr="002B48F0">
        <w:rPr>
          <w:rFonts w:hint="eastAsia"/>
          <w:b/>
          <w:bCs/>
        </w:rPr>
        <w:t>2019</w:t>
      </w:r>
      <w:r w:rsidRPr="002B48F0">
        <w:rPr>
          <w:rFonts w:hint="eastAsia"/>
          <w:b/>
          <w:bCs/>
        </w:rPr>
        <w:t>年</w:t>
      </w:r>
      <w:r w:rsidRPr="002B48F0">
        <w:rPr>
          <w:rFonts w:hint="eastAsia"/>
          <w:b/>
          <w:bCs/>
        </w:rPr>
        <w:t>6</w:t>
      </w:r>
      <w:r w:rsidRPr="002B48F0">
        <w:rPr>
          <w:rFonts w:hint="eastAsia"/>
          <w:b/>
          <w:bCs/>
        </w:rPr>
        <w:t>月</w:t>
      </w:r>
      <w:r w:rsidRPr="002B48F0">
        <w:rPr>
          <w:rFonts w:hint="eastAsia"/>
          <w:b/>
          <w:bCs/>
        </w:rPr>
        <w:t xml:space="preserve">30 </w:t>
      </w:r>
      <w:r w:rsidRPr="002B48F0">
        <w:rPr>
          <w:rFonts w:hint="eastAsia"/>
          <w:b/>
          <w:bCs/>
        </w:rPr>
        <w:t>日</w:t>
      </w:r>
      <w:r w:rsidRPr="002B48F0">
        <w:rPr>
          <w:rFonts w:hint="eastAsia"/>
        </w:rPr>
        <w:t>期间共发放了</w:t>
      </w:r>
      <w:r w:rsidRPr="002B48F0">
        <w:rPr>
          <w:b/>
          <w:lang w:val="en-CA"/>
        </w:rPr>
        <w:t>758,118</w:t>
      </w:r>
      <w:r w:rsidRPr="002B48F0">
        <w:rPr>
          <w:rFonts w:hint="eastAsia"/>
          <w:b/>
          <w:bCs/>
        </w:rPr>
        <w:t>美元</w:t>
      </w:r>
      <w:r w:rsidRPr="002B48F0">
        <w:rPr>
          <w:rFonts w:hint="eastAsia"/>
        </w:rPr>
        <w:t>。</w:t>
      </w:r>
      <w:r w:rsidRPr="002B48F0">
        <w:rPr>
          <w:rFonts w:hint="eastAsia"/>
          <w:b/>
          <w:bCs/>
        </w:rPr>
        <w:t>2019</w:t>
      </w:r>
      <w:r w:rsidRPr="002B48F0">
        <w:rPr>
          <w:rFonts w:hint="eastAsia"/>
          <w:b/>
          <w:bCs/>
        </w:rPr>
        <w:t>年</w:t>
      </w:r>
      <w:r w:rsidRPr="002B48F0">
        <w:rPr>
          <w:rFonts w:hint="eastAsia"/>
          <w:b/>
          <w:bCs/>
        </w:rPr>
        <w:t>6</w:t>
      </w:r>
      <w:r w:rsidRPr="002B48F0">
        <w:rPr>
          <w:rFonts w:hint="eastAsia"/>
          <w:b/>
          <w:bCs/>
        </w:rPr>
        <w:t>月</w:t>
      </w:r>
      <w:r w:rsidRPr="002B48F0">
        <w:rPr>
          <w:rFonts w:hint="eastAsia"/>
          <w:b/>
          <w:bCs/>
        </w:rPr>
        <w:t>30</w:t>
      </w:r>
      <w:r w:rsidRPr="002B48F0">
        <w:rPr>
          <w:rFonts w:hint="eastAsia"/>
          <w:b/>
          <w:bCs/>
        </w:rPr>
        <w:t>日</w:t>
      </w:r>
      <w:r w:rsidRPr="002B48F0">
        <w:rPr>
          <w:rFonts w:hint="eastAsia"/>
        </w:rPr>
        <w:t>尚有剩余资金</w:t>
      </w:r>
      <w:r w:rsidRPr="002B48F0">
        <w:rPr>
          <w:b/>
          <w:lang w:val="en-CA"/>
        </w:rPr>
        <w:t>708,822</w:t>
      </w:r>
      <w:r w:rsidRPr="002B48F0">
        <w:rPr>
          <w:rFonts w:hint="eastAsia"/>
          <w:b/>
          <w:bCs/>
        </w:rPr>
        <w:t>美元</w:t>
      </w:r>
      <w:r w:rsidRPr="002B48F0">
        <w:rPr>
          <w:rFonts w:hint="eastAsia"/>
        </w:rPr>
        <w:t>，</w:t>
      </w:r>
      <w:r w:rsidRPr="002B48F0">
        <w:rPr>
          <w:rFonts w:hint="eastAsia"/>
          <w:b/>
          <w:bCs/>
        </w:rPr>
        <w:t>所提交的进度报告表示，截至</w:t>
      </w:r>
      <w:r w:rsidRPr="002B48F0">
        <w:rPr>
          <w:rFonts w:hint="eastAsia"/>
          <w:b/>
          <w:bCs/>
        </w:rPr>
        <w:t>2019</w:t>
      </w:r>
      <w:r w:rsidRPr="002B48F0">
        <w:rPr>
          <w:rFonts w:hint="eastAsia"/>
          <w:b/>
          <w:bCs/>
        </w:rPr>
        <w:t>年</w:t>
      </w:r>
      <w:r w:rsidRPr="002B48F0">
        <w:rPr>
          <w:rFonts w:hint="eastAsia"/>
          <w:b/>
          <w:bCs/>
        </w:rPr>
        <w:t>9</w:t>
      </w:r>
      <w:r w:rsidRPr="002B48F0">
        <w:rPr>
          <w:rFonts w:hint="eastAsia"/>
          <w:b/>
          <w:bCs/>
        </w:rPr>
        <w:t>月底，</w:t>
      </w:r>
      <w:r w:rsidRPr="002B48F0">
        <w:rPr>
          <w:rFonts w:hint="eastAsia"/>
        </w:rPr>
        <w:t>其中</w:t>
      </w:r>
      <w:r w:rsidRPr="002B48F0">
        <w:rPr>
          <w:b/>
          <w:lang w:val="en-CA"/>
        </w:rPr>
        <w:t>381,211</w:t>
      </w:r>
      <w:r w:rsidR="00824C2B">
        <w:rPr>
          <w:b/>
          <w:lang w:val="en-CA"/>
        </w:rPr>
        <w:t> </w:t>
      </w:r>
      <w:r w:rsidRPr="002B48F0">
        <w:rPr>
          <w:rFonts w:hint="eastAsia"/>
          <w:b/>
          <w:lang w:val="en-CA"/>
        </w:rPr>
        <w:t>美元</w:t>
      </w:r>
      <w:r w:rsidRPr="002B48F0">
        <w:rPr>
          <w:rFonts w:hint="eastAsia"/>
        </w:rPr>
        <w:t>预计将在</w:t>
      </w:r>
      <w:r w:rsidRPr="002B48F0">
        <w:rPr>
          <w:rFonts w:hint="eastAsia"/>
        </w:rPr>
        <w:t>2019</w:t>
      </w:r>
      <w:r w:rsidRPr="002B48F0">
        <w:rPr>
          <w:rFonts w:hint="eastAsia"/>
          <w:b/>
          <w:bCs/>
        </w:rPr>
        <w:t>年</w:t>
      </w:r>
      <w:r w:rsidRPr="002B48F0">
        <w:rPr>
          <w:rFonts w:hint="eastAsia"/>
        </w:rPr>
        <w:t>底之前发放</w:t>
      </w:r>
      <w:r w:rsidRPr="00FB0F76">
        <w:t>。</w:t>
      </w:r>
      <w:r w:rsidR="00FB0F76" w:rsidRPr="00FB0F76">
        <w:t>               </w:t>
      </w:r>
    </w:p>
    <w:p w14:paraId="64A73716" w14:textId="31878144" w:rsidR="00FB0F76" w:rsidRPr="00FB0F76" w:rsidRDefault="002B48F0" w:rsidP="00FB0F76">
      <w:pPr>
        <w:numPr>
          <w:ilvl w:val="0"/>
          <w:numId w:val="20"/>
        </w:numPr>
        <w:spacing w:line="259" w:lineRule="auto"/>
        <w:ind w:left="0" w:firstLine="0"/>
        <w:jc w:val="both"/>
      </w:pPr>
      <w:r>
        <w:rPr>
          <w:rFonts w:hint="eastAsia"/>
        </w:rPr>
        <w:t>截至</w:t>
      </w:r>
      <w:r w:rsidR="00FB0F76" w:rsidRPr="00FB0F76">
        <w:t>2018</w:t>
      </w:r>
      <w:r w:rsidR="00FB0F76" w:rsidRPr="00FB0F76">
        <w:t>年</w:t>
      </w:r>
      <w:r w:rsidR="00FB0F76" w:rsidRPr="00FB0F76">
        <w:t>8</w:t>
      </w:r>
      <w:r w:rsidR="00FB0F76" w:rsidRPr="00FB0F76">
        <w:t>月</w:t>
      </w:r>
      <w:r w:rsidR="00FB0F76" w:rsidRPr="00FB0F76">
        <w:t>31</w:t>
      </w:r>
      <w:r w:rsidR="00FB0F76" w:rsidRPr="00FB0F76">
        <w:t>日，</w:t>
      </w:r>
      <w:r>
        <w:rPr>
          <w:rFonts w:hint="eastAsia"/>
        </w:rPr>
        <w:t>10</w:t>
      </w:r>
      <w:r w:rsidR="00FB0F76" w:rsidRPr="00FB0F76">
        <w:t>个海关</w:t>
      </w:r>
      <w:r w:rsidR="00FB0F76" w:rsidRPr="00FB0F76">
        <w:t>3</w:t>
      </w:r>
      <w:r>
        <w:t>,</w:t>
      </w:r>
      <w:r w:rsidR="00FB0F76" w:rsidRPr="00FB0F76">
        <w:t>800</w:t>
      </w:r>
      <w:r w:rsidR="00FB0F76" w:rsidRPr="00FB0F76">
        <w:t>名人员</w:t>
      </w:r>
      <w:r>
        <w:rPr>
          <w:rFonts w:hint="eastAsia"/>
        </w:rPr>
        <w:t>接受</w:t>
      </w:r>
      <w:r w:rsidR="00FB0F76" w:rsidRPr="00FB0F76">
        <w:t>了关于</w:t>
      </w:r>
      <w:r>
        <w:rPr>
          <w:rFonts w:hint="eastAsia"/>
        </w:rPr>
        <w:t>ODS</w:t>
      </w:r>
      <w:r>
        <w:rPr>
          <w:rFonts w:hint="eastAsia"/>
        </w:rPr>
        <w:t>所设问题的</w:t>
      </w:r>
      <w:r w:rsidR="00FB0F76" w:rsidRPr="00FB0F76">
        <w:t>培训</w:t>
      </w:r>
      <w:r>
        <w:rPr>
          <w:rFonts w:hint="eastAsia"/>
        </w:rPr>
        <w:t>，每个在</w:t>
      </w:r>
      <w:r w:rsidRPr="00FB0F76">
        <w:t>日常工作</w:t>
      </w:r>
      <w:r>
        <w:rPr>
          <w:rFonts w:hint="eastAsia"/>
        </w:rPr>
        <w:t>中进行</w:t>
      </w:r>
      <w:r w:rsidR="00FB0F76" w:rsidRPr="00FB0F76">
        <w:t>ODS</w:t>
      </w:r>
      <w:r>
        <w:rPr>
          <w:rFonts w:hint="eastAsia"/>
        </w:rPr>
        <w:t>检测的海关都得到了</w:t>
      </w:r>
      <w:r w:rsidR="00FB0F76" w:rsidRPr="00FB0F76">
        <w:t>检测设备。</w:t>
      </w:r>
      <w:r>
        <w:rPr>
          <w:rFonts w:hint="eastAsia"/>
        </w:rPr>
        <w:t>截至</w:t>
      </w:r>
      <w:r w:rsidR="00FB0F76" w:rsidRPr="00FB0F76">
        <w:t>2018 6</w:t>
      </w:r>
      <w:r w:rsidR="00FB0F76" w:rsidRPr="00FB0F76">
        <w:t>月</w:t>
      </w:r>
      <w:r w:rsidR="00FB0F76" w:rsidRPr="00FB0F76">
        <w:t>30</w:t>
      </w:r>
      <w:r w:rsidR="00FB0F76" w:rsidRPr="00FB0F76">
        <w:t>日，</w:t>
      </w:r>
      <w:r w:rsidR="00FB0F76" w:rsidRPr="00FB0F76">
        <w:t>5,000</w:t>
      </w:r>
      <w:r w:rsidR="00FB0F76" w:rsidRPr="00FB0F76">
        <w:t>多</w:t>
      </w:r>
      <w:r>
        <w:rPr>
          <w:rFonts w:hint="eastAsia"/>
        </w:rPr>
        <w:t>名地方生态和环境局</w:t>
      </w:r>
      <w:r w:rsidR="00FB0F76" w:rsidRPr="00FB0F76">
        <w:t>官员</w:t>
      </w:r>
      <w:r>
        <w:rPr>
          <w:rFonts w:hint="eastAsia"/>
        </w:rPr>
        <w:t>接受</w:t>
      </w:r>
      <w:r w:rsidR="00FB0F76" w:rsidRPr="00FB0F76">
        <w:t>了关于</w:t>
      </w:r>
      <w:r>
        <w:rPr>
          <w:rFonts w:hint="eastAsia"/>
        </w:rPr>
        <w:t>ODS</w:t>
      </w:r>
      <w:r>
        <w:rPr>
          <w:rFonts w:hint="eastAsia"/>
        </w:rPr>
        <w:t>政策的</w:t>
      </w:r>
      <w:r w:rsidR="00FB0F76" w:rsidRPr="00FB0F76">
        <w:t>培训，</w:t>
      </w:r>
      <w:r w:rsidR="00EA0E88" w:rsidRPr="00FB0F76">
        <w:t xml:space="preserve"> </w:t>
      </w:r>
      <w:r w:rsidR="00FB0F76" w:rsidRPr="00FB0F76">
        <w:t>18</w:t>
      </w:r>
      <w:r>
        <w:t>,</w:t>
      </w:r>
      <w:r w:rsidR="00FB0F76" w:rsidRPr="00FB0F76">
        <w:t>000</w:t>
      </w:r>
      <w:r w:rsidR="00EA0E88">
        <w:rPr>
          <w:rFonts w:hint="eastAsia"/>
        </w:rPr>
        <w:t>多</w:t>
      </w:r>
      <w:r w:rsidR="00FB0F76" w:rsidRPr="00FB0F76">
        <w:t>人参加了宣传活动。</w:t>
      </w:r>
      <w:r>
        <w:rPr>
          <w:rFonts w:hint="eastAsia"/>
        </w:rPr>
        <w:t>各地生态和环境局组织</w:t>
      </w:r>
      <w:r w:rsidR="00FB0F76" w:rsidRPr="00FB0F76">
        <w:t>了</w:t>
      </w:r>
      <w:r w:rsidR="00FB0F76" w:rsidRPr="00FB0F76">
        <w:t>30</w:t>
      </w:r>
      <w:r>
        <w:rPr>
          <w:rFonts w:hint="eastAsia"/>
        </w:rPr>
        <w:t>多次</w:t>
      </w:r>
      <w:r w:rsidR="00FB0F76" w:rsidRPr="00FB0F76">
        <w:t> ODS</w:t>
      </w:r>
      <w:r w:rsidR="00FB0F76" w:rsidRPr="00FB0F76">
        <w:t>企业现场检查。所有</w:t>
      </w:r>
      <w:r w:rsidR="00FB0F76" w:rsidRPr="00FB0F76">
        <w:t>31</w:t>
      </w:r>
      <w:r w:rsidR="00FB0F76" w:rsidRPr="00FB0F76">
        <w:t>个</w:t>
      </w:r>
      <w:r w:rsidR="00EA0E88">
        <w:rPr>
          <w:rFonts w:hint="eastAsia"/>
        </w:rPr>
        <w:t>得到协助的</w:t>
      </w:r>
      <w:r>
        <w:rPr>
          <w:rFonts w:hint="eastAsia"/>
        </w:rPr>
        <w:t>生态和环境局</w:t>
      </w:r>
      <w:r w:rsidR="00FB0F76" w:rsidRPr="00FB0F76">
        <w:t>都</w:t>
      </w:r>
      <w:r w:rsidR="00EA0E88">
        <w:rPr>
          <w:rFonts w:hint="eastAsia"/>
        </w:rPr>
        <w:t>已经为</w:t>
      </w:r>
      <w:r w:rsidR="00482303">
        <w:rPr>
          <w:rFonts w:hint="eastAsia"/>
        </w:rPr>
        <w:t>完成</w:t>
      </w:r>
      <w:r w:rsidR="00FB0F76" w:rsidRPr="00FB0F76">
        <w:t>报告</w:t>
      </w:r>
      <w:r w:rsidR="00482303">
        <w:rPr>
          <w:rFonts w:hint="eastAsia"/>
        </w:rPr>
        <w:t>定稿</w:t>
      </w:r>
      <w:r w:rsidR="00FB0F76" w:rsidRPr="00FB0F76">
        <w:t>，于</w:t>
      </w:r>
      <w:r w:rsidR="00FB0F76" w:rsidRPr="00FB0F76">
        <w:t>2018</w:t>
      </w:r>
      <w:r w:rsidR="00FB0F76" w:rsidRPr="00FB0F76">
        <w:t>年底收到了最后</w:t>
      </w:r>
      <w:r w:rsidR="00482303">
        <w:rPr>
          <w:rFonts w:hint="eastAsia"/>
        </w:rPr>
        <w:t>一笔</w:t>
      </w:r>
      <w:r w:rsidR="00FB0F76" w:rsidRPr="00FB0F76">
        <w:t>付款。</w:t>
      </w:r>
      <w:r w:rsidR="00FB0F76" w:rsidRPr="00FB0F76">
        <w:t>                 </w:t>
      </w:r>
    </w:p>
    <w:p w14:paraId="7DF92FD0" w14:textId="5B9530BD" w:rsidR="00FB0F76" w:rsidRPr="00FB0F76" w:rsidRDefault="00355AB9" w:rsidP="00FB0F76">
      <w:pPr>
        <w:numPr>
          <w:ilvl w:val="0"/>
          <w:numId w:val="20"/>
        </w:numPr>
        <w:spacing w:line="259" w:lineRule="auto"/>
        <w:ind w:left="0" w:firstLine="0"/>
        <w:jc w:val="both"/>
      </w:pPr>
      <w:r>
        <w:t>FECO</w:t>
      </w:r>
      <w:r w:rsidR="00FB0F76" w:rsidRPr="00FB0F76">
        <w:t>在北京大学的支持下完成了</w:t>
      </w:r>
      <w:r w:rsidR="00482303">
        <w:rPr>
          <w:rFonts w:hint="eastAsia"/>
        </w:rPr>
        <w:t>“</w:t>
      </w:r>
      <w:r w:rsidR="00FB0F76" w:rsidRPr="00FB0F76">
        <w:t>中国批准《基加利修正案》对氢氟碳化合物管理的影响分析</w:t>
      </w:r>
      <w:r w:rsidR="00482303">
        <w:rPr>
          <w:rFonts w:hint="eastAsia"/>
        </w:rPr>
        <w:t>”</w:t>
      </w:r>
      <w:r w:rsidR="00FB0F76" w:rsidRPr="00FB0F76">
        <w:t>报告。</w:t>
      </w:r>
      <w:r w:rsidR="00482303">
        <w:rPr>
          <w:rFonts w:hint="eastAsia"/>
        </w:rPr>
        <w:t>在</w:t>
      </w:r>
      <w:r w:rsidR="00FB0F76" w:rsidRPr="00FB0F76">
        <w:t>五个机构</w:t>
      </w:r>
      <w:r w:rsidR="00482303">
        <w:rPr>
          <w:rStyle w:val="FootnoteReference"/>
        </w:rPr>
        <w:footnoteReference w:id="9"/>
      </w:r>
      <w:r w:rsidR="00482303">
        <w:rPr>
          <w:rFonts w:hint="eastAsia"/>
        </w:rPr>
        <w:t>进行的</w:t>
      </w:r>
      <w:r w:rsidR="00FB0F76" w:rsidRPr="00FB0F76">
        <w:t>替代技术和硅油优化研究</w:t>
      </w:r>
      <w:r w:rsidR="00B64AB7">
        <w:rPr>
          <w:rFonts w:hint="eastAsia"/>
        </w:rPr>
        <w:t>已经</w:t>
      </w:r>
      <w:r w:rsidR="00B64AB7" w:rsidRPr="00FB0F76">
        <w:t>完成</w:t>
      </w:r>
      <w:r w:rsidR="00FB0F76" w:rsidRPr="00FB0F76">
        <w:t>。包括现场核查</w:t>
      </w:r>
      <w:r w:rsidR="00B64AB7">
        <w:rPr>
          <w:rFonts w:hint="eastAsia"/>
        </w:rPr>
        <w:t>、</w:t>
      </w:r>
      <w:r w:rsidR="00FB0F76" w:rsidRPr="00FB0F76">
        <w:t>监测审计和项目</w:t>
      </w:r>
      <w:r w:rsidR="00B64AB7">
        <w:rPr>
          <w:rFonts w:hint="eastAsia"/>
        </w:rPr>
        <w:t>评价</w:t>
      </w:r>
      <w:r w:rsidR="00FB0F76" w:rsidRPr="00FB0F76">
        <w:t>在内的管理和监测活动</w:t>
      </w:r>
      <w:r w:rsidR="00B64AB7">
        <w:rPr>
          <w:rFonts w:hint="eastAsia"/>
        </w:rPr>
        <w:t>仍在进行</w:t>
      </w:r>
      <w:r w:rsidR="00FB0F76" w:rsidRPr="00FB0F76">
        <w:t>。</w:t>
      </w:r>
    </w:p>
    <w:p w14:paraId="5BAC432F" w14:textId="2BBE25C0" w:rsidR="00FB0F76" w:rsidRPr="00FB0F76" w:rsidRDefault="00B64AB7" w:rsidP="00FB0F76">
      <w:pPr>
        <w:numPr>
          <w:ilvl w:val="0"/>
          <w:numId w:val="20"/>
        </w:numPr>
        <w:spacing w:line="259" w:lineRule="auto"/>
        <w:ind w:left="0" w:firstLine="0"/>
        <w:jc w:val="both"/>
      </w:pPr>
      <w:r>
        <w:rPr>
          <w:rFonts w:hint="eastAsia"/>
        </w:rPr>
        <w:t>ODS</w:t>
      </w:r>
      <w:r>
        <w:rPr>
          <w:rFonts w:hint="eastAsia"/>
        </w:rPr>
        <w:t>相关文件</w:t>
      </w:r>
      <w:r w:rsidR="00FB0F76" w:rsidRPr="00FB0F76">
        <w:t>的电子管理系统</w:t>
      </w:r>
      <w:r>
        <w:rPr>
          <w:rFonts w:hint="eastAsia"/>
        </w:rPr>
        <w:t>已经</w:t>
      </w:r>
      <w:r w:rsidRPr="00B64AB7">
        <w:rPr>
          <w:rFonts w:hint="eastAsia"/>
          <w:b/>
          <w:bCs/>
        </w:rPr>
        <w:t>建成</w:t>
      </w:r>
      <w:r w:rsidR="00FB0F76" w:rsidRPr="00FB0F76">
        <w:t>，最后一次付款</w:t>
      </w:r>
      <w:r w:rsidRPr="00B64AB7">
        <w:rPr>
          <w:lang w:val="en-CA"/>
        </w:rPr>
        <w:t>92,307</w:t>
      </w:r>
      <w:r>
        <w:rPr>
          <w:rFonts w:hint="eastAsia"/>
          <w:lang w:val="en-CA"/>
        </w:rPr>
        <w:t>美元已经发放</w:t>
      </w:r>
      <w:r w:rsidR="00FB0F76" w:rsidRPr="00FB0F76">
        <w:t>。</w:t>
      </w:r>
      <w:r w:rsidRPr="00FB0F76">
        <w:t>已承诺</w:t>
      </w:r>
      <w:r>
        <w:rPr>
          <w:rFonts w:hint="eastAsia"/>
        </w:rPr>
        <w:t>把</w:t>
      </w:r>
      <w:r w:rsidR="00FB0F76" w:rsidRPr="00FB0F76">
        <w:t>453,119</w:t>
      </w:r>
      <w:r w:rsidR="00FB0F76" w:rsidRPr="00FB0F76">
        <w:t>美元</w:t>
      </w:r>
      <w:r>
        <w:rPr>
          <w:rFonts w:hint="eastAsia"/>
        </w:rPr>
        <w:t>的资金余额</w:t>
      </w:r>
      <w:r w:rsidR="00FB0F76" w:rsidRPr="00FB0F76">
        <w:t>，</w:t>
      </w:r>
      <w:r>
        <w:rPr>
          <w:rFonts w:hint="eastAsia"/>
        </w:rPr>
        <w:t>再</w:t>
      </w:r>
      <w:r w:rsidR="00FB0F76" w:rsidRPr="00FB0F76">
        <w:rPr>
          <w:b/>
          <w:bCs/>
        </w:rPr>
        <w:t>加上其他</w:t>
      </w:r>
      <w:r>
        <w:rPr>
          <w:rFonts w:hint="eastAsia"/>
          <w:b/>
          <w:bCs/>
        </w:rPr>
        <w:t>行业</w:t>
      </w:r>
      <w:r w:rsidR="00FB0F76" w:rsidRPr="00FB0F76">
        <w:rPr>
          <w:b/>
          <w:bCs/>
        </w:rPr>
        <w:t>计划的其他财政资源</w:t>
      </w:r>
      <w:r w:rsidR="00FB0F76" w:rsidRPr="00FB0F76">
        <w:t>，用于采购</w:t>
      </w:r>
      <w:r w:rsidR="00FB0F76" w:rsidRPr="00FB0F76">
        <w:rPr>
          <w:b/>
          <w:bCs/>
        </w:rPr>
        <w:t>50</w:t>
      </w:r>
      <w:r w:rsidR="00FB0F76" w:rsidRPr="00FB0F76">
        <w:rPr>
          <w:b/>
          <w:bCs/>
        </w:rPr>
        <w:t>套</w:t>
      </w:r>
      <w:r w:rsidRPr="00FB0F76">
        <w:t>即时</w:t>
      </w:r>
      <w:r w:rsidR="00FB0F76" w:rsidRPr="00FB0F76">
        <w:t>ODS</w:t>
      </w:r>
      <w:r w:rsidR="00FB0F76" w:rsidRPr="00FB0F76">
        <w:t>测试设备，</w:t>
      </w:r>
      <w:r>
        <w:rPr>
          <w:rFonts w:hint="eastAsia"/>
        </w:rPr>
        <w:t>以供对</w:t>
      </w:r>
      <w:r w:rsidR="00FB0F76" w:rsidRPr="00FB0F76">
        <w:rPr>
          <w:b/>
          <w:bCs/>
        </w:rPr>
        <w:t>28</w:t>
      </w:r>
      <w:r w:rsidR="00FB0F76" w:rsidRPr="00FB0F76">
        <w:rPr>
          <w:b/>
          <w:bCs/>
        </w:rPr>
        <w:t>个省</w:t>
      </w:r>
      <w:r>
        <w:rPr>
          <w:rFonts w:hint="eastAsia"/>
          <w:b/>
          <w:bCs/>
        </w:rPr>
        <w:t>提供支持</w:t>
      </w:r>
      <w:r w:rsidR="00FB0F76" w:rsidRPr="00FB0F76">
        <w:t>。</w:t>
      </w:r>
      <w:r w:rsidR="00FB0F76" w:rsidRPr="00FB0F76">
        <w:rPr>
          <w:b/>
          <w:bCs/>
        </w:rPr>
        <w:t>前</w:t>
      </w:r>
      <w:r w:rsidR="00FB0F76" w:rsidRPr="00FB0F76">
        <w:rPr>
          <w:b/>
          <w:bCs/>
        </w:rPr>
        <w:t>20</w:t>
      </w:r>
      <w:r w:rsidR="00FB0F76" w:rsidRPr="00FB0F76">
        <w:rPr>
          <w:b/>
          <w:bCs/>
        </w:rPr>
        <w:t>套</w:t>
      </w:r>
      <w:r>
        <w:rPr>
          <w:rFonts w:hint="eastAsia"/>
          <w:b/>
          <w:bCs/>
        </w:rPr>
        <w:t>设备已经</w:t>
      </w:r>
      <w:r w:rsidR="00FB0F76" w:rsidRPr="00FB0F76">
        <w:rPr>
          <w:b/>
          <w:bCs/>
        </w:rPr>
        <w:t>交付给</w:t>
      </w:r>
      <w:r>
        <w:rPr>
          <w:rFonts w:hint="eastAsia"/>
          <w:b/>
          <w:bCs/>
        </w:rPr>
        <w:t>地方生态和环境局</w:t>
      </w:r>
      <w:r w:rsidR="00FB0F76" w:rsidRPr="00FB0F76">
        <w:rPr>
          <w:b/>
          <w:bCs/>
        </w:rPr>
        <w:t>，其余</w:t>
      </w:r>
      <w:r w:rsidR="00FB0F76" w:rsidRPr="00FB0F76">
        <w:rPr>
          <w:b/>
          <w:bCs/>
        </w:rPr>
        <w:t>30</w:t>
      </w:r>
      <w:r w:rsidR="00FB0F76" w:rsidRPr="00FB0F76">
        <w:rPr>
          <w:b/>
          <w:bCs/>
        </w:rPr>
        <w:t>套将在</w:t>
      </w:r>
      <w:r w:rsidR="00FB0F76" w:rsidRPr="00FB0F76">
        <w:rPr>
          <w:b/>
          <w:bCs/>
        </w:rPr>
        <w:t>2019 </w:t>
      </w:r>
      <w:r w:rsidR="00FB0F76" w:rsidRPr="00FB0F76">
        <w:rPr>
          <w:b/>
          <w:bCs/>
        </w:rPr>
        <w:t>年底之前交付。</w:t>
      </w:r>
      <w:r>
        <w:rPr>
          <w:rFonts w:hint="eastAsia"/>
          <w:b/>
          <w:bCs/>
        </w:rPr>
        <w:t>将在</w:t>
      </w:r>
      <w:r w:rsidRPr="00FB0F76">
        <w:rPr>
          <w:b/>
          <w:bCs/>
        </w:rPr>
        <w:t>2019</w:t>
      </w:r>
      <w:r w:rsidRPr="00FB0F76">
        <w:rPr>
          <w:b/>
          <w:bCs/>
        </w:rPr>
        <w:t>年</w:t>
      </w:r>
      <w:r>
        <w:rPr>
          <w:rFonts w:hint="eastAsia"/>
          <w:b/>
          <w:bCs/>
        </w:rPr>
        <w:t>12</w:t>
      </w:r>
      <w:r>
        <w:rPr>
          <w:rFonts w:hint="eastAsia"/>
          <w:b/>
          <w:bCs/>
        </w:rPr>
        <w:t>月底之前发放资金余额</w:t>
      </w:r>
      <w:r w:rsidR="00FB0F76" w:rsidRPr="00FB0F76">
        <w:rPr>
          <w:b/>
          <w:bCs/>
        </w:rPr>
        <w:t>。</w:t>
      </w:r>
      <w:r w:rsidR="00FB0F76" w:rsidRPr="00FB0F76">
        <w:t>                    </w:t>
      </w:r>
      <w:r w:rsidR="00FB0F76" w:rsidRPr="00FB0F76">
        <w:rPr>
          <w:b/>
          <w:bCs/>
        </w:rPr>
        <w:t> </w:t>
      </w:r>
    </w:p>
    <w:p w14:paraId="7A9A4F64" w14:textId="5229FA76" w:rsidR="00FB0F76" w:rsidRPr="00FB0F76" w:rsidRDefault="00B64AB7" w:rsidP="00FB0F76">
      <w:pPr>
        <w:numPr>
          <w:ilvl w:val="0"/>
          <w:numId w:val="20"/>
        </w:numPr>
        <w:spacing w:line="259" w:lineRule="auto"/>
        <w:ind w:left="0" w:firstLine="0"/>
        <w:jc w:val="both"/>
      </w:pPr>
      <w:r>
        <w:rPr>
          <w:rFonts w:hint="eastAsia"/>
        </w:rPr>
        <w:t>开发计划署</w:t>
      </w:r>
      <w:r w:rsidR="00FB0F76" w:rsidRPr="00FB0F76">
        <w:t>根据第</w:t>
      </w:r>
      <w:r w:rsidR="00FB0F76" w:rsidRPr="00FB0F76">
        <w:t>73/20</w:t>
      </w:r>
      <w:r w:rsidR="00FB0F76" w:rsidRPr="00FB0F76">
        <w:t>号决定修订了</w:t>
      </w:r>
      <w:r w:rsidR="00FB0F76" w:rsidRPr="00FB0F76">
        <w:t>2012</w:t>
      </w:r>
      <w:r w:rsidR="00FB0F76" w:rsidRPr="00FB0F76">
        <w:t>年提交</w:t>
      </w:r>
      <w:r>
        <w:rPr>
          <w:rFonts w:hint="eastAsia"/>
        </w:rPr>
        <w:t>的项目完成报告</w:t>
      </w:r>
      <w:r w:rsidR="00FB0F76" w:rsidRPr="00FB0F76">
        <w:t>，以反映过去四年在溶剂行业</w:t>
      </w:r>
      <w:r>
        <w:rPr>
          <w:rFonts w:hint="eastAsia"/>
        </w:rPr>
        <w:t>中</w:t>
      </w:r>
      <w:r w:rsidR="00FB0F76" w:rsidRPr="00FB0F76">
        <w:t>开展的活动。</w:t>
      </w:r>
      <w:r w:rsidR="002B241F" w:rsidRPr="00FB0F76">
        <w:t>将</w:t>
      </w:r>
      <w:r>
        <w:rPr>
          <w:rFonts w:hint="eastAsia"/>
        </w:rPr>
        <w:t>在发放了资金</w:t>
      </w:r>
      <w:r w:rsidR="00FB0F76" w:rsidRPr="00FB0F76">
        <w:t>余额</w:t>
      </w:r>
      <w:r>
        <w:rPr>
          <w:rFonts w:hint="eastAsia"/>
        </w:rPr>
        <w:t>之</w:t>
      </w:r>
      <w:r w:rsidR="00FB0F76" w:rsidRPr="00FB0F76">
        <w:t>后提交</w:t>
      </w:r>
      <w:r w:rsidR="002B241F">
        <w:rPr>
          <w:rFonts w:hint="eastAsia"/>
        </w:rPr>
        <w:t>最后项目完成报告</w:t>
      </w:r>
      <w:r w:rsidR="00FB0F76" w:rsidRPr="00FB0F76">
        <w:t>。</w:t>
      </w:r>
      <w:r w:rsidR="00FB0F76" w:rsidRPr="00FB0F76">
        <w:t>     </w:t>
      </w:r>
    </w:p>
    <w:p w14:paraId="0CE4B00F" w14:textId="41040506" w:rsidR="00FB0F76" w:rsidRPr="00FB0F76" w:rsidRDefault="00A64C4A" w:rsidP="002B241F">
      <w:pPr>
        <w:pStyle w:val="Heading1"/>
        <w:spacing w:line="259" w:lineRule="auto"/>
        <w:ind w:left="1260" w:hanging="1260"/>
        <w:rPr>
          <w:rFonts w:hint="eastAsia"/>
          <w:lang w:val="en-GB"/>
        </w:rPr>
      </w:pPr>
      <w:r>
        <w:rPr>
          <w:lang w:val="en-GB"/>
        </w:rPr>
        <w:t>产生的利息</w:t>
      </w:r>
    </w:p>
    <w:p w14:paraId="614E387B" w14:textId="77777777" w:rsidR="002B241F" w:rsidRDefault="00FB0F76" w:rsidP="002B241F">
      <w:pPr>
        <w:numPr>
          <w:ilvl w:val="0"/>
          <w:numId w:val="20"/>
        </w:numPr>
        <w:spacing w:line="259" w:lineRule="auto"/>
        <w:ind w:left="0" w:firstLine="0"/>
        <w:jc w:val="both"/>
      </w:pPr>
      <w:r w:rsidRPr="00FB0F76">
        <w:t>表</w:t>
      </w:r>
      <w:r w:rsidRPr="00FB0F76">
        <w:t>2 </w:t>
      </w:r>
      <w:r w:rsidR="002B241F">
        <w:rPr>
          <w:rFonts w:hint="eastAsia"/>
        </w:rPr>
        <w:t>开列</w:t>
      </w:r>
      <w:r w:rsidRPr="00FB0F76">
        <w:t>了收取的利息数额。</w:t>
      </w:r>
    </w:p>
    <w:p w14:paraId="3F3B3073" w14:textId="43BB96A6" w:rsidR="002B241F" w:rsidRPr="00311E1B" w:rsidRDefault="002B241F" w:rsidP="002B241F">
      <w:pPr>
        <w:keepNext/>
        <w:shd w:val="clear" w:color="auto" w:fill="FFFFFF"/>
        <w:rPr>
          <w:rFonts w:cs="Times New Roman"/>
          <w:b/>
          <w:bCs/>
          <w:color w:val="000000"/>
          <w:szCs w:val="24"/>
          <w:lang w:val="en-CA"/>
        </w:rPr>
      </w:pPr>
      <w:r w:rsidRPr="00311E1B">
        <w:rPr>
          <w:rFonts w:cs="Times New Roman"/>
          <w:b/>
          <w:bCs/>
          <w:color w:val="000000"/>
          <w:szCs w:val="24"/>
          <w:lang w:val="en-CA"/>
        </w:rPr>
        <w:t>表</w:t>
      </w:r>
      <w:r w:rsidRPr="00311E1B">
        <w:rPr>
          <w:rFonts w:cs="Times New Roman"/>
          <w:b/>
          <w:bCs/>
          <w:color w:val="000000"/>
          <w:szCs w:val="24"/>
          <w:lang w:val="en-CA"/>
        </w:rPr>
        <w:t>2</w:t>
      </w:r>
      <w:r w:rsidRPr="00311E1B">
        <w:rPr>
          <w:rFonts w:cs="Times New Roman"/>
          <w:b/>
          <w:bCs/>
          <w:color w:val="000000"/>
          <w:szCs w:val="24"/>
          <w:lang w:val="en-CA"/>
        </w:rPr>
        <w:t>：</w:t>
      </w:r>
      <w:r w:rsidR="00311E1B" w:rsidRPr="00311E1B">
        <w:rPr>
          <w:rFonts w:cs="Times New Roman"/>
          <w:b/>
          <w:bCs/>
          <w:color w:val="000000"/>
          <w:szCs w:val="24"/>
          <w:lang w:val="en-CA"/>
        </w:rPr>
        <w:t>中国行业计划</w:t>
      </w:r>
      <w:r w:rsidR="00311E1B">
        <w:rPr>
          <w:rFonts w:cs="Times New Roman" w:hint="eastAsia"/>
          <w:b/>
          <w:bCs/>
          <w:color w:val="000000"/>
          <w:szCs w:val="24"/>
          <w:lang w:val="en-CA"/>
        </w:rPr>
        <w:t>报告的利息所得（美元）</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2140"/>
        <w:gridCol w:w="2267"/>
      </w:tblGrid>
      <w:tr w:rsidR="00311E1B" w:rsidRPr="002B241F" w14:paraId="7408AA59" w14:textId="77777777" w:rsidTr="00311E1B">
        <w:trPr>
          <w:tblHeader/>
        </w:trPr>
        <w:tc>
          <w:tcPr>
            <w:tcW w:w="2644" w:type="pct"/>
            <w:shd w:val="clear" w:color="000000" w:fill="FFFFFF"/>
            <w:hideMark/>
          </w:tcPr>
          <w:p w14:paraId="5CBE88C3" w14:textId="66677C31" w:rsidR="00311E1B" w:rsidRPr="002B241F" w:rsidRDefault="00311E1B" w:rsidP="00311E1B">
            <w:pPr>
              <w:keepNext/>
              <w:spacing w:before="0" w:after="0" w:line="240" w:lineRule="auto"/>
              <w:jc w:val="center"/>
              <w:rPr>
                <w:rFonts w:eastAsia="Times New Roman" w:cs="Times New Roman"/>
                <w:b/>
                <w:bCs/>
                <w:color w:val="000000"/>
                <w:sz w:val="20"/>
                <w:szCs w:val="20"/>
                <w:lang w:val="en-CA" w:eastAsia="en-US"/>
              </w:rPr>
            </w:pPr>
            <w:r>
              <w:rPr>
                <w:rFonts w:ascii="SimSun" w:hAnsi="SimSun" w:cs="SimSun" w:hint="eastAsia"/>
                <w:b/>
                <w:bCs/>
                <w:color w:val="000000"/>
                <w:sz w:val="20"/>
                <w:szCs w:val="20"/>
                <w:lang w:val="en-CA"/>
              </w:rPr>
              <w:t>行业</w:t>
            </w:r>
          </w:p>
        </w:tc>
        <w:tc>
          <w:tcPr>
            <w:tcW w:w="1144" w:type="pct"/>
            <w:shd w:val="clear" w:color="auto" w:fill="FFFFFF"/>
            <w:hideMark/>
          </w:tcPr>
          <w:p w14:paraId="6721B36C" w14:textId="77777777" w:rsidR="00311E1B" w:rsidRPr="00717C77" w:rsidRDefault="00311E1B" w:rsidP="00311E1B">
            <w:pPr>
              <w:spacing w:after="0" w:line="240" w:lineRule="auto"/>
              <w:jc w:val="center"/>
              <w:rPr>
                <w:rFonts w:cs="Times New Roman"/>
                <w:szCs w:val="24"/>
              </w:rPr>
            </w:pPr>
            <w:r w:rsidRPr="00717C77">
              <w:rPr>
                <w:rFonts w:cs="Times New Roman"/>
                <w:b/>
                <w:bCs/>
                <w:sz w:val="20"/>
                <w:szCs w:val="20"/>
              </w:rPr>
              <w:t>2018 </w:t>
            </w:r>
            <w:r w:rsidRPr="00717C77">
              <w:rPr>
                <w:rFonts w:cs="Times New Roman"/>
                <w:b/>
                <w:bCs/>
                <w:sz w:val="20"/>
                <w:szCs w:val="20"/>
              </w:rPr>
              <w:t>年</w:t>
            </w:r>
            <w:r w:rsidRPr="00717C77">
              <w:rPr>
                <w:rFonts w:cs="Times New Roman"/>
                <w:b/>
                <w:bCs/>
                <w:sz w:val="20"/>
                <w:szCs w:val="20"/>
              </w:rPr>
              <w:t>7</w:t>
            </w:r>
            <w:r w:rsidRPr="00717C77">
              <w:rPr>
                <w:rFonts w:cs="Times New Roman"/>
                <w:b/>
                <w:bCs/>
                <w:sz w:val="20"/>
                <w:szCs w:val="20"/>
              </w:rPr>
              <w:t>月</w:t>
            </w:r>
            <w:r w:rsidRPr="00717C77">
              <w:rPr>
                <w:rFonts w:cs="Times New Roman"/>
                <w:b/>
                <w:bCs/>
                <w:sz w:val="20"/>
                <w:szCs w:val="20"/>
              </w:rPr>
              <w:t>1</w:t>
            </w:r>
            <w:r w:rsidRPr="00717C77">
              <w:rPr>
                <w:rFonts w:cs="Times New Roman"/>
                <w:b/>
                <w:bCs/>
                <w:sz w:val="20"/>
                <w:szCs w:val="20"/>
              </w:rPr>
              <w:t>日</w:t>
            </w:r>
            <w:r w:rsidRPr="00717C77">
              <w:rPr>
                <w:rFonts w:cs="Times New Roman"/>
                <w:b/>
                <w:bCs/>
                <w:sz w:val="20"/>
                <w:szCs w:val="20"/>
              </w:rPr>
              <w:t> –</w:t>
            </w:r>
          </w:p>
          <w:p w14:paraId="2E807B56" w14:textId="12ED359E" w:rsidR="00311E1B" w:rsidRPr="002B241F" w:rsidRDefault="00311E1B" w:rsidP="00311E1B">
            <w:pPr>
              <w:keepNext/>
              <w:spacing w:before="0" w:after="0" w:line="240" w:lineRule="auto"/>
              <w:jc w:val="center"/>
              <w:rPr>
                <w:rFonts w:eastAsia="Times New Roman" w:cs="Times New Roman"/>
                <w:b/>
                <w:bCs/>
                <w:color w:val="000000"/>
                <w:sz w:val="20"/>
                <w:szCs w:val="20"/>
                <w:lang w:val="en-CA" w:eastAsia="en-US"/>
              </w:rPr>
            </w:pPr>
            <w:r w:rsidRPr="00717C77">
              <w:rPr>
                <w:rFonts w:cs="Times New Roman"/>
                <w:b/>
                <w:bCs/>
                <w:sz w:val="20"/>
                <w:szCs w:val="20"/>
              </w:rPr>
              <w:t>2019</w:t>
            </w:r>
            <w:r w:rsidRPr="00717C77">
              <w:rPr>
                <w:rFonts w:cs="Times New Roman"/>
                <w:b/>
                <w:bCs/>
                <w:sz w:val="20"/>
                <w:szCs w:val="20"/>
              </w:rPr>
              <w:t>年</w:t>
            </w:r>
            <w:r w:rsidRPr="00717C77">
              <w:rPr>
                <w:rFonts w:cs="Times New Roman"/>
                <w:b/>
                <w:bCs/>
                <w:sz w:val="20"/>
                <w:szCs w:val="20"/>
              </w:rPr>
              <w:t>6</w:t>
            </w:r>
            <w:r w:rsidRPr="00717C77">
              <w:rPr>
                <w:rFonts w:cs="Times New Roman"/>
                <w:b/>
                <w:bCs/>
                <w:sz w:val="20"/>
                <w:szCs w:val="20"/>
              </w:rPr>
              <w:t>月</w:t>
            </w:r>
            <w:r w:rsidRPr="00717C77">
              <w:rPr>
                <w:rFonts w:cs="Times New Roman"/>
                <w:b/>
                <w:bCs/>
                <w:sz w:val="20"/>
                <w:szCs w:val="20"/>
              </w:rPr>
              <w:t>30</w:t>
            </w:r>
            <w:r w:rsidRPr="00717C77">
              <w:rPr>
                <w:rFonts w:cs="Times New Roman"/>
                <w:b/>
                <w:bCs/>
                <w:sz w:val="20"/>
                <w:szCs w:val="20"/>
              </w:rPr>
              <w:t>日</w:t>
            </w:r>
          </w:p>
        </w:tc>
        <w:tc>
          <w:tcPr>
            <w:tcW w:w="1212" w:type="pct"/>
            <w:shd w:val="clear" w:color="auto" w:fill="FFFFFF"/>
          </w:tcPr>
          <w:p w14:paraId="63CE6E03" w14:textId="77777777" w:rsidR="00311E1B" w:rsidRPr="00717C77" w:rsidRDefault="00311E1B" w:rsidP="00311E1B">
            <w:pPr>
              <w:spacing w:after="0" w:line="240" w:lineRule="auto"/>
              <w:jc w:val="center"/>
              <w:rPr>
                <w:rFonts w:cs="Times New Roman"/>
                <w:szCs w:val="24"/>
              </w:rPr>
            </w:pPr>
            <w:r w:rsidRPr="00717C77">
              <w:rPr>
                <w:rFonts w:cs="Times New Roman"/>
                <w:b/>
                <w:bCs/>
                <w:sz w:val="20"/>
                <w:szCs w:val="20"/>
              </w:rPr>
              <w:t>2010</w:t>
            </w:r>
            <w:r w:rsidRPr="00717C77">
              <w:rPr>
                <w:rFonts w:cs="Times New Roman"/>
                <w:b/>
                <w:bCs/>
                <w:sz w:val="20"/>
                <w:szCs w:val="20"/>
              </w:rPr>
              <w:t>年</w:t>
            </w:r>
            <w:r w:rsidRPr="00717C77">
              <w:rPr>
                <w:rFonts w:cs="Times New Roman"/>
                <w:b/>
                <w:bCs/>
                <w:sz w:val="20"/>
                <w:szCs w:val="20"/>
              </w:rPr>
              <w:t>1</w:t>
            </w:r>
            <w:r w:rsidRPr="00717C77">
              <w:rPr>
                <w:rFonts w:cs="Times New Roman"/>
                <w:b/>
                <w:bCs/>
                <w:sz w:val="20"/>
                <w:szCs w:val="20"/>
              </w:rPr>
              <w:t>月</w:t>
            </w:r>
            <w:r w:rsidRPr="00717C77">
              <w:rPr>
                <w:rFonts w:cs="Times New Roman"/>
                <w:b/>
                <w:bCs/>
                <w:sz w:val="20"/>
                <w:szCs w:val="20"/>
              </w:rPr>
              <w:t>1</w:t>
            </w:r>
            <w:r w:rsidRPr="00717C77">
              <w:rPr>
                <w:rFonts w:cs="Times New Roman"/>
                <w:b/>
                <w:bCs/>
                <w:sz w:val="20"/>
                <w:szCs w:val="20"/>
              </w:rPr>
              <w:t>日</w:t>
            </w:r>
            <w:r w:rsidRPr="00717C77">
              <w:rPr>
                <w:rFonts w:cs="Times New Roman"/>
                <w:b/>
                <w:bCs/>
                <w:sz w:val="20"/>
                <w:szCs w:val="20"/>
              </w:rPr>
              <w:t>–</w:t>
            </w:r>
          </w:p>
          <w:p w14:paraId="68C54C30" w14:textId="015F5990" w:rsidR="00311E1B" w:rsidRPr="002B241F" w:rsidRDefault="00311E1B" w:rsidP="00311E1B">
            <w:pPr>
              <w:keepNext/>
              <w:spacing w:before="0" w:after="0" w:line="240" w:lineRule="auto"/>
              <w:jc w:val="center"/>
              <w:rPr>
                <w:rFonts w:eastAsia="Times New Roman" w:cs="Times New Roman"/>
                <w:b/>
                <w:bCs/>
                <w:color w:val="000000"/>
                <w:sz w:val="20"/>
                <w:szCs w:val="20"/>
                <w:lang w:val="en-CA" w:eastAsia="en-US"/>
              </w:rPr>
            </w:pPr>
            <w:r w:rsidRPr="00717C77">
              <w:rPr>
                <w:rFonts w:cs="Times New Roman"/>
                <w:b/>
                <w:bCs/>
                <w:sz w:val="20"/>
                <w:szCs w:val="20"/>
              </w:rPr>
              <w:t>2019</w:t>
            </w:r>
            <w:r w:rsidRPr="00717C77">
              <w:rPr>
                <w:rFonts w:cs="Times New Roman"/>
                <w:b/>
                <w:bCs/>
                <w:sz w:val="20"/>
                <w:szCs w:val="20"/>
              </w:rPr>
              <w:t>年</w:t>
            </w:r>
            <w:r w:rsidRPr="00717C77">
              <w:rPr>
                <w:rFonts w:cs="Times New Roman"/>
                <w:b/>
                <w:bCs/>
                <w:sz w:val="20"/>
                <w:szCs w:val="20"/>
              </w:rPr>
              <w:t>6</w:t>
            </w:r>
            <w:r w:rsidRPr="00717C77">
              <w:rPr>
                <w:rFonts w:cs="Times New Roman"/>
                <w:b/>
                <w:bCs/>
                <w:sz w:val="20"/>
                <w:szCs w:val="20"/>
              </w:rPr>
              <w:t>月</w:t>
            </w:r>
            <w:r w:rsidRPr="00717C77">
              <w:rPr>
                <w:rFonts w:cs="Times New Roman"/>
                <w:b/>
                <w:bCs/>
                <w:sz w:val="20"/>
                <w:szCs w:val="20"/>
              </w:rPr>
              <w:t>30</w:t>
            </w:r>
            <w:r w:rsidRPr="00717C77">
              <w:rPr>
                <w:rFonts w:cs="Times New Roman"/>
                <w:b/>
                <w:bCs/>
                <w:sz w:val="20"/>
                <w:szCs w:val="20"/>
              </w:rPr>
              <w:t>日</w:t>
            </w:r>
          </w:p>
        </w:tc>
      </w:tr>
      <w:tr w:rsidR="00311E1B" w:rsidRPr="002B241F" w14:paraId="091B58B0" w14:textId="77777777" w:rsidTr="00311E1B">
        <w:tc>
          <w:tcPr>
            <w:tcW w:w="2644" w:type="pct"/>
            <w:shd w:val="clear" w:color="000000" w:fill="FFFFFF"/>
            <w:hideMark/>
          </w:tcPr>
          <w:p w14:paraId="0B7BFB2A" w14:textId="407673AF" w:rsidR="00311E1B" w:rsidRPr="002B241F" w:rsidRDefault="00311E1B" w:rsidP="00311E1B">
            <w:pPr>
              <w:widowControl w:val="0"/>
              <w:spacing w:before="0" w:after="0" w:line="240" w:lineRule="auto"/>
              <w:jc w:val="both"/>
              <w:rPr>
                <w:rFonts w:eastAsia="Times New Roman" w:cs="Times New Roman"/>
                <w:color w:val="000000"/>
                <w:sz w:val="20"/>
                <w:szCs w:val="20"/>
                <w:lang w:val="en-CA"/>
              </w:rPr>
            </w:pPr>
            <w:r>
              <w:rPr>
                <w:rFonts w:ascii="SimSun" w:hAnsi="SimSun" w:cs="SimSun" w:hint="eastAsia"/>
                <w:color w:val="000000"/>
                <w:sz w:val="20"/>
                <w:szCs w:val="20"/>
                <w:lang w:val="en-CA"/>
              </w:rPr>
              <w:t>氟氯化碳生产、</w:t>
            </w:r>
            <w:r w:rsidRPr="00311E1B">
              <w:rPr>
                <w:rFonts w:ascii="SimSun" w:hAnsi="SimSun" w:cs="SimSun" w:hint="eastAsia"/>
                <w:color w:val="000000"/>
                <w:sz w:val="20"/>
                <w:szCs w:val="20"/>
              </w:rPr>
              <w:t>哈龙</w:t>
            </w:r>
            <w:r>
              <w:rPr>
                <w:rFonts w:ascii="SimSun" w:hAnsi="SimSun" w:cs="SimSun" w:hint="eastAsia"/>
                <w:color w:val="000000"/>
                <w:sz w:val="20"/>
                <w:szCs w:val="20"/>
              </w:rPr>
              <w:t>、</w:t>
            </w:r>
            <w:r w:rsidRPr="00311E1B">
              <w:rPr>
                <w:rFonts w:ascii="SimSun" w:hAnsi="SimSun" w:cs="SimSun" w:hint="eastAsia"/>
                <w:color w:val="000000"/>
                <w:sz w:val="20"/>
                <w:szCs w:val="20"/>
              </w:rPr>
              <w:t>二类加工剂和聚氨酯泡沫</w:t>
            </w:r>
            <w:r>
              <w:rPr>
                <w:rFonts w:ascii="SimSun" w:hAnsi="SimSun" w:cs="SimSun" w:hint="eastAsia"/>
                <w:color w:val="000000"/>
                <w:sz w:val="20"/>
                <w:szCs w:val="20"/>
              </w:rPr>
              <w:t>塑料</w:t>
            </w:r>
            <w:r w:rsidRPr="00311E1B">
              <w:rPr>
                <w:rFonts w:eastAsia="Times New Roman" w:cs="Times New Roman"/>
                <w:color w:val="000000"/>
                <w:sz w:val="20"/>
                <w:szCs w:val="20"/>
              </w:rPr>
              <w:t> </w:t>
            </w:r>
          </w:p>
        </w:tc>
        <w:tc>
          <w:tcPr>
            <w:tcW w:w="1144" w:type="pct"/>
            <w:tcMar>
              <w:left w:w="115" w:type="dxa"/>
              <w:right w:w="1440" w:type="dxa"/>
            </w:tcMar>
            <w:hideMark/>
          </w:tcPr>
          <w:p w14:paraId="2E5F4437" w14:textId="77777777" w:rsidR="00311E1B" w:rsidRPr="002B241F" w:rsidRDefault="00311E1B" w:rsidP="00311E1B">
            <w:pPr>
              <w:widowControl w:val="0"/>
              <w:spacing w:before="0" w:after="0" w:line="240" w:lineRule="auto"/>
              <w:ind w:right="-1298"/>
              <w:jc w:val="right"/>
              <w:rPr>
                <w:rFonts w:eastAsia="Times New Roman" w:cs="Times New Roman"/>
                <w:color w:val="000000"/>
                <w:sz w:val="20"/>
                <w:szCs w:val="20"/>
                <w:lang w:val="en-CA" w:eastAsia="en-US"/>
              </w:rPr>
            </w:pPr>
            <w:r w:rsidRPr="002B241F">
              <w:rPr>
                <w:rFonts w:eastAsia="Times New Roman" w:cs="Times New Roman"/>
                <w:color w:val="000000"/>
                <w:sz w:val="20"/>
                <w:szCs w:val="20"/>
                <w:lang w:val="en-CA" w:eastAsia="en-US"/>
              </w:rPr>
              <w:t>979</w:t>
            </w:r>
          </w:p>
        </w:tc>
        <w:tc>
          <w:tcPr>
            <w:tcW w:w="1212" w:type="pct"/>
          </w:tcPr>
          <w:p w14:paraId="17C8B02C" w14:textId="77777777" w:rsidR="00311E1B" w:rsidRPr="002B241F" w:rsidRDefault="00311E1B" w:rsidP="00311E1B">
            <w:pPr>
              <w:widowControl w:val="0"/>
              <w:spacing w:before="0" w:after="0" w:line="240" w:lineRule="auto"/>
              <w:jc w:val="right"/>
              <w:rPr>
                <w:rFonts w:eastAsia="Times New Roman" w:cs="Times New Roman"/>
                <w:color w:val="000000"/>
                <w:sz w:val="20"/>
                <w:szCs w:val="20"/>
                <w:lang w:val="en-CA" w:eastAsia="en-US"/>
              </w:rPr>
            </w:pPr>
            <w:r w:rsidRPr="002B241F">
              <w:rPr>
                <w:rFonts w:eastAsia="Times New Roman" w:cs="Times New Roman"/>
                <w:color w:val="000000"/>
                <w:sz w:val="20"/>
                <w:szCs w:val="20"/>
                <w:lang w:val="en-CA" w:eastAsia="en-US"/>
              </w:rPr>
              <w:t>22,088</w:t>
            </w:r>
          </w:p>
        </w:tc>
      </w:tr>
      <w:tr w:rsidR="00311E1B" w:rsidRPr="002B241F" w14:paraId="57474DD0" w14:textId="77777777" w:rsidTr="00311E1B">
        <w:tc>
          <w:tcPr>
            <w:tcW w:w="2644" w:type="pct"/>
            <w:shd w:val="clear" w:color="auto" w:fill="FFFFFF"/>
            <w:noWrap/>
            <w:hideMark/>
          </w:tcPr>
          <w:p w14:paraId="7925FD19" w14:textId="40AC5C49" w:rsidR="00311E1B" w:rsidRPr="002B241F" w:rsidRDefault="00311E1B" w:rsidP="00311E1B">
            <w:pPr>
              <w:widowControl w:val="0"/>
              <w:spacing w:before="0" w:after="0" w:line="240" w:lineRule="auto"/>
              <w:jc w:val="both"/>
              <w:rPr>
                <w:rFonts w:eastAsia="Times New Roman" w:cs="Times New Roman"/>
                <w:color w:val="000000"/>
                <w:sz w:val="20"/>
                <w:szCs w:val="20"/>
                <w:lang w:val="en-CA" w:eastAsia="en-US"/>
              </w:rPr>
            </w:pPr>
            <w:r w:rsidRPr="00717C77">
              <w:rPr>
                <w:rFonts w:cs="Times New Roman"/>
                <w:sz w:val="20"/>
                <w:szCs w:val="20"/>
              </w:rPr>
              <w:t>制冷维修</w:t>
            </w:r>
          </w:p>
        </w:tc>
        <w:tc>
          <w:tcPr>
            <w:tcW w:w="1144" w:type="pct"/>
            <w:tcMar>
              <w:left w:w="115" w:type="dxa"/>
              <w:right w:w="1440" w:type="dxa"/>
            </w:tcMar>
            <w:hideMark/>
          </w:tcPr>
          <w:p w14:paraId="416BABE2" w14:textId="77777777" w:rsidR="00311E1B" w:rsidRPr="002B241F" w:rsidRDefault="00311E1B" w:rsidP="00311E1B">
            <w:pPr>
              <w:widowControl w:val="0"/>
              <w:spacing w:before="0" w:after="0" w:line="240" w:lineRule="auto"/>
              <w:ind w:right="-1298"/>
              <w:jc w:val="right"/>
              <w:rPr>
                <w:rFonts w:eastAsia="Times New Roman" w:cs="Times New Roman"/>
                <w:color w:val="000000"/>
                <w:sz w:val="20"/>
                <w:szCs w:val="20"/>
                <w:lang w:val="en-CA" w:eastAsia="en-US"/>
              </w:rPr>
            </w:pPr>
            <w:r w:rsidRPr="002B241F">
              <w:rPr>
                <w:rFonts w:eastAsia="Times New Roman" w:cs="Times New Roman"/>
                <w:color w:val="000000"/>
                <w:sz w:val="20"/>
                <w:szCs w:val="20"/>
                <w:lang w:val="en-CA" w:eastAsia="en-US"/>
              </w:rPr>
              <w:t>4,322</w:t>
            </w:r>
          </w:p>
        </w:tc>
        <w:tc>
          <w:tcPr>
            <w:tcW w:w="1212" w:type="pct"/>
          </w:tcPr>
          <w:p w14:paraId="5AADC40F" w14:textId="77777777" w:rsidR="00311E1B" w:rsidRPr="002B241F" w:rsidRDefault="00311E1B" w:rsidP="00311E1B">
            <w:pPr>
              <w:widowControl w:val="0"/>
              <w:spacing w:before="0" w:after="0" w:line="240" w:lineRule="auto"/>
              <w:jc w:val="right"/>
              <w:rPr>
                <w:rFonts w:eastAsia="Times New Roman" w:cs="Times New Roman"/>
                <w:color w:val="000000"/>
                <w:sz w:val="20"/>
                <w:szCs w:val="20"/>
                <w:lang w:val="en-CA" w:eastAsia="en-US"/>
              </w:rPr>
            </w:pPr>
            <w:r w:rsidRPr="002B241F">
              <w:rPr>
                <w:rFonts w:eastAsia="Times New Roman" w:cs="Times New Roman"/>
                <w:color w:val="000000"/>
                <w:sz w:val="20"/>
                <w:szCs w:val="20"/>
                <w:lang w:val="en-CA" w:eastAsia="en-US"/>
              </w:rPr>
              <w:t>97,887</w:t>
            </w:r>
          </w:p>
        </w:tc>
      </w:tr>
      <w:tr w:rsidR="00311E1B" w:rsidRPr="002B241F" w14:paraId="7E4911B1" w14:textId="77777777" w:rsidTr="00311E1B">
        <w:tc>
          <w:tcPr>
            <w:tcW w:w="2644" w:type="pct"/>
            <w:shd w:val="clear" w:color="auto" w:fill="FFFFFF"/>
            <w:noWrap/>
            <w:hideMark/>
          </w:tcPr>
          <w:p w14:paraId="658100A6" w14:textId="25827E87" w:rsidR="00311E1B" w:rsidRPr="002B241F" w:rsidRDefault="00311E1B" w:rsidP="00311E1B">
            <w:pPr>
              <w:widowControl w:val="0"/>
              <w:spacing w:before="0" w:after="0" w:line="240" w:lineRule="auto"/>
              <w:jc w:val="both"/>
              <w:rPr>
                <w:rFonts w:eastAsia="Times New Roman" w:cs="Times New Roman"/>
                <w:color w:val="000000"/>
                <w:sz w:val="20"/>
                <w:szCs w:val="20"/>
                <w:lang w:val="en-CA" w:eastAsia="en-US"/>
              </w:rPr>
            </w:pPr>
            <w:r w:rsidRPr="00717C77">
              <w:rPr>
                <w:rFonts w:cs="Times New Roman"/>
                <w:sz w:val="20"/>
                <w:szCs w:val="20"/>
              </w:rPr>
              <w:t>溶剂</w:t>
            </w:r>
          </w:p>
        </w:tc>
        <w:tc>
          <w:tcPr>
            <w:tcW w:w="1144" w:type="pct"/>
            <w:tcMar>
              <w:left w:w="115" w:type="dxa"/>
              <w:right w:w="1440" w:type="dxa"/>
            </w:tcMar>
            <w:hideMark/>
          </w:tcPr>
          <w:p w14:paraId="2102C336" w14:textId="77777777" w:rsidR="00311E1B" w:rsidRPr="002B241F" w:rsidRDefault="00311E1B" w:rsidP="00311E1B">
            <w:pPr>
              <w:widowControl w:val="0"/>
              <w:spacing w:before="0" w:after="0" w:line="240" w:lineRule="auto"/>
              <w:ind w:right="-1298"/>
              <w:jc w:val="right"/>
              <w:rPr>
                <w:rFonts w:eastAsia="Times New Roman" w:cs="Times New Roman"/>
                <w:color w:val="000000"/>
                <w:sz w:val="20"/>
                <w:szCs w:val="20"/>
                <w:lang w:val="en-CA" w:eastAsia="en-US"/>
              </w:rPr>
            </w:pPr>
            <w:r w:rsidRPr="002B241F">
              <w:rPr>
                <w:rFonts w:eastAsia="Times New Roman" w:cs="Times New Roman"/>
                <w:color w:val="000000"/>
                <w:sz w:val="20"/>
                <w:szCs w:val="20"/>
                <w:lang w:val="en-CA" w:eastAsia="en-US"/>
              </w:rPr>
              <w:t>24,508</w:t>
            </w:r>
          </w:p>
        </w:tc>
        <w:tc>
          <w:tcPr>
            <w:tcW w:w="1212" w:type="pct"/>
          </w:tcPr>
          <w:p w14:paraId="0207BF78" w14:textId="77777777" w:rsidR="00311E1B" w:rsidRPr="002B241F" w:rsidRDefault="00311E1B" w:rsidP="00311E1B">
            <w:pPr>
              <w:widowControl w:val="0"/>
              <w:spacing w:before="0" w:after="0" w:line="240" w:lineRule="auto"/>
              <w:jc w:val="right"/>
              <w:rPr>
                <w:rFonts w:eastAsia="Times New Roman" w:cs="Times New Roman"/>
                <w:color w:val="000000"/>
                <w:sz w:val="20"/>
                <w:szCs w:val="20"/>
                <w:lang w:val="en-CA" w:eastAsia="en-US"/>
              </w:rPr>
            </w:pPr>
            <w:r w:rsidRPr="002B241F">
              <w:rPr>
                <w:rFonts w:eastAsia="Times New Roman" w:cs="Times New Roman"/>
                <w:color w:val="000000"/>
                <w:sz w:val="20"/>
                <w:szCs w:val="20"/>
                <w:lang w:val="en-CA" w:eastAsia="en-US"/>
              </w:rPr>
              <w:t>350,144</w:t>
            </w:r>
          </w:p>
        </w:tc>
      </w:tr>
      <w:tr w:rsidR="00311E1B" w:rsidRPr="002B241F" w14:paraId="38CE14FC" w14:textId="77777777" w:rsidTr="00311E1B">
        <w:tc>
          <w:tcPr>
            <w:tcW w:w="2644" w:type="pct"/>
            <w:shd w:val="clear" w:color="000000" w:fill="FFFFFF"/>
            <w:hideMark/>
          </w:tcPr>
          <w:p w14:paraId="5438AEDC" w14:textId="60AB5050" w:rsidR="00311E1B" w:rsidRPr="002B241F" w:rsidRDefault="00311E1B" w:rsidP="00311E1B">
            <w:pPr>
              <w:widowControl w:val="0"/>
              <w:spacing w:before="0" w:after="0" w:line="240" w:lineRule="auto"/>
              <w:jc w:val="both"/>
              <w:rPr>
                <w:rFonts w:eastAsia="Times New Roman" w:cs="Times New Roman"/>
                <w:b/>
                <w:bCs/>
                <w:color w:val="000000"/>
                <w:sz w:val="20"/>
                <w:szCs w:val="20"/>
                <w:lang w:val="en-CA" w:eastAsia="en-US"/>
              </w:rPr>
            </w:pPr>
            <w:r>
              <w:rPr>
                <w:rFonts w:ascii="SimSun" w:hAnsi="SimSun" w:cs="SimSun" w:hint="eastAsia"/>
                <w:b/>
                <w:bCs/>
                <w:color w:val="000000"/>
                <w:sz w:val="20"/>
                <w:szCs w:val="20"/>
                <w:lang w:val="en-CA"/>
              </w:rPr>
              <w:t>共计</w:t>
            </w:r>
          </w:p>
        </w:tc>
        <w:tc>
          <w:tcPr>
            <w:tcW w:w="1144" w:type="pct"/>
            <w:tcMar>
              <w:left w:w="115" w:type="dxa"/>
              <w:right w:w="1440" w:type="dxa"/>
            </w:tcMar>
            <w:hideMark/>
          </w:tcPr>
          <w:p w14:paraId="1D990C8F" w14:textId="77777777" w:rsidR="00311E1B" w:rsidRPr="002B241F" w:rsidRDefault="00311E1B" w:rsidP="00311E1B">
            <w:pPr>
              <w:widowControl w:val="0"/>
              <w:spacing w:before="0" w:after="0" w:line="240" w:lineRule="auto"/>
              <w:ind w:right="-1298"/>
              <w:jc w:val="right"/>
              <w:rPr>
                <w:rFonts w:eastAsia="Times New Roman" w:cs="Times New Roman"/>
                <w:b/>
                <w:color w:val="000000"/>
                <w:sz w:val="20"/>
                <w:szCs w:val="20"/>
                <w:lang w:val="en-CA" w:eastAsia="en-US"/>
              </w:rPr>
            </w:pPr>
            <w:r w:rsidRPr="002B241F">
              <w:rPr>
                <w:rFonts w:eastAsia="Times New Roman" w:cs="Times New Roman"/>
                <w:b/>
                <w:color w:val="000000"/>
                <w:sz w:val="20"/>
                <w:szCs w:val="20"/>
                <w:lang w:val="en-CA" w:eastAsia="en-US"/>
              </w:rPr>
              <w:t>29,809</w:t>
            </w:r>
          </w:p>
        </w:tc>
        <w:tc>
          <w:tcPr>
            <w:tcW w:w="1212" w:type="pct"/>
          </w:tcPr>
          <w:p w14:paraId="13838D3D" w14:textId="77777777" w:rsidR="00311E1B" w:rsidRPr="002B241F" w:rsidRDefault="00311E1B" w:rsidP="00311E1B">
            <w:pPr>
              <w:widowControl w:val="0"/>
              <w:spacing w:before="0" w:after="0" w:line="240" w:lineRule="auto"/>
              <w:jc w:val="right"/>
              <w:rPr>
                <w:rFonts w:eastAsia="Times New Roman" w:cs="Times New Roman"/>
                <w:b/>
                <w:color w:val="000000"/>
                <w:sz w:val="20"/>
                <w:szCs w:val="20"/>
                <w:lang w:val="en-CA" w:eastAsia="en-US"/>
              </w:rPr>
            </w:pPr>
            <w:r w:rsidRPr="002B241F">
              <w:rPr>
                <w:rFonts w:eastAsia="Times New Roman" w:cs="Times New Roman"/>
                <w:b/>
                <w:color w:val="000000"/>
                <w:sz w:val="20"/>
                <w:szCs w:val="20"/>
                <w:lang w:val="en-CA" w:eastAsia="en-US"/>
              </w:rPr>
              <w:t>470,119</w:t>
            </w:r>
          </w:p>
        </w:tc>
      </w:tr>
    </w:tbl>
    <w:p w14:paraId="42FC6DA9" w14:textId="58B8DEE4" w:rsidR="002B241F" w:rsidRDefault="002B241F" w:rsidP="002B241F">
      <w:pPr>
        <w:spacing w:before="0" w:after="0" w:line="259" w:lineRule="auto"/>
        <w:jc w:val="both"/>
      </w:pPr>
    </w:p>
    <w:p w14:paraId="11A266B0" w14:textId="2F8AB9EC" w:rsidR="00311E1B" w:rsidRPr="00311E1B" w:rsidRDefault="00311E1B" w:rsidP="00311E1B">
      <w:pPr>
        <w:numPr>
          <w:ilvl w:val="0"/>
          <w:numId w:val="20"/>
        </w:numPr>
        <w:spacing w:line="259" w:lineRule="auto"/>
        <w:ind w:left="0" w:firstLine="0"/>
        <w:jc w:val="both"/>
      </w:pPr>
      <w:r w:rsidRPr="00311E1B">
        <w:t>与过去的报告</w:t>
      </w:r>
      <w:r w:rsidR="00A64C4A">
        <w:rPr>
          <w:rFonts w:hint="eastAsia"/>
        </w:rPr>
        <w:t>所述</w:t>
      </w:r>
      <w:r w:rsidR="00EA0E88">
        <w:rPr>
          <w:rFonts w:hint="eastAsia"/>
        </w:rPr>
        <w:t>情况</w:t>
      </w:r>
      <w:r w:rsidRPr="00311E1B">
        <w:t>一样，</w:t>
      </w:r>
      <w:r w:rsidR="00A64C4A">
        <w:rPr>
          <w:rFonts w:hint="eastAsia"/>
        </w:rPr>
        <w:t>由于</w:t>
      </w:r>
      <w:r w:rsidRPr="00311E1B">
        <w:t>人民币账户的利息高于美元账户</w:t>
      </w:r>
      <w:r w:rsidR="00A64C4A">
        <w:rPr>
          <w:rFonts w:hint="eastAsia"/>
        </w:rPr>
        <w:t>，</w:t>
      </w:r>
      <w:r w:rsidR="00A64C4A" w:rsidRPr="00311E1B">
        <w:t>溶剂行业</w:t>
      </w:r>
      <w:r w:rsidR="00A64C4A">
        <w:t>产生的利息</w:t>
      </w:r>
      <w:r w:rsidR="00A64C4A" w:rsidRPr="00311E1B">
        <w:t>大大高于其他行业</w:t>
      </w:r>
      <w:r w:rsidRPr="00311E1B">
        <w:t>。</w:t>
      </w:r>
      <w:r w:rsidRPr="00311E1B">
        <w:t>               </w:t>
      </w:r>
    </w:p>
    <w:p w14:paraId="1E4A35DF" w14:textId="77777777" w:rsidR="00311E1B" w:rsidRPr="00311E1B" w:rsidRDefault="00311E1B" w:rsidP="00A64C4A">
      <w:pPr>
        <w:pStyle w:val="Heading1"/>
        <w:spacing w:line="259" w:lineRule="auto"/>
        <w:ind w:left="1267" w:hanging="1267"/>
        <w:rPr>
          <w:rFonts w:hint="eastAsia"/>
          <w:lang w:val="en-GB"/>
        </w:rPr>
      </w:pPr>
      <w:r w:rsidRPr="00311E1B">
        <w:rPr>
          <w:lang w:val="en-GB"/>
        </w:rPr>
        <w:lastRenderedPageBreak/>
        <w:t>秘书处的评论</w:t>
      </w:r>
    </w:p>
    <w:p w14:paraId="20016DE0" w14:textId="5DD80D65" w:rsidR="00311E1B" w:rsidRPr="00311E1B" w:rsidRDefault="00311E1B" w:rsidP="00A64C4A">
      <w:pPr>
        <w:keepNext/>
        <w:spacing w:line="259" w:lineRule="auto"/>
        <w:jc w:val="both"/>
        <w:rPr>
          <w:u w:val="single"/>
        </w:rPr>
      </w:pPr>
      <w:r w:rsidRPr="00311E1B">
        <w:rPr>
          <w:u w:val="single"/>
        </w:rPr>
        <w:t>总体</w:t>
      </w:r>
      <w:r w:rsidR="00A64C4A">
        <w:rPr>
          <w:rFonts w:hint="eastAsia"/>
          <w:u w:val="single"/>
        </w:rPr>
        <w:t>进度</w:t>
      </w:r>
    </w:p>
    <w:p w14:paraId="71E0F740" w14:textId="6B2E61A8" w:rsidR="00311E1B" w:rsidRPr="00311E1B" w:rsidRDefault="00A64C4A" w:rsidP="00311E1B">
      <w:pPr>
        <w:numPr>
          <w:ilvl w:val="0"/>
          <w:numId w:val="20"/>
        </w:numPr>
        <w:spacing w:line="259" w:lineRule="auto"/>
        <w:ind w:left="0" w:firstLine="0"/>
        <w:jc w:val="both"/>
      </w:pPr>
      <w:r w:rsidRPr="00311E1B">
        <w:t>各执行机构</w:t>
      </w:r>
      <w:r w:rsidR="00311E1B" w:rsidRPr="00311E1B">
        <w:t>在第</w:t>
      </w:r>
      <w:r>
        <w:t>八十次</w:t>
      </w:r>
      <w:r w:rsidR="00311E1B" w:rsidRPr="00311E1B">
        <w:t>会议上保证，</w:t>
      </w:r>
      <w:r w:rsidRPr="00311E1B">
        <w:t>将在</w:t>
      </w:r>
      <w:r w:rsidRPr="00311E1B">
        <w:t>2018</w:t>
      </w:r>
      <w:r w:rsidRPr="00311E1B">
        <w:t>年底</w:t>
      </w:r>
      <w:r>
        <w:rPr>
          <w:rFonts w:hint="eastAsia"/>
        </w:rPr>
        <w:t>之前</w:t>
      </w:r>
      <w:r w:rsidRPr="00311E1B">
        <w:t>全部</w:t>
      </w:r>
      <w:r>
        <w:rPr>
          <w:rFonts w:hint="eastAsia"/>
        </w:rPr>
        <w:t>发放</w:t>
      </w:r>
      <w:r w:rsidR="00311E1B" w:rsidRPr="00311E1B">
        <w:t>每个</w:t>
      </w:r>
      <w:r>
        <w:rPr>
          <w:rFonts w:hint="eastAsia"/>
        </w:rPr>
        <w:t>行业</w:t>
      </w:r>
      <w:r w:rsidR="00311E1B" w:rsidRPr="00311E1B">
        <w:t>计划的资金结余，</w:t>
      </w:r>
      <w:r>
        <w:rPr>
          <w:rFonts w:hint="eastAsia"/>
        </w:rPr>
        <w:t>向</w:t>
      </w:r>
      <w:r>
        <w:rPr>
          <w:rFonts w:hint="eastAsia"/>
        </w:rPr>
        <w:t>2019</w:t>
      </w:r>
      <w:r>
        <w:rPr>
          <w:rFonts w:hint="eastAsia"/>
        </w:rPr>
        <w:t>年的</w:t>
      </w:r>
      <w:r w:rsidRPr="00311E1B">
        <w:t>执行委员会第一次会议</w:t>
      </w:r>
      <w:r>
        <w:rPr>
          <w:rFonts w:hint="eastAsia"/>
        </w:rPr>
        <w:t>提交</w:t>
      </w:r>
      <w:r w:rsidR="00311E1B" w:rsidRPr="00311E1B">
        <w:t>项目完成报告</w:t>
      </w:r>
      <w:r>
        <w:rPr>
          <w:rFonts w:hint="eastAsia"/>
        </w:rPr>
        <w:t>。</w:t>
      </w:r>
      <w:r w:rsidR="00311E1B" w:rsidRPr="00311E1B">
        <w:t>执行委员会随后</w:t>
      </w:r>
      <w:r w:rsidR="00EA0E88" w:rsidRPr="00311E1B">
        <w:t>除其他外</w:t>
      </w:r>
      <w:r w:rsidR="00311E1B" w:rsidRPr="00311E1B">
        <w:t>赞赏</w:t>
      </w:r>
      <w:r>
        <w:rPr>
          <w:rFonts w:hint="eastAsia"/>
        </w:rPr>
        <w:t>地注意到，</w:t>
      </w:r>
      <w:r w:rsidRPr="00311E1B">
        <w:t>中国政府</w:t>
      </w:r>
      <w:r w:rsidR="00311E1B" w:rsidRPr="00311E1B">
        <w:t>已确认</w:t>
      </w:r>
      <w:r w:rsidRPr="00311E1B">
        <w:t>将在</w:t>
      </w:r>
      <w:r w:rsidRPr="00311E1B">
        <w:t>2018</w:t>
      </w:r>
      <w:r w:rsidRPr="00311E1B">
        <w:t>年底之前完成</w:t>
      </w:r>
      <w:r>
        <w:rPr>
          <w:rFonts w:hint="eastAsia"/>
        </w:rPr>
        <w:t>与</w:t>
      </w:r>
      <w:r w:rsidR="00311E1B" w:rsidRPr="00311E1B">
        <w:t>每个</w:t>
      </w:r>
      <w:r>
        <w:rPr>
          <w:rFonts w:hint="eastAsia"/>
        </w:rPr>
        <w:t>行业</w:t>
      </w:r>
      <w:r w:rsidR="00311E1B" w:rsidRPr="00311E1B">
        <w:t>计划</w:t>
      </w:r>
      <w:r>
        <w:rPr>
          <w:rFonts w:hint="eastAsia"/>
        </w:rPr>
        <w:t>有关的所有</w:t>
      </w:r>
      <w:r w:rsidR="00311E1B" w:rsidRPr="00311E1B">
        <w:t>活动，</w:t>
      </w:r>
      <w:r>
        <w:rPr>
          <w:rFonts w:hint="eastAsia"/>
        </w:rPr>
        <w:t>向</w:t>
      </w:r>
      <w:r w:rsidRPr="00311E1B">
        <w:t>2018</w:t>
      </w:r>
      <w:r w:rsidRPr="00311E1B">
        <w:t>年最后一次会议</w:t>
      </w:r>
      <w:r>
        <w:rPr>
          <w:rFonts w:hint="eastAsia"/>
        </w:rPr>
        <w:t>提交</w:t>
      </w:r>
      <w:r w:rsidR="00311E1B" w:rsidRPr="00311E1B">
        <w:t>相关</w:t>
      </w:r>
      <w:r>
        <w:rPr>
          <w:rFonts w:hint="eastAsia"/>
        </w:rPr>
        <w:t>的</w:t>
      </w:r>
      <w:r w:rsidR="00311E1B" w:rsidRPr="00311E1B">
        <w:t>研究和技术援助报告，并</w:t>
      </w:r>
      <w:r>
        <w:rPr>
          <w:rFonts w:hint="eastAsia"/>
        </w:rPr>
        <w:t>向</w:t>
      </w:r>
      <w:r w:rsidRPr="00311E1B">
        <w:t>2019</w:t>
      </w:r>
      <w:r w:rsidRPr="00311E1B">
        <w:t>年</w:t>
      </w:r>
      <w:r>
        <w:rPr>
          <w:rFonts w:hint="eastAsia"/>
        </w:rPr>
        <w:t>的</w:t>
      </w:r>
      <w:r w:rsidRPr="00311E1B">
        <w:t>执行委员会第一次会议</w:t>
      </w:r>
      <w:r>
        <w:rPr>
          <w:rFonts w:hint="eastAsia"/>
        </w:rPr>
        <w:t>提交</w:t>
      </w:r>
      <w:r w:rsidR="00311E1B" w:rsidRPr="00311E1B">
        <w:t>项目完成报告（第</w:t>
      </w:r>
      <w:r w:rsidR="00311E1B" w:rsidRPr="00311E1B">
        <w:t>80/27</w:t>
      </w:r>
      <w:r w:rsidR="00311E1B" w:rsidRPr="00311E1B">
        <w:t>号决定</w:t>
      </w:r>
      <w:r w:rsidRPr="00311E1B">
        <w:t>(c)</w:t>
      </w:r>
      <w:r>
        <w:rPr>
          <w:rFonts w:hint="eastAsia"/>
        </w:rPr>
        <w:t>段</w:t>
      </w:r>
      <w:r w:rsidR="00311E1B" w:rsidRPr="00311E1B">
        <w:t>）。</w:t>
      </w:r>
      <w:r w:rsidR="00311E1B" w:rsidRPr="00311E1B">
        <w:t>                 </w:t>
      </w:r>
    </w:p>
    <w:p w14:paraId="5E7A3A06" w14:textId="5C200D2B" w:rsidR="00311E1B" w:rsidRPr="00311E1B" w:rsidRDefault="00311E1B" w:rsidP="00311E1B">
      <w:pPr>
        <w:numPr>
          <w:ilvl w:val="0"/>
          <w:numId w:val="20"/>
        </w:numPr>
        <w:spacing w:line="259" w:lineRule="auto"/>
        <w:ind w:left="0" w:firstLine="0"/>
        <w:jc w:val="both"/>
      </w:pPr>
      <w:r w:rsidRPr="00311E1B">
        <w:t>此外，</w:t>
      </w:r>
      <w:r w:rsidR="004907B2">
        <w:rPr>
          <w:rFonts w:hint="eastAsia"/>
        </w:rPr>
        <w:t>执委会</w:t>
      </w:r>
      <w:r w:rsidRPr="00311E1B">
        <w:t>在第</w:t>
      </w:r>
      <w:r w:rsidR="00A64C4A">
        <w:t>八十次</w:t>
      </w:r>
      <w:r w:rsidRPr="00311E1B">
        <w:t>会议上</w:t>
      </w:r>
      <w:r w:rsidR="004907B2">
        <w:rPr>
          <w:rFonts w:hint="eastAsia"/>
        </w:rPr>
        <w:t>就退还资金</w:t>
      </w:r>
      <w:r w:rsidRPr="00311E1B">
        <w:t>余额</w:t>
      </w:r>
      <w:r w:rsidR="004907B2">
        <w:rPr>
          <w:rFonts w:hint="eastAsia"/>
        </w:rPr>
        <w:t>的</w:t>
      </w:r>
      <w:r w:rsidRPr="00311E1B">
        <w:t>问题</w:t>
      </w:r>
      <w:r w:rsidR="004907B2">
        <w:rPr>
          <w:rFonts w:hint="eastAsia"/>
        </w:rPr>
        <w:t>举行了</w:t>
      </w:r>
      <w:r w:rsidRPr="00311E1B">
        <w:t>非正式讨论</w:t>
      </w:r>
      <w:r w:rsidR="004907B2">
        <w:rPr>
          <w:rFonts w:hint="eastAsia"/>
        </w:rPr>
        <w:t>。</w:t>
      </w:r>
      <w:r w:rsidRPr="00311E1B">
        <w:t>在报告这些讨论的结果时，一</w:t>
      </w:r>
      <w:r w:rsidR="004907B2">
        <w:rPr>
          <w:rFonts w:hint="eastAsia"/>
        </w:rPr>
        <w:t>名</w:t>
      </w:r>
      <w:r w:rsidRPr="00311E1B">
        <w:t>成员在另一</w:t>
      </w:r>
      <w:r w:rsidR="004907B2">
        <w:rPr>
          <w:rFonts w:hint="eastAsia"/>
        </w:rPr>
        <w:t>名</w:t>
      </w:r>
      <w:r w:rsidRPr="00311E1B">
        <w:t>成员的支持下</w:t>
      </w:r>
      <w:r w:rsidR="004907B2">
        <w:rPr>
          <w:rFonts w:hint="eastAsia"/>
        </w:rPr>
        <w:t>表示</w:t>
      </w:r>
      <w:r w:rsidRPr="00311E1B">
        <w:t>，尽管</w:t>
      </w:r>
      <w:r w:rsidR="004907B2">
        <w:rPr>
          <w:rFonts w:hint="eastAsia"/>
        </w:rPr>
        <w:t>撤回了把未动用</w:t>
      </w:r>
      <w:r w:rsidRPr="00311E1B">
        <w:t>余额</w:t>
      </w:r>
      <w:r w:rsidR="004907B2">
        <w:rPr>
          <w:rFonts w:hint="eastAsia"/>
        </w:rPr>
        <w:t>退还多边基金的要求，但</w:t>
      </w:r>
      <w:r w:rsidRPr="00311E1B">
        <w:t>他和其他</w:t>
      </w:r>
      <w:r w:rsidR="004907B2">
        <w:rPr>
          <w:rFonts w:hint="eastAsia"/>
        </w:rPr>
        <w:t>一些成员</w:t>
      </w:r>
      <w:r w:rsidRPr="00311E1B">
        <w:t>认为，</w:t>
      </w:r>
      <w:r w:rsidR="004907B2">
        <w:rPr>
          <w:rFonts w:hint="eastAsia"/>
        </w:rPr>
        <w:t>原则上应把未动用</w:t>
      </w:r>
      <w:r w:rsidRPr="00311E1B">
        <w:t>余额退还</w:t>
      </w:r>
      <w:r w:rsidR="004907B2">
        <w:rPr>
          <w:rFonts w:hint="eastAsia"/>
        </w:rPr>
        <w:t>多边</w:t>
      </w:r>
      <w:r w:rsidRPr="00311E1B">
        <w:t>基金或</w:t>
      </w:r>
      <w:r w:rsidR="004907B2">
        <w:rPr>
          <w:rFonts w:hint="eastAsia"/>
        </w:rPr>
        <w:t>将其用于冲抵今后</w:t>
      </w:r>
      <w:r w:rsidRPr="00311E1B">
        <w:t>的核准</w:t>
      </w:r>
      <w:r w:rsidR="004907B2">
        <w:rPr>
          <w:rFonts w:hint="eastAsia"/>
        </w:rPr>
        <w:t>费用</w:t>
      </w:r>
      <w:r w:rsidRPr="00311E1B">
        <w:t>，应</w:t>
      </w:r>
      <w:r w:rsidR="004907B2">
        <w:rPr>
          <w:rFonts w:hint="eastAsia"/>
        </w:rPr>
        <w:t>在执委会</w:t>
      </w:r>
      <w:r w:rsidR="004907B2" w:rsidRPr="00311E1B">
        <w:t>今后的会议</w:t>
      </w:r>
      <w:r w:rsidR="004907B2">
        <w:rPr>
          <w:rFonts w:hint="eastAsia"/>
        </w:rPr>
        <w:t>上再次</w:t>
      </w:r>
      <w:r w:rsidRPr="00311E1B">
        <w:t>讨论退还余额的问题（</w:t>
      </w:r>
      <w:r w:rsidR="004907B2" w:rsidRPr="004907B2">
        <w:rPr>
          <w:lang w:val="en-CA"/>
        </w:rPr>
        <w:t>UNEP/</w:t>
      </w:r>
      <w:proofErr w:type="spellStart"/>
      <w:r w:rsidR="004907B2" w:rsidRPr="004907B2">
        <w:rPr>
          <w:lang w:val="en-CA"/>
        </w:rPr>
        <w:t>OzL.Pro</w:t>
      </w:r>
      <w:proofErr w:type="spellEnd"/>
      <w:r w:rsidR="004907B2" w:rsidRPr="004907B2">
        <w:rPr>
          <w:lang w:val="en-CA"/>
        </w:rPr>
        <w:t>/</w:t>
      </w:r>
      <w:proofErr w:type="spellStart"/>
      <w:r w:rsidR="004907B2" w:rsidRPr="004907B2">
        <w:rPr>
          <w:lang w:val="en-CA"/>
        </w:rPr>
        <w:t>ExCom</w:t>
      </w:r>
      <w:proofErr w:type="spellEnd"/>
      <w:r w:rsidR="004907B2" w:rsidRPr="004907B2">
        <w:rPr>
          <w:lang w:val="en-CA"/>
        </w:rPr>
        <w:t>/80/59</w:t>
      </w:r>
      <w:r w:rsidRPr="00311E1B">
        <w:t>）。</w:t>
      </w:r>
      <w:r w:rsidRPr="00311E1B">
        <w:t>               </w:t>
      </w:r>
    </w:p>
    <w:p w14:paraId="3D8919C0" w14:textId="44C720D6" w:rsidR="00733310" w:rsidRDefault="00311E1B" w:rsidP="00311E1B">
      <w:pPr>
        <w:numPr>
          <w:ilvl w:val="0"/>
          <w:numId w:val="20"/>
        </w:numPr>
        <w:spacing w:line="259" w:lineRule="auto"/>
        <w:ind w:left="0" w:firstLine="0"/>
        <w:jc w:val="both"/>
      </w:pPr>
      <w:r w:rsidRPr="00311E1B">
        <w:t>提交</w:t>
      </w:r>
      <w:r w:rsidR="004907B2">
        <w:rPr>
          <w:rFonts w:hint="eastAsia"/>
        </w:rPr>
        <w:t>第八十二次会议的</w:t>
      </w:r>
      <w:r w:rsidRPr="00311E1B">
        <w:t>进度报告表明，</w:t>
      </w:r>
      <w:r w:rsidR="004907B2">
        <w:rPr>
          <w:rFonts w:hint="eastAsia"/>
        </w:rPr>
        <w:t>一些</w:t>
      </w:r>
      <w:r w:rsidR="004907B2">
        <w:t>行业计划</w:t>
      </w:r>
      <w:r w:rsidR="004907B2">
        <w:rPr>
          <w:rFonts w:hint="eastAsia"/>
        </w:rPr>
        <w:t>没有</w:t>
      </w:r>
      <w:r w:rsidR="00EA0E88">
        <w:rPr>
          <w:rFonts w:hint="eastAsia"/>
        </w:rPr>
        <w:t>兑现</w:t>
      </w:r>
      <w:r w:rsidRPr="00311E1B">
        <w:t>在</w:t>
      </w:r>
      <w:r w:rsidRPr="00311E1B">
        <w:t>2018</w:t>
      </w:r>
      <w:r w:rsidRPr="00311E1B">
        <w:t>年底</w:t>
      </w:r>
      <w:r w:rsidR="004907B2">
        <w:rPr>
          <w:rFonts w:hint="eastAsia"/>
        </w:rPr>
        <w:t>之前</w:t>
      </w:r>
      <w:r w:rsidRPr="00311E1B">
        <w:t>完成所有活动</w:t>
      </w:r>
      <w:r w:rsidR="004907B2">
        <w:rPr>
          <w:rFonts w:hint="eastAsia"/>
        </w:rPr>
        <w:t>的承诺</w:t>
      </w:r>
      <w:r w:rsidRPr="00311E1B">
        <w:t>，</w:t>
      </w:r>
      <w:r w:rsidR="004907B2">
        <w:rPr>
          <w:rFonts w:hint="eastAsia"/>
        </w:rPr>
        <w:t>而且提议把</w:t>
      </w:r>
      <w:r w:rsidRPr="00311E1B">
        <w:t>一些</w:t>
      </w:r>
      <w:r w:rsidR="004907B2">
        <w:rPr>
          <w:rFonts w:hint="eastAsia"/>
        </w:rPr>
        <w:t>行业</w:t>
      </w:r>
      <w:r w:rsidRPr="00311E1B">
        <w:t>计划</w:t>
      </w:r>
      <w:r w:rsidR="00733310">
        <w:rPr>
          <w:rFonts w:hint="eastAsia"/>
        </w:rPr>
        <w:t>延长</w:t>
      </w:r>
      <w:r w:rsidRPr="00311E1B">
        <w:t>至</w:t>
      </w:r>
      <w:r w:rsidRPr="00311E1B">
        <w:t>2020</w:t>
      </w:r>
      <w:r w:rsidRPr="00311E1B">
        <w:t>年（二类加工剂）</w:t>
      </w:r>
      <w:r w:rsidR="00733310">
        <w:rPr>
          <w:rFonts w:hint="eastAsia"/>
        </w:rPr>
        <w:t>和</w:t>
      </w:r>
      <w:r w:rsidRPr="00311E1B">
        <w:t>2022</w:t>
      </w:r>
      <w:r w:rsidRPr="00311E1B">
        <w:t>年（哈龙）。</w:t>
      </w:r>
      <w:r w:rsidR="00733310">
        <w:rPr>
          <w:rFonts w:hint="eastAsia"/>
        </w:rPr>
        <w:t>与会者</w:t>
      </w:r>
      <w:r w:rsidRPr="00311E1B">
        <w:t>还指出，</w:t>
      </w:r>
      <w:r w:rsidR="00733310">
        <w:rPr>
          <w:rFonts w:hint="eastAsia"/>
        </w:rPr>
        <w:t>所有计划完成日期是</w:t>
      </w:r>
      <w:r w:rsidR="00733310">
        <w:rPr>
          <w:rFonts w:hint="eastAsia"/>
        </w:rPr>
        <w:t>2018</w:t>
      </w:r>
      <w:r w:rsidR="00733310">
        <w:rPr>
          <w:rFonts w:hint="eastAsia"/>
        </w:rPr>
        <w:t>年</w:t>
      </w:r>
      <w:r w:rsidR="00733310">
        <w:rPr>
          <w:rFonts w:hint="eastAsia"/>
        </w:rPr>
        <w:t>12</w:t>
      </w:r>
      <w:r w:rsidR="00733310">
        <w:rPr>
          <w:rFonts w:hint="eastAsia"/>
        </w:rPr>
        <w:t>月的行业计划（</w:t>
      </w:r>
      <w:r w:rsidR="00733310" w:rsidRPr="00311E1B">
        <w:t>氟氯化碳生产</w:t>
      </w:r>
      <w:r w:rsidR="00733310">
        <w:rPr>
          <w:rFonts w:hint="eastAsia"/>
        </w:rPr>
        <w:t>、</w:t>
      </w:r>
      <w:r w:rsidR="00733310" w:rsidRPr="00311E1B">
        <w:t>聚氨酯泡沫</w:t>
      </w:r>
      <w:r w:rsidR="00733310">
        <w:rPr>
          <w:rFonts w:hint="eastAsia"/>
        </w:rPr>
        <w:t>塑料、</w:t>
      </w:r>
      <w:r w:rsidR="00733310" w:rsidRPr="00311E1B">
        <w:t>维修</w:t>
      </w:r>
      <w:r w:rsidR="00733310">
        <w:rPr>
          <w:rFonts w:hint="eastAsia"/>
        </w:rPr>
        <w:t>、</w:t>
      </w:r>
      <w:r w:rsidR="00733310" w:rsidRPr="00311E1B">
        <w:t>溶剂</w:t>
      </w:r>
      <w:r w:rsidR="00733310">
        <w:rPr>
          <w:rFonts w:hint="eastAsia"/>
        </w:rPr>
        <w:t>）都有计划在</w:t>
      </w:r>
      <w:r w:rsidR="00733310">
        <w:rPr>
          <w:rFonts w:hint="eastAsia"/>
        </w:rPr>
        <w:t>2019</w:t>
      </w:r>
      <w:r w:rsidR="00733310">
        <w:rPr>
          <w:rFonts w:hint="eastAsia"/>
        </w:rPr>
        <w:t>年发放的余额。在</w:t>
      </w:r>
      <w:r w:rsidR="00733310" w:rsidRPr="00311E1B">
        <w:t>2017</w:t>
      </w:r>
      <w:r w:rsidR="00733310" w:rsidRPr="00311E1B">
        <w:t>年</w:t>
      </w:r>
      <w:r w:rsidR="00733310" w:rsidRPr="00311E1B">
        <w:t>6</w:t>
      </w:r>
      <w:r w:rsidR="00733310" w:rsidRPr="00311E1B">
        <w:t>月</w:t>
      </w:r>
      <w:r w:rsidR="00733310" w:rsidRPr="00311E1B">
        <w:t>30</w:t>
      </w:r>
      <w:r w:rsidR="00733310" w:rsidRPr="00311E1B">
        <w:t>日</w:t>
      </w:r>
      <w:r w:rsidR="00733310">
        <w:rPr>
          <w:rFonts w:hint="eastAsia"/>
        </w:rPr>
        <w:t>的</w:t>
      </w:r>
      <w:r w:rsidR="00733310">
        <w:rPr>
          <w:rFonts w:hint="eastAsia"/>
        </w:rPr>
        <w:t>2</w:t>
      </w:r>
      <w:r w:rsidR="00733310">
        <w:t>,589</w:t>
      </w:r>
      <w:r w:rsidR="00733310">
        <w:rPr>
          <w:rFonts w:hint="eastAsia"/>
        </w:rPr>
        <w:t>万美元余额中，只发放了</w:t>
      </w:r>
      <w:r w:rsidR="00733310" w:rsidRPr="00311E1B">
        <w:t>413 </w:t>
      </w:r>
      <w:r w:rsidR="00733310" w:rsidRPr="00311E1B">
        <w:t>万美元（</w:t>
      </w:r>
      <w:r w:rsidR="00733310" w:rsidRPr="00311E1B">
        <w:t>16</w:t>
      </w:r>
      <w:r w:rsidR="00733310">
        <w:rPr>
          <w:rFonts w:hint="eastAsia"/>
        </w:rPr>
        <w:t>%</w:t>
      </w:r>
      <w:r w:rsidR="00733310" w:rsidRPr="00311E1B">
        <w:t>）</w:t>
      </w:r>
      <w:r w:rsidR="00733310">
        <w:rPr>
          <w:rFonts w:hint="eastAsia"/>
        </w:rPr>
        <w:t>。</w:t>
      </w:r>
      <w:r w:rsidR="00733310" w:rsidRPr="00733310">
        <w:rPr>
          <w:rFonts w:hint="eastAsia"/>
          <w:b/>
          <w:bCs/>
        </w:rPr>
        <w:t>第八十二次会议</w:t>
      </w:r>
      <w:r w:rsidR="00733310">
        <w:rPr>
          <w:rFonts w:hint="eastAsia"/>
        </w:rPr>
        <w:t>上的</w:t>
      </w:r>
      <w:r w:rsidR="00733310">
        <w:rPr>
          <w:rFonts w:hint="eastAsia"/>
        </w:rPr>
        <w:t>2</w:t>
      </w:r>
      <w:r w:rsidR="00733310">
        <w:t>,224</w:t>
      </w:r>
      <w:r w:rsidR="00733310">
        <w:rPr>
          <w:rFonts w:hint="eastAsia"/>
        </w:rPr>
        <w:t>万美元余额依然仅占</w:t>
      </w:r>
      <w:r w:rsidR="00733310">
        <w:rPr>
          <w:rFonts w:hint="eastAsia"/>
        </w:rPr>
        <w:t>2009</w:t>
      </w:r>
      <w:r w:rsidR="00733310">
        <w:rPr>
          <w:rFonts w:hint="eastAsia"/>
        </w:rPr>
        <w:t>年</w:t>
      </w:r>
      <w:r w:rsidR="00733310">
        <w:rPr>
          <w:rFonts w:hint="eastAsia"/>
        </w:rPr>
        <w:t>12</w:t>
      </w:r>
      <w:r w:rsidR="00733310">
        <w:rPr>
          <w:rFonts w:hint="eastAsia"/>
        </w:rPr>
        <w:t>月</w:t>
      </w:r>
      <w:r w:rsidR="00733310">
        <w:rPr>
          <w:rFonts w:hint="eastAsia"/>
        </w:rPr>
        <w:t>31</w:t>
      </w:r>
      <w:r w:rsidR="00733310">
        <w:rPr>
          <w:rFonts w:hint="eastAsia"/>
        </w:rPr>
        <w:t>日可动用的</w:t>
      </w:r>
      <w:r w:rsidR="00733310">
        <w:rPr>
          <w:rFonts w:hint="eastAsia"/>
        </w:rPr>
        <w:t>5</w:t>
      </w:r>
      <w:r w:rsidR="00733310">
        <w:t>,200</w:t>
      </w:r>
      <w:r w:rsidR="00733310">
        <w:rPr>
          <w:rFonts w:hint="eastAsia"/>
        </w:rPr>
        <w:t>万美元总余额的</w:t>
      </w:r>
      <w:r w:rsidR="00733310">
        <w:rPr>
          <w:rFonts w:hint="eastAsia"/>
        </w:rPr>
        <w:t>43%</w:t>
      </w:r>
      <w:r w:rsidR="00733310">
        <w:rPr>
          <w:rFonts w:hint="eastAsia"/>
        </w:rPr>
        <w:t>。</w:t>
      </w:r>
    </w:p>
    <w:p w14:paraId="4A6923BE" w14:textId="04A01E2E" w:rsidR="00311E1B" w:rsidRDefault="00311E1B" w:rsidP="00311E1B">
      <w:pPr>
        <w:numPr>
          <w:ilvl w:val="0"/>
          <w:numId w:val="20"/>
        </w:numPr>
        <w:spacing w:line="259" w:lineRule="auto"/>
        <w:ind w:left="0" w:firstLine="0"/>
        <w:jc w:val="both"/>
      </w:pPr>
      <w:r w:rsidRPr="00311E1B">
        <w:t>中国政府注意到上述各点</w:t>
      </w:r>
      <w:r w:rsidR="00733310">
        <w:rPr>
          <w:rFonts w:hint="eastAsia"/>
        </w:rPr>
        <w:t>意见</w:t>
      </w:r>
      <w:r w:rsidRPr="00311E1B">
        <w:t>，强调没有</w:t>
      </w:r>
      <w:r w:rsidR="00733310">
        <w:rPr>
          <w:rFonts w:hint="eastAsia"/>
        </w:rPr>
        <w:t>任何</w:t>
      </w:r>
      <w:r w:rsidR="00733310" w:rsidRPr="00311E1B">
        <w:t>要求退还资金</w:t>
      </w:r>
      <w:r w:rsidR="00733310">
        <w:rPr>
          <w:rFonts w:hint="eastAsia"/>
        </w:rPr>
        <w:t>的</w:t>
      </w:r>
      <w:r w:rsidRPr="00311E1B">
        <w:t>具体决定或</w:t>
      </w:r>
      <w:r w:rsidR="00733310">
        <w:rPr>
          <w:rFonts w:hint="eastAsia"/>
        </w:rPr>
        <w:t>规定</w:t>
      </w:r>
      <w:r w:rsidRPr="00311E1B">
        <w:t>，</w:t>
      </w:r>
      <w:r w:rsidR="00733310">
        <w:rPr>
          <w:rFonts w:hint="eastAsia"/>
        </w:rPr>
        <w:t>并表示，</w:t>
      </w:r>
      <w:r w:rsidR="00733310" w:rsidRPr="00311E1B">
        <w:t>剩余资金是</w:t>
      </w:r>
      <w:r w:rsidR="00733310">
        <w:rPr>
          <w:rFonts w:hint="eastAsia"/>
        </w:rPr>
        <w:t>为</w:t>
      </w:r>
      <w:r w:rsidRPr="00311E1B">
        <w:t>实现永久和可持续淘汰的总目标</w:t>
      </w:r>
      <w:r w:rsidR="00733310">
        <w:rPr>
          <w:rFonts w:hint="eastAsia"/>
        </w:rPr>
        <w:t>所必需</w:t>
      </w:r>
      <w:r w:rsidRPr="00311E1B">
        <w:t>，并已进行了</w:t>
      </w:r>
      <w:r w:rsidR="00733310" w:rsidRPr="00311E1B">
        <w:t>相应</w:t>
      </w:r>
      <w:r w:rsidRPr="00311E1B">
        <w:t>规划。此外，中国政府表示</w:t>
      </w:r>
      <w:r>
        <w:rPr>
          <w:rFonts w:hint="eastAsia"/>
        </w:rPr>
        <w:t>：</w:t>
      </w:r>
    </w:p>
    <w:p w14:paraId="5FAFBFA7" w14:textId="16342599" w:rsidR="00311E1B" w:rsidRPr="00311E1B" w:rsidRDefault="00311E1B" w:rsidP="007D0585">
      <w:pPr>
        <w:spacing w:line="259" w:lineRule="auto"/>
        <w:ind w:left="980" w:hanging="490"/>
        <w:jc w:val="both"/>
      </w:pPr>
      <w:r w:rsidRPr="00311E1B">
        <w:t>(a)</w:t>
      </w:r>
      <w:r w:rsidR="007D0585">
        <w:tab/>
      </w:r>
      <w:r w:rsidRPr="00311E1B">
        <w:t>氟氯化碳生产</w:t>
      </w:r>
      <w:r w:rsidR="00E2555F">
        <w:rPr>
          <w:rFonts w:hint="eastAsia"/>
        </w:rPr>
        <w:t>、</w:t>
      </w:r>
      <w:r w:rsidRPr="00311E1B">
        <w:t>聚氨酯泡沫塑料</w:t>
      </w:r>
      <w:r w:rsidR="00E2555F">
        <w:rPr>
          <w:rFonts w:hint="eastAsia"/>
        </w:rPr>
        <w:t>、</w:t>
      </w:r>
      <w:r w:rsidRPr="00311E1B">
        <w:t>制冷维修和溶剂行业的所有实质性活动将按计划</w:t>
      </w:r>
      <w:r w:rsidR="00E2555F">
        <w:rPr>
          <w:rFonts w:hint="eastAsia"/>
        </w:rPr>
        <w:t>最迟</w:t>
      </w:r>
      <w:r w:rsidRPr="00311E1B">
        <w:t>在</w:t>
      </w:r>
      <w:r w:rsidRPr="00311E1B">
        <w:t>2018</w:t>
      </w:r>
      <w:r w:rsidRPr="00311E1B">
        <w:t>年</w:t>
      </w:r>
      <w:r w:rsidRPr="00311E1B">
        <w:t>12</w:t>
      </w:r>
      <w:r w:rsidRPr="00311E1B">
        <w:t>月完成，</w:t>
      </w:r>
      <w:r w:rsidR="00E2555F">
        <w:rPr>
          <w:rFonts w:hint="eastAsia"/>
        </w:rPr>
        <w:t>而</w:t>
      </w:r>
      <w:r w:rsidR="00E2555F" w:rsidRPr="00311E1B">
        <w:t>各项活动</w:t>
      </w:r>
      <w:r w:rsidR="00E2555F">
        <w:rPr>
          <w:rFonts w:hint="eastAsia"/>
        </w:rPr>
        <w:t>最迟于</w:t>
      </w:r>
      <w:r w:rsidRPr="00311E1B">
        <w:t>2018</w:t>
      </w:r>
      <w:r w:rsidRPr="00311E1B">
        <w:t>年</w:t>
      </w:r>
      <w:r w:rsidRPr="00311E1B">
        <w:t>12</w:t>
      </w:r>
      <w:r w:rsidRPr="00311E1B">
        <w:t>月圆满完成后</w:t>
      </w:r>
      <w:r w:rsidR="00E2555F">
        <w:rPr>
          <w:rFonts w:hint="eastAsia"/>
        </w:rPr>
        <w:t>，将</w:t>
      </w:r>
      <w:r w:rsidRPr="00311E1B">
        <w:t>于</w:t>
      </w:r>
      <w:r w:rsidRPr="00311E1B">
        <w:t>2019</w:t>
      </w:r>
      <w:r w:rsidRPr="00311E1B">
        <w:t>年</w:t>
      </w:r>
      <w:r w:rsidR="00E2555F">
        <w:rPr>
          <w:rFonts w:hint="eastAsia"/>
        </w:rPr>
        <w:t>发放最后付款</w:t>
      </w:r>
      <w:r w:rsidRPr="00311E1B">
        <w:t>;               </w:t>
      </w:r>
    </w:p>
    <w:p w14:paraId="7458594F" w14:textId="3CD45F47" w:rsidR="00311E1B" w:rsidRPr="00311E1B" w:rsidRDefault="00311E1B" w:rsidP="007D0585">
      <w:pPr>
        <w:spacing w:line="259" w:lineRule="auto"/>
        <w:ind w:left="980" w:hanging="490"/>
        <w:jc w:val="both"/>
      </w:pPr>
      <w:r w:rsidRPr="00311E1B">
        <w:t>(b)</w:t>
      </w:r>
      <w:r w:rsidR="00E2555F">
        <w:tab/>
      </w:r>
      <w:r w:rsidR="00E2555F">
        <w:rPr>
          <w:rFonts w:hint="eastAsia"/>
        </w:rPr>
        <w:t>致使</w:t>
      </w:r>
      <w:r w:rsidRPr="00311E1B">
        <w:t>哈龙行业活动</w:t>
      </w:r>
      <w:r w:rsidR="00E2555F">
        <w:rPr>
          <w:rFonts w:hint="eastAsia"/>
        </w:rPr>
        <w:t>未能</w:t>
      </w:r>
      <w:r w:rsidRPr="00311E1B">
        <w:t>完成的主要原因是，</w:t>
      </w:r>
      <w:r w:rsidR="00E2555F">
        <w:rPr>
          <w:rFonts w:hint="eastAsia"/>
        </w:rPr>
        <w:t xml:space="preserve"> FECO</w:t>
      </w:r>
      <w:r w:rsidR="00E2555F">
        <w:rPr>
          <w:rFonts w:hint="eastAsia"/>
        </w:rPr>
        <w:t>在</w:t>
      </w:r>
      <w:r w:rsidRPr="00311E1B">
        <w:t>2014</w:t>
      </w:r>
      <w:r w:rsidRPr="00311E1B">
        <w:t>至</w:t>
      </w:r>
      <w:r w:rsidRPr="00311E1B">
        <w:t>2018</w:t>
      </w:r>
      <w:r w:rsidRPr="00311E1B">
        <w:t>年</w:t>
      </w:r>
      <w:r w:rsidR="00E2555F">
        <w:rPr>
          <w:rFonts w:hint="eastAsia"/>
        </w:rPr>
        <w:t>期间的工作集中于奠定</w:t>
      </w:r>
      <w:r w:rsidRPr="00311E1B">
        <w:t>基础</w:t>
      </w:r>
      <w:r w:rsidR="00E2555F">
        <w:rPr>
          <w:rFonts w:hint="eastAsia"/>
        </w:rPr>
        <w:t>和</w:t>
      </w:r>
      <w:r w:rsidRPr="00311E1B">
        <w:t>逐步</w:t>
      </w:r>
      <w:r w:rsidR="00E2555F">
        <w:rPr>
          <w:rFonts w:hint="eastAsia"/>
        </w:rPr>
        <w:t>建立</w:t>
      </w:r>
      <w:r w:rsidRPr="00311E1B">
        <w:t>NHRMC </w:t>
      </w:r>
      <w:r w:rsidRPr="00311E1B">
        <w:t>。</w:t>
      </w:r>
      <w:r w:rsidR="00E2555F">
        <w:rPr>
          <w:rFonts w:hint="eastAsia"/>
        </w:rPr>
        <w:t>FECO</w:t>
      </w:r>
      <w:r w:rsidRPr="00311E1B">
        <w:t>总结了哈龙库示范项目（</w:t>
      </w:r>
      <w:r w:rsidRPr="00311E1B">
        <w:t>2008</w:t>
      </w:r>
      <w:r w:rsidR="00E2555F">
        <w:t xml:space="preserve"> – </w:t>
      </w:r>
      <w:r w:rsidRPr="00311E1B">
        <w:t>2013</w:t>
      </w:r>
      <w:r w:rsidRPr="00311E1B">
        <w:t>年）的经验教训，并制定了一项战略计划，在</w:t>
      </w:r>
      <w:r w:rsidRPr="00311E1B">
        <w:t>2014</w:t>
      </w:r>
      <w:r w:rsidRPr="00311E1B">
        <w:t>年建立了哈龙</w:t>
      </w:r>
      <w:r w:rsidR="00E2555F">
        <w:rPr>
          <w:rFonts w:hint="eastAsia"/>
        </w:rPr>
        <w:t>再循环</w:t>
      </w:r>
      <w:r w:rsidRPr="00311E1B">
        <w:t>系统。经过四年的努力，</w:t>
      </w:r>
      <w:r w:rsidRPr="00311E1B">
        <w:t>NHRMC</w:t>
      </w:r>
      <w:r w:rsidR="00E2555F">
        <w:rPr>
          <w:rFonts w:hint="eastAsia"/>
        </w:rPr>
        <w:t>已经</w:t>
      </w:r>
      <w:r w:rsidRPr="00311E1B">
        <w:t>建立并开始</w:t>
      </w:r>
      <w:r w:rsidR="00E2555F">
        <w:rPr>
          <w:rFonts w:hint="eastAsia"/>
        </w:rPr>
        <w:t>运行</w:t>
      </w:r>
      <w:r w:rsidRPr="00311E1B">
        <w:t>；</w:t>
      </w:r>
      <w:r w:rsidRPr="00311E1B">
        <w:t>               </w:t>
      </w:r>
    </w:p>
    <w:p w14:paraId="7C671E43" w14:textId="0B7E4B9F" w:rsidR="00311E1B" w:rsidRPr="00311E1B" w:rsidRDefault="00311E1B" w:rsidP="007D0585">
      <w:pPr>
        <w:spacing w:line="259" w:lineRule="auto"/>
        <w:ind w:left="980" w:hanging="490"/>
        <w:jc w:val="both"/>
      </w:pPr>
      <w:r w:rsidRPr="00311E1B">
        <w:t>(c)</w:t>
      </w:r>
      <w:r w:rsidR="00E2555F">
        <w:tab/>
      </w:r>
      <w:r w:rsidR="00E2555F">
        <w:rPr>
          <w:rFonts w:hint="eastAsia"/>
        </w:rPr>
        <w:t>致使</w:t>
      </w:r>
      <w:r w:rsidRPr="00311E1B">
        <w:t>二类加工剂</w:t>
      </w:r>
      <w:r w:rsidR="004907B2">
        <w:t>行业计划</w:t>
      </w:r>
      <w:r w:rsidR="00E2555F" w:rsidRPr="00311E1B">
        <w:t>未能完成</w:t>
      </w:r>
      <w:r w:rsidRPr="00311E1B">
        <w:t>的主要原因</w:t>
      </w:r>
      <w:r w:rsidR="00E2555F">
        <w:rPr>
          <w:rFonts w:hint="eastAsia"/>
        </w:rPr>
        <w:t>有</w:t>
      </w:r>
      <w:r w:rsidR="00E2555F" w:rsidRPr="00311E1B">
        <w:t>三个</w:t>
      </w:r>
      <w:r w:rsidRPr="00311E1B">
        <w:t>。</w:t>
      </w:r>
      <w:r w:rsidR="00E2555F">
        <w:rPr>
          <w:rFonts w:hint="eastAsia"/>
        </w:rPr>
        <w:t>第一</w:t>
      </w:r>
      <w:r w:rsidRPr="00311E1B">
        <w:t>，由于四氯化碳残留物的处置也受中国危险废物管理</w:t>
      </w:r>
      <w:r w:rsidR="00E2555F">
        <w:rPr>
          <w:rFonts w:hint="eastAsia"/>
        </w:rPr>
        <w:t>制度</w:t>
      </w:r>
      <w:r w:rsidRPr="00311E1B">
        <w:t>的控制，</w:t>
      </w:r>
      <w:r w:rsidR="00E2555F">
        <w:rPr>
          <w:rFonts w:hint="eastAsia"/>
        </w:rPr>
        <w:t>FECO</w:t>
      </w:r>
      <w:r w:rsidRPr="00311E1B">
        <w:t>在项目启动之前首先完成了可行性分析，包括与专家一起对四氯化碳副</w:t>
      </w:r>
      <w:r w:rsidR="00E2555F">
        <w:rPr>
          <w:rFonts w:hint="eastAsia"/>
        </w:rPr>
        <w:t>产品生产厂家</w:t>
      </w:r>
      <w:r w:rsidRPr="00311E1B">
        <w:t>和危险废物处置中心进行实地</w:t>
      </w:r>
      <w:r w:rsidR="00E2555F">
        <w:rPr>
          <w:rFonts w:hint="eastAsia"/>
        </w:rPr>
        <w:t>访问</w:t>
      </w:r>
      <w:r w:rsidRPr="00311E1B">
        <w:t>，并进行了几轮与主要省级</w:t>
      </w:r>
      <w:r w:rsidR="00E2555F">
        <w:rPr>
          <w:rFonts w:hint="eastAsia"/>
        </w:rPr>
        <w:t>生态和环境局之间</w:t>
      </w:r>
      <w:r w:rsidRPr="00311E1B">
        <w:t>的讨论。第二，</w:t>
      </w:r>
      <w:r w:rsidR="00E2555F">
        <w:rPr>
          <w:rFonts w:hint="eastAsia"/>
        </w:rPr>
        <w:t>地方</w:t>
      </w:r>
      <w:r w:rsidR="00E2555F">
        <w:t>生态和环境局</w:t>
      </w:r>
      <w:r w:rsidRPr="00311E1B">
        <w:t>的能力</w:t>
      </w:r>
      <w:r w:rsidR="00E2555F">
        <w:rPr>
          <w:rFonts w:hint="eastAsia"/>
        </w:rPr>
        <w:t>建设</w:t>
      </w:r>
      <w:r w:rsidRPr="00311E1B">
        <w:t>是一个长期项目，要求</w:t>
      </w:r>
      <w:r w:rsidR="00E2555F">
        <w:rPr>
          <w:rFonts w:hint="eastAsia"/>
        </w:rPr>
        <w:t>这些</w:t>
      </w:r>
      <w:r w:rsidR="00E2555F">
        <w:t>生态和环境局</w:t>
      </w:r>
      <w:r w:rsidRPr="00311E1B">
        <w:t>开展大量活动</w:t>
      </w:r>
      <w:r w:rsidR="00D10980">
        <w:rPr>
          <w:rFonts w:hint="eastAsia"/>
        </w:rPr>
        <w:t>和</w:t>
      </w:r>
      <w:r w:rsidRPr="00311E1B">
        <w:t>达到相关的里程碑。最后，</w:t>
      </w:r>
      <w:r w:rsidR="00D10980">
        <w:rPr>
          <w:rFonts w:hint="eastAsia"/>
        </w:rPr>
        <w:t>四氯化碳作为</w:t>
      </w:r>
      <w:r w:rsidR="00A80EFF">
        <w:rPr>
          <w:rFonts w:hint="eastAsia"/>
        </w:rPr>
        <w:t>氯甲烷工厂</w:t>
      </w:r>
      <w:r w:rsidRPr="00311E1B">
        <w:t>的</w:t>
      </w:r>
      <w:r w:rsidR="00A80EFF">
        <w:rPr>
          <w:rFonts w:hint="eastAsia"/>
        </w:rPr>
        <w:t>副产品</w:t>
      </w:r>
      <w:r w:rsidRPr="00311E1B">
        <w:t>将继续</w:t>
      </w:r>
      <w:r w:rsidR="00A80EFF">
        <w:rPr>
          <w:rFonts w:hint="eastAsia"/>
        </w:rPr>
        <w:t>产生</w:t>
      </w:r>
      <w:r w:rsidRPr="00311E1B">
        <w:t>，预计</w:t>
      </w:r>
      <w:r w:rsidR="00A80EFF" w:rsidRPr="00311E1B">
        <w:t>将在</w:t>
      </w:r>
      <w:r w:rsidR="00A80EFF">
        <w:rPr>
          <w:rFonts w:hint="eastAsia"/>
        </w:rPr>
        <w:t>今后</w:t>
      </w:r>
      <w:r w:rsidR="00A80EFF" w:rsidRPr="00311E1B">
        <w:t>继续</w:t>
      </w:r>
      <w:r w:rsidR="00A80EFF">
        <w:rPr>
          <w:rFonts w:hint="eastAsia"/>
        </w:rPr>
        <w:t>被用</w:t>
      </w:r>
      <w:r w:rsidRPr="00311E1B">
        <w:t>作原料。因此，</w:t>
      </w:r>
      <w:r w:rsidR="00A80EFF">
        <w:rPr>
          <w:rFonts w:hint="eastAsia"/>
        </w:rPr>
        <w:t>总是需要对</w:t>
      </w:r>
      <w:r w:rsidR="00A80EFF" w:rsidRPr="00311E1B">
        <w:t>四氯化碳</w:t>
      </w:r>
      <w:r w:rsidR="00A80EFF">
        <w:rPr>
          <w:rFonts w:hint="eastAsia"/>
        </w:rPr>
        <w:t>的生产和使用情况进行长期</w:t>
      </w:r>
      <w:r w:rsidRPr="00311E1B">
        <w:t>持续</w:t>
      </w:r>
      <w:r w:rsidR="00A80EFF">
        <w:rPr>
          <w:rFonts w:hint="eastAsia"/>
        </w:rPr>
        <w:t>监测</w:t>
      </w:r>
      <w:r w:rsidRPr="00311E1B">
        <w:t>。</w:t>
      </w:r>
      <w:r w:rsidR="00A80EFF">
        <w:rPr>
          <w:rFonts w:hint="eastAsia"/>
        </w:rPr>
        <w:t>生态和环境部</w:t>
      </w:r>
      <w:r w:rsidRPr="00311E1B">
        <w:t>有必要改进和完善法规。</w:t>
      </w:r>
      <w:r w:rsidRPr="00311E1B">
        <w:t>                </w:t>
      </w:r>
    </w:p>
    <w:p w14:paraId="1B00E634" w14:textId="1E391B2E" w:rsidR="00311E1B" w:rsidRPr="00311E1B" w:rsidRDefault="00311E1B" w:rsidP="00311E1B">
      <w:pPr>
        <w:numPr>
          <w:ilvl w:val="0"/>
          <w:numId w:val="20"/>
        </w:numPr>
        <w:spacing w:line="259" w:lineRule="auto"/>
        <w:ind w:left="0" w:firstLine="0"/>
        <w:jc w:val="both"/>
      </w:pPr>
      <w:r w:rsidRPr="00311E1B">
        <w:rPr>
          <w:b/>
          <w:bCs/>
        </w:rPr>
        <w:lastRenderedPageBreak/>
        <w:t>提交第八十四次会议的进度报告表明，维修行业的所有活动</w:t>
      </w:r>
      <w:r w:rsidR="009A1865">
        <w:rPr>
          <w:rFonts w:hint="eastAsia"/>
          <w:b/>
          <w:bCs/>
        </w:rPr>
        <w:t>最迟</w:t>
      </w:r>
      <w:r w:rsidRPr="00311E1B">
        <w:rPr>
          <w:b/>
          <w:bCs/>
        </w:rPr>
        <w:t>将</w:t>
      </w:r>
      <w:r w:rsidR="001E0831">
        <w:rPr>
          <w:rFonts w:hint="eastAsia"/>
          <w:b/>
          <w:bCs/>
        </w:rPr>
        <w:t>于</w:t>
      </w:r>
      <w:r w:rsidRPr="00311E1B">
        <w:rPr>
          <w:b/>
          <w:bCs/>
        </w:rPr>
        <w:t>2019</w:t>
      </w:r>
      <w:r w:rsidRPr="00311E1B">
        <w:rPr>
          <w:b/>
          <w:bCs/>
        </w:rPr>
        <w:t>年</w:t>
      </w:r>
      <w:r w:rsidRPr="00311E1B">
        <w:rPr>
          <w:b/>
          <w:bCs/>
        </w:rPr>
        <w:t>10</w:t>
      </w:r>
      <w:r w:rsidRPr="00311E1B">
        <w:rPr>
          <w:b/>
          <w:bCs/>
        </w:rPr>
        <w:t>月完成；氟氯化碳生产</w:t>
      </w:r>
      <w:r w:rsidR="009A1865">
        <w:rPr>
          <w:rFonts w:hint="eastAsia"/>
          <w:b/>
          <w:bCs/>
        </w:rPr>
        <w:t>、</w:t>
      </w:r>
      <w:r w:rsidRPr="00311E1B">
        <w:rPr>
          <w:b/>
          <w:bCs/>
        </w:rPr>
        <w:t>聚氨酯泡沫</w:t>
      </w:r>
      <w:r w:rsidR="009A1865">
        <w:rPr>
          <w:rFonts w:hint="eastAsia"/>
          <w:b/>
          <w:bCs/>
        </w:rPr>
        <w:t>塑料</w:t>
      </w:r>
      <w:r w:rsidRPr="00311E1B">
        <w:rPr>
          <w:b/>
          <w:bCs/>
        </w:rPr>
        <w:t>和溶剂行业</w:t>
      </w:r>
      <w:r w:rsidR="009A1865">
        <w:rPr>
          <w:rFonts w:hint="eastAsia"/>
          <w:b/>
          <w:bCs/>
        </w:rPr>
        <w:t>的所有活动最迟</w:t>
      </w:r>
      <w:r w:rsidRPr="00311E1B">
        <w:rPr>
          <w:b/>
          <w:bCs/>
        </w:rPr>
        <w:t>将于</w:t>
      </w:r>
      <w:r w:rsidRPr="00311E1B">
        <w:rPr>
          <w:b/>
          <w:bCs/>
        </w:rPr>
        <w:t>2019</w:t>
      </w:r>
      <w:r w:rsidRPr="00311E1B">
        <w:rPr>
          <w:b/>
          <w:bCs/>
        </w:rPr>
        <w:t>年</w:t>
      </w:r>
      <w:r w:rsidRPr="00311E1B">
        <w:rPr>
          <w:b/>
          <w:bCs/>
        </w:rPr>
        <w:t>12</w:t>
      </w:r>
      <w:r w:rsidRPr="00311E1B">
        <w:rPr>
          <w:b/>
          <w:bCs/>
        </w:rPr>
        <w:t>月完成</w:t>
      </w:r>
      <w:r w:rsidRPr="00311E1B">
        <w:rPr>
          <w:b/>
          <w:bCs/>
        </w:rPr>
        <w:t>; </w:t>
      </w:r>
      <w:r w:rsidR="009A1865">
        <w:rPr>
          <w:rFonts w:hint="eastAsia"/>
          <w:b/>
          <w:bCs/>
        </w:rPr>
        <w:t>二类</w:t>
      </w:r>
      <w:r w:rsidRPr="00311E1B">
        <w:rPr>
          <w:b/>
          <w:bCs/>
        </w:rPr>
        <w:t>加工剂</w:t>
      </w:r>
      <w:r w:rsidR="009A1865">
        <w:rPr>
          <w:rFonts w:hint="eastAsia"/>
          <w:b/>
          <w:bCs/>
        </w:rPr>
        <w:t>行业的所有活动最迟</w:t>
      </w:r>
      <w:r w:rsidRPr="00311E1B">
        <w:rPr>
          <w:b/>
          <w:bCs/>
        </w:rPr>
        <w:t>将于</w:t>
      </w:r>
      <w:r w:rsidRPr="00311E1B">
        <w:rPr>
          <w:b/>
          <w:bCs/>
        </w:rPr>
        <w:t>2020</w:t>
      </w:r>
      <w:r w:rsidRPr="00311E1B">
        <w:rPr>
          <w:b/>
          <w:bCs/>
        </w:rPr>
        <w:t>年完成</w:t>
      </w:r>
      <w:r w:rsidRPr="00311E1B">
        <w:rPr>
          <w:b/>
          <w:bCs/>
        </w:rPr>
        <w:t>; </w:t>
      </w:r>
      <w:r w:rsidR="009A1865" w:rsidRPr="00311E1B">
        <w:rPr>
          <w:b/>
          <w:bCs/>
        </w:rPr>
        <w:t>哈龙</w:t>
      </w:r>
      <w:r w:rsidR="009A1865">
        <w:rPr>
          <w:rFonts w:hint="eastAsia"/>
          <w:b/>
          <w:bCs/>
        </w:rPr>
        <w:t>行业的活动则最迟将在</w:t>
      </w:r>
      <w:r w:rsidRPr="00311E1B">
        <w:rPr>
          <w:b/>
          <w:bCs/>
        </w:rPr>
        <w:t>2022</w:t>
      </w:r>
      <w:r w:rsidRPr="00311E1B">
        <w:rPr>
          <w:b/>
          <w:bCs/>
        </w:rPr>
        <w:t>年</w:t>
      </w:r>
      <w:r w:rsidR="009A1865">
        <w:rPr>
          <w:rFonts w:hint="eastAsia"/>
          <w:b/>
          <w:bCs/>
        </w:rPr>
        <w:t>全部完成</w:t>
      </w:r>
      <w:r w:rsidRPr="00311E1B">
        <w:rPr>
          <w:b/>
          <w:bCs/>
        </w:rPr>
        <w:t>。</w:t>
      </w:r>
      <w:r w:rsidRPr="00311E1B">
        <w:t>               </w:t>
      </w:r>
    </w:p>
    <w:p w14:paraId="0C8C2818" w14:textId="1B9BEE04" w:rsidR="00311E1B" w:rsidRPr="00311E1B" w:rsidRDefault="00311E1B" w:rsidP="009A1865">
      <w:pPr>
        <w:keepNext/>
        <w:spacing w:line="259" w:lineRule="auto"/>
        <w:jc w:val="both"/>
        <w:rPr>
          <w:u w:val="single"/>
        </w:rPr>
      </w:pPr>
      <w:r w:rsidRPr="00311E1B">
        <w:rPr>
          <w:u w:val="single"/>
        </w:rPr>
        <w:t>提交第</w:t>
      </w:r>
      <w:r w:rsidRPr="001E0831">
        <w:rPr>
          <w:b/>
          <w:bCs/>
          <w:u w:val="single"/>
        </w:rPr>
        <w:t>八十四</w:t>
      </w:r>
      <w:r w:rsidRPr="00311E1B">
        <w:rPr>
          <w:u w:val="single"/>
        </w:rPr>
        <w:t>次会议的最新报告</w:t>
      </w:r>
      <w:r w:rsidR="009A1865">
        <w:rPr>
          <w:rFonts w:hint="eastAsia"/>
          <w:u w:val="single"/>
        </w:rPr>
        <w:t>就</w:t>
      </w:r>
      <w:r w:rsidRPr="00311E1B">
        <w:rPr>
          <w:u w:val="single"/>
        </w:rPr>
        <w:t>总体</w:t>
      </w:r>
      <w:r w:rsidR="009A1865">
        <w:rPr>
          <w:rFonts w:hint="eastAsia"/>
          <w:u w:val="single"/>
        </w:rPr>
        <w:t>进度发表</w:t>
      </w:r>
      <w:r w:rsidRPr="00311E1B">
        <w:rPr>
          <w:u w:val="single"/>
        </w:rPr>
        <w:t>的</w:t>
      </w:r>
      <w:r w:rsidR="009A1865">
        <w:rPr>
          <w:rFonts w:hint="eastAsia"/>
          <w:u w:val="single"/>
        </w:rPr>
        <w:t>更多</w:t>
      </w:r>
      <w:r w:rsidRPr="00311E1B">
        <w:rPr>
          <w:u w:val="single"/>
        </w:rPr>
        <w:t>评论</w:t>
      </w:r>
    </w:p>
    <w:p w14:paraId="77EAD3F7" w14:textId="486678EB" w:rsidR="00311E1B" w:rsidRPr="00311E1B" w:rsidRDefault="004907B2" w:rsidP="009A1865">
      <w:pPr>
        <w:keepNext/>
        <w:spacing w:line="259" w:lineRule="auto"/>
        <w:jc w:val="both"/>
        <w:rPr>
          <w:i/>
          <w:iCs/>
        </w:rPr>
      </w:pPr>
      <w:r w:rsidRPr="009A1865">
        <w:rPr>
          <w:i/>
          <w:iCs/>
        </w:rPr>
        <w:t>行业计划</w:t>
      </w:r>
      <w:r w:rsidR="00311E1B" w:rsidRPr="00311E1B">
        <w:rPr>
          <w:i/>
          <w:iCs/>
        </w:rPr>
        <w:t>的完成日期</w:t>
      </w:r>
    </w:p>
    <w:p w14:paraId="06D2B43A" w14:textId="08C8CA4E" w:rsidR="00311E1B" w:rsidRPr="00311E1B" w:rsidRDefault="009A1865" w:rsidP="00311E1B">
      <w:pPr>
        <w:numPr>
          <w:ilvl w:val="0"/>
          <w:numId w:val="20"/>
        </w:numPr>
        <w:spacing w:line="259" w:lineRule="auto"/>
        <w:ind w:left="0" w:firstLine="0"/>
        <w:jc w:val="both"/>
      </w:pPr>
      <w:r w:rsidRPr="00311E1B">
        <w:t>中国政府</w:t>
      </w:r>
      <w:r w:rsidR="00311E1B" w:rsidRPr="00311E1B">
        <w:t>在</w:t>
      </w:r>
      <w:r>
        <w:rPr>
          <w:rFonts w:hint="eastAsia"/>
        </w:rPr>
        <w:t>第八十二次</w:t>
      </w:r>
      <w:r w:rsidR="00311E1B" w:rsidRPr="00311E1B">
        <w:t>会议上表示，</w:t>
      </w:r>
      <w:r w:rsidR="005E003B" w:rsidRPr="00311E1B">
        <w:t>氟氯化碳生产</w:t>
      </w:r>
      <w:r w:rsidR="005E003B" w:rsidRPr="005E003B">
        <w:t>、</w:t>
      </w:r>
      <w:r w:rsidR="005E003B" w:rsidRPr="00311E1B">
        <w:t>聚氨酯泡沫塑料</w:t>
      </w:r>
      <w:r w:rsidR="005E003B" w:rsidRPr="005E003B">
        <w:t>、</w:t>
      </w:r>
      <w:r w:rsidR="005E003B" w:rsidRPr="00311E1B">
        <w:t>制冷维修和溶剂行业的所有实质性活动将按计划</w:t>
      </w:r>
      <w:r w:rsidR="005E003B" w:rsidRPr="005E003B">
        <w:t>最迟</w:t>
      </w:r>
      <w:r w:rsidR="005E003B" w:rsidRPr="00311E1B">
        <w:t>在</w:t>
      </w:r>
      <w:r w:rsidR="005E003B" w:rsidRPr="00311E1B">
        <w:t>2018</w:t>
      </w:r>
      <w:r w:rsidR="005E003B" w:rsidRPr="00311E1B">
        <w:t>年</w:t>
      </w:r>
      <w:r w:rsidR="005E003B" w:rsidRPr="00311E1B">
        <w:t>12</w:t>
      </w:r>
      <w:r w:rsidR="005E003B" w:rsidRPr="00311E1B">
        <w:t>月完成，</w:t>
      </w:r>
      <w:r w:rsidR="005E003B" w:rsidRPr="005E003B">
        <w:t>而</w:t>
      </w:r>
      <w:r w:rsidR="005E003B" w:rsidRPr="00311E1B">
        <w:t>各项活动</w:t>
      </w:r>
      <w:r w:rsidR="005E003B" w:rsidRPr="005E003B">
        <w:t>最迟于</w:t>
      </w:r>
      <w:r w:rsidR="005E003B" w:rsidRPr="00311E1B">
        <w:t>2018</w:t>
      </w:r>
      <w:r w:rsidR="005E003B" w:rsidRPr="00311E1B">
        <w:t>年</w:t>
      </w:r>
      <w:r w:rsidR="005E003B" w:rsidRPr="00311E1B">
        <w:t>12</w:t>
      </w:r>
      <w:r w:rsidR="005E003B" w:rsidRPr="00311E1B">
        <w:t>月圆满完成后</w:t>
      </w:r>
      <w:r w:rsidR="005E003B" w:rsidRPr="005E003B">
        <w:t>，将</w:t>
      </w:r>
      <w:r w:rsidR="005E003B" w:rsidRPr="00311E1B">
        <w:t>于</w:t>
      </w:r>
      <w:r w:rsidR="005E003B" w:rsidRPr="00311E1B">
        <w:t>2019</w:t>
      </w:r>
      <w:r w:rsidR="005E003B" w:rsidRPr="00311E1B">
        <w:t>年</w:t>
      </w:r>
      <w:r w:rsidR="005E003B" w:rsidRPr="005E003B">
        <w:t>发放</w:t>
      </w:r>
      <w:r w:rsidR="005E003B" w:rsidRPr="005E003B">
        <w:rPr>
          <w:rFonts w:hint="eastAsia"/>
        </w:rPr>
        <w:t>最后付款</w:t>
      </w:r>
      <w:r w:rsidR="005E003B">
        <w:rPr>
          <w:rFonts w:hint="eastAsia"/>
        </w:rPr>
        <w:t>；</w:t>
      </w:r>
      <w:r w:rsidR="00311E1B" w:rsidRPr="00311E1B">
        <w:t>二类加工剂和哈龙行业计划的完成时间分别是</w:t>
      </w:r>
      <w:r w:rsidR="00311E1B" w:rsidRPr="00311E1B">
        <w:t>2020</w:t>
      </w:r>
      <w:r w:rsidR="00311E1B" w:rsidRPr="00311E1B">
        <w:t>年</w:t>
      </w:r>
      <w:r w:rsidR="00311E1B" w:rsidRPr="00311E1B">
        <w:t>12</w:t>
      </w:r>
      <w:r w:rsidR="00311E1B" w:rsidRPr="00311E1B">
        <w:t>月和</w:t>
      </w:r>
      <w:r w:rsidR="00311E1B" w:rsidRPr="00311E1B">
        <w:t>2022</w:t>
      </w:r>
      <w:r w:rsidR="00311E1B" w:rsidRPr="00311E1B">
        <w:t>年</w:t>
      </w:r>
      <w:r w:rsidR="00311E1B" w:rsidRPr="00311E1B">
        <w:t>12</w:t>
      </w:r>
      <w:r w:rsidR="00311E1B" w:rsidRPr="00311E1B">
        <w:t>月。然而，执行委员会没有就</w:t>
      </w:r>
      <w:r w:rsidR="005E003B">
        <w:rPr>
          <w:rFonts w:hint="eastAsia"/>
        </w:rPr>
        <w:t>这个事项</w:t>
      </w:r>
      <w:r w:rsidR="00311E1B" w:rsidRPr="00311E1B">
        <w:t>作出决定，</w:t>
      </w:r>
      <w:r w:rsidR="005E003B">
        <w:rPr>
          <w:rFonts w:hint="eastAsia"/>
        </w:rPr>
        <w:t>而是</w:t>
      </w:r>
      <w:r w:rsidR="00311E1B" w:rsidRPr="00311E1B">
        <w:t>决定</w:t>
      </w:r>
      <w:r w:rsidR="005E003B">
        <w:rPr>
          <w:rFonts w:hint="eastAsia"/>
        </w:rPr>
        <w:t>把</w:t>
      </w:r>
      <w:r w:rsidR="00311E1B" w:rsidRPr="00311E1B">
        <w:t>财务审计报告</w:t>
      </w:r>
      <w:r w:rsidR="005E003B">
        <w:rPr>
          <w:rFonts w:hint="eastAsia"/>
        </w:rPr>
        <w:t>推迟到第</w:t>
      </w:r>
      <w:r w:rsidR="00311E1B" w:rsidRPr="00311E1B">
        <w:t>八十三</w:t>
      </w:r>
      <w:r w:rsidR="00311E1B" w:rsidRPr="00311E1B">
        <w:rPr>
          <w:b/>
          <w:bCs/>
        </w:rPr>
        <w:t>和八十四次</w:t>
      </w:r>
      <w:r w:rsidR="00311E1B" w:rsidRPr="00311E1B">
        <w:t>会议</w:t>
      </w:r>
      <w:r w:rsidR="005E003B">
        <w:rPr>
          <w:rFonts w:hint="eastAsia"/>
        </w:rPr>
        <w:t>审议</w:t>
      </w:r>
      <w:r w:rsidR="00311E1B" w:rsidRPr="00311E1B">
        <w:t>（</w:t>
      </w:r>
      <w:r w:rsidR="005E003B">
        <w:rPr>
          <w:rFonts w:hint="eastAsia"/>
        </w:rPr>
        <w:t>第</w:t>
      </w:r>
      <w:r w:rsidR="005E003B" w:rsidRPr="005E003B">
        <w:rPr>
          <w:lang w:val="en-CA"/>
        </w:rPr>
        <w:t>82/17</w:t>
      </w:r>
      <w:r w:rsidR="005E003B">
        <w:rPr>
          <w:rFonts w:hint="eastAsia"/>
          <w:b/>
          <w:lang w:val="en-CA"/>
        </w:rPr>
        <w:t>和第</w:t>
      </w:r>
      <w:r w:rsidR="005E003B" w:rsidRPr="005E003B">
        <w:rPr>
          <w:b/>
          <w:lang w:val="en-CA"/>
        </w:rPr>
        <w:t>83/42</w:t>
      </w:r>
      <w:r w:rsidR="005E003B">
        <w:rPr>
          <w:rFonts w:hint="eastAsia"/>
          <w:b/>
          <w:lang w:val="en-CA"/>
        </w:rPr>
        <w:t>号决定</w:t>
      </w:r>
      <w:r w:rsidR="00311E1B" w:rsidRPr="00311E1B">
        <w:t>）。</w:t>
      </w:r>
      <w:r w:rsidR="005E003B">
        <w:rPr>
          <w:rFonts w:hint="eastAsia"/>
        </w:rPr>
        <w:t>最新资料显示</w:t>
      </w:r>
      <w:r w:rsidR="00311E1B" w:rsidRPr="00311E1B">
        <w:t>，</w:t>
      </w:r>
      <w:r w:rsidR="005E003B">
        <w:rPr>
          <w:rFonts w:hint="eastAsia"/>
        </w:rPr>
        <w:t>由于所有行业计划都</w:t>
      </w:r>
      <w:r w:rsidR="0048173A">
        <w:rPr>
          <w:rFonts w:hint="eastAsia"/>
        </w:rPr>
        <w:t>正</w:t>
      </w:r>
      <w:r w:rsidR="005E003B" w:rsidRPr="00311E1B">
        <w:t>在进行</w:t>
      </w:r>
      <w:r w:rsidR="005E003B">
        <w:rPr>
          <w:rFonts w:hint="eastAsia"/>
        </w:rPr>
        <w:t>更多的活动或计划</w:t>
      </w:r>
      <w:r w:rsidR="005E003B" w:rsidRPr="00311E1B">
        <w:t>在</w:t>
      </w:r>
      <w:r w:rsidR="005E003B" w:rsidRPr="00311E1B">
        <w:t>2019</w:t>
      </w:r>
      <w:r w:rsidR="005E003B" w:rsidRPr="00311E1B">
        <w:t>年</w:t>
      </w:r>
      <w:r w:rsidR="005E003B">
        <w:rPr>
          <w:rFonts w:hint="eastAsia"/>
        </w:rPr>
        <w:t>开展更多的</w:t>
      </w:r>
      <w:r w:rsidR="005E003B" w:rsidRPr="00311E1B">
        <w:t>活动</w:t>
      </w:r>
      <w:r w:rsidR="005E003B">
        <w:rPr>
          <w:rFonts w:hint="eastAsia"/>
        </w:rPr>
        <w:t>，没有任何</w:t>
      </w:r>
      <w:r w:rsidR="00311E1B" w:rsidRPr="00311E1B">
        <w:t>行业计划在</w:t>
      </w:r>
      <w:r w:rsidR="00311E1B" w:rsidRPr="00311E1B">
        <w:t>2018</w:t>
      </w:r>
      <w:r w:rsidR="00311E1B" w:rsidRPr="00311E1B">
        <w:t>年</w:t>
      </w:r>
      <w:r w:rsidR="00311E1B" w:rsidRPr="00311E1B">
        <w:t>12</w:t>
      </w:r>
      <w:r w:rsidR="00311E1B" w:rsidRPr="00311E1B">
        <w:t>月完成。</w:t>
      </w:r>
      <w:r w:rsidR="00311E1B" w:rsidRPr="00311E1B">
        <w:t>                   </w:t>
      </w:r>
    </w:p>
    <w:p w14:paraId="5C58D488" w14:textId="56263E92" w:rsidR="00311E1B" w:rsidRPr="00311E1B" w:rsidRDefault="00311E1B" w:rsidP="00311E1B">
      <w:pPr>
        <w:numPr>
          <w:ilvl w:val="0"/>
          <w:numId w:val="20"/>
        </w:numPr>
        <w:spacing w:line="259" w:lineRule="auto"/>
        <w:ind w:left="0" w:firstLine="0"/>
        <w:jc w:val="both"/>
      </w:pPr>
      <w:r w:rsidRPr="00311E1B">
        <w:t>秘书处注意到执行委员会</w:t>
      </w:r>
      <w:r w:rsidR="0048173A">
        <w:rPr>
          <w:rFonts w:hint="eastAsia"/>
        </w:rPr>
        <w:t>没有</w:t>
      </w:r>
      <w:r w:rsidRPr="00311E1B">
        <w:t>决定将项目延长至</w:t>
      </w:r>
      <w:r w:rsidRPr="00311E1B">
        <w:t>2018</w:t>
      </w:r>
      <w:r w:rsidRPr="00311E1B">
        <w:t>年</w:t>
      </w:r>
      <w:r w:rsidRPr="00311E1B">
        <w:t>12</w:t>
      </w:r>
      <w:r w:rsidRPr="00311E1B">
        <w:t>月以后，认为</w:t>
      </w:r>
      <w:r w:rsidR="0048173A">
        <w:rPr>
          <w:rFonts w:hint="eastAsia"/>
        </w:rPr>
        <w:t>不应在</w:t>
      </w:r>
      <w:r w:rsidRPr="00311E1B">
        <w:t>2019</w:t>
      </w:r>
      <w:r w:rsidRPr="00311E1B">
        <w:t>年</w:t>
      </w:r>
      <w:r w:rsidR="0048173A">
        <w:rPr>
          <w:rFonts w:hint="eastAsia"/>
        </w:rPr>
        <w:t>进行</w:t>
      </w:r>
      <w:r w:rsidRPr="00311E1B">
        <w:t>任何活动。中国政府认为，</w:t>
      </w:r>
      <w:r w:rsidR="0048173A" w:rsidRPr="00311E1B">
        <w:t>从</w:t>
      </w:r>
      <w:r w:rsidR="0048173A">
        <w:rPr>
          <w:rFonts w:hint="eastAsia"/>
        </w:rPr>
        <w:t>执委会</w:t>
      </w:r>
      <w:r w:rsidR="0048173A" w:rsidRPr="00311E1B">
        <w:t>的角度来看，</w:t>
      </w:r>
      <w:r w:rsidR="0048173A">
        <w:rPr>
          <w:rFonts w:hint="eastAsia"/>
        </w:rPr>
        <w:t>无法</w:t>
      </w:r>
      <w:r w:rsidR="001E0831">
        <w:rPr>
          <w:rFonts w:hint="eastAsia"/>
        </w:rPr>
        <w:t>断定</w:t>
      </w:r>
      <w:r w:rsidRPr="00311E1B">
        <w:t>不应</w:t>
      </w:r>
      <w:r w:rsidR="0048173A">
        <w:rPr>
          <w:rFonts w:hint="eastAsia"/>
        </w:rPr>
        <w:t>在</w:t>
      </w:r>
      <w:r w:rsidR="0048173A">
        <w:rPr>
          <w:rFonts w:hint="eastAsia"/>
        </w:rPr>
        <w:t>2019</w:t>
      </w:r>
      <w:r w:rsidR="0048173A">
        <w:rPr>
          <w:rFonts w:hint="eastAsia"/>
        </w:rPr>
        <w:t>年</w:t>
      </w:r>
      <w:r w:rsidRPr="00311E1B">
        <w:t>进行</w:t>
      </w:r>
      <w:r w:rsidR="0048173A">
        <w:rPr>
          <w:rFonts w:hint="eastAsia"/>
        </w:rPr>
        <w:t>任何</w:t>
      </w:r>
      <w:r w:rsidRPr="00311E1B">
        <w:t>其他活动的评估</w:t>
      </w:r>
      <w:r w:rsidR="0048173A">
        <w:rPr>
          <w:rFonts w:hint="eastAsia"/>
        </w:rPr>
        <w:t>意</w:t>
      </w:r>
      <w:r w:rsidR="001E0831">
        <w:rPr>
          <w:rFonts w:hint="eastAsia"/>
        </w:rPr>
        <w:t>是否正确</w:t>
      </w:r>
      <w:r w:rsidRPr="00311E1B">
        <w:t>。</w:t>
      </w:r>
      <w:r w:rsidRPr="00311E1B">
        <w:t>               </w:t>
      </w:r>
    </w:p>
    <w:p w14:paraId="56DE5FD7" w14:textId="70094F0C" w:rsidR="00311E1B" w:rsidRPr="00311E1B" w:rsidRDefault="00311E1B" w:rsidP="00311E1B">
      <w:pPr>
        <w:numPr>
          <w:ilvl w:val="0"/>
          <w:numId w:val="20"/>
        </w:numPr>
        <w:spacing w:line="259" w:lineRule="auto"/>
        <w:ind w:left="0" w:firstLine="0"/>
        <w:jc w:val="both"/>
      </w:pPr>
      <w:r w:rsidRPr="00311E1B">
        <w:t>中国政府</w:t>
      </w:r>
      <w:r w:rsidR="0048173A">
        <w:rPr>
          <w:rFonts w:hint="eastAsia"/>
        </w:rPr>
        <w:t>提议</w:t>
      </w:r>
      <w:r w:rsidRPr="00311E1B">
        <w:t>的</w:t>
      </w:r>
      <w:r w:rsidR="0048173A">
        <w:rPr>
          <w:rFonts w:hint="eastAsia"/>
        </w:rPr>
        <w:t>最新完成日期是：</w:t>
      </w:r>
      <w:r w:rsidR="0048173A" w:rsidRPr="0048173A">
        <w:rPr>
          <w:rFonts w:hint="eastAsia"/>
          <w:b/>
          <w:bCs/>
        </w:rPr>
        <w:t>维修业</w:t>
      </w:r>
      <w:r w:rsidRPr="0048173A">
        <w:rPr>
          <w:b/>
          <w:bCs/>
        </w:rPr>
        <w:t>是</w:t>
      </w:r>
      <w:r w:rsidRPr="00311E1B">
        <w:rPr>
          <w:b/>
          <w:bCs/>
        </w:rPr>
        <w:t>2019</w:t>
      </w:r>
      <w:r w:rsidRPr="00311E1B">
        <w:rPr>
          <w:b/>
          <w:bCs/>
        </w:rPr>
        <w:t>年</w:t>
      </w:r>
      <w:r w:rsidRPr="00311E1B">
        <w:rPr>
          <w:b/>
          <w:bCs/>
        </w:rPr>
        <w:t>10</w:t>
      </w:r>
      <w:r w:rsidRPr="00311E1B">
        <w:rPr>
          <w:b/>
          <w:bCs/>
        </w:rPr>
        <w:t>月；</w:t>
      </w:r>
      <w:r w:rsidRPr="00311E1B">
        <w:t>氟氯化碳生产</w:t>
      </w:r>
      <w:r w:rsidR="0048173A">
        <w:rPr>
          <w:rFonts w:hint="eastAsia"/>
        </w:rPr>
        <w:t>、</w:t>
      </w:r>
      <w:r w:rsidRPr="00311E1B">
        <w:t>聚氨酯泡沫</w:t>
      </w:r>
      <w:r w:rsidR="0048173A">
        <w:rPr>
          <w:rFonts w:hint="eastAsia"/>
        </w:rPr>
        <w:t>塑料、</w:t>
      </w:r>
      <w:r w:rsidRPr="00311E1B">
        <w:t>制冷维修和溶剂行业</w:t>
      </w:r>
      <w:r w:rsidR="0048173A">
        <w:rPr>
          <w:rFonts w:hint="eastAsia"/>
        </w:rPr>
        <w:t>是</w:t>
      </w:r>
      <w:r w:rsidR="0048173A" w:rsidRPr="00311E1B">
        <w:t>2019</w:t>
      </w:r>
      <w:r w:rsidR="0048173A" w:rsidRPr="00311E1B">
        <w:t>年</w:t>
      </w:r>
      <w:r w:rsidR="0048173A" w:rsidRPr="00311E1B">
        <w:rPr>
          <w:b/>
          <w:bCs/>
        </w:rPr>
        <w:t>12</w:t>
      </w:r>
      <w:r w:rsidR="0048173A" w:rsidRPr="00311E1B">
        <w:rPr>
          <w:b/>
          <w:bCs/>
        </w:rPr>
        <w:t>月</w:t>
      </w:r>
      <w:r w:rsidR="0048173A">
        <w:rPr>
          <w:rFonts w:hint="eastAsia"/>
        </w:rPr>
        <w:t>；二类加工剂是</w:t>
      </w:r>
      <w:r w:rsidRPr="00311E1B">
        <w:t>2020</w:t>
      </w:r>
      <w:r w:rsidRPr="00311E1B">
        <w:t>年</w:t>
      </w:r>
      <w:r w:rsidRPr="00311E1B">
        <w:t>12</w:t>
      </w:r>
      <w:r w:rsidRPr="00311E1B">
        <w:t>月</w:t>
      </w:r>
      <w:r w:rsidR="0048173A">
        <w:rPr>
          <w:rFonts w:hint="eastAsia"/>
        </w:rPr>
        <w:t>；</w:t>
      </w:r>
      <w:r w:rsidRPr="00311E1B">
        <w:t>哈龙行业计划</w:t>
      </w:r>
      <w:r w:rsidR="0048173A">
        <w:rPr>
          <w:rFonts w:hint="eastAsia"/>
        </w:rPr>
        <w:t>是</w:t>
      </w:r>
      <w:r w:rsidRPr="00311E1B">
        <w:t>2022</w:t>
      </w:r>
      <w:r w:rsidRPr="00311E1B">
        <w:t>年</w:t>
      </w:r>
      <w:r w:rsidRPr="00311E1B">
        <w:t>12</w:t>
      </w:r>
      <w:r w:rsidRPr="00311E1B">
        <w:t>月。</w:t>
      </w:r>
      <w:r w:rsidRPr="00311E1B">
        <w:t>               </w:t>
      </w:r>
    </w:p>
    <w:p w14:paraId="2C0F8D4E" w14:textId="5F62CB10" w:rsidR="00311E1B" w:rsidRPr="0048173A" w:rsidRDefault="00402E08" w:rsidP="0048173A">
      <w:pPr>
        <w:keepNext/>
        <w:spacing w:line="259" w:lineRule="auto"/>
        <w:jc w:val="both"/>
        <w:rPr>
          <w:i/>
          <w:iCs/>
        </w:rPr>
      </w:pPr>
      <w:r>
        <w:rPr>
          <w:rFonts w:hint="eastAsia"/>
          <w:i/>
          <w:iCs/>
        </w:rPr>
        <w:t>把</w:t>
      </w:r>
      <w:r w:rsidRPr="00311E1B">
        <w:rPr>
          <w:i/>
          <w:iCs/>
        </w:rPr>
        <w:t>几个</w:t>
      </w:r>
      <w:r>
        <w:rPr>
          <w:rFonts w:hint="eastAsia"/>
          <w:i/>
          <w:iCs/>
        </w:rPr>
        <w:t>行业</w:t>
      </w:r>
      <w:r w:rsidRPr="00311E1B">
        <w:rPr>
          <w:i/>
          <w:iCs/>
        </w:rPr>
        <w:t>的资金</w:t>
      </w:r>
      <w:r>
        <w:rPr>
          <w:rFonts w:hint="eastAsia"/>
          <w:i/>
          <w:iCs/>
        </w:rPr>
        <w:t>用于</w:t>
      </w:r>
      <w:r w:rsidR="001E0831">
        <w:rPr>
          <w:rFonts w:hint="eastAsia"/>
          <w:i/>
          <w:iCs/>
        </w:rPr>
        <w:t>共同</w:t>
      </w:r>
      <w:r w:rsidR="009D2B6E">
        <w:rPr>
          <w:rFonts w:hint="eastAsia"/>
          <w:i/>
          <w:iCs/>
        </w:rPr>
        <w:t>的</w:t>
      </w:r>
      <w:r w:rsidR="00311E1B" w:rsidRPr="00311E1B">
        <w:rPr>
          <w:i/>
          <w:iCs/>
        </w:rPr>
        <w:t>活动</w:t>
      </w:r>
    </w:p>
    <w:p w14:paraId="73DB3BAF" w14:textId="6BD541E5" w:rsidR="009D2B6E" w:rsidRDefault="009D2B6E" w:rsidP="00311E1B">
      <w:pPr>
        <w:numPr>
          <w:ilvl w:val="0"/>
          <w:numId w:val="20"/>
        </w:numPr>
        <w:spacing w:line="259" w:lineRule="auto"/>
        <w:ind w:left="0" w:firstLine="0"/>
        <w:jc w:val="both"/>
      </w:pPr>
      <w:r>
        <w:rPr>
          <w:rFonts w:hint="eastAsia"/>
        </w:rPr>
        <w:t>还有人</w:t>
      </w:r>
      <w:r w:rsidR="00311E1B" w:rsidRPr="009D2B6E">
        <w:t>指出</w:t>
      </w:r>
      <w:r w:rsidR="00311E1B" w:rsidRPr="00311E1B">
        <w:t>，</w:t>
      </w:r>
      <w:r>
        <w:rPr>
          <w:rFonts w:hint="eastAsia"/>
        </w:rPr>
        <w:t>一些行业</w:t>
      </w:r>
      <w:r w:rsidR="00311E1B" w:rsidRPr="00311E1B">
        <w:t>的</w:t>
      </w:r>
      <w:r>
        <w:rPr>
          <w:rFonts w:hint="eastAsia"/>
        </w:rPr>
        <w:t>部分资金</w:t>
      </w:r>
      <w:r w:rsidR="00311E1B" w:rsidRPr="00311E1B">
        <w:t>余额</w:t>
      </w:r>
      <w:r>
        <w:rPr>
          <w:rFonts w:hint="eastAsia"/>
        </w:rPr>
        <w:t>正</w:t>
      </w:r>
      <w:r w:rsidR="00311E1B" w:rsidRPr="00311E1B">
        <w:t>被分配</w:t>
      </w:r>
      <w:r>
        <w:rPr>
          <w:rFonts w:hint="eastAsia"/>
        </w:rPr>
        <w:t>给一些</w:t>
      </w:r>
      <w:r w:rsidR="001E0831">
        <w:rPr>
          <w:rFonts w:hint="eastAsia"/>
        </w:rPr>
        <w:t>共同</w:t>
      </w:r>
      <w:r>
        <w:rPr>
          <w:rFonts w:hint="eastAsia"/>
        </w:rPr>
        <w:t>领域的活动</w:t>
      </w:r>
      <w:r w:rsidRPr="00311E1B">
        <w:t>（例如</w:t>
      </w:r>
      <w:r>
        <w:rPr>
          <w:rFonts w:hint="eastAsia"/>
        </w:rPr>
        <w:t>购置</w:t>
      </w:r>
      <w:r>
        <w:rPr>
          <w:rFonts w:hint="eastAsia"/>
        </w:rPr>
        <w:t>ODS</w:t>
      </w:r>
      <w:r w:rsidRPr="00311E1B">
        <w:t>识别</w:t>
      </w:r>
      <w:r>
        <w:rPr>
          <w:rFonts w:hint="eastAsia"/>
        </w:rPr>
        <w:t>装置、向</w:t>
      </w:r>
      <w:r w:rsidRPr="00311E1B">
        <w:t>海关</w:t>
      </w:r>
      <w:r>
        <w:rPr>
          <w:rFonts w:hint="eastAsia"/>
        </w:rPr>
        <w:t>提供援助、对维修厂进行监测、</w:t>
      </w:r>
      <w:r w:rsidRPr="001E0831">
        <w:rPr>
          <w:rFonts w:hint="eastAsia"/>
        </w:rPr>
        <w:t>把对</w:t>
      </w:r>
      <w:r w:rsidRPr="001E0831">
        <w:t>所有</w:t>
      </w:r>
      <w:r w:rsidRPr="001E0831">
        <w:rPr>
          <w:rFonts w:hint="eastAsia"/>
        </w:rPr>
        <w:t>行业</w:t>
      </w:r>
      <w:r w:rsidR="001E0831">
        <w:rPr>
          <w:rFonts w:hint="eastAsia"/>
        </w:rPr>
        <w:t>进行</w:t>
      </w:r>
      <w:r w:rsidRPr="001E0831">
        <w:rPr>
          <w:rFonts w:hint="eastAsia"/>
        </w:rPr>
        <w:t>技术审计</w:t>
      </w:r>
      <w:r w:rsidR="001E0831">
        <w:rPr>
          <w:rFonts w:hint="eastAsia"/>
        </w:rPr>
        <w:t>改为仅对</w:t>
      </w:r>
      <w:r w:rsidR="001E0831" w:rsidRPr="001E0831">
        <w:t>氟氯化碳生产</w:t>
      </w:r>
      <w:r w:rsidRPr="001E0831">
        <w:rPr>
          <w:rFonts w:hint="eastAsia"/>
        </w:rPr>
        <w:t>一个行业</w:t>
      </w:r>
      <w:r w:rsidR="001E0831">
        <w:rPr>
          <w:rFonts w:hint="eastAsia"/>
        </w:rPr>
        <w:t>进行技术审计</w:t>
      </w:r>
      <w:r w:rsidRPr="001E0831">
        <w:rPr>
          <w:rFonts w:hint="eastAsia"/>
        </w:rPr>
        <w:t>的费用</w:t>
      </w:r>
      <w:r w:rsidRPr="00311E1B">
        <w:t>）</w:t>
      </w:r>
      <w:r>
        <w:rPr>
          <w:rFonts w:hint="eastAsia"/>
        </w:rPr>
        <w:t>，这些领域涉及对各项计划进行总体</w:t>
      </w:r>
      <w:r w:rsidR="00311E1B" w:rsidRPr="00311E1B">
        <w:t>监测。中国政府表示，</w:t>
      </w:r>
      <w:r>
        <w:rPr>
          <w:rFonts w:hint="eastAsia"/>
        </w:rPr>
        <w:t>的确正将一些</w:t>
      </w:r>
      <w:r w:rsidR="009C5A12">
        <w:rPr>
          <w:rFonts w:hint="eastAsia"/>
        </w:rPr>
        <w:t>资金余额分配给这种类型的活动，因为执委会和秘书处发出强烈</w:t>
      </w:r>
      <w:r w:rsidR="001E0831">
        <w:rPr>
          <w:rFonts w:hint="eastAsia"/>
        </w:rPr>
        <w:t>信号</w:t>
      </w:r>
      <w:r w:rsidR="009C5A12">
        <w:rPr>
          <w:rFonts w:hint="eastAsia"/>
        </w:rPr>
        <w:t>，</w:t>
      </w:r>
      <w:r w:rsidR="001E0831">
        <w:rPr>
          <w:rFonts w:hint="eastAsia"/>
        </w:rPr>
        <w:t>标识</w:t>
      </w:r>
      <w:r w:rsidR="009C5A12">
        <w:rPr>
          <w:rFonts w:hint="eastAsia"/>
        </w:rPr>
        <w:t>不应把余额用于个别行业计划的狭隘</w:t>
      </w:r>
      <w:r w:rsidR="001E0831">
        <w:rPr>
          <w:rFonts w:hint="eastAsia"/>
        </w:rPr>
        <w:t>重点</w:t>
      </w:r>
      <w:r w:rsidR="009C5A12">
        <w:rPr>
          <w:rFonts w:hint="eastAsia"/>
        </w:rPr>
        <w:t>，而是将其用于进行监测，从而确保可持续的</w:t>
      </w:r>
      <w:r w:rsidR="009C5A12">
        <w:rPr>
          <w:rFonts w:hint="eastAsia"/>
        </w:rPr>
        <w:t>ODS</w:t>
      </w:r>
      <w:r w:rsidR="009C5A12">
        <w:rPr>
          <w:rFonts w:hint="eastAsia"/>
        </w:rPr>
        <w:t>淘汰，尤其是可持续的</w:t>
      </w:r>
      <w:r w:rsidR="009C5A12">
        <w:rPr>
          <w:rFonts w:hint="eastAsia"/>
        </w:rPr>
        <w:t>CFC-11</w:t>
      </w:r>
      <w:r w:rsidR="009C5A12">
        <w:rPr>
          <w:rFonts w:hint="eastAsia"/>
        </w:rPr>
        <w:t>淘汰。</w:t>
      </w:r>
    </w:p>
    <w:p w14:paraId="5986F808" w14:textId="5882E1C9" w:rsidR="00311E1B" w:rsidRPr="00311E1B" w:rsidRDefault="00E2555F" w:rsidP="00311E1B">
      <w:pPr>
        <w:numPr>
          <w:ilvl w:val="0"/>
          <w:numId w:val="20"/>
        </w:numPr>
        <w:spacing w:line="259" w:lineRule="auto"/>
        <w:ind w:left="0" w:firstLine="0"/>
        <w:jc w:val="both"/>
      </w:pPr>
      <w:r>
        <w:t>生态和环境局</w:t>
      </w:r>
      <w:r w:rsidR="00311E1B" w:rsidRPr="00311E1B">
        <w:t>的能力建设</w:t>
      </w:r>
      <w:r w:rsidR="001E0831">
        <w:rPr>
          <w:rFonts w:hint="eastAsia"/>
        </w:rPr>
        <w:t>涉及</w:t>
      </w:r>
      <w:r w:rsidR="009C5A12">
        <w:rPr>
          <w:rFonts w:hint="eastAsia"/>
        </w:rPr>
        <w:t>若干行业</w:t>
      </w:r>
      <w:r w:rsidR="00311E1B" w:rsidRPr="00311E1B">
        <w:t>，并且</w:t>
      </w:r>
      <w:r w:rsidR="001E0831">
        <w:rPr>
          <w:rFonts w:hint="eastAsia"/>
        </w:rPr>
        <w:t>都</w:t>
      </w:r>
      <w:r w:rsidR="00311E1B" w:rsidRPr="00311E1B">
        <w:t>已基本完成</w:t>
      </w:r>
      <w:r w:rsidR="009C5A12">
        <w:rPr>
          <w:rFonts w:hint="eastAsia"/>
        </w:rPr>
        <w:t>。</w:t>
      </w:r>
      <w:r w:rsidR="00311E1B" w:rsidRPr="00311E1B">
        <w:t>中国政府提供了</w:t>
      </w:r>
      <w:r w:rsidR="009C5A12">
        <w:rPr>
          <w:rFonts w:hint="eastAsia"/>
        </w:rPr>
        <w:t>一份</w:t>
      </w:r>
      <w:r w:rsidR="009C5A12" w:rsidRPr="00311E1B">
        <w:t>总体</w:t>
      </w:r>
      <w:r w:rsidR="009C5A12">
        <w:rPr>
          <w:rFonts w:hint="eastAsia"/>
        </w:rPr>
        <w:t>概述，介绍了</w:t>
      </w:r>
      <w:r w:rsidR="00311E1B" w:rsidRPr="00311E1B">
        <w:t>多年来提供的援助和取得的成果。过去五年</w:t>
      </w:r>
      <w:r w:rsidR="009C5A12">
        <w:rPr>
          <w:rFonts w:hint="eastAsia"/>
        </w:rPr>
        <w:t>里</w:t>
      </w:r>
      <w:r w:rsidR="00311E1B" w:rsidRPr="00311E1B">
        <w:t>共有</w:t>
      </w:r>
      <w:r w:rsidR="00311E1B" w:rsidRPr="00311E1B">
        <w:t>31</w:t>
      </w:r>
      <w:r w:rsidR="00311E1B" w:rsidRPr="00311E1B">
        <w:t>个</w:t>
      </w:r>
      <w:r>
        <w:t>生态和环境局</w:t>
      </w:r>
      <w:r w:rsidR="00311E1B" w:rsidRPr="00311E1B">
        <w:t>参与了</w:t>
      </w:r>
      <w:r w:rsidR="00311E1B" w:rsidRPr="00311E1B">
        <w:t>ODS</w:t>
      </w:r>
      <w:r w:rsidR="00311E1B" w:rsidRPr="00311E1B">
        <w:t>能力建设项目，分别</w:t>
      </w:r>
      <w:r w:rsidR="00774013">
        <w:rPr>
          <w:rFonts w:hint="eastAsia"/>
        </w:rPr>
        <w:t>是在以下行业计划之下参加的：</w:t>
      </w:r>
      <w:r w:rsidR="00311E1B" w:rsidRPr="00311E1B">
        <w:t>聚氨酯泡沫塑料行业计划（</w:t>
      </w:r>
      <w:r w:rsidR="00311E1B" w:rsidRPr="00311E1B">
        <w:t>11</w:t>
      </w:r>
      <w:r w:rsidR="00311E1B" w:rsidRPr="00311E1B">
        <w:t>个</w:t>
      </w:r>
      <w:r>
        <w:t>生态和环境局</w:t>
      </w:r>
      <w:r w:rsidR="00311E1B" w:rsidRPr="00311E1B">
        <w:t>，</w:t>
      </w:r>
      <w:r w:rsidR="00311E1B" w:rsidRPr="00311E1B">
        <w:t>2,900,000</w:t>
      </w:r>
      <w:r w:rsidR="00311E1B" w:rsidRPr="00311E1B">
        <w:t>美元）</w:t>
      </w:r>
      <w:r w:rsidR="00774013">
        <w:rPr>
          <w:rFonts w:hint="eastAsia"/>
        </w:rPr>
        <w:t>、二类</w:t>
      </w:r>
      <w:r w:rsidR="00311E1B" w:rsidRPr="00311E1B">
        <w:t>加工剂行业计划（</w:t>
      </w:r>
      <w:r w:rsidR="00774013">
        <w:rPr>
          <w:rFonts w:hint="eastAsia"/>
        </w:rPr>
        <w:t>6</w:t>
      </w:r>
      <w:r w:rsidR="00311E1B" w:rsidRPr="00311E1B">
        <w:t>个</w:t>
      </w:r>
      <w:r>
        <w:t>生态和环境局</w:t>
      </w:r>
      <w:r w:rsidR="00311E1B" w:rsidRPr="00311E1B">
        <w:t>，</w:t>
      </w:r>
      <w:r w:rsidR="00311E1B" w:rsidRPr="00311E1B">
        <w:t>2,800,000</w:t>
      </w:r>
      <w:r w:rsidR="00311E1B" w:rsidRPr="00311E1B">
        <w:t>美元）</w:t>
      </w:r>
      <w:r w:rsidR="00774013">
        <w:rPr>
          <w:rFonts w:hint="eastAsia"/>
        </w:rPr>
        <w:t>、</w:t>
      </w:r>
      <w:r w:rsidR="00311E1B" w:rsidRPr="00311E1B">
        <w:t>溶剂行业计划（</w:t>
      </w:r>
      <w:r w:rsidR="00311E1B" w:rsidRPr="00311E1B">
        <w:t>14</w:t>
      </w:r>
      <w:r w:rsidR="00311E1B" w:rsidRPr="00311E1B">
        <w:t>个</w:t>
      </w:r>
      <w:r>
        <w:t>生态和环境局</w:t>
      </w:r>
      <w:r w:rsidR="00311E1B" w:rsidRPr="00311E1B">
        <w:t>，</w:t>
      </w:r>
      <w:r w:rsidR="00311E1B" w:rsidRPr="00311E1B">
        <w:t>3,880,000</w:t>
      </w:r>
      <w:r w:rsidR="00311E1B" w:rsidRPr="00311E1B">
        <w:t>美元）。</w:t>
      </w:r>
      <w:r w:rsidR="00774013">
        <w:rPr>
          <w:rStyle w:val="FootnoteReference"/>
        </w:rPr>
        <w:footnoteReference w:id="10"/>
      </w:r>
    </w:p>
    <w:p w14:paraId="27447DE6" w14:textId="190F9703" w:rsidR="00311E1B" w:rsidRDefault="00774013" w:rsidP="00824C2B">
      <w:pPr>
        <w:keepNext/>
        <w:keepLines/>
        <w:numPr>
          <w:ilvl w:val="0"/>
          <w:numId w:val="20"/>
        </w:numPr>
        <w:spacing w:line="259" w:lineRule="auto"/>
        <w:ind w:left="0" w:firstLine="0"/>
        <w:jc w:val="both"/>
      </w:pPr>
      <w:r>
        <w:rPr>
          <w:rFonts w:hint="eastAsia"/>
        </w:rPr>
        <w:lastRenderedPageBreak/>
        <w:t>FECO</w:t>
      </w:r>
      <w:r>
        <w:rPr>
          <w:rFonts w:hint="eastAsia"/>
        </w:rPr>
        <w:t>提供的关于所</w:t>
      </w:r>
      <w:r w:rsidR="00311E1B">
        <w:rPr>
          <w:rFonts w:hint="eastAsia"/>
        </w:rPr>
        <w:t>开展活动的简要</w:t>
      </w:r>
      <w:r>
        <w:rPr>
          <w:rFonts w:hint="eastAsia"/>
        </w:rPr>
        <w:t>概述</w:t>
      </w:r>
      <w:r w:rsidR="00311E1B">
        <w:rPr>
          <w:rFonts w:hint="eastAsia"/>
        </w:rPr>
        <w:t>如下：</w:t>
      </w:r>
      <w:r w:rsidR="00311E1B">
        <w:rPr>
          <w:rFonts w:hint="eastAsia"/>
        </w:rPr>
        <w:t xml:space="preserve">               </w:t>
      </w:r>
    </w:p>
    <w:p w14:paraId="099EAA83" w14:textId="5858581B" w:rsidR="00311E1B" w:rsidRDefault="00311E1B" w:rsidP="00824C2B">
      <w:pPr>
        <w:keepNext/>
        <w:keepLines/>
        <w:spacing w:line="259" w:lineRule="auto"/>
        <w:ind w:left="980" w:hanging="490"/>
        <w:jc w:val="both"/>
      </w:pPr>
      <w:r>
        <w:rPr>
          <w:rFonts w:hint="eastAsia"/>
        </w:rPr>
        <w:t>(a)</w:t>
      </w:r>
      <w:r w:rsidR="00774013">
        <w:tab/>
      </w:r>
      <w:r>
        <w:rPr>
          <w:rFonts w:hint="eastAsia"/>
        </w:rPr>
        <w:t>建立</w:t>
      </w:r>
      <w:r w:rsidR="00774013">
        <w:rPr>
          <w:rFonts w:hint="eastAsia"/>
        </w:rPr>
        <w:t>了</w:t>
      </w:r>
      <w:r>
        <w:rPr>
          <w:rFonts w:hint="eastAsia"/>
        </w:rPr>
        <w:t>地方政府一级</w:t>
      </w:r>
      <w:r w:rsidR="00774013">
        <w:rPr>
          <w:rFonts w:hint="eastAsia"/>
        </w:rPr>
        <w:t>的</w:t>
      </w:r>
      <w:r>
        <w:rPr>
          <w:rFonts w:hint="eastAsia"/>
        </w:rPr>
        <w:t>保护臭氧层遵约协调机制；</w:t>
      </w:r>
      <w:r w:rsidR="00774013">
        <w:rPr>
          <w:rFonts w:hint="eastAsia"/>
        </w:rPr>
        <w:t>对</w:t>
      </w:r>
      <w:r w:rsidR="00774013">
        <w:rPr>
          <w:rFonts w:hint="eastAsia"/>
        </w:rPr>
        <w:t>ODS</w:t>
      </w:r>
      <w:r>
        <w:rPr>
          <w:rFonts w:hint="eastAsia"/>
        </w:rPr>
        <w:t>生产和消费</w:t>
      </w:r>
      <w:r w:rsidR="00774013">
        <w:rPr>
          <w:rFonts w:hint="eastAsia"/>
        </w:rPr>
        <w:t>情况进行了数据调查，并在适用情况下对</w:t>
      </w:r>
      <w:r w:rsidR="00774013">
        <w:rPr>
          <w:rFonts w:hint="eastAsia"/>
        </w:rPr>
        <w:t>ODS</w:t>
      </w:r>
      <w:r>
        <w:rPr>
          <w:rFonts w:hint="eastAsia"/>
        </w:rPr>
        <w:t>销售</w:t>
      </w:r>
      <w:r w:rsidR="00774013">
        <w:rPr>
          <w:rFonts w:hint="eastAsia"/>
        </w:rPr>
        <w:t>和</w:t>
      </w:r>
      <w:r>
        <w:rPr>
          <w:rFonts w:hint="eastAsia"/>
        </w:rPr>
        <w:t>进出口</w:t>
      </w:r>
      <w:r w:rsidR="00774013">
        <w:rPr>
          <w:rFonts w:hint="eastAsia"/>
        </w:rPr>
        <w:t>情况进行了</w:t>
      </w:r>
      <w:r>
        <w:rPr>
          <w:rFonts w:hint="eastAsia"/>
        </w:rPr>
        <w:t>数据调查；</w:t>
      </w:r>
      <w:r w:rsidR="00774013">
        <w:rPr>
          <w:rFonts w:hint="eastAsia"/>
        </w:rPr>
        <w:t>查明了各自辖区</w:t>
      </w:r>
      <w:r>
        <w:rPr>
          <w:rFonts w:hint="eastAsia"/>
        </w:rPr>
        <w:t>内的</w:t>
      </w:r>
      <w:r w:rsidR="00774013">
        <w:rPr>
          <w:rFonts w:hint="eastAsia"/>
        </w:rPr>
        <w:t>ODS</w:t>
      </w:r>
      <w:r>
        <w:rPr>
          <w:rFonts w:hint="eastAsia"/>
        </w:rPr>
        <w:t>消费企业；</w:t>
      </w:r>
      <w:r>
        <w:rPr>
          <w:rFonts w:hint="eastAsia"/>
        </w:rPr>
        <w:t xml:space="preserve">               </w:t>
      </w:r>
    </w:p>
    <w:p w14:paraId="270021C8" w14:textId="59DDC7E6" w:rsidR="00311E1B" w:rsidRDefault="00311E1B" w:rsidP="00774013">
      <w:pPr>
        <w:spacing w:line="259" w:lineRule="auto"/>
        <w:ind w:left="980" w:hanging="490"/>
        <w:jc w:val="both"/>
      </w:pPr>
      <w:r>
        <w:rPr>
          <w:rFonts w:hint="eastAsia"/>
        </w:rPr>
        <w:t>(b)</w:t>
      </w:r>
      <w:r w:rsidR="00774013">
        <w:tab/>
      </w:r>
      <w:r>
        <w:rPr>
          <w:rFonts w:hint="eastAsia"/>
        </w:rPr>
        <w:t>通过地方一级的环境影响评估</w:t>
      </w:r>
      <w:r w:rsidR="00774013">
        <w:rPr>
          <w:rFonts w:hint="eastAsia"/>
        </w:rPr>
        <w:t>审批制度来</w:t>
      </w:r>
      <w:r>
        <w:rPr>
          <w:rFonts w:hint="eastAsia"/>
        </w:rPr>
        <w:t>严格控制新的建设项目，确保除</w:t>
      </w:r>
      <w:r w:rsidR="00833725">
        <w:rPr>
          <w:rFonts w:hint="eastAsia"/>
        </w:rPr>
        <w:t>了</w:t>
      </w:r>
      <w:r>
        <w:rPr>
          <w:rFonts w:hint="eastAsia"/>
        </w:rPr>
        <w:t>原料</w:t>
      </w:r>
      <w:r w:rsidR="00774013">
        <w:rPr>
          <w:rFonts w:hint="eastAsia"/>
        </w:rPr>
        <w:t>用途</w:t>
      </w:r>
      <w:r>
        <w:rPr>
          <w:rFonts w:hint="eastAsia"/>
        </w:rPr>
        <w:t>外，中国</w:t>
      </w:r>
      <w:r w:rsidR="00833725">
        <w:rPr>
          <w:rFonts w:hint="eastAsia"/>
        </w:rPr>
        <w:t>不批准任何</w:t>
      </w:r>
      <w:r>
        <w:rPr>
          <w:rFonts w:hint="eastAsia"/>
        </w:rPr>
        <w:t>新的</w:t>
      </w:r>
      <w:r w:rsidR="00833725">
        <w:rPr>
          <w:rFonts w:hint="eastAsia"/>
        </w:rPr>
        <w:t>ODS</w:t>
      </w:r>
      <w:r>
        <w:rPr>
          <w:rFonts w:hint="eastAsia"/>
        </w:rPr>
        <w:t>生产和消费设施；</w:t>
      </w:r>
      <w:r>
        <w:rPr>
          <w:rFonts w:hint="eastAsia"/>
        </w:rPr>
        <w:t xml:space="preserve">               </w:t>
      </w:r>
    </w:p>
    <w:p w14:paraId="4B1CC65B" w14:textId="0CB11599" w:rsidR="00311E1B" w:rsidRDefault="00311E1B" w:rsidP="00774013">
      <w:pPr>
        <w:spacing w:line="259" w:lineRule="auto"/>
        <w:ind w:left="980" w:hanging="490"/>
        <w:jc w:val="both"/>
      </w:pPr>
      <w:r>
        <w:rPr>
          <w:rFonts w:hint="eastAsia"/>
        </w:rPr>
        <w:t>(c)</w:t>
      </w:r>
      <w:r w:rsidR="00833725">
        <w:tab/>
      </w:r>
      <w:r>
        <w:rPr>
          <w:rFonts w:hint="eastAsia"/>
        </w:rPr>
        <w:t>针对市或县级官员和企业</w:t>
      </w:r>
      <w:r w:rsidR="00542658">
        <w:rPr>
          <w:rFonts w:hint="eastAsia"/>
        </w:rPr>
        <w:t>举办</w:t>
      </w:r>
      <w:r>
        <w:rPr>
          <w:rFonts w:hint="eastAsia"/>
        </w:rPr>
        <w:t>了</w:t>
      </w:r>
      <w:r w:rsidR="00542658">
        <w:rPr>
          <w:rFonts w:hint="eastAsia"/>
        </w:rPr>
        <w:t>ODS</w:t>
      </w:r>
      <w:r>
        <w:rPr>
          <w:rFonts w:hint="eastAsia"/>
        </w:rPr>
        <w:t>管理和</w:t>
      </w:r>
      <w:r w:rsidR="00542658">
        <w:rPr>
          <w:rFonts w:hint="eastAsia"/>
        </w:rPr>
        <w:t>履约</w:t>
      </w:r>
      <w:r>
        <w:rPr>
          <w:rFonts w:hint="eastAsia"/>
        </w:rPr>
        <w:t>培训班。</w:t>
      </w:r>
      <w:r>
        <w:rPr>
          <w:rFonts w:hint="eastAsia"/>
        </w:rPr>
        <w:t>35,000</w:t>
      </w:r>
      <w:r w:rsidR="00542658">
        <w:rPr>
          <w:rFonts w:hint="eastAsia"/>
        </w:rPr>
        <w:t>多</w:t>
      </w:r>
      <w:r>
        <w:rPr>
          <w:rFonts w:hint="eastAsia"/>
        </w:rPr>
        <w:t>名</w:t>
      </w:r>
      <w:r w:rsidR="00542658">
        <w:rPr>
          <w:rFonts w:hint="eastAsia"/>
        </w:rPr>
        <w:t>地方</w:t>
      </w:r>
      <w:r w:rsidR="00E2555F">
        <w:rPr>
          <w:rFonts w:hint="eastAsia"/>
        </w:rPr>
        <w:t>生态和环境局</w:t>
      </w:r>
      <w:r w:rsidR="00542658">
        <w:rPr>
          <w:rFonts w:hint="eastAsia"/>
        </w:rPr>
        <w:t>及</w:t>
      </w:r>
      <w:r>
        <w:rPr>
          <w:rFonts w:hint="eastAsia"/>
        </w:rPr>
        <w:t>其他相关</w:t>
      </w:r>
      <w:r w:rsidR="00542658">
        <w:rPr>
          <w:rFonts w:hint="eastAsia"/>
        </w:rPr>
        <w:t>部门</w:t>
      </w:r>
      <w:r>
        <w:rPr>
          <w:rFonts w:hint="eastAsia"/>
        </w:rPr>
        <w:t>的官员以及</w:t>
      </w:r>
      <w:r>
        <w:rPr>
          <w:rFonts w:hint="eastAsia"/>
        </w:rPr>
        <w:t>13,000</w:t>
      </w:r>
      <w:r>
        <w:rPr>
          <w:rFonts w:hint="eastAsia"/>
        </w:rPr>
        <w:t>多名企业管理人员接受了培训。通过</w:t>
      </w:r>
      <w:r w:rsidR="00542658">
        <w:rPr>
          <w:rFonts w:hint="eastAsia"/>
        </w:rPr>
        <w:t>英特网、</w:t>
      </w:r>
      <w:r>
        <w:rPr>
          <w:rFonts w:hint="eastAsia"/>
        </w:rPr>
        <w:t>电视</w:t>
      </w:r>
      <w:r w:rsidR="00542658">
        <w:rPr>
          <w:rFonts w:hint="eastAsia"/>
        </w:rPr>
        <w:t>、</w:t>
      </w:r>
      <w:r>
        <w:rPr>
          <w:rFonts w:hint="eastAsia"/>
        </w:rPr>
        <w:t>学校或社区在全国范围内开展</w:t>
      </w:r>
      <w:r w:rsidR="00542658">
        <w:rPr>
          <w:rFonts w:hint="eastAsia"/>
        </w:rPr>
        <w:t>了</w:t>
      </w:r>
      <w:r>
        <w:rPr>
          <w:rFonts w:hint="eastAsia"/>
        </w:rPr>
        <w:t>有关保护臭氧层的宣传活动；</w:t>
      </w:r>
      <w:r>
        <w:rPr>
          <w:rFonts w:hint="eastAsia"/>
        </w:rPr>
        <w:t xml:space="preserve"> </w:t>
      </w:r>
    </w:p>
    <w:p w14:paraId="29F25C97" w14:textId="6B9161A2" w:rsidR="00311E1B" w:rsidRDefault="00311E1B" w:rsidP="00774013">
      <w:pPr>
        <w:spacing w:line="259" w:lineRule="auto"/>
        <w:ind w:left="980" w:hanging="490"/>
        <w:jc w:val="both"/>
      </w:pPr>
      <w:r>
        <w:rPr>
          <w:rFonts w:hint="eastAsia"/>
        </w:rPr>
        <w:t>(d)</w:t>
      </w:r>
      <w:r w:rsidR="00542658">
        <w:tab/>
      </w:r>
      <w:r>
        <w:rPr>
          <w:rFonts w:hint="eastAsia"/>
        </w:rPr>
        <w:t>根据通过报告平台和其他来源</w:t>
      </w:r>
      <w:r w:rsidR="002E25C2">
        <w:rPr>
          <w:rFonts w:hint="eastAsia"/>
        </w:rPr>
        <w:t>、生态和环境不以及各地生态和环境局提供的信息</w:t>
      </w:r>
      <w:r>
        <w:rPr>
          <w:rFonts w:hint="eastAsia"/>
        </w:rPr>
        <w:t>联合采取行动，</w:t>
      </w:r>
      <w:r w:rsidR="002E25C2">
        <w:rPr>
          <w:rFonts w:hint="eastAsia"/>
        </w:rPr>
        <w:t>打击</w:t>
      </w:r>
      <w:r>
        <w:rPr>
          <w:rFonts w:hint="eastAsia"/>
        </w:rPr>
        <w:t>非法</w:t>
      </w:r>
      <w:r w:rsidR="002E25C2">
        <w:rPr>
          <w:rFonts w:hint="eastAsia"/>
        </w:rPr>
        <w:t>ODS</w:t>
      </w:r>
      <w:r>
        <w:rPr>
          <w:rFonts w:hint="eastAsia"/>
        </w:rPr>
        <w:t>行为。</w:t>
      </w:r>
      <w:r>
        <w:rPr>
          <w:rFonts w:hint="eastAsia"/>
        </w:rPr>
        <w:t xml:space="preserve">               </w:t>
      </w:r>
    </w:p>
    <w:p w14:paraId="51D6C3ED" w14:textId="28488E52" w:rsidR="00311E1B" w:rsidRDefault="00311E1B" w:rsidP="00311E1B">
      <w:pPr>
        <w:numPr>
          <w:ilvl w:val="0"/>
          <w:numId w:val="20"/>
        </w:numPr>
        <w:spacing w:line="259" w:lineRule="auto"/>
        <w:ind w:left="0" w:firstLine="0"/>
        <w:jc w:val="both"/>
      </w:pPr>
      <w:r>
        <w:rPr>
          <w:rFonts w:hint="eastAsia"/>
        </w:rPr>
        <w:t>此外，利用氟氯化碳生产</w:t>
      </w:r>
      <w:r w:rsidR="00542658">
        <w:rPr>
          <w:rFonts w:hint="eastAsia"/>
        </w:rPr>
        <w:t>行业</w:t>
      </w:r>
      <w:r>
        <w:rPr>
          <w:rFonts w:hint="eastAsia"/>
        </w:rPr>
        <w:t>的资金，于</w:t>
      </w:r>
      <w:r>
        <w:rPr>
          <w:rFonts w:hint="eastAsia"/>
        </w:rPr>
        <w:t>2019</w:t>
      </w:r>
      <w:r>
        <w:rPr>
          <w:rFonts w:hint="eastAsia"/>
        </w:rPr>
        <w:t>年</w:t>
      </w:r>
      <w:r>
        <w:rPr>
          <w:rFonts w:hint="eastAsia"/>
        </w:rPr>
        <w:t>1</w:t>
      </w:r>
      <w:r>
        <w:rPr>
          <w:rFonts w:hint="eastAsia"/>
        </w:rPr>
        <w:t>月</w:t>
      </w:r>
      <w:r>
        <w:rPr>
          <w:rFonts w:hint="eastAsia"/>
        </w:rPr>
        <w:t>21</w:t>
      </w:r>
      <w:r w:rsidR="00542658">
        <w:rPr>
          <w:rFonts w:hint="eastAsia"/>
        </w:rPr>
        <w:t xml:space="preserve"> </w:t>
      </w:r>
      <w:r w:rsidR="00542658">
        <w:t xml:space="preserve">– </w:t>
      </w:r>
      <w:r>
        <w:rPr>
          <w:rFonts w:hint="eastAsia"/>
        </w:rPr>
        <w:t>23</w:t>
      </w:r>
      <w:r>
        <w:rPr>
          <w:rFonts w:hint="eastAsia"/>
        </w:rPr>
        <w:t>日在湖南省长沙</w:t>
      </w:r>
      <w:r w:rsidR="00542658">
        <w:rPr>
          <w:rFonts w:hint="eastAsia"/>
        </w:rPr>
        <w:t>为来自各省的</w:t>
      </w:r>
      <w:r w:rsidR="00542658">
        <w:rPr>
          <w:rFonts w:hint="eastAsia"/>
        </w:rPr>
        <w:t>140</w:t>
      </w:r>
      <w:r w:rsidR="00542658">
        <w:rPr>
          <w:rFonts w:hint="eastAsia"/>
        </w:rPr>
        <w:t>名官员</w:t>
      </w:r>
      <w:r>
        <w:rPr>
          <w:rFonts w:hint="eastAsia"/>
        </w:rPr>
        <w:t>举办了一次培训讲习班，分享关于</w:t>
      </w:r>
      <w:r w:rsidR="00542658">
        <w:rPr>
          <w:rFonts w:hint="eastAsia"/>
        </w:rPr>
        <w:t>ODS</w:t>
      </w:r>
      <w:r>
        <w:rPr>
          <w:rFonts w:hint="eastAsia"/>
        </w:rPr>
        <w:t>管理的经验和教训。</w:t>
      </w:r>
      <w:r>
        <w:rPr>
          <w:rFonts w:hint="eastAsia"/>
        </w:rPr>
        <w:t xml:space="preserve">               </w:t>
      </w:r>
    </w:p>
    <w:p w14:paraId="37274858" w14:textId="6DC39226" w:rsidR="00311E1B" w:rsidRDefault="002E25C2" w:rsidP="00311E1B">
      <w:pPr>
        <w:numPr>
          <w:ilvl w:val="0"/>
          <w:numId w:val="20"/>
        </w:numPr>
        <w:spacing w:line="259" w:lineRule="auto"/>
        <w:ind w:left="0" w:firstLine="0"/>
        <w:jc w:val="both"/>
      </w:pPr>
      <w:r>
        <w:rPr>
          <w:rFonts w:hint="eastAsia"/>
        </w:rPr>
        <w:t>若干</w:t>
      </w:r>
      <w:r w:rsidR="00542658">
        <w:rPr>
          <w:rFonts w:hint="eastAsia"/>
        </w:rPr>
        <w:t>行业计划都包括</w:t>
      </w:r>
      <w:r w:rsidR="00311E1B">
        <w:rPr>
          <w:rFonts w:hint="eastAsia"/>
        </w:rPr>
        <w:t>向</w:t>
      </w:r>
      <w:r w:rsidR="00542658">
        <w:rPr>
          <w:rFonts w:hint="eastAsia"/>
        </w:rPr>
        <w:t>生态和环境局</w:t>
      </w:r>
      <w:r w:rsidR="00311E1B">
        <w:rPr>
          <w:rFonts w:hint="eastAsia"/>
        </w:rPr>
        <w:t>提供即时</w:t>
      </w:r>
      <w:r w:rsidR="00542658">
        <w:rPr>
          <w:rFonts w:hint="eastAsia"/>
        </w:rPr>
        <w:t>ODS</w:t>
      </w:r>
      <w:r w:rsidR="00542658">
        <w:rPr>
          <w:rFonts w:hint="eastAsia"/>
        </w:rPr>
        <w:t>检测仪，</w:t>
      </w:r>
      <w:r w:rsidR="00311E1B">
        <w:rPr>
          <w:rFonts w:hint="eastAsia"/>
        </w:rPr>
        <w:t>以加强其监测和</w:t>
      </w:r>
      <w:r w:rsidR="00542658">
        <w:rPr>
          <w:rFonts w:hint="eastAsia"/>
        </w:rPr>
        <w:t>执法</w:t>
      </w:r>
      <w:r w:rsidR="00311E1B">
        <w:rPr>
          <w:rFonts w:hint="eastAsia"/>
        </w:rPr>
        <w:t>能力的计划，中国政府</w:t>
      </w:r>
      <w:r w:rsidR="00542658">
        <w:rPr>
          <w:rFonts w:hint="eastAsia"/>
        </w:rPr>
        <w:t>同样就</w:t>
      </w:r>
      <w:r>
        <w:rPr>
          <w:rFonts w:hint="eastAsia"/>
        </w:rPr>
        <w:t>此</w:t>
      </w:r>
      <w:r w:rsidR="00311E1B">
        <w:rPr>
          <w:rFonts w:hint="eastAsia"/>
        </w:rPr>
        <w:t>提供了总体概述。</w:t>
      </w:r>
      <w:r w:rsidR="00542658">
        <w:rPr>
          <w:rFonts w:hint="eastAsia"/>
        </w:rPr>
        <w:t>派作这个用途的资金总额估计为</w:t>
      </w:r>
      <w:r w:rsidR="00542658">
        <w:rPr>
          <w:rFonts w:hint="eastAsia"/>
        </w:rPr>
        <w:t>768,479</w:t>
      </w:r>
      <w:r w:rsidR="00542658">
        <w:rPr>
          <w:rFonts w:hint="eastAsia"/>
        </w:rPr>
        <w:t>美元，来自以下来源：</w:t>
      </w:r>
      <w:r w:rsidR="001E2246">
        <w:rPr>
          <w:rFonts w:hint="eastAsia"/>
        </w:rPr>
        <w:t>氟氯化碳生产计划（</w:t>
      </w:r>
      <w:r w:rsidR="001E2246">
        <w:rPr>
          <w:rFonts w:hint="eastAsia"/>
        </w:rPr>
        <w:t>99,436</w:t>
      </w:r>
      <w:r w:rsidR="001E2246">
        <w:rPr>
          <w:rFonts w:hint="eastAsia"/>
        </w:rPr>
        <w:t>美元）、聚氨酯泡沫塑料行业计划（</w:t>
      </w:r>
      <w:r w:rsidR="001E2246">
        <w:rPr>
          <w:rFonts w:hint="eastAsia"/>
        </w:rPr>
        <w:t>200,000</w:t>
      </w:r>
      <w:r w:rsidR="001E2246">
        <w:rPr>
          <w:rFonts w:hint="eastAsia"/>
        </w:rPr>
        <w:t>美元）、溶剂行业计划（</w:t>
      </w:r>
      <w:r w:rsidR="001E2246">
        <w:rPr>
          <w:rFonts w:hint="eastAsia"/>
        </w:rPr>
        <w:t>453,119</w:t>
      </w:r>
      <w:r w:rsidR="001E2246">
        <w:rPr>
          <w:rFonts w:hint="eastAsia"/>
        </w:rPr>
        <w:t>美元）和维修业（</w:t>
      </w:r>
      <w:r w:rsidR="001E2246">
        <w:rPr>
          <w:rFonts w:hint="eastAsia"/>
        </w:rPr>
        <w:t>15,924</w:t>
      </w:r>
      <w:r w:rsidR="001E2246">
        <w:rPr>
          <w:rFonts w:hint="eastAsia"/>
        </w:rPr>
        <w:t>美元）。</w:t>
      </w:r>
      <w:r w:rsidR="00311E1B">
        <w:rPr>
          <w:rFonts w:hint="eastAsia"/>
        </w:rPr>
        <w:t>为了</w:t>
      </w:r>
      <w:r w:rsidR="001E2246">
        <w:rPr>
          <w:rFonts w:hint="eastAsia"/>
        </w:rPr>
        <w:t>高效</w:t>
      </w:r>
      <w:r w:rsidR="00311E1B">
        <w:rPr>
          <w:rFonts w:hint="eastAsia"/>
        </w:rPr>
        <w:t>地使用资金，</w:t>
      </w:r>
      <w:r w:rsidR="001E2246">
        <w:rPr>
          <w:rFonts w:hint="eastAsia"/>
        </w:rPr>
        <w:t>生态和环境部</w:t>
      </w:r>
      <w:r w:rsidR="00311E1B">
        <w:rPr>
          <w:rFonts w:hint="eastAsia"/>
        </w:rPr>
        <w:t>计划</w:t>
      </w:r>
      <w:r w:rsidR="001E2246">
        <w:rPr>
          <w:rFonts w:hint="eastAsia"/>
        </w:rPr>
        <w:t>把</w:t>
      </w:r>
      <w:r w:rsidR="00311E1B">
        <w:rPr>
          <w:rFonts w:hint="eastAsia"/>
        </w:rPr>
        <w:t>这四个</w:t>
      </w:r>
      <w:r>
        <w:rPr>
          <w:rFonts w:hint="eastAsia"/>
        </w:rPr>
        <w:t>行业</w:t>
      </w:r>
      <w:r w:rsidR="00311E1B">
        <w:rPr>
          <w:rFonts w:hint="eastAsia"/>
        </w:rPr>
        <w:t>的</w:t>
      </w:r>
      <w:r w:rsidR="001E2246">
        <w:rPr>
          <w:rFonts w:hint="eastAsia"/>
        </w:rPr>
        <w:t>资金余额合在一起</w:t>
      </w:r>
      <w:r w:rsidR="00311E1B">
        <w:rPr>
          <w:rFonts w:hint="eastAsia"/>
        </w:rPr>
        <w:t>，</w:t>
      </w:r>
      <w:r w:rsidR="001E2246">
        <w:rPr>
          <w:rFonts w:hint="eastAsia"/>
        </w:rPr>
        <w:t>用于为地方</w:t>
      </w:r>
      <w:r w:rsidR="00E2555F">
        <w:rPr>
          <w:rFonts w:hint="eastAsia"/>
        </w:rPr>
        <w:t>生态和环境局</w:t>
      </w:r>
      <w:r w:rsidR="00311E1B">
        <w:rPr>
          <w:rFonts w:hint="eastAsia"/>
        </w:rPr>
        <w:t>购买相同类型的</w:t>
      </w:r>
      <w:r w:rsidR="001E2246">
        <w:rPr>
          <w:rFonts w:hint="eastAsia"/>
        </w:rPr>
        <w:t>检测仪</w:t>
      </w:r>
      <w:r w:rsidR="00311E1B">
        <w:rPr>
          <w:rFonts w:hint="eastAsia"/>
        </w:rPr>
        <w:t>。</w:t>
      </w:r>
      <w:r w:rsidR="001E2246">
        <w:rPr>
          <w:rFonts w:hint="eastAsia"/>
        </w:rPr>
        <w:t>该部计划</w:t>
      </w:r>
      <w:r w:rsidR="00311E1B">
        <w:rPr>
          <w:rFonts w:hint="eastAsia"/>
        </w:rPr>
        <w:t>通过集中采购来尽可能多地购买</w:t>
      </w:r>
      <w:r w:rsidR="001E2246">
        <w:rPr>
          <w:rFonts w:hint="eastAsia"/>
        </w:rPr>
        <w:t>检测仪</w:t>
      </w:r>
      <w:r w:rsidR="00311E1B">
        <w:rPr>
          <w:rFonts w:hint="eastAsia"/>
        </w:rPr>
        <w:t>。</w:t>
      </w:r>
      <w:r w:rsidR="001E2246">
        <w:rPr>
          <w:rFonts w:hint="eastAsia"/>
        </w:rPr>
        <w:t>这项工作</w:t>
      </w:r>
      <w:r w:rsidR="00311E1B">
        <w:rPr>
          <w:rFonts w:hint="eastAsia"/>
        </w:rPr>
        <w:t>将覆盖所有省级</w:t>
      </w:r>
      <w:r w:rsidR="00E2555F">
        <w:rPr>
          <w:rFonts w:hint="eastAsia"/>
        </w:rPr>
        <w:t>生态和环境局</w:t>
      </w:r>
      <w:r w:rsidR="00311E1B">
        <w:rPr>
          <w:rFonts w:hint="eastAsia"/>
        </w:rPr>
        <w:t>，尤其是</w:t>
      </w:r>
      <w:r w:rsidR="001E2246">
        <w:rPr>
          <w:rFonts w:hint="eastAsia"/>
        </w:rPr>
        <w:t>为</w:t>
      </w:r>
      <w:r w:rsidR="00311E1B">
        <w:rPr>
          <w:rFonts w:hint="eastAsia"/>
        </w:rPr>
        <w:t>主要</w:t>
      </w:r>
      <w:r w:rsidR="001E2246">
        <w:rPr>
          <w:rFonts w:hint="eastAsia"/>
        </w:rPr>
        <w:t>的</w:t>
      </w:r>
      <w:r w:rsidR="00311E1B">
        <w:rPr>
          <w:rFonts w:hint="eastAsia"/>
        </w:rPr>
        <w:t>聚氨酯泡沫</w:t>
      </w:r>
      <w:r w:rsidR="001E2246">
        <w:rPr>
          <w:rFonts w:hint="eastAsia"/>
        </w:rPr>
        <w:t>塑料</w:t>
      </w:r>
      <w:r w:rsidR="00311E1B">
        <w:rPr>
          <w:rFonts w:hint="eastAsia"/>
        </w:rPr>
        <w:t>消费地区配备更多的</w:t>
      </w:r>
      <w:r w:rsidR="001E2246">
        <w:rPr>
          <w:rFonts w:hint="eastAsia"/>
        </w:rPr>
        <w:t>检测仪</w:t>
      </w:r>
      <w:r w:rsidR="00311E1B">
        <w:rPr>
          <w:rFonts w:hint="eastAsia"/>
        </w:rPr>
        <w:t>。</w:t>
      </w:r>
      <w:r w:rsidR="00311E1B">
        <w:rPr>
          <w:rFonts w:hint="eastAsia"/>
        </w:rPr>
        <w:t xml:space="preserve">                     </w:t>
      </w:r>
    </w:p>
    <w:p w14:paraId="790F2B5C" w14:textId="5702335B" w:rsidR="00311E1B" w:rsidRDefault="00311E1B" w:rsidP="00311E1B">
      <w:pPr>
        <w:numPr>
          <w:ilvl w:val="0"/>
          <w:numId w:val="20"/>
        </w:numPr>
        <w:spacing w:line="259" w:lineRule="auto"/>
        <w:ind w:left="0" w:firstLine="0"/>
        <w:jc w:val="both"/>
      </w:pPr>
      <w:r>
        <w:rPr>
          <w:rFonts w:hint="eastAsia"/>
        </w:rPr>
        <w:t>中国政府还解释说，手提箱大小的即时</w:t>
      </w:r>
      <w:r w:rsidR="009E4482">
        <w:rPr>
          <w:rFonts w:hint="eastAsia"/>
        </w:rPr>
        <w:t>检测仪</w:t>
      </w:r>
      <w:r w:rsidR="009E4482">
        <w:rPr>
          <w:rStyle w:val="FootnoteReference"/>
        </w:rPr>
        <w:footnoteReference w:id="11"/>
      </w:r>
      <w:r>
        <w:rPr>
          <w:rFonts w:hint="eastAsia"/>
        </w:rPr>
        <w:t>能够测试</w:t>
      </w:r>
      <w:r w:rsidR="00070870">
        <w:rPr>
          <w:rFonts w:hint="eastAsia"/>
        </w:rPr>
        <w:t>泡沫塑料产品、</w:t>
      </w:r>
      <w:r>
        <w:rPr>
          <w:rFonts w:hint="eastAsia"/>
        </w:rPr>
        <w:t>发泡剂</w:t>
      </w:r>
      <w:r w:rsidR="00070870">
        <w:rPr>
          <w:rFonts w:hint="eastAsia"/>
        </w:rPr>
        <w:t>和</w:t>
      </w:r>
      <w:r>
        <w:rPr>
          <w:rFonts w:hint="eastAsia"/>
        </w:rPr>
        <w:t>预混多元醇</w:t>
      </w:r>
      <w:r w:rsidR="00070870">
        <w:rPr>
          <w:rFonts w:hint="eastAsia"/>
        </w:rPr>
        <w:t>的成分</w:t>
      </w:r>
      <w:r>
        <w:rPr>
          <w:rFonts w:hint="eastAsia"/>
        </w:rPr>
        <w:t>。在测试</w:t>
      </w:r>
      <w:r w:rsidR="00070870">
        <w:rPr>
          <w:rFonts w:hint="eastAsia"/>
        </w:rPr>
        <w:t>时通过进料口把</w:t>
      </w:r>
      <w:r>
        <w:rPr>
          <w:rFonts w:hint="eastAsia"/>
        </w:rPr>
        <w:t>收集的</w:t>
      </w:r>
      <w:r w:rsidR="00070870">
        <w:rPr>
          <w:rFonts w:hint="eastAsia"/>
        </w:rPr>
        <w:t>样本</w:t>
      </w:r>
      <w:r>
        <w:rPr>
          <w:rFonts w:hint="eastAsia"/>
        </w:rPr>
        <w:t>放入检测</w:t>
      </w:r>
      <w:r w:rsidR="00070870">
        <w:rPr>
          <w:rFonts w:hint="eastAsia"/>
        </w:rPr>
        <w:t>仪</w:t>
      </w:r>
      <w:r>
        <w:rPr>
          <w:rFonts w:hint="eastAsia"/>
        </w:rPr>
        <w:t>。</w:t>
      </w:r>
      <w:r w:rsidR="00070870">
        <w:rPr>
          <w:rFonts w:hint="eastAsia"/>
        </w:rPr>
        <w:t>检测仪随后</w:t>
      </w:r>
      <w:r>
        <w:rPr>
          <w:rFonts w:hint="eastAsia"/>
        </w:rPr>
        <w:t>通过气相色谱法</w:t>
      </w:r>
      <w:r w:rsidR="00070870">
        <w:rPr>
          <w:rFonts w:hint="eastAsia"/>
        </w:rPr>
        <w:t>针对样本</w:t>
      </w:r>
      <w:r>
        <w:rPr>
          <w:rFonts w:hint="eastAsia"/>
        </w:rPr>
        <w:t>所含化学物质</w:t>
      </w:r>
      <w:r w:rsidR="00070870">
        <w:rPr>
          <w:rFonts w:hint="eastAsia"/>
        </w:rPr>
        <w:t>生成</w:t>
      </w:r>
      <w:r>
        <w:rPr>
          <w:rFonts w:hint="eastAsia"/>
        </w:rPr>
        <w:t>测试</w:t>
      </w:r>
      <w:r w:rsidR="002E25C2">
        <w:rPr>
          <w:rFonts w:hint="eastAsia"/>
        </w:rPr>
        <w:t>谱图</w:t>
      </w:r>
      <w:r>
        <w:rPr>
          <w:rFonts w:hint="eastAsia"/>
        </w:rPr>
        <w:t>。可以</w:t>
      </w:r>
      <w:r w:rsidR="00070870">
        <w:rPr>
          <w:rFonts w:hint="eastAsia"/>
        </w:rPr>
        <w:t>根据化学品的不同峰值时间</w:t>
      </w:r>
      <w:r>
        <w:rPr>
          <w:rFonts w:hint="eastAsia"/>
        </w:rPr>
        <w:t>初步筛选发泡剂的成分。一</w:t>
      </w:r>
      <w:r w:rsidR="00070870">
        <w:rPr>
          <w:rFonts w:hint="eastAsia"/>
        </w:rPr>
        <w:t>组样本</w:t>
      </w:r>
      <w:r>
        <w:rPr>
          <w:rFonts w:hint="eastAsia"/>
        </w:rPr>
        <w:t>的整个测试过程通常需要</w:t>
      </w:r>
      <w:r>
        <w:rPr>
          <w:rFonts w:hint="eastAsia"/>
        </w:rPr>
        <w:t>20</w:t>
      </w:r>
      <w:r>
        <w:rPr>
          <w:rFonts w:hint="eastAsia"/>
        </w:rPr>
        <w:t>分钟左右。</w:t>
      </w:r>
    </w:p>
    <w:p w14:paraId="55FF6EFE" w14:textId="56D6C078" w:rsidR="00311E1B" w:rsidRDefault="00311E1B" w:rsidP="00311E1B">
      <w:pPr>
        <w:numPr>
          <w:ilvl w:val="0"/>
          <w:numId w:val="20"/>
        </w:numPr>
        <w:spacing w:line="259" w:lineRule="auto"/>
        <w:ind w:left="0" w:firstLine="0"/>
        <w:jc w:val="both"/>
      </w:pPr>
      <w:r>
        <w:rPr>
          <w:rFonts w:hint="eastAsia"/>
        </w:rPr>
        <w:t>秘书处支持</w:t>
      </w:r>
      <w:r w:rsidR="00C801F8">
        <w:rPr>
          <w:rFonts w:hint="eastAsia"/>
        </w:rPr>
        <w:t>把</w:t>
      </w:r>
      <w:r>
        <w:rPr>
          <w:rFonts w:hint="eastAsia"/>
        </w:rPr>
        <w:t>这些余额用于向</w:t>
      </w:r>
      <w:r w:rsidR="00C801F8">
        <w:rPr>
          <w:rFonts w:hint="eastAsia"/>
        </w:rPr>
        <w:t>生态和环境局</w:t>
      </w:r>
      <w:r>
        <w:rPr>
          <w:rFonts w:hint="eastAsia"/>
        </w:rPr>
        <w:t>提供</w:t>
      </w:r>
      <w:r w:rsidR="00C801F8">
        <w:rPr>
          <w:rFonts w:hint="eastAsia"/>
        </w:rPr>
        <w:t>即时</w:t>
      </w:r>
      <w:r w:rsidR="00C801F8">
        <w:rPr>
          <w:rFonts w:hint="eastAsia"/>
        </w:rPr>
        <w:t>ODS</w:t>
      </w:r>
      <w:r w:rsidR="00C801F8">
        <w:rPr>
          <w:rFonts w:hint="eastAsia"/>
        </w:rPr>
        <w:t>检测仪</w:t>
      </w:r>
      <w:r>
        <w:rPr>
          <w:rFonts w:hint="eastAsia"/>
        </w:rPr>
        <w:t>，但有一</w:t>
      </w:r>
      <w:r w:rsidR="00C801F8">
        <w:rPr>
          <w:rFonts w:hint="eastAsia"/>
        </w:rPr>
        <w:t>个条件是</w:t>
      </w:r>
      <w:r>
        <w:rPr>
          <w:rFonts w:hint="eastAsia"/>
        </w:rPr>
        <w:t>，中国政府将</w:t>
      </w:r>
      <w:r w:rsidR="00C801F8">
        <w:rPr>
          <w:rFonts w:hint="eastAsia"/>
        </w:rPr>
        <w:t>在今后的财务审计报告中</w:t>
      </w:r>
      <w:r>
        <w:rPr>
          <w:rFonts w:hint="eastAsia"/>
        </w:rPr>
        <w:t>继续报告</w:t>
      </w:r>
      <w:r w:rsidR="00C801F8">
        <w:rPr>
          <w:rFonts w:hint="eastAsia"/>
        </w:rPr>
        <w:t>地方生态和环境局的</w:t>
      </w:r>
      <w:r>
        <w:rPr>
          <w:rFonts w:hint="eastAsia"/>
        </w:rPr>
        <w:t>监测结果，包括检测到</w:t>
      </w:r>
      <w:r>
        <w:rPr>
          <w:rFonts w:hint="eastAsia"/>
        </w:rPr>
        <w:t>CFC-11</w:t>
      </w:r>
      <w:r>
        <w:rPr>
          <w:rFonts w:hint="eastAsia"/>
        </w:rPr>
        <w:t>的情况。</w:t>
      </w:r>
      <w:r w:rsidR="00C801F8">
        <w:rPr>
          <w:rFonts w:hint="eastAsia"/>
        </w:rPr>
        <w:t>秘书处提议，</w:t>
      </w:r>
      <w:r>
        <w:rPr>
          <w:rFonts w:hint="eastAsia"/>
        </w:rPr>
        <w:t>一旦</w:t>
      </w:r>
      <w:r w:rsidR="00C801F8">
        <w:rPr>
          <w:rFonts w:hint="eastAsia"/>
        </w:rPr>
        <w:t>全部发放了</w:t>
      </w:r>
      <w:r>
        <w:rPr>
          <w:rFonts w:hint="eastAsia"/>
        </w:rPr>
        <w:t>财务审计所涉项目下的</w:t>
      </w:r>
      <w:r w:rsidR="00C801F8">
        <w:rPr>
          <w:rFonts w:hint="eastAsia"/>
        </w:rPr>
        <w:t>资金</w:t>
      </w:r>
      <w:r>
        <w:rPr>
          <w:rFonts w:hint="eastAsia"/>
        </w:rPr>
        <w:t>余额并完成了这些项目，中国政府</w:t>
      </w:r>
      <w:r w:rsidR="00C801F8">
        <w:rPr>
          <w:rFonts w:hint="eastAsia"/>
        </w:rPr>
        <w:t>应</w:t>
      </w:r>
      <w:r w:rsidR="002A7F91">
        <w:rPr>
          <w:rFonts w:hint="eastAsia"/>
        </w:rPr>
        <w:t>通过</w:t>
      </w:r>
      <w:r>
        <w:rPr>
          <w:rFonts w:hint="eastAsia"/>
        </w:rPr>
        <w:t>氟氯烃淘汰管理计划</w:t>
      </w:r>
      <w:r w:rsidR="002A7F91">
        <w:rPr>
          <w:rFonts w:hint="eastAsia"/>
        </w:rPr>
        <w:t>下的</w:t>
      </w:r>
      <w:r>
        <w:rPr>
          <w:rFonts w:hint="eastAsia"/>
        </w:rPr>
        <w:t>聚氨酯泡沫塑料行业年度进度报告继续</w:t>
      </w:r>
      <w:r w:rsidR="002A7F91">
        <w:rPr>
          <w:rFonts w:hint="eastAsia"/>
        </w:rPr>
        <w:t>提供此类报告</w:t>
      </w:r>
      <w:r>
        <w:rPr>
          <w:rFonts w:hint="eastAsia"/>
        </w:rPr>
        <w:t>。</w:t>
      </w:r>
      <w:r>
        <w:rPr>
          <w:rFonts w:hint="eastAsia"/>
        </w:rPr>
        <w:t xml:space="preserve">               </w:t>
      </w:r>
    </w:p>
    <w:p w14:paraId="4351E8CE" w14:textId="553B3AFF" w:rsidR="00311E1B" w:rsidRPr="00C72724" w:rsidRDefault="00C72724" w:rsidP="001D4B2D">
      <w:pPr>
        <w:keepNext/>
        <w:keepLines/>
        <w:spacing w:line="259" w:lineRule="auto"/>
        <w:jc w:val="both"/>
        <w:rPr>
          <w:i/>
          <w:iCs/>
        </w:rPr>
      </w:pPr>
      <w:r>
        <w:rPr>
          <w:rFonts w:hint="eastAsia"/>
          <w:i/>
          <w:iCs/>
        </w:rPr>
        <w:lastRenderedPageBreak/>
        <w:t>所剩</w:t>
      </w:r>
      <w:r w:rsidR="00311E1B" w:rsidRPr="00C72724">
        <w:rPr>
          <w:rFonts w:hint="eastAsia"/>
          <w:i/>
          <w:iCs/>
        </w:rPr>
        <w:t>余额和</w:t>
      </w:r>
      <w:r>
        <w:rPr>
          <w:rFonts w:hint="eastAsia"/>
          <w:i/>
          <w:iCs/>
        </w:rPr>
        <w:t>拟议的</w:t>
      </w:r>
      <w:r w:rsidR="00311E1B" w:rsidRPr="00C72724">
        <w:rPr>
          <w:rFonts w:hint="eastAsia"/>
          <w:i/>
          <w:iCs/>
        </w:rPr>
        <w:t>活动</w:t>
      </w:r>
      <w:r w:rsidR="002E25C2">
        <w:rPr>
          <w:rFonts w:hint="eastAsia"/>
          <w:i/>
          <w:iCs/>
        </w:rPr>
        <w:t>概要</w:t>
      </w:r>
    </w:p>
    <w:p w14:paraId="621DE7F5" w14:textId="6A822F05" w:rsidR="00311E1B" w:rsidRDefault="00C72724" w:rsidP="001D4B2D">
      <w:pPr>
        <w:keepNext/>
        <w:keepLines/>
        <w:numPr>
          <w:ilvl w:val="0"/>
          <w:numId w:val="20"/>
        </w:numPr>
        <w:spacing w:line="259" w:lineRule="auto"/>
        <w:ind w:left="0" w:firstLine="0"/>
        <w:jc w:val="both"/>
      </w:pPr>
      <w:r>
        <w:rPr>
          <w:rFonts w:hint="eastAsia"/>
        </w:rPr>
        <w:t>总而言之</w:t>
      </w:r>
      <w:r w:rsidR="00311E1B">
        <w:rPr>
          <w:rFonts w:hint="eastAsia"/>
        </w:rPr>
        <w:t>，</w:t>
      </w:r>
      <w:r>
        <w:rPr>
          <w:rFonts w:hint="eastAsia"/>
        </w:rPr>
        <w:t>根据</w:t>
      </w:r>
      <w:r w:rsidR="00311E1B">
        <w:rPr>
          <w:rFonts w:hint="eastAsia"/>
        </w:rPr>
        <w:t>中国政府</w:t>
      </w:r>
      <w:r>
        <w:rPr>
          <w:rFonts w:hint="eastAsia"/>
        </w:rPr>
        <w:t>截至第八十四次会议提供</w:t>
      </w:r>
      <w:r w:rsidR="00311E1B">
        <w:rPr>
          <w:rFonts w:hint="eastAsia"/>
        </w:rPr>
        <w:t>的</w:t>
      </w:r>
      <w:r>
        <w:rPr>
          <w:rFonts w:hint="eastAsia"/>
        </w:rPr>
        <w:t>信息</w:t>
      </w:r>
      <w:r w:rsidR="00311E1B">
        <w:rPr>
          <w:rFonts w:hint="eastAsia"/>
        </w:rPr>
        <w:t>，</w:t>
      </w:r>
      <w:r w:rsidR="00311E1B" w:rsidRPr="00C72724">
        <w:rPr>
          <w:rFonts w:hint="eastAsia"/>
          <w:b/>
          <w:bCs/>
        </w:rPr>
        <w:t>在</w:t>
      </w:r>
      <w:r w:rsidRPr="00C72724">
        <w:rPr>
          <w:rFonts w:hint="eastAsia"/>
          <w:b/>
          <w:bCs/>
        </w:rPr>
        <w:t>1</w:t>
      </w:r>
      <w:r w:rsidRPr="00C72724">
        <w:rPr>
          <w:b/>
          <w:bCs/>
        </w:rPr>
        <w:t>,475</w:t>
      </w:r>
      <w:r w:rsidRPr="00C72724">
        <w:rPr>
          <w:rFonts w:hint="eastAsia"/>
          <w:b/>
          <w:bCs/>
        </w:rPr>
        <w:t>万美元</w:t>
      </w:r>
      <w:r w:rsidR="00311E1B" w:rsidRPr="00C72724">
        <w:rPr>
          <w:rFonts w:hint="eastAsia"/>
          <w:b/>
          <w:bCs/>
        </w:rPr>
        <w:t>资金余额</w:t>
      </w:r>
      <w:r w:rsidRPr="00C72724">
        <w:rPr>
          <w:rFonts w:hint="eastAsia"/>
          <w:b/>
          <w:bCs/>
        </w:rPr>
        <w:t>中</w:t>
      </w:r>
      <w:r w:rsidR="00311E1B" w:rsidRPr="00C72724">
        <w:rPr>
          <w:rFonts w:hint="eastAsia"/>
          <w:b/>
          <w:bCs/>
        </w:rPr>
        <w:t>，</w:t>
      </w:r>
      <w:r w:rsidRPr="00C72724">
        <w:rPr>
          <w:rFonts w:hint="eastAsia"/>
          <w:b/>
          <w:bCs/>
        </w:rPr>
        <w:t>来自</w:t>
      </w:r>
      <w:r w:rsidR="00311E1B" w:rsidRPr="00C72724">
        <w:rPr>
          <w:rFonts w:hint="eastAsia"/>
          <w:b/>
          <w:bCs/>
        </w:rPr>
        <w:t>氟氯化碳生产</w:t>
      </w:r>
      <w:r w:rsidRPr="00C72724">
        <w:rPr>
          <w:rFonts w:hint="eastAsia"/>
          <w:b/>
          <w:bCs/>
        </w:rPr>
        <w:t>、</w:t>
      </w:r>
      <w:r w:rsidR="00311E1B" w:rsidRPr="00C72724">
        <w:rPr>
          <w:rFonts w:hint="eastAsia"/>
          <w:b/>
          <w:bCs/>
        </w:rPr>
        <w:t>聚氨酯</w:t>
      </w:r>
      <w:r w:rsidRPr="00C72724">
        <w:rPr>
          <w:rFonts w:hint="eastAsia"/>
          <w:b/>
          <w:bCs/>
        </w:rPr>
        <w:t>泡沫塑料、</w:t>
      </w:r>
      <w:r w:rsidR="00311E1B" w:rsidRPr="00C72724">
        <w:rPr>
          <w:rFonts w:hint="eastAsia"/>
          <w:b/>
          <w:bCs/>
        </w:rPr>
        <w:t>溶剂和</w:t>
      </w:r>
      <w:r w:rsidRPr="00C72724">
        <w:rPr>
          <w:rFonts w:hint="eastAsia"/>
          <w:b/>
          <w:bCs/>
        </w:rPr>
        <w:t>维修</w:t>
      </w:r>
      <w:r w:rsidR="004907B2" w:rsidRPr="00C72724">
        <w:rPr>
          <w:rFonts w:hint="eastAsia"/>
          <w:b/>
          <w:bCs/>
        </w:rPr>
        <w:t>行业计划</w:t>
      </w:r>
      <w:r w:rsidRPr="00C72724">
        <w:rPr>
          <w:rFonts w:hint="eastAsia"/>
          <w:b/>
          <w:bCs/>
        </w:rPr>
        <w:t>的</w:t>
      </w:r>
      <w:r w:rsidRPr="00C72724">
        <w:rPr>
          <w:rFonts w:hint="eastAsia"/>
          <w:b/>
          <w:bCs/>
        </w:rPr>
        <w:t>252</w:t>
      </w:r>
      <w:r w:rsidRPr="00C72724">
        <w:rPr>
          <w:rFonts w:hint="eastAsia"/>
          <w:b/>
          <w:bCs/>
        </w:rPr>
        <w:t>万美元</w:t>
      </w:r>
      <w:r w:rsidR="00311E1B" w:rsidRPr="00C72724">
        <w:rPr>
          <w:rFonts w:hint="eastAsia"/>
          <w:b/>
          <w:bCs/>
        </w:rPr>
        <w:t>将主要用于正在进行的监测活动，</w:t>
      </w:r>
      <w:r w:rsidRPr="00C72724">
        <w:rPr>
          <w:rFonts w:hint="eastAsia"/>
          <w:b/>
          <w:bCs/>
        </w:rPr>
        <w:t>最迟将于</w:t>
      </w:r>
      <w:r w:rsidR="00311E1B" w:rsidRPr="00C72724">
        <w:rPr>
          <w:rFonts w:hint="eastAsia"/>
          <w:b/>
          <w:bCs/>
        </w:rPr>
        <w:t>2019</w:t>
      </w:r>
      <w:r w:rsidR="00311E1B" w:rsidRPr="00C72724">
        <w:rPr>
          <w:rFonts w:hint="eastAsia"/>
          <w:b/>
          <w:bCs/>
        </w:rPr>
        <w:t>年</w:t>
      </w:r>
      <w:r w:rsidR="00311E1B" w:rsidRPr="00C72724">
        <w:rPr>
          <w:rFonts w:hint="eastAsia"/>
          <w:b/>
          <w:bCs/>
        </w:rPr>
        <w:t>12</w:t>
      </w:r>
      <w:r w:rsidR="00311E1B" w:rsidRPr="00C72724">
        <w:rPr>
          <w:rFonts w:hint="eastAsia"/>
          <w:b/>
          <w:bCs/>
        </w:rPr>
        <w:t>月</w:t>
      </w:r>
      <w:r w:rsidRPr="00C72724">
        <w:rPr>
          <w:rFonts w:hint="eastAsia"/>
          <w:b/>
          <w:bCs/>
        </w:rPr>
        <w:t>发放；来自二类</w:t>
      </w:r>
      <w:r w:rsidR="00311E1B" w:rsidRPr="00C72724">
        <w:rPr>
          <w:rFonts w:hint="eastAsia"/>
          <w:b/>
          <w:bCs/>
        </w:rPr>
        <w:t>加工剂</w:t>
      </w:r>
      <w:r w:rsidR="004907B2" w:rsidRPr="00C72724">
        <w:rPr>
          <w:rFonts w:hint="eastAsia"/>
          <w:b/>
          <w:bCs/>
        </w:rPr>
        <w:t>行业计划</w:t>
      </w:r>
      <w:r w:rsidRPr="00C72724">
        <w:rPr>
          <w:rFonts w:hint="eastAsia"/>
          <w:b/>
          <w:bCs/>
        </w:rPr>
        <w:t>的</w:t>
      </w:r>
      <w:r w:rsidRPr="00C72724">
        <w:rPr>
          <w:rFonts w:hint="eastAsia"/>
          <w:b/>
          <w:bCs/>
        </w:rPr>
        <w:t>307</w:t>
      </w:r>
      <w:r w:rsidRPr="00C72724">
        <w:rPr>
          <w:rFonts w:hint="eastAsia"/>
          <w:b/>
          <w:bCs/>
        </w:rPr>
        <w:t>万美元</w:t>
      </w:r>
      <w:r w:rsidR="00311E1B" w:rsidRPr="00C72724">
        <w:rPr>
          <w:rFonts w:hint="eastAsia"/>
          <w:b/>
          <w:bCs/>
        </w:rPr>
        <w:t>将</w:t>
      </w:r>
      <w:r w:rsidRPr="00C72724">
        <w:rPr>
          <w:rFonts w:hint="eastAsia"/>
          <w:b/>
          <w:bCs/>
        </w:rPr>
        <w:t>用于在线</w:t>
      </w:r>
      <w:r w:rsidRPr="00C72724">
        <w:rPr>
          <w:rFonts w:hint="eastAsia"/>
          <w:b/>
          <w:bCs/>
        </w:rPr>
        <w:t>ODS</w:t>
      </w:r>
      <w:r w:rsidR="00311E1B" w:rsidRPr="00C72724">
        <w:rPr>
          <w:rFonts w:hint="eastAsia"/>
          <w:b/>
          <w:bCs/>
        </w:rPr>
        <w:t>管理</w:t>
      </w:r>
      <w:r w:rsidRPr="00C72724">
        <w:rPr>
          <w:rFonts w:hint="eastAsia"/>
          <w:b/>
          <w:bCs/>
        </w:rPr>
        <w:t>系统</w:t>
      </w:r>
      <w:r w:rsidR="00311E1B" w:rsidRPr="00C72724">
        <w:rPr>
          <w:rFonts w:hint="eastAsia"/>
          <w:b/>
          <w:bCs/>
        </w:rPr>
        <w:t>和海关培训</w:t>
      </w:r>
      <w:r w:rsidRPr="00C72724">
        <w:rPr>
          <w:rFonts w:hint="eastAsia"/>
          <w:b/>
          <w:bCs/>
        </w:rPr>
        <w:t>，并用于</w:t>
      </w:r>
      <w:r w:rsidR="00311E1B" w:rsidRPr="00C72724">
        <w:rPr>
          <w:rFonts w:hint="eastAsia"/>
          <w:b/>
          <w:bCs/>
        </w:rPr>
        <w:t>加强长期可持续</w:t>
      </w:r>
      <w:r w:rsidRPr="00C72724">
        <w:rPr>
          <w:rFonts w:hint="eastAsia"/>
          <w:b/>
          <w:bCs/>
        </w:rPr>
        <w:t>ODS</w:t>
      </w:r>
      <w:r w:rsidR="00311E1B" w:rsidRPr="00C72724">
        <w:rPr>
          <w:rFonts w:hint="eastAsia"/>
          <w:b/>
          <w:bCs/>
        </w:rPr>
        <w:t>监测</w:t>
      </w:r>
      <w:r w:rsidRPr="00C72724">
        <w:rPr>
          <w:rFonts w:hint="eastAsia"/>
          <w:b/>
          <w:bCs/>
        </w:rPr>
        <w:t>工作的活动</w:t>
      </w:r>
      <w:r w:rsidR="00311E1B" w:rsidRPr="00C72724">
        <w:rPr>
          <w:rFonts w:hint="eastAsia"/>
          <w:b/>
          <w:bCs/>
        </w:rPr>
        <w:t>，</w:t>
      </w:r>
      <w:r w:rsidRPr="00C72724">
        <w:rPr>
          <w:rFonts w:hint="eastAsia"/>
          <w:b/>
          <w:bCs/>
        </w:rPr>
        <w:t>将在直至</w:t>
      </w:r>
      <w:r w:rsidR="00311E1B" w:rsidRPr="00C72724">
        <w:rPr>
          <w:rFonts w:hint="eastAsia"/>
          <w:b/>
          <w:bCs/>
        </w:rPr>
        <w:t>2020</w:t>
      </w:r>
      <w:r w:rsidR="00311E1B" w:rsidRPr="00C72724">
        <w:rPr>
          <w:rFonts w:hint="eastAsia"/>
          <w:b/>
          <w:bCs/>
        </w:rPr>
        <w:t>年</w:t>
      </w:r>
      <w:r w:rsidRPr="00C72724">
        <w:rPr>
          <w:rFonts w:hint="eastAsia"/>
          <w:b/>
          <w:bCs/>
        </w:rPr>
        <w:t>12</w:t>
      </w:r>
      <w:r w:rsidRPr="00C72724">
        <w:rPr>
          <w:rFonts w:hint="eastAsia"/>
          <w:b/>
          <w:bCs/>
        </w:rPr>
        <w:t>月的期间内发放；来自</w:t>
      </w:r>
      <w:r w:rsidR="00311E1B" w:rsidRPr="00C72724">
        <w:rPr>
          <w:rFonts w:hint="eastAsia"/>
          <w:b/>
          <w:bCs/>
        </w:rPr>
        <w:t>哈龙行业计划</w:t>
      </w:r>
      <w:r w:rsidRPr="00C72724">
        <w:rPr>
          <w:rFonts w:hint="eastAsia"/>
          <w:b/>
          <w:bCs/>
        </w:rPr>
        <w:t>的</w:t>
      </w:r>
      <w:r w:rsidRPr="00C72724">
        <w:rPr>
          <w:rFonts w:hint="eastAsia"/>
          <w:b/>
          <w:bCs/>
        </w:rPr>
        <w:t>915</w:t>
      </w:r>
      <w:r w:rsidR="00311E1B" w:rsidRPr="00C72724">
        <w:rPr>
          <w:rFonts w:hint="eastAsia"/>
          <w:b/>
          <w:bCs/>
        </w:rPr>
        <w:t>万美元将</w:t>
      </w:r>
      <w:r w:rsidRPr="00C72724">
        <w:rPr>
          <w:rFonts w:hint="eastAsia"/>
          <w:b/>
          <w:bCs/>
        </w:rPr>
        <w:t>用于</w:t>
      </w:r>
      <w:r w:rsidR="00311E1B" w:rsidRPr="00C72724">
        <w:rPr>
          <w:rFonts w:hint="eastAsia"/>
          <w:b/>
          <w:bCs/>
        </w:rPr>
        <w:t>进一步完善</w:t>
      </w:r>
      <w:r w:rsidRPr="00C72724">
        <w:rPr>
          <w:rFonts w:hint="eastAsia"/>
          <w:b/>
          <w:bCs/>
        </w:rPr>
        <w:t>再循环</w:t>
      </w:r>
      <w:r w:rsidR="00311E1B" w:rsidRPr="00C72724">
        <w:rPr>
          <w:rFonts w:hint="eastAsia"/>
          <w:b/>
          <w:bCs/>
        </w:rPr>
        <w:t>体系</w:t>
      </w:r>
      <w:r w:rsidRPr="00C72724">
        <w:rPr>
          <w:rFonts w:hint="eastAsia"/>
          <w:b/>
          <w:bCs/>
        </w:rPr>
        <w:t>的活动和</w:t>
      </w:r>
      <w:r w:rsidR="00311E1B" w:rsidRPr="00C72724">
        <w:rPr>
          <w:rFonts w:hint="eastAsia"/>
          <w:b/>
          <w:bCs/>
        </w:rPr>
        <w:t>实现哈龙的可持续</w:t>
      </w:r>
      <w:r w:rsidRPr="00C72724">
        <w:rPr>
          <w:rFonts w:hint="eastAsia"/>
          <w:b/>
          <w:bCs/>
        </w:rPr>
        <w:t>管理，将在直至</w:t>
      </w:r>
      <w:r w:rsidRPr="00C72724">
        <w:rPr>
          <w:rFonts w:hint="eastAsia"/>
          <w:b/>
          <w:bCs/>
        </w:rPr>
        <w:t>2022</w:t>
      </w:r>
      <w:r w:rsidRPr="00C72724">
        <w:rPr>
          <w:rFonts w:hint="eastAsia"/>
          <w:b/>
          <w:bCs/>
        </w:rPr>
        <w:t>年</w:t>
      </w:r>
      <w:r w:rsidRPr="00C72724">
        <w:rPr>
          <w:rFonts w:hint="eastAsia"/>
          <w:b/>
          <w:bCs/>
        </w:rPr>
        <w:t>12</w:t>
      </w:r>
      <w:r w:rsidRPr="00C72724">
        <w:rPr>
          <w:rFonts w:hint="eastAsia"/>
          <w:b/>
          <w:bCs/>
        </w:rPr>
        <w:t>月的期间内发放。</w:t>
      </w:r>
      <w:r w:rsidR="00311E1B">
        <w:rPr>
          <w:rFonts w:hint="eastAsia"/>
        </w:rPr>
        <w:t xml:space="preserve">                             </w:t>
      </w:r>
    </w:p>
    <w:p w14:paraId="30589BB0" w14:textId="2BB20079" w:rsidR="00311E1B" w:rsidRPr="00C72724" w:rsidRDefault="00C72724" w:rsidP="00C72724">
      <w:pPr>
        <w:keepNext/>
        <w:spacing w:line="259" w:lineRule="auto"/>
        <w:jc w:val="both"/>
        <w:rPr>
          <w:u w:val="single"/>
        </w:rPr>
      </w:pPr>
      <w:r w:rsidRPr="00C72724">
        <w:rPr>
          <w:rFonts w:hint="eastAsia"/>
          <w:u w:val="single"/>
        </w:rPr>
        <w:t>监测</w:t>
      </w:r>
      <w:r w:rsidR="002303EF">
        <w:rPr>
          <w:rFonts w:hint="eastAsia"/>
          <w:u w:val="single"/>
        </w:rPr>
        <w:t>淘汰成果</w:t>
      </w:r>
      <w:r w:rsidR="00311E1B" w:rsidRPr="00C72724">
        <w:rPr>
          <w:rFonts w:hint="eastAsia"/>
          <w:u w:val="single"/>
        </w:rPr>
        <w:t>的可持续性</w:t>
      </w:r>
    </w:p>
    <w:p w14:paraId="4FCA0D00" w14:textId="6C3BCEA3" w:rsidR="00311E1B" w:rsidRDefault="00311E1B" w:rsidP="00311E1B">
      <w:pPr>
        <w:numPr>
          <w:ilvl w:val="0"/>
          <w:numId w:val="20"/>
        </w:numPr>
        <w:spacing w:line="259" w:lineRule="auto"/>
        <w:ind w:left="0" w:firstLine="0"/>
        <w:jc w:val="both"/>
      </w:pPr>
      <w:r>
        <w:rPr>
          <w:rFonts w:hint="eastAsia"/>
        </w:rPr>
        <w:t>每个行业计划都</w:t>
      </w:r>
      <w:r w:rsidR="005A07FE">
        <w:rPr>
          <w:rFonts w:hint="eastAsia"/>
        </w:rPr>
        <w:t>分配资金用于</w:t>
      </w:r>
      <w:r>
        <w:rPr>
          <w:rFonts w:hint="eastAsia"/>
        </w:rPr>
        <w:t>秘书处认为将</w:t>
      </w:r>
      <w:r w:rsidR="005A07FE">
        <w:rPr>
          <w:rFonts w:hint="eastAsia"/>
        </w:rPr>
        <w:t>有助于对</w:t>
      </w:r>
      <w:r w:rsidR="002303EF">
        <w:rPr>
          <w:rFonts w:hint="eastAsia"/>
        </w:rPr>
        <w:t>淘汰成果</w:t>
      </w:r>
      <w:r w:rsidR="005A07FE">
        <w:rPr>
          <w:rFonts w:hint="eastAsia"/>
        </w:rPr>
        <w:t>进行</w:t>
      </w:r>
      <w:r>
        <w:rPr>
          <w:rFonts w:hint="eastAsia"/>
        </w:rPr>
        <w:t>可持续长期监测的</w:t>
      </w:r>
      <w:r w:rsidR="005A07FE">
        <w:rPr>
          <w:rFonts w:hint="eastAsia"/>
        </w:rPr>
        <w:t>活动</w:t>
      </w:r>
      <w:r>
        <w:rPr>
          <w:rFonts w:hint="eastAsia"/>
        </w:rPr>
        <w:t>，包括监督和管理</w:t>
      </w:r>
      <w:r w:rsidR="005A07FE">
        <w:rPr>
          <w:rFonts w:hint="eastAsia"/>
        </w:rPr>
        <w:t>、</w:t>
      </w:r>
      <w:r>
        <w:rPr>
          <w:rFonts w:hint="eastAsia"/>
        </w:rPr>
        <w:t>与信息管理有关的活动</w:t>
      </w:r>
      <w:r w:rsidR="005A07FE">
        <w:rPr>
          <w:rFonts w:hint="eastAsia"/>
        </w:rPr>
        <w:t>、</w:t>
      </w:r>
      <w:r w:rsidR="00E2555F">
        <w:rPr>
          <w:rFonts w:hint="eastAsia"/>
        </w:rPr>
        <w:t>生态和环境局</w:t>
      </w:r>
      <w:r>
        <w:rPr>
          <w:rFonts w:hint="eastAsia"/>
        </w:rPr>
        <w:t>的能力建设以及其他活动。</w:t>
      </w:r>
      <w:r w:rsidR="005A07FE">
        <w:rPr>
          <w:rFonts w:hint="eastAsia"/>
        </w:rPr>
        <w:t>秘书处</w:t>
      </w:r>
      <w:r>
        <w:rPr>
          <w:rFonts w:hint="eastAsia"/>
        </w:rPr>
        <w:t>在</w:t>
      </w:r>
      <w:r w:rsidR="005A07FE">
        <w:rPr>
          <w:rFonts w:hint="eastAsia"/>
        </w:rPr>
        <w:t>第八十二</w:t>
      </w:r>
      <w:r>
        <w:rPr>
          <w:rFonts w:hint="eastAsia"/>
        </w:rPr>
        <w:t>次会议</w:t>
      </w:r>
      <w:r w:rsidR="005A07FE">
        <w:rPr>
          <w:rFonts w:hint="eastAsia"/>
        </w:rPr>
        <w:t>上</w:t>
      </w:r>
      <w:r w:rsidR="005A07FE" w:rsidRPr="005A07FE">
        <w:rPr>
          <w:rFonts w:hint="eastAsia"/>
          <w:b/>
          <w:bCs/>
        </w:rPr>
        <w:t>请</w:t>
      </w:r>
      <w:r>
        <w:rPr>
          <w:rFonts w:hint="eastAsia"/>
        </w:rPr>
        <w:t>中国政府提供</w:t>
      </w:r>
      <w:r w:rsidR="005A07FE">
        <w:rPr>
          <w:rFonts w:hint="eastAsia"/>
        </w:rPr>
        <w:t>更多信息，说明所开展</w:t>
      </w:r>
      <w:r>
        <w:rPr>
          <w:rFonts w:hint="eastAsia"/>
        </w:rPr>
        <w:t>的活动</w:t>
      </w:r>
      <w:r w:rsidR="005A07FE">
        <w:rPr>
          <w:rFonts w:hint="eastAsia"/>
        </w:rPr>
        <w:t>将</w:t>
      </w:r>
      <w:r>
        <w:rPr>
          <w:rFonts w:hint="eastAsia"/>
        </w:rPr>
        <w:t>如何有助于</w:t>
      </w:r>
      <w:r w:rsidR="005A07FE">
        <w:rPr>
          <w:rFonts w:hint="eastAsia"/>
        </w:rPr>
        <w:t>对</w:t>
      </w:r>
      <w:r w:rsidR="002303EF">
        <w:rPr>
          <w:rFonts w:hint="eastAsia"/>
        </w:rPr>
        <w:t>淘汰成果</w:t>
      </w:r>
      <w:r w:rsidR="005A07FE">
        <w:rPr>
          <w:rFonts w:hint="eastAsia"/>
        </w:rPr>
        <w:t>进行</w:t>
      </w:r>
      <w:r>
        <w:rPr>
          <w:rFonts w:hint="eastAsia"/>
        </w:rPr>
        <w:t>可持续的长期监测。为便于参考，以下是</w:t>
      </w:r>
      <w:r w:rsidRPr="005A07FE">
        <w:rPr>
          <w:rFonts w:hint="eastAsia"/>
          <w:b/>
          <w:bCs/>
        </w:rPr>
        <w:t>提交第八十三次会议的文件</w:t>
      </w:r>
      <w:r w:rsidR="005A07FE" w:rsidRPr="005A07FE">
        <w:rPr>
          <w:rFonts w:hint="eastAsia"/>
          <w:b/>
          <w:bCs/>
        </w:rPr>
        <w:t>所载</w:t>
      </w:r>
      <w:r>
        <w:rPr>
          <w:rFonts w:hint="eastAsia"/>
        </w:rPr>
        <w:t>中国政府提供的</w:t>
      </w:r>
      <w:r w:rsidR="005A07FE">
        <w:rPr>
          <w:rFonts w:hint="eastAsia"/>
        </w:rPr>
        <w:t>信息</w:t>
      </w:r>
      <w:r>
        <w:rPr>
          <w:rFonts w:hint="eastAsia"/>
        </w:rPr>
        <w:t>和秘书处的评论。</w:t>
      </w:r>
      <w:r>
        <w:rPr>
          <w:rFonts w:hint="eastAsia"/>
        </w:rPr>
        <w:t xml:space="preserve">                 </w:t>
      </w:r>
    </w:p>
    <w:p w14:paraId="15618CFF" w14:textId="1ABCE969" w:rsidR="00311E1B" w:rsidRPr="003B6C22" w:rsidRDefault="003B6C22" w:rsidP="003B6C22">
      <w:pPr>
        <w:keepNext/>
        <w:spacing w:line="259" w:lineRule="auto"/>
        <w:jc w:val="both"/>
        <w:rPr>
          <w:i/>
          <w:iCs/>
        </w:rPr>
      </w:pPr>
      <w:r w:rsidRPr="003B6C22">
        <w:rPr>
          <w:rFonts w:hint="eastAsia"/>
          <w:i/>
          <w:iCs/>
        </w:rPr>
        <w:t>四氯化碳生产行业和加工剂行业</w:t>
      </w:r>
    </w:p>
    <w:p w14:paraId="1BFA860F" w14:textId="7C2AB651" w:rsidR="007D1266" w:rsidRPr="007D1266" w:rsidRDefault="00311E1B" w:rsidP="007D1266">
      <w:pPr>
        <w:numPr>
          <w:ilvl w:val="0"/>
          <w:numId w:val="20"/>
        </w:numPr>
        <w:tabs>
          <w:tab w:val="num" w:pos="0"/>
        </w:tabs>
        <w:spacing w:line="259" w:lineRule="auto"/>
        <w:ind w:left="0" w:firstLine="0"/>
        <w:jc w:val="both"/>
        <w:rPr>
          <w:lang w:val="en-CA"/>
        </w:rPr>
      </w:pPr>
      <w:r>
        <w:t xml:space="preserve"> </w:t>
      </w:r>
      <w:r w:rsidR="007D1266" w:rsidRPr="00457E6E">
        <w:rPr>
          <w:rFonts w:hint="eastAsia"/>
          <w:lang w:val="zh-CN"/>
        </w:rPr>
        <w:t>氯甲烷工厂</w:t>
      </w:r>
      <w:r w:rsidR="007D1266" w:rsidRPr="007D1266">
        <w:rPr>
          <w:rFonts w:hint="eastAsia"/>
          <w:lang w:val="zh-CN"/>
        </w:rPr>
        <w:t>仍然产生</w:t>
      </w:r>
      <w:r w:rsidR="007D1266" w:rsidRPr="00457E6E">
        <w:rPr>
          <w:rFonts w:hint="eastAsia"/>
          <w:lang w:val="zh-CN"/>
        </w:rPr>
        <w:t>四氯化碳副产品</w:t>
      </w:r>
      <w:r w:rsidR="007D1266" w:rsidRPr="00457E6E">
        <w:rPr>
          <w:rFonts w:hint="eastAsia"/>
          <w:lang w:val="en-CA"/>
        </w:rPr>
        <w:t>（</w:t>
      </w:r>
      <w:r w:rsidR="007D1266" w:rsidRPr="00457E6E">
        <w:rPr>
          <w:rFonts w:hint="eastAsia"/>
          <w:lang w:val="zh-CN"/>
        </w:rPr>
        <w:t>以及甲基氯、二氯甲烷和氯仿</w:t>
      </w:r>
      <w:r w:rsidR="007D1266" w:rsidRPr="00457E6E">
        <w:rPr>
          <w:rFonts w:hint="eastAsia"/>
          <w:lang w:val="en-CA"/>
        </w:rPr>
        <w:t>），</w:t>
      </w:r>
      <w:r w:rsidR="007D1266" w:rsidRPr="00457E6E">
        <w:rPr>
          <w:rFonts w:hint="eastAsia"/>
          <w:lang w:val="zh-CN"/>
        </w:rPr>
        <w:t>其中生成的四氯化碳比率</w:t>
      </w:r>
      <w:r w:rsidR="007D1266" w:rsidRPr="007D1266">
        <w:rPr>
          <w:rFonts w:hint="eastAsia"/>
          <w:lang w:val="zh-CN"/>
        </w:rPr>
        <w:t>已</w:t>
      </w:r>
      <w:r w:rsidR="007D1266" w:rsidRPr="00457E6E">
        <w:rPr>
          <w:rFonts w:hint="eastAsia"/>
          <w:lang w:val="zh-CN"/>
        </w:rPr>
        <w:t>尽可能降低。四氯化碳仍被一些化学品生产</w:t>
      </w:r>
      <w:r w:rsidR="007D1266" w:rsidRPr="007D1266">
        <w:rPr>
          <w:rFonts w:hint="eastAsia"/>
          <w:lang w:val="zh-CN"/>
        </w:rPr>
        <w:t>厂家</w:t>
      </w:r>
      <w:r w:rsidR="007D1266" w:rsidRPr="00457E6E">
        <w:rPr>
          <w:rFonts w:hint="eastAsia"/>
          <w:lang w:val="zh-CN"/>
        </w:rPr>
        <w:t>作为原料使用，用于</w:t>
      </w:r>
      <w:r w:rsidR="007D1266" w:rsidRPr="007D1266">
        <w:rPr>
          <w:rFonts w:hint="eastAsia"/>
          <w:lang w:val="zh-CN"/>
        </w:rPr>
        <w:t>对</w:t>
      </w:r>
      <w:r w:rsidR="007D1266" w:rsidRPr="00457E6E">
        <w:rPr>
          <w:rFonts w:hint="eastAsia"/>
          <w:lang w:val="zh-CN"/>
        </w:rPr>
        <w:t>四氯化碳排放</w:t>
      </w:r>
      <w:r w:rsidR="007D1266" w:rsidRPr="007D1266">
        <w:rPr>
          <w:rFonts w:hint="eastAsia"/>
          <w:lang w:val="zh-CN"/>
        </w:rPr>
        <w:t>实行</w:t>
      </w:r>
      <w:r w:rsidR="007D1266" w:rsidRPr="00457E6E">
        <w:rPr>
          <w:rFonts w:hint="eastAsia"/>
          <w:lang w:val="zh-CN"/>
        </w:rPr>
        <w:t>控制的加工剂</w:t>
      </w:r>
      <w:r w:rsidR="007D1266" w:rsidRPr="007D1266">
        <w:rPr>
          <w:rFonts w:hint="eastAsia"/>
          <w:lang w:val="zh-CN"/>
        </w:rPr>
        <w:t>用途，并用于受</w:t>
      </w:r>
      <w:r w:rsidR="007D1266" w:rsidRPr="00457E6E">
        <w:rPr>
          <w:rFonts w:hint="eastAsia"/>
          <w:lang w:val="zh-CN"/>
        </w:rPr>
        <w:t>国家</w:t>
      </w:r>
      <w:r w:rsidR="007D1266" w:rsidRPr="007D1266">
        <w:rPr>
          <w:rFonts w:hint="eastAsia"/>
          <w:lang w:val="zh-CN"/>
        </w:rPr>
        <w:t>登记</w:t>
      </w:r>
      <w:r w:rsidR="007D1266" w:rsidRPr="00457E6E">
        <w:rPr>
          <w:rFonts w:hint="eastAsia"/>
          <w:lang w:val="zh-CN"/>
        </w:rPr>
        <w:t>和配额制度</w:t>
      </w:r>
      <w:r w:rsidR="007D1266" w:rsidRPr="007D1266">
        <w:rPr>
          <w:rFonts w:hint="eastAsia"/>
          <w:lang w:val="zh-CN"/>
        </w:rPr>
        <w:t>管制</w:t>
      </w:r>
      <w:r w:rsidR="002E25C2">
        <w:rPr>
          <w:rFonts w:hint="eastAsia"/>
          <w:lang w:val="zh-CN"/>
        </w:rPr>
        <w:t>、</w:t>
      </w:r>
      <w:r w:rsidR="007D1266" w:rsidRPr="007D1266">
        <w:rPr>
          <w:rFonts w:hint="eastAsia"/>
          <w:lang w:val="zh-CN"/>
        </w:rPr>
        <w:t>《</w:t>
      </w:r>
      <w:r w:rsidR="007D1266" w:rsidRPr="00457E6E">
        <w:rPr>
          <w:rFonts w:hint="eastAsia"/>
          <w:lang w:val="zh-CN"/>
        </w:rPr>
        <w:t>蒙特利尔议定书</w:t>
      </w:r>
      <w:r w:rsidR="007D1266" w:rsidRPr="007D1266">
        <w:rPr>
          <w:rFonts w:hint="eastAsia"/>
          <w:lang w:val="zh-CN"/>
        </w:rPr>
        <w:t>》</w:t>
      </w:r>
      <w:r w:rsidR="007D1266" w:rsidRPr="00457E6E">
        <w:rPr>
          <w:rFonts w:hint="eastAsia"/>
          <w:lang w:val="zh-CN"/>
        </w:rPr>
        <w:t>缔约方</w:t>
      </w:r>
      <w:r w:rsidR="007D1266" w:rsidRPr="007D1266">
        <w:rPr>
          <w:rFonts w:hint="eastAsia"/>
          <w:lang w:val="zh-CN"/>
        </w:rPr>
        <w:t>大会</w:t>
      </w:r>
      <w:r w:rsidR="007D1266" w:rsidRPr="00457E6E">
        <w:rPr>
          <w:rFonts w:hint="eastAsia"/>
          <w:lang w:val="zh-CN"/>
        </w:rPr>
        <w:t>允许的实验室用途。为了使四氯化碳的生产和消费限制在中国政府允许的范围内，生态</w:t>
      </w:r>
      <w:r w:rsidR="007D1266" w:rsidRPr="007D1266">
        <w:rPr>
          <w:rFonts w:hint="eastAsia"/>
          <w:lang w:val="zh-CN"/>
        </w:rPr>
        <w:t>和</w:t>
      </w:r>
      <w:r w:rsidR="007D1266" w:rsidRPr="00457E6E">
        <w:rPr>
          <w:rFonts w:hint="eastAsia"/>
          <w:lang w:val="zh-CN"/>
        </w:rPr>
        <w:t>环境部</w:t>
      </w:r>
      <w:r w:rsidR="007D1266" w:rsidRPr="007D1266">
        <w:rPr>
          <w:lang w:val="zh-CN"/>
        </w:rPr>
        <w:t>的</w:t>
      </w:r>
      <w:r w:rsidR="007D1266" w:rsidRPr="007D1266">
        <w:rPr>
          <w:rFonts w:hint="eastAsia"/>
          <w:lang w:val="zh-CN"/>
        </w:rPr>
        <w:t>对外合作与交流</w:t>
      </w:r>
      <w:r w:rsidR="007D1266" w:rsidRPr="00457E6E">
        <w:rPr>
          <w:rFonts w:hint="eastAsia"/>
          <w:lang w:val="zh-CN"/>
        </w:rPr>
        <w:t>中心</w:t>
      </w:r>
      <w:r w:rsidR="007D1266" w:rsidRPr="007D1266">
        <w:rPr>
          <w:rFonts w:hint="eastAsia"/>
          <w:lang w:val="zh-CN"/>
        </w:rPr>
        <w:t>（</w:t>
      </w:r>
      <w:r w:rsidR="007D1266" w:rsidRPr="007D1266">
        <w:rPr>
          <w:rFonts w:hint="eastAsia"/>
          <w:lang w:val="zh-CN"/>
        </w:rPr>
        <w:t>FECO</w:t>
      </w:r>
      <w:r w:rsidR="007D1266" w:rsidRPr="007D1266">
        <w:rPr>
          <w:rFonts w:hint="eastAsia"/>
          <w:lang w:val="zh-CN"/>
        </w:rPr>
        <w:t>）</w:t>
      </w:r>
      <w:r w:rsidR="007D1266" w:rsidRPr="00457E6E">
        <w:rPr>
          <w:rFonts w:hint="eastAsia"/>
          <w:lang w:val="zh-CN"/>
        </w:rPr>
        <w:t>向相关企业</w:t>
      </w:r>
      <w:r w:rsidR="007D1266" w:rsidRPr="007D1266">
        <w:rPr>
          <w:rFonts w:hint="eastAsia"/>
          <w:lang w:val="zh-CN"/>
        </w:rPr>
        <w:t>发放</w:t>
      </w:r>
      <w:r w:rsidR="007D1266" w:rsidRPr="00457E6E">
        <w:rPr>
          <w:rFonts w:hint="eastAsia"/>
          <w:lang w:val="zh-CN"/>
        </w:rPr>
        <w:t>四氯化碳实验室用途和加工剂应用的消费量配额。每个四氯化碳原料用户都必须在</w:t>
      </w:r>
      <w:r w:rsidR="00185135">
        <w:rPr>
          <w:rFonts w:hint="eastAsia"/>
          <w:lang w:val="zh-CN"/>
        </w:rPr>
        <w:t>生态和环境部</w:t>
      </w:r>
      <w:r w:rsidR="00185135">
        <w:rPr>
          <w:rFonts w:hint="eastAsia"/>
          <w:lang w:val="zh-CN"/>
        </w:rPr>
        <w:t>/FECO</w:t>
      </w:r>
      <w:r w:rsidR="007D1266" w:rsidRPr="00457E6E">
        <w:rPr>
          <w:rFonts w:hint="eastAsia"/>
          <w:lang w:val="zh-CN"/>
        </w:rPr>
        <w:t>登记。允许合格的四氯化碳生产</w:t>
      </w:r>
      <w:r w:rsidR="007D1266" w:rsidRPr="007D1266">
        <w:rPr>
          <w:rFonts w:hint="eastAsia"/>
          <w:lang w:val="zh-CN"/>
        </w:rPr>
        <w:t>厂家</w:t>
      </w:r>
      <w:r w:rsidR="007D1266" w:rsidRPr="00457E6E">
        <w:rPr>
          <w:rFonts w:hint="eastAsia"/>
          <w:lang w:val="zh-CN"/>
        </w:rPr>
        <w:t>向具有消费配额或</w:t>
      </w:r>
      <w:r w:rsidR="007D1266" w:rsidRPr="007D1266">
        <w:rPr>
          <w:rFonts w:hint="eastAsia"/>
          <w:lang w:val="zh-CN"/>
        </w:rPr>
        <w:t>进行了</w:t>
      </w:r>
      <w:r w:rsidR="007D1266" w:rsidRPr="00457E6E">
        <w:rPr>
          <w:rFonts w:hint="eastAsia"/>
          <w:lang w:val="zh-CN"/>
        </w:rPr>
        <w:t>登记的四氯化碳用户出售四氯化碳。合格生产</w:t>
      </w:r>
      <w:r w:rsidR="007D1266" w:rsidRPr="007D1266">
        <w:rPr>
          <w:rFonts w:hint="eastAsia"/>
          <w:lang w:val="zh-CN"/>
        </w:rPr>
        <w:t>厂家所</w:t>
      </w:r>
      <w:r w:rsidR="007D1266" w:rsidRPr="00457E6E">
        <w:rPr>
          <w:rFonts w:hint="eastAsia"/>
          <w:lang w:val="zh-CN"/>
        </w:rPr>
        <w:t>生产的任何</w:t>
      </w:r>
      <w:r w:rsidR="007D1266" w:rsidRPr="007D1266">
        <w:rPr>
          <w:rFonts w:hint="eastAsia"/>
          <w:lang w:val="zh-CN"/>
        </w:rPr>
        <w:t>过多的</w:t>
      </w:r>
      <w:r w:rsidR="007D1266" w:rsidRPr="00457E6E">
        <w:rPr>
          <w:rFonts w:hint="eastAsia"/>
          <w:lang w:val="zh-CN"/>
        </w:rPr>
        <w:t>四氯化碳都必须转化为二氯甲烷</w:t>
      </w:r>
      <w:r w:rsidR="007D1266" w:rsidRPr="00457E6E">
        <w:rPr>
          <w:lang w:val="zh-CN"/>
        </w:rPr>
        <w:t>/</w:t>
      </w:r>
      <w:r w:rsidR="007D1266" w:rsidRPr="00457E6E">
        <w:rPr>
          <w:rFonts w:hint="eastAsia"/>
          <w:lang w:val="zh-CN"/>
        </w:rPr>
        <w:t>全氯乙烯（</w:t>
      </w:r>
      <w:r w:rsidR="007D1266" w:rsidRPr="00457E6E">
        <w:rPr>
          <w:lang w:val="zh-CN"/>
        </w:rPr>
        <w:t>MCl/PCE</w:t>
      </w:r>
      <w:r w:rsidR="007D1266" w:rsidRPr="00457E6E">
        <w:rPr>
          <w:rFonts w:hint="eastAsia"/>
          <w:lang w:val="zh-CN"/>
        </w:rPr>
        <w:t>）或焚毁。因此，需要继续监测四氯化碳的生产和使用</w:t>
      </w:r>
      <w:r w:rsidR="007D1266" w:rsidRPr="007D1266">
        <w:rPr>
          <w:rFonts w:hint="eastAsia"/>
          <w:lang w:val="zh-CN"/>
        </w:rPr>
        <w:t>情况，</w:t>
      </w:r>
      <w:r w:rsidR="007D1266" w:rsidRPr="00457E6E">
        <w:rPr>
          <w:rFonts w:hint="eastAsia"/>
          <w:lang w:val="zh-CN"/>
        </w:rPr>
        <w:t>向</w:t>
      </w:r>
      <w:r w:rsidR="00185135">
        <w:rPr>
          <w:rFonts w:hint="eastAsia"/>
          <w:lang w:val="zh-CN"/>
        </w:rPr>
        <w:t>生态和环境部</w:t>
      </w:r>
      <w:r w:rsidR="00185135">
        <w:rPr>
          <w:rFonts w:hint="eastAsia"/>
          <w:lang w:val="zh-CN"/>
        </w:rPr>
        <w:t>/FECO</w:t>
      </w:r>
      <w:r w:rsidR="007D1266" w:rsidRPr="00457E6E">
        <w:rPr>
          <w:rFonts w:hint="eastAsia"/>
          <w:lang w:val="zh-CN"/>
        </w:rPr>
        <w:t>报告四氯化碳的生产</w:t>
      </w:r>
      <w:r w:rsidR="007D1266" w:rsidRPr="00457E6E">
        <w:rPr>
          <w:lang w:val="zh-CN"/>
        </w:rPr>
        <w:t>/</w:t>
      </w:r>
      <w:r w:rsidR="007D1266" w:rsidRPr="00457E6E">
        <w:rPr>
          <w:rFonts w:hint="eastAsia"/>
          <w:lang w:val="zh-CN"/>
        </w:rPr>
        <w:t>消费数据</w:t>
      </w:r>
      <w:r w:rsidR="007D1266" w:rsidRPr="007D1266">
        <w:rPr>
          <w:rFonts w:hint="eastAsia"/>
          <w:lang w:val="zh-CN"/>
        </w:rPr>
        <w:t>，并由</w:t>
      </w:r>
      <w:r w:rsidR="007D1266" w:rsidRPr="00457E6E">
        <w:rPr>
          <w:rFonts w:hint="eastAsia"/>
          <w:lang w:val="zh-CN"/>
        </w:rPr>
        <w:t>地方生态和环境局定期进行检查。</w:t>
      </w:r>
      <w:r>
        <w:rPr>
          <w:rFonts w:hint="eastAsia"/>
        </w:rPr>
        <w:t xml:space="preserve"> </w:t>
      </w:r>
    </w:p>
    <w:p w14:paraId="6894BC6B" w14:textId="131503FA" w:rsidR="007D1266" w:rsidRPr="00457E6E" w:rsidRDefault="007D1266" w:rsidP="007D1266">
      <w:pPr>
        <w:numPr>
          <w:ilvl w:val="0"/>
          <w:numId w:val="20"/>
        </w:numPr>
        <w:tabs>
          <w:tab w:val="num" w:pos="0"/>
        </w:tabs>
        <w:spacing w:line="259" w:lineRule="auto"/>
        <w:ind w:left="0" w:firstLine="0"/>
        <w:jc w:val="both"/>
        <w:rPr>
          <w:lang w:val="en-CA"/>
        </w:rPr>
      </w:pPr>
      <w:r w:rsidRPr="00457E6E">
        <w:rPr>
          <w:rFonts w:hint="eastAsia"/>
          <w:lang w:val="zh-CN"/>
        </w:rPr>
        <w:t>为了</w:t>
      </w:r>
      <w:r>
        <w:rPr>
          <w:rFonts w:hint="eastAsia"/>
          <w:lang w:val="zh-CN"/>
        </w:rPr>
        <w:t>由</w:t>
      </w:r>
      <w:r w:rsidRPr="007D1266">
        <w:rPr>
          <w:rFonts w:hint="eastAsia"/>
          <w:lang w:val="zh-CN"/>
        </w:rPr>
        <w:t>生态和环境</w:t>
      </w:r>
      <w:r w:rsidRPr="00457E6E">
        <w:rPr>
          <w:rFonts w:hint="eastAsia"/>
          <w:lang w:val="zh-CN"/>
        </w:rPr>
        <w:t>部和地方生态和环境局对四氯化碳</w:t>
      </w:r>
      <w:r>
        <w:rPr>
          <w:rFonts w:hint="eastAsia"/>
          <w:lang w:val="zh-CN"/>
        </w:rPr>
        <w:t>生产厂家进行</w:t>
      </w:r>
      <w:r w:rsidRPr="00457E6E">
        <w:rPr>
          <w:rFonts w:hint="eastAsia"/>
          <w:lang w:val="zh-CN"/>
        </w:rPr>
        <w:t>日常监测</w:t>
      </w:r>
      <w:r w:rsidRPr="00457E6E">
        <w:rPr>
          <w:rFonts w:hint="eastAsia"/>
          <w:lang w:val="en-CA"/>
        </w:rPr>
        <w:t>，</w:t>
      </w:r>
      <w:r w:rsidRPr="00457E6E">
        <w:rPr>
          <w:rFonts w:hint="eastAsia"/>
          <w:lang w:val="zh-CN"/>
        </w:rPr>
        <w:t>计划重新启动和升级四氯化碳在线监测系统。将建立一个在线监测平台，</w:t>
      </w:r>
      <w:r w:rsidRPr="007D1266">
        <w:rPr>
          <w:rFonts w:hint="eastAsia"/>
          <w:lang w:val="zh-CN"/>
        </w:rPr>
        <w:t>生态和环境</w:t>
      </w:r>
      <w:r w:rsidRPr="00457E6E">
        <w:rPr>
          <w:rFonts w:hint="eastAsia"/>
          <w:lang w:val="zh-CN"/>
        </w:rPr>
        <w:t>部和地方生态和环境局</w:t>
      </w:r>
      <w:r>
        <w:rPr>
          <w:rFonts w:hint="eastAsia"/>
          <w:lang w:val="zh-CN"/>
        </w:rPr>
        <w:t>将</w:t>
      </w:r>
      <w:r w:rsidRPr="00457E6E">
        <w:rPr>
          <w:rFonts w:hint="eastAsia"/>
          <w:lang w:val="zh-CN"/>
        </w:rPr>
        <w:t>通过这个平台</w:t>
      </w:r>
      <w:r>
        <w:rPr>
          <w:rFonts w:hint="eastAsia"/>
          <w:lang w:val="zh-CN"/>
        </w:rPr>
        <w:t>获取来自</w:t>
      </w:r>
      <w:r w:rsidRPr="00457E6E">
        <w:rPr>
          <w:rFonts w:hint="eastAsia"/>
          <w:lang w:val="zh-CN"/>
        </w:rPr>
        <w:t>四氯化碳</w:t>
      </w:r>
      <w:r>
        <w:rPr>
          <w:rFonts w:hint="eastAsia"/>
          <w:lang w:val="zh-CN"/>
        </w:rPr>
        <w:t>生产厂家的</w:t>
      </w:r>
      <w:r w:rsidRPr="00457E6E">
        <w:rPr>
          <w:rFonts w:hint="eastAsia"/>
          <w:lang w:val="zh-CN"/>
        </w:rPr>
        <w:t>实时数据。</w:t>
      </w:r>
    </w:p>
    <w:p w14:paraId="2D0D33F5" w14:textId="211F75B2" w:rsidR="007D1266" w:rsidRPr="007D1266" w:rsidRDefault="007D1266" w:rsidP="007D1266">
      <w:pPr>
        <w:numPr>
          <w:ilvl w:val="0"/>
          <w:numId w:val="20"/>
        </w:numPr>
        <w:tabs>
          <w:tab w:val="num" w:pos="0"/>
        </w:tabs>
        <w:spacing w:line="259" w:lineRule="auto"/>
        <w:ind w:left="0" w:firstLine="0"/>
        <w:jc w:val="both"/>
        <w:rPr>
          <w:lang w:val="en-CA"/>
        </w:rPr>
      </w:pPr>
      <w:r w:rsidRPr="007D1266">
        <w:rPr>
          <w:rFonts w:hint="eastAsia"/>
          <w:lang w:val="zh-CN"/>
        </w:rPr>
        <w:t>在执行淘汰四氯化碳生产计划期间</w:t>
      </w:r>
      <w:r w:rsidR="007A3F8F">
        <w:rPr>
          <w:rFonts w:hint="eastAsia"/>
          <w:lang w:val="zh-CN"/>
        </w:rPr>
        <w:t>查明</w:t>
      </w:r>
      <w:r w:rsidRPr="007D1266">
        <w:rPr>
          <w:rFonts w:hint="eastAsia"/>
          <w:lang w:val="en-CA"/>
        </w:rPr>
        <w:t>，</w:t>
      </w:r>
      <w:r w:rsidR="00356E49" w:rsidRPr="007D1266">
        <w:rPr>
          <w:rFonts w:hint="eastAsia"/>
          <w:lang w:val="zh-CN"/>
        </w:rPr>
        <w:t>在生产四氯化碳时</w:t>
      </w:r>
      <w:r w:rsidR="00356E49">
        <w:rPr>
          <w:rFonts w:hint="eastAsia"/>
          <w:lang w:val="zh-CN"/>
        </w:rPr>
        <w:t>产生</w:t>
      </w:r>
      <w:r w:rsidRPr="007D1266">
        <w:rPr>
          <w:rFonts w:hint="eastAsia"/>
          <w:lang w:val="zh-CN"/>
        </w:rPr>
        <w:t>含四氯化碳残留物。如果不加以</w:t>
      </w:r>
      <w:r w:rsidR="00356E49">
        <w:rPr>
          <w:rFonts w:hint="eastAsia"/>
          <w:lang w:val="zh-CN"/>
        </w:rPr>
        <w:t>焚毁</w:t>
      </w:r>
      <w:r w:rsidRPr="007D1266">
        <w:rPr>
          <w:rFonts w:hint="eastAsia"/>
          <w:lang w:val="zh-CN"/>
        </w:rPr>
        <w:t>或委托</w:t>
      </w:r>
      <w:r w:rsidR="00356E49">
        <w:rPr>
          <w:rFonts w:hint="eastAsia"/>
          <w:lang w:val="zh-CN"/>
        </w:rPr>
        <w:t>其他方面焚毁</w:t>
      </w:r>
      <w:r w:rsidRPr="007D1266">
        <w:rPr>
          <w:rFonts w:hint="eastAsia"/>
          <w:lang w:val="zh-CN"/>
        </w:rPr>
        <w:t>，四氯化碳可能被回</w:t>
      </w:r>
      <w:r w:rsidR="006E6B18" w:rsidRPr="007D1266">
        <w:rPr>
          <w:rFonts w:hint="eastAsia"/>
          <w:lang w:val="zh-CN"/>
        </w:rPr>
        <w:t>收</w:t>
      </w:r>
      <w:r w:rsidR="00356E49">
        <w:rPr>
          <w:rFonts w:hint="eastAsia"/>
          <w:lang w:val="zh-CN"/>
        </w:rPr>
        <w:t>，</w:t>
      </w:r>
      <w:r w:rsidRPr="007D1266">
        <w:rPr>
          <w:rFonts w:hint="eastAsia"/>
          <w:lang w:val="zh-CN"/>
        </w:rPr>
        <w:t>出售用于非法用途。为了降低这</w:t>
      </w:r>
      <w:r w:rsidR="00356E49">
        <w:rPr>
          <w:rFonts w:hint="eastAsia"/>
          <w:lang w:val="zh-CN"/>
        </w:rPr>
        <w:t>一</w:t>
      </w:r>
      <w:r w:rsidRPr="007D1266">
        <w:rPr>
          <w:rFonts w:hint="eastAsia"/>
          <w:lang w:val="zh-CN"/>
        </w:rPr>
        <w:t>风险，</w:t>
      </w:r>
      <w:r w:rsidR="00356E49" w:rsidRPr="007D1266">
        <w:rPr>
          <w:rFonts w:hint="eastAsia"/>
          <w:lang w:val="zh-CN"/>
        </w:rPr>
        <w:t>九个氯甲烷工厂的焚烧设施</w:t>
      </w:r>
      <w:r w:rsidR="00356E49">
        <w:rPr>
          <w:rFonts w:hint="eastAsia"/>
          <w:lang w:val="zh-CN"/>
        </w:rPr>
        <w:t>得到了</w:t>
      </w:r>
      <w:r w:rsidR="00356E49">
        <w:rPr>
          <w:rFonts w:hint="eastAsia"/>
          <w:lang w:val="zh-CN"/>
        </w:rPr>
        <w:t>FECO</w:t>
      </w:r>
      <w:r w:rsidR="00356E49">
        <w:rPr>
          <w:rFonts w:hint="eastAsia"/>
          <w:lang w:val="zh-CN"/>
        </w:rPr>
        <w:t>和地方</w:t>
      </w:r>
      <w:r w:rsidR="00356E49" w:rsidRPr="007D1266">
        <w:rPr>
          <w:rFonts w:hint="eastAsia"/>
          <w:lang w:val="zh-CN"/>
        </w:rPr>
        <w:t>生态和环境局</w:t>
      </w:r>
      <w:r w:rsidR="00356E49">
        <w:rPr>
          <w:rFonts w:hint="eastAsia"/>
          <w:lang w:val="zh-CN"/>
        </w:rPr>
        <w:t>的资助</w:t>
      </w:r>
      <w:r w:rsidRPr="007D1266">
        <w:rPr>
          <w:rFonts w:hint="eastAsia"/>
          <w:lang w:val="zh-CN"/>
        </w:rPr>
        <w:t>，</w:t>
      </w:r>
      <w:r w:rsidR="00356E49">
        <w:rPr>
          <w:rFonts w:hint="eastAsia"/>
          <w:lang w:val="zh-CN"/>
        </w:rPr>
        <w:t>必须</w:t>
      </w:r>
      <w:r w:rsidRPr="007D1266">
        <w:rPr>
          <w:rFonts w:hint="eastAsia"/>
          <w:lang w:val="zh-CN"/>
        </w:rPr>
        <w:t>监测四氯化碳残留物的处置情况。</w:t>
      </w:r>
    </w:p>
    <w:p w14:paraId="6E8F04BC" w14:textId="4A4A73F4" w:rsidR="007D1266" w:rsidRPr="007D1266" w:rsidRDefault="007D1266" w:rsidP="007D1266">
      <w:pPr>
        <w:numPr>
          <w:ilvl w:val="0"/>
          <w:numId w:val="20"/>
        </w:numPr>
        <w:tabs>
          <w:tab w:val="num" w:pos="0"/>
        </w:tabs>
        <w:spacing w:line="259" w:lineRule="auto"/>
        <w:ind w:left="0" w:firstLine="0"/>
        <w:jc w:val="both"/>
        <w:rPr>
          <w:lang w:val="en-CA"/>
        </w:rPr>
      </w:pPr>
      <w:r w:rsidRPr="007D1266">
        <w:t>2017</w:t>
      </w:r>
      <w:r w:rsidRPr="007D1266">
        <w:rPr>
          <w:rFonts w:hint="eastAsia"/>
          <w:lang w:val="zh-CN"/>
        </w:rPr>
        <w:t>年</w:t>
      </w:r>
      <w:r w:rsidRPr="007D1266">
        <w:rPr>
          <w:rFonts w:hint="eastAsia"/>
        </w:rPr>
        <w:t>，</w:t>
      </w:r>
      <w:r w:rsidRPr="007D1266">
        <w:rPr>
          <w:rFonts w:hint="eastAsia"/>
          <w:lang w:val="zh-CN"/>
        </w:rPr>
        <w:t>中国政府宣布承诺</w:t>
      </w:r>
      <w:r w:rsidR="002303EF">
        <w:rPr>
          <w:rFonts w:hint="eastAsia"/>
          <w:lang w:val="zh-CN"/>
        </w:rPr>
        <w:t>最迟于</w:t>
      </w:r>
      <w:r w:rsidRPr="007D1266">
        <w:t>2019</w:t>
      </w:r>
      <w:r w:rsidRPr="007D1266">
        <w:rPr>
          <w:rFonts w:hint="eastAsia"/>
          <w:lang w:val="zh-CN"/>
        </w:rPr>
        <w:t>年停止</w:t>
      </w:r>
      <w:r w:rsidR="002303EF">
        <w:rPr>
          <w:rFonts w:hint="eastAsia"/>
          <w:lang w:val="zh-CN"/>
        </w:rPr>
        <w:t>在</w:t>
      </w:r>
      <w:r w:rsidR="002303EF" w:rsidRPr="007D1266">
        <w:rPr>
          <w:rFonts w:hint="eastAsia"/>
          <w:lang w:val="zh-CN"/>
        </w:rPr>
        <w:t>实验室</w:t>
      </w:r>
      <w:r w:rsidR="002303EF">
        <w:rPr>
          <w:rFonts w:hint="eastAsia"/>
          <w:lang w:val="zh-CN"/>
        </w:rPr>
        <w:t>的</w:t>
      </w:r>
      <w:r w:rsidR="002303EF" w:rsidRPr="007D1266">
        <w:rPr>
          <w:rFonts w:hint="eastAsia"/>
          <w:lang w:val="zh-CN"/>
        </w:rPr>
        <w:t>水中含油量测试</w:t>
      </w:r>
      <w:r w:rsidR="002303EF">
        <w:rPr>
          <w:rFonts w:hint="eastAsia"/>
          <w:lang w:val="zh-CN"/>
        </w:rPr>
        <w:t>中</w:t>
      </w:r>
      <w:r w:rsidRPr="007D1266">
        <w:rPr>
          <w:rFonts w:hint="eastAsia"/>
          <w:lang w:val="zh-CN"/>
        </w:rPr>
        <w:t>使用四氯化碳。为了</w:t>
      </w:r>
      <w:r w:rsidR="002303EF">
        <w:rPr>
          <w:rFonts w:hint="eastAsia"/>
          <w:lang w:val="zh-CN"/>
        </w:rPr>
        <w:t>使用</w:t>
      </w:r>
      <w:r w:rsidRPr="007D1266">
        <w:rPr>
          <w:rFonts w:hint="eastAsia"/>
          <w:lang w:val="zh-CN"/>
        </w:rPr>
        <w:t>非</w:t>
      </w:r>
      <w:r w:rsidR="002303EF">
        <w:rPr>
          <w:rFonts w:hint="eastAsia"/>
          <w:lang w:val="zh-CN"/>
        </w:rPr>
        <w:t>ODS</w:t>
      </w:r>
      <w:r w:rsidRPr="007D1266">
        <w:rPr>
          <w:rFonts w:hint="eastAsia"/>
          <w:lang w:val="zh-CN"/>
        </w:rPr>
        <w:t>萃取剂取代四氯化碳进行水中含油量测试，生态和环境部已完成研究、测试和分析</w:t>
      </w:r>
      <w:r w:rsidR="002303EF">
        <w:rPr>
          <w:rFonts w:hint="eastAsia"/>
          <w:lang w:val="zh-CN"/>
        </w:rPr>
        <w:t>工作</w:t>
      </w:r>
      <w:r w:rsidRPr="007D1266">
        <w:rPr>
          <w:rFonts w:hint="eastAsia"/>
          <w:lang w:val="zh-CN"/>
        </w:rPr>
        <w:t>，确定</w:t>
      </w:r>
      <w:r w:rsidR="002303EF">
        <w:rPr>
          <w:rFonts w:hint="eastAsia"/>
          <w:lang w:val="zh-CN"/>
        </w:rPr>
        <w:t>了</w:t>
      </w:r>
      <w:r w:rsidRPr="007D1266">
        <w:rPr>
          <w:rFonts w:hint="eastAsia"/>
          <w:lang w:val="zh-CN"/>
        </w:rPr>
        <w:t>取代四氯化碳的方法</w:t>
      </w:r>
      <w:r w:rsidR="002303EF">
        <w:rPr>
          <w:rFonts w:hint="eastAsia"/>
          <w:lang w:val="zh-CN"/>
        </w:rPr>
        <w:t>，</w:t>
      </w:r>
      <w:r w:rsidRPr="007D1266">
        <w:rPr>
          <w:rFonts w:hint="eastAsia"/>
          <w:lang w:val="zh-CN"/>
        </w:rPr>
        <w:t>预计在不久的将来发布相关国家标准。鉴于替换四氯化碳</w:t>
      </w:r>
      <w:r w:rsidR="002303EF">
        <w:rPr>
          <w:rFonts w:hint="eastAsia"/>
          <w:lang w:val="zh-CN"/>
        </w:rPr>
        <w:t>不</w:t>
      </w:r>
      <w:r w:rsidRPr="007D1266">
        <w:rPr>
          <w:rFonts w:hint="eastAsia"/>
          <w:lang w:val="zh-CN"/>
        </w:rPr>
        <w:t>仅是一个技术问题，生态和环境部将继续</w:t>
      </w:r>
      <w:r w:rsidR="002303EF">
        <w:rPr>
          <w:rFonts w:hint="eastAsia"/>
          <w:lang w:val="zh-CN"/>
        </w:rPr>
        <w:t>进行</w:t>
      </w:r>
      <w:r w:rsidRPr="007D1266">
        <w:rPr>
          <w:rFonts w:hint="eastAsia"/>
          <w:lang w:val="zh-CN"/>
        </w:rPr>
        <w:t>替代技术</w:t>
      </w:r>
      <w:r w:rsidR="002303EF">
        <w:rPr>
          <w:rFonts w:hint="eastAsia"/>
          <w:lang w:val="zh-CN"/>
        </w:rPr>
        <w:t>的</w:t>
      </w:r>
      <w:r w:rsidRPr="007D1266">
        <w:rPr>
          <w:rFonts w:hint="eastAsia"/>
          <w:lang w:val="zh-CN"/>
        </w:rPr>
        <w:t>培训和推广，并</w:t>
      </w:r>
      <w:r w:rsidR="002303EF">
        <w:rPr>
          <w:rFonts w:hint="eastAsia"/>
          <w:lang w:val="zh-CN"/>
        </w:rPr>
        <w:t>举办</w:t>
      </w:r>
      <w:r w:rsidRPr="007D1266">
        <w:rPr>
          <w:rFonts w:hint="eastAsia"/>
          <w:lang w:val="zh-CN"/>
        </w:rPr>
        <w:t>一个项目</w:t>
      </w:r>
      <w:r w:rsidR="002303EF">
        <w:rPr>
          <w:rFonts w:hint="eastAsia"/>
          <w:lang w:val="zh-CN"/>
        </w:rPr>
        <w:t>来</w:t>
      </w:r>
      <w:r w:rsidRPr="007D1266">
        <w:rPr>
          <w:rFonts w:hint="eastAsia"/>
          <w:lang w:val="zh-CN"/>
        </w:rPr>
        <w:t>鼓励企业提高替代试剂的质量，</w:t>
      </w:r>
      <w:r w:rsidR="002303EF">
        <w:rPr>
          <w:rFonts w:hint="eastAsia"/>
          <w:lang w:val="zh-CN"/>
        </w:rPr>
        <w:t>用</w:t>
      </w:r>
      <w:r w:rsidRPr="007D1266">
        <w:rPr>
          <w:rFonts w:hint="eastAsia"/>
          <w:lang w:val="zh-CN"/>
        </w:rPr>
        <w:t>以取代实验室中的四氯化碳。</w:t>
      </w:r>
    </w:p>
    <w:p w14:paraId="7FB58C1D" w14:textId="2B974C58" w:rsidR="007D1266" w:rsidRPr="007D1266" w:rsidRDefault="007D1266" w:rsidP="007D1266">
      <w:pPr>
        <w:numPr>
          <w:ilvl w:val="0"/>
          <w:numId w:val="20"/>
        </w:numPr>
        <w:tabs>
          <w:tab w:val="num" w:pos="0"/>
        </w:tabs>
        <w:spacing w:line="259" w:lineRule="auto"/>
        <w:ind w:left="0" w:firstLine="0"/>
        <w:jc w:val="both"/>
        <w:rPr>
          <w:lang w:val="en-CA"/>
        </w:rPr>
      </w:pPr>
      <w:r w:rsidRPr="007D1266">
        <w:rPr>
          <w:rFonts w:hint="eastAsia"/>
          <w:lang w:val="zh-CN"/>
        </w:rPr>
        <w:lastRenderedPageBreak/>
        <w:t>政府还表示</w:t>
      </w:r>
      <w:r w:rsidRPr="007D1266">
        <w:rPr>
          <w:rFonts w:hint="eastAsia"/>
          <w:lang w:val="en-CA"/>
        </w:rPr>
        <w:t>，</w:t>
      </w:r>
      <w:r w:rsidRPr="007D1266">
        <w:rPr>
          <w:rFonts w:hint="eastAsia"/>
          <w:lang w:val="zh-CN"/>
        </w:rPr>
        <w:t>它</w:t>
      </w:r>
      <w:r w:rsidR="002303EF">
        <w:rPr>
          <w:rFonts w:hint="eastAsia"/>
          <w:lang w:val="zh-CN"/>
        </w:rPr>
        <w:t>的</w:t>
      </w:r>
      <w:r w:rsidRPr="007D1266">
        <w:rPr>
          <w:rFonts w:hint="eastAsia"/>
          <w:lang w:val="zh-CN"/>
        </w:rPr>
        <w:t>理解</w:t>
      </w:r>
      <w:r w:rsidR="002303EF">
        <w:rPr>
          <w:rFonts w:hint="eastAsia"/>
          <w:lang w:val="zh-CN"/>
        </w:rPr>
        <w:t>是，</w:t>
      </w:r>
      <w:r w:rsidRPr="007D1266">
        <w:rPr>
          <w:rFonts w:hint="eastAsia"/>
          <w:lang w:val="zh-CN"/>
        </w:rPr>
        <w:t>剩余资金也可用于缔约方可能决定</w:t>
      </w:r>
      <w:r w:rsidR="002303EF">
        <w:rPr>
          <w:rFonts w:hint="eastAsia"/>
          <w:lang w:val="zh-CN"/>
        </w:rPr>
        <w:t>在</w:t>
      </w:r>
      <w:r w:rsidRPr="007D1266">
        <w:rPr>
          <w:rFonts w:hint="eastAsia"/>
          <w:lang w:val="zh-CN"/>
        </w:rPr>
        <w:t>《蒙特利尔议定书》</w:t>
      </w:r>
      <w:r w:rsidR="002303EF">
        <w:rPr>
          <w:rFonts w:hint="eastAsia"/>
          <w:lang w:val="zh-CN"/>
        </w:rPr>
        <w:t>下</w:t>
      </w:r>
      <w:r w:rsidRPr="007D1266">
        <w:rPr>
          <w:rFonts w:hint="eastAsia"/>
          <w:lang w:val="zh-CN"/>
        </w:rPr>
        <w:t>的</w:t>
      </w:r>
      <w:r w:rsidR="002303EF">
        <w:rPr>
          <w:rFonts w:hint="eastAsia"/>
          <w:lang w:val="zh-CN"/>
        </w:rPr>
        <w:t>受控</w:t>
      </w:r>
      <w:r w:rsidRPr="007D1266">
        <w:rPr>
          <w:rFonts w:hint="eastAsia"/>
          <w:lang w:val="zh-CN"/>
        </w:rPr>
        <w:t>加工剂清单</w:t>
      </w:r>
      <w:r w:rsidR="002303EF">
        <w:rPr>
          <w:rFonts w:hint="eastAsia"/>
          <w:lang w:val="zh-CN"/>
        </w:rPr>
        <w:t>中增加</w:t>
      </w:r>
      <w:r w:rsidRPr="007D1266">
        <w:rPr>
          <w:rFonts w:hint="eastAsia"/>
          <w:lang w:val="zh-CN"/>
        </w:rPr>
        <w:t>的任何新加工剂。</w:t>
      </w:r>
    </w:p>
    <w:p w14:paraId="72CD436C" w14:textId="687179EA" w:rsidR="007D1266" w:rsidRPr="007D1266" w:rsidRDefault="007D1266" w:rsidP="007D1266">
      <w:pPr>
        <w:numPr>
          <w:ilvl w:val="0"/>
          <w:numId w:val="20"/>
        </w:numPr>
        <w:tabs>
          <w:tab w:val="num" w:pos="0"/>
        </w:tabs>
        <w:spacing w:line="259" w:lineRule="auto"/>
        <w:ind w:left="0" w:firstLine="0"/>
        <w:jc w:val="both"/>
        <w:rPr>
          <w:lang w:val="en-CA"/>
        </w:rPr>
      </w:pPr>
      <w:r w:rsidRPr="007D1266">
        <w:rPr>
          <w:rFonts w:hint="eastAsia"/>
          <w:lang w:val="zh-CN"/>
        </w:rPr>
        <w:t>中国政府了解这些挑战</w:t>
      </w:r>
      <w:r w:rsidRPr="007D1266">
        <w:rPr>
          <w:rFonts w:hint="eastAsia"/>
          <w:lang w:val="en-CA"/>
        </w:rPr>
        <w:t>，</w:t>
      </w:r>
      <w:r w:rsidRPr="007D1266">
        <w:rPr>
          <w:rFonts w:hint="eastAsia"/>
          <w:lang w:val="zh-CN"/>
        </w:rPr>
        <w:t>认为有必要将该</w:t>
      </w:r>
      <w:r w:rsidR="002303EF">
        <w:rPr>
          <w:rFonts w:hint="eastAsia"/>
          <w:lang w:val="zh-CN"/>
        </w:rPr>
        <w:t>计划</w:t>
      </w:r>
      <w:r w:rsidRPr="007D1266">
        <w:rPr>
          <w:rFonts w:hint="eastAsia"/>
          <w:lang w:val="zh-CN"/>
        </w:rPr>
        <w:t>延长到</w:t>
      </w:r>
      <w:r w:rsidRPr="007D1266">
        <w:rPr>
          <w:lang w:val="en-CA"/>
        </w:rPr>
        <w:t>2018</w:t>
      </w:r>
      <w:r w:rsidRPr="007D1266">
        <w:rPr>
          <w:rFonts w:hint="eastAsia"/>
          <w:lang w:val="zh-CN"/>
        </w:rPr>
        <w:t>年以后</w:t>
      </w:r>
      <w:r w:rsidRPr="007D1266">
        <w:rPr>
          <w:rFonts w:hint="eastAsia"/>
          <w:lang w:val="en-CA"/>
        </w:rPr>
        <w:t>，</w:t>
      </w:r>
      <w:r w:rsidRPr="007D1266">
        <w:rPr>
          <w:rFonts w:hint="eastAsia"/>
          <w:lang w:val="zh-CN"/>
        </w:rPr>
        <w:t>并继续使用这些资金确保</w:t>
      </w:r>
      <w:r w:rsidR="002303EF" w:rsidRPr="007D1266">
        <w:rPr>
          <w:rFonts w:hint="eastAsia"/>
          <w:lang w:val="zh-CN"/>
        </w:rPr>
        <w:t>受控用途的四氯化碳</w:t>
      </w:r>
      <w:r w:rsidR="002303EF">
        <w:rPr>
          <w:rFonts w:hint="eastAsia"/>
          <w:lang w:val="zh-CN"/>
        </w:rPr>
        <w:t>淘汰成果的可持续性</w:t>
      </w:r>
      <w:r w:rsidRPr="007D1266">
        <w:rPr>
          <w:rFonts w:hint="eastAsia"/>
          <w:lang w:val="zh-CN"/>
        </w:rPr>
        <w:t>。</w:t>
      </w:r>
    </w:p>
    <w:p w14:paraId="47A06F0F" w14:textId="2D446BEE" w:rsidR="007D1266" w:rsidRPr="007D1266" w:rsidRDefault="007D1266" w:rsidP="007D1266">
      <w:pPr>
        <w:numPr>
          <w:ilvl w:val="0"/>
          <w:numId w:val="20"/>
        </w:numPr>
        <w:tabs>
          <w:tab w:val="num" w:pos="0"/>
        </w:tabs>
        <w:spacing w:line="259" w:lineRule="auto"/>
        <w:ind w:left="0" w:firstLine="0"/>
        <w:jc w:val="both"/>
        <w:rPr>
          <w:lang w:val="en-GB"/>
        </w:rPr>
      </w:pPr>
      <w:r w:rsidRPr="007D1266">
        <w:rPr>
          <w:rFonts w:hint="eastAsia"/>
          <w:lang w:val="zh-CN"/>
        </w:rPr>
        <w:t>秘书处赞赏地注意到为该行业</w:t>
      </w:r>
      <w:r w:rsidR="00724AE2">
        <w:rPr>
          <w:rFonts w:hint="eastAsia"/>
          <w:lang w:val="zh-CN"/>
        </w:rPr>
        <w:t>的</w:t>
      </w:r>
      <w:r w:rsidR="00724AE2" w:rsidRPr="007D1266">
        <w:rPr>
          <w:rFonts w:hint="eastAsia"/>
          <w:lang w:val="zh-CN"/>
        </w:rPr>
        <w:t>长期监测和管理</w:t>
      </w:r>
      <w:r w:rsidR="00724AE2">
        <w:rPr>
          <w:rFonts w:hint="eastAsia"/>
          <w:lang w:val="zh-CN"/>
        </w:rPr>
        <w:t>工作拨款</w:t>
      </w:r>
      <w:r w:rsidRPr="007D1266">
        <w:rPr>
          <w:lang w:val="en-CA"/>
        </w:rPr>
        <w:t>1,200,000</w:t>
      </w:r>
      <w:r w:rsidRPr="007D1266">
        <w:rPr>
          <w:rFonts w:hint="eastAsia"/>
          <w:lang w:val="zh-CN"/>
        </w:rPr>
        <w:t>美元的</w:t>
      </w:r>
      <w:r w:rsidR="00724AE2">
        <w:rPr>
          <w:rFonts w:hint="eastAsia"/>
          <w:lang w:val="zh-CN"/>
        </w:rPr>
        <w:t>提议</w:t>
      </w:r>
      <w:r w:rsidRPr="007D1266">
        <w:rPr>
          <w:rFonts w:hint="eastAsia"/>
          <w:lang w:val="zh-CN"/>
        </w:rPr>
        <w:t>。秘书处在支持为此目的</w:t>
      </w:r>
      <w:r w:rsidR="00724AE2">
        <w:rPr>
          <w:rFonts w:hint="eastAsia"/>
          <w:lang w:val="zh-CN"/>
        </w:rPr>
        <w:t>划拨</w:t>
      </w:r>
      <w:r w:rsidRPr="007D1266">
        <w:rPr>
          <w:rFonts w:hint="eastAsia"/>
          <w:lang w:val="zh-CN"/>
        </w:rPr>
        <w:t>资金的同时，</w:t>
      </w:r>
      <w:r w:rsidR="00724AE2">
        <w:rPr>
          <w:rFonts w:hint="eastAsia"/>
          <w:lang w:val="zh-CN"/>
        </w:rPr>
        <w:t>也</w:t>
      </w:r>
      <w:r w:rsidRPr="007D1266">
        <w:rPr>
          <w:rFonts w:hint="eastAsia"/>
          <w:lang w:val="zh-CN"/>
        </w:rPr>
        <w:t>注意到</w:t>
      </w:r>
      <w:r w:rsidR="00724AE2">
        <w:rPr>
          <w:rFonts w:hint="eastAsia"/>
          <w:lang w:val="zh-CN"/>
        </w:rPr>
        <w:t>资金数额</w:t>
      </w:r>
      <w:r w:rsidRPr="007D1266">
        <w:rPr>
          <w:rFonts w:hint="eastAsia"/>
          <w:lang w:val="zh-CN"/>
        </w:rPr>
        <w:t>庞大，因此</w:t>
      </w:r>
      <w:r w:rsidR="00724AE2">
        <w:rPr>
          <w:rFonts w:hint="eastAsia"/>
          <w:lang w:val="zh-CN"/>
        </w:rPr>
        <w:t>寻求</w:t>
      </w:r>
      <w:r w:rsidRPr="007D1266">
        <w:rPr>
          <w:rFonts w:hint="eastAsia"/>
          <w:lang w:val="zh-CN"/>
        </w:rPr>
        <w:t>更好地了解</w:t>
      </w:r>
      <w:r w:rsidR="00724AE2">
        <w:rPr>
          <w:rFonts w:hint="eastAsia"/>
          <w:lang w:val="zh-CN"/>
        </w:rPr>
        <w:t>所资助的</w:t>
      </w:r>
      <w:r w:rsidRPr="007D1266">
        <w:rPr>
          <w:rFonts w:hint="eastAsia"/>
          <w:lang w:val="zh-CN"/>
        </w:rPr>
        <w:t>这些活动与已经</w:t>
      </w:r>
      <w:r w:rsidR="00724AE2">
        <w:rPr>
          <w:rFonts w:hint="eastAsia"/>
          <w:lang w:val="zh-CN"/>
        </w:rPr>
        <w:t>进行</w:t>
      </w:r>
      <w:r w:rsidRPr="007D1266">
        <w:rPr>
          <w:rFonts w:hint="eastAsia"/>
          <w:lang w:val="zh-CN"/>
        </w:rPr>
        <w:t>的活动</w:t>
      </w:r>
      <w:r w:rsidR="00724AE2">
        <w:rPr>
          <w:rFonts w:hint="eastAsia"/>
          <w:lang w:val="zh-CN"/>
        </w:rPr>
        <w:t>之间</w:t>
      </w:r>
      <w:r w:rsidRPr="007D1266">
        <w:rPr>
          <w:rFonts w:hint="eastAsia"/>
          <w:lang w:val="zh-CN"/>
        </w:rPr>
        <w:t>有何关联。秘书处还</w:t>
      </w:r>
      <w:r w:rsidR="00724AE2">
        <w:rPr>
          <w:rFonts w:hint="eastAsia"/>
          <w:lang w:val="zh-CN"/>
        </w:rPr>
        <w:t>请求澄清以下问题：</w:t>
      </w:r>
      <w:r w:rsidRPr="007D1266">
        <w:rPr>
          <w:rFonts w:hint="eastAsia"/>
          <w:lang w:val="zh-CN"/>
        </w:rPr>
        <w:t>四氯化碳</w:t>
      </w:r>
      <w:r>
        <w:rPr>
          <w:rFonts w:hint="eastAsia"/>
          <w:lang w:val="zh-CN"/>
        </w:rPr>
        <w:t>生产厂家</w:t>
      </w:r>
      <w:r w:rsidR="00724AE2">
        <w:rPr>
          <w:rFonts w:hint="eastAsia"/>
          <w:lang w:val="zh-CN"/>
        </w:rPr>
        <w:t>是</w:t>
      </w:r>
      <w:r w:rsidRPr="007D1266">
        <w:rPr>
          <w:rFonts w:hint="eastAsia"/>
          <w:lang w:val="zh-CN"/>
        </w:rPr>
        <w:t>如何获得资格</w:t>
      </w:r>
      <w:r w:rsidR="00724AE2">
        <w:rPr>
          <w:rFonts w:hint="eastAsia"/>
          <w:lang w:val="zh-CN"/>
        </w:rPr>
        <w:t>的</w:t>
      </w:r>
      <w:r w:rsidRPr="007D1266">
        <w:rPr>
          <w:rFonts w:hint="eastAsia"/>
          <w:lang w:val="zh-CN"/>
        </w:rPr>
        <w:t>；用户如何登记，此类</w:t>
      </w:r>
      <w:r w:rsidR="00724AE2">
        <w:rPr>
          <w:rFonts w:hint="eastAsia"/>
          <w:lang w:val="zh-CN"/>
        </w:rPr>
        <w:t>登记</w:t>
      </w:r>
      <w:r w:rsidRPr="007D1266">
        <w:rPr>
          <w:rFonts w:hint="eastAsia"/>
          <w:lang w:val="zh-CN"/>
        </w:rPr>
        <w:t>是否仅限于</w:t>
      </w:r>
      <w:r w:rsidR="00724AE2">
        <w:rPr>
          <w:rFonts w:hint="eastAsia"/>
          <w:lang w:val="zh-CN"/>
        </w:rPr>
        <w:t>那些</w:t>
      </w:r>
      <w:r w:rsidRPr="007D1266">
        <w:rPr>
          <w:rFonts w:hint="eastAsia"/>
          <w:lang w:val="zh-CN"/>
        </w:rPr>
        <w:t>已</w:t>
      </w:r>
      <w:r w:rsidR="00724AE2">
        <w:rPr>
          <w:rFonts w:hint="eastAsia"/>
          <w:lang w:val="zh-CN"/>
        </w:rPr>
        <w:t>证明</w:t>
      </w:r>
      <w:r w:rsidRPr="007D1266">
        <w:rPr>
          <w:rFonts w:hint="eastAsia"/>
          <w:lang w:val="zh-CN"/>
        </w:rPr>
        <w:t>有</w:t>
      </w:r>
      <w:r w:rsidR="00724AE2">
        <w:rPr>
          <w:rFonts w:hint="eastAsia"/>
          <w:lang w:val="zh-CN"/>
        </w:rPr>
        <w:t>加工剂用途</w:t>
      </w:r>
      <w:r w:rsidRPr="007D1266">
        <w:rPr>
          <w:rFonts w:hint="eastAsia"/>
          <w:lang w:val="zh-CN"/>
        </w:rPr>
        <w:t>、原料</w:t>
      </w:r>
      <w:r w:rsidR="00724AE2">
        <w:rPr>
          <w:rFonts w:hint="eastAsia"/>
          <w:lang w:val="zh-CN"/>
        </w:rPr>
        <w:t>用途</w:t>
      </w:r>
      <w:r w:rsidRPr="007D1266">
        <w:rPr>
          <w:rFonts w:hint="eastAsia"/>
          <w:lang w:val="zh-CN"/>
        </w:rPr>
        <w:t>或实验室用途的</w:t>
      </w:r>
      <w:r w:rsidR="00724AE2">
        <w:rPr>
          <w:rFonts w:hint="eastAsia"/>
          <w:lang w:val="zh-CN"/>
        </w:rPr>
        <w:t>用户</w:t>
      </w:r>
      <w:r w:rsidRPr="007D1266">
        <w:rPr>
          <w:rFonts w:hint="eastAsia"/>
          <w:lang w:val="zh-CN"/>
        </w:rPr>
        <w:t>；</w:t>
      </w:r>
      <w:r w:rsidR="00724AE2">
        <w:rPr>
          <w:rFonts w:hint="eastAsia"/>
          <w:lang w:val="zh-CN"/>
        </w:rPr>
        <w:t>FECO</w:t>
      </w:r>
      <w:r w:rsidRPr="007D1266">
        <w:rPr>
          <w:rFonts w:hint="eastAsia"/>
          <w:lang w:val="zh-CN"/>
        </w:rPr>
        <w:t>是否</w:t>
      </w:r>
      <w:r w:rsidR="00724AE2">
        <w:rPr>
          <w:rFonts w:hint="eastAsia"/>
          <w:lang w:val="zh-CN"/>
        </w:rPr>
        <w:t>发放</w:t>
      </w:r>
      <w:r w:rsidR="00724AE2" w:rsidRPr="007D1266">
        <w:rPr>
          <w:rFonts w:hint="eastAsia"/>
          <w:lang w:val="zh-CN"/>
        </w:rPr>
        <w:t>四氯化碳配额</w:t>
      </w:r>
      <w:r w:rsidRPr="007D1266">
        <w:rPr>
          <w:rFonts w:hint="eastAsia"/>
          <w:lang w:val="zh-CN"/>
        </w:rPr>
        <w:t>和如何</w:t>
      </w:r>
      <w:r w:rsidR="00724AE2">
        <w:rPr>
          <w:rFonts w:hint="eastAsia"/>
          <w:lang w:val="zh-CN"/>
        </w:rPr>
        <w:t>发放</w:t>
      </w:r>
      <w:r w:rsidRPr="007D1266">
        <w:rPr>
          <w:rFonts w:hint="eastAsia"/>
          <w:lang w:val="zh-CN"/>
        </w:rPr>
        <w:t>；与在线监测系统有关的其他信息，包括</w:t>
      </w:r>
      <w:r w:rsidR="00724AE2">
        <w:rPr>
          <w:rFonts w:hint="eastAsia"/>
          <w:lang w:val="zh-CN"/>
        </w:rPr>
        <w:t>该系统</w:t>
      </w:r>
      <w:r w:rsidRPr="007D1266">
        <w:rPr>
          <w:rFonts w:hint="eastAsia"/>
          <w:lang w:val="zh-CN"/>
        </w:rPr>
        <w:t>预计何时</w:t>
      </w:r>
      <w:r w:rsidR="00724AE2">
        <w:rPr>
          <w:rFonts w:hint="eastAsia"/>
          <w:lang w:val="zh-CN"/>
        </w:rPr>
        <w:t>投入</w:t>
      </w:r>
      <w:r w:rsidRPr="007D1266">
        <w:rPr>
          <w:rFonts w:hint="eastAsia"/>
          <w:lang w:val="zh-CN"/>
        </w:rPr>
        <w:t>运行；是否要求所有氯甲烷工厂都拥有</w:t>
      </w:r>
      <w:r w:rsidR="00724AE2">
        <w:rPr>
          <w:rFonts w:hint="eastAsia"/>
          <w:lang w:val="zh-CN"/>
        </w:rPr>
        <w:t>和</w:t>
      </w:r>
      <w:r w:rsidRPr="007D1266">
        <w:rPr>
          <w:rFonts w:hint="eastAsia"/>
          <w:lang w:val="zh-CN"/>
        </w:rPr>
        <w:t>运行处置四氯化碳残留物的焚烧炉。</w:t>
      </w:r>
      <w:r w:rsidRPr="007D1266">
        <w:rPr>
          <w:lang w:val="en-GB"/>
        </w:rPr>
        <w:t xml:space="preserve"> </w:t>
      </w:r>
    </w:p>
    <w:p w14:paraId="70D170C8" w14:textId="77813CB9" w:rsidR="007D1266" w:rsidRPr="007D1266" w:rsidRDefault="007D1266" w:rsidP="007D1266">
      <w:pPr>
        <w:numPr>
          <w:ilvl w:val="0"/>
          <w:numId w:val="20"/>
        </w:numPr>
        <w:tabs>
          <w:tab w:val="num" w:pos="0"/>
        </w:tabs>
        <w:spacing w:line="259" w:lineRule="auto"/>
        <w:ind w:left="0" w:firstLine="0"/>
        <w:jc w:val="both"/>
        <w:rPr>
          <w:lang w:val="en-GB"/>
        </w:rPr>
      </w:pPr>
      <w:r w:rsidRPr="007D1266">
        <w:rPr>
          <w:rFonts w:hint="eastAsia"/>
          <w:lang w:val="zh-CN"/>
        </w:rPr>
        <w:t>中国政府</w:t>
      </w:r>
      <w:r w:rsidR="00EE6162">
        <w:rPr>
          <w:rFonts w:hint="eastAsia"/>
          <w:lang w:val="zh-CN"/>
        </w:rPr>
        <w:t>通报说</w:t>
      </w:r>
      <w:r w:rsidRPr="007D1266">
        <w:rPr>
          <w:rFonts w:hint="eastAsia"/>
          <w:lang w:val="en-GB"/>
        </w:rPr>
        <w:t>，</w:t>
      </w:r>
      <w:r w:rsidRPr="007D1266">
        <w:rPr>
          <w:rFonts w:hint="eastAsia"/>
          <w:lang w:val="zh-CN"/>
        </w:rPr>
        <w:t>有</w:t>
      </w:r>
      <w:r w:rsidRPr="007D1266">
        <w:rPr>
          <w:lang w:val="en-GB"/>
        </w:rPr>
        <w:t>15</w:t>
      </w:r>
      <w:r w:rsidR="00EE6162">
        <w:rPr>
          <w:rFonts w:hint="eastAsia"/>
          <w:lang w:val="zh-CN"/>
        </w:rPr>
        <w:t>个</w:t>
      </w:r>
      <w:r w:rsidRPr="007D1266">
        <w:rPr>
          <w:rFonts w:hint="eastAsia"/>
          <w:lang w:val="zh-CN"/>
        </w:rPr>
        <w:t>氯甲烷</w:t>
      </w:r>
      <w:r>
        <w:rPr>
          <w:rFonts w:hint="eastAsia"/>
          <w:lang w:val="zh-CN"/>
        </w:rPr>
        <w:t>生产厂家</w:t>
      </w:r>
      <w:r w:rsidRPr="007D1266">
        <w:rPr>
          <w:rFonts w:hint="eastAsia"/>
          <w:lang w:val="zh-CN"/>
        </w:rPr>
        <w:t>生产</w:t>
      </w:r>
      <w:r w:rsidR="00EE6162">
        <w:rPr>
          <w:rFonts w:hint="eastAsia"/>
          <w:lang w:val="zh-CN"/>
        </w:rPr>
        <w:t>副产品</w:t>
      </w:r>
      <w:r w:rsidRPr="007D1266">
        <w:rPr>
          <w:rFonts w:hint="eastAsia"/>
          <w:lang w:val="zh-CN"/>
        </w:rPr>
        <w:t>四氯化碳和其他各种氯甲烷。</w:t>
      </w:r>
      <w:r w:rsidRPr="007D1266">
        <w:rPr>
          <w:lang w:val="zh-CN"/>
        </w:rPr>
        <w:t xml:space="preserve"> </w:t>
      </w:r>
      <w:r w:rsidR="00EE6162">
        <w:rPr>
          <w:rFonts w:hint="eastAsia"/>
          <w:lang w:val="zh-CN"/>
        </w:rPr>
        <w:t>这</w:t>
      </w:r>
      <w:r w:rsidRPr="007D1266">
        <w:rPr>
          <w:lang w:val="zh-CN"/>
        </w:rPr>
        <w:t>15</w:t>
      </w:r>
      <w:r w:rsidR="00EE6162">
        <w:rPr>
          <w:rFonts w:hint="eastAsia"/>
          <w:lang w:val="zh-CN"/>
        </w:rPr>
        <w:t>个</w:t>
      </w:r>
      <w:r>
        <w:rPr>
          <w:rFonts w:hint="eastAsia"/>
          <w:lang w:val="zh-CN"/>
        </w:rPr>
        <w:t>厂家</w:t>
      </w:r>
      <w:r w:rsidRPr="007D1266">
        <w:rPr>
          <w:rFonts w:hint="eastAsia"/>
          <w:lang w:val="zh-CN"/>
        </w:rPr>
        <w:t>中只有</w:t>
      </w:r>
      <w:r w:rsidRPr="007D1266">
        <w:rPr>
          <w:lang w:val="zh-CN"/>
        </w:rPr>
        <w:t>3</w:t>
      </w:r>
      <w:r w:rsidR="00EE6162">
        <w:rPr>
          <w:rFonts w:hint="eastAsia"/>
          <w:lang w:val="zh-CN"/>
        </w:rPr>
        <w:t>个</w:t>
      </w:r>
      <w:r w:rsidR="00451B18">
        <w:rPr>
          <w:rFonts w:hint="eastAsia"/>
          <w:lang w:val="zh-CN"/>
        </w:rPr>
        <w:t>获准</w:t>
      </w:r>
      <w:r w:rsidR="00EE6162">
        <w:rPr>
          <w:rFonts w:hint="eastAsia"/>
          <w:lang w:val="zh-CN"/>
        </w:rPr>
        <w:t>向已经登记</w:t>
      </w:r>
      <w:r w:rsidR="00451B18" w:rsidRPr="007D1266">
        <w:rPr>
          <w:rFonts w:hint="eastAsia"/>
          <w:lang w:val="zh-CN"/>
        </w:rPr>
        <w:t>的用户出售四氯化碳</w:t>
      </w:r>
      <w:r w:rsidR="00451B18">
        <w:rPr>
          <w:rFonts w:hint="eastAsia"/>
          <w:lang w:val="zh-CN"/>
        </w:rPr>
        <w:t>，这些用户必须具有</w:t>
      </w:r>
      <w:r w:rsidR="00451B18">
        <w:rPr>
          <w:rFonts w:hint="eastAsia"/>
          <w:lang w:val="zh-CN"/>
        </w:rPr>
        <w:t>FECO</w:t>
      </w:r>
      <w:r w:rsidR="00451B18">
        <w:rPr>
          <w:rFonts w:hint="eastAsia"/>
          <w:lang w:val="zh-CN"/>
        </w:rPr>
        <w:t>仅</w:t>
      </w:r>
      <w:r w:rsidR="00451B18" w:rsidRPr="007D1266">
        <w:rPr>
          <w:rFonts w:hint="eastAsia"/>
          <w:lang w:val="zh-CN"/>
        </w:rPr>
        <w:t>为原料、实验室和加工剂用途</w:t>
      </w:r>
      <w:r w:rsidR="00451B18">
        <w:rPr>
          <w:rFonts w:hint="eastAsia"/>
          <w:lang w:val="zh-CN"/>
        </w:rPr>
        <w:t>发放</w:t>
      </w:r>
      <w:r w:rsidR="00451B18" w:rsidRPr="007D1266">
        <w:rPr>
          <w:rFonts w:hint="eastAsia"/>
          <w:lang w:val="zh-CN"/>
        </w:rPr>
        <w:t>的</w:t>
      </w:r>
      <w:r w:rsidR="00451B18">
        <w:rPr>
          <w:rFonts w:hint="eastAsia"/>
          <w:lang w:val="zh-CN"/>
        </w:rPr>
        <w:t>年度</w:t>
      </w:r>
      <w:r w:rsidR="00451B18" w:rsidRPr="007D1266">
        <w:rPr>
          <w:rFonts w:hint="eastAsia"/>
          <w:lang w:val="zh-CN"/>
        </w:rPr>
        <w:t>配额</w:t>
      </w:r>
      <w:r w:rsidRPr="007D1266">
        <w:rPr>
          <w:rFonts w:hint="eastAsia"/>
          <w:lang w:val="zh-CN"/>
        </w:rPr>
        <w:t>。只有在</w:t>
      </w:r>
      <w:r w:rsidRPr="007D1266">
        <w:rPr>
          <w:lang w:val="zh-CN"/>
        </w:rPr>
        <w:t>2007</w:t>
      </w:r>
      <w:r w:rsidRPr="007D1266">
        <w:rPr>
          <w:rFonts w:hint="eastAsia"/>
          <w:lang w:val="zh-CN"/>
        </w:rPr>
        <w:t>年以前就拥有</w:t>
      </w:r>
      <w:r w:rsidR="00EE6162">
        <w:rPr>
          <w:rFonts w:hint="eastAsia"/>
          <w:lang w:val="zh-CN"/>
        </w:rPr>
        <w:t>产量</w:t>
      </w:r>
      <w:r w:rsidRPr="007D1266">
        <w:rPr>
          <w:rFonts w:hint="eastAsia"/>
          <w:lang w:val="zh-CN"/>
        </w:rPr>
        <w:t>配额的四氯化碳</w:t>
      </w:r>
      <w:r>
        <w:rPr>
          <w:rFonts w:hint="eastAsia"/>
          <w:lang w:val="zh-CN"/>
        </w:rPr>
        <w:t>生产厂家</w:t>
      </w:r>
      <w:r w:rsidRPr="007D1266">
        <w:rPr>
          <w:rFonts w:hint="eastAsia"/>
          <w:lang w:val="zh-CN"/>
        </w:rPr>
        <w:t>才能出售四氯化碳。</w:t>
      </w:r>
      <w:r w:rsidR="00185135">
        <w:rPr>
          <w:rFonts w:hint="eastAsia"/>
          <w:lang w:val="zh-CN"/>
        </w:rPr>
        <w:t>生态和环境部</w:t>
      </w:r>
      <w:r w:rsidR="00185135">
        <w:rPr>
          <w:rFonts w:hint="eastAsia"/>
          <w:lang w:val="zh-CN"/>
        </w:rPr>
        <w:t>/FECO</w:t>
      </w:r>
      <w:r w:rsidRPr="007D1266">
        <w:rPr>
          <w:rFonts w:hint="eastAsia"/>
          <w:lang w:val="zh-CN"/>
        </w:rPr>
        <w:t>每年</w:t>
      </w:r>
      <w:r w:rsidR="00EE6162">
        <w:rPr>
          <w:rFonts w:hint="eastAsia"/>
          <w:lang w:val="zh-CN"/>
        </w:rPr>
        <w:t>对其资格进行审查</w:t>
      </w:r>
      <w:r w:rsidRPr="007D1266">
        <w:rPr>
          <w:rFonts w:hint="eastAsia"/>
          <w:lang w:val="zh-CN"/>
        </w:rPr>
        <w:t>。</w:t>
      </w:r>
      <w:r w:rsidRPr="007D1266">
        <w:rPr>
          <w:lang w:val="en-GB"/>
        </w:rPr>
        <w:t xml:space="preserve"> </w:t>
      </w:r>
    </w:p>
    <w:p w14:paraId="2DE09CCC" w14:textId="441677D9" w:rsidR="007D1266" w:rsidRPr="007D1266" w:rsidRDefault="007D1266" w:rsidP="007D1266">
      <w:pPr>
        <w:numPr>
          <w:ilvl w:val="0"/>
          <w:numId w:val="20"/>
        </w:numPr>
        <w:tabs>
          <w:tab w:val="num" w:pos="0"/>
        </w:tabs>
        <w:spacing w:line="259" w:lineRule="auto"/>
        <w:ind w:left="0" w:firstLine="0"/>
        <w:jc w:val="both"/>
        <w:rPr>
          <w:lang w:val="en-GB"/>
        </w:rPr>
      </w:pPr>
      <w:r w:rsidRPr="007D1266">
        <w:rPr>
          <w:rFonts w:hint="eastAsia"/>
          <w:lang w:val="zh-CN"/>
        </w:rPr>
        <w:t>总共有</w:t>
      </w:r>
      <w:r w:rsidR="00EE6162">
        <w:rPr>
          <w:rFonts w:hint="eastAsia"/>
          <w:lang w:val="en-GB"/>
        </w:rPr>
        <w:t>八</w:t>
      </w:r>
      <w:r w:rsidRPr="007D1266">
        <w:rPr>
          <w:rFonts w:hint="eastAsia"/>
          <w:lang w:val="zh-CN"/>
        </w:rPr>
        <w:t>家企业</w:t>
      </w:r>
      <w:r w:rsidR="00451B18">
        <w:rPr>
          <w:rFonts w:hint="eastAsia"/>
          <w:lang w:val="zh-CN"/>
        </w:rPr>
        <w:t>具有</w:t>
      </w:r>
      <w:r w:rsidRPr="007D1266">
        <w:rPr>
          <w:rFonts w:hint="eastAsia"/>
          <w:lang w:val="zh-CN"/>
        </w:rPr>
        <w:t>实验室和加工剂</w:t>
      </w:r>
      <w:r w:rsidR="00451B18">
        <w:rPr>
          <w:rFonts w:hint="eastAsia"/>
          <w:lang w:val="zh-CN"/>
        </w:rPr>
        <w:t>用途</w:t>
      </w:r>
      <w:r w:rsidRPr="007D1266">
        <w:rPr>
          <w:rFonts w:hint="eastAsia"/>
          <w:lang w:val="en-GB"/>
        </w:rPr>
        <w:t>，</w:t>
      </w:r>
      <w:r w:rsidRPr="007D1266">
        <w:rPr>
          <w:rFonts w:hint="eastAsia"/>
          <w:lang w:val="zh-CN"/>
        </w:rPr>
        <w:t>它们需要向生态和环境部申请年度采购配额。</w:t>
      </w:r>
      <w:r w:rsidRPr="007D1266">
        <w:rPr>
          <w:lang w:val="zh-CN"/>
        </w:rPr>
        <w:t>2017</w:t>
      </w:r>
      <w:r w:rsidRPr="007D1266">
        <w:rPr>
          <w:rFonts w:hint="eastAsia"/>
          <w:lang w:val="zh-CN"/>
        </w:rPr>
        <w:t>年，生态和环境部向这</w:t>
      </w:r>
      <w:r w:rsidR="00451B18">
        <w:rPr>
          <w:rFonts w:hint="eastAsia"/>
          <w:lang w:val="zh-CN"/>
        </w:rPr>
        <w:t>八</w:t>
      </w:r>
      <w:r w:rsidRPr="007D1266">
        <w:rPr>
          <w:rFonts w:hint="eastAsia"/>
          <w:lang w:val="zh-CN"/>
        </w:rPr>
        <w:t>家企业发放了</w:t>
      </w:r>
      <w:r w:rsidRPr="007D1266">
        <w:rPr>
          <w:lang w:val="zh-CN"/>
        </w:rPr>
        <w:t>395</w:t>
      </w:r>
      <w:r w:rsidRPr="007D1266">
        <w:rPr>
          <w:rFonts w:hint="eastAsia"/>
          <w:lang w:val="zh-CN"/>
        </w:rPr>
        <w:t>公吨的配额。对于原料用户，生态和环境部每年对</w:t>
      </w:r>
      <w:r w:rsidR="00451B18">
        <w:rPr>
          <w:rFonts w:hint="eastAsia"/>
          <w:lang w:val="zh-CN"/>
        </w:rPr>
        <w:t>登记</w:t>
      </w:r>
      <w:r w:rsidRPr="007D1266">
        <w:rPr>
          <w:rFonts w:hint="eastAsia"/>
          <w:lang w:val="zh-CN"/>
        </w:rPr>
        <w:t>进行管理。申请</w:t>
      </w:r>
      <w:r w:rsidR="00451B18">
        <w:rPr>
          <w:rFonts w:hint="eastAsia"/>
          <w:lang w:val="zh-CN"/>
        </w:rPr>
        <w:t>登记</w:t>
      </w:r>
      <w:r w:rsidRPr="007D1266">
        <w:rPr>
          <w:rFonts w:hint="eastAsia"/>
          <w:lang w:val="zh-CN"/>
        </w:rPr>
        <w:t>的四氯化碳原料用户必须提交必要的</w:t>
      </w:r>
      <w:r w:rsidR="00451B18">
        <w:rPr>
          <w:rFonts w:hint="eastAsia"/>
          <w:lang w:val="zh-CN"/>
        </w:rPr>
        <w:t>审批</w:t>
      </w:r>
      <w:r w:rsidRPr="007D1266">
        <w:rPr>
          <w:rFonts w:hint="eastAsia"/>
          <w:lang w:val="zh-CN"/>
        </w:rPr>
        <w:t>文件，包括环境影响评估报告。</w:t>
      </w:r>
      <w:r w:rsidRPr="007D1266">
        <w:rPr>
          <w:lang w:val="zh-CN"/>
        </w:rPr>
        <w:t xml:space="preserve"> </w:t>
      </w:r>
      <w:r w:rsidR="00451B18">
        <w:rPr>
          <w:rFonts w:hint="eastAsia"/>
          <w:lang w:val="zh-CN"/>
        </w:rPr>
        <w:t>FECO</w:t>
      </w:r>
      <w:r w:rsidRPr="007D1266">
        <w:rPr>
          <w:rFonts w:hint="eastAsia"/>
          <w:lang w:val="zh-CN"/>
        </w:rPr>
        <w:t>在审核了提交的文件后，</w:t>
      </w:r>
      <w:r w:rsidR="00451B18">
        <w:rPr>
          <w:rFonts w:hint="eastAsia"/>
          <w:lang w:val="zh-CN"/>
        </w:rPr>
        <w:t>将</w:t>
      </w:r>
      <w:r w:rsidRPr="007D1266">
        <w:rPr>
          <w:rFonts w:hint="eastAsia"/>
          <w:lang w:val="zh-CN"/>
        </w:rPr>
        <w:t>在其网站</w:t>
      </w:r>
      <w:r w:rsidR="00451B18">
        <w:rPr>
          <w:rFonts w:hint="eastAsia"/>
          <w:lang w:val="zh-CN"/>
        </w:rPr>
        <w:t>上</w:t>
      </w:r>
      <w:r w:rsidRPr="007D1266">
        <w:rPr>
          <w:rFonts w:hint="eastAsia"/>
          <w:lang w:val="zh-CN"/>
        </w:rPr>
        <w:t>公布</w:t>
      </w:r>
      <w:r w:rsidR="00451B18">
        <w:rPr>
          <w:rFonts w:hint="eastAsia"/>
          <w:lang w:val="zh-CN"/>
        </w:rPr>
        <w:t>登记</w:t>
      </w:r>
      <w:r w:rsidRPr="007D1266">
        <w:rPr>
          <w:rFonts w:hint="eastAsia"/>
          <w:lang w:val="zh-CN"/>
        </w:rPr>
        <w:t>结果，确认原料用途和四氯化碳数量</w:t>
      </w:r>
      <w:r w:rsidR="00451B18">
        <w:rPr>
          <w:rFonts w:hint="eastAsia"/>
          <w:lang w:val="zh-CN"/>
        </w:rPr>
        <w:t>，该数量</w:t>
      </w:r>
      <w:r w:rsidRPr="007D1266">
        <w:rPr>
          <w:rFonts w:hint="eastAsia"/>
          <w:lang w:val="zh-CN"/>
        </w:rPr>
        <w:t>不能超过环境影响评估报告</w:t>
      </w:r>
      <w:r w:rsidR="00451B18">
        <w:rPr>
          <w:rFonts w:hint="eastAsia"/>
          <w:lang w:val="zh-CN"/>
        </w:rPr>
        <w:t>所述</w:t>
      </w:r>
      <w:r w:rsidRPr="007D1266">
        <w:rPr>
          <w:rFonts w:hint="eastAsia"/>
          <w:lang w:val="zh-CN"/>
        </w:rPr>
        <w:t>原料设施的核准</w:t>
      </w:r>
      <w:r w:rsidR="00451B18">
        <w:rPr>
          <w:rFonts w:hint="eastAsia"/>
          <w:lang w:val="zh-CN"/>
        </w:rPr>
        <w:t>产能</w:t>
      </w:r>
      <w:r w:rsidRPr="007D1266">
        <w:rPr>
          <w:rFonts w:hint="eastAsia"/>
          <w:lang w:val="zh-CN"/>
        </w:rPr>
        <w:t>。登记</w:t>
      </w:r>
      <w:r w:rsidR="00451B18">
        <w:rPr>
          <w:rFonts w:hint="eastAsia"/>
          <w:lang w:val="zh-CN"/>
        </w:rPr>
        <w:t>须</w:t>
      </w:r>
      <w:r w:rsidRPr="007D1266">
        <w:rPr>
          <w:rFonts w:hint="eastAsia"/>
          <w:lang w:val="zh-CN"/>
        </w:rPr>
        <w:t>具体规定使用四氯化碳生产的产品类型和四氯化碳的数量。</w:t>
      </w:r>
    </w:p>
    <w:p w14:paraId="1CEC0691" w14:textId="4EF2FC1D" w:rsidR="007D1266" w:rsidRPr="007D1266" w:rsidRDefault="007D1266" w:rsidP="007D1266">
      <w:pPr>
        <w:numPr>
          <w:ilvl w:val="0"/>
          <w:numId w:val="20"/>
        </w:numPr>
        <w:tabs>
          <w:tab w:val="num" w:pos="0"/>
        </w:tabs>
        <w:spacing w:line="259" w:lineRule="auto"/>
        <w:ind w:left="0" w:firstLine="0"/>
        <w:jc w:val="both"/>
        <w:rPr>
          <w:bCs/>
          <w:lang w:val="en-GB"/>
        </w:rPr>
      </w:pPr>
      <w:r w:rsidRPr="007D1266">
        <w:rPr>
          <w:rFonts w:hint="eastAsia"/>
          <w:lang w:val="zh-CN"/>
        </w:rPr>
        <w:t>在中国</w:t>
      </w:r>
      <w:r w:rsidRPr="007D1266">
        <w:rPr>
          <w:rFonts w:hint="eastAsia"/>
          <w:lang w:val="en-GB"/>
        </w:rPr>
        <w:t>，</w:t>
      </w:r>
      <w:r w:rsidRPr="007D1266">
        <w:rPr>
          <w:rFonts w:hint="eastAsia"/>
          <w:lang w:val="zh-CN"/>
        </w:rPr>
        <w:t>四氯化碳残留物的处置必须符合危险废物管理条例</w:t>
      </w:r>
      <w:r w:rsidRPr="007D1266">
        <w:rPr>
          <w:rFonts w:hint="eastAsia"/>
          <w:lang w:val="en-GB"/>
        </w:rPr>
        <w:t>，</w:t>
      </w:r>
      <w:r w:rsidRPr="007D1266">
        <w:rPr>
          <w:rFonts w:hint="eastAsia"/>
          <w:lang w:val="zh-CN"/>
        </w:rPr>
        <w:t>这是有别于</w:t>
      </w:r>
      <w:r w:rsidR="00451B18">
        <w:rPr>
          <w:rFonts w:hint="eastAsia"/>
          <w:lang w:val="zh-CN"/>
        </w:rPr>
        <w:t>ODS</w:t>
      </w:r>
      <w:r w:rsidRPr="007D1266">
        <w:rPr>
          <w:rFonts w:hint="eastAsia"/>
          <w:lang w:val="zh-CN"/>
        </w:rPr>
        <w:t>管理条例的另一个管理制度。根据现行政策，氯甲烷</w:t>
      </w:r>
      <w:r>
        <w:rPr>
          <w:rFonts w:hint="eastAsia"/>
          <w:lang w:val="zh-CN"/>
        </w:rPr>
        <w:t>生产厂家</w:t>
      </w:r>
      <w:r w:rsidRPr="007D1266">
        <w:rPr>
          <w:rFonts w:hint="eastAsia"/>
          <w:lang w:val="zh-CN"/>
        </w:rPr>
        <w:t>可以选择通过</w:t>
      </w:r>
      <w:r w:rsidR="007741C4">
        <w:rPr>
          <w:rFonts w:hint="eastAsia"/>
          <w:lang w:val="zh-CN"/>
        </w:rPr>
        <w:t>本厂的</w:t>
      </w:r>
      <w:r w:rsidR="007741C4" w:rsidRPr="007D1266">
        <w:rPr>
          <w:rFonts w:hint="eastAsia"/>
          <w:lang w:val="zh-CN"/>
        </w:rPr>
        <w:t>处置设施</w:t>
      </w:r>
      <w:r w:rsidR="007741C4">
        <w:rPr>
          <w:rFonts w:hint="eastAsia"/>
          <w:lang w:val="zh-CN"/>
        </w:rPr>
        <w:t>来</w:t>
      </w:r>
      <w:r w:rsidR="007741C4" w:rsidRPr="007D1266">
        <w:rPr>
          <w:rFonts w:hint="eastAsia"/>
          <w:lang w:val="zh-CN"/>
        </w:rPr>
        <w:t>处置四氯化碳残留物</w:t>
      </w:r>
      <w:r w:rsidR="007741C4">
        <w:rPr>
          <w:rFonts w:hint="eastAsia"/>
          <w:lang w:val="zh-CN"/>
        </w:rPr>
        <w:t>，这些设施须通过</w:t>
      </w:r>
      <w:r w:rsidRPr="007D1266">
        <w:rPr>
          <w:rFonts w:hint="eastAsia"/>
          <w:lang w:val="zh-CN"/>
        </w:rPr>
        <w:t>地方生态和环境局</w:t>
      </w:r>
      <w:r w:rsidR="007741C4">
        <w:rPr>
          <w:rFonts w:hint="eastAsia"/>
          <w:lang w:val="zh-CN"/>
        </w:rPr>
        <w:t>核准</w:t>
      </w:r>
      <w:r w:rsidRPr="007D1266">
        <w:rPr>
          <w:rFonts w:hint="eastAsia"/>
          <w:lang w:val="zh-CN"/>
        </w:rPr>
        <w:t>的环境影响评估，</w:t>
      </w:r>
      <w:r w:rsidR="007741C4">
        <w:rPr>
          <w:rFonts w:hint="eastAsia"/>
          <w:lang w:val="zh-CN"/>
        </w:rPr>
        <w:t>也可以选择</w:t>
      </w:r>
      <w:r w:rsidRPr="007D1266">
        <w:rPr>
          <w:rFonts w:hint="eastAsia"/>
          <w:lang w:val="zh-CN"/>
        </w:rPr>
        <w:t>将残留物送至合格的危险废物处置中心。</w:t>
      </w:r>
      <w:r>
        <w:rPr>
          <w:rFonts w:hint="eastAsia"/>
          <w:lang w:val="zh-CN"/>
        </w:rPr>
        <w:t>生产厂家</w:t>
      </w:r>
      <w:r w:rsidRPr="007D1266">
        <w:rPr>
          <w:rFonts w:hint="eastAsia"/>
          <w:lang w:val="zh-CN"/>
        </w:rPr>
        <w:t>需要向地方生态和环境局报告</w:t>
      </w:r>
      <w:r w:rsidR="007741C4">
        <w:rPr>
          <w:rFonts w:hint="eastAsia"/>
          <w:lang w:val="zh-CN"/>
        </w:rPr>
        <w:t>残留物的</w:t>
      </w:r>
      <w:r w:rsidRPr="007D1266">
        <w:rPr>
          <w:rFonts w:hint="eastAsia"/>
          <w:lang w:val="zh-CN"/>
        </w:rPr>
        <w:t>产生、处置和储存</w:t>
      </w:r>
      <w:r w:rsidR="007741C4">
        <w:rPr>
          <w:rFonts w:hint="eastAsia"/>
          <w:lang w:val="zh-CN"/>
        </w:rPr>
        <w:t>情况</w:t>
      </w:r>
      <w:r w:rsidRPr="007D1266">
        <w:rPr>
          <w:rFonts w:hint="eastAsia"/>
          <w:lang w:val="zh-CN"/>
        </w:rPr>
        <w:t>。此外，</w:t>
      </w:r>
      <w:r w:rsidR="007741C4" w:rsidRPr="007D1266">
        <w:rPr>
          <w:rFonts w:hint="eastAsia"/>
          <w:lang w:val="zh-CN"/>
        </w:rPr>
        <w:t>地方生态和环境局</w:t>
      </w:r>
      <w:r w:rsidR="007741C4">
        <w:rPr>
          <w:rFonts w:hint="eastAsia"/>
          <w:lang w:val="zh-CN"/>
        </w:rPr>
        <w:t>将对本厂</w:t>
      </w:r>
      <w:r w:rsidRPr="007D1266">
        <w:rPr>
          <w:rFonts w:hint="eastAsia"/>
          <w:lang w:val="zh-CN"/>
        </w:rPr>
        <w:t>的处置设施</w:t>
      </w:r>
      <w:r w:rsidR="007741C4">
        <w:rPr>
          <w:rFonts w:hint="eastAsia"/>
          <w:lang w:val="zh-CN"/>
        </w:rPr>
        <w:t>进行监测</w:t>
      </w:r>
      <w:r w:rsidRPr="007D1266">
        <w:rPr>
          <w:rFonts w:hint="eastAsia"/>
          <w:lang w:val="zh-CN"/>
        </w:rPr>
        <w:t>，以确保其符合国家排放标准和</w:t>
      </w:r>
      <w:r w:rsidR="007741C4">
        <w:rPr>
          <w:rFonts w:hint="eastAsia"/>
          <w:lang w:val="zh-CN"/>
        </w:rPr>
        <w:t>所核准的</w:t>
      </w:r>
      <w:r w:rsidRPr="007D1266">
        <w:rPr>
          <w:rFonts w:hint="eastAsia"/>
          <w:lang w:val="zh-CN"/>
        </w:rPr>
        <w:t>环境影响评估</w:t>
      </w:r>
      <w:r w:rsidR="007741C4">
        <w:rPr>
          <w:rFonts w:hint="eastAsia"/>
          <w:lang w:val="zh-CN"/>
        </w:rPr>
        <w:t>的要求</w:t>
      </w:r>
      <w:r w:rsidRPr="007D1266">
        <w:rPr>
          <w:rFonts w:hint="eastAsia"/>
          <w:lang w:val="zh-CN"/>
        </w:rPr>
        <w:t>。</w:t>
      </w:r>
      <w:r w:rsidR="007741C4">
        <w:rPr>
          <w:rFonts w:hint="eastAsia"/>
          <w:bCs/>
          <w:lang w:val="zh-CN"/>
        </w:rPr>
        <w:t>FECO</w:t>
      </w:r>
      <w:r w:rsidRPr="007D1266">
        <w:rPr>
          <w:rFonts w:hint="eastAsia"/>
          <w:bCs/>
          <w:lang w:val="zh-CN"/>
        </w:rPr>
        <w:t>进一步</w:t>
      </w:r>
      <w:r w:rsidR="007741C4">
        <w:rPr>
          <w:rFonts w:hint="eastAsia"/>
          <w:bCs/>
          <w:lang w:val="zh-CN"/>
        </w:rPr>
        <w:t>澄清说</w:t>
      </w:r>
      <w:r w:rsidRPr="007D1266">
        <w:rPr>
          <w:rFonts w:hint="eastAsia"/>
          <w:bCs/>
          <w:lang w:val="zh-CN"/>
        </w:rPr>
        <w:t>，</w:t>
      </w:r>
      <w:r w:rsidR="007741C4">
        <w:rPr>
          <w:rFonts w:hint="eastAsia"/>
          <w:bCs/>
          <w:lang w:val="zh-CN"/>
        </w:rPr>
        <w:t>有</w:t>
      </w:r>
      <w:r w:rsidRPr="007D1266">
        <w:rPr>
          <w:rFonts w:hint="eastAsia"/>
          <w:bCs/>
          <w:lang w:val="zh-CN"/>
        </w:rPr>
        <w:t>三</w:t>
      </w:r>
      <w:r w:rsidR="007741C4">
        <w:rPr>
          <w:rFonts w:hint="eastAsia"/>
          <w:bCs/>
          <w:lang w:val="zh-CN"/>
        </w:rPr>
        <w:t>个</w:t>
      </w:r>
      <w:r w:rsidRPr="007D1266">
        <w:rPr>
          <w:rFonts w:hint="eastAsia"/>
          <w:bCs/>
          <w:lang w:val="zh-CN"/>
        </w:rPr>
        <w:t>氯甲烷</w:t>
      </w:r>
      <w:r w:rsidRPr="00451B18">
        <w:rPr>
          <w:rFonts w:hint="eastAsia"/>
          <w:bCs/>
          <w:lang w:val="zh-CN"/>
        </w:rPr>
        <w:t>生产厂家</w:t>
      </w:r>
      <w:r w:rsidR="007741C4">
        <w:rPr>
          <w:rFonts w:hint="eastAsia"/>
          <w:bCs/>
          <w:lang w:val="zh-CN"/>
        </w:rPr>
        <w:t>属于一个</w:t>
      </w:r>
      <w:r w:rsidRPr="007D1266">
        <w:rPr>
          <w:rFonts w:hint="eastAsia"/>
          <w:bCs/>
          <w:lang w:val="zh-CN"/>
        </w:rPr>
        <w:t>生产</w:t>
      </w:r>
      <w:r w:rsidRPr="007D1266">
        <w:rPr>
          <w:bCs/>
          <w:lang w:val="zh-CN"/>
        </w:rPr>
        <w:t>HCFC-22</w:t>
      </w:r>
      <w:r w:rsidR="007741C4">
        <w:rPr>
          <w:rFonts w:hint="eastAsia"/>
          <w:bCs/>
          <w:lang w:val="zh-CN"/>
        </w:rPr>
        <w:t>的企业</w:t>
      </w:r>
      <w:r w:rsidRPr="007D1266">
        <w:rPr>
          <w:rFonts w:hint="eastAsia"/>
          <w:bCs/>
          <w:lang w:val="zh-CN"/>
        </w:rPr>
        <w:t>集团；不过，这些氯甲烷工厂不</w:t>
      </w:r>
      <w:r w:rsidR="007741C4">
        <w:rPr>
          <w:rFonts w:hint="eastAsia"/>
          <w:bCs/>
          <w:lang w:val="zh-CN"/>
        </w:rPr>
        <w:t>属于</w:t>
      </w:r>
      <w:r w:rsidRPr="007D1266">
        <w:rPr>
          <w:bCs/>
          <w:lang w:val="zh-CN"/>
        </w:rPr>
        <w:t>HCFC-22</w:t>
      </w:r>
      <w:r w:rsidRPr="007D1266">
        <w:rPr>
          <w:rFonts w:hint="eastAsia"/>
          <w:bCs/>
          <w:lang w:val="zh-CN"/>
        </w:rPr>
        <w:t>生产</w:t>
      </w:r>
      <w:r w:rsidR="007741C4">
        <w:rPr>
          <w:rFonts w:hint="eastAsia"/>
          <w:bCs/>
          <w:lang w:val="zh-CN"/>
        </w:rPr>
        <w:t>企业</w:t>
      </w:r>
      <w:r w:rsidRPr="007D1266">
        <w:rPr>
          <w:rFonts w:hint="eastAsia"/>
          <w:bCs/>
          <w:lang w:val="zh-CN"/>
        </w:rPr>
        <w:t>，而是</w:t>
      </w:r>
      <w:r w:rsidR="007741C4">
        <w:rPr>
          <w:rFonts w:hint="eastAsia"/>
          <w:bCs/>
          <w:lang w:val="zh-CN"/>
        </w:rPr>
        <w:t>企业</w:t>
      </w:r>
      <w:r w:rsidRPr="007D1266">
        <w:rPr>
          <w:rFonts w:hint="eastAsia"/>
          <w:bCs/>
          <w:lang w:val="zh-CN"/>
        </w:rPr>
        <w:t>集团内的独立实体。因此，用于销毁副产品</w:t>
      </w:r>
      <w:r w:rsidRPr="007D1266">
        <w:rPr>
          <w:bCs/>
          <w:lang w:val="zh-CN"/>
        </w:rPr>
        <w:t>HFC-23</w:t>
      </w:r>
      <w:r w:rsidRPr="007D1266">
        <w:rPr>
          <w:rFonts w:hint="eastAsia"/>
          <w:bCs/>
          <w:lang w:val="zh-CN"/>
        </w:rPr>
        <w:t>的焚烧炉与用于销毁四氯化碳的焚烧炉不同；</w:t>
      </w:r>
      <w:r w:rsidR="007741C4">
        <w:rPr>
          <w:rFonts w:hint="eastAsia"/>
          <w:bCs/>
          <w:lang w:val="zh-CN"/>
        </w:rPr>
        <w:t>同样，为</w:t>
      </w:r>
      <w:r w:rsidRPr="007D1266">
        <w:rPr>
          <w:rFonts w:hint="eastAsia"/>
          <w:bCs/>
          <w:lang w:val="zh-CN"/>
        </w:rPr>
        <w:t>销毁副产品</w:t>
      </w:r>
      <w:r w:rsidRPr="007D1266">
        <w:rPr>
          <w:bCs/>
          <w:lang w:val="zh-CN"/>
        </w:rPr>
        <w:t>HFC-23</w:t>
      </w:r>
      <w:r w:rsidRPr="007D1266">
        <w:rPr>
          <w:rFonts w:hint="eastAsia"/>
          <w:bCs/>
          <w:lang w:val="zh-CN"/>
        </w:rPr>
        <w:t>所提供的补贴也与销毁四氯化碳的补贴不同。</w:t>
      </w:r>
      <w:r w:rsidRPr="007D1266">
        <w:rPr>
          <w:bCs/>
          <w:lang w:val="en-GB"/>
        </w:rPr>
        <w:t xml:space="preserve">  </w:t>
      </w:r>
    </w:p>
    <w:p w14:paraId="25C4B4F4" w14:textId="16A1F60E" w:rsidR="007D1266" w:rsidRPr="007D1266" w:rsidRDefault="007D1266" w:rsidP="007D1266">
      <w:pPr>
        <w:numPr>
          <w:ilvl w:val="0"/>
          <w:numId w:val="20"/>
        </w:numPr>
        <w:tabs>
          <w:tab w:val="num" w:pos="0"/>
        </w:tabs>
        <w:spacing w:line="259" w:lineRule="auto"/>
        <w:ind w:left="0" w:firstLine="0"/>
        <w:jc w:val="both"/>
        <w:rPr>
          <w:lang w:val="en-GB"/>
        </w:rPr>
      </w:pPr>
      <w:r w:rsidRPr="007D1266">
        <w:rPr>
          <w:rFonts w:hint="eastAsia"/>
          <w:lang w:val="zh-CN"/>
        </w:rPr>
        <w:t>地方生态和环境局</w:t>
      </w:r>
      <w:r w:rsidR="00185135">
        <w:rPr>
          <w:rFonts w:hint="eastAsia"/>
          <w:lang w:val="zh-CN"/>
        </w:rPr>
        <w:t>对各自</w:t>
      </w:r>
      <w:r w:rsidRPr="007D1266">
        <w:rPr>
          <w:rFonts w:hint="eastAsia"/>
          <w:lang w:val="zh-CN"/>
        </w:rPr>
        <w:t>辖区内的所有四氯化碳</w:t>
      </w:r>
      <w:r>
        <w:rPr>
          <w:rFonts w:hint="eastAsia"/>
          <w:lang w:val="zh-CN"/>
        </w:rPr>
        <w:t>生产厂家</w:t>
      </w:r>
      <w:r w:rsidRPr="007D1266">
        <w:rPr>
          <w:rFonts w:hint="eastAsia"/>
          <w:lang w:val="zh-CN"/>
        </w:rPr>
        <w:t>和</w:t>
      </w:r>
      <w:r w:rsidR="00185135">
        <w:rPr>
          <w:rFonts w:hint="eastAsia"/>
          <w:lang w:val="zh-CN"/>
        </w:rPr>
        <w:t>登记</w:t>
      </w:r>
      <w:r w:rsidRPr="007D1266">
        <w:rPr>
          <w:rFonts w:hint="eastAsia"/>
          <w:lang w:val="zh-CN"/>
        </w:rPr>
        <w:t>用户</w:t>
      </w:r>
      <w:r w:rsidR="00185135">
        <w:rPr>
          <w:rFonts w:hint="eastAsia"/>
          <w:lang w:val="zh-CN"/>
        </w:rPr>
        <w:t>进行了视察</w:t>
      </w:r>
      <w:r w:rsidRPr="007D1266">
        <w:rPr>
          <w:rFonts w:hint="eastAsia"/>
          <w:lang w:val="zh-CN"/>
        </w:rPr>
        <w:t>。根据现行法规，对</w:t>
      </w:r>
      <w:r w:rsidR="00185135">
        <w:rPr>
          <w:rFonts w:hint="eastAsia"/>
          <w:lang w:val="zh-CN"/>
        </w:rPr>
        <w:t>视察</w:t>
      </w:r>
      <w:r w:rsidRPr="007D1266">
        <w:rPr>
          <w:rFonts w:hint="eastAsia"/>
          <w:lang w:val="zh-CN"/>
        </w:rPr>
        <w:t>频率没有强制要求，但实际上至少每年一次。地方生态和环境局</w:t>
      </w:r>
      <w:r w:rsidR="00185135">
        <w:rPr>
          <w:rFonts w:hint="eastAsia"/>
          <w:lang w:val="zh-CN"/>
        </w:rPr>
        <w:t>对</w:t>
      </w:r>
      <w:r w:rsidRPr="007D1266">
        <w:rPr>
          <w:rFonts w:hint="eastAsia"/>
          <w:lang w:val="zh-CN"/>
        </w:rPr>
        <w:t>就地储存四氯化碳的经销商</w:t>
      </w:r>
      <w:r w:rsidR="00185135">
        <w:rPr>
          <w:rFonts w:hint="eastAsia"/>
          <w:lang w:val="zh-CN"/>
        </w:rPr>
        <w:t>进行视察</w:t>
      </w:r>
      <w:r w:rsidRPr="007D1266">
        <w:rPr>
          <w:rFonts w:hint="eastAsia"/>
          <w:lang w:val="zh-CN"/>
        </w:rPr>
        <w:t>。在资金用尽和项目完成后，仍将继续定期</w:t>
      </w:r>
      <w:r w:rsidR="00185135">
        <w:rPr>
          <w:rFonts w:hint="eastAsia"/>
          <w:lang w:val="zh-CN"/>
        </w:rPr>
        <w:t>视察</w:t>
      </w:r>
      <w:r w:rsidRPr="007D1266">
        <w:rPr>
          <w:rFonts w:hint="eastAsia"/>
          <w:lang w:val="zh-CN"/>
        </w:rPr>
        <w:t>四氯化碳</w:t>
      </w:r>
      <w:r>
        <w:rPr>
          <w:rFonts w:hint="eastAsia"/>
          <w:lang w:val="zh-CN"/>
        </w:rPr>
        <w:t>生产厂家</w:t>
      </w:r>
      <w:r w:rsidRPr="007D1266">
        <w:rPr>
          <w:rFonts w:hint="eastAsia"/>
          <w:lang w:val="zh-CN"/>
        </w:rPr>
        <w:t>和原料用户。</w:t>
      </w:r>
    </w:p>
    <w:p w14:paraId="065ECB09" w14:textId="5ABEC531" w:rsidR="007D1266" w:rsidRPr="007D1266" w:rsidRDefault="007D1266" w:rsidP="007D1266">
      <w:pPr>
        <w:numPr>
          <w:ilvl w:val="0"/>
          <w:numId w:val="20"/>
        </w:numPr>
        <w:tabs>
          <w:tab w:val="num" w:pos="0"/>
        </w:tabs>
        <w:spacing w:line="259" w:lineRule="auto"/>
        <w:ind w:left="0" w:firstLine="0"/>
        <w:jc w:val="both"/>
        <w:rPr>
          <w:lang w:val="en-GB"/>
        </w:rPr>
      </w:pPr>
      <w:r w:rsidRPr="007D1266">
        <w:rPr>
          <w:rFonts w:hint="eastAsia"/>
          <w:lang w:val="zh-CN"/>
        </w:rPr>
        <w:lastRenderedPageBreak/>
        <w:t>由于</w:t>
      </w:r>
      <w:r w:rsidR="00185135">
        <w:rPr>
          <w:rFonts w:hint="eastAsia"/>
          <w:lang w:val="zh-CN"/>
        </w:rPr>
        <w:t>一个</w:t>
      </w:r>
      <w:r w:rsidRPr="007D1266">
        <w:rPr>
          <w:rFonts w:hint="eastAsia"/>
          <w:lang w:val="zh-CN"/>
        </w:rPr>
        <w:t>技术问题</w:t>
      </w:r>
      <w:r w:rsidRPr="007D1266">
        <w:rPr>
          <w:rFonts w:hint="eastAsia"/>
          <w:lang w:val="en-GB"/>
        </w:rPr>
        <w:t>，</w:t>
      </w:r>
      <w:r w:rsidRPr="007D1266">
        <w:rPr>
          <w:rFonts w:hint="eastAsia"/>
          <w:lang w:val="zh-CN"/>
        </w:rPr>
        <w:t>四氯化碳在线监测系统</w:t>
      </w:r>
      <w:r w:rsidR="00185135">
        <w:rPr>
          <w:rFonts w:hint="eastAsia"/>
          <w:lang w:val="zh-CN"/>
        </w:rPr>
        <w:t>于</w:t>
      </w:r>
      <w:r w:rsidRPr="007D1266">
        <w:rPr>
          <w:lang w:val="en-GB"/>
        </w:rPr>
        <w:t>2015</w:t>
      </w:r>
      <w:r w:rsidRPr="007D1266">
        <w:rPr>
          <w:rFonts w:hint="eastAsia"/>
          <w:lang w:val="zh-CN"/>
        </w:rPr>
        <w:t>年关闭。该系统仅涵盖四氯化碳行业计划下的氯甲烷</w:t>
      </w:r>
      <w:r>
        <w:rPr>
          <w:rFonts w:hint="eastAsia"/>
          <w:lang w:val="zh-CN"/>
        </w:rPr>
        <w:t>生产厂家</w:t>
      </w:r>
      <w:r w:rsidRPr="007D1266">
        <w:rPr>
          <w:rFonts w:hint="eastAsia"/>
          <w:lang w:val="zh-CN"/>
        </w:rPr>
        <w:t>，不包括新增的氯甲烷</w:t>
      </w:r>
      <w:r>
        <w:rPr>
          <w:rFonts w:hint="eastAsia"/>
          <w:lang w:val="zh-CN"/>
        </w:rPr>
        <w:t>生产厂家</w:t>
      </w:r>
      <w:r w:rsidRPr="007D1266">
        <w:rPr>
          <w:rFonts w:hint="eastAsia"/>
          <w:lang w:val="zh-CN"/>
        </w:rPr>
        <w:t>，因此，</w:t>
      </w:r>
      <w:r w:rsidR="00185135">
        <w:rPr>
          <w:rFonts w:hint="eastAsia"/>
          <w:lang w:val="zh-CN"/>
        </w:rPr>
        <w:t>生态和环境部</w:t>
      </w:r>
      <w:r w:rsidR="00185135">
        <w:rPr>
          <w:rFonts w:hint="eastAsia"/>
          <w:lang w:val="zh-CN"/>
        </w:rPr>
        <w:t>/FECO</w:t>
      </w:r>
      <w:r w:rsidRPr="007D1266">
        <w:rPr>
          <w:rFonts w:hint="eastAsia"/>
          <w:lang w:val="zh-CN"/>
        </w:rPr>
        <w:t>一直在努力寻找</w:t>
      </w:r>
      <w:r w:rsidR="00185135">
        <w:rPr>
          <w:rFonts w:hint="eastAsia"/>
          <w:lang w:val="zh-CN"/>
        </w:rPr>
        <w:t>办法，</w:t>
      </w:r>
      <w:r w:rsidRPr="007D1266">
        <w:rPr>
          <w:rFonts w:hint="eastAsia"/>
          <w:lang w:val="zh-CN"/>
        </w:rPr>
        <w:t>将四氯化碳在线监测系统扩展到所有氯甲烷</w:t>
      </w:r>
      <w:r>
        <w:rPr>
          <w:rFonts w:hint="eastAsia"/>
          <w:lang w:val="zh-CN"/>
        </w:rPr>
        <w:t>生产厂家</w:t>
      </w:r>
      <w:r w:rsidRPr="007D1266">
        <w:rPr>
          <w:rFonts w:hint="eastAsia"/>
          <w:lang w:val="zh-CN"/>
        </w:rPr>
        <w:t>。</w:t>
      </w:r>
      <w:r w:rsidRPr="007D1266">
        <w:rPr>
          <w:lang w:val="en-GB"/>
        </w:rPr>
        <w:t xml:space="preserve"> </w:t>
      </w:r>
    </w:p>
    <w:p w14:paraId="78D37379" w14:textId="27DF9A2B" w:rsidR="007D1266" w:rsidRPr="007D1266" w:rsidRDefault="007D1266" w:rsidP="007D1266">
      <w:pPr>
        <w:numPr>
          <w:ilvl w:val="0"/>
          <w:numId w:val="20"/>
        </w:numPr>
        <w:tabs>
          <w:tab w:val="num" w:pos="0"/>
        </w:tabs>
        <w:spacing w:line="259" w:lineRule="auto"/>
        <w:ind w:left="0" w:firstLine="0"/>
        <w:jc w:val="both"/>
        <w:rPr>
          <w:bCs/>
          <w:lang w:val="en-GB"/>
        </w:rPr>
      </w:pPr>
      <w:r w:rsidRPr="007D1266">
        <w:rPr>
          <w:rFonts w:hint="eastAsia"/>
          <w:bCs/>
          <w:lang w:val="zh-CN"/>
        </w:rPr>
        <w:t>计划将</w:t>
      </w:r>
      <w:r w:rsidR="00185135">
        <w:rPr>
          <w:rFonts w:hint="eastAsia"/>
          <w:bCs/>
          <w:lang w:val="zh-CN"/>
        </w:rPr>
        <w:t>所剩</w:t>
      </w:r>
      <w:r w:rsidRPr="007D1266">
        <w:rPr>
          <w:rFonts w:hint="eastAsia"/>
          <w:bCs/>
          <w:lang w:val="zh-CN"/>
        </w:rPr>
        <w:t>余额用于</w:t>
      </w:r>
      <w:r w:rsidR="00185135">
        <w:rPr>
          <w:rFonts w:hint="eastAsia"/>
          <w:bCs/>
          <w:lang w:val="zh-CN"/>
        </w:rPr>
        <w:t>ODS</w:t>
      </w:r>
      <w:r w:rsidRPr="007D1266">
        <w:rPr>
          <w:rFonts w:hint="eastAsia"/>
          <w:bCs/>
          <w:lang w:val="zh-CN"/>
        </w:rPr>
        <w:t>在线管理系统</w:t>
      </w:r>
      <w:r w:rsidRPr="007D1266">
        <w:rPr>
          <w:rFonts w:hint="eastAsia"/>
          <w:bCs/>
          <w:lang w:val="en-GB"/>
        </w:rPr>
        <w:t>（</w:t>
      </w:r>
      <w:r w:rsidRPr="007D1266">
        <w:rPr>
          <w:bCs/>
          <w:lang w:val="en-GB"/>
        </w:rPr>
        <w:t>250,000</w:t>
      </w:r>
      <w:r w:rsidRPr="007D1266">
        <w:rPr>
          <w:rFonts w:hint="eastAsia"/>
          <w:bCs/>
          <w:lang w:val="zh-CN"/>
        </w:rPr>
        <w:t>美元</w:t>
      </w:r>
      <w:r w:rsidRPr="007D1266">
        <w:rPr>
          <w:rFonts w:hint="eastAsia"/>
          <w:bCs/>
          <w:lang w:val="en-GB"/>
        </w:rPr>
        <w:t>）</w:t>
      </w:r>
      <w:r w:rsidRPr="007D1266">
        <w:rPr>
          <w:rFonts w:hint="eastAsia"/>
          <w:bCs/>
          <w:lang w:val="zh-CN"/>
        </w:rPr>
        <w:t>、</w:t>
      </w:r>
      <w:r w:rsidR="00B203C3">
        <w:rPr>
          <w:rFonts w:hint="eastAsia"/>
          <w:bCs/>
          <w:lang w:val="zh-CN"/>
        </w:rPr>
        <w:t>海关总署</w:t>
      </w:r>
      <w:r w:rsidRPr="007D1266">
        <w:rPr>
          <w:rFonts w:hint="eastAsia"/>
          <w:bCs/>
          <w:lang w:val="zh-CN"/>
        </w:rPr>
        <w:t>的能力建设</w:t>
      </w:r>
      <w:r w:rsidRPr="007D1266">
        <w:rPr>
          <w:rFonts w:hint="eastAsia"/>
          <w:bCs/>
          <w:lang w:val="en-GB"/>
        </w:rPr>
        <w:t>（</w:t>
      </w:r>
      <w:r w:rsidRPr="007D1266">
        <w:rPr>
          <w:bCs/>
          <w:lang w:val="en-GB"/>
        </w:rPr>
        <w:t>750,000</w:t>
      </w:r>
      <w:r w:rsidRPr="007D1266">
        <w:rPr>
          <w:rFonts w:hint="eastAsia"/>
          <w:bCs/>
          <w:lang w:val="zh-CN"/>
        </w:rPr>
        <w:t>美元</w:t>
      </w:r>
      <w:r w:rsidRPr="007D1266">
        <w:rPr>
          <w:rFonts w:hint="eastAsia"/>
          <w:bCs/>
          <w:lang w:val="en-GB"/>
        </w:rPr>
        <w:t>）</w:t>
      </w:r>
      <w:r w:rsidR="00185135">
        <w:rPr>
          <w:rFonts w:hint="eastAsia"/>
          <w:bCs/>
          <w:lang w:val="zh-CN"/>
        </w:rPr>
        <w:t>和六项旨在</w:t>
      </w:r>
      <w:r w:rsidRPr="007D1266">
        <w:rPr>
          <w:rFonts w:hint="eastAsia"/>
          <w:bCs/>
          <w:lang w:val="zh-CN"/>
        </w:rPr>
        <w:t>加强</w:t>
      </w:r>
      <w:r w:rsidR="00185135" w:rsidRPr="007D1266">
        <w:rPr>
          <w:rFonts w:hint="eastAsia"/>
          <w:bCs/>
          <w:lang w:val="zh-CN"/>
        </w:rPr>
        <w:t>长期可持续</w:t>
      </w:r>
      <w:r w:rsidR="00185135">
        <w:rPr>
          <w:rFonts w:hint="eastAsia"/>
          <w:bCs/>
          <w:lang w:val="zh-CN"/>
        </w:rPr>
        <w:t>的</w:t>
      </w:r>
      <w:r w:rsidR="00185135">
        <w:rPr>
          <w:rFonts w:hint="eastAsia"/>
          <w:bCs/>
          <w:lang w:val="zh-CN"/>
        </w:rPr>
        <w:t>ODS</w:t>
      </w:r>
      <w:r w:rsidRPr="007D1266">
        <w:rPr>
          <w:rFonts w:hint="eastAsia"/>
          <w:bCs/>
          <w:lang w:val="zh-CN"/>
        </w:rPr>
        <w:t>监测的活动</w:t>
      </w:r>
      <w:r w:rsidRPr="007D1266">
        <w:rPr>
          <w:rFonts w:hint="eastAsia"/>
          <w:bCs/>
          <w:lang w:val="en-GB"/>
        </w:rPr>
        <w:t>（</w:t>
      </w:r>
      <w:r w:rsidRPr="007D1266">
        <w:rPr>
          <w:bCs/>
          <w:lang w:val="en-GB"/>
        </w:rPr>
        <w:t>124</w:t>
      </w:r>
      <w:r w:rsidRPr="007D1266">
        <w:rPr>
          <w:rFonts w:hint="eastAsia"/>
          <w:bCs/>
          <w:lang w:val="zh-CN"/>
        </w:rPr>
        <w:t>万美元</w:t>
      </w:r>
      <w:r w:rsidRPr="007D1266">
        <w:rPr>
          <w:rFonts w:hint="eastAsia"/>
          <w:bCs/>
          <w:lang w:val="en-GB"/>
        </w:rPr>
        <w:t>）</w:t>
      </w:r>
      <w:r w:rsidRPr="007D1266">
        <w:rPr>
          <w:rFonts w:hint="eastAsia"/>
          <w:bCs/>
          <w:lang w:val="zh-CN"/>
        </w:rPr>
        <w:t>。秘书处</w:t>
      </w:r>
      <w:r w:rsidR="00F42E47">
        <w:rPr>
          <w:rFonts w:hint="eastAsia"/>
          <w:bCs/>
          <w:lang w:val="zh-CN"/>
        </w:rPr>
        <w:t>指出</w:t>
      </w:r>
      <w:r w:rsidRPr="007D1266">
        <w:rPr>
          <w:rFonts w:hint="eastAsia"/>
          <w:bCs/>
          <w:lang w:val="zh-CN"/>
        </w:rPr>
        <w:t>：</w:t>
      </w:r>
    </w:p>
    <w:p w14:paraId="3FF25DBA" w14:textId="42B61BDB" w:rsidR="00185135" w:rsidRPr="00457E6E" w:rsidRDefault="00311E1B" w:rsidP="00F42E47">
      <w:pPr>
        <w:tabs>
          <w:tab w:val="num" w:pos="0"/>
        </w:tabs>
        <w:spacing w:line="259" w:lineRule="auto"/>
        <w:ind w:left="980" w:hanging="490"/>
        <w:jc w:val="both"/>
      </w:pPr>
      <w:r>
        <w:rPr>
          <w:rFonts w:hint="eastAsia"/>
        </w:rPr>
        <w:t xml:space="preserve"> </w:t>
      </w:r>
      <w:r w:rsidR="00F42E47">
        <w:t>(a)</w:t>
      </w:r>
      <w:r w:rsidR="00F42E47">
        <w:tab/>
      </w:r>
      <w:r w:rsidR="00F42E47">
        <w:rPr>
          <w:rFonts w:hint="eastAsia"/>
        </w:rPr>
        <w:t>O</w:t>
      </w:r>
      <w:r w:rsidR="00F42E47">
        <w:t>DS</w:t>
      </w:r>
      <w:r w:rsidR="00185135" w:rsidRPr="00457E6E">
        <w:rPr>
          <w:rFonts w:hint="eastAsia"/>
        </w:rPr>
        <w:t>在线管理系统将使所有使用</w:t>
      </w:r>
      <w:r w:rsidR="00F42E47">
        <w:rPr>
          <w:rFonts w:hint="eastAsia"/>
        </w:rPr>
        <w:t>ODS</w:t>
      </w:r>
      <w:r w:rsidR="00185135" w:rsidRPr="00457E6E">
        <w:rPr>
          <w:rFonts w:hint="eastAsia"/>
        </w:rPr>
        <w:t>的企业能够申请</w:t>
      </w:r>
      <w:r w:rsidR="00F42E47">
        <w:rPr>
          <w:rFonts w:hint="eastAsia"/>
        </w:rPr>
        <w:t>登记</w:t>
      </w:r>
      <w:r w:rsidR="00185135" w:rsidRPr="00457E6E">
        <w:rPr>
          <w:rFonts w:hint="eastAsia"/>
        </w:rPr>
        <w:t>为</w:t>
      </w:r>
      <w:r w:rsidR="00F42E47">
        <w:rPr>
          <w:rFonts w:hint="eastAsia"/>
        </w:rPr>
        <w:t>ODS</w:t>
      </w:r>
      <w:r w:rsidR="00185135" w:rsidRPr="00457E6E">
        <w:rPr>
          <w:rFonts w:hint="eastAsia"/>
        </w:rPr>
        <w:t>用户并报告数据。秘书处</w:t>
      </w:r>
      <w:r w:rsidR="00F42E47">
        <w:rPr>
          <w:rFonts w:hint="eastAsia"/>
        </w:rPr>
        <w:t>因而在</w:t>
      </w:r>
      <w:r w:rsidR="00185135" w:rsidRPr="00457E6E">
        <w:rPr>
          <w:rFonts w:hint="eastAsia"/>
        </w:rPr>
        <w:t>原则上支持该项</w:t>
      </w:r>
      <w:r w:rsidR="00F42E47">
        <w:rPr>
          <w:rFonts w:hint="eastAsia"/>
        </w:rPr>
        <w:t>提议</w:t>
      </w:r>
      <w:r w:rsidR="00185135" w:rsidRPr="00457E6E">
        <w:rPr>
          <w:rFonts w:hint="eastAsia"/>
        </w:rPr>
        <w:t>，但同时</w:t>
      </w:r>
      <w:r w:rsidR="00F42E47">
        <w:rPr>
          <w:rFonts w:hint="eastAsia"/>
        </w:rPr>
        <w:t>指出</w:t>
      </w:r>
      <w:r w:rsidR="00185135" w:rsidRPr="00457E6E">
        <w:rPr>
          <w:rFonts w:hint="eastAsia"/>
        </w:rPr>
        <w:t>，秘书处对目前的</w:t>
      </w:r>
      <w:r w:rsidR="00F42E47">
        <w:rPr>
          <w:rFonts w:hint="eastAsia"/>
        </w:rPr>
        <w:t>ODS</w:t>
      </w:r>
      <w:r w:rsidR="00185135" w:rsidRPr="00457E6E">
        <w:rPr>
          <w:rFonts w:hint="eastAsia"/>
        </w:rPr>
        <w:t>在线管理系统的细节不够熟悉，无法确定需要如何修改该系统，因此也无法知道这项活动所</w:t>
      </w:r>
      <w:r w:rsidR="00F42E47">
        <w:rPr>
          <w:rFonts w:hint="eastAsia"/>
        </w:rPr>
        <w:t>需要</w:t>
      </w:r>
      <w:r w:rsidR="00185135" w:rsidRPr="00457E6E">
        <w:rPr>
          <w:rFonts w:hint="eastAsia"/>
        </w:rPr>
        <w:t>的合理资金</w:t>
      </w:r>
      <w:r w:rsidR="00F42E47">
        <w:rPr>
          <w:rFonts w:hint="eastAsia"/>
        </w:rPr>
        <w:t>数额</w:t>
      </w:r>
      <w:r w:rsidR="00185135" w:rsidRPr="00457E6E">
        <w:rPr>
          <w:rFonts w:hint="eastAsia"/>
        </w:rPr>
        <w:t>。此外，来自其他项目的资金，包括氟氯烃淘汰管理计划下的甲基溴生产、工业和商用制冷和室内空调行业计划以及氟氯烃生产淘汰管理计划</w:t>
      </w:r>
      <w:r w:rsidR="00B25A4D">
        <w:rPr>
          <w:rFonts w:hint="eastAsia"/>
        </w:rPr>
        <w:t>下的资金，</w:t>
      </w:r>
      <w:r w:rsidR="00185135" w:rsidRPr="00457E6E">
        <w:rPr>
          <w:rFonts w:hint="eastAsia"/>
        </w:rPr>
        <w:t>也同样</w:t>
      </w:r>
      <w:r w:rsidR="00B25A4D">
        <w:rPr>
          <w:rFonts w:hint="eastAsia"/>
        </w:rPr>
        <w:t>被</w:t>
      </w:r>
      <w:r w:rsidR="00185135" w:rsidRPr="00457E6E">
        <w:rPr>
          <w:rFonts w:hint="eastAsia"/>
        </w:rPr>
        <w:t>用于加强</w:t>
      </w:r>
      <w:r w:rsidR="00F42E47">
        <w:rPr>
          <w:rFonts w:hint="eastAsia"/>
        </w:rPr>
        <w:t>ODS</w:t>
      </w:r>
      <w:r w:rsidR="00185135" w:rsidRPr="00457E6E">
        <w:rPr>
          <w:rFonts w:hint="eastAsia"/>
        </w:rPr>
        <w:t>在线管理系统。这种合用资金的方式可能是对资源的</w:t>
      </w:r>
      <w:r w:rsidR="00B25A4D">
        <w:rPr>
          <w:rFonts w:hint="eastAsia"/>
        </w:rPr>
        <w:t>高效</w:t>
      </w:r>
      <w:r w:rsidR="00185135" w:rsidRPr="00457E6E">
        <w:rPr>
          <w:rFonts w:hint="eastAsia"/>
        </w:rPr>
        <w:t>利用，但却对监测财务和</w:t>
      </w:r>
      <w:r w:rsidR="00B25A4D">
        <w:rPr>
          <w:rFonts w:hint="eastAsia"/>
        </w:rPr>
        <w:t>执行</w:t>
      </w:r>
      <w:r w:rsidR="00185135" w:rsidRPr="00457E6E">
        <w:rPr>
          <w:rFonts w:hint="eastAsia"/>
        </w:rPr>
        <w:t>进展情况</w:t>
      </w:r>
      <w:r w:rsidR="00B25A4D">
        <w:rPr>
          <w:rFonts w:hint="eastAsia"/>
        </w:rPr>
        <w:t>的工作</w:t>
      </w:r>
      <w:r w:rsidR="00185135" w:rsidRPr="00457E6E">
        <w:rPr>
          <w:rFonts w:hint="eastAsia"/>
        </w:rPr>
        <w:t>造成</w:t>
      </w:r>
      <w:r w:rsidR="00B25A4D">
        <w:rPr>
          <w:rFonts w:hint="eastAsia"/>
        </w:rPr>
        <w:t>困难</w:t>
      </w:r>
      <w:r w:rsidR="00185135" w:rsidRPr="00457E6E">
        <w:rPr>
          <w:rFonts w:hint="eastAsia"/>
        </w:rPr>
        <w:t>；</w:t>
      </w:r>
    </w:p>
    <w:p w14:paraId="50029118" w14:textId="1334DB34" w:rsidR="00185135" w:rsidRPr="00185135" w:rsidRDefault="00F42E47" w:rsidP="00F42E47">
      <w:pPr>
        <w:tabs>
          <w:tab w:val="num" w:pos="0"/>
        </w:tabs>
        <w:spacing w:line="259" w:lineRule="auto"/>
        <w:ind w:left="980" w:hanging="490"/>
        <w:jc w:val="both"/>
      </w:pPr>
      <w:r>
        <w:rPr>
          <w:rFonts w:hint="eastAsia"/>
        </w:rPr>
        <w:t>(</w:t>
      </w:r>
      <w:r>
        <w:t>b)</w:t>
      </w:r>
      <w:r>
        <w:tab/>
      </w:r>
      <w:r w:rsidR="00B25A4D">
        <w:rPr>
          <w:rFonts w:hint="eastAsia"/>
        </w:rPr>
        <w:t>同样提议在</w:t>
      </w:r>
      <w:r w:rsidR="00185135" w:rsidRPr="00185135">
        <w:rPr>
          <w:rFonts w:hint="eastAsia"/>
        </w:rPr>
        <w:t>甲基溴生产行业</w:t>
      </w:r>
      <w:r w:rsidR="00B25A4D">
        <w:rPr>
          <w:rFonts w:hint="eastAsia"/>
        </w:rPr>
        <w:t>下</w:t>
      </w:r>
      <w:r w:rsidR="00185135" w:rsidRPr="00185135">
        <w:rPr>
          <w:rFonts w:hint="eastAsia"/>
        </w:rPr>
        <w:t>为</w:t>
      </w:r>
      <w:r w:rsidR="00B203C3">
        <w:rPr>
          <w:rFonts w:hint="eastAsia"/>
        </w:rPr>
        <w:t>海关总署</w:t>
      </w:r>
      <w:r w:rsidR="00185135" w:rsidRPr="00185135">
        <w:rPr>
          <w:rFonts w:hint="eastAsia"/>
        </w:rPr>
        <w:t>的能力建设供资。</w:t>
      </w:r>
      <w:r w:rsidR="00B25A4D">
        <w:rPr>
          <w:rFonts w:hint="eastAsia"/>
        </w:rPr>
        <w:t>FECO</w:t>
      </w:r>
      <w:r w:rsidR="00B25A4D">
        <w:rPr>
          <w:rFonts w:hint="eastAsia"/>
        </w:rPr>
        <w:t>澄清说</w:t>
      </w:r>
      <w:r w:rsidR="00185135" w:rsidRPr="00185135">
        <w:rPr>
          <w:rFonts w:hint="eastAsia"/>
        </w:rPr>
        <w:t>，甲基溴生产行业的合同</w:t>
      </w:r>
      <w:r w:rsidR="00B25A4D">
        <w:rPr>
          <w:rFonts w:hint="eastAsia"/>
        </w:rPr>
        <w:t>是把用于</w:t>
      </w:r>
      <w:r w:rsidR="00185135" w:rsidRPr="00185135">
        <w:rPr>
          <w:rFonts w:hint="eastAsia"/>
        </w:rPr>
        <w:t>检疫和装运前消毒处理的甲基溴</w:t>
      </w:r>
      <w:r w:rsidR="00B25A4D">
        <w:rPr>
          <w:rFonts w:hint="eastAsia"/>
        </w:rPr>
        <w:t>作为重点</w:t>
      </w:r>
      <w:r w:rsidR="00185135" w:rsidRPr="00185135">
        <w:rPr>
          <w:rFonts w:hint="eastAsia"/>
        </w:rPr>
        <w:t>，而二类加工剂计划下的能力建设侧重于反走私工作。鉴于甲基吡咯烷酮生产行业</w:t>
      </w:r>
      <w:r w:rsidR="00B25A4D">
        <w:rPr>
          <w:rFonts w:hint="eastAsia"/>
        </w:rPr>
        <w:t>下的</w:t>
      </w:r>
      <w:r w:rsidR="00185135" w:rsidRPr="00185135">
        <w:rPr>
          <w:rFonts w:hint="eastAsia"/>
        </w:rPr>
        <w:t>合同</w:t>
      </w:r>
      <w:r w:rsidR="00B25A4D">
        <w:rPr>
          <w:rFonts w:hint="eastAsia"/>
        </w:rPr>
        <w:t>在签署中出现</w:t>
      </w:r>
      <w:r w:rsidR="00185135" w:rsidRPr="00185135">
        <w:rPr>
          <w:rFonts w:hint="eastAsia"/>
        </w:rPr>
        <w:t>延迟，秘书处认为必须密切监测这项活动的进展情况，以确保</w:t>
      </w:r>
      <w:r w:rsidR="005625CD">
        <w:rPr>
          <w:rFonts w:hint="eastAsia"/>
        </w:rPr>
        <w:t>其最迟</w:t>
      </w:r>
      <w:r w:rsidR="00185135" w:rsidRPr="00185135">
        <w:rPr>
          <w:rFonts w:hint="eastAsia"/>
        </w:rPr>
        <w:t>在</w:t>
      </w:r>
      <w:r w:rsidR="00185135" w:rsidRPr="00185135">
        <w:t>2020</w:t>
      </w:r>
      <w:r w:rsidR="00185135" w:rsidRPr="00185135">
        <w:rPr>
          <w:rFonts w:hint="eastAsia"/>
        </w:rPr>
        <w:t>年</w:t>
      </w:r>
      <w:r w:rsidR="00185135" w:rsidRPr="00185135">
        <w:t>12</w:t>
      </w:r>
      <w:r w:rsidR="00185135" w:rsidRPr="00185135">
        <w:rPr>
          <w:rFonts w:hint="eastAsia"/>
        </w:rPr>
        <w:t>月完成；</w:t>
      </w:r>
    </w:p>
    <w:p w14:paraId="0D852E79" w14:textId="7CCE510A" w:rsidR="00185135" w:rsidRPr="00185135" w:rsidRDefault="00F42E47" w:rsidP="00F42E47">
      <w:pPr>
        <w:tabs>
          <w:tab w:val="num" w:pos="0"/>
        </w:tabs>
        <w:spacing w:line="259" w:lineRule="auto"/>
        <w:ind w:left="980" w:hanging="490"/>
        <w:jc w:val="both"/>
      </w:pPr>
      <w:r>
        <w:rPr>
          <w:rFonts w:hint="eastAsia"/>
        </w:rPr>
        <w:t>(</w:t>
      </w:r>
      <w:r>
        <w:t>c)</w:t>
      </w:r>
      <w:r>
        <w:tab/>
      </w:r>
      <w:r w:rsidR="00185135" w:rsidRPr="00185135">
        <w:rPr>
          <w:rFonts w:hint="eastAsia"/>
        </w:rPr>
        <w:t>虽然拟议的六项活动</w:t>
      </w:r>
      <w:r w:rsidR="00284822">
        <w:rPr>
          <w:rFonts w:hint="eastAsia"/>
        </w:rPr>
        <w:t>会</w:t>
      </w:r>
      <w:r w:rsidR="00185135" w:rsidRPr="00185135">
        <w:rPr>
          <w:rFonts w:hint="eastAsia"/>
        </w:rPr>
        <w:t>很有用，但秘书处不清楚将为每项活动分配多少资金。此外，秘书处认为，</w:t>
      </w:r>
      <w:r w:rsidR="00284822">
        <w:rPr>
          <w:rFonts w:hint="eastAsia"/>
        </w:rPr>
        <w:t>也许有必要</w:t>
      </w:r>
      <w:r w:rsidR="00185135" w:rsidRPr="00185135">
        <w:rPr>
          <w:rFonts w:hint="eastAsia"/>
        </w:rPr>
        <w:t>向执行委员会提交</w:t>
      </w:r>
      <w:r w:rsidR="00284822">
        <w:rPr>
          <w:rFonts w:hint="eastAsia"/>
        </w:rPr>
        <w:t>更多资料，报告</w:t>
      </w:r>
      <w:r w:rsidR="00185135" w:rsidRPr="00185135">
        <w:rPr>
          <w:rFonts w:hint="eastAsia"/>
        </w:rPr>
        <w:t>一些活动</w:t>
      </w:r>
      <w:r w:rsidR="00284822">
        <w:rPr>
          <w:rFonts w:hint="eastAsia"/>
        </w:rPr>
        <w:t>的</w:t>
      </w:r>
      <w:r w:rsidR="00185135" w:rsidRPr="00185135">
        <w:rPr>
          <w:rFonts w:hint="eastAsia"/>
        </w:rPr>
        <w:t>成果。例如，与市场监督有关的活动可以更好地了解生产</w:t>
      </w:r>
      <w:r w:rsidR="00185135" w:rsidRPr="00185135">
        <w:t>CFC-11</w:t>
      </w:r>
      <w:r w:rsidR="00185135" w:rsidRPr="00185135">
        <w:rPr>
          <w:rFonts w:hint="eastAsia"/>
        </w:rPr>
        <w:t>的设施能够</w:t>
      </w:r>
      <w:r w:rsidR="00284822">
        <w:rPr>
          <w:rFonts w:hint="eastAsia"/>
        </w:rPr>
        <w:t>通过何种方式</w:t>
      </w:r>
      <w:r w:rsidR="00185135" w:rsidRPr="00185135">
        <w:rPr>
          <w:rFonts w:hint="eastAsia"/>
        </w:rPr>
        <w:t>购买四氯化碳。此外，市场监督活动</w:t>
      </w:r>
      <w:r w:rsidR="00284822">
        <w:rPr>
          <w:rFonts w:hint="eastAsia"/>
        </w:rPr>
        <w:t>看来将由</w:t>
      </w:r>
      <w:r w:rsidR="00185135" w:rsidRPr="00185135">
        <w:rPr>
          <w:rFonts w:hint="eastAsia"/>
        </w:rPr>
        <w:t>一家咨询公司在活动</w:t>
      </w:r>
      <w:r w:rsidR="00284822">
        <w:rPr>
          <w:rFonts w:hint="eastAsia"/>
        </w:rPr>
        <w:t>的</w:t>
      </w:r>
      <w:r w:rsidR="00185135" w:rsidRPr="00185135">
        <w:rPr>
          <w:rFonts w:hint="eastAsia"/>
        </w:rPr>
        <w:t>合同期间进行。秘书处建议，在项目完成后，这种市场监督仍将继续</w:t>
      </w:r>
      <w:r w:rsidR="00284822">
        <w:rPr>
          <w:rFonts w:hint="eastAsia"/>
        </w:rPr>
        <w:t>起作用</w:t>
      </w:r>
      <w:r w:rsidR="00185135" w:rsidRPr="00185135">
        <w:rPr>
          <w:rFonts w:hint="eastAsia"/>
        </w:rPr>
        <w:t>，因此，生态和环境部应为此编列预算。</w:t>
      </w:r>
      <w:r w:rsidR="00284822">
        <w:rPr>
          <w:rFonts w:hint="eastAsia"/>
        </w:rPr>
        <w:t>通过建立</w:t>
      </w:r>
      <w:r w:rsidR="00185135" w:rsidRPr="00185135">
        <w:rPr>
          <w:rFonts w:hint="eastAsia"/>
        </w:rPr>
        <w:t>和升级四氯化碳生产在线监测系统</w:t>
      </w:r>
      <w:r w:rsidR="00284822">
        <w:rPr>
          <w:rFonts w:hint="eastAsia"/>
        </w:rPr>
        <w:t>，</w:t>
      </w:r>
      <w:r w:rsidR="00185135" w:rsidRPr="00185135">
        <w:rPr>
          <w:rFonts w:hint="eastAsia"/>
        </w:rPr>
        <w:t>将使这种市场监督成为可能。秘书处建议中国政府通过世界银行向第八十五次会议提供</w:t>
      </w:r>
      <w:r w:rsidR="00284822">
        <w:rPr>
          <w:rFonts w:hint="eastAsia"/>
        </w:rPr>
        <w:t>更多信息，说明提议举办</w:t>
      </w:r>
      <w:r w:rsidR="00185135" w:rsidRPr="00185135">
        <w:rPr>
          <w:rFonts w:hint="eastAsia"/>
        </w:rPr>
        <w:t>的活动、</w:t>
      </w:r>
      <w:r w:rsidR="00284822">
        <w:rPr>
          <w:rFonts w:hint="eastAsia"/>
        </w:rPr>
        <w:t>活动</w:t>
      </w:r>
      <w:r w:rsidR="00185135" w:rsidRPr="00185135">
        <w:rPr>
          <w:rFonts w:hint="eastAsia"/>
        </w:rPr>
        <w:t>预算和</w:t>
      </w:r>
      <w:r w:rsidR="00284822">
        <w:rPr>
          <w:rFonts w:hint="eastAsia"/>
        </w:rPr>
        <w:t>活动</w:t>
      </w:r>
      <w:r w:rsidR="00B12F4A">
        <w:rPr>
          <w:rFonts w:hint="eastAsia"/>
        </w:rPr>
        <w:t>的</w:t>
      </w:r>
      <w:r w:rsidR="00185135" w:rsidRPr="00185135">
        <w:rPr>
          <w:rFonts w:hint="eastAsia"/>
        </w:rPr>
        <w:t>执行进度报告。执行委员会还不妨就分配给</w:t>
      </w:r>
      <w:r>
        <w:rPr>
          <w:rFonts w:hint="eastAsia"/>
        </w:rPr>
        <w:t>ODS</w:t>
      </w:r>
      <w:r w:rsidR="00185135" w:rsidRPr="00185135">
        <w:rPr>
          <w:rFonts w:hint="eastAsia"/>
        </w:rPr>
        <w:t>在线管理系统和</w:t>
      </w:r>
      <w:r w:rsidR="00B203C3">
        <w:rPr>
          <w:rFonts w:hint="eastAsia"/>
        </w:rPr>
        <w:t>海关总署</w:t>
      </w:r>
      <w:r w:rsidR="00185135" w:rsidRPr="00185135">
        <w:rPr>
          <w:rFonts w:hint="eastAsia"/>
        </w:rPr>
        <w:t>能力建设的</w:t>
      </w:r>
      <w:r w:rsidR="00185135" w:rsidRPr="00185135">
        <w:t>100</w:t>
      </w:r>
      <w:r w:rsidR="00185135" w:rsidRPr="00185135">
        <w:rPr>
          <w:rFonts w:hint="eastAsia"/>
        </w:rPr>
        <w:t>万美元提供</w:t>
      </w:r>
      <w:r w:rsidR="00B12F4A">
        <w:rPr>
          <w:rFonts w:hint="eastAsia"/>
        </w:rPr>
        <w:t>更多</w:t>
      </w:r>
      <w:r w:rsidR="00185135" w:rsidRPr="00185135">
        <w:rPr>
          <w:rFonts w:hint="eastAsia"/>
        </w:rPr>
        <w:t>指导意见。</w:t>
      </w:r>
    </w:p>
    <w:p w14:paraId="495488E3" w14:textId="78757A4A" w:rsidR="00185135" w:rsidRPr="00185135" w:rsidRDefault="00185135" w:rsidP="00185135">
      <w:pPr>
        <w:numPr>
          <w:ilvl w:val="0"/>
          <w:numId w:val="20"/>
        </w:numPr>
        <w:tabs>
          <w:tab w:val="num" w:pos="0"/>
        </w:tabs>
        <w:spacing w:line="259" w:lineRule="auto"/>
        <w:ind w:left="0" w:firstLine="0"/>
        <w:jc w:val="both"/>
        <w:rPr>
          <w:bCs/>
          <w:i/>
          <w:lang w:val="en-CA"/>
        </w:rPr>
      </w:pPr>
      <w:r w:rsidRPr="00185135">
        <w:rPr>
          <w:rFonts w:hint="eastAsia"/>
          <w:bCs/>
          <w:lang w:val="zh-CN"/>
        </w:rPr>
        <w:t>正如</w:t>
      </w:r>
      <w:r w:rsidR="00B12F4A" w:rsidRPr="00B12F4A">
        <w:rPr>
          <w:b/>
          <w:bCs/>
          <w:lang w:val="en-GB"/>
        </w:rPr>
        <w:t>UNEP/</w:t>
      </w:r>
      <w:proofErr w:type="spellStart"/>
      <w:r w:rsidR="00B12F4A" w:rsidRPr="00B12F4A">
        <w:rPr>
          <w:b/>
          <w:bCs/>
          <w:lang w:val="en-GB"/>
        </w:rPr>
        <w:t>OzL.Pro</w:t>
      </w:r>
      <w:proofErr w:type="spellEnd"/>
      <w:r w:rsidR="00B12F4A" w:rsidRPr="00B12F4A">
        <w:rPr>
          <w:b/>
          <w:bCs/>
          <w:lang w:val="en-GB"/>
        </w:rPr>
        <w:t>/</w:t>
      </w:r>
      <w:proofErr w:type="spellStart"/>
      <w:r w:rsidR="00B12F4A" w:rsidRPr="00B12F4A">
        <w:rPr>
          <w:b/>
          <w:bCs/>
          <w:lang w:val="en-GB"/>
        </w:rPr>
        <w:t>ExCom</w:t>
      </w:r>
      <w:proofErr w:type="spellEnd"/>
      <w:r w:rsidR="00B12F4A" w:rsidRPr="00B12F4A">
        <w:rPr>
          <w:b/>
          <w:bCs/>
          <w:lang w:val="en-GB"/>
        </w:rPr>
        <w:t>/83/11/Add.1</w:t>
      </w:r>
      <w:r w:rsidR="00B12F4A" w:rsidRPr="00B12F4A">
        <w:rPr>
          <w:rFonts w:hint="eastAsia"/>
          <w:lang w:val="en-GB"/>
        </w:rPr>
        <w:t>号</w:t>
      </w:r>
      <w:r w:rsidRPr="00185135">
        <w:rPr>
          <w:rFonts w:hint="eastAsia"/>
          <w:bCs/>
          <w:lang w:val="zh-CN"/>
        </w:rPr>
        <w:t>文件第一部分所载</w:t>
      </w:r>
      <w:r w:rsidR="00B12F4A">
        <w:rPr>
          <w:rFonts w:hint="eastAsia"/>
          <w:bCs/>
          <w:lang w:val="zh-CN"/>
        </w:rPr>
        <w:t>概述中国的</w:t>
      </w:r>
      <w:r w:rsidRPr="00185135">
        <w:rPr>
          <w:rFonts w:hint="eastAsia"/>
          <w:bCs/>
          <w:lang w:val="zh-CN"/>
        </w:rPr>
        <w:t>监测、报告和核查</w:t>
      </w:r>
      <w:r w:rsidR="00B12F4A">
        <w:rPr>
          <w:rFonts w:hint="eastAsia"/>
          <w:bCs/>
          <w:lang w:val="zh-CN"/>
        </w:rPr>
        <w:t>工作</w:t>
      </w:r>
      <w:r w:rsidRPr="00185135">
        <w:rPr>
          <w:rFonts w:hint="eastAsia"/>
          <w:bCs/>
          <w:lang w:val="zh-CN"/>
        </w:rPr>
        <w:t>的文件</w:t>
      </w:r>
      <w:r w:rsidR="00B12F4A">
        <w:rPr>
          <w:rFonts w:hint="eastAsia"/>
          <w:bCs/>
          <w:lang w:val="zh-CN"/>
        </w:rPr>
        <w:t>所讨论的那样</w:t>
      </w:r>
      <w:r w:rsidRPr="00185135">
        <w:rPr>
          <w:rFonts w:hint="eastAsia"/>
          <w:bCs/>
        </w:rPr>
        <w:t>，</w:t>
      </w:r>
      <w:r w:rsidRPr="00185135">
        <w:rPr>
          <w:rFonts w:hint="eastAsia"/>
          <w:bCs/>
          <w:lang w:val="zh-CN"/>
        </w:rPr>
        <w:t>秘书处强烈支持</w:t>
      </w:r>
      <w:r w:rsidR="00B12F4A">
        <w:rPr>
          <w:rFonts w:hint="eastAsia"/>
          <w:bCs/>
          <w:lang w:val="zh-CN"/>
        </w:rPr>
        <w:t>拟议的加强</w:t>
      </w:r>
      <w:r w:rsidRPr="00185135">
        <w:rPr>
          <w:rFonts w:hint="eastAsia"/>
          <w:bCs/>
          <w:lang w:val="zh-CN"/>
        </w:rPr>
        <w:t>四氯化碳监测</w:t>
      </w:r>
      <w:r w:rsidR="00B12F4A">
        <w:rPr>
          <w:rFonts w:hint="eastAsia"/>
          <w:bCs/>
          <w:lang w:val="zh-CN"/>
        </w:rPr>
        <w:t>工作的</w:t>
      </w:r>
      <w:r w:rsidRPr="00185135">
        <w:rPr>
          <w:rFonts w:hint="eastAsia"/>
          <w:bCs/>
          <w:lang w:val="zh-CN"/>
        </w:rPr>
        <w:t>措施</w:t>
      </w:r>
      <w:r w:rsidRPr="00185135">
        <w:rPr>
          <w:rFonts w:hint="eastAsia"/>
          <w:bCs/>
        </w:rPr>
        <w:t>，</w:t>
      </w:r>
      <w:r w:rsidR="00B12F4A">
        <w:rPr>
          <w:rFonts w:hint="eastAsia"/>
          <w:bCs/>
          <w:lang w:val="zh-CN"/>
        </w:rPr>
        <w:t>并同意，</w:t>
      </w:r>
      <w:r w:rsidRPr="00185135">
        <w:rPr>
          <w:rFonts w:hint="eastAsia"/>
          <w:bCs/>
          <w:lang w:val="zh-CN"/>
        </w:rPr>
        <w:t>加强四氯化碳监测</w:t>
      </w:r>
      <w:r w:rsidR="00B12F4A">
        <w:rPr>
          <w:rFonts w:hint="eastAsia"/>
          <w:bCs/>
          <w:lang w:val="zh-CN"/>
        </w:rPr>
        <w:t>工作</w:t>
      </w:r>
      <w:r w:rsidRPr="00185135">
        <w:rPr>
          <w:rFonts w:hint="eastAsia"/>
          <w:bCs/>
          <w:lang w:val="zh-CN"/>
        </w:rPr>
        <w:t>对确保四氯化碳</w:t>
      </w:r>
      <w:r w:rsidR="00B12F4A">
        <w:rPr>
          <w:rFonts w:hint="eastAsia"/>
          <w:bCs/>
          <w:lang w:val="zh-CN"/>
        </w:rPr>
        <w:t>受控用途</w:t>
      </w:r>
      <w:r w:rsidRPr="00185135">
        <w:rPr>
          <w:rFonts w:hint="eastAsia"/>
          <w:bCs/>
          <w:lang w:val="zh-CN"/>
        </w:rPr>
        <w:t>和氟氯化碳生产</w:t>
      </w:r>
      <w:r w:rsidR="00B12F4A">
        <w:rPr>
          <w:rFonts w:hint="eastAsia"/>
          <w:bCs/>
          <w:lang w:val="zh-CN"/>
        </w:rPr>
        <w:t>淘汰成果的可持续性</w:t>
      </w:r>
      <w:r w:rsidRPr="00185135">
        <w:rPr>
          <w:rFonts w:hint="eastAsia"/>
          <w:bCs/>
          <w:lang w:val="zh-CN"/>
        </w:rPr>
        <w:t>至关重要。根据中国政府提供的进一步资料，最近查获的</w:t>
      </w:r>
      <w:r w:rsidR="00B12F4A" w:rsidRPr="00185135">
        <w:rPr>
          <w:rFonts w:hint="eastAsia"/>
          <w:bCs/>
          <w:lang w:val="zh-CN"/>
        </w:rPr>
        <w:t>非法</w:t>
      </w:r>
      <w:r w:rsidRPr="00185135">
        <w:rPr>
          <w:rFonts w:hint="eastAsia"/>
          <w:bCs/>
          <w:lang w:val="zh-CN"/>
        </w:rPr>
        <w:t>氟氯化碳生产设施采用了共同</w:t>
      </w:r>
      <w:r w:rsidR="00B12F4A">
        <w:rPr>
          <w:rFonts w:hint="eastAsia"/>
          <w:bCs/>
          <w:lang w:val="zh-CN"/>
        </w:rPr>
        <w:t>的</w:t>
      </w:r>
      <w:r w:rsidRPr="00185135">
        <w:rPr>
          <w:rFonts w:hint="eastAsia"/>
          <w:bCs/>
          <w:lang w:val="zh-CN"/>
        </w:rPr>
        <w:t>生产途径，即在存在氯化锑的情况下将四氯化碳</w:t>
      </w:r>
      <w:r w:rsidR="00332CF7">
        <w:rPr>
          <w:rFonts w:hint="eastAsia"/>
          <w:bCs/>
          <w:lang w:val="zh-CN"/>
        </w:rPr>
        <w:t>和</w:t>
      </w:r>
      <w:r w:rsidR="00332CF7" w:rsidRPr="00185135">
        <w:rPr>
          <w:rFonts w:hint="eastAsia"/>
          <w:bCs/>
          <w:lang w:val="zh-CN"/>
        </w:rPr>
        <w:t>无水氟化氢</w:t>
      </w:r>
      <w:r w:rsidRPr="00185135">
        <w:rPr>
          <w:rFonts w:hint="eastAsia"/>
          <w:bCs/>
          <w:lang w:val="zh-CN"/>
        </w:rPr>
        <w:t>液相氟化；这些设施</w:t>
      </w:r>
      <w:r w:rsidR="007E0D64">
        <w:rPr>
          <w:rFonts w:hint="eastAsia"/>
          <w:bCs/>
          <w:lang w:val="zh-CN"/>
        </w:rPr>
        <w:t>得以</w:t>
      </w:r>
      <w:r w:rsidRPr="00185135">
        <w:rPr>
          <w:rFonts w:hint="eastAsia"/>
          <w:bCs/>
          <w:lang w:val="zh-CN"/>
        </w:rPr>
        <w:t>购买四氯化碳作为原料，表明四氯化碳</w:t>
      </w:r>
      <w:r w:rsidR="007E0D64" w:rsidRPr="00185135">
        <w:rPr>
          <w:rFonts w:hint="eastAsia"/>
          <w:bCs/>
          <w:lang w:val="zh-CN"/>
        </w:rPr>
        <w:t>监测</w:t>
      </w:r>
      <w:r w:rsidRPr="00185135">
        <w:rPr>
          <w:rFonts w:hint="eastAsia"/>
          <w:bCs/>
          <w:lang w:val="zh-CN"/>
        </w:rPr>
        <w:t>机制</w:t>
      </w:r>
      <w:r w:rsidR="006E6B18">
        <w:rPr>
          <w:rFonts w:hint="eastAsia"/>
          <w:bCs/>
          <w:lang w:val="zh-CN"/>
        </w:rPr>
        <w:t>应该</w:t>
      </w:r>
      <w:r w:rsidR="006E6B18" w:rsidRPr="00185135">
        <w:rPr>
          <w:rFonts w:hint="eastAsia"/>
          <w:bCs/>
          <w:lang w:val="zh-CN"/>
        </w:rPr>
        <w:t>加强</w:t>
      </w:r>
      <w:r w:rsidRPr="00185135">
        <w:rPr>
          <w:rFonts w:hint="eastAsia"/>
          <w:bCs/>
          <w:lang w:val="zh-CN"/>
        </w:rPr>
        <w:t>。秘书处认为，拟议的措施</w:t>
      </w:r>
      <w:r w:rsidR="007E0D64">
        <w:rPr>
          <w:rFonts w:hint="eastAsia"/>
          <w:bCs/>
          <w:lang w:val="zh-CN"/>
        </w:rPr>
        <w:t>在</w:t>
      </w:r>
      <w:r w:rsidRPr="00185135">
        <w:rPr>
          <w:rFonts w:hint="eastAsia"/>
          <w:bCs/>
          <w:lang w:val="zh-CN"/>
        </w:rPr>
        <w:t>这方面有帮助</w:t>
      </w:r>
      <w:r w:rsidR="007E0D64">
        <w:rPr>
          <w:rFonts w:hint="eastAsia"/>
          <w:bCs/>
          <w:lang w:val="zh-CN"/>
        </w:rPr>
        <w:t>，</w:t>
      </w:r>
      <w:r w:rsidRPr="00185135">
        <w:rPr>
          <w:rFonts w:hint="eastAsia"/>
          <w:bCs/>
          <w:lang w:val="zh-CN"/>
        </w:rPr>
        <w:t>不过不清楚为什么四氯乙烯工厂没有被纳入中国政府的四氯化碳监测工作。</w:t>
      </w:r>
      <w:r w:rsidRPr="00185135">
        <w:rPr>
          <w:bCs/>
        </w:rPr>
        <w:t xml:space="preserve"> </w:t>
      </w:r>
    </w:p>
    <w:p w14:paraId="4B143765" w14:textId="77777777" w:rsidR="00185135" w:rsidRPr="007E0D64" w:rsidRDefault="00185135" w:rsidP="007E0D64">
      <w:pPr>
        <w:keepNext/>
        <w:spacing w:line="259" w:lineRule="auto"/>
        <w:jc w:val="both"/>
        <w:rPr>
          <w:i/>
          <w:iCs/>
        </w:rPr>
      </w:pPr>
      <w:r w:rsidRPr="007E0D64">
        <w:rPr>
          <w:rFonts w:hint="eastAsia"/>
          <w:i/>
          <w:iCs/>
        </w:rPr>
        <w:lastRenderedPageBreak/>
        <w:t>淘汰氟氯化碳生产</w:t>
      </w:r>
    </w:p>
    <w:p w14:paraId="619DE9BE" w14:textId="57AC6F3A"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中国政府</w:t>
      </w:r>
      <w:r w:rsidR="007E0D64" w:rsidRPr="007E0D64">
        <w:rPr>
          <w:rFonts w:hint="eastAsia"/>
          <w:lang w:val="en-CA"/>
        </w:rPr>
        <w:t>在第八十二次会议上</w:t>
      </w:r>
      <w:r w:rsidR="007E0D64">
        <w:rPr>
          <w:rFonts w:hint="eastAsia"/>
          <w:lang w:val="zh-CN"/>
        </w:rPr>
        <w:t>表示</w:t>
      </w:r>
      <w:r w:rsidRPr="00185135">
        <w:rPr>
          <w:rFonts w:hint="eastAsia"/>
          <w:lang w:val="en-CA"/>
        </w:rPr>
        <w:t>，</w:t>
      </w:r>
      <w:r w:rsidRPr="00185135">
        <w:rPr>
          <w:rFonts w:hint="eastAsia"/>
          <w:lang w:val="zh-CN"/>
        </w:rPr>
        <w:t>正如最近</w:t>
      </w:r>
      <w:r w:rsidR="007E0D64">
        <w:rPr>
          <w:rFonts w:hint="eastAsia"/>
          <w:lang w:val="zh-CN"/>
        </w:rPr>
        <w:t>的</w:t>
      </w:r>
      <w:r w:rsidRPr="00185135">
        <w:rPr>
          <w:rFonts w:hint="eastAsia"/>
          <w:lang w:val="zh-CN"/>
        </w:rPr>
        <w:t>大气</w:t>
      </w:r>
      <w:r w:rsidR="007E0D64" w:rsidRPr="00185135">
        <w:rPr>
          <w:rFonts w:hint="eastAsia"/>
          <w:lang w:val="zh-CN"/>
        </w:rPr>
        <w:t>监测</w:t>
      </w:r>
      <w:r w:rsidRPr="00185135">
        <w:rPr>
          <w:rFonts w:hint="eastAsia"/>
          <w:lang w:val="zh-CN"/>
        </w:rPr>
        <w:t>结果所示</w:t>
      </w:r>
      <w:r w:rsidRPr="00185135">
        <w:rPr>
          <w:rFonts w:hint="eastAsia"/>
          <w:lang w:val="en-CA"/>
        </w:rPr>
        <w:t>，</w:t>
      </w:r>
      <w:r w:rsidR="007E0D64">
        <w:rPr>
          <w:rFonts w:hint="eastAsia"/>
          <w:lang w:val="zh-CN"/>
        </w:rPr>
        <w:t>看来存在</w:t>
      </w:r>
      <w:r w:rsidRPr="00185135">
        <w:rPr>
          <w:rFonts w:hint="eastAsia"/>
          <w:lang w:val="zh-CN"/>
        </w:rPr>
        <w:t>一些氟氯化碳</w:t>
      </w:r>
      <w:r w:rsidR="006E6B18">
        <w:rPr>
          <w:rFonts w:hint="eastAsia"/>
          <w:lang w:val="zh-CN"/>
        </w:rPr>
        <w:t>、</w:t>
      </w:r>
      <w:r w:rsidR="007E0D64" w:rsidRPr="00185135">
        <w:rPr>
          <w:rFonts w:hint="eastAsia"/>
          <w:lang w:val="zh-CN"/>
        </w:rPr>
        <w:t>特别是</w:t>
      </w:r>
      <w:r w:rsidR="007E0D64" w:rsidRPr="00185135">
        <w:rPr>
          <w:lang w:val="en-CA"/>
        </w:rPr>
        <w:t>CFC-11</w:t>
      </w:r>
      <w:r w:rsidRPr="00185135">
        <w:rPr>
          <w:rFonts w:hint="eastAsia"/>
          <w:lang w:val="zh-CN"/>
        </w:rPr>
        <w:t>的生产和排放</w:t>
      </w:r>
      <w:r w:rsidR="007E0D64">
        <w:rPr>
          <w:rFonts w:hint="eastAsia"/>
          <w:lang w:val="en-CA"/>
        </w:rPr>
        <w:t>情况</w:t>
      </w:r>
      <w:r w:rsidRPr="00185135">
        <w:rPr>
          <w:rFonts w:hint="eastAsia"/>
          <w:lang w:val="zh-CN"/>
        </w:rPr>
        <w:t>。由于作为氟氯化碳淘汰行业计划的一部分，所有已知氟氯化碳生产设施都</w:t>
      </w:r>
      <w:r w:rsidR="007E0D64">
        <w:rPr>
          <w:rFonts w:hint="eastAsia"/>
          <w:lang w:val="zh-CN"/>
        </w:rPr>
        <w:t>已</w:t>
      </w:r>
      <w:r w:rsidRPr="00185135">
        <w:rPr>
          <w:rFonts w:hint="eastAsia"/>
          <w:lang w:val="zh-CN"/>
        </w:rPr>
        <w:t>拆除，并且</w:t>
      </w:r>
      <w:r w:rsidR="00B25A4D">
        <w:rPr>
          <w:rFonts w:hint="eastAsia"/>
          <w:lang w:val="zh-CN"/>
        </w:rPr>
        <w:t>FECO</w:t>
      </w:r>
      <w:r w:rsidRPr="00185135">
        <w:rPr>
          <w:rFonts w:hint="eastAsia"/>
          <w:lang w:val="zh-CN"/>
        </w:rPr>
        <w:t>已经视察了</w:t>
      </w:r>
      <w:r w:rsidR="007E0D64">
        <w:rPr>
          <w:rFonts w:hint="eastAsia"/>
          <w:lang w:val="zh-CN"/>
        </w:rPr>
        <w:t>所有以前</w:t>
      </w:r>
      <w:r w:rsidRPr="00185135">
        <w:rPr>
          <w:rFonts w:hint="eastAsia"/>
          <w:lang w:val="zh-CN"/>
        </w:rPr>
        <w:t>生产氟氯化碳的</w:t>
      </w:r>
      <w:r w:rsidR="007E0D64">
        <w:rPr>
          <w:rFonts w:hint="eastAsia"/>
          <w:lang w:val="zh-CN"/>
        </w:rPr>
        <w:t>厂家</w:t>
      </w:r>
      <w:r w:rsidRPr="00185135">
        <w:rPr>
          <w:rFonts w:hint="eastAsia"/>
          <w:lang w:val="zh-CN"/>
        </w:rPr>
        <w:t>，</w:t>
      </w:r>
      <w:r w:rsidR="007E0D64">
        <w:rPr>
          <w:rFonts w:hint="eastAsia"/>
          <w:lang w:val="zh-CN"/>
        </w:rPr>
        <w:t>没有</w:t>
      </w:r>
      <w:r w:rsidRPr="00185135">
        <w:rPr>
          <w:rFonts w:hint="eastAsia"/>
          <w:lang w:val="zh-CN"/>
        </w:rPr>
        <w:t>发现</w:t>
      </w:r>
      <w:r w:rsidR="007E0D64">
        <w:rPr>
          <w:rFonts w:hint="eastAsia"/>
          <w:lang w:val="zh-CN"/>
        </w:rPr>
        <w:t>其中任何厂家</w:t>
      </w:r>
      <w:r w:rsidRPr="00185135">
        <w:rPr>
          <w:rFonts w:hint="eastAsia"/>
          <w:lang w:val="zh-CN"/>
        </w:rPr>
        <w:t>重新启动氟氯化碳生产，因此，任何氟氯化碳</w:t>
      </w:r>
      <w:r w:rsidR="007E0D64">
        <w:rPr>
          <w:rFonts w:hint="eastAsia"/>
          <w:lang w:val="zh-CN"/>
        </w:rPr>
        <w:t>产量</w:t>
      </w:r>
      <w:r w:rsidRPr="00185135">
        <w:rPr>
          <w:rFonts w:hint="eastAsia"/>
          <w:lang w:val="zh-CN"/>
        </w:rPr>
        <w:t>都</w:t>
      </w:r>
      <w:r w:rsidR="007E0D64">
        <w:rPr>
          <w:rFonts w:hint="eastAsia"/>
          <w:lang w:val="zh-CN"/>
        </w:rPr>
        <w:t>是</w:t>
      </w:r>
      <w:r w:rsidRPr="00185135">
        <w:rPr>
          <w:rFonts w:hint="eastAsia"/>
          <w:lang w:val="zh-CN"/>
        </w:rPr>
        <w:t>来自未经许可设立的非法生产设施。秘书处指出，根据氟氯化碳生产淘汰行业计划提交的核查报告附有</w:t>
      </w:r>
      <w:r w:rsidR="00C053AA" w:rsidRPr="00185135">
        <w:rPr>
          <w:rFonts w:hint="eastAsia"/>
          <w:lang w:val="zh-CN"/>
        </w:rPr>
        <w:t>照片和视频</w:t>
      </w:r>
      <w:r w:rsidR="00C053AA">
        <w:rPr>
          <w:rFonts w:hint="eastAsia"/>
          <w:lang w:val="zh-CN"/>
        </w:rPr>
        <w:t>，</w:t>
      </w:r>
      <w:r w:rsidRPr="00185135">
        <w:rPr>
          <w:rFonts w:hint="eastAsia"/>
          <w:lang w:val="zh-CN"/>
        </w:rPr>
        <w:t>证明关键设备已被销毁或</w:t>
      </w:r>
      <w:r w:rsidR="00C053AA">
        <w:rPr>
          <w:rFonts w:hint="eastAsia"/>
          <w:lang w:val="zh-CN"/>
        </w:rPr>
        <w:t>拆卸报废</w:t>
      </w:r>
      <w:r w:rsidRPr="00185135">
        <w:rPr>
          <w:rFonts w:hint="eastAsia"/>
          <w:lang w:val="zh-CN"/>
        </w:rPr>
        <w:t>。</w:t>
      </w:r>
      <w:r w:rsidRPr="00185135">
        <w:rPr>
          <w:lang w:val="en-CA"/>
        </w:rPr>
        <w:t xml:space="preserve"> </w:t>
      </w:r>
    </w:p>
    <w:p w14:paraId="021D05E1" w14:textId="7130D94D"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为了查明任何</w:t>
      </w:r>
      <w:r w:rsidR="00C053AA" w:rsidRPr="00185135">
        <w:rPr>
          <w:rFonts w:hint="eastAsia"/>
          <w:lang w:val="zh-CN"/>
        </w:rPr>
        <w:t>非法的</w:t>
      </w:r>
      <w:r w:rsidRPr="00185135">
        <w:rPr>
          <w:rFonts w:hint="eastAsia"/>
          <w:lang w:val="zh-CN"/>
        </w:rPr>
        <w:t>氟氯化碳生产</w:t>
      </w:r>
      <w:r w:rsidRPr="00185135">
        <w:rPr>
          <w:rFonts w:hint="eastAsia"/>
          <w:lang w:val="en-CA"/>
        </w:rPr>
        <w:t>，</w:t>
      </w:r>
      <w:r w:rsidRPr="00185135">
        <w:rPr>
          <w:rFonts w:hint="eastAsia"/>
          <w:lang w:val="zh-CN"/>
        </w:rPr>
        <w:t>将根据加工剂项目的规定</w:t>
      </w:r>
      <w:r w:rsidRPr="00185135">
        <w:rPr>
          <w:rFonts w:hint="eastAsia"/>
          <w:lang w:val="en-CA"/>
        </w:rPr>
        <w:t>，</w:t>
      </w:r>
      <w:r w:rsidRPr="00185135">
        <w:rPr>
          <w:rFonts w:hint="eastAsia"/>
          <w:lang w:val="zh-CN"/>
        </w:rPr>
        <w:t>加强对四氯化碳生产的监测。此外，</w:t>
      </w:r>
      <w:r w:rsidR="00B25A4D">
        <w:rPr>
          <w:rFonts w:hint="eastAsia"/>
          <w:lang w:val="zh-CN"/>
        </w:rPr>
        <w:t>FECO</w:t>
      </w:r>
      <w:r w:rsidRPr="00185135">
        <w:rPr>
          <w:rFonts w:hint="eastAsia"/>
          <w:lang w:val="zh-CN"/>
        </w:rPr>
        <w:t>还建议在一些可能出现非法生产的省份扩大省级大气监测方案。</w:t>
      </w:r>
      <w:r w:rsidRPr="00185135">
        <w:rPr>
          <w:lang w:val="en-CA"/>
        </w:rPr>
        <w:t xml:space="preserve"> </w:t>
      </w:r>
    </w:p>
    <w:p w14:paraId="2E7732C6" w14:textId="79C181BB" w:rsidR="00185135" w:rsidRPr="00805EC4" w:rsidRDefault="00185135" w:rsidP="00185135">
      <w:pPr>
        <w:numPr>
          <w:ilvl w:val="0"/>
          <w:numId w:val="20"/>
        </w:numPr>
        <w:tabs>
          <w:tab w:val="num" w:pos="0"/>
        </w:tabs>
        <w:spacing w:line="259" w:lineRule="auto"/>
        <w:ind w:left="0" w:firstLine="0"/>
        <w:jc w:val="both"/>
        <w:rPr>
          <w:bCs/>
          <w:lang w:val="en-GB"/>
        </w:rPr>
      </w:pPr>
      <w:r w:rsidRPr="00805EC4">
        <w:rPr>
          <w:rFonts w:hint="eastAsia"/>
          <w:lang w:val="zh-CN"/>
        </w:rPr>
        <w:t>生产氟氯化碳需要四氯化碳和无水氟化氢。</w:t>
      </w:r>
      <w:r w:rsidR="00C053AA" w:rsidRPr="00805EC4">
        <w:rPr>
          <w:rFonts w:hint="eastAsia"/>
          <w:lang w:val="zh-CN"/>
        </w:rPr>
        <w:t>秘书处</w:t>
      </w:r>
      <w:r w:rsidRPr="00805EC4">
        <w:rPr>
          <w:rFonts w:hint="eastAsia"/>
          <w:lang w:val="zh-CN"/>
        </w:rPr>
        <w:t>注意到很难监测无水氟化氢的使用情况，因此认为，加强</w:t>
      </w:r>
      <w:r w:rsidR="00C053AA" w:rsidRPr="00805EC4">
        <w:rPr>
          <w:rFonts w:hint="eastAsia"/>
          <w:lang w:val="zh-CN"/>
        </w:rPr>
        <w:t>对</w:t>
      </w:r>
      <w:r w:rsidRPr="00805EC4">
        <w:rPr>
          <w:rFonts w:hint="eastAsia"/>
          <w:lang w:val="zh-CN"/>
        </w:rPr>
        <w:t>四氯化碳生产</w:t>
      </w:r>
      <w:r w:rsidR="00C053AA" w:rsidRPr="00805EC4">
        <w:rPr>
          <w:rFonts w:hint="eastAsia"/>
          <w:lang w:val="zh-CN"/>
        </w:rPr>
        <w:t>的监测</w:t>
      </w:r>
      <w:r w:rsidRPr="00805EC4">
        <w:rPr>
          <w:rFonts w:hint="eastAsia"/>
          <w:lang w:val="zh-CN"/>
        </w:rPr>
        <w:t>是防止今后非法生产氟氯化碳的关键步骤。同样，秘书处认为，扩大省级大气监测方案的</w:t>
      </w:r>
      <w:r w:rsidR="00332CF7" w:rsidRPr="00805EC4">
        <w:rPr>
          <w:rFonts w:hint="eastAsia"/>
          <w:lang w:val="zh-CN"/>
        </w:rPr>
        <w:t>提议</w:t>
      </w:r>
      <w:r w:rsidRPr="00805EC4">
        <w:rPr>
          <w:rFonts w:hint="eastAsia"/>
          <w:lang w:val="zh-CN"/>
        </w:rPr>
        <w:t>对查缉</w:t>
      </w:r>
      <w:r w:rsidR="00332CF7" w:rsidRPr="00805EC4">
        <w:rPr>
          <w:rFonts w:hint="eastAsia"/>
          <w:lang w:val="zh-CN"/>
        </w:rPr>
        <w:t>今后</w:t>
      </w:r>
      <w:r w:rsidRPr="00805EC4">
        <w:rPr>
          <w:rFonts w:hint="eastAsia"/>
          <w:lang w:val="zh-CN"/>
        </w:rPr>
        <w:t>非法氟氯化碳的生产至为有用。秘书处询问目前</w:t>
      </w:r>
      <w:r w:rsidR="00332CF7" w:rsidRPr="00805EC4">
        <w:rPr>
          <w:rFonts w:hint="eastAsia"/>
          <w:lang w:val="zh-CN"/>
        </w:rPr>
        <w:t>的</w:t>
      </w:r>
      <w:r w:rsidRPr="00805EC4">
        <w:rPr>
          <w:rFonts w:hint="eastAsia"/>
          <w:lang w:val="zh-CN"/>
        </w:rPr>
        <w:t>省级大气监测方案是否已经包括观察氟氯化碳和四氯化碳的仪器以及如何扩大这个方案。</w:t>
      </w:r>
      <w:r w:rsidRPr="00805EC4">
        <w:rPr>
          <w:rFonts w:hint="eastAsia"/>
          <w:bCs/>
          <w:lang w:val="zh-CN"/>
        </w:rPr>
        <w:t>中国政府提交的现行监测、报告、核查和执法</w:t>
      </w:r>
      <w:r w:rsidR="00332CF7" w:rsidRPr="00805EC4">
        <w:rPr>
          <w:rFonts w:hint="eastAsia"/>
          <w:bCs/>
          <w:lang w:val="zh-CN"/>
        </w:rPr>
        <w:t>工作审查报告</w:t>
      </w:r>
      <w:r w:rsidRPr="00805EC4">
        <w:rPr>
          <w:rFonts w:hint="eastAsia"/>
          <w:bCs/>
          <w:lang w:val="zh-CN"/>
        </w:rPr>
        <w:t>（第</w:t>
      </w:r>
      <w:r w:rsidRPr="00805EC4">
        <w:rPr>
          <w:bCs/>
          <w:lang w:val="zh-CN"/>
        </w:rPr>
        <w:t>82/65</w:t>
      </w:r>
      <w:r w:rsidRPr="00805EC4">
        <w:rPr>
          <w:rFonts w:hint="eastAsia"/>
          <w:bCs/>
          <w:lang w:val="zh-CN"/>
        </w:rPr>
        <w:t>号决定和第</w:t>
      </w:r>
      <w:r w:rsidRPr="00805EC4">
        <w:rPr>
          <w:bCs/>
          <w:lang w:val="zh-CN"/>
        </w:rPr>
        <w:t>82/71</w:t>
      </w:r>
      <w:r w:rsidRPr="00805EC4">
        <w:rPr>
          <w:rFonts w:hint="eastAsia"/>
          <w:bCs/>
          <w:lang w:val="zh-CN"/>
        </w:rPr>
        <w:t>号决定</w:t>
      </w:r>
      <w:r w:rsidR="00332CF7" w:rsidRPr="00805EC4">
        <w:rPr>
          <w:rFonts w:hint="eastAsia"/>
          <w:bCs/>
          <w:lang w:val="zh-CN"/>
        </w:rPr>
        <w:t>(</w:t>
      </w:r>
      <w:r w:rsidR="00332CF7" w:rsidRPr="00805EC4">
        <w:rPr>
          <w:bCs/>
          <w:lang w:val="zh-CN"/>
        </w:rPr>
        <w:t>a)</w:t>
      </w:r>
      <w:r w:rsidR="00332CF7" w:rsidRPr="00805EC4">
        <w:rPr>
          <w:rFonts w:hint="eastAsia"/>
          <w:bCs/>
          <w:lang w:val="zh-CN"/>
        </w:rPr>
        <w:t>段</w:t>
      </w:r>
      <w:r w:rsidRPr="00805EC4">
        <w:rPr>
          <w:rFonts w:hint="eastAsia"/>
          <w:bCs/>
          <w:lang w:val="zh-CN"/>
        </w:rPr>
        <w:t>）提供了</w:t>
      </w:r>
      <w:r w:rsidR="00332CF7" w:rsidRPr="00805EC4">
        <w:rPr>
          <w:rFonts w:hint="eastAsia"/>
          <w:bCs/>
          <w:lang w:val="zh-CN"/>
        </w:rPr>
        <w:t>更多信息，介绍</w:t>
      </w:r>
      <w:r w:rsidRPr="00805EC4">
        <w:rPr>
          <w:rFonts w:hint="eastAsia"/>
          <w:bCs/>
          <w:lang w:val="zh-CN"/>
        </w:rPr>
        <w:t>该国</w:t>
      </w:r>
      <w:r w:rsidR="00332CF7" w:rsidRPr="00805EC4">
        <w:rPr>
          <w:rFonts w:hint="eastAsia"/>
          <w:bCs/>
          <w:lang w:val="zh-CN"/>
        </w:rPr>
        <w:t>的</w:t>
      </w:r>
      <w:r w:rsidRPr="00805EC4">
        <w:rPr>
          <w:rFonts w:hint="eastAsia"/>
          <w:bCs/>
          <w:lang w:val="zh-CN"/>
        </w:rPr>
        <w:t>大气监测网络</w:t>
      </w:r>
      <w:r w:rsidR="00805EC4">
        <w:rPr>
          <w:rFonts w:hint="eastAsia"/>
          <w:bCs/>
          <w:lang w:val="zh-CN"/>
        </w:rPr>
        <w:t>，并介绍了</w:t>
      </w:r>
      <w:r w:rsidR="00332CF7" w:rsidRPr="00805EC4">
        <w:rPr>
          <w:rFonts w:hint="eastAsia"/>
          <w:bCs/>
          <w:lang w:val="zh-CN"/>
        </w:rPr>
        <w:t>为</w:t>
      </w:r>
      <w:r w:rsidRPr="00805EC4">
        <w:rPr>
          <w:rFonts w:hint="eastAsia"/>
          <w:bCs/>
          <w:lang w:val="zh-CN"/>
        </w:rPr>
        <w:t>确保</w:t>
      </w:r>
      <w:r w:rsidR="00332CF7" w:rsidRPr="00805EC4">
        <w:rPr>
          <w:rFonts w:hint="eastAsia"/>
          <w:bCs/>
          <w:lang w:val="zh-CN"/>
        </w:rPr>
        <w:t>ODS</w:t>
      </w:r>
      <w:r w:rsidR="00332CF7" w:rsidRPr="00805EC4">
        <w:rPr>
          <w:rFonts w:hint="eastAsia"/>
          <w:bCs/>
          <w:lang w:val="zh-CN"/>
        </w:rPr>
        <w:t>淘汰成果的可</w:t>
      </w:r>
      <w:r w:rsidRPr="00805EC4">
        <w:rPr>
          <w:rFonts w:hint="eastAsia"/>
          <w:bCs/>
          <w:lang w:val="zh-CN"/>
        </w:rPr>
        <w:t>持续</w:t>
      </w:r>
      <w:r w:rsidR="00332CF7" w:rsidRPr="00805EC4">
        <w:rPr>
          <w:rFonts w:hint="eastAsia"/>
          <w:bCs/>
          <w:lang w:val="zh-CN"/>
        </w:rPr>
        <w:t>性</w:t>
      </w:r>
      <w:r w:rsidR="00805EC4">
        <w:rPr>
          <w:rFonts w:hint="eastAsia"/>
          <w:bCs/>
          <w:lang w:val="zh-CN"/>
        </w:rPr>
        <w:t>而</w:t>
      </w:r>
      <w:r w:rsidR="00332CF7" w:rsidRPr="00805EC4">
        <w:rPr>
          <w:rFonts w:hint="eastAsia"/>
          <w:bCs/>
          <w:lang w:val="zh-CN"/>
        </w:rPr>
        <w:t>扩大该网络的</w:t>
      </w:r>
      <w:r w:rsidRPr="00805EC4">
        <w:rPr>
          <w:rFonts w:hint="eastAsia"/>
          <w:bCs/>
          <w:lang w:val="zh-CN"/>
        </w:rPr>
        <w:t>计划</w:t>
      </w:r>
      <w:r w:rsidR="00332CF7" w:rsidRPr="00805EC4">
        <w:rPr>
          <w:rFonts w:hint="eastAsia"/>
          <w:bCs/>
          <w:lang w:val="zh-CN"/>
        </w:rPr>
        <w:t>；</w:t>
      </w:r>
      <w:r w:rsidR="00332CF7" w:rsidRPr="00805EC4">
        <w:rPr>
          <w:rFonts w:hint="eastAsia"/>
          <w:b/>
          <w:lang w:val="zh-CN"/>
        </w:rPr>
        <w:t>本文件的附件载有中国政府按照第</w:t>
      </w:r>
      <w:r w:rsidR="00332CF7" w:rsidRPr="00805EC4">
        <w:rPr>
          <w:rFonts w:hint="eastAsia"/>
          <w:b/>
          <w:lang w:val="zh-CN"/>
        </w:rPr>
        <w:t>8</w:t>
      </w:r>
      <w:r w:rsidR="00332CF7" w:rsidRPr="00805EC4">
        <w:rPr>
          <w:b/>
          <w:lang w:val="zh-CN"/>
        </w:rPr>
        <w:t>3/41</w:t>
      </w:r>
      <w:r w:rsidR="00332CF7" w:rsidRPr="00805EC4">
        <w:rPr>
          <w:rFonts w:hint="eastAsia"/>
          <w:b/>
          <w:lang w:val="zh-CN"/>
        </w:rPr>
        <w:t>号决定</w:t>
      </w:r>
      <w:r w:rsidR="00332CF7" w:rsidRPr="00805EC4">
        <w:rPr>
          <w:rFonts w:hint="eastAsia"/>
          <w:b/>
          <w:lang w:val="zh-CN"/>
        </w:rPr>
        <w:t>(</w:t>
      </w:r>
      <w:r w:rsidR="00332CF7" w:rsidRPr="00805EC4">
        <w:rPr>
          <w:b/>
          <w:lang w:val="zh-CN"/>
        </w:rPr>
        <w:t>e)</w:t>
      </w:r>
      <w:r w:rsidR="00332CF7" w:rsidRPr="00805EC4">
        <w:rPr>
          <w:rFonts w:hint="eastAsia"/>
          <w:b/>
          <w:lang w:val="zh-CN"/>
        </w:rPr>
        <w:t>段</w:t>
      </w:r>
      <w:r w:rsidR="00805EC4" w:rsidRPr="00805EC4">
        <w:rPr>
          <w:rFonts w:hint="eastAsia"/>
          <w:b/>
          <w:lang w:val="zh-CN"/>
        </w:rPr>
        <w:t>提交的报告，其中说明了建立大气监测网络方面的最新进度，并提供了关于</w:t>
      </w:r>
      <w:r w:rsidR="00805EC4" w:rsidRPr="00805EC4">
        <w:rPr>
          <w:rFonts w:hint="eastAsia"/>
          <w:b/>
          <w:lang w:val="zh-CN"/>
        </w:rPr>
        <w:t>2019</w:t>
      </w:r>
      <w:r w:rsidR="00805EC4" w:rsidRPr="00805EC4">
        <w:rPr>
          <w:rFonts w:hint="eastAsia"/>
          <w:b/>
          <w:lang w:val="zh-CN"/>
        </w:rPr>
        <w:t>年发现的另一个</w:t>
      </w:r>
      <w:r w:rsidR="00805EC4" w:rsidRPr="00805EC4">
        <w:rPr>
          <w:rFonts w:hint="eastAsia"/>
          <w:b/>
          <w:lang w:val="zh-CN"/>
        </w:rPr>
        <w:t>CFC-11</w:t>
      </w:r>
      <w:r w:rsidR="00805EC4" w:rsidRPr="00805EC4">
        <w:rPr>
          <w:rFonts w:hint="eastAsia"/>
          <w:b/>
          <w:lang w:val="zh-CN"/>
        </w:rPr>
        <w:t>生产设施的资料。</w:t>
      </w:r>
    </w:p>
    <w:p w14:paraId="2DE3ABF3" w14:textId="77777777" w:rsidR="00185135" w:rsidRPr="00805EC4" w:rsidRDefault="00185135" w:rsidP="00805EC4">
      <w:pPr>
        <w:keepNext/>
        <w:spacing w:line="259" w:lineRule="auto"/>
        <w:jc w:val="both"/>
        <w:rPr>
          <w:i/>
          <w:iCs/>
        </w:rPr>
      </w:pPr>
      <w:r w:rsidRPr="00805EC4">
        <w:rPr>
          <w:rFonts w:hint="eastAsia"/>
          <w:i/>
          <w:iCs/>
        </w:rPr>
        <w:t>聚氨酯泡沫塑料行业</w:t>
      </w:r>
      <w:r w:rsidRPr="00805EC4">
        <w:rPr>
          <w:i/>
          <w:iCs/>
        </w:rPr>
        <w:t xml:space="preserve"> </w:t>
      </w:r>
    </w:p>
    <w:p w14:paraId="7EC45F6B" w14:textId="3BFD0E6A" w:rsidR="00185135" w:rsidRPr="00185135" w:rsidRDefault="00185135" w:rsidP="00185135">
      <w:pPr>
        <w:numPr>
          <w:ilvl w:val="0"/>
          <w:numId w:val="20"/>
        </w:numPr>
        <w:tabs>
          <w:tab w:val="num" w:pos="0"/>
        </w:tabs>
        <w:spacing w:line="259" w:lineRule="auto"/>
        <w:ind w:left="0" w:firstLine="0"/>
        <w:jc w:val="both"/>
        <w:rPr>
          <w:lang w:val="en-CA"/>
        </w:rPr>
      </w:pPr>
      <w:r w:rsidRPr="00066EE7">
        <w:rPr>
          <w:rFonts w:hint="eastAsia"/>
          <w:lang w:val="zh-CN"/>
        </w:rPr>
        <w:t>中国政府</w:t>
      </w:r>
      <w:r w:rsidRPr="00185135">
        <w:rPr>
          <w:rFonts w:hint="eastAsia"/>
          <w:lang w:val="zh-CN"/>
        </w:rPr>
        <w:t>表示</w:t>
      </w:r>
      <w:r w:rsidRPr="00185135">
        <w:rPr>
          <w:rFonts w:hint="eastAsia"/>
          <w:lang w:val="en-CA"/>
        </w:rPr>
        <w:t>，</w:t>
      </w:r>
      <w:r w:rsidRPr="00185135">
        <w:rPr>
          <w:rFonts w:hint="eastAsia"/>
          <w:lang w:val="zh-CN"/>
        </w:rPr>
        <w:t>它</w:t>
      </w:r>
      <w:r w:rsidR="00066EE7" w:rsidRPr="00185135">
        <w:rPr>
          <w:rFonts w:hint="eastAsia"/>
          <w:lang w:val="zh-CN"/>
        </w:rPr>
        <w:t>虽然</w:t>
      </w:r>
      <w:r w:rsidRPr="00185135">
        <w:rPr>
          <w:rFonts w:hint="eastAsia"/>
          <w:lang w:val="zh-CN"/>
        </w:rPr>
        <w:t>认为</w:t>
      </w:r>
      <w:r w:rsidRPr="00185135">
        <w:rPr>
          <w:lang w:val="en-CA"/>
        </w:rPr>
        <w:t>CFC-11</w:t>
      </w:r>
      <w:r w:rsidRPr="00185135">
        <w:rPr>
          <w:rFonts w:hint="eastAsia"/>
          <w:lang w:val="zh-CN"/>
        </w:rPr>
        <w:t>已被淘汰</w:t>
      </w:r>
      <w:r w:rsidRPr="00185135">
        <w:rPr>
          <w:rFonts w:hint="eastAsia"/>
          <w:lang w:val="en-CA"/>
        </w:rPr>
        <w:t>，</w:t>
      </w:r>
      <w:r w:rsidRPr="00185135">
        <w:rPr>
          <w:rFonts w:hint="eastAsia"/>
          <w:lang w:val="zh-CN"/>
        </w:rPr>
        <w:t>但现在知道有一些氟氯化碳可能被非法生产出来并用作聚氨酯泡沫塑料行业的发泡剂。为了</w:t>
      </w:r>
      <w:r w:rsidR="00066EE7">
        <w:rPr>
          <w:rFonts w:hint="eastAsia"/>
          <w:lang w:val="zh-CN"/>
        </w:rPr>
        <w:t>监测</w:t>
      </w:r>
      <w:r w:rsidRPr="00185135">
        <w:rPr>
          <w:rFonts w:hint="eastAsia"/>
          <w:lang w:val="zh-CN"/>
        </w:rPr>
        <w:t>使用</w:t>
      </w:r>
      <w:r w:rsidR="00066EE7">
        <w:rPr>
          <w:rFonts w:hint="eastAsia"/>
          <w:lang w:val="zh-CN"/>
        </w:rPr>
        <w:t>的是</w:t>
      </w:r>
      <w:r w:rsidRPr="00185135">
        <w:rPr>
          <w:rFonts w:hint="eastAsia"/>
          <w:lang w:val="zh-CN"/>
        </w:rPr>
        <w:t>何种发泡剂并确定聚氨酯泡沫塑料行业可能非法使用</w:t>
      </w:r>
      <w:r w:rsidRPr="00185135">
        <w:rPr>
          <w:lang w:val="zh-CN"/>
        </w:rPr>
        <w:t>CFC-11</w:t>
      </w:r>
      <w:r w:rsidRPr="00185135">
        <w:rPr>
          <w:rFonts w:hint="eastAsia"/>
          <w:lang w:val="zh-CN"/>
        </w:rPr>
        <w:t>的情况，</w:t>
      </w:r>
      <w:r w:rsidR="00066EE7">
        <w:rPr>
          <w:rFonts w:hint="eastAsia"/>
          <w:lang w:val="zh-CN"/>
        </w:rPr>
        <w:t>加强了</w:t>
      </w:r>
      <w:r w:rsidRPr="00185135">
        <w:rPr>
          <w:rFonts w:hint="eastAsia"/>
          <w:lang w:val="zh-CN"/>
        </w:rPr>
        <w:t>地方生态和环境局的</w:t>
      </w:r>
      <w:r w:rsidR="00066EE7">
        <w:rPr>
          <w:rFonts w:hint="eastAsia"/>
          <w:lang w:val="zh-CN"/>
        </w:rPr>
        <w:t>检查</w:t>
      </w:r>
      <w:r w:rsidRPr="00185135">
        <w:rPr>
          <w:rFonts w:hint="eastAsia"/>
          <w:lang w:val="zh-CN"/>
        </w:rPr>
        <w:t>能力。但是，仍然需要加强对聚氨酯泡沫塑料制造</w:t>
      </w:r>
      <w:r w:rsidR="00066EE7">
        <w:rPr>
          <w:rFonts w:hint="eastAsia"/>
          <w:lang w:val="zh-CN"/>
        </w:rPr>
        <w:t>厂家</w:t>
      </w:r>
      <w:r w:rsidRPr="00185135">
        <w:rPr>
          <w:rFonts w:hint="eastAsia"/>
          <w:lang w:val="zh-CN"/>
        </w:rPr>
        <w:t>和泡沫塑料配方厂家的</w:t>
      </w:r>
      <w:r w:rsidR="00066EE7">
        <w:rPr>
          <w:rFonts w:hint="eastAsia"/>
          <w:lang w:val="zh-CN"/>
        </w:rPr>
        <w:t>监测</w:t>
      </w:r>
      <w:r w:rsidRPr="00185135">
        <w:rPr>
          <w:rFonts w:hint="eastAsia"/>
          <w:lang w:val="zh-CN"/>
        </w:rPr>
        <w:t>。中国政府</w:t>
      </w:r>
      <w:r w:rsidR="00066EE7" w:rsidRPr="00185135">
        <w:rPr>
          <w:rFonts w:hint="eastAsia"/>
          <w:lang w:val="zh-CN"/>
        </w:rPr>
        <w:t>因此</w:t>
      </w:r>
      <w:r w:rsidRPr="00185135">
        <w:rPr>
          <w:rFonts w:hint="eastAsia"/>
          <w:lang w:val="zh-CN"/>
        </w:rPr>
        <w:t>认为，需要在</w:t>
      </w:r>
      <w:r w:rsidRPr="00185135">
        <w:rPr>
          <w:lang w:val="zh-CN"/>
        </w:rPr>
        <w:t>2018</w:t>
      </w:r>
      <w:r w:rsidRPr="00185135">
        <w:rPr>
          <w:rFonts w:hint="eastAsia"/>
          <w:lang w:val="zh-CN"/>
        </w:rPr>
        <w:t>年以后继续实施监测方案，直至其资金用罄为止。</w:t>
      </w:r>
      <w:r w:rsidRPr="00185135">
        <w:rPr>
          <w:lang w:val="en-CA"/>
        </w:rPr>
        <w:t xml:space="preserve"> </w:t>
      </w:r>
    </w:p>
    <w:p w14:paraId="4E8D948A" w14:textId="775CC4A5"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此外</w:t>
      </w:r>
      <w:r w:rsidRPr="00185135">
        <w:rPr>
          <w:rFonts w:hint="eastAsia"/>
          <w:lang w:val="en-CA"/>
        </w:rPr>
        <w:t>，</w:t>
      </w:r>
      <w:r w:rsidRPr="00185135">
        <w:rPr>
          <w:rFonts w:hint="eastAsia"/>
          <w:lang w:val="zh-CN"/>
        </w:rPr>
        <w:t>尽管对</w:t>
      </w:r>
      <w:r w:rsidR="00066EE7">
        <w:rPr>
          <w:rFonts w:hint="eastAsia"/>
          <w:lang w:val="zh-CN"/>
        </w:rPr>
        <w:t>已经淘汰了</w:t>
      </w:r>
      <w:r w:rsidRPr="00185135">
        <w:rPr>
          <w:lang w:val="en-CA"/>
        </w:rPr>
        <w:t>CFC-11</w:t>
      </w:r>
      <w:r w:rsidRPr="00185135">
        <w:rPr>
          <w:rFonts w:hint="eastAsia"/>
          <w:lang w:val="zh-CN"/>
        </w:rPr>
        <w:t>的泡沫塑料企业进行</w:t>
      </w:r>
      <w:r w:rsidR="00066EE7">
        <w:rPr>
          <w:rFonts w:hint="eastAsia"/>
          <w:lang w:val="zh-CN"/>
        </w:rPr>
        <w:t>着</w:t>
      </w:r>
      <w:r w:rsidRPr="00185135">
        <w:rPr>
          <w:rFonts w:hint="eastAsia"/>
          <w:lang w:val="zh-CN"/>
        </w:rPr>
        <w:t>广泛的持续监测</w:t>
      </w:r>
      <w:r w:rsidRPr="00185135">
        <w:rPr>
          <w:rFonts w:hint="eastAsia"/>
          <w:lang w:val="en-CA"/>
        </w:rPr>
        <w:t>，</w:t>
      </w:r>
      <w:r w:rsidRPr="00185135">
        <w:rPr>
          <w:rFonts w:hint="eastAsia"/>
          <w:lang w:val="zh-CN"/>
        </w:rPr>
        <w:t>包括采集泡沫塑料样品</w:t>
      </w:r>
      <w:r w:rsidR="00066EE7">
        <w:rPr>
          <w:rFonts w:hint="eastAsia"/>
          <w:lang w:val="zh-CN"/>
        </w:rPr>
        <w:t>以便</w:t>
      </w:r>
      <w:r w:rsidRPr="00185135">
        <w:rPr>
          <w:rFonts w:hint="eastAsia"/>
          <w:lang w:val="zh-CN"/>
        </w:rPr>
        <w:t>分析发泡剂的成分</w:t>
      </w:r>
      <w:r w:rsidRPr="00185135">
        <w:rPr>
          <w:rFonts w:hint="eastAsia"/>
          <w:lang w:val="en-CA"/>
        </w:rPr>
        <w:t>，</w:t>
      </w:r>
      <w:r w:rsidRPr="00185135">
        <w:rPr>
          <w:rFonts w:hint="eastAsia"/>
          <w:lang w:val="zh-CN"/>
        </w:rPr>
        <w:t>但政府认识到</w:t>
      </w:r>
      <w:r w:rsidRPr="00185135">
        <w:rPr>
          <w:rFonts w:hint="eastAsia"/>
          <w:lang w:val="en-CA"/>
        </w:rPr>
        <w:t>，</w:t>
      </w:r>
      <w:r w:rsidRPr="00185135">
        <w:rPr>
          <w:rFonts w:hint="eastAsia"/>
          <w:lang w:val="zh-CN"/>
        </w:rPr>
        <w:t>如果不对泡沫塑料以外的所有应用进行监测</w:t>
      </w:r>
      <w:r w:rsidRPr="00185135">
        <w:rPr>
          <w:rFonts w:hint="eastAsia"/>
          <w:lang w:val="en-CA"/>
        </w:rPr>
        <w:t>，</w:t>
      </w:r>
      <w:r w:rsidRPr="00185135">
        <w:rPr>
          <w:rFonts w:hint="eastAsia"/>
          <w:lang w:val="zh-CN"/>
        </w:rPr>
        <w:t>那么在监测</w:t>
      </w:r>
      <w:r w:rsidRPr="00185135">
        <w:rPr>
          <w:lang w:val="en-CA"/>
        </w:rPr>
        <w:t>CFC-11</w:t>
      </w:r>
      <w:r w:rsidRPr="00185135">
        <w:rPr>
          <w:rFonts w:hint="eastAsia"/>
          <w:lang w:val="zh-CN"/>
        </w:rPr>
        <w:t>方面仍可能存在漏洞。因此，中国政府和执行机构计划</w:t>
      </w:r>
      <w:r w:rsidR="00066EE7">
        <w:rPr>
          <w:rFonts w:hint="eastAsia"/>
          <w:lang w:val="zh-CN"/>
        </w:rPr>
        <w:t>在</w:t>
      </w:r>
      <w:r w:rsidRPr="00185135">
        <w:rPr>
          <w:rFonts w:hint="eastAsia"/>
          <w:lang w:val="zh-CN"/>
        </w:rPr>
        <w:t>各行业之间</w:t>
      </w:r>
      <w:r w:rsidR="00066EE7" w:rsidRPr="00185135">
        <w:rPr>
          <w:rFonts w:hint="eastAsia"/>
          <w:lang w:val="zh-CN"/>
        </w:rPr>
        <w:t>协调</w:t>
      </w:r>
      <w:r w:rsidRPr="00185135">
        <w:rPr>
          <w:rFonts w:hint="eastAsia"/>
          <w:lang w:val="zh-CN"/>
        </w:rPr>
        <w:t>监测</w:t>
      </w:r>
      <w:r w:rsidR="00066EE7">
        <w:rPr>
          <w:rFonts w:hint="eastAsia"/>
          <w:lang w:val="zh-CN"/>
        </w:rPr>
        <w:t>工作</w:t>
      </w:r>
      <w:r w:rsidRPr="00185135">
        <w:rPr>
          <w:rFonts w:hint="eastAsia"/>
          <w:lang w:val="zh-CN"/>
        </w:rPr>
        <w:t>。</w:t>
      </w:r>
    </w:p>
    <w:p w14:paraId="288857F6" w14:textId="7BDFF8D0"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秘书处强调</w:t>
      </w:r>
      <w:r w:rsidRPr="00185135">
        <w:rPr>
          <w:rFonts w:hint="eastAsia"/>
          <w:lang w:val="en-CA"/>
        </w:rPr>
        <w:t>，</w:t>
      </w:r>
      <w:r w:rsidRPr="00185135">
        <w:rPr>
          <w:rFonts w:hint="eastAsia"/>
          <w:lang w:val="zh-CN"/>
        </w:rPr>
        <w:t>即使在聚氨酯泡沫塑料行业计划的资金用罄之后</w:t>
      </w:r>
      <w:r w:rsidRPr="00185135">
        <w:rPr>
          <w:rFonts w:hint="eastAsia"/>
          <w:lang w:val="en-CA"/>
        </w:rPr>
        <w:t>，</w:t>
      </w:r>
      <w:r w:rsidRPr="00185135">
        <w:rPr>
          <w:rFonts w:hint="eastAsia"/>
          <w:lang w:val="zh-CN"/>
        </w:rPr>
        <w:t>仍</w:t>
      </w:r>
      <w:r w:rsidR="00066EE7">
        <w:rPr>
          <w:rFonts w:hint="eastAsia"/>
          <w:lang w:val="zh-CN"/>
        </w:rPr>
        <w:t>需要</w:t>
      </w:r>
      <w:r w:rsidRPr="00185135">
        <w:rPr>
          <w:rFonts w:hint="eastAsia"/>
          <w:lang w:val="zh-CN"/>
        </w:rPr>
        <w:t>持续淘汰</w:t>
      </w:r>
      <w:r w:rsidRPr="00185135">
        <w:rPr>
          <w:lang w:val="en-CA"/>
        </w:rPr>
        <w:t>CFC-11</w:t>
      </w:r>
      <w:r w:rsidRPr="00185135">
        <w:rPr>
          <w:rFonts w:hint="eastAsia"/>
          <w:lang w:val="en-CA"/>
        </w:rPr>
        <w:t>，</w:t>
      </w:r>
      <w:r w:rsidRPr="00185135">
        <w:rPr>
          <w:rFonts w:hint="eastAsia"/>
          <w:lang w:val="zh-CN"/>
        </w:rPr>
        <w:t>并注意到已在五个省</w:t>
      </w:r>
      <w:r w:rsidR="00066EE7">
        <w:rPr>
          <w:rFonts w:hint="eastAsia"/>
          <w:lang w:val="zh-CN"/>
        </w:rPr>
        <w:t>视察</w:t>
      </w:r>
      <w:r w:rsidRPr="00185135">
        <w:rPr>
          <w:rFonts w:hint="eastAsia"/>
          <w:lang w:val="zh-CN"/>
        </w:rPr>
        <w:t>了</w:t>
      </w:r>
      <w:r w:rsidRPr="00185135">
        <w:rPr>
          <w:lang w:val="en-CA"/>
        </w:rPr>
        <w:t>420</w:t>
      </w:r>
      <w:r w:rsidRPr="00185135">
        <w:rPr>
          <w:rFonts w:hint="eastAsia"/>
          <w:lang w:val="zh-CN"/>
        </w:rPr>
        <w:t>家泡沫塑料企业和配方厂家</w:t>
      </w:r>
      <w:r w:rsidRPr="00185135">
        <w:rPr>
          <w:rFonts w:hint="eastAsia"/>
          <w:lang w:val="en-CA"/>
        </w:rPr>
        <w:t>，</w:t>
      </w:r>
      <w:r w:rsidRPr="00185135">
        <w:rPr>
          <w:rFonts w:hint="eastAsia"/>
          <w:lang w:val="zh-CN"/>
        </w:rPr>
        <w:t>收集了</w:t>
      </w:r>
      <w:r w:rsidRPr="00185135">
        <w:rPr>
          <w:lang w:val="en-CA"/>
        </w:rPr>
        <w:t>780</w:t>
      </w:r>
      <w:r w:rsidR="006E6B18">
        <w:rPr>
          <w:rFonts w:hint="eastAsia"/>
          <w:lang w:val="en-CA"/>
        </w:rPr>
        <w:t>多</w:t>
      </w:r>
      <w:r w:rsidRPr="00185135">
        <w:rPr>
          <w:rFonts w:hint="eastAsia"/>
          <w:lang w:val="zh-CN"/>
        </w:rPr>
        <w:t>个原料样品进行分析。关于怀疑含有氟氯化碳</w:t>
      </w:r>
      <w:r w:rsidRPr="00185135">
        <w:rPr>
          <w:lang w:val="zh-CN"/>
        </w:rPr>
        <w:t>-</w:t>
      </w:r>
      <w:r w:rsidRPr="00185135">
        <w:rPr>
          <w:rFonts w:hint="eastAsia"/>
          <w:lang w:val="zh-CN"/>
        </w:rPr>
        <w:t>氟氯烃的样品所占百分比很小，秘书处询问，</w:t>
      </w:r>
      <w:r w:rsidR="00066EE7">
        <w:rPr>
          <w:rFonts w:hint="eastAsia"/>
          <w:lang w:val="zh-CN"/>
        </w:rPr>
        <w:t>经过认证</w:t>
      </w:r>
      <w:r w:rsidRPr="00185135">
        <w:rPr>
          <w:rFonts w:hint="eastAsia"/>
          <w:lang w:val="zh-CN"/>
        </w:rPr>
        <w:t>的实验室进行的分析是否确认使用了氟氯化碳，如果属实，则所占比例为何</w:t>
      </w:r>
      <w:r w:rsidR="00066EE7">
        <w:rPr>
          <w:rFonts w:hint="eastAsia"/>
          <w:lang w:val="zh-CN"/>
        </w:rPr>
        <w:t>，可以</w:t>
      </w:r>
      <w:r w:rsidRPr="00185135">
        <w:rPr>
          <w:rFonts w:hint="eastAsia"/>
          <w:lang w:val="zh-CN"/>
        </w:rPr>
        <w:t>对使用氟氯化碳的企业适用何种</w:t>
      </w:r>
      <w:r w:rsidR="00066EE7">
        <w:rPr>
          <w:rFonts w:hint="eastAsia"/>
          <w:lang w:val="zh-CN"/>
        </w:rPr>
        <w:t>规则</w:t>
      </w:r>
      <w:r w:rsidRPr="00185135">
        <w:rPr>
          <w:rFonts w:hint="eastAsia"/>
          <w:lang w:val="zh-CN"/>
        </w:rPr>
        <w:t>和条例。</w:t>
      </w:r>
    </w:p>
    <w:p w14:paraId="11A34C71" w14:textId="60D464C5"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政府</w:t>
      </w:r>
      <w:r w:rsidR="00066EE7">
        <w:rPr>
          <w:rFonts w:hint="eastAsia"/>
          <w:lang w:val="zh-CN"/>
        </w:rPr>
        <w:t>通报说</w:t>
      </w:r>
      <w:r w:rsidRPr="00185135">
        <w:rPr>
          <w:rFonts w:hint="eastAsia"/>
          <w:lang w:val="en-CA"/>
        </w:rPr>
        <w:t>，</w:t>
      </w:r>
      <w:r w:rsidR="00066EE7" w:rsidRPr="00185135">
        <w:rPr>
          <w:rFonts w:hint="eastAsia"/>
          <w:lang w:val="zh-CN"/>
        </w:rPr>
        <w:t>地方生态和环境局和公安部门</w:t>
      </w:r>
      <w:r w:rsidR="00066EE7" w:rsidRPr="00185135">
        <w:rPr>
          <w:rFonts w:hint="eastAsia"/>
          <w:lang w:val="en-CA"/>
        </w:rPr>
        <w:t>（</w:t>
      </w:r>
      <w:r w:rsidR="00066EE7" w:rsidRPr="00185135">
        <w:rPr>
          <w:rFonts w:hint="eastAsia"/>
          <w:lang w:val="zh-CN"/>
        </w:rPr>
        <w:t>当地警察</w:t>
      </w:r>
      <w:r w:rsidR="00066EE7" w:rsidRPr="00185135">
        <w:rPr>
          <w:rFonts w:hint="eastAsia"/>
          <w:lang w:val="en-CA"/>
        </w:rPr>
        <w:t>）</w:t>
      </w:r>
      <w:r w:rsidR="00066EE7">
        <w:rPr>
          <w:rFonts w:hint="eastAsia"/>
          <w:lang w:val="en-CA"/>
        </w:rPr>
        <w:t>正在对那些</w:t>
      </w:r>
      <w:r w:rsidRPr="00185135">
        <w:rPr>
          <w:rFonts w:hint="eastAsia"/>
          <w:lang w:val="zh-CN"/>
        </w:rPr>
        <w:t>样品含有氟氯化碳</w:t>
      </w:r>
      <w:r w:rsidR="00066EE7">
        <w:rPr>
          <w:lang w:val="en-CA"/>
        </w:rPr>
        <w:t xml:space="preserve"> – </w:t>
      </w:r>
      <w:r w:rsidR="00066EE7">
        <w:rPr>
          <w:rFonts w:hint="eastAsia"/>
          <w:lang w:val="en-CA"/>
        </w:rPr>
        <w:t>氟氯烃</w:t>
      </w:r>
      <w:r w:rsidRPr="00185135">
        <w:rPr>
          <w:rFonts w:hint="eastAsia"/>
          <w:lang w:val="zh-CN"/>
        </w:rPr>
        <w:t>的企业</w:t>
      </w:r>
      <w:r w:rsidR="00066EE7">
        <w:rPr>
          <w:rFonts w:hint="eastAsia"/>
          <w:lang w:val="zh-CN"/>
        </w:rPr>
        <w:t>进行</w:t>
      </w:r>
      <w:r w:rsidRPr="00185135">
        <w:rPr>
          <w:rFonts w:hint="eastAsia"/>
          <w:lang w:val="zh-CN"/>
        </w:rPr>
        <w:t>联合调查。预计结果将于</w:t>
      </w:r>
      <w:r w:rsidRPr="00185135">
        <w:rPr>
          <w:lang w:val="zh-CN"/>
        </w:rPr>
        <w:t>10</w:t>
      </w:r>
      <w:r w:rsidRPr="00185135">
        <w:rPr>
          <w:rFonts w:hint="eastAsia"/>
          <w:lang w:val="zh-CN"/>
        </w:rPr>
        <w:t>月底向公众发布。</w:t>
      </w:r>
      <w:r w:rsidR="00066EE7" w:rsidRPr="00066EE7">
        <w:rPr>
          <w:rFonts w:hint="eastAsia"/>
          <w:b/>
          <w:bCs/>
          <w:lang w:val="zh-CN"/>
        </w:rPr>
        <w:t>提交第八十三次会议</w:t>
      </w:r>
      <w:r w:rsidR="00066EE7">
        <w:rPr>
          <w:rFonts w:hint="eastAsia"/>
          <w:lang w:val="zh-CN"/>
        </w:rPr>
        <w:t>的</w:t>
      </w:r>
      <w:r w:rsidRPr="00066EE7">
        <w:rPr>
          <w:rFonts w:hint="eastAsia"/>
          <w:bCs/>
          <w:lang w:val="zh-CN"/>
        </w:rPr>
        <w:t>最新报告</w:t>
      </w:r>
      <w:r w:rsidR="00066EE7" w:rsidRPr="00066EE7">
        <w:rPr>
          <w:rFonts w:hint="eastAsia"/>
          <w:bCs/>
          <w:lang w:val="zh-CN"/>
        </w:rPr>
        <w:t>表示</w:t>
      </w:r>
      <w:r w:rsidRPr="00066EE7">
        <w:rPr>
          <w:rFonts w:hint="eastAsia"/>
          <w:bCs/>
          <w:lang w:val="zh-CN"/>
        </w:rPr>
        <w:t>，查出山东省有三家企业非法使用</w:t>
      </w:r>
      <w:r w:rsidRPr="00066EE7">
        <w:rPr>
          <w:bCs/>
          <w:lang w:val="zh-CN"/>
        </w:rPr>
        <w:t>CFC-11</w:t>
      </w:r>
      <w:r w:rsidRPr="00066EE7">
        <w:rPr>
          <w:rFonts w:hint="eastAsia"/>
          <w:bCs/>
          <w:lang w:val="zh-CN"/>
        </w:rPr>
        <w:t>，已按照规定</w:t>
      </w:r>
      <w:r w:rsidR="008B2CFE">
        <w:rPr>
          <w:rFonts w:hint="eastAsia"/>
          <w:bCs/>
          <w:lang w:val="zh-CN"/>
        </w:rPr>
        <w:t>对其进行</w:t>
      </w:r>
      <w:r w:rsidRPr="00066EE7">
        <w:rPr>
          <w:rFonts w:hint="eastAsia"/>
          <w:bCs/>
          <w:lang w:val="zh-CN"/>
        </w:rPr>
        <w:t>处</w:t>
      </w:r>
      <w:r w:rsidRPr="00066EE7">
        <w:rPr>
          <w:rFonts w:hint="eastAsia"/>
          <w:bCs/>
          <w:lang w:val="zh-CN"/>
        </w:rPr>
        <w:lastRenderedPageBreak/>
        <w:t>罚</w:t>
      </w:r>
      <w:r w:rsidR="008B2CFE">
        <w:rPr>
          <w:rFonts w:hint="eastAsia"/>
          <w:bCs/>
          <w:lang w:val="zh-CN"/>
        </w:rPr>
        <w:t>并已结案</w:t>
      </w:r>
      <w:r w:rsidRPr="00066EE7">
        <w:rPr>
          <w:rFonts w:hint="eastAsia"/>
          <w:bCs/>
          <w:lang w:val="zh-CN"/>
        </w:rPr>
        <w:t>。政府</w:t>
      </w:r>
      <w:r w:rsidR="008B2CFE">
        <w:rPr>
          <w:rFonts w:hint="eastAsia"/>
          <w:bCs/>
          <w:lang w:val="zh-CN"/>
        </w:rPr>
        <w:t>澄清说</w:t>
      </w:r>
      <w:r w:rsidRPr="00066EE7">
        <w:rPr>
          <w:rFonts w:hint="eastAsia"/>
          <w:bCs/>
          <w:lang w:val="zh-CN"/>
        </w:rPr>
        <w:t>，这是省级监测活动的一部分。监测和</w:t>
      </w:r>
      <w:r w:rsidR="008B2CFE">
        <w:rPr>
          <w:rFonts w:hint="eastAsia"/>
          <w:bCs/>
          <w:lang w:val="zh-CN"/>
        </w:rPr>
        <w:t>评价</w:t>
      </w:r>
      <w:r w:rsidRPr="00066EE7">
        <w:rPr>
          <w:rFonts w:hint="eastAsia"/>
          <w:bCs/>
          <w:lang w:val="zh-CN"/>
        </w:rPr>
        <w:t>报告中</w:t>
      </w:r>
      <w:r w:rsidR="008B2CFE">
        <w:rPr>
          <w:rFonts w:hint="eastAsia"/>
          <w:bCs/>
          <w:lang w:val="zh-CN"/>
        </w:rPr>
        <w:t>汇报</w:t>
      </w:r>
      <w:r w:rsidRPr="00066EE7">
        <w:rPr>
          <w:rFonts w:hint="eastAsia"/>
          <w:bCs/>
          <w:lang w:val="zh-CN"/>
        </w:rPr>
        <w:t>的</w:t>
      </w:r>
      <w:r w:rsidRPr="00066EE7">
        <w:rPr>
          <w:bCs/>
          <w:lang w:val="zh-CN"/>
        </w:rPr>
        <w:t>10</w:t>
      </w:r>
      <w:r w:rsidRPr="00066EE7">
        <w:rPr>
          <w:rFonts w:hint="eastAsia"/>
          <w:bCs/>
          <w:lang w:val="zh-CN"/>
        </w:rPr>
        <w:t>个案件是</w:t>
      </w:r>
      <w:r w:rsidRPr="00066EE7">
        <w:rPr>
          <w:bCs/>
          <w:lang w:val="zh-CN"/>
        </w:rPr>
        <w:t>2018</w:t>
      </w:r>
      <w:r w:rsidRPr="00066EE7">
        <w:rPr>
          <w:rFonts w:hint="eastAsia"/>
          <w:bCs/>
          <w:lang w:val="zh-CN"/>
        </w:rPr>
        <w:t>年特别活动</w:t>
      </w:r>
      <w:r w:rsidR="008B2CFE">
        <w:rPr>
          <w:rFonts w:hint="eastAsia"/>
          <w:bCs/>
          <w:lang w:val="zh-CN"/>
        </w:rPr>
        <w:t>取得</w:t>
      </w:r>
      <w:r w:rsidRPr="00066EE7">
        <w:rPr>
          <w:rFonts w:hint="eastAsia"/>
          <w:bCs/>
          <w:lang w:val="zh-CN"/>
        </w:rPr>
        <w:t>的</w:t>
      </w:r>
      <w:r w:rsidR="008B2CFE">
        <w:rPr>
          <w:rFonts w:hint="eastAsia"/>
          <w:bCs/>
          <w:lang w:val="zh-CN"/>
        </w:rPr>
        <w:t>成果</w:t>
      </w:r>
      <w:r w:rsidRPr="00066EE7">
        <w:rPr>
          <w:rFonts w:hint="eastAsia"/>
          <w:bCs/>
          <w:lang w:val="zh-CN"/>
        </w:rPr>
        <w:t>。</w:t>
      </w:r>
      <w:r w:rsidRPr="00066EE7">
        <w:rPr>
          <w:bCs/>
          <w:lang w:val="en-CA"/>
        </w:rPr>
        <w:t xml:space="preserve"> </w:t>
      </w:r>
    </w:p>
    <w:p w14:paraId="40B836E2" w14:textId="213EEE14"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关于</w:t>
      </w:r>
      <w:r w:rsidR="00D80667">
        <w:rPr>
          <w:rFonts w:hint="eastAsia"/>
          <w:lang w:val="zh-CN"/>
        </w:rPr>
        <w:t>将</w:t>
      </w:r>
      <w:r w:rsidRPr="00185135">
        <w:rPr>
          <w:rFonts w:hint="eastAsia"/>
          <w:lang w:val="zh-CN"/>
        </w:rPr>
        <w:t>适用于</w:t>
      </w:r>
      <w:r w:rsidR="00D80667">
        <w:rPr>
          <w:rFonts w:hint="eastAsia"/>
          <w:lang w:val="zh-CN"/>
        </w:rPr>
        <w:t>那些仍在</w:t>
      </w:r>
      <w:r w:rsidRPr="00185135">
        <w:rPr>
          <w:rFonts w:hint="eastAsia"/>
          <w:lang w:val="zh-CN"/>
        </w:rPr>
        <w:t>使用</w:t>
      </w:r>
      <w:r w:rsidR="00D80667">
        <w:rPr>
          <w:rFonts w:hint="eastAsia"/>
          <w:lang w:val="zh-CN"/>
        </w:rPr>
        <w:t>被禁</w:t>
      </w:r>
      <w:r w:rsidR="00F42E47">
        <w:rPr>
          <w:rFonts w:hint="eastAsia"/>
          <w:lang w:val="zh-CN"/>
        </w:rPr>
        <w:t>ODS</w:t>
      </w:r>
      <w:r w:rsidRPr="00185135">
        <w:rPr>
          <w:rFonts w:hint="eastAsia"/>
          <w:lang w:val="zh-CN"/>
        </w:rPr>
        <w:t>的企业的相关规则和条例</w:t>
      </w:r>
      <w:r w:rsidRPr="00185135">
        <w:rPr>
          <w:rFonts w:hint="eastAsia"/>
          <w:lang w:val="en-CA"/>
        </w:rPr>
        <w:t>，</w:t>
      </w:r>
      <w:r w:rsidRPr="00185135">
        <w:rPr>
          <w:rFonts w:hint="eastAsia"/>
          <w:lang w:val="zh-CN"/>
        </w:rPr>
        <w:t>政府表示</w:t>
      </w:r>
      <w:r w:rsidRPr="00185135">
        <w:rPr>
          <w:rFonts w:hint="eastAsia"/>
          <w:lang w:val="en-CA"/>
        </w:rPr>
        <w:t>，</w:t>
      </w:r>
      <w:r w:rsidRPr="00185135">
        <w:rPr>
          <w:rFonts w:hint="eastAsia"/>
          <w:lang w:val="zh-CN"/>
        </w:rPr>
        <w:t>迄今已发现三家企业非法使用</w:t>
      </w:r>
      <w:r w:rsidRPr="00185135">
        <w:rPr>
          <w:lang w:val="en-CA"/>
        </w:rPr>
        <w:t>CFC-11</w:t>
      </w:r>
      <w:r w:rsidR="00D80667">
        <w:rPr>
          <w:rFonts w:hint="eastAsia"/>
          <w:lang w:val="en-CA"/>
        </w:rPr>
        <w:t>，</w:t>
      </w:r>
      <w:r w:rsidRPr="00185135">
        <w:rPr>
          <w:rFonts w:hint="eastAsia"/>
          <w:lang w:val="zh-CN"/>
        </w:rPr>
        <w:t>并</w:t>
      </w:r>
      <w:r w:rsidR="00D80667">
        <w:rPr>
          <w:rFonts w:hint="eastAsia"/>
          <w:lang w:val="zh-CN"/>
        </w:rPr>
        <w:t>根据</w:t>
      </w:r>
      <w:r w:rsidR="00D80667">
        <w:rPr>
          <w:rFonts w:hint="eastAsia"/>
          <w:lang w:val="zh-CN"/>
        </w:rPr>
        <w:t>ODS</w:t>
      </w:r>
      <w:r w:rsidRPr="00185135">
        <w:rPr>
          <w:rFonts w:hint="eastAsia"/>
          <w:lang w:val="zh-CN"/>
        </w:rPr>
        <w:t>管理条例</w:t>
      </w:r>
      <w:r w:rsidR="00D80667">
        <w:rPr>
          <w:rFonts w:hint="eastAsia"/>
          <w:lang w:val="zh-CN"/>
        </w:rPr>
        <w:t>对其进行了</w:t>
      </w:r>
      <w:r w:rsidRPr="00185135">
        <w:rPr>
          <w:rFonts w:hint="eastAsia"/>
          <w:lang w:val="zh-CN"/>
        </w:rPr>
        <w:t>处罚。</w:t>
      </w:r>
      <w:r w:rsidRPr="00185135">
        <w:rPr>
          <w:lang w:val="en-CA"/>
        </w:rPr>
        <w:t xml:space="preserve"> </w:t>
      </w:r>
      <w:r w:rsidR="00D80667" w:rsidRPr="00D80667">
        <w:rPr>
          <w:rFonts w:hint="eastAsia"/>
          <w:b/>
          <w:bCs/>
          <w:lang w:val="en-CA"/>
        </w:rPr>
        <w:t>关于这些监测活动的最新信息载于本文件所附中国政府根据第</w:t>
      </w:r>
      <w:r w:rsidR="00D80667" w:rsidRPr="00D80667">
        <w:rPr>
          <w:rFonts w:hint="eastAsia"/>
          <w:b/>
          <w:bCs/>
          <w:lang w:val="en-CA"/>
        </w:rPr>
        <w:t>83/41</w:t>
      </w:r>
      <w:r w:rsidR="00D80667" w:rsidRPr="00D80667">
        <w:rPr>
          <w:rFonts w:hint="eastAsia"/>
          <w:b/>
          <w:bCs/>
          <w:lang w:val="en-CA"/>
        </w:rPr>
        <w:t>号决定</w:t>
      </w:r>
      <w:r w:rsidR="00D80667" w:rsidRPr="00D80667">
        <w:rPr>
          <w:rFonts w:hint="eastAsia"/>
          <w:b/>
          <w:bCs/>
          <w:lang w:val="en-CA"/>
        </w:rPr>
        <w:t>(</w:t>
      </w:r>
      <w:r w:rsidR="00D80667" w:rsidRPr="00D80667">
        <w:rPr>
          <w:b/>
          <w:bCs/>
          <w:lang w:val="en-CA"/>
        </w:rPr>
        <w:t>e)</w:t>
      </w:r>
      <w:r w:rsidR="00D80667" w:rsidRPr="00D80667">
        <w:rPr>
          <w:rFonts w:hint="eastAsia"/>
          <w:b/>
          <w:bCs/>
          <w:lang w:val="en-CA"/>
        </w:rPr>
        <w:t>段提交的报告。</w:t>
      </w:r>
    </w:p>
    <w:p w14:paraId="761E5FE7" w14:textId="43ADE604" w:rsidR="00185135" w:rsidRPr="00185135" w:rsidRDefault="00D80667" w:rsidP="00185135">
      <w:pPr>
        <w:numPr>
          <w:ilvl w:val="0"/>
          <w:numId w:val="20"/>
        </w:numPr>
        <w:tabs>
          <w:tab w:val="num" w:pos="0"/>
        </w:tabs>
        <w:spacing w:line="259" w:lineRule="auto"/>
        <w:ind w:left="0" w:firstLine="0"/>
        <w:jc w:val="both"/>
        <w:rPr>
          <w:lang w:val="en-CA"/>
        </w:rPr>
      </w:pPr>
      <w:r w:rsidRPr="00D80667">
        <w:t>秘书处指出，一家已经承诺淘汰</w:t>
      </w:r>
      <w:r w:rsidRPr="00D80667">
        <w:t>HCFC-141b</w:t>
      </w:r>
      <w:r w:rsidRPr="00D80667">
        <w:t>的企业</w:t>
      </w:r>
      <w:r w:rsidRPr="00D80667">
        <w:rPr>
          <w:rFonts w:hint="eastAsia"/>
        </w:rPr>
        <w:t>仍</w:t>
      </w:r>
      <w:r w:rsidRPr="00D80667">
        <w:t>使用这种物质，可能根据当地法规对其采取执法行动。但是，</w:t>
      </w:r>
      <w:r w:rsidRPr="00D80667">
        <w:rPr>
          <w:rFonts w:hint="eastAsia"/>
        </w:rPr>
        <w:t>在使用</w:t>
      </w:r>
      <w:r w:rsidRPr="00D80667">
        <w:t>CFC-11</w:t>
      </w:r>
      <w:r w:rsidRPr="00D80667">
        <w:t>的情况中，必须确定其来源是库存、从</w:t>
      </w:r>
      <w:r w:rsidRPr="00D80667">
        <w:rPr>
          <w:rFonts w:hint="eastAsia"/>
        </w:rPr>
        <w:t>以前的用途</w:t>
      </w:r>
      <w:r w:rsidRPr="00D80667">
        <w:t>（例如冷风机）中再循环的气体、还是总淘汰期限过后进行的生产，其中后一种情况可能由于对氟氯化碳生产协定（也许还包括氟氯化碳消费协定）违约</w:t>
      </w:r>
      <w:r w:rsidRPr="00D80667">
        <w:rPr>
          <w:rFonts w:hint="eastAsia"/>
        </w:rPr>
        <w:t>而受到</w:t>
      </w:r>
      <w:r w:rsidRPr="00D80667">
        <w:t>处罚。这个问题需要进一步分析。</w:t>
      </w:r>
    </w:p>
    <w:p w14:paraId="06521F07" w14:textId="77777777" w:rsidR="00185135" w:rsidRPr="00D80667" w:rsidRDefault="00185135" w:rsidP="00D80667">
      <w:pPr>
        <w:keepNext/>
        <w:spacing w:line="259" w:lineRule="auto"/>
        <w:jc w:val="both"/>
        <w:rPr>
          <w:i/>
          <w:iCs/>
        </w:rPr>
      </w:pPr>
      <w:r w:rsidRPr="00D80667">
        <w:rPr>
          <w:rFonts w:hint="eastAsia"/>
          <w:i/>
          <w:iCs/>
        </w:rPr>
        <w:t>溶剂行业</w:t>
      </w:r>
    </w:p>
    <w:p w14:paraId="3034BC26" w14:textId="1DBC2E00" w:rsidR="00185135" w:rsidRPr="00185135" w:rsidRDefault="008B69A5" w:rsidP="00185135">
      <w:pPr>
        <w:numPr>
          <w:ilvl w:val="0"/>
          <w:numId w:val="20"/>
        </w:numPr>
        <w:tabs>
          <w:tab w:val="num" w:pos="0"/>
        </w:tabs>
        <w:spacing w:line="259" w:lineRule="auto"/>
        <w:ind w:left="0" w:firstLine="0"/>
        <w:jc w:val="both"/>
        <w:rPr>
          <w:lang w:val="en-CA"/>
        </w:rPr>
      </w:pPr>
      <w:r>
        <w:rPr>
          <w:rFonts w:hint="eastAsia"/>
          <w:lang w:val="zh-CN"/>
        </w:rPr>
        <w:t>关于</w:t>
      </w:r>
      <w:r w:rsidR="00185135" w:rsidRPr="00185135">
        <w:rPr>
          <w:rFonts w:hint="eastAsia"/>
          <w:lang w:val="zh-CN"/>
        </w:rPr>
        <w:t>溶剂行业计划</w:t>
      </w:r>
      <w:r w:rsidR="00185135" w:rsidRPr="00185135">
        <w:rPr>
          <w:rFonts w:hint="eastAsia"/>
          <w:lang w:val="en-CA"/>
        </w:rPr>
        <w:t>，</w:t>
      </w:r>
      <w:r w:rsidR="00185135" w:rsidRPr="00185135">
        <w:rPr>
          <w:rFonts w:hint="eastAsia"/>
          <w:lang w:val="zh-CN"/>
        </w:rPr>
        <w:t>政府表示</w:t>
      </w:r>
      <w:r w:rsidR="00185135" w:rsidRPr="00185135">
        <w:rPr>
          <w:rFonts w:hint="eastAsia"/>
          <w:lang w:val="en-CA"/>
        </w:rPr>
        <w:t>，</w:t>
      </w:r>
      <w:r w:rsidR="00185135" w:rsidRPr="00185135">
        <w:rPr>
          <w:rFonts w:hint="eastAsia"/>
          <w:lang w:val="zh-CN"/>
        </w:rPr>
        <w:t>为了进一步加强对溶剂行业淘汰</w:t>
      </w:r>
      <w:r>
        <w:rPr>
          <w:rFonts w:hint="eastAsia"/>
          <w:lang w:val="zh-CN"/>
        </w:rPr>
        <w:t>成果</w:t>
      </w:r>
      <w:r w:rsidR="00185135" w:rsidRPr="00185135">
        <w:rPr>
          <w:rFonts w:hint="eastAsia"/>
          <w:lang w:val="zh-CN"/>
        </w:rPr>
        <w:t>进行可持续的长期监测</w:t>
      </w:r>
      <w:r w:rsidR="00185135" w:rsidRPr="00185135">
        <w:rPr>
          <w:rFonts w:hint="eastAsia"/>
          <w:lang w:val="en-CA"/>
        </w:rPr>
        <w:t>，</w:t>
      </w:r>
      <w:r w:rsidR="00B25A4D">
        <w:rPr>
          <w:rFonts w:hint="eastAsia"/>
          <w:lang w:val="zh-CN"/>
        </w:rPr>
        <w:t>FECO</w:t>
      </w:r>
      <w:r w:rsidR="00185135" w:rsidRPr="00185135">
        <w:rPr>
          <w:rFonts w:hint="eastAsia"/>
          <w:lang w:val="zh-CN"/>
        </w:rPr>
        <w:t>支持地方生态和环境局监测</w:t>
      </w:r>
      <w:r w:rsidR="00F42E47">
        <w:rPr>
          <w:rFonts w:hint="eastAsia"/>
          <w:lang w:val="zh-CN"/>
        </w:rPr>
        <w:t>ODS</w:t>
      </w:r>
      <w:r w:rsidR="00185135" w:rsidRPr="00185135">
        <w:rPr>
          <w:rFonts w:hint="eastAsia"/>
          <w:lang w:val="zh-CN"/>
        </w:rPr>
        <w:t>活动并</w:t>
      </w:r>
      <w:r>
        <w:rPr>
          <w:rFonts w:hint="eastAsia"/>
          <w:lang w:val="zh-CN"/>
        </w:rPr>
        <w:t>管制</w:t>
      </w:r>
      <w:r w:rsidR="00185135" w:rsidRPr="00185135">
        <w:rPr>
          <w:rFonts w:hint="eastAsia"/>
          <w:lang w:val="zh-CN"/>
        </w:rPr>
        <w:t>各自省内非法</w:t>
      </w:r>
      <w:r w:rsidR="00F42E47">
        <w:rPr>
          <w:rFonts w:hint="eastAsia"/>
          <w:lang w:val="zh-CN"/>
        </w:rPr>
        <w:t>ODS</w:t>
      </w:r>
      <w:r w:rsidR="00185135" w:rsidRPr="00185135">
        <w:rPr>
          <w:rFonts w:hint="eastAsia"/>
          <w:lang w:val="zh-CN"/>
        </w:rPr>
        <w:t>的生产和使用。此外，一些地方生态和环境局已建立了长期机制，为</w:t>
      </w:r>
      <w:r w:rsidR="00F42E47">
        <w:rPr>
          <w:rFonts w:hint="eastAsia"/>
          <w:lang w:val="zh-CN"/>
        </w:rPr>
        <w:t>ODS</w:t>
      </w:r>
      <w:r w:rsidR="00185135" w:rsidRPr="00185135">
        <w:rPr>
          <w:rFonts w:hint="eastAsia"/>
          <w:lang w:val="zh-CN"/>
        </w:rPr>
        <w:t>管理官员发布了</w:t>
      </w:r>
      <w:r w:rsidR="00F42E47">
        <w:rPr>
          <w:rFonts w:hint="eastAsia"/>
          <w:lang w:val="zh-CN"/>
        </w:rPr>
        <w:t>ODS</w:t>
      </w:r>
      <w:r w:rsidR="00185135" w:rsidRPr="00185135">
        <w:rPr>
          <w:rFonts w:hint="eastAsia"/>
          <w:lang w:val="zh-CN"/>
        </w:rPr>
        <w:t>管理政策和成效评估规定。此外，通过支持开发溶剂行业的实施技术，已培训了</w:t>
      </w:r>
      <w:r>
        <w:rPr>
          <w:rFonts w:hint="eastAsia"/>
          <w:lang w:val="zh-CN"/>
        </w:rPr>
        <w:t>一些</w:t>
      </w:r>
      <w:r w:rsidR="00185135" w:rsidRPr="00185135">
        <w:rPr>
          <w:rFonts w:hint="eastAsia"/>
          <w:lang w:val="zh-CN"/>
        </w:rPr>
        <w:t>专家</w:t>
      </w:r>
      <w:r>
        <w:rPr>
          <w:rFonts w:hint="eastAsia"/>
          <w:lang w:val="zh-CN"/>
        </w:rPr>
        <w:t>来</w:t>
      </w:r>
      <w:r w:rsidR="00185135" w:rsidRPr="00185135">
        <w:rPr>
          <w:rFonts w:hint="eastAsia"/>
          <w:lang w:val="zh-CN"/>
        </w:rPr>
        <w:t>为可持续的长期淘汰监测提供长期、有效的支持。秘书处指出，这些活动很有帮助，但目前仍不清楚这些行动</w:t>
      </w:r>
      <w:r>
        <w:rPr>
          <w:rFonts w:hint="eastAsia"/>
          <w:lang w:val="zh-CN"/>
        </w:rPr>
        <w:t>，</w:t>
      </w:r>
      <w:r w:rsidR="00185135" w:rsidRPr="00185135">
        <w:rPr>
          <w:rFonts w:hint="eastAsia"/>
          <w:lang w:val="zh-CN"/>
        </w:rPr>
        <w:t>特别是后者</w:t>
      </w:r>
      <w:r>
        <w:rPr>
          <w:rFonts w:hint="eastAsia"/>
          <w:lang w:val="zh-CN"/>
        </w:rPr>
        <w:t>，将</w:t>
      </w:r>
      <w:r w:rsidR="00185135" w:rsidRPr="00185135">
        <w:rPr>
          <w:rFonts w:hint="eastAsia"/>
          <w:lang w:val="zh-CN"/>
        </w:rPr>
        <w:t>如何有助于确保对该行业进行可持续的长期监测。</w:t>
      </w:r>
    </w:p>
    <w:p w14:paraId="7222BD6B" w14:textId="77777777" w:rsidR="00185135" w:rsidRPr="008B69A5" w:rsidRDefault="00185135" w:rsidP="008B69A5">
      <w:pPr>
        <w:keepNext/>
        <w:spacing w:line="259" w:lineRule="auto"/>
        <w:jc w:val="both"/>
        <w:rPr>
          <w:i/>
          <w:iCs/>
        </w:rPr>
      </w:pPr>
      <w:r w:rsidRPr="008B69A5">
        <w:rPr>
          <w:rFonts w:hint="eastAsia"/>
          <w:i/>
          <w:iCs/>
        </w:rPr>
        <w:t>维修行业</w:t>
      </w:r>
    </w:p>
    <w:p w14:paraId="053AE8B2" w14:textId="62DB14C9"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政府</w:t>
      </w:r>
      <w:r w:rsidR="00BA6DD0">
        <w:rPr>
          <w:rFonts w:hint="eastAsia"/>
          <w:lang w:val="zh-CN"/>
        </w:rPr>
        <w:t>表示</w:t>
      </w:r>
      <w:r w:rsidRPr="00185135">
        <w:rPr>
          <w:rFonts w:hint="eastAsia"/>
          <w:lang w:val="en-CA"/>
        </w:rPr>
        <w:t>，</w:t>
      </w:r>
      <w:r w:rsidRPr="00185135">
        <w:rPr>
          <w:rFonts w:hint="eastAsia"/>
          <w:lang w:val="zh-CN"/>
        </w:rPr>
        <w:t>研究维修</w:t>
      </w:r>
      <w:r w:rsidR="00BA6DD0">
        <w:rPr>
          <w:rFonts w:hint="eastAsia"/>
          <w:lang w:val="zh-CN"/>
        </w:rPr>
        <w:t>中出现</w:t>
      </w:r>
      <w:r w:rsidRPr="00185135">
        <w:rPr>
          <w:rFonts w:hint="eastAsia"/>
          <w:lang w:val="zh-CN"/>
        </w:rPr>
        <w:t>泄漏</w:t>
      </w:r>
      <w:r w:rsidR="00BA6DD0">
        <w:rPr>
          <w:rFonts w:hint="eastAsia"/>
          <w:lang w:val="zh-CN"/>
        </w:rPr>
        <w:t>问题</w:t>
      </w:r>
      <w:r w:rsidRPr="00185135">
        <w:rPr>
          <w:rFonts w:hint="eastAsia"/>
          <w:lang w:val="zh-CN"/>
        </w:rPr>
        <w:t>的技术援助项目和数据调查与氟氯烃淘汰管理计划的</w:t>
      </w:r>
      <w:r w:rsidR="00BA6DD0">
        <w:rPr>
          <w:rFonts w:hint="eastAsia"/>
          <w:lang w:val="zh-CN"/>
        </w:rPr>
        <w:t>执行工作</w:t>
      </w:r>
      <w:r w:rsidRPr="00185135">
        <w:rPr>
          <w:rFonts w:hint="eastAsia"/>
          <w:lang w:val="zh-CN"/>
        </w:rPr>
        <w:t>密切相关。</w:t>
      </w:r>
      <w:r w:rsidR="00BA6DD0">
        <w:rPr>
          <w:rFonts w:hint="eastAsia"/>
          <w:lang w:val="zh-CN"/>
        </w:rPr>
        <w:t>关于</w:t>
      </w:r>
      <w:r w:rsidRPr="00185135">
        <w:rPr>
          <w:lang w:val="zh-CN"/>
        </w:rPr>
        <w:t>R-290</w:t>
      </w:r>
      <w:r w:rsidRPr="00185135">
        <w:rPr>
          <w:rFonts w:hint="eastAsia"/>
          <w:lang w:val="zh-CN"/>
        </w:rPr>
        <w:t>制冷和空调</w:t>
      </w:r>
      <w:r w:rsidR="00BA6DD0">
        <w:rPr>
          <w:rFonts w:hint="eastAsia"/>
          <w:lang w:val="zh-CN"/>
        </w:rPr>
        <w:t>设备</w:t>
      </w:r>
      <w:r w:rsidRPr="00185135">
        <w:rPr>
          <w:rFonts w:hint="eastAsia"/>
          <w:lang w:val="zh-CN"/>
        </w:rPr>
        <w:t>维修和运行期间</w:t>
      </w:r>
      <w:r w:rsidR="00BA6DD0">
        <w:rPr>
          <w:rFonts w:hint="eastAsia"/>
          <w:lang w:val="zh-CN"/>
        </w:rPr>
        <w:t>出现</w:t>
      </w:r>
      <w:r w:rsidRPr="00185135">
        <w:rPr>
          <w:rFonts w:hint="eastAsia"/>
          <w:lang w:val="zh-CN"/>
        </w:rPr>
        <w:t>制冷剂泄漏</w:t>
      </w:r>
      <w:r w:rsidR="00BA6DD0">
        <w:rPr>
          <w:rFonts w:hint="eastAsia"/>
          <w:lang w:val="zh-CN"/>
        </w:rPr>
        <w:t>问题</w:t>
      </w:r>
      <w:r w:rsidRPr="00185135">
        <w:rPr>
          <w:rFonts w:hint="eastAsia"/>
          <w:lang w:val="zh-CN"/>
        </w:rPr>
        <w:t>的研究是替代品研究的一部分。在超市次级行业进行的数据调查与促进该次级行业的良好维修做法</w:t>
      </w:r>
      <w:r w:rsidR="00BA6DD0">
        <w:rPr>
          <w:rFonts w:hint="eastAsia"/>
          <w:lang w:val="zh-CN"/>
        </w:rPr>
        <w:t>相关</w:t>
      </w:r>
      <w:r w:rsidRPr="00185135">
        <w:rPr>
          <w:rFonts w:hint="eastAsia"/>
          <w:lang w:val="zh-CN"/>
        </w:rPr>
        <w:t>。秘书处指出，这些活动很有帮助，但与</w:t>
      </w:r>
      <w:r w:rsidR="00BA6DD0">
        <w:rPr>
          <w:rFonts w:hint="eastAsia"/>
          <w:lang w:val="zh-CN"/>
        </w:rPr>
        <w:t>确保对</w:t>
      </w:r>
      <w:r w:rsidRPr="00185135">
        <w:rPr>
          <w:rFonts w:hint="eastAsia"/>
          <w:lang w:val="zh-CN"/>
        </w:rPr>
        <w:t>该行业</w:t>
      </w:r>
      <w:r w:rsidR="00BA6DD0">
        <w:rPr>
          <w:rFonts w:hint="eastAsia"/>
          <w:lang w:val="zh-CN"/>
        </w:rPr>
        <w:t>的</w:t>
      </w:r>
      <w:r w:rsidRPr="00185135">
        <w:rPr>
          <w:rFonts w:hint="eastAsia"/>
          <w:lang w:val="zh-CN"/>
        </w:rPr>
        <w:t>可持续长期监测无关。</w:t>
      </w:r>
      <w:r w:rsidRPr="00185135">
        <w:rPr>
          <w:lang w:val="en-CA"/>
        </w:rPr>
        <w:t xml:space="preserve"> </w:t>
      </w:r>
    </w:p>
    <w:p w14:paraId="3FFDB2DB" w14:textId="77777777" w:rsidR="00185135" w:rsidRPr="00BA6DD0" w:rsidRDefault="00185135" w:rsidP="00BA6DD0">
      <w:pPr>
        <w:keepNext/>
        <w:spacing w:line="259" w:lineRule="auto"/>
        <w:jc w:val="both"/>
        <w:rPr>
          <w:i/>
          <w:iCs/>
        </w:rPr>
      </w:pPr>
      <w:r w:rsidRPr="00BA6DD0">
        <w:rPr>
          <w:rFonts w:hint="eastAsia"/>
          <w:i/>
          <w:iCs/>
        </w:rPr>
        <w:t>哈龙行业</w:t>
      </w:r>
    </w:p>
    <w:p w14:paraId="19514B82" w14:textId="04073C25"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哈龙行业的情况与其他行业有所不同</w:t>
      </w:r>
      <w:r w:rsidRPr="00185135">
        <w:rPr>
          <w:rFonts w:hint="eastAsia"/>
          <w:lang w:val="en-CA"/>
        </w:rPr>
        <w:t>，</w:t>
      </w:r>
      <w:r w:rsidRPr="00185135">
        <w:rPr>
          <w:rFonts w:hint="eastAsia"/>
          <w:lang w:val="zh-CN"/>
        </w:rPr>
        <w:t>对</w:t>
      </w:r>
      <w:r w:rsidRPr="00185135">
        <w:rPr>
          <w:lang w:val="en-CA"/>
        </w:rPr>
        <w:t>halon-1211</w:t>
      </w:r>
      <w:r w:rsidRPr="00185135">
        <w:rPr>
          <w:rFonts w:hint="eastAsia"/>
          <w:lang w:val="zh-CN"/>
        </w:rPr>
        <w:t>和</w:t>
      </w:r>
      <w:r w:rsidRPr="00185135">
        <w:rPr>
          <w:lang w:val="en-CA"/>
        </w:rPr>
        <w:t>halon-1301</w:t>
      </w:r>
      <w:r w:rsidRPr="00185135">
        <w:rPr>
          <w:rFonts w:hint="eastAsia"/>
          <w:lang w:val="zh-CN"/>
        </w:rPr>
        <w:t>的需求</w:t>
      </w:r>
      <w:r w:rsidR="00BA6DD0">
        <w:rPr>
          <w:rFonts w:hint="eastAsia"/>
          <w:lang w:val="zh-CN"/>
        </w:rPr>
        <w:t>继续存在，</w:t>
      </w:r>
      <w:r w:rsidRPr="00185135">
        <w:rPr>
          <w:rFonts w:hint="eastAsia"/>
          <w:lang w:val="zh-CN"/>
        </w:rPr>
        <w:t>没有替代品可以</w:t>
      </w:r>
      <w:r w:rsidR="00BA6DD0">
        <w:rPr>
          <w:rFonts w:hint="eastAsia"/>
          <w:lang w:val="zh-CN"/>
        </w:rPr>
        <w:t>将其</w:t>
      </w:r>
      <w:r w:rsidRPr="00185135">
        <w:rPr>
          <w:rFonts w:hint="eastAsia"/>
          <w:lang w:val="zh-CN"/>
        </w:rPr>
        <w:t>取代。这些</w:t>
      </w:r>
      <w:r w:rsidR="00BA6DD0">
        <w:rPr>
          <w:rFonts w:hint="eastAsia"/>
          <w:lang w:val="zh-CN"/>
        </w:rPr>
        <w:t>用途的需求据信应该</w:t>
      </w:r>
      <w:r w:rsidRPr="00185135">
        <w:rPr>
          <w:rFonts w:hint="eastAsia"/>
          <w:lang w:val="zh-CN"/>
        </w:rPr>
        <w:t>通过回收和再循环哈龙来满足，直到有替代品可用为止。哈龙</w:t>
      </w:r>
      <w:r w:rsidR="00BA6DD0">
        <w:rPr>
          <w:rFonts w:hint="eastAsia"/>
          <w:lang w:val="zh-CN"/>
        </w:rPr>
        <w:t>再循环方案</w:t>
      </w:r>
      <w:r w:rsidRPr="00185135">
        <w:rPr>
          <w:rFonts w:hint="eastAsia"/>
          <w:lang w:val="zh-CN"/>
        </w:rPr>
        <w:t>是哈龙行业计划中的一</w:t>
      </w:r>
      <w:r w:rsidR="00BA6DD0">
        <w:rPr>
          <w:rFonts w:hint="eastAsia"/>
          <w:lang w:val="zh-CN"/>
        </w:rPr>
        <w:t>项必要内容</w:t>
      </w:r>
      <w:r w:rsidRPr="00185135">
        <w:rPr>
          <w:rFonts w:hint="eastAsia"/>
          <w:lang w:val="zh-CN"/>
        </w:rPr>
        <w:t>。中国哈龙行业计划还包括</w:t>
      </w:r>
      <w:r w:rsidR="00BA6DD0" w:rsidRPr="00185135">
        <w:rPr>
          <w:rFonts w:hint="eastAsia"/>
          <w:lang w:val="zh-CN"/>
        </w:rPr>
        <w:t>哈龙库</w:t>
      </w:r>
      <w:r w:rsidR="00BA6DD0">
        <w:rPr>
          <w:rFonts w:hint="eastAsia"/>
          <w:lang w:val="zh-CN"/>
        </w:rPr>
        <w:t>，这是一个</w:t>
      </w:r>
      <w:r w:rsidRPr="00185135">
        <w:rPr>
          <w:rFonts w:hint="eastAsia"/>
          <w:lang w:val="zh-CN"/>
        </w:rPr>
        <w:t>关键组成</w:t>
      </w:r>
      <w:r w:rsidR="00DD3FE0">
        <w:rPr>
          <w:rFonts w:hint="eastAsia"/>
          <w:lang w:val="zh-CN"/>
        </w:rPr>
        <w:t>部分</w:t>
      </w:r>
      <w:r w:rsidRPr="00185135">
        <w:rPr>
          <w:rFonts w:hint="eastAsia"/>
          <w:lang w:val="zh-CN"/>
        </w:rPr>
        <w:t>。据</w:t>
      </w:r>
      <w:r w:rsidR="00BA6DD0">
        <w:rPr>
          <w:rFonts w:hint="eastAsia"/>
          <w:lang w:val="zh-CN"/>
        </w:rPr>
        <w:t>报告</w:t>
      </w:r>
      <w:r w:rsidRPr="00185135">
        <w:rPr>
          <w:rFonts w:hint="eastAsia"/>
          <w:lang w:val="zh-CN"/>
        </w:rPr>
        <w:t>，哈龙库</w:t>
      </w:r>
      <w:r w:rsidR="00BA6DD0">
        <w:rPr>
          <w:rFonts w:hint="eastAsia"/>
          <w:lang w:val="zh-CN"/>
        </w:rPr>
        <w:t>组成部分</w:t>
      </w:r>
      <w:r w:rsidRPr="00185135">
        <w:rPr>
          <w:rFonts w:hint="eastAsia"/>
          <w:lang w:val="zh-CN"/>
        </w:rPr>
        <w:t>的</w:t>
      </w:r>
      <w:r w:rsidR="00BA6DD0">
        <w:rPr>
          <w:rFonts w:hint="eastAsia"/>
          <w:lang w:val="zh-CN"/>
        </w:rPr>
        <w:t>执行工作出现迟延</w:t>
      </w:r>
      <w:r w:rsidRPr="00185135">
        <w:rPr>
          <w:rFonts w:hint="eastAsia"/>
          <w:lang w:val="zh-CN"/>
        </w:rPr>
        <w:t>。</w:t>
      </w:r>
    </w:p>
    <w:p w14:paraId="5ECA714D" w14:textId="6254AA0A"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政府认为</w:t>
      </w:r>
      <w:r w:rsidRPr="00185135">
        <w:rPr>
          <w:rFonts w:hint="eastAsia"/>
          <w:lang w:val="en-CA"/>
        </w:rPr>
        <w:t>，</w:t>
      </w:r>
      <w:r w:rsidR="00DE45E4">
        <w:rPr>
          <w:rFonts w:hint="eastAsia"/>
          <w:lang w:val="zh-CN"/>
        </w:rPr>
        <w:t>由于</w:t>
      </w:r>
      <w:r w:rsidR="00DE45E4" w:rsidRPr="00185135">
        <w:rPr>
          <w:rFonts w:hint="eastAsia"/>
          <w:lang w:val="zh-CN"/>
        </w:rPr>
        <w:t>在</w:t>
      </w:r>
      <w:r w:rsidR="00DE45E4">
        <w:rPr>
          <w:rFonts w:hint="eastAsia"/>
          <w:lang w:val="zh-CN"/>
        </w:rPr>
        <w:t>彻底</w:t>
      </w:r>
      <w:r w:rsidR="00DE45E4" w:rsidRPr="00185135">
        <w:rPr>
          <w:rFonts w:hint="eastAsia"/>
          <w:lang w:val="zh-CN"/>
        </w:rPr>
        <w:t>淘汰哈龙之前已储存了大量</w:t>
      </w:r>
      <w:r w:rsidR="00DE45E4" w:rsidRPr="00185135">
        <w:rPr>
          <w:lang w:val="en-CA"/>
        </w:rPr>
        <w:t>halon-1211</w:t>
      </w:r>
      <w:r w:rsidR="00DE45E4" w:rsidRPr="00185135">
        <w:rPr>
          <w:rFonts w:hint="eastAsia"/>
          <w:lang w:val="en-CA"/>
        </w:rPr>
        <w:t>，</w:t>
      </w:r>
      <w:r w:rsidR="00DE45E4" w:rsidRPr="00185135">
        <w:rPr>
          <w:rFonts w:hint="eastAsia"/>
          <w:lang w:val="zh-CN"/>
        </w:rPr>
        <w:t>而最低年需求量</w:t>
      </w:r>
      <w:r w:rsidR="00DE45E4">
        <w:rPr>
          <w:rFonts w:hint="eastAsia"/>
          <w:lang w:val="zh-CN"/>
        </w:rPr>
        <w:t>为</w:t>
      </w:r>
      <w:r w:rsidR="00DE45E4" w:rsidRPr="00185135">
        <w:rPr>
          <w:lang w:val="en-CA"/>
        </w:rPr>
        <w:t>20</w:t>
      </w:r>
      <w:r w:rsidR="001D4B2D">
        <w:rPr>
          <w:lang w:val="en-CA"/>
        </w:rPr>
        <w:t> </w:t>
      </w:r>
      <w:r w:rsidR="00DE45E4" w:rsidRPr="00185135">
        <w:rPr>
          <w:rFonts w:hint="eastAsia"/>
          <w:lang w:val="zh-CN"/>
        </w:rPr>
        <w:t>至</w:t>
      </w:r>
      <w:r w:rsidR="00DE45E4" w:rsidRPr="00185135">
        <w:rPr>
          <w:lang w:val="en-CA"/>
        </w:rPr>
        <w:t>30</w:t>
      </w:r>
      <w:r w:rsidR="00DE45E4" w:rsidRPr="00185135">
        <w:rPr>
          <w:rFonts w:hint="eastAsia"/>
          <w:lang w:val="zh-CN"/>
        </w:rPr>
        <w:t>公吨</w:t>
      </w:r>
      <w:r w:rsidR="00DE45E4">
        <w:rPr>
          <w:rFonts w:hint="eastAsia"/>
          <w:lang w:val="zh-CN"/>
        </w:rPr>
        <w:t>，</w:t>
      </w:r>
      <w:r w:rsidRPr="00185135">
        <w:rPr>
          <w:rFonts w:hint="eastAsia"/>
          <w:lang w:val="zh-CN"/>
        </w:rPr>
        <w:t>非法生产</w:t>
      </w:r>
      <w:r w:rsidR="00DE45E4">
        <w:rPr>
          <w:rFonts w:hint="eastAsia"/>
          <w:lang w:val="en-CA"/>
        </w:rPr>
        <w:t>这种物质</w:t>
      </w:r>
      <w:r w:rsidRPr="00185135">
        <w:rPr>
          <w:rFonts w:hint="eastAsia"/>
          <w:lang w:val="zh-CN"/>
        </w:rPr>
        <w:t>的风险非常低。剩余的</w:t>
      </w:r>
      <w:r w:rsidRPr="00185135">
        <w:rPr>
          <w:lang w:val="zh-CN"/>
        </w:rPr>
        <w:t>halon-1211</w:t>
      </w:r>
      <w:r w:rsidRPr="00185135">
        <w:rPr>
          <w:rFonts w:hint="eastAsia"/>
          <w:lang w:val="zh-CN"/>
        </w:rPr>
        <w:t>都存放在一个前</w:t>
      </w:r>
      <w:r w:rsidRPr="00185135">
        <w:rPr>
          <w:lang w:val="zh-CN"/>
        </w:rPr>
        <w:t>halon</w:t>
      </w:r>
      <w:r w:rsidR="001D4B2D">
        <w:rPr>
          <w:lang w:val="zh-CN"/>
        </w:rPr>
        <w:noBreakHyphen/>
      </w:r>
      <w:r w:rsidRPr="00185135">
        <w:rPr>
          <w:lang w:val="zh-CN"/>
        </w:rPr>
        <w:t>1211</w:t>
      </w:r>
      <w:r w:rsidRPr="00185135">
        <w:rPr>
          <w:rFonts w:hint="eastAsia"/>
          <w:lang w:val="zh-CN"/>
        </w:rPr>
        <w:t>生产</w:t>
      </w:r>
      <w:r w:rsidR="00DE45E4">
        <w:rPr>
          <w:rFonts w:hint="eastAsia"/>
          <w:lang w:val="zh-CN"/>
        </w:rPr>
        <w:t>厂家那里</w:t>
      </w:r>
      <w:r w:rsidRPr="00185135">
        <w:rPr>
          <w:rFonts w:hint="eastAsia"/>
          <w:lang w:val="zh-CN"/>
        </w:rPr>
        <w:t>。中国政府</w:t>
      </w:r>
      <w:r w:rsidR="00DE45E4">
        <w:rPr>
          <w:rFonts w:hint="eastAsia"/>
          <w:lang w:val="zh-CN"/>
        </w:rPr>
        <w:t>提议</w:t>
      </w:r>
      <w:r w:rsidRPr="00185135">
        <w:rPr>
          <w:rFonts w:hint="eastAsia"/>
          <w:lang w:val="zh-CN"/>
        </w:rPr>
        <w:t>将其全部或部分</w:t>
      </w:r>
      <w:r w:rsidR="00DE45E4">
        <w:rPr>
          <w:rFonts w:hint="eastAsia"/>
          <w:lang w:val="zh-CN"/>
        </w:rPr>
        <w:t>运走</w:t>
      </w:r>
      <w:r w:rsidRPr="00185135">
        <w:rPr>
          <w:rFonts w:hint="eastAsia"/>
          <w:lang w:val="zh-CN"/>
        </w:rPr>
        <w:t>，存放在安全和</w:t>
      </w:r>
      <w:r w:rsidR="00DE45E4">
        <w:rPr>
          <w:rFonts w:hint="eastAsia"/>
          <w:lang w:val="zh-CN"/>
        </w:rPr>
        <w:t>得到控制</w:t>
      </w:r>
      <w:r w:rsidRPr="00185135">
        <w:rPr>
          <w:rFonts w:hint="eastAsia"/>
          <w:lang w:val="zh-CN"/>
        </w:rPr>
        <w:t>的条件下，或者</w:t>
      </w:r>
      <w:r w:rsidR="00DE45E4">
        <w:rPr>
          <w:rFonts w:hint="eastAsia"/>
          <w:lang w:val="zh-CN"/>
        </w:rPr>
        <w:t>将其部分</w:t>
      </w:r>
      <w:r w:rsidRPr="00185135">
        <w:rPr>
          <w:rFonts w:hint="eastAsia"/>
          <w:lang w:val="zh-CN"/>
        </w:rPr>
        <w:t>销毁</w:t>
      </w:r>
      <w:r w:rsidRPr="00185135">
        <w:rPr>
          <w:lang w:val="zh-CN"/>
        </w:rPr>
        <w:t>/</w:t>
      </w:r>
      <w:r w:rsidR="00DD3FE0">
        <w:rPr>
          <w:rFonts w:hint="eastAsia"/>
          <w:lang w:val="zh-CN"/>
        </w:rPr>
        <w:t>转化</w:t>
      </w:r>
      <w:r w:rsidRPr="00185135">
        <w:rPr>
          <w:rFonts w:hint="eastAsia"/>
          <w:lang w:val="zh-CN"/>
        </w:rPr>
        <w:t>。中国政府认为，这对于避免</w:t>
      </w:r>
      <w:r w:rsidRPr="00185135">
        <w:rPr>
          <w:lang w:val="zh-CN"/>
        </w:rPr>
        <w:t>2,200</w:t>
      </w:r>
      <w:r w:rsidRPr="00185135">
        <w:rPr>
          <w:rFonts w:hint="eastAsia"/>
          <w:lang w:val="zh-CN"/>
        </w:rPr>
        <w:t>多公吨</w:t>
      </w:r>
      <w:r w:rsidRPr="00185135">
        <w:rPr>
          <w:lang w:val="zh-CN"/>
        </w:rPr>
        <w:t>halon</w:t>
      </w:r>
      <w:r w:rsidRPr="00185135">
        <w:rPr>
          <w:lang w:val="zh-CN"/>
        </w:rPr>
        <w:noBreakHyphen/>
        <w:t>1211</w:t>
      </w:r>
      <w:r w:rsidRPr="00185135">
        <w:rPr>
          <w:rFonts w:hint="eastAsia"/>
          <w:lang w:val="zh-CN"/>
        </w:rPr>
        <w:t>的排放非常重要。</w:t>
      </w:r>
    </w:p>
    <w:p w14:paraId="176974DC" w14:textId="1A01D0B9" w:rsidR="00185135" w:rsidRPr="00185135" w:rsidRDefault="00185135" w:rsidP="001D4B2D">
      <w:pPr>
        <w:keepNext/>
        <w:keepLines/>
        <w:numPr>
          <w:ilvl w:val="0"/>
          <w:numId w:val="20"/>
        </w:numPr>
        <w:tabs>
          <w:tab w:val="num" w:pos="0"/>
        </w:tabs>
        <w:spacing w:line="259" w:lineRule="auto"/>
        <w:ind w:left="0" w:firstLine="0"/>
        <w:jc w:val="both"/>
        <w:rPr>
          <w:lang w:val="en-CA"/>
        </w:rPr>
      </w:pPr>
      <w:r w:rsidRPr="00185135">
        <w:rPr>
          <w:rFonts w:hint="eastAsia"/>
          <w:lang w:val="zh-CN"/>
        </w:rPr>
        <w:lastRenderedPageBreak/>
        <w:t>相比之下</w:t>
      </w:r>
      <w:r w:rsidRPr="00185135">
        <w:rPr>
          <w:rFonts w:hint="eastAsia"/>
          <w:lang w:val="en-CA"/>
        </w:rPr>
        <w:t>，</w:t>
      </w:r>
      <w:r w:rsidR="00076422" w:rsidRPr="00185135">
        <w:rPr>
          <w:rFonts w:hint="eastAsia"/>
          <w:lang w:val="zh-CN"/>
        </w:rPr>
        <w:t>生产的</w:t>
      </w:r>
      <w:r w:rsidRPr="00185135">
        <w:rPr>
          <w:lang w:val="en-CA"/>
        </w:rPr>
        <w:t>halon</w:t>
      </w:r>
      <w:r w:rsidRPr="00185135">
        <w:rPr>
          <w:lang w:val="en-CA"/>
        </w:rPr>
        <w:noBreakHyphen/>
        <w:t>1301</w:t>
      </w:r>
      <w:r w:rsidRPr="00185135">
        <w:rPr>
          <w:rFonts w:hint="eastAsia"/>
          <w:lang w:val="zh-CN"/>
        </w:rPr>
        <w:t>仍仅</w:t>
      </w:r>
      <w:r w:rsidR="00076422">
        <w:rPr>
          <w:rFonts w:hint="eastAsia"/>
          <w:lang w:val="zh-CN"/>
        </w:rPr>
        <w:t>派作</w:t>
      </w:r>
      <w:r w:rsidRPr="00185135">
        <w:rPr>
          <w:rFonts w:hint="eastAsia"/>
          <w:lang w:val="zh-CN"/>
        </w:rPr>
        <w:t>原料</w:t>
      </w:r>
      <w:r w:rsidR="00076422">
        <w:rPr>
          <w:rFonts w:hint="eastAsia"/>
          <w:lang w:val="zh-CN"/>
        </w:rPr>
        <w:t>用途</w:t>
      </w:r>
      <w:r w:rsidRPr="00185135">
        <w:rPr>
          <w:rFonts w:hint="eastAsia"/>
          <w:lang w:val="en-CA"/>
        </w:rPr>
        <w:t>；</w:t>
      </w:r>
      <w:r w:rsidRPr="00185135">
        <w:rPr>
          <w:rFonts w:hint="eastAsia"/>
          <w:lang w:val="zh-CN"/>
        </w:rPr>
        <w:t>这</w:t>
      </w:r>
      <w:r w:rsidR="00076422">
        <w:rPr>
          <w:rFonts w:hint="eastAsia"/>
          <w:lang w:val="zh-CN"/>
        </w:rPr>
        <w:t>些</w:t>
      </w:r>
      <w:r w:rsidRPr="00185135">
        <w:rPr>
          <w:rFonts w:hint="eastAsia"/>
          <w:lang w:val="zh-CN"/>
        </w:rPr>
        <w:t>新生产的</w:t>
      </w:r>
      <w:r w:rsidRPr="00185135">
        <w:rPr>
          <w:lang w:val="en-CA"/>
        </w:rPr>
        <w:t>halon</w:t>
      </w:r>
      <w:r w:rsidRPr="00185135">
        <w:rPr>
          <w:lang w:val="en-CA"/>
        </w:rPr>
        <w:noBreakHyphen/>
        <w:t>1301</w:t>
      </w:r>
      <w:r w:rsidRPr="00185135">
        <w:rPr>
          <w:rFonts w:hint="eastAsia"/>
          <w:lang w:val="zh-CN"/>
        </w:rPr>
        <w:t>不</w:t>
      </w:r>
      <w:r w:rsidR="00076422">
        <w:rPr>
          <w:rFonts w:hint="eastAsia"/>
          <w:lang w:val="zh-CN"/>
        </w:rPr>
        <w:t>加入</w:t>
      </w:r>
      <w:r w:rsidRPr="00185135">
        <w:rPr>
          <w:rFonts w:hint="eastAsia"/>
          <w:lang w:val="zh-CN"/>
        </w:rPr>
        <w:t>库存</w:t>
      </w:r>
      <w:r w:rsidRPr="00185135">
        <w:rPr>
          <w:rFonts w:hint="eastAsia"/>
          <w:lang w:val="en-CA"/>
        </w:rPr>
        <w:t>，</w:t>
      </w:r>
      <w:r w:rsidR="00076422">
        <w:rPr>
          <w:rFonts w:hint="eastAsia"/>
          <w:lang w:val="en-CA"/>
        </w:rPr>
        <w:t>而是</w:t>
      </w:r>
      <w:r w:rsidRPr="00185135">
        <w:rPr>
          <w:rFonts w:hint="eastAsia"/>
          <w:lang w:val="zh-CN"/>
        </w:rPr>
        <w:t>专门用作原料。政府</w:t>
      </w:r>
      <w:r w:rsidR="00076422">
        <w:rPr>
          <w:rFonts w:hint="eastAsia"/>
          <w:lang w:val="zh-CN"/>
        </w:rPr>
        <w:t>的假设是</w:t>
      </w:r>
      <w:r w:rsidRPr="00185135">
        <w:rPr>
          <w:rFonts w:hint="eastAsia"/>
          <w:lang w:val="zh-CN"/>
        </w:rPr>
        <w:t>，</w:t>
      </w:r>
      <w:r w:rsidRPr="00185135">
        <w:rPr>
          <w:lang w:val="zh-CN"/>
        </w:rPr>
        <w:t>halon-1301</w:t>
      </w:r>
      <w:r w:rsidRPr="00185135">
        <w:rPr>
          <w:rFonts w:hint="eastAsia"/>
          <w:lang w:val="zh-CN"/>
        </w:rPr>
        <w:t>受控用途的需求可</w:t>
      </w:r>
      <w:r w:rsidR="00076422">
        <w:rPr>
          <w:rFonts w:hint="eastAsia"/>
          <w:lang w:val="zh-CN"/>
        </w:rPr>
        <w:t>用</w:t>
      </w:r>
      <w:r w:rsidRPr="00185135">
        <w:rPr>
          <w:rFonts w:hint="eastAsia"/>
          <w:lang w:val="zh-CN"/>
        </w:rPr>
        <w:t>目前的库存满足，在没有替代品</w:t>
      </w:r>
      <w:r w:rsidR="00076422">
        <w:rPr>
          <w:rFonts w:hint="eastAsia"/>
          <w:lang w:val="zh-CN"/>
        </w:rPr>
        <w:t>可用</w:t>
      </w:r>
      <w:r w:rsidRPr="00185135">
        <w:rPr>
          <w:rFonts w:hint="eastAsia"/>
          <w:lang w:val="zh-CN"/>
        </w:rPr>
        <w:t>的情况下，</w:t>
      </w:r>
      <w:r w:rsidR="00076422" w:rsidRPr="00185135">
        <w:rPr>
          <w:lang w:val="zh-CN"/>
        </w:rPr>
        <w:t>halon</w:t>
      </w:r>
      <w:r w:rsidR="00076422" w:rsidRPr="00185135">
        <w:rPr>
          <w:lang w:val="zh-CN"/>
        </w:rPr>
        <w:noBreakHyphen/>
        <w:t>1301</w:t>
      </w:r>
      <w:r w:rsidR="00076422">
        <w:rPr>
          <w:rFonts w:hint="eastAsia"/>
          <w:lang w:val="zh-CN"/>
        </w:rPr>
        <w:t>是</w:t>
      </w:r>
      <w:r w:rsidRPr="00185135">
        <w:rPr>
          <w:rFonts w:hint="eastAsia"/>
          <w:lang w:val="zh-CN"/>
        </w:rPr>
        <w:t>从拆除的消防装置回收和再生</w:t>
      </w:r>
      <w:r w:rsidR="00076422">
        <w:rPr>
          <w:rFonts w:hint="eastAsia"/>
          <w:lang w:val="zh-CN"/>
        </w:rPr>
        <w:t>，以</w:t>
      </w:r>
      <w:r w:rsidRPr="00185135">
        <w:rPr>
          <w:rFonts w:hint="eastAsia"/>
          <w:lang w:val="zh-CN"/>
        </w:rPr>
        <w:t>供</w:t>
      </w:r>
      <w:r w:rsidR="00076422">
        <w:rPr>
          <w:rFonts w:hint="eastAsia"/>
          <w:lang w:val="zh-CN"/>
        </w:rPr>
        <w:t>派作</w:t>
      </w:r>
      <w:r w:rsidRPr="00185135">
        <w:rPr>
          <w:rFonts w:hint="eastAsia"/>
          <w:lang w:val="zh-CN"/>
        </w:rPr>
        <w:t>各种应用。现有</w:t>
      </w:r>
      <w:r w:rsidR="00076422">
        <w:rPr>
          <w:rFonts w:hint="eastAsia"/>
          <w:lang w:val="zh-CN"/>
        </w:rPr>
        <w:t>消防</w:t>
      </w:r>
      <w:r w:rsidRPr="00185135">
        <w:rPr>
          <w:rFonts w:hint="eastAsia"/>
          <w:lang w:val="zh-CN"/>
        </w:rPr>
        <w:t>系统仍</w:t>
      </w:r>
      <w:r w:rsidR="00076422">
        <w:rPr>
          <w:rFonts w:hint="eastAsia"/>
          <w:lang w:val="zh-CN"/>
        </w:rPr>
        <w:t>存在</w:t>
      </w:r>
      <w:r w:rsidRPr="00185135">
        <w:rPr>
          <w:rFonts w:hint="eastAsia"/>
          <w:lang w:val="zh-CN"/>
        </w:rPr>
        <w:t>对</w:t>
      </w:r>
      <w:r w:rsidRPr="00185135">
        <w:rPr>
          <w:lang w:val="zh-CN"/>
        </w:rPr>
        <w:t>halon-1301</w:t>
      </w:r>
      <w:r w:rsidR="00076422">
        <w:rPr>
          <w:rFonts w:hint="eastAsia"/>
          <w:lang w:val="zh-CN"/>
        </w:rPr>
        <w:t>的</w:t>
      </w:r>
      <w:r w:rsidRPr="00185135">
        <w:rPr>
          <w:rFonts w:hint="eastAsia"/>
          <w:lang w:val="zh-CN"/>
        </w:rPr>
        <w:t>需求，</w:t>
      </w:r>
      <w:r w:rsidR="00076422">
        <w:rPr>
          <w:rFonts w:hint="eastAsia"/>
          <w:lang w:val="zh-CN"/>
        </w:rPr>
        <w:t>因为</w:t>
      </w:r>
      <w:r w:rsidRPr="00185135">
        <w:rPr>
          <w:rFonts w:hint="eastAsia"/>
          <w:lang w:val="zh-CN"/>
        </w:rPr>
        <w:t>出于安全考虑，没有其他替代品</w:t>
      </w:r>
      <w:r w:rsidR="00076422">
        <w:rPr>
          <w:rFonts w:hint="eastAsia"/>
          <w:lang w:val="zh-CN"/>
        </w:rPr>
        <w:t>可用。在</w:t>
      </w:r>
      <w:r w:rsidRPr="00185135">
        <w:rPr>
          <w:rFonts w:hint="eastAsia"/>
          <w:lang w:val="zh-CN"/>
        </w:rPr>
        <w:t>民用航空</w:t>
      </w:r>
      <w:r w:rsidR="00076422">
        <w:rPr>
          <w:rFonts w:hint="eastAsia"/>
          <w:lang w:val="zh-CN"/>
        </w:rPr>
        <w:t>方面</w:t>
      </w:r>
      <w:r w:rsidRPr="00185135">
        <w:rPr>
          <w:rFonts w:hint="eastAsia"/>
          <w:lang w:val="zh-CN"/>
        </w:rPr>
        <w:t>，</w:t>
      </w:r>
      <w:r w:rsidR="00076422">
        <w:rPr>
          <w:rFonts w:hint="eastAsia"/>
          <w:lang w:val="zh-CN"/>
        </w:rPr>
        <w:t>由于</w:t>
      </w:r>
      <w:r w:rsidR="00076422" w:rsidRPr="00185135">
        <w:rPr>
          <w:rFonts w:hint="eastAsia"/>
          <w:lang w:val="zh-CN"/>
        </w:rPr>
        <w:t>某些飞机的灭火系统</w:t>
      </w:r>
      <w:r w:rsidRPr="00185135">
        <w:rPr>
          <w:rFonts w:hint="eastAsia"/>
          <w:lang w:val="zh-CN"/>
        </w:rPr>
        <w:t>也没有任何其他替代品可用</w:t>
      </w:r>
      <w:r w:rsidR="00076422">
        <w:rPr>
          <w:rFonts w:hint="eastAsia"/>
          <w:lang w:val="zh-CN"/>
        </w:rPr>
        <w:t>，同样继续存在需求</w:t>
      </w:r>
      <w:r w:rsidRPr="00185135">
        <w:rPr>
          <w:rFonts w:hint="eastAsia"/>
          <w:lang w:val="zh-CN"/>
        </w:rPr>
        <w:t>。民用航空正在全球范围内扩张，特别是在中国，预计未来五年到十年的年增长率将超过</w:t>
      </w:r>
      <w:r w:rsidRPr="00185135">
        <w:rPr>
          <w:lang w:val="zh-CN"/>
        </w:rPr>
        <w:t>10%</w:t>
      </w:r>
      <w:r w:rsidRPr="00185135">
        <w:rPr>
          <w:rFonts w:hint="eastAsia"/>
          <w:lang w:val="zh-CN"/>
        </w:rPr>
        <w:t>。</w:t>
      </w:r>
      <w:r w:rsidRPr="00185135">
        <w:rPr>
          <w:lang w:val="en-CA"/>
        </w:rPr>
        <w:t xml:space="preserve"> </w:t>
      </w:r>
    </w:p>
    <w:p w14:paraId="43B4E640" w14:textId="0DF429EF"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有两个与</w:t>
      </w:r>
      <w:r w:rsidRPr="00185135">
        <w:t>halon-1301</w:t>
      </w:r>
      <w:r w:rsidRPr="00185135">
        <w:rPr>
          <w:rFonts w:hint="eastAsia"/>
          <w:lang w:val="zh-CN"/>
        </w:rPr>
        <w:t>相关的问题。首先，一个生产商仍在生产</w:t>
      </w:r>
      <w:r w:rsidRPr="00185135">
        <w:rPr>
          <w:lang w:val="zh-CN"/>
        </w:rPr>
        <w:t>halon-1301</w:t>
      </w:r>
      <w:r w:rsidRPr="00185135">
        <w:rPr>
          <w:rFonts w:hint="eastAsia"/>
          <w:lang w:val="zh-CN"/>
        </w:rPr>
        <w:t>，</w:t>
      </w:r>
      <w:r w:rsidRPr="00185135">
        <w:rPr>
          <w:vertAlign w:val="superscript"/>
          <w:lang w:val="zh-CN"/>
        </w:rPr>
        <w:footnoteReference w:id="12"/>
      </w:r>
      <w:r w:rsidR="00120F00">
        <w:rPr>
          <w:rFonts w:hint="eastAsia"/>
          <w:lang w:val="zh-CN"/>
        </w:rPr>
        <w:t xml:space="preserve"> </w:t>
      </w:r>
      <w:r w:rsidRPr="00185135">
        <w:rPr>
          <w:rFonts w:hint="eastAsia"/>
          <w:lang w:val="zh-CN"/>
        </w:rPr>
        <w:t>供作原料</w:t>
      </w:r>
      <w:r w:rsidR="00120F00">
        <w:rPr>
          <w:rFonts w:hint="eastAsia"/>
          <w:lang w:val="zh-CN"/>
        </w:rPr>
        <w:t>使用</w:t>
      </w:r>
      <w:r w:rsidRPr="00185135">
        <w:rPr>
          <w:rFonts w:hint="eastAsia"/>
          <w:lang w:val="zh-CN"/>
        </w:rPr>
        <w:t>并出售给</w:t>
      </w:r>
      <w:r w:rsidR="00120F00">
        <w:rPr>
          <w:rFonts w:hint="eastAsia"/>
          <w:lang w:val="zh-CN"/>
        </w:rPr>
        <w:t>八</w:t>
      </w:r>
      <w:r w:rsidRPr="00185135">
        <w:rPr>
          <w:rFonts w:hint="eastAsia"/>
          <w:lang w:val="zh-CN"/>
        </w:rPr>
        <w:t>个氟虫腈（一种农药）</w:t>
      </w:r>
      <w:r w:rsidR="00120F00" w:rsidRPr="00185135">
        <w:rPr>
          <w:rFonts w:hint="eastAsia"/>
          <w:lang w:val="zh-CN"/>
        </w:rPr>
        <w:t>生产</w:t>
      </w:r>
      <w:r w:rsidR="00120F00">
        <w:rPr>
          <w:rFonts w:hint="eastAsia"/>
          <w:lang w:val="zh-CN"/>
        </w:rPr>
        <w:t>厂家</w:t>
      </w:r>
      <w:r w:rsidRPr="00185135">
        <w:rPr>
          <w:rFonts w:hint="eastAsia"/>
          <w:lang w:val="zh-CN"/>
        </w:rPr>
        <w:t>。因此，</w:t>
      </w:r>
      <w:r w:rsidR="00120F00">
        <w:rPr>
          <w:rFonts w:hint="eastAsia"/>
          <w:lang w:val="zh-CN"/>
        </w:rPr>
        <w:t>必须确保</w:t>
      </w:r>
      <w:r w:rsidRPr="00185135">
        <w:rPr>
          <w:rFonts w:hint="eastAsia"/>
          <w:lang w:val="zh-CN"/>
        </w:rPr>
        <w:t>所有新生产的哈龙都</w:t>
      </w:r>
      <w:r w:rsidR="00120F00">
        <w:rPr>
          <w:rFonts w:hint="eastAsia"/>
          <w:lang w:val="zh-CN"/>
        </w:rPr>
        <w:t>是</w:t>
      </w:r>
      <w:r w:rsidRPr="00185135">
        <w:rPr>
          <w:rFonts w:hint="eastAsia"/>
          <w:lang w:val="zh-CN"/>
        </w:rPr>
        <w:t>出售给这</w:t>
      </w:r>
      <w:r w:rsidR="00120F00">
        <w:rPr>
          <w:rFonts w:hint="eastAsia"/>
          <w:lang w:val="zh-CN"/>
        </w:rPr>
        <w:t>八</w:t>
      </w:r>
      <w:r w:rsidRPr="00185135">
        <w:rPr>
          <w:rFonts w:hint="eastAsia"/>
          <w:lang w:val="zh-CN"/>
        </w:rPr>
        <w:t>家企业，并且</w:t>
      </w:r>
      <w:r w:rsidR="00120F00">
        <w:rPr>
          <w:rFonts w:hint="eastAsia"/>
          <w:lang w:val="zh-CN"/>
        </w:rPr>
        <w:t>后者仅</w:t>
      </w:r>
      <w:r w:rsidRPr="00185135">
        <w:rPr>
          <w:rFonts w:hint="eastAsia"/>
          <w:lang w:val="zh-CN"/>
        </w:rPr>
        <w:t>将其用作生产氟虫腈的原料，而不是出售供作他用。第二个挑战是在没有</w:t>
      </w:r>
      <w:r w:rsidR="00120F00">
        <w:rPr>
          <w:rFonts w:hint="eastAsia"/>
          <w:lang w:val="zh-CN"/>
        </w:rPr>
        <w:t>经过核准</w:t>
      </w:r>
      <w:r w:rsidRPr="00185135">
        <w:rPr>
          <w:rFonts w:hint="eastAsia"/>
          <w:lang w:val="zh-CN"/>
        </w:rPr>
        <w:t>的替代品的情况下，</w:t>
      </w:r>
      <w:r w:rsidR="00120F00">
        <w:rPr>
          <w:rFonts w:hint="eastAsia"/>
          <w:lang w:val="zh-CN"/>
        </w:rPr>
        <w:t>确保</w:t>
      </w:r>
      <w:r w:rsidRPr="00185135">
        <w:rPr>
          <w:rFonts w:hint="eastAsia"/>
          <w:lang w:val="zh-CN"/>
        </w:rPr>
        <w:t>向剩余的</w:t>
      </w:r>
      <w:r w:rsidR="00120F00">
        <w:rPr>
          <w:rFonts w:hint="eastAsia"/>
          <w:lang w:val="zh-CN"/>
        </w:rPr>
        <w:t>用户，</w:t>
      </w:r>
      <w:r w:rsidRPr="00185135">
        <w:rPr>
          <w:rFonts w:hint="eastAsia"/>
          <w:lang w:val="zh-CN"/>
        </w:rPr>
        <w:t>尤其是民航</w:t>
      </w:r>
      <w:r w:rsidR="00120F00">
        <w:rPr>
          <w:rFonts w:hint="eastAsia"/>
          <w:lang w:val="zh-CN"/>
        </w:rPr>
        <w:t>业</w:t>
      </w:r>
      <w:r w:rsidRPr="00185135">
        <w:rPr>
          <w:rFonts w:hint="eastAsia"/>
          <w:lang w:val="zh-CN"/>
        </w:rPr>
        <w:t>提供足够的</w:t>
      </w:r>
      <w:r w:rsidRPr="00185135">
        <w:rPr>
          <w:lang w:val="zh-CN"/>
        </w:rPr>
        <w:t>halon-1301</w:t>
      </w:r>
      <w:r w:rsidRPr="00185135">
        <w:rPr>
          <w:rFonts w:hint="eastAsia"/>
          <w:lang w:val="zh-CN"/>
        </w:rPr>
        <w:t>。政府认为，</w:t>
      </w:r>
      <w:r w:rsidR="00120F00" w:rsidRPr="00185135">
        <w:rPr>
          <w:rFonts w:hint="eastAsia"/>
          <w:lang w:val="zh-CN"/>
        </w:rPr>
        <w:t>目前很明显</w:t>
      </w:r>
      <w:r w:rsidR="00120F00">
        <w:rPr>
          <w:rFonts w:hint="eastAsia"/>
          <w:lang w:val="zh-CN"/>
        </w:rPr>
        <w:t>的是，</w:t>
      </w:r>
      <w:r w:rsidRPr="00185135">
        <w:rPr>
          <w:rFonts w:hint="eastAsia"/>
          <w:lang w:val="zh-CN"/>
        </w:rPr>
        <w:t>为了避免为</w:t>
      </w:r>
      <w:r w:rsidR="00120F00">
        <w:rPr>
          <w:rFonts w:hint="eastAsia"/>
          <w:lang w:val="zh-CN"/>
        </w:rPr>
        <w:t>必要</w:t>
      </w:r>
      <w:r w:rsidRPr="00185135">
        <w:rPr>
          <w:rFonts w:hint="eastAsia"/>
          <w:lang w:val="zh-CN"/>
        </w:rPr>
        <w:t>用途进行生产，只有从市场回收</w:t>
      </w:r>
      <w:r w:rsidRPr="00185135">
        <w:rPr>
          <w:lang w:val="zh-CN"/>
        </w:rPr>
        <w:t>halon-1301</w:t>
      </w:r>
      <w:r w:rsidRPr="00185135">
        <w:rPr>
          <w:rFonts w:hint="eastAsia"/>
          <w:lang w:val="zh-CN"/>
        </w:rPr>
        <w:t>才能满足需求。因此，必须继续执行</w:t>
      </w:r>
      <w:r w:rsidRPr="00185135">
        <w:rPr>
          <w:lang w:val="zh-CN"/>
        </w:rPr>
        <w:t>halon-1301</w:t>
      </w:r>
      <w:r w:rsidR="00120F00">
        <w:rPr>
          <w:rFonts w:hint="eastAsia"/>
          <w:lang w:val="zh-CN"/>
        </w:rPr>
        <w:t>再循环</w:t>
      </w:r>
      <w:r w:rsidRPr="00185135">
        <w:rPr>
          <w:rFonts w:hint="eastAsia"/>
          <w:lang w:val="zh-CN"/>
        </w:rPr>
        <w:t>方案，确保</w:t>
      </w:r>
      <w:r w:rsidRPr="00185135">
        <w:rPr>
          <w:lang w:val="zh-CN"/>
        </w:rPr>
        <w:t>halon-1301</w:t>
      </w:r>
      <w:r w:rsidRPr="00185135">
        <w:rPr>
          <w:rFonts w:hint="eastAsia"/>
          <w:lang w:val="zh-CN"/>
        </w:rPr>
        <w:t>的供应和避免非法生产的风险。</w:t>
      </w:r>
    </w:p>
    <w:p w14:paraId="0DF20649" w14:textId="5460DA63"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秘书处同意</w:t>
      </w:r>
      <w:r w:rsidR="00120F00">
        <w:rPr>
          <w:rFonts w:hint="eastAsia"/>
          <w:lang w:val="zh-CN"/>
        </w:rPr>
        <w:t>，</w:t>
      </w:r>
      <w:r w:rsidRPr="00185135">
        <w:rPr>
          <w:rFonts w:hint="eastAsia"/>
          <w:lang w:val="zh-CN"/>
        </w:rPr>
        <w:t>哈龙</w:t>
      </w:r>
      <w:r w:rsidR="00120F00">
        <w:rPr>
          <w:rFonts w:hint="eastAsia"/>
          <w:lang w:val="zh-CN"/>
        </w:rPr>
        <w:t>再循环方案</w:t>
      </w:r>
      <w:r w:rsidRPr="00185135">
        <w:rPr>
          <w:rFonts w:hint="eastAsia"/>
          <w:lang w:val="zh-CN"/>
        </w:rPr>
        <w:t>是确保</w:t>
      </w:r>
      <w:r w:rsidR="00120F00" w:rsidRPr="00185135">
        <w:rPr>
          <w:rFonts w:hint="eastAsia"/>
          <w:lang w:val="zh-CN"/>
        </w:rPr>
        <w:t>持续供应</w:t>
      </w:r>
      <w:r w:rsidRPr="00185135">
        <w:t>halon-1301</w:t>
      </w:r>
      <w:r w:rsidRPr="00185135">
        <w:rPr>
          <w:rFonts w:hint="eastAsia"/>
          <w:lang w:val="zh-CN"/>
        </w:rPr>
        <w:t>的重要因素。但是，秘书处不清楚</w:t>
      </w:r>
      <w:r w:rsidR="00120F00">
        <w:rPr>
          <w:rFonts w:hint="eastAsia"/>
          <w:lang w:val="zh-CN"/>
        </w:rPr>
        <w:t>的是</w:t>
      </w:r>
      <w:r w:rsidRPr="00185135">
        <w:rPr>
          <w:rFonts w:hint="eastAsia"/>
          <w:lang w:val="zh-CN"/>
        </w:rPr>
        <w:t>，中国政府打算如何在项目完成后</w:t>
      </w:r>
      <w:r w:rsidR="00120F00">
        <w:rPr>
          <w:rFonts w:hint="eastAsia"/>
          <w:lang w:val="zh-CN"/>
        </w:rPr>
        <w:t>确保</w:t>
      </w:r>
      <w:r w:rsidRPr="00185135">
        <w:rPr>
          <w:rFonts w:hint="eastAsia"/>
          <w:lang w:val="zh-CN"/>
        </w:rPr>
        <w:t>对淘汰哈龙进行长期可持续的监测。</w:t>
      </w:r>
    </w:p>
    <w:p w14:paraId="18E7DA9D" w14:textId="77777777" w:rsidR="00185135" w:rsidRPr="00120F00" w:rsidRDefault="00185135" w:rsidP="00120F00">
      <w:pPr>
        <w:keepNext/>
        <w:spacing w:line="259" w:lineRule="auto"/>
        <w:jc w:val="both"/>
        <w:rPr>
          <w:u w:val="single"/>
        </w:rPr>
      </w:pPr>
      <w:r w:rsidRPr="00120F00">
        <w:rPr>
          <w:rFonts w:hint="eastAsia"/>
          <w:u w:val="single"/>
        </w:rPr>
        <w:t>特定次级行业的财务问题</w:t>
      </w:r>
    </w:p>
    <w:p w14:paraId="3BC44284" w14:textId="00B05360"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关于氟氯化碳生产行业计划</w:t>
      </w:r>
      <w:r w:rsidRPr="00185135">
        <w:rPr>
          <w:rFonts w:hint="eastAsia"/>
          <w:lang w:val="en-CA"/>
        </w:rPr>
        <w:t>，</w:t>
      </w:r>
      <w:r w:rsidRPr="00185135">
        <w:rPr>
          <w:rFonts w:hint="eastAsia"/>
          <w:lang w:val="zh-CN"/>
        </w:rPr>
        <w:t>秘书处注意到</w:t>
      </w:r>
      <w:r w:rsidRPr="00185135">
        <w:rPr>
          <w:rFonts w:hint="eastAsia"/>
          <w:lang w:val="en-CA"/>
        </w:rPr>
        <w:t>，</w:t>
      </w:r>
      <w:r w:rsidR="00B4427F">
        <w:rPr>
          <w:rFonts w:hint="eastAsia"/>
          <w:lang w:val="en-CA"/>
        </w:rPr>
        <w:t>签订了一个</w:t>
      </w:r>
      <w:r w:rsidR="00B4427F" w:rsidRPr="00185135">
        <w:rPr>
          <w:lang w:val="en-CA"/>
        </w:rPr>
        <w:t>112,153</w:t>
      </w:r>
      <w:r w:rsidR="00B4427F" w:rsidRPr="00185135">
        <w:rPr>
          <w:rFonts w:hint="eastAsia"/>
          <w:lang w:val="zh-CN"/>
        </w:rPr>
        <w:t>美元的合同</w:t>
      </w:r>
      <w:r w:rsidR="00B4427F">
        <w:rPr>
          <w:rFonts w:hint="eastAsia"/>
          <w:lang w:val="zh-CN"/>
        </w:rPr>
        <w:t>来</w:t>
      </w:r>
      <w:r w:rsidRPr="00185135">
        <w:rPr>
          <w:rFonts w:hint="eastAsia"/>
          <w:lang w:val="zh-CN"/>
        </w:rPr>
        <w:t>制作一个关于</w:t>
      </w:r>
      <w:r w:rsidR="00F42E47">
        <w:rPr>
          <w:rFonts w:hint="eastAsia"/>
          <w:lang w:val="zh-CN"/>
        </w:rPr>
        <w:t>ODS</w:t>
      </w:r>
      <w:r w:rsidRPr="00185135">
        <w:rPr>
          <w:rFonts w:hint="eastAsia"/>
          <w:lang w:val="zh-CN"/>
        </w:rPr>
        <w:t>基本知识、《蒙特利尔议定书》的执行</w:t>
      </w:r>
      <w:r w:rsidR="00B4427F">
        <w:rPr>
          <w:rFonts w:hint="eastAsia"/>
          <w:lang w:val="zh-CN"/>
        </w:rPr>
        <w:t>进度</w:t>
      </w:r>
      <w:r w:rsidRPr="00185135">
        <w:rPr>
          <w:rFonts w:hint="eastAsia"/>
          <w:lang w:val="zh-CN"/>
        </w:rPr>
        <w:t>以及执法人员和</w:t>
      </w:r>
      <w:r w:rsidR="00F42E47">
        <w:rPr>
          <w:rFonts w:hint="eastAsia"/>
          <w:lang w:val="zh-CN"/>
        </w:rPr>
        <w:t>ODS</w:t>
      </w:r>
      <w:r w:rsidRPr="00185135">
        <w:rPr>
          <w:rFonts w:hint="eastAsia"/>
          <w:lang w:val="zh-CN"/>
        </w:rPr>
        <w:t>经销商必要具备的执行技能的视频。</w:t>
      </w:r>
      <w:r w:rsidR="00B4427F">
        <w:rPr>
          <w:rFonts w:hint="eastAsia"/>
          <w:lang w:val="zh-CN"/>
        </w:rPr>
        <w:t>政府</w:t>
      </w:r>
      <w:r w:rsidRPr="00185135">
        <w:rPr>
          <w:rFonts w:hint="eastAsia"/>
          <w:lang w:val="zh-CN"/>
        </w:rPr>
        <w:t>解释</w:t>
      </w:r>
      <w:r w:rsidR="00B4427F">
        <w:rPr>
          <w:rFonts w:hint="eastAsia"/>
          <w:lang w:val="zh-CN"/>
        </w:rPr>
        <w:t>了</w:t>
      </w:r>
      <w:r w:rsidRPr="00185135">
        <w:rPr>
          <w:rFonts w:hint="eastAsia"/>
          <w:lang w:val="zh-CN"/>
        </w:rPr>
        <w:t>这项活动如何与氟氯化碳生产行业有关</w:t>
      </w:r>
      <w:r w:rsidR="00B4427F">
        <w:rPr>
          <w:rFonts w:hint="eastAsia"/>
          <w:lang w:val="zh-CN"/>
        </w:rPr>
        <w:t>，</w:t>
      </w:r>
      <w:r w:rsidRPr="00185135">
        <w:rPr>
          <w:rFonts w:hint="eastAsia"/>
          <w:lang w:val="zh-CN"/>
        </w:rPr>
        <w:t>以及</w:t>
      </w:r>
      <w:r w:rsidR="00B4427F">
        <w:rPr>
          <w:rFonts w:hint="eastAsia"/>
          <w:lang w:val="zh-CN"/>
        </w:rPr>
        <w:t>将</w:t>
      </w:r>
      <w:r w:rsidRPr="00185135">
        <w:rPr>
          <w:rFonts w:hint="eastAsia"/>
          <w:lang w:val="zh-CN"/>
        </w:rPr>
        <w:t>如何加强对淘汰</w:t>
      </w:r>
      <w:r w:rsidR="00B4427F">
        <w:rPr>
          <w:rFonts w:hint="eastAsia"/>
          <w:lang w:val="zh-CN"/>
        </w:rPr>
        <w:t>成果</w:t>
      </w:r>
      <w:r w:rsidRPr="00185135">
        <w:rPr>
          <w:rFonts w:hint="eastAsia"/>
          <w:lang w:val="zh-CN"/>
        </w:rPr>
        <w:t>的可持续监测</w:t>
      </w:r>
      <w:r w:rsidR="00B4427F">
        <w:rPr>
          <w:rFonts w:hint="eastAsia"/>
          <w:lang w:val="zh-CN"/>
        </w:rPr>
        <w:t>，表示</w:t>
      </w:r>
      <w:r w:rsidRPr="00185135">
        <w:rPr>
          <w:rFonts w:hint="eastAsia"/>
          <w:lang w:val="zh-CN"/>
        </w:rPr>
        <w:t>海关部门在进行</w:t>
      </w:r>
      <w:r w:rsidR="00F42E47">
        <w:rPr>
          <w:rFonts w:hint="eastAsia"/>
          <w:lang w:val="zh-CN"/>
        </w:rPr>
        <w:t>ODS</w:t>
      </w:r>
      <w:r w:rsidRPr="00185135">
        <w:rPr>
          <w:rFonts w:hint="eastAsia"/>
          <w:lang w:val="zh-CN"/>
        </w:rPr>
        <w:t>进出口管理培训时将使用这一系列视频教科书，以期加强海关官员的监督能力</w:t>
      </w:r>
      <w:r w:rsidR="00CF5220">
        <w:rPr>
          <w:rFonts w:hint="eastAsia"/>
          <w:lang w:val="zh-CN"/>
        </w:rPr>
        <w:t>和</w:t>
      </w:r>
      <w:r w:rsidRPr="00185135">
        <w:rPr>
          <w:rFonts w:hint="eastAsia"/>
          <w:lang w:val="zh-CN"/>
        </w:rPr>
        <w:t>提高执勤</w:t>
      </w:r>
      <w:r w:rsidR="00CF5220">
        <w:rPr>
          <w:rFonts w:hint="eastAsia"/>
          <w:lang w:val="zh-CN"/>
        </w:rPr>
        <w:t>海关</w:t>
      </w:r>
      <w:r w:rsidRPr="00185135">
        <w:rPr>
          <w:rFonts w:hint="eastAsia"/>
          <w:lang w:val="zh-CN"/>
        </w:rPr>
        <w:t>官员的业务知识。</w:t>
      </w:r>
      <w:r w:rsidR="00CF5220">
        <w:rPr>
          <w:rFonts w:hint="eastAsia"/>
          <w:lang w:val="zh-CN"/>
        </w:rPr>
        <w:t>此外</w:t>
      </w:r>
      <w:r w:rsidRPr="00185135">
        <w:rPr>
          <w:rFonts w:hint="eastAsia"/>
          <w:lang w:val="zh-CN"/>
        </w:rPr>
        <w:t>还对从事</w:t>
      </w:r>
      <w:r w:rsidR="00F42E47">
        <w:rPr>
          <w:rFonts w:hint="eastAsia"/>
          <w:lang w:val="zh-CN"/>
        </w:rPr>
        <w:t>ODS</w:t>
      </w:r>
      <w:r w:rsidRPr="00185135">
        <w:rPr>
          <w:rFonts w:hint="eastAsia"/>
          <w:lang w:val="zh-CN"/>
        </w:rPr>
        <w:t>进出口的企业进行培训，使其遵守</w:t>
      </w:r>
      <w:r w:rsidR="00F42E47">
        <w:rPr>
          <w:rFonts w:hint="eastAsia"/>
          <w:lang w:val="zh-CN"/>
        </w:rPr>
        <w:t>ODS</w:t>
      </w:r>
      <w:r w:rsidRPr="00185135">
        <w:rPr>
          <w:rFonts w:hint="eastAsia"/>
          <w:lang w:val="zh-CN"/>
        </w:rPr>
        <w:t>管理规定，</w:t>
      </w:r>
      <w:r w:rsidR="00CF5220">
        <w:rPr>
          <w:rFonts w:hint="eastAsia"/>
          <w:lang w:val="zh-CN"/>
        </w:rPr>
        <w:t>从而</w:t>
      </w:r>
      <w:r w:rsidRPr="00185135">
        <w:rPr>
          <w:rFonts w:hint="eastAsia"/>
          <w:lang w:val="zh-CN"/>
        </w:rPr>
        <w:t>提高</w:t>
      </w:r>
      <w:r w:rsidR="00CF5220">
        <w:rPr>
          <w:rFonts w:hint="eastAsia"/>
          <w:lang w:val="zh-CN"/>
        </w:rPr>
        <w:t>举办</w:t>
      </w:r>
      <w:r w:rsidRPr="00185135">
        <w:rPr>
          <w:rFonts w:hint="eastAsia"/>
          <w:lang w:val="zh-CN"/>
        </w:rPr>
        <w:t>培训</w:t>
      </w:r>
      <w:r w:rsidR="00CF5220">
        <w:rPr>
          <w:rFonts w:hint="eastAsia"/>
          <w:lang w:val="zh-CN"/>
        </w:rPr>
        <w:t>活动</w:t>
      </w:r>
      <w:r w:rsidRPr="00185135">
        <w:rPr>
          <w:rFonts w:hint="eastAsia"/>
          <w:lang w:val="zh-CN"/>
        </w:rPr>
        <w:t>的</w:t>
      </w:r>
      <w:r w:rsidR="00CF5220">
        <w:rPr>
          <w:rFonts w:hint="eastAsia"/>
          <w:lang w:val="zh-CN"/>
        </w:rPr>
        <w:t>行业的</w:t>
      </w:r>
      <w:r w:rsidR="00F42E47">
        <w:rPr>
          <w:rFonts w:hint="eastAsia"/>
          <w:lang w:val="zh-CN"/>
        </w:rPr>
        <w:t>ODS</w:t>
      </w:r>
      <w:r w:rsidRPr="00185135">
        <w:rPr>
          <w:rFonts w:hint="eastAsia"/>
          <w:lang w:val="zh-CN"/>
        </w:rPr>
        <w:t>合规意识、管理技能和管理水平。</w:t>
      </w:r>
    </w:p>
    <w:p w14:paraId="733894E5" w14:textId="461830A7"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关于二类加工剂</w:t>
      </w:r>
      <w:r w:rsidRPr="00185135">
        <w:rPr>
          <w:rFonts w:hint="eastAsia"/>
          <w:lang w:val="en-CA"/>
        </w:rPr>
        <w:t>，</w:t>
      </w:r>
      <w:r w:rsidRPr="00185135">
        <w:rPr>
          <w:lang w:val="en-CA"/>
        </w:rPr>
        <w:t>2018</w:t>
      </w:r>
      <w:r w:rsidRPr="00185135">
        <w:rPr>
          <w:rFonts w:hint="eastAsia"/>
          <w:lang w:val="zh-CN"/>
        </w:rPr>
        <w:t>年</w:t>
      </w:r>
      <w:r w:rsidRPr="00185135">
        <w:rPr>
          <w:lang w:val="en-CA"/>
        </w:rPr>
        <w:t>8</w:t>
      </w:r>
      <w:r w:rsidRPr="00185135">
        <w:rPr>
          <w:rFonts w:hint="eastAsia"/>
          <w:lang w:val="zh-CN"/>
        </w:rPr>
        <w:t>月与</w:t>
      </w:r>
      <w:r w:rsidRPr="00185135">
        <w:rPr>
          <w:lang w:val="en-CA"/>
        </w:rPr>
        <w:t>9</w:t>
      </w:r>
      <w:r w:rsidRPr="00185135">
        <w:rPr>
          <w:rFonts w:hint="eastAsia"/>
          <w:lang w:val="zh-CN"/>
        </w:rPr>
        <w:t>家企业签订了价值</w:t>
      </w:r>
      <w:r w:rsidRPr="00185135">
        <w:rPr>
          <w:lang w:val="en-CA"/>
        </w:rPr>
        <w:t>460</w:t>
      </w:r>
      <w:r w:rsidRPr="00185135">
        <w:rPr>
          <w:rFonts w:hint="eastAsia"/>
          <w:lang w:val="zh-CN"/>
        </w:rPr>
        <w:t>万美元的合同</w:t>
      </w:r>
      <w:r w:rsidRPr="00185135">
        <w:rPr>
          <w:rFonts w:hint="eastAsia"/>
          <w:lang w:val="en-CA"/>
        </w:rPr>
        <w:t>，</w:t>
      </w:r>
      <w:r w:rsidRPr="00185135">
        <w:rPr>
          <w:rFonts w:hint="eastAsia"/>
          <w:lang w:val="zh-CN"/>
        </w:rPr>
        <w:t>用于建造</w:t>
      </w:r>
      <w:r w:rsidR="003B7C9C">
        <w:rPr>
          <w:rFonts w:hint="eastAsia"/>
          <w:lang w:val="en-CA"/>
        </w:rPr>
        <w:t>3</w:t>
      </w:r>
      <w:r w:rsidRPr="00185135">
        <w:rPr>
          <w:rFonts w:hint="eastAsia"/>
          <w:lang w:val="zh-CN"/>
        </w:rPr>
        <w:t>个焚烧炉、改进</w:t>
      </w:r>
      <w:r w:rsidR="003B7C9C">
        <w:rPr>
          <w:rFonts w:hint="eastAsia"/>
          <w:lang w:val="en-CA"/>
        </w:rPr>
        <w:t>2</w:t>
      </w:r>
      <w:r w:rsidRPr="00185135">
        <w:rPr>
          <w:rFonts w:hint="eastAsia"/>
          <w:lang w:val="zh-CN"/>
        </w:rPr>
        <w:t>个现有焚烧炉、建造</w:t>
      </w:r>
      <w:r w:rsidRPr="00185135">
        <w:rPr>
          <w:lang w:val="en-CA"/>
        </w:rPr>
        <w:t>2</w:t>
      </w:r>
      <w:r w:rsidRPr="00185135">
        <w:rPr>
          <w:rFonts w:hint="eastAsia"/>
          <w:lang w:val="zh-CN"/>
        </w:rPr>
        <w:t>个减少残留物的装置和补贴</w:t>
      </w:r>
      <w:r w:rsidRPr="00185135">
        <w:rPr>
          <w:lang w:val="en-CA"/>
        </w:rPr>
        <w:t>2</w:t>
      </w:r>
      <w:r w:rsidR="003B7C9C">
        <w:rPr>
          <w:rFonts w:hint="eastAsia"/>
          <w:lang w:val="en-CA"/>
        </w:rPr>
        <w:t>家企业的运营费用</w:t>
      </w:r>
      <w:r w:rsidRPr="00185135">
        <w:rPr>
          <w:rFonts w:hint="eastAsia"/>
          <w:lang w:val="zh-CN"/>
        </w:rPr>
        <w:t>。鉴于</w:t>
      </w:r>
      <w:r w:rsidR="003B7C9C">
        <w:rPr>
          <w:rFonts w:hint="eastAsia"/>
          <w:lang w:val="zh-CN"/>
        </w:rPr>
        <w:t>这些</w:t>
      </w:r>
      <w:r w:rsidRPr="00185135">
        <w:rPr>
          <w:rFonts w:hint="eastAsia"/>
          <w:lang w:val="zh-CN"/>
        </w:rPr>
        <w:t>企业将在</w:t>
      </w:r>
      <w:r w:rsidRPr="00185135">
        <w:rPr>
          <w:lang w:val="zh-CN"/>
        </w:rPr>
        <w:t>2018</w:t>
      </w:r>
      <w:r w:rsidRPr="00185135">
        <w:rPr>
          <w:rFonts w:hint="eastAsia"/>
          <w:lang w:val="zh-CN"/>
        </w:rPr>
        <w:t>年底之前收到</w:t>
      </w:r>
      <w:r w:rsidR="003B7C9C">
        <w:rPr>
          <w:rFonts w:hint="eastAsia"/>
          <w:lang w:val="zh-CN"/>
        </w:rPr>
        <w:t>相当于</w:t>
      </w:r>
      <w:r w:rsidRPr="00185135">
        <w:rPr>
          <w:rFonts w:hint="eastAsia"/>
          <w:lang w:val="zh-CN"/>
        </w:rPr>
        <w:t>合同价值</w:t>
      </w:r>
      <w:r w:rsidRPr="00185135">
        <w:rPr>
          <w:lang w:val="zh-CN"/>
        </w:rPr>
        <w:t>80</w:t>
      </w:r>
      <w:r w:rsidR="00DD3FE0">
        <w:rPr>
          <w:rFonts w:hint="eastAsia"/>
          <w:lang w:val="zh-CN"/>
        </w:rPr>
        <w:t>%</w:t>
      </w:r>
      <w:r w:rsidRPr="00185135">
        <w:rPr>
          <w:rFonts w:hint="eastAsia"/>
          <w:lang w:val="zh-CN"/>
        </w:rPr>
        <w:t>的首期款，秘书处要求说明企业为获得资金所需达到的</w:t>
      </w:r>
      <w:r w:rsidR="003B7C9C">
        <w:rPr>
          <w:rFonts w:hint="eastAsia"/>
          <w:lang w:val="zh-CN"/>
        </w:rPr>
        <w:t>里程碑</w:t>
      </w:r>
      <w:r w:rsidRPr="00185135">
        <w:rPr>
          <w:rFonts w:hint="eastAsia"/>
          <w:lang w:val="zh-CN"/>
        </w:rPr>
        <w:t>，并询问这是</w:t>
      </w:r>
      <w:r w:rsidR="003B7C9C">
        <w:rPr>
          <w:rFonts w:hint="eastAsia"/>
          <w:lang w:val="zh-CN"/>
        </w:rPr>
        <w:t>不</w:t>
      </w:r>
      <w:r w:rsidRPr="00185135">
        <w:rPr>
          <w:rFonts w:hint="eastAsia"/>
          <w:lang w:val="zh-CN"/>
        </w:rPr>
        <w:t>是一个</w:t>
      </w:r>
      <w:r w:rsidR="003B7C9C">
        <w:rPr>
          <w:rFonts w:hint="eastAsia"/>
          <w:lang w:val="zh-CN"/>
        </w:rPr>
        <w:t>补办的</w:t>
      </w:r>
      <w:r w:rsidRPr="00185135">
        <w:rPr>
          <w:rFonts w:hint="eastAsia"/>
          <w:lang w:val="zh-CN"/>
        </w:rPr>
        <w:t>项目。政府解释说，这些都是</w:t>
      </w:r>
      <w:r w:rsidR="003B7C9C">
        <w:rPr>
          <w:rFonts w:hint="eastAsia"/>
          <w:lang w:val="zh-CN"/>
        </w:rPr>
        <w:t>最迟</w:t>
      </w:r>
      <w:r w:rsidRPr="00185135">
        <w:rPr>
          <w:rFonts w:hint="eastAsia"/>
          <w:lang w:val="zh-CN"/>
        </w:rPr>
        <w:t>要在</w:t>
      </w:r>
      <w:r w:rsidRPr="00185135">
        <w:rPr>
          <w:lang w:val="zh-CN"/>
        </w:rPr>
        <w:t>2019</w:t>
      </w:r>
      <w:r w:rsidRPr="00185135">
        <w:rPr>
          <w:rFonts w:hint="eastAsia"/>
          <w:lang w:val="zh-CN"/>
        </w:rPr>
        <w:t>年完成的投资项目（不</w:t>
      </w:r>
      <w:r w:rsidR="003B7C9C">
        <w:rPr>
          <w:rFonts w:hint="eastAsia"/>
          <w:lang w:val="zh-CN"/>
        </w:rPr>
        <w:t>是补办项目</w:t>
      </w:r>
      <w:r w:rsidRPr="00185135">
        <w:rPr>
          <w:rFonts w:hint="eastAsia"/>
          <w:lang w:val="zh-CN"/>
        </w:rPr>
        <w:t>），</w:t>
      </w:r>
      <w:r w:rsidR="003B7C9C">
        <w:rPr>
          <w:rFonts w:hint="eastAsia"/>
          <w:lang w:val="zh-CN"/>
        </w:rPr>
        <w:t>发放</w:t>
      </w:r>
      <w:r w:rsidRPr="00185135">
        <w:rPr>
          <w:rFonts w:hint="eastAsia"/>
          <w:lang w:val="zh-CN"/>
        </w:rPr>
        <w:t>首期款的</w:t>
      </w:r>
      <w:r w:rsidR="003B7C9C">
        <w:rPr>
          <w:rFonts w:hint="eastAsia"/>
          <w:lang w:val="zh-CN"/>
        </w:rPr>
        <w:t>里程碑</w:t>
      </w:r>
      <w:r w:rsidRPr="00185135">
        <w:rPr>
          <w:rFonts w:hint="eastAsia"/>
          <w:lang w:val="zh-CN"/>
        </w:rPr>
        <w:t>是必须完成</w:t>
      </w:r>
      <w:r w:rsidR="003B7C9C" w:rsidRPr="00185135">
        <w:rPr>
          <w:rFonts w:hint="eastAsia"/>
          <w:lang w:val="zh-CN"/>
        </w:rPr>
        <w:t>处置设施</w:t>
      </w:r>
      <w:r w:rsidR="003B7C9C">
        <w:rPr>
          <w:rFonts w:hint="eastAsia"/>
          <w:lang w:val="zh-CN"/>
        </w:rPr>
        <w:t>的</w:t>
      </w:r>
      <w:r w:rsidRPr="00185135">
        <w:rPr>
          <w:rFonts w:hint="eastAsia"/>
          <w:lang w:val="zh-CN"/>
        </w:rPr>
        <w:t>升级或建造。参与项目的企业必须承担</w:t>
      </w:r>
      <w:r w:rsidR="003B7C9C" w:rsidRPr="00185135">
        <w:rPr>
          <w:rFonts w:hint="eastAsia"/>
          <w:lang w:val="zh-CN"/>
        </w:rPr>
        <w:t>大部分</w:t>
      </w:r>
      <w:r w:rsidRPr="00185135">
        <w:rPr>
          <w:rFonts w:hint="eastAsia"/>
          <w:lang w:val="zh-CN"/>
        </w:rPr>
        <w:t>的</w:t>
      </w:r>
      <w:r w:rsidR="003B7C9C" w:rsidRPr="00185135">
        <w:rPr>
          <w:rFonts w:hint="eastAsia"/>
          <w:lang w:val="zh-CN"/>
        </w:rPr>
        <w:t>设施建造或升级</w:t>
      </w:r>
      <w:r w:rsidRPr="00185135">
        <w:rPr>
          <w:rFonts w:hint="eastAsia"/>
          <w:lang w:val="zh-CN"/>
        </w:rPr>
        <w:t>费用，</w:t>
      </w:r>
      <w:r w:rsidR="00B25A4D">
        <w:rPr>
          <w:rFonts w:hint="eastAsia"/>
          <w:lang w:val="zh-CN"/>
        </w:rPr>
        <w:t>FECO</w:t>
      </w:r>
      <w:r w:rsidRPr="00185135">
        <w:rPr>
          <w:rFonts w:hint="eastAsia"/>
          <w:lang w:val="zh-CN"/>
        </w:rPr>
        <w:t>仅提供一小部分资金</w:t>
      </w:r>
      <w:r w:rsidR="003B7C9C">
        <w:rPr>
          <w:rFonts w:hint="eastAsia"/>
          <w:lang w:val="zh-CN"/>
        </w:rPr>
        <w:t>来</w:t>
      </w:r>
      <w:r w:rsidRPr="00185135">
        <w:rPr>
          <w:rFonts w:hint="eastAsia"/>
          <w:lang w:val="zh-CN"/>
        </w:rPr>
        <w:t>鼓励内部处置四氯化碳残留物。</w:t>
      </w:r>
      <w:r w:rsidR="003B7C9C">
        <w:rPr>
          <w:rFonts w:hint="eastAsia"/>
          <w:lang w:val="zh-CN"/>
        </w:rPr>
        <w:t>这个</w:t>
      </w:r>
      <w:r w:rsidRPr="00185135">
        <w:rPr>
          <w:rFonts w:hint="eastAsia"/>
          <w:lang w:val="zh-CN"/>
        </w:rPr>
        <w:t>项目旨在鼓励四氯化碳生产</w:t>
      </w:r>
      <w:r w:rsidR="003B7C9C">
        <w:rPr>
          <w:rFonts w:hint="eastAsia"/>
          <w:lang w:val="zh-CN"/>
        </w:rPr>
        <w:t>厂家</w:t>
      </w:r>
      <w:r w:rsidRPr="00185135">
        <w:rPr>
          <w:rFonts w:hint="eastAsia"/>
          <w:lang w:val="zh-CN"/>
        </w:rPr>
        <w:t>在内部处置四氯化碳残留物，而不是将其送到其他处置中心，甚至出售</w:t>
      </w:r>
      <w:r w:rsidR="003B7C9C">
        <w:rPr>
          <w:rFonts w:hint="eastAsia"/>
          <w:lang w:val="zh-CN"/>
        </w:rPr>
        <w:t>供</w:t>
      </w:r>
      <w:r w:rsidRPr="00185135">
        <w:rPr>
          <w:rFonts w:hint="eastAsia"/>
          <w:lang w:val="zh-CN"/>
        </w:rPr>
        <w:t>再利用。秘书处指出，这种销售将被视为消费。</w:t>
      </w:r>
      <w:r w:rsidRPr="00185135">
        <w:rPr>
          <w:lang w:val="en-CA"/>
        </w:rPr>
        <w:t xml:space="preserve"> </w:t>
      </w:r>
    </w:p>
    <w:p w14:paraId="5CB51851" w14:textId="77777777" w:rsidR="00185135" w:rsidRPr="003B7C9C" w:rsidRDefault="00185135" w:rsidP="003B7C9C">
      <w:pPr>
        <w:keepNext/>
        <w:spacing w:line="259" w:lineRule="auto"/>
        <w:jc w:val="both"/>
        <w:rPr>
          <w:u w:val="single"/>
        </w:rPr>
      </w:pPr>
      <w:r w:rsidRPr="003B7C9C">
        <w:rPr>
          <w:rFonts w:hint="eastAsia"/>
          <w:u w:val="single"/>
        </w:rPr>
        <w:lastRenderedPageBreak/>
        <w:t>研究和技术援助报告</w:t>
      </w:r>
    </w:p>
    <w:p w14:paraId="0CE8CBA8" w14:textId="664240C4"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关于</w:t>
      </w:r>
      <w:r w:rsidR="00E04F95">
        <w:rPr>
          <w:rFonts w:hint="eastAsia"/>
          <w:lang w:val="zh-CN"/>
        </w:rPr>
        <w:t>用</w:t>
      </w:r>
      <w:r w:rsidRPr="00185135">
        <w:rPr>
          <w:rFonts w:hint="eastAsia"/>
          <w:lang w:val="zh-CN"/>
        </w:rPr>
        <w:t>这些</w:t>
      </w:r>
      <w:r w:rsidR="00E04F95">
        <w:rPr>
          <w:rFonts w:hint="eastAsia"/>
          <w:lang w:val="zh-CN"/>
        </w:rPr>
        <w:t>资金</w:t>
      </w:r>
      <w:r w:rsidRPr="00185135">
        <w:rPr>
          <w:rFonts w:hint="eastAsia"/>
          <w:lang w:val="zh-CN"/>
        </w:rPr>
        <w:t>余额提供的技术援助可能对氟氯烃淘汰管理计划</w:t>
      </w:r>
      <w:r w:rsidR="00E04F95">
        <w:rPr>
          <w:rFonts w:hint="eastAsia"/>
          <w:lang w:val="zh-CN"/>
        </w:rPr>
        <w:t>下的</w:t>
      </w:r>
      <w:r w:rsidRPr="00185135">
        <w:rPr>
          <w:rFonts w:hint="eastAsia"/>
          <w:lang w:val="zh-CN"/>
        </w:rPr>
        <w:t>行业计划、氟氯烃生产淘汰管理计划以及氟氯烃淘汰</w:t>
      </w:r>
      <w:r w:rsidR="00E04F95">
        <w:rPr>
          <w:rFonts w:hint="eastAsia"/>
          <w:lang w:val="zh-CN"/>
        </w:rPr>
        <w:t>工作的实施</w:t>
      </w:r>
      <w:r w:rsidRPr="00185135">
        <w:rPr>
          <w:rFonts w:hint="eastAsia"/>
          <w:lang w:val="zh-CN"/>
        </w:rPr>
        <w:t>产生何种影响</w:t>
      </w:r>
      <w:r w:rsidRPr="00185135">
        <w:rPr>
          <w:rFonts w:hint="eastAsia"/>
          <w:lang w:val="en-CA"/>
        </w:rPr>
        <w:t>，</w:t>
      </w:r>
      <w:r w:rsidRPr="00185135">
        <w:rPr>
          <w:rFonts w:hint="eastAsia"/>
          <w:lang w:val="zh-CN"/>
        </w:rPr>
        <w:t>政府</w:t>
      </w:r>
      <w:r w:rsidR="00E04F95">
        <w:rPr>
          <w:rFonts w:hint="eastAsia"/>
          <w:lang w:val="zh-CN"/>
        </w:rPr>
        <w:t>确认</w:t>
      </w:r>
      <w:r w:rsidRPr="00185135">
        <w:rPr>
          <w:rFonts w:hint="eastAsia"/>
          <w:lang w:val="en-CA"/>
        </w:rPr>
        <w:t>，</w:t>
      </w:r>
      <w:r w:rsidR="00E04F95" w:rsidRPr="00185135">
        <w:rPr>
          <w:rFonts w:hint="eastAsia"/>
          <w:lang w:val="zh-CN"/>
        </w:rPr>
        <w:t>必须</w:t>
      </w:r>
      <w:r w:rsidRPr="00185135">
        <w:rPr>
          <w:rFonts w:hint="eastAsia"/>
          <w:lang w:val="zh-CN"/>
        </w:rPr>
        <w:t>对氟氯化碳、聚氨酯泡沫塑料和氟氯化碳生产行业提供技术援助</w:t>
      </w:r>
      <w:r w:rsidRPr="00185135">
        <w:rPr>
          <w:rFonts w:hint="eastAsia"/>
          <w:lang w:val="en-CA"/>
        </w:rPr>
        <w:t>，</w:t>
      </w:r>
      <w:r w:rsidRPr="00185135">
        <w:rPr>
          <w:rFonts w:hint="eastAsia"/>
          <w:lang w:val="zh-CN"/>
        </w:rPr>
        <w:t>以确保随着市场的发展</w:t>
      </w:r>
      <w:r w:rsidRPr="00185135">
        <w:rPr>
          <w:rFonts w:hint="eastAsia"/>
          <w:lang w:val="en-CA"/>
        </w:rPr>
        <w:t>，</w:t>
      </w:r>
      <w:r w:rsidRPr="00185135">
        <w:rPr>
          <w:rFonts w:hint="eastAsia"/>
          <w:lang w:val="zh-CN"/>
        </w:rPr>
        <w:t>使用替代品的制造</w:t>
      </w:r>
      <w:r w:rsidR="00E04F95">
        <w:rPr>
          <w:rFonts w:hint="eastAsia"/>
          <w:lang w:val="zh-CN"/>
        </w:rPr>
        <w:t>厂家</w:t>
      </w:r>
      <w:r w:rsidRPr="00185135">
        <w:rPr>
          <w:rFonts w:hint="eastAsia"/>
          <w:lang w:val="zh-CN"/>
        </w:rPr>
        <w:t>和</w:t>
      </w:r>
      <w:r w:rsidR="00E04F95">
        <w:rPr>
          <w:rFonts w:hint="eastAsia"/>
          <w:lang w:val="zh-CN"/>
        </w:rPr>
        <w:t>生产</w:t>
      </w:r>
      <w:r w:rsidRPr="00185135">
        <w:rPr>
          <w:rFonts w:hint="eastAsia"/>
          <w:lang w:val="zh-CN"/>
        </w:rPr>
        <w:t>氟氯化碳替代品的</w:t>
      </w:r>
      <w:r w:rsidR="00E04F95">
        <w:rPr>
          <w:rFonts w:hint="eastAsia"/>
          <w:lang w:val="zh-CN"/>
        </w:rPr>
        <w:t>厂家</w:t>
      </w:r>
      <w:r w:rsidRPr="00185135">
        <w:rPr>
          <w:rFonts w:hint="eastAsia"/>
          <w:lang w:val="zh-CN"/>
        </w:rPr>
        <w:t>继续拥有</w:t>
      </w:r>
      <w:r w:rsidR="00E04F95">
        <w:rPr>
          <w:rFonts w:hint="eastAsia"/>
          <w:lang w:val="zh-CN"/>
        </w:rPr>
        <w:t>可以得到的</w:t>
      </w:r>
      <w:r w:rsidRPr="00185135">
        <w:rPr>
          <w:rFonts w:hint="eastAsia"/>
          <w:lang w:val="zh-CN"/>
        </w:rPr>
        <w:t>最佳技术选择。尤其</w:t>
      </w:r>
      <w:r w:rsidR="00E04F95">
        <w:rPr>
          <w:rFonts w:hint="eastAsia"/>
          <w:lang w:val="zh-CN"/>
        </w:rPr>
        <w:t>重要的是，目标在于</w:t>
      </w:r>
      <w:r w:rsidRPr="00185135">
        <w:rPr>
          <w:rFonts w:hint="eastAsia"/>
          <w:lang w:val="zh-CN"/>
        </w:rPr>
        <w:t>防止那些已经选用</w:t>
      </w:r>
      <w:r w:rsidR="00F42E47">
        <w:rPr>
          <w:rFonts w:hint="eastAsia"/>
          <w:lang w:val="zh-CN"/>
        </w:rPr>
        <w:t>ODS</w:t>
      </w:r>
      <w:r w:rsidRPr="00185135">
        <w:rPr>
          <w:rFonts w:hint="eastAsia"/>
          <w:lang w:val="zh-CN"/>
        </w:rPr>
        <w:t>替代品的企业</w:t>
      </w:r>
      <w:r w:rsidR="00E04F95">
        <w:rPr>
          <w:rFonts w:hint="eastAsia"/>
          <w:lang w:val="zh-CN"/>
        </w:rPr>
        <w:t>当</w:t>
      </w:r>
      <w:r w:rsidRPr="00185135">
        <w:rPr>
          <w:rFonts w:hint="eastAsia"/>
          <w:lang w:val="zh-CN"/>
        </w:rPr>
        <w:t>遇到其他替代品</w:t>
      </w:r>
      <w:r w:rsidR="00E04F95">
        <w:rPr>
          <w:rFonts w:hint="eastAsia"/>
          <w:lang w:val="zh-CN"/>
        </w:rPr>
        <w:t>引起</w:t>
      </w:r>
      <w:r w:rsidRPr="00185135">
        <w:rPr>
          <w:rFonts w:hint="eastAsia"/>
          <w:lang w:val="zh-CN"/>
        </w:rPr>
        <w:t>的挑战时违规使用氟氯烃。</w:t>
      </w:r>
      <w:r w:rsidRPr="00185135">
        <w:rPr>
          <w:lang w:val="en-CA"/>
        </w:rPr>
        <w:t xml:space="preserve"> </w:t>
      </w:r>
    </w:p>
    <w:p w14:paraId="59D99A43" w14:textId="55BB0C69" w:rsidR="00185135" w:rsidRPr="00185135" w:rsidRDefault="00185135" w:rsidP="00185135">
      <w:pPr>
        <w:numPr>
          <w:ilvl w:val="0"/>
          <w:numId w:val="20"/>
        </w:numPr>
        <w:tabs>
          <w:tab w:val="num" w:pos="0"/>
        </w:tabs>
        <w:spacing w:line="259" w:lineRule="auto"/>
        <w:ind w:left="0" w:firstLine="0"/>
        <w:jc w:val="both"/>
        <w:rPr>
          <w:lang w:val="en-CA"/>
        </w:rPr>
      </w:pPr>
      <w:r w:rsidRPr="00185135">
        <w:rPr>
          <w:rFonts w:hint="eastAsia"/>
          <w:lang w:val="zh-CN"/>
        </w:rPr>
        <w:t>过去四年</w:t>
      </w:r>
      <w:r w:rsidRPr="00185135">
        <w:rPr>
          <w:rFonts w:hint="eastAsia"/>
          <w:lang w:val="en-CA"/>
        </w:rPr>
        <w:t>，</w:t>
      </w:r>
      <w:r w:rsidRPr="00185135">
        <w:rPr>
          <w:rFonts w:hint="eastAsia"/>
          <w:lang w:val="zh-CN"/>
        </w:rPr>
        <w:t>溶剂行业计划支持进行</w:t>
      </w:r>
      <w:r w:rsidR="0087654B">
        <w:rPr>
          <w:rFonts w:hint="eastAsia"/>
          <w:lang w:val="zh-CN"/>
        </w:rPr>
        <w:t>了科研活动</w:t>
      </w:r>
      <w:r w:rsidRPr="00185135">
        <w:rPr>
          <w:rFonts w:hint="eastAsia"/>
          <w:lang w:val="zh-CN"/>
        </w:rPr>
        <w:t>和若干</w:t>
      </w:r>
      <w:r w:rsidR="0087654B">
        <w:rPr>
          <w:rFonts w:hint="eastAsia"/>
          <w:lang w:val="zh-CN"/>
        </w:rPr>
        <w:t>次</w:t>
      </w:r>
      <w:r w:rsidRPr="00185135">
        <w:rPr>
          <w:rFonts w:hint="eastAsia"/>
          <w:lang w:val="zh-CN"/>
        </w:rPr>
        <w:t>调研</w:t>
      </w:r>
      <w:r w:rsidRPr="00185135">
        <w:rPr>
          <w:rFonts w:hint="eastAsia"/>
          <w:lang w:val="en-CA"/>
        </w:rPr>
        <w:t>，</w:t>
      </w:r>
      <w:r w:rsidRPr="00185135">
        <w:rPr>
          <w:rFonts w:hint="eastAsia"/>
          <w:lang w:val="zh-CN"/>
        </w:rPr>
        <w:t>包括</w:t>
      </w:r>
      <w:r w:rsidR="0087654B">
        <w:rPr>
          <w:rFonts w:hint="eastAsia"/>
          <w:lang w:val="zh-CN"/>
        </w:rPr>
        <w:t>研发</w:t>
      </w:r>
      <w:r w:rsidRPr="00185135">
        <w:rPr>
          <w:rFonts w:hint="eastAsia"/>
          <w:lang w:val="zh-CN"/>
        </w:rPr>
        <w:t>零</w:t>
      </w:r>
      <w:r w:rsidR="0087654B">
        <w:rPr>
          <w:rFonts w:hint="eastAsia"/>
          <w:lang w:val="zh-CN"/>
        </w:rPr>
        <w:t>ODP</w:t>
      </w:r>
      <w:r w:rsidRPr="00185135">
        <w:rPr>
          <w:rFonts w:hint="eastAsia"/>
          <w:lang w:val="zh-CN"/>
        </w:rPr>
        <w:t>和低</w:t>
      </w:r>
      <w:r w:rsidR="0087654B">
        <w:rPr>
          <w:rFonts w:hint="eastAsia"/>
          <w:lang w:val="zh-CN"/>
        </w:rPr>
        <w:t>GWP</w:t>
      </w:r>
      <w:r w:rsidRPr="00185135">
        <w:rPr>
          <w:rFonts w:hint="eastAsia"/>
          <w:lang w:val="zh-CN"/>
        </w:rPr>
        <w:t>替代品。溶剂企业在淘汰</w:t>
      </w:r>
      <w:r w:rsidR="0087654B">
        <w:rPr>
          <w:rFonts w:hint="eastAsia"/>
          <w:lang w:val="zh-CN"/>
        </w:rPr>
        <w:t>活动</w:t>
      </w:r>
      <w:r w:rsidRPr="00185135">
        <w:rPr>
          <w:rFonts w:hint="eastAsia"/>
          <w:lang w:val="zh-CN"/>
        </w:rPr>
        <w:t>中</w:t>
      </w:r>
      <w:r w:rsidR="0087654B">
        <w:rPr>
          <w:rFonts w:hint="eastAsia"/>
          <w:lang w:val="zh-CN"/>
        </w:rPr>
        <w:t>选用了</w:t>
      </w:r>
      <w:r w:rsidRPr="00185135">
        <w:rPr>
          <w:rFonts w:hint="eastAsia"/>
          <w:lang w:val="zh-CN"/>
        </w:rPr>
        <w:t>两种新的替代品（碳氢化合物溶剂和无溶剂硅油）来</w:t>
      </w:r>
      <w:r w:rsidR="0087654B">
        <w:rPr>
          <w:rFonts w:hint="eastAsia"/>
          <w:lang w:val="zh-CN"/>
        </w:rPr>
        <w:t>取代</w:t>
      </w:r>
      <w:r w:rsidRPr="00185135">
        <w:rPr>
          <w:lang w:val="zh-CN"/>
        </w:rPr>
        <w:t>HCFC 141b</w:t>
      </w:r>
      <w:r w:rsidR="0087654B">
        <w:rPr>
          <w:rFonts w:hint="eastAsia"/>
          <w:lang w:val="zh-CN"/>
        </w:rPr>
        <w:t>。另有</w:t>
      </w:r>
      <w:r w:rsidRPr="00185135">
        <w:rPr>
          <w:rFonts w:hint="eastAsia"/>
          <w:lang w:val="zh-CN"/>
        </w:rPr>
        <w:t>三种替代品正处于为</w:t>
      </w:r>
      <w:r w:rsidR="0087654B">
        <w:rPr>
          <w:rFonts w:hint="eastAsia"/>
          <w:lang w:val="zh-CN"/>
        </w:rPr>
        <w:t>通过与派作</w:t>
      </w:r>
      <w:r w:rsidRPr="00185135">
        <w:rPr>
          <w:rFonts w:hint="eastAsia"/>
          <w:lang w:val="zh-CN"/>
        </w:rPr>
        <w:t>更多</w:t>
      </w:r>
      <w:r w:rsidR="0087654B">
        <w:rPr>
          <w:rFonts w:hint="eastAsia"/>
          <w:lang w:val="zh-CN"/>
        </w:rPr>
        <w:t>用途有关的</w:t>
      </w:r>
      <w:r w:rsidRPr="00185135">
        <w:rPr>
          <w:rFonts w:hint="eastAsia"/>
          <w:lang w:val="zh-CN"/>
        </w:rPr>
        <w:t>合格认证</w:t>
      </w:r>
      <w:r w:rsidR="0087654B">
        <w:rPr>
          <w:rFonts w:hint="eastAsia"/>
          <w:lang w:val="zh-CN"/>
        </w:rPr>
        <w:t>而进行准备</w:t>
      </w:r>
      <w:r w:rsidRPr="00185135">
        <w:rPr>
          <w:rFonts w:hint="eastAsia"/>
          <w:lang w:val="zh-CN"/>
        </w:rPr>
        <w:t>的阶段。进行</w:t>
      </w:r>
      <w:r w:rsidR="0087654B">
        <w:rPr>
          <w:rFonts w:hint="eastAsia"/>
          <w:lang w:val="zh-CN"/>
        </w:rPr>
        <w:t>上述科研</w:t>
      </w:r>
      <w:r w:rsidRPr="00185135">
        <w:rPr>
          <w:rFonts w:hint="eastAsia"/>
          <w:lang w:val="zh-CN"/>
        </w:rPr>
        <w:t>和调研的目的是为</w:t>
      </w:r>
      <w:r w:rsidR="0087654B">
        <w:rPr>
          <w:rFonts w:hint="eastAsia"/>
          <w:lang w:val="zh-CN"/>
        </w:rPr>
        <w:t>溶剂行业</w:t>
      </w:r>
      <w:r w:rsidRPr="00185135">
        <w:rPr>
          <w:rFonts w:hint="eastAsia"/>
          <w:lang w:val="zh-CN"/>
        </w:rPr>
        <w:t>提供可持续的技术解决方案，并</w:t>
      </w:r>
      <w:r w:rsidR="0087654B">
        <w:rPr>
          <w:rFonts w:hint="eastAsia"/>
          <w:lang w:val="zh-CN"/>
        </w:rPr>
        <w:t>争取防止企业在</w:t>
      </w:r>
      <w:r w:rsidRPr="00185135">
        <w:rPr>
          <w:rFonts w:hint="eastAsia"/>
          <w:lang w:val="zh-CN"/>
        </w:rPr>
        <w:t>遇到任何技术</w:t>
      </w:r>
      <w:r w:rsidR="0087654B">
        <w:rPr>
          <w:rFonts w:hint="eastAsia"/>
          <w:lang w:val="zh-CN"/>
        </w:rPr>
        <w:t>困难</w:t>
      </w:r>
      <w:r w:rsidRPr="00185135">
        <w:rPr>
          <w:rFonts w:hint="eastAsia"/>
          <w:lang w:val="zh-CN"/>
        </w:rPr>
        <w:t>时使用氟氯烃。</w:t>
      </w:r>
    </w:p>
    <w:p w14:paraId="50CE4F36" w14:textId="246D1741" w:rsidR="00311E1B" w:rsidRDefault="00185135" w:rsidP="00185135">
      <w:pPr>
        <w:numPr>
          <w:ilvl w:val="0"/>
          <w:numId w:val="20"/>
        </w:numPr>
        <w:spacing w:line="259" w:lineRule="auto"/>
        <w:ind w:left="0" w:firstLine="0"/>
        <w:jc w:val="both"/>
        <w:rPr>
          <w:bCs/>
        </w:rPr>
      </w:pPr>
      <w:r w:rsidRPr="00457E6E">
        <w:rPr>
          <w:rFonts w:hint="eastAsia"/>
          <w:lang w:val="zh-CN"/>
        </w:rPr>
        <w:t>聚氨酯泡沫塑料行业的进度报告包括已经完成的研究</w:t>
      </w:r>
      <w:r w:rsidR="0087654B">
        <w:rPr>
          <w:rFonts w:hint="eastAsia"/>
          <w:lang w:val="zh-CN"/>
        </w:rPr>
        <w:t>报告</w:t>
      </w:r>
      <w:r w:rsidRPr="00457E6E">
        <w:rPr>
          <w:rFonts w:hint="eastAsia"/>
          <w:lang w:val="zh-CN"/>
        </w:rPr>
        <w:t>的相关</w:t>
      </w:r>
      <w:r w:rsidR="0087654B">
        <w:rPr>
          <w:rFonts w:hint="eastAsia"/>
          <w:lang w:val="zh-CN"/>
        </w:rPr>
        <w:t>摘录</w:t>
      </w:r>
      <w:r w:rsidRPr="00457E6E">
        <w:rPr>
          <w:rFonts w:hint="eastAsia"/>
          <w:lang w:val="en-CA"/>
        </w:rPr>
        <w:t>，</w:t>
      </w:r>
      <w:r w:rsidRPr="00457E6E">
        <w:rPr>
          <w:rFonts w:hint="eastAsia"/>
          <w:lang w:val="zh-CN"/>
        </w:rPr>
        <w:t>主要是关于替代品</w:t>
      </w:r>
      <w:r w:rsidR="0087654B">
        <w:rPr>
          <w:rFonts w:hint="eastAsia"/>
          <w:lang w:val="zh-CN"/>
        </w:rPr>
        <w:t>性能的摘录</w:t>
      </w:r>
      <w:r w:rsidRPr="00457E6E">
        <w:rPr>
          <w:rFonts w:hint="eastAsia"/>
          <w:lang w:val="zh-CN"/>
        </w:rPr>
        <w:t>。</w:t>
      </w:r>
      <w:r w:rsidR="0087654B" w:rsidRPr="00457E6E">
        <w:rPr>
          <w:rFonts w:hint="eastAsia"/>
          <w:lang w:val="zh-CN"/>
        </w:rPr>
        <w:t>秘书处</w:t>
      </w:r>
      <w:r w:rsidRPr="00457E6E">
        <w:rPr>
          <w:rFonts w:hint="eastAsia"/>
          <w:lang w:val="zh-CN"/>
        </w:rPr>
        <w:t>考虑到这些研究是在多边基金援助下进行的，</w:t>
      </w:r>
      <w:r w:rsidR="0087654B">
        <w:rPr>
          <w:rFonts w:hint="eastAsia"/>
          <w:lang w:val="zh-CN"/>
        </w:rPr>
        <w:t>请求</w:t>
      </w:r>
      <w:r w:rsidRPr="00457E6E">
        <w:rPr>
          <w:rFonts w:hint="eastAsia"/>
          <w:lang w:val="zh-CN"/>
        </w:rPr>
        <w:t>提供所有行业的研究活动的完成报告，以考虑如何传播这些研究结果。</w:t>
      </w:r>
      <w:r w:rsidR="00B25A4D">
        <w:rPr>
          <w:rFonts w:hint="eastAsia"/>
          <w:lang w:val="zh-CN"/>
        </w:rPr>
        <w:t>FECO</w:t>
      </w:r>
      <w:r w:rsidRPr="00457E6E">
        <w:rPr>
          <w:rFonts w:hint="eastAsia"/>
          <w:lang w:val="zh-CN"/>
        </w:rPr>
        <w:t>注意到秘书处</w:t>
      </w:r>
      <w:r w:rsidR="0087654B">
        <w:rPr>
          <w:rFonts w:hint="eastAsia"/>
          <w:lang w:val="zh-CN"/>
        </w:rPr>
        <w:t>请求</w:t>
      </w:r>
      <w:r w:rsidRPr="00457E6E">
        <w:rPr>
          <w:rFonts w:hint="eastAsia"/>
          <w:lang w:val="zh-CN"/>
        </w:rPr>
        <w:t>提交相关报告，表示将与各机构联系，确认</w:t>
      </w:r>
      <w:r w:rsidR="0087654B">
        <w:rPr>
          <w:rFonts w:hint="eastAsia"/>
          <w:lang w:val="zh-CN"/>
        </w:rPr>
        <w:t>报告中</w:t>
      </w:r>
      <w:r w:rsidRPr="00457E6E">
        <w:rPr>
          <w:rFonts w:hint="eastAsia"/>
          <w:lang w:val="zh-CN"/>
        </w:rPr>
        <w:t>是否存在无法披露的机密信息。</w:t>
      </w:r>
      <w:r w:rsidRPr="0087654B">
        <w:rPr>
          <w:rFonts w:hint="eastAsia"/>
          <w:bCs/>
          <w:lang w:val="zh-CN"/>
        </w:rPr>
        <w:t>其中一些报告已经提交</w:t>
      </w:r>
      <w:r w:rsidR="0087654B" w:rsidRPr="0087654B">
        <w:rPr>
          <w:rFonts w:hint="eastAsia"/>
          <w:bCs/>
          <w:lang w:val="zh-CN"/>
        </w:rPr>
        <w:t>多边</w:t>
      </w:r>
      <w:r w:rsidRPr="0087654B">
        <w:rPr>
          <w:rFonts w:hint="eastAsia"/>
          <w:bCs/>
          <w:lang w:val="zh-CN"/>
        </w:rPr>
        <w:t>基金秘书处，另一些报告正在定稿。</w:t>
      </w:r>
      <w:r w:rsidR="00311E1B" w:rsidRPr="0087654B">
        <w:rPr>
          <w:rFonts w:hint="eastAsia"/>
          <w:bCs/>
        </w:rPr>
        <w:t xml:space="preserve"> </w:t>
      </w:r>
    </w:p>
    <w:p w14:paraId="0821E951" w14:textId="1E5EEE66" w:rsidR="0087654B" w:rsidRPr="00C006C5" w:rsidRDefault="00C006C5" w:rsidP="00C006C5">
      <w:pPr>
        <w:pStyle w:val="Heading1"/>
        <w:spacing w:line="259" w:lineRule="auto"/>
        <w:ind w:left="1267" w:hanging="1267"/>
        <w:rPr>
          <w:rFonts w:hint="eastAsia"/>
          <w:lang w:val="en-GB"/>
        </w:rPr>
      </w:pPr>
      <w:r w:rsidRPr="00457E6E">
        <w:rPr>
          <w:rFonts w:hint="eastAsia"/>
          <w:lang w:val="en-GB"/>
        </w:rPr>
        <w:t>建议</w:t>
      </w:r>
    </w:p>
    <w:p w14:paraId="00931B3C" w14:textId="77777777" w:rsidR="00BB7E91" w:rsidRPr="00BB7E91" w:rsidRDefault="00BB7E91" w:rsidP="00BB7E91">
      <w:pPr>
        <w:numPr>
          <w:ilvl w:val="0"/>
          <w:numId w:val="20"/>
        </w:numPr>
        <w:tabs>
          <w:tab w:val="num" w:pos="0"/>
        </w:tabs>
        <w:spacing w:line="259" w:lineRule="auto"/>
        <w:ind w:left="0" w:firstLine="0"/>
        <w:jc w:val="both"/>
        <w:rPr>
          <w:bCs/>
          <w:lang w:val="en-CA"/>
        </w:rPr>
      </w:pPr>
      <w:r w:rsidRPr="00BB7E91">
        <w:rPr>
          <w:rFonts w:hint="eastAsia"/>
          <w:bCs/>
          <w:lang w:val="zh-CN"/>
        </w:rPr>
        <w:t>谨建议执行委员会：</w:t>
      </w:r>
    </w:p>
    <w:p w14:paraId="26888226" w14:textId="08B9238C" w:rsidR="00BB7E91" w:rsidRPr="00BB7E91" w:rsidRDefault="00E12DF2" w:rsidP="00BB7E91">
      <w:pPr>
        <w:tabs>
          <w:tab w:val="num" w:pos="0"/>
        </w:tabs>
        <w:spacing w:line="259" w:lineRule="auto"/>
        <w:ind w:left="980" w:hanging="490"/>
        <w:jc w:val="both"/>
      </w:pPr>
      <w:r>
        <w:rPr>
          <w:rFonts w:hint="eastAsia"/>
        </w:rPr>
        <w:t>(</w:t>
      </w:r>
      <w:r>
        <w:t>a)</w:t>
      </w:r>
      <w:r>
        <w:tab/>
      </w:r>
      <w:r w:rsidR="00BB7E91" w:rsidRPr="00BB7E91">
        <w:rPr>
          <w:rFonts w:hint="eastAsia"/>
        </w:rPr>
        <w:t>注意到：</w:t>
      </w:r>
    </w:p>
    <w:bookmarkStart w:id="8" w:name="_Hlk24963931"/>
    <w:p w14:paraId="5DF5ABDE" w14:textId="43582E82" w:rsidR="00BB7E91" w:rsidRPr="00BB7E91" w:rsidRDefault="00E12DF2" w:rsidP="00E12DF2">
      <w:pPr>
        <w:tabs>
          <w:tab w:val="num" w:pos="0"/>
        </w:tabs>
        <w:spacing w:line="259" w:lineRule="auto"/>
        <w:ind w:left="1469" w:hanging="490"/>
        <w:jc w:val="both"/>
        <w:rPr>
          <w:lang w:val="zh-CN"/>
        </w:rPr>
      </w:pPr>
      <w:r w:rsidRPr="00E12DF2">
        <w:fldChar w:fldCharType="begin"/>
      </w:r>
      <w:r w:rsidRPr="00E12DF2">
        <w:instrText xml:space="preserve"> = 1 \* GB4 </w:instrText>
      </w:r>
      <w:r w:rsidRPr="00E12DF2">
        <w:fldChar w:fldCharType="separate"/>
      </w:r>
      <w:r w:rsidRPr="00E12DF2">
        <w:t>㈠</w:t>
      </w:r>
      <w:r w:rsidRPr="00E12DF2">
        <w:rPr>
          <w:lang w:val="zh-CN"/>
        </w:rPr>
        <w:fldChar w:fldCharType="end"/>
      </w:r>
      <w:bookmarkEnd w:id="8"/>
      <w:r>
        <w:rPr>
          <w:lang w:val="zh-CN"/>
        </w:rPr>
        <w:tab/>
      </w:r>
      <w:r w:rsidR="00BB7E91" w:rsidRPr="00BB7E91">
        <w:rPr>
          <w:rFonts w:hint="eastAsia"/>
          <w:lang w:val="zh-CN"/>
        </w:rPr>
        <w:t>赞赏地注意到</w:t>
      </w:r>
      <w:r w:rsidR="00BB7E91" w:rsidRPr="00BB7E91">
        <w:rPr>
          <w:lang w:val="zh-CN"/>
        </w:rPr>
        <w:t>UNEP/OzL.Pro/ExCom/8</w:t>
      </w:r>
      <w:r>
        <w:rPr>
          <w:lang w:val="zh-CN"/>
        </w:rPr>
        <w:t>4</w:t>
      </w:r>
      <w:r w:rsidR="00BB7E91" w:rsidRPr="00BB7E91">
        <w:rPr>
          <w:lang w:val="zh-CN"/>
        </w:rPr>
        <w:t>/</w:t>
      </w:r>
      <w:r>
        <w:rPr>
          <w:lang w:val="zh-CN"/>
        </w:rPr>
        <w:t>22</w:t>
      </w:r>
      <w:r w:rsidR="00BB7E91" w:rsidRPr="00BB7E91">
        <w:rPr>
          <w:lang w:val="zh-CN"/>
        </w:rPr>
        <w:t>/Add.1</w:t>
      </w:r>
      <w:r w:rsidR="00BB7E91" w:rsidRPr="00BB7E91">
        <w:rPr>
          <w:rFonts w:hint="eastAsia"/>
          <w:lang w:val="zh-CN"/>
        </w:rPr>
        <w:t>号文件所载中国氟氯化碳生产、哈龙、聚氨酯泡沫塑料、二类加工剂和维修行业的财务审计报告；</w:t>
      </w:r>
    </w:p>
    <w:bookmarkStart w:id="9" w:name="_Hlk9352299"/>
    <w:p w14:paraId="34CF549B" w14:textId="4738CF4B" w:rsidR="00BB7E91" w:rsidRPr="00BB7E91" w:rsidRDefault="00E12DF2" w:rsidP="00E12DF2">
      <w:pPr>
        <w:tabs>
          <w:tab w:val="num" w:pos="0"/>
        </w:tabs>
        <w:spacing w:line="259" w:lineRule="auto"/>
        <w:ind w:left="1469" w:hanging="490"/>
        <w:jc w:val="both"/>
        <w:rPr>
          <w:lang w:val="zh-CN"/>
        </w:rPr>
      </w:pPr>
      <w:r w:rsidRPr="00E12DF2">
        <w:fldChar w:fldCharType="begin"/>
      </w:r>
      <w:r w:rsidRPr="00E12DF2">
        <w:instrText xml:space="preserve"> = 2 \* GB4 </w:instrText>
      </w:r>
      <w:r w:rsidRPr="00E12DF2">
        <w:fldChar w:fldCharType="separate"/>
      </w:r>
      <w:r w:rsidRPr="00E12DF2">
        <w:t>㈡</w:t>
      </w:r>
      <w:r w:rsidRPr="00E12DF2">
        <w:rPr>
          <w:lang w:val="zh-CN"/>
        </w:rPr>
        <w:fldChar w:fldCharType="end"/>
      </w:r>
      <w:bookmarkEnd w:id="9"/>
      <w:r>
        <w:rPr>
          <w:lang w:val="zh-CN"/>
        </w:rPr>
        <w:tab/>
      </w:r>
      <w:r w:rsidR="00BB7E91" w:rsidRPr="00BB7E91">
        <w:rPr>
          <w:rFonts w:hint="eastAsia"/>
          <w:lang w:val="zh-CN"/>
        </w:rPr>
        <w:t>与每个行业计划相关的</w:t>
      </w:r>
      <w:r>
        <w:rPr>
          <w:rFonts w:hint="eastAsia"/>
          <w:lang w:val="zh-CN"/>
        </w:rPr>
        <w:t>资金</w:t>
      </w:r>
      <w:r w:rsidR="00BB7E91" w:rsidRPr="00BB7E91">
        <w:rPr>
          <w:rFonts w:hint="eastAsia"/>
          <w:lang w:val="zh-CN"/>
        </w:rPr>
        <w:t>余额到</w:t>
      </w:r>
      <w:r w:rsidR="00BB7E91" w:rsidRPr="00BB7E91">
        <w:rPr>
          <w:lang w:val="zh-CN"/>
        </w:rPr>
        <w:t>2019</w:t>
      </w:r>
      <w:r w:rsidR="00BB7E91" w:rsidRPr="00BB7E91">
        <w:rPr>
          <w:rFonts w:hint="eastAsia"/>
          <w:lang w:val="zh-CN"/>
        </w:rPr>
        <w:t>年</w:t>
      </w:r>
      <w:r>
        <w:rPr>
          <w:rFonts w:hint="eastAsia"/>
          <w:lang w:val="zh-CN"/>
        </w:rPr>
        <w:t>6</w:t>
      </w:r>
      <w:r w:rsidR="00BB7E91" w:rsidRPr="00BB7E91">
        <w:rPr>
          <w:rFonts w:hint="eastAsia"/>
          <w:lang w:val="zh-CN"/>
        </w:rPr>
        <w:t>月仍未</w:t>
      </w:r>
      <w:r>
        <w:rPr>
          <w:rFonts w:hint="eastAsia"/>
          <w:lang w:val="zh-CN"/>
        </w:rPr>
        <w:t>全部</w:t>
      </w:r>
      <w:r w:rsidR="00BB7E91" w:rsidRPr="00BB7E91">
        <w:rPr>
          <w:rFonts w:hint="eastAsia"/>
          <w:lang w:val="zh-CN"/>
        </w:rPr>
        <w:t>发放；</w:t>
      </w:r>
    </w:p>
    <w:bookmarkStart w:id="10" w:name="_Hlk9353282"/>
    <w:p w14:paraId="10ED7E27" w14:textId="14ADDAF2" w:rsidR="00BB7E91" w:rsidRPr="00BB7E91" w:rsidRDefault="00E12DF2" w:rsidP="00E12DF2">
      <w:pPr>
        <w:tabs>
          <w:tab w:val="num" w:pos="0"/>
        </w:tabs>
        <w:spacing w:line="259" w:lineRule="auto"/>
        <w:ind w:left="1469" w:hanging="490"/>
        <w:jc w:val="both"/>
        <w:rPr>
          <w:lang w:val="zh-CN"/>
        </w:rPr>
      </w:pPr>
      <w:r w:rsidRPr="00E12DF2">
        <w:fldChar w:fldCharType="begin"/>
      </w:r>
      <w:r w:rsidRPr="00E12DF2">
        <w:instrText xml:space="preserve"> = 3 \* GB4 </w:instrText>
      </w:r>
      <w:r w:rsidRPr="00E12DF2">
        <w:fldChar w:fldCharType="separate"/>
      </w:r>
      <w:r w:rsidRPr="00E12DF2">
        <w:t>㈢</w:t>
      </w:r>
      <w:r w:rsidRPr="00E12DF2">
        <w:rPr>
          <w:lang w:val="zh-CN"/>
        </w:rPr>
        <w:fldChar w:fldCharType="end"/>
      </w:r>
      <w:bookmarkEnd w:id="10"/>
      <w:r>
        <w:rPr>
          <w:lang w:val="zh-CN"/>
        </w:rPr>
        <w:tab/>
      </w:r>
      <w:r w:rsidR="00BB7E91" w:rsidRPr="00BB7E91">
        <w:rPr>
          <w:rFonts w:hint="eastAsia"/>
          <w:lang w:val="zh-CN"/>
        </w:rPr>
        <w:t>中国政府已经确认</w:t>
      </w:r>
      <w:r>
        <w:rPr>
          <w:rFonts w:hint="eastAsia"/>
          <w:lang w:val="zh-CN"/>
        </w:rPr>
        <w:t>，</w:t>
      </w:r>
      <w:r w:rsidR="00BB7E91" w:rsidRPr="00BB7E91">
        <w:rPr>
          <w:rFonts w:hint="eastAsia"/>
          <w:lang w:val="zh-CN"/>
        </w:rPr>
        <w:t>氟氯化碳生产、聚氨酯泡沫塑料、溶剂和维修行业计划都</w:t>
      </w:r>
      <w:r>
        <w:rPr>
          <w:rFonts w:hint="eastAsia"/>
          <w:lang w:val="zh-CN"/>
        </w:rPr>
        <w:t>最迟</w:t>
      </w:r>
      <w:r w:rsidR="00BB7E91" w:rsidRPr="00BB7E91">
        <w:rPr>
          <w:rFonts w:hint="eastAsia"/>
          <w:lang w:val="zh-CN"/>
        </w:rPr>
        <w:t>将在</w:t>
      </w:r>
      <w:r w:rsidR="00BB7E91" w:rsidRPr="00BB7E91">
        <w:rPr>
          <w:b/>
          <w:bCs/>
          <w:lang w:val="zh-CN"/>
        </w:rPr>
        <w:t>2019</w:t>
      </w:r>
      <w:r w:rsidR="00BB7E91" w:rsidRPr="00BB7E91">
        <w:rPr>
          <w:rFonts w:hint="eastAsia"/>
          <w:b/>
          <w:bCs/>
          <w:lang w:val="zh-CN"/>
        </w:rPr>
        <w:t>年</w:t>
      </w:r>
      <w:r w:rsidRPr="00E12DF2">
        <w:rPr>
          <w:rFonts w:hint="eastAsia"/>
          <w:b/>
          <w:bCs/>
          <w:lang w:val="zh-CN"/>
        </w:rPr>
        <w:t>12</w:t>
      </w:r>
      <w:r w:rsidRPr="00E12DF2">
        <w:rPr>
          <w:rFonts w:hint="eastAsia"/>
          <w:b/>
          <w:bCs/>
          <w:lang w:val="zh-CN"/>
        </w:rPr>
        <w:t>月</w:t>
      </w:r>
      <w:r w:rsidR="00BB7E91" w:rsidRPr="00BB7E91">
        <w:rPr>
          <w:rFonts w:hint="eastAsia"/>
          <w:lang w:val="zh-CN"/>
        </w:rPr>
        <w:t>完成</w:t>
      </w:r>
      <w:r>
        <w:rPr>
          <w:rFonts w:hint="eastAsia"/>
          <w:lang w:val="zh-CN"/>
        </w:rPr>
        <w:t>和</w:t>
      </w:r>
      <w:r w:rsidR="00BB7E91" w:rsidRPr="00BB7E91">
        <w:rPr>
          <w:rFonts w:hint="eastAsia"/>
          <w:lang w:val="zh-CN"/>
        </w:rPr>
        <w:t>发放相关余额；</w:t>
      </w:r>
    </w:p>
    <w:p w14:paraId="020D485B" w14:textId="6CB53261" w:rsidR="00BB7E91" w:rsidRPr="00BB7E91" w:rsidRDefault="00E12DF2" w:rsidP="00E12DF2">
      <w:pPr>
        <w:tabs>
          <w:tab w:val="num" w:pos="0"/>
        </w:tabs>
        <w:spacing w:line="259" w:lineRule="auto"/>
        <w:ind w:left="980" w:hanging="490"/>
        <w:jc w:val="both"/>
      </w:pPr>
      <w:r>
        <w:rPr>
          <w:rFonts w:hint="eastAsia"/>
        </w:rPr>
        <w:t>(</w:t>
      </w:r>
      <w:r>
        <w:t>b)</w:t>
      </w:r>
      <w:r>
        <w:tab/>
      </w:r>
      <w:r w:rsidR="00BB7E91" w:rsidRPr="00BB7E91">
        <w:rPr>
          <w:rFonts w:hint="eastAsia"/>
        </w:rPr>
        <w:t>同意将二类加工剂和哈龙行业计划分别延长至</w:t>
      </w:r>
      <w:r w:rsidR="00BB7E91" w:rsidRPr="00BB7E91">
        <w:t>2020</w:t>
      </w:r>
      <w:r w:rsidR="00BB7E91" w:rsidRPr="00BB7E91">
        <w:rPr>
          <w:rFonts w:hint="eastAsia"/>
        </w:rPr>
        <w:t>年和</w:t>
      </w:r>
      <w:r w:rsidR="00BB7E91" w:rsidRPr="00BB7E91">
        <w:t>2022</w:t>
      </w:r>
      <w:r w:rsidR="00BB7E91" w:rsidRPr="00BB7E91">
        <w:rPr>
          <w:rFonts w:hint="eastAsia"/>
        </w:rPr>
        <w:t>年；</w:t>
      </w:r>
    </w:p>
    <w:p w14:paraId="529D88A6" w14:textId="0310D167" w:rsidR="00BB7E91" w:rsidRPr="00BB7E91" w:rsidRDefault="00E12DF2" w:rsidP="00E12DF2">
      <w:pPr>
        <w:tabs>
          <w:tab w:val="num" w:pos="0"/>
        </w:tabs>
        <w:spacing w:line="259" w:lineRule="auto"/>
        <w:ind w:left="980" w:hanging="490"/>
        <w:jc w:val="both"/>
      </w:pPr>
      <w:r>
        <w:rPr>
          <w:rFonts w:hint="eastAsia"/>
        </w:rPr>
        <w:t>(</w:t>
      </w:r>
      <w:r>
        <w:t>c)</w:t>
      </w:r>
      <w:r>
        <w:tab/>
      </w:r>
      <w:r w:rsidR="00DD3FE0">
        <w:rPr>
          <w:rFonts w:hint="eastAsia"/>
        </w:rPr>
        <w:t>请</w:t>
      </w:r>
      <w:r w:rsidR="00DD3FE0" w:rsidRPr="00BB7E91">
        <w:rPr>
          <w:rFonts w:hint="eastAsia"/>
        </w:rPr>
        <w:t>中国政府</w:t>
      </w:r>
      <w:r w:rsidR="00BB7E91" w:rsidRPr="00BB7E91">
        <w:rPr>
          <w:rFonts w:hint="eastAsia"/>
        </w:rPr>
        <w:t>通过相关执行机构：</w:t>
      </w:r>
    </w:p>
    <w:p w14:paraId="00902DFD" w14:textId="436A27D0" w:rsidR="00BB7E91" w:rsidRPr="00BB7E91" w:rsidRDefault="00E12DF2" w:rsidP="00E12DF2">
      <w:pPr>
        <w:spacing w:line="259" w:lineRule="auto"/>
        <w:ind w:left="1469" w:hanging="490"/>
        <w:jc w:val="both"/>
        <w:rPr>
          <w:b/>
          <w:bCs/>
          <w:lang w:val="en-CA"/>
        </w:rPr>
      </w:pPr>
      <w:r w:rsidRPr="00864A07">
        <w:rPr>
          <w:rFonts w:cs="Times New Roman"/>
          <w:b/>
          <w:bCs/>
          <w:szCs w:val="24"/>
        </w:rPr>
        <w:fldChar w:fldCharType="begin"/>
      </w:r>
      <w:r w:rsidRPr="00864A07">
        <w:rPr>
          <w:rFonts w:cs="Times New Roman"/>
          <w:b/>
          <w:bCs/>
          <w:szCs w:val="24"/>
        </w:rPr>
        <w:instrText xml:space="preserve"> = 1 \* GB4 </w:instrText>
      </w:r>
      <w:r w:rsidRPr="00864A07">
        <w:rPr>
          <w:rFonts w:cs="Times New Roman"/>
          <w:b/>
          <w:bCs/>
          <w:szCs w:val="24"/>
        </w:rPr>
        <w:fldChar w:fldCharType="separate"/>
      </w:r>
      <w:r w:rsidRPr="00864A07">
        <w:rPr>
          <w:rFonts w:cs="Times New Roman"/>
          <w:b/>
          <w:bCs/>
          <w:noProof/>
          <w:szCs w:val="24"/>
        </w:rPr>
        <w:t>㈠</w:t>
      </w:r>
      <w:r w:rsidRPr="00864A07">
        <w:rPr>
          <w:rFonts w:cs="Times New Roman"/>
          <w:b/>
          <w:bCs/>
          <w:szCs w:val="24"/>
        </w:rPr>
        <w:fldChar w:fldCharType="end"/>
      </w:r>
      <w:r w:rsidRPr="00864A07">
        <w:rPr>
          <w:rFonts w:cs="Times New Roman"/>
          <w:b/>
          <w:bCs/>
          <w:szCs w:val="24"/>
        </w:rPr>
        <w:tab/>
      </w:r>
      <w:r w:rsidR="00BB7E91" w:rsidRPr="00BB7E91">
        <w:rPr>
          <w:rFonts w:hint="eastAsia"/>
          <w:b/>
          <w:bCs/>
          <w:lang w:val="zh-CN"/>
        </w:rPr>
        <w:t>向</w:t>
      </w:r>
      <w:r w:rsidR="00145E9C" w:rsidRPr="00864A07">
        <w:rPr>
          <w:rFonts w:hint="eastAsia"/>
          <w:b/>
          <w:bCs/>
          <w:lang w:val="en-CA"/>
        </w:rPr>
        <w:t>第八十五次</w:t>
      </w:r>
      <w:r w:rsidR="00BB7E91" w:rsidRPr="00BB7E91">
        <w:rPr>
          <w:rFonts w:hint="eastAsia"/>
          <w:b/>
          <w:bCs/>
          <w:lang w:val="zh-CN"/>
        </w:rPr>
        <w:t>会议提交截至</w:t>
      </w:r>
      <w:r w:rsidR="00BB7E91" w:rsidRPr="00BB7E91">
        <w:rPr>
          <w:b/>
          <w:bCs/>
          <w:lang w:val="en-CA"/>
        </w:rPr>
        <w:t>2019</w:t>
      </w:r>
      <w:r w:rsidR="00BB7E91" w:rsidRPr="00BB7E91">
        <w:rPr>
          <w:rFonts w:hint="eastAsia"/>
          <w:b/>
          <w:bCs/>
          <w:lang w:val="zh-CN"/>
        </w:rPr>
        <w:t>年</w:t>
      </w:r>
      <w:r w:rsidR="00BB7E91" w:rsidRPr="00BB7E91">
        <w:rPr>
          <w:b/>
          <w:bCs/>
          <w:lang w:val="en-CA"/>
        </w:rPr>
        <w:t>12</w:t>
      </w:r>
      <w:r w:rsidR="00BB7E91" w:rsidRPr="00BB7E91">
        <w:rPr>
          <w:rFonts w:hint="eastAsia"/>
          <w:b/>
          <w:bCs/>
          <w:lang w:val="zh-CN"/>
        </w:rPr>
        <w:t>月</w:t>
      </w:r>
      <w:r w:rsidR="00145E9C" w:rsidRPr="00864A07">
        <w:rPr>
          <w:rFonts w:hint="eastAsia"/>
          <w:b/>
          <w:bCs/>
          <w:lang w:val="zh-CN"/>
        </w:rPr>
        <w:t>的</w:t>
      </w:r>
      <w:r w:rsidR="00BB7E91" w:rsidRPr="00BB7E91">
        <w:rPr>
          <w:rFonts w:hint="eastAsia"/>
          <w:b/>
          <w:bCs/>
          <w:lang w:val="zh-CN"/>
        </w:rPr>
        <w:t>氟氯化碳生产、哈龙、二类加工剂、聚氨酯泡沫塑料、溶剂和氟氯化碳制冷维修行业财务审计报告</w:t>
      </w:r>
      <w:r w:rsidR="00BB7E91" w:rsidRPr="00BB7E91">
        <w:rPr>
          <w:rFonts w:hint="eastAsia"/>
          <w:b/>
          <w:bCs/>
          <w:lang w:val="en-CA"/>
        </w:rPr>
        <w:t>，</w:t>
      </w:r>
      <w:r w:rsidR="00145E9C" w:rsidRPr="00864A07">
        <w:rPr>
          <w:rFonts w:hint="eastAsia"/>
          <w:b/>
          <w:bCs/>
          <w:lang w:val="en-CA"/>
        </w:rPr>
        <w:t>并提交</w:t>
      </w:r>
      <w:r w:rsidR="00BB7E91" w:rsidRPr="00BB7E91">
        <w:rPr>
          <w:rFonts w:hint="eastAsia"/>
          <w:b/>
          <w:bCs/>
          <w:lang w:val="zh-CN"/>
        </w:rPr>
        <w:t>氟氯化碳生产、聚氨酯泡沫</w:t>
      </w:r>
      <w:r w:rsidR="00145E9C" w:rsidRPr="00864A07">
        <w:rPr>
          <w:rFonts w:hint="eastAsia"/>
          <w:b/>
          <w:bCs/>
          <w:lang w:val="zh-CN"/>
        </w:rPr>
        <w:t>塑料</w:t>
      </w:r>
      <w:r w:rsidR="00BB7E91" w:rsidRPr="00BB7E91">
        <w:rPr>
          <w:rFonts w:hint="eastAsia"/>
          <w:b/>
          <w:bCs/>
          <w:lang w:val="zh-CN"/>
        </w:rPr>
        <w:t>、溶剂和维修行业的项目完成报告</w:t>
      </w:r>
      <w:r w:rsidR="00BB7E91" w:rsidRPr="00BB7E91">
        <w:rPr>
          <w:rFonts w:hint="eastAsia"/>
          <w:b/>
          <w:bCs/>
          <w:lang w:val="en-CA"/>
        </w:rPr>
        <w:t>；</w:t>
      </w:r>
    </w:p>
    <w:p w14:paraId="3640F9AF" w14:textId="26E2F3CA" w:rsidR="00BB7E91" w:rsidRPr="00BB7E91" w:rsidRDefault="00E12DF2" w:rsidP="00E12DF2">
      <w:pPr>
        <w:spacing w:line="259" w:lineRule="auto"/>
        <w:ind w:left="1469" w:hanging="490"/>
        <w:jc w:val="both"/>
        <w:rPr>
          <w:b/>
          <w:bCs/>
          <w:lang w:val="en-CA"/>
        </w:rPr>
      </w:pPr>
      <w:r w:rsidRPr="00864A07">
        <w:rPr>
          <w:rFonts w:cs="Times New Roman"/>
          <w:b/>
          <w:bCs/>
          <w:szCs w:val="24"/>
        </w:rPr>
        <w:fldChar w:fldCharType="begin"/>
      </w:r>
      <w:r w:rsidRPr="00864A07">
        <w:rPr>
          <w:rFonts w:cs="Times New Roman"/>
          <w:b/>
          <w:bCs/>
          <w:szCs w:val="24"/>
        </w:rPr>
        <w:instrText xml:space="preserve"> = 2 \* GB4 </w:instrText>
      </w:r>
      <w:r w:rsidRPr="00864A07">
        <w:rPr>
          <w:rFonts w:cs="Times New Roman"/>
          <w:b/>
          <w:bCs/>
          <w:szCs w:val="24"/>
        </w:rPr>
        <w:fldChar w:fldCharType="separate"/>
      </w:r>
      <w:r w:rsidRPr="00864A07">
        <w:rPr>
          <w:rFonts w:cs="Times New Roman"/>
          <w:b/>
          <w:bCs/>
          <w:noProof/>
          <w:szCs w:val="24"/>
        </w:rPr>
        <w:t>㈡</w:t>
      </w:r>
      <w:r w:rsidRPr="00864A07">
        <w:rPr>
          <w:rFonts w:cs="Times New Roman"/>
          <w:b/>
          <w:bCs/>
          <w:szCs w:val="24"/>
        </w:rPr>
        <w:fldChar w:fldCharType="end"/>
      </w:r>
      <w:r w:rsidR="00145E9C" w:rsidRPr="00864A07">
        <w:rPr>
          <w:rFonts w:cs="Times New Roman"/>
          <w:b/>
          <w:bCs/>
          <w:szCs w:val="24"/>
        </w:rPr>
        <w:tab/>
      </w:r>
      <w:r w:rsidR="00BB7E91" w:rsidRPr="00BB7E91">
        <w:rPr>
          <w:rFonts w:hint="eastAsia"/>
          <w:b/>
          <w:bCs/>
          <w:lang w:val="zh-CN"/>
        </w:rPr>
        <w:t>在</w:t>
      </w:r>
      <w:r w:rsidR="00145E9C" w:rsidRPr="00864A07">
        <w:rPr>
          <w:rFonts w:hint="eastAsia"/>
          <w:b/>
          <w:bCs/>
          <w:lang w:val="en-CA"/>
        </w:rPr>
        <w:t>第八十五次</w:t>
      </w:r>
      <w:r w:rsidR="00BB7E91" w:rsidRPr="00BB7E91">
        <w:rPr>
          <w:rFonts w:hint="eastAsia"/>
          <w:b/>
          <w:bCs/>
          <w:lang w:val="zh-CN"/>
        </w:rPr>
        <w:t>会议将氟氯化碳生产、聚氨酯泡沫塑料、溶剂和维修行业的任何</w:t>
      </w:r>
      <w:r w:rsidR="00145E9C" w:rsidRPr="00864A07">
        <w:rPr>
          <w:rFonts w:hint="eastAsia"/>
          <w:b/>
          <w:bCs/>
          <w:lang w:val="zh-CN"/>
        </w:rPr>
        <w:t>相关资金</w:t>
      </w:r>
      <w:r w:rsidR="00BB7E91" w:rsidRPr="00BB7E91">
        <w:rPr>
          <w:rFonts w:hint="eastAsia"/>
          <w:b/>
          <w:bCs/>
          <w:lang w:val="zh-CN"/>
        </w:rPr>
        <w:t>余额</w:t>
      </w:r>
      <w:r w:rsidR="00145E9C" w:rsidRPr="00864A07">
        <w:rPr>
          <w:rFonts w:hint="eastAsia"/>
          <w:b/>
          <w:bCs/>
          <w:lang w:val="zh-CN"/>
        </w:rPr>
        <w:t>退还</w:t>
      </w:r>
      <w:r w:rsidR="00BB7E91" w:rsidRPr="00BB7E91">
        <w:rPr>
          <w:rFonts w:hint="eastAsia"/>
          <w:b/>
          <w:bCs/>
          <w:lang w:val="zh-CN"/>
        </w:rPr>
        <w:t>多边基金</w:t>
      </w:r>
      <w:r w:rsidR="00BB7E91" w:rsidRPr="00BB7E91">
        <w:rPr>
          <w:rFonts w:hint="eastAsia"/>
          <w:b/>
          <w:bCs/>
          <w:lang w:val="en-CA"/>
        </w:rPr>
        <w:t>；</w:t>
      </w:r>
    </w:p>
    <w:p w14:paraId="75B77FF2" w14:textId="14DBB852" w:rsidR="00BB7E91" w:rsidRPr="00BB7E91" w:rsidRDefault="00E12DF2" w:rsidP="00E12DF2">
      <w:pPr>
        <w:spacing w:line="259" w:lineRule="auto"/>
        <w:ind w:left="1469" w:hanging="490"/>
        <w:jc w:val="both"/>
        <w:rPr>
          <w:b/>
          <w:bCs/>
          <w:lang w:val="en-CA"/>
        </w:rPr>
      </w:pPr>
      <w:r w:rsidRPr="00864A07">
        <w:rPr>
          <w:rFonts w:cs="Times New Roman"/>
          <w:b/>
          <w:bCs/>
          <w:szCs w:val="24"/>
        </w:rPr>
        <w:lastRenderedPageBreak/>
        <w:fldChar w:fldCharType="begin"/>
      </w:r>
      <w:r w:rsidRPr="00864A07">
        <w:rPr>
          <w:rFonts w:cs="Times New Roman"/>
          <w:b/>
          <w:bCs/>
          <w:szCs w:val="24"/>
        </w:rPr>
        <w:instrText xml:space="preserve"> = 3 \* GB4 </w:instrText>
      </w:r>
      <w:r w:rsidRPr="00864A07">
        <w:rPr>
          <w:rFonts w:cs="Times New Roman"/>
          <w:b/>
          <w:bCs/>
          <w:szCs w:val="24"/>
        </w:rPr>
        <w:fldChar w:fldCharType="separate"/>
      </w:r>
      <w:r w:rsidRPr="00864A07">
        <w:rPr>
          <w:rFonts w:cs="Times New Roman"/>
          <w:b/>
          <w:bCs/>
          <w:noProof/>
          <w:szCs w:val="24"/>
        </w:rPr>
        <w:t>㈢</w:t>
      </w:r>
      <w:r w:rsidRPr="00864A07">
        <w:rPr>
          <w:rFonts w:cs="Times New Roman"/>
          <w:b/>
          <w:bCs/>
          <w:szCs w:val="24"/>
        </w:rPr>
        <w:fldChar w:fldCharType="end"/>
      </w:r>
      <w:r w:rsidR="00145E9C" w:rsidRPr="00864A07">
        <w:rPr>
          <w:rFonts w:cs="Times New Roman"/>
          <w:b/>
          <w:bCs/>
          <w:szCs w:val="24"/>
        </w:rPr>
        <w:tab/>
      </w:r>
      <w:r w:rsidR="00BB7E91" w:rsidRPr="00BB7E91">
        <w:rPr>
          <w:rFonts w:hint="eastAsia"/>
          <w:b/>
          <w:bCs/>
          <w:lang w:val="zh-CN"/>
        </w:rPr>
        <w:t>在今后的财务审计报告中</w:t>
      </w:r>
      <w:r w:rsidR="00145E9C" w:rsidRPr="00864A07">
        <w:rPr>
          <w:rFonts w:hint="eastAsia"/>
          <w:b/>
          <w:bCs/>
          <w:lang w:val="zh-CN"/>
        </w:rPr>
        <w:t>汇报</w:t>
      </w:r>
      <w:r w:rsidR="00BB7E91" w:rsidRPr="00BB7E91">
        <w:rPr>
          <w:rFonts w:hint="eastAsia"/>
          <w:b/>
          <w:bCs/>
          <w:lang w:val="zh-CN"/>
        </w:rPr>
        <w:t>地方生态和环境局进行监测的结果</w:t>
      </w:r>
      <w:r w:rsidR="00BB7E91" w:rsidRPr="00BB7E91">
        <w:rPr>
          <w:rFonts w:hint="eastAsia"/>
          <w:b/>
          <w:bCs/>
          <w:lang w:val="en-CA"/>
        </w:rPr>
        <w:t>，</w:t>
      </w:r>
      <w:r w:rsidR="00BB7E91" w:rsidRPr="00BB7E91">
        <w:rPr>
          <w:rFonts w:hint="eastAsia"/>
          <w:b/>
          <w:bCs/>
          <w:lang w:val="zh-CN"/>
        </w:rPr>
        <w:t>包括</w:t>
      </w:r>
      <w:r w:rsidR="00145E9C" w:rsidRPr="00864A07">
        <w:rPr>
          <w:rFonts w:hint="eastAsia"/>
          <w:b/>
          <w:bCs/>
          <w:lang w:val="zh-CN"/>
        </w:rPr>
        <w:t>发现</w:t>
      </w:r>
      <w:r w:rsidR="00BB7E91" w:rsidRPr="00BB7E91">
        <w:rPr>
          <w:b/>
          <w:bCs/>
          <w:lang w:val="en-CA"/>
        </w:rPr>
        <w:t>CFC-11</w:t>
      </w:r>
      <w:r w:rsidR="00BB7E91" w:rsidRPr="00BB7E91">
        <w:rPr>
          <w:rFonts w:hint="eastAsia"/>
          <w:b/>
          <w:bCs/>
          <w:lang w:val="zh-CN"/>
        </w:rPr>
        <w:t>的</w:t>
      </w:r>
      <w:r w:rsidR="00145E9C" w:rsidRPr="00864A07">
        <w:rPr>
          <w:rFonts w:hint="eastAsia"/>
          <w:b/>
          <w:bCs/>
          <w:lang w:val="zh-CN"/>
        </w:rPr>
        <w:t>案例；一旦全部</w:t>
      </w:r>
      <w:r w:rsidR="00145E9C" w:rsidRPr="00BB7E91">
        <w:rPr>
          <w:rFonts w:hint="eastAsia"/>
          <w:b/>
          <w:bCs/>
          <w:lang w:val="zh-CN"/>
        </w:rPr>
        <w:t>发放</w:t>
      </w:r>
      <w:r w:rsidR="00145E9C" w:rsidRPr="00864A07">
        <w:rPr>
          <w:rFonts w:hint="eastAsia"/>
          <w:b/>
          <w:bCs/>
          <w:lang w:val="zh-CN"/>
        </w:rPr>
        <w:t>了</w:t>
      </w:r>
      <w:r w:rsidR="00BB7E91" w:rsidRPr="00BB7E91">
        <w:rPr>
          <w:rFonts w:hint="eastAsia"/>
          <w:b/>
          <w:bCs/>
          <w:lang w:val="zh-CN"/>
        </w:rPr>
        <w:t>列入财务审计报告的各项目</w:t>
      </w:r>
      <w:r w:rsidR="00145E9C" w:rsidRPr="00864A07">
        <w:rPr>
          <w:rFonts w:hint="eastAsia"/>
          <w:b/>
          <w:bCs/>
          <w:lang w:val="zh-CN"/>
        </w:rPr>
        <w:t>下</w:t>
      </w:r>
      <w:r w:rsidR="00BB7E91" w:rsidRPr="00BB7E91">
        <w:rPr>
          <w:rFonts w:hint="eastAsia"/>
          <w:b/>
          <w:bCs/>
          <w:lang w:val="zh-CN"/>
        </w:rPr>
        <w:t>的</w:t>
      </w:r>
      <w:r w:rsidR="00145E9C" w:rsidRPr="00864A07">
        <w:rPr>
          <w:rFonts w:hint="eastAsia"/>
          <w:b/>
          <w:bCs/>
          <w:lang w:val="zh-CN"/>
        </w:rPr>
        <w:t>所剩</w:t>
      </w:r>
      <w:r w:rsidR="00BB7E91" w:rsidRPr="00BB7E91">
        <w:rPr>
          <w:rFonts w:hint="eastAsia"/>
          <w:b/>
          <w:bCs/>
          <w:lang w:val="zh-CN"/>
        </w:rPr>
        <w:t>余额</w:t>
      </w:r>
      <w:r w:rsidR="00145E9C" w:rsidRPr="00864A07">
        <w:rPr>
          <w:rFonts w:hint="eastAsia"/>
          <w:b/>
          <w:bCs/>
          <w:lang w:val="zh-CN"/>
        </w:rPr>
        <w:t>并完成了</w:t>
      </w:r>
      <w:r w:rsidR="00BB7E91" w:rsidRPr="00BB7E91">
        <w:rPr>
          <w:rFonts w:hint="eastAsia"/>
          <w:b/>
          <w:bCs/>
          <w:lang w:val="zh-CN"/>
        </w:rPr>
        <w:t>这些项目</w:t>
      </w:r>
      <w:r w:rsidR="00BB7E91" w:rsidRPr="00BB7E91">
        <w:rPr>
          <w:rFonts w:hint="eastAsia"/>
          <w:b/>
          <w:bCs/>
          <w:lang w:val="en-CA"/>
        </w:rPr>
        <w:t>，</w:t>
      </w:r>
      <w:r w:rsidR="00864A07" w:rsidRPr="00864A07">
        <w:rPr>
          <w:rFonts w:hint="eastAsia"/>
          <w:b/>
          <w:bCs/>
          <w:lang w:val="en-CA"/>
        </w:rPr>
        <w:t>应在</w:t>
      </w:r>
      <w:r w:rsidR="00BB7E91" w:rsidRPr="00BB7E91">
        <w:rPr>
          <w:rFonts w:hint="eastAsia"/>
          <w:b/>
          <w:bCs/>
          <w:lang w:val="zh-CN"/>
        </w:rPr>
        <w:t>氟氯烃淘汰管理计划的聚氨酯泡沫塑料行业</w:t>
      </w:r>
      <w:r w:rsidR="00864A07" w:rsidRPr="00864A07">
        <w:rPr>
          <w:rFonts w:hint="eastAsia"/>
          <w:b/>
          <w:bCs/>
          <w:lang w:val="zh-CN"/>
        </w:rPr>
        <w:t>计划第二阶段</w:t>
      </w:r>
      <w:r w:rsidR="00BB7E91" w:rsidRPr="00BB7E91">
        <w:rPr>
          <w:rFonts w:hint="eastAsia"/>
          <w:b/>
          <w:bCs/>
          <w:lang w:val="zh-CN"/>
        </w:rPr>
        <w:t>的年度进度报告</w:t>
      </w:r>
      <w:r w:rsidR="00864A07" w:rsidRPr="00864A07">
        <w:rPr>
          <w:rFonts w:hint="eastAsia"/>
          <w:b/>
          <w:bCs/>
          <w:lang w:val="zh-CN"/>
        </w:rPr>
        <w:t>中</w:t>
      </w:r>
      <w:r w:rsidR="00BB7E91" w:rsidRPr="00BB7E91">
        <w:rPr>
          <w:rFonts w:hint="eastAsia"/>
          <w:b/>
          <w:bCs/>
          <w:lang w:val="zh-CN"/>
        </w:rPr>
        <w:t>继续</w:t>
      </w:r>
      <w:r w:rsidR="00864A07" w:rsidRPr="00864A07">
        <w:rPr>
          <w:rFonts w:hint="eastAsia"/>
          <w:b/>
          <w:bCs/>
          <w:lang w:val="zh-CN"/>
        </w:rPr>
        <w:t>汇报这些情况</w:t>
      </w:r>
      <w:r w:rsidR="00BB7E91" w:rsidRPr="00BB7E91">
        <w:rPr>
          <w:rFonts w:hint="eastAsia"/>
          <w:b/>
          <w:bCs/>
          <w:lang w:val="en-CA"/>
        </w:rPr>
        <w:t>；</w:t>
      </w:r>
    </w:p>
    <w:p w14:paraId="1BB45643" w14:textId="57669067" w:rsidR="00BB7E91" w:rsidRPr="00BB7E91" w:rsidRDefault="00E12DF2" w:rsidP="00E12DF2">
      <w:pPr>
        <w:spacing w:line="259" w:lineRule="auto"/>
        <w:ind w:left="1469" w:hanging="490"/>
        <w:jc w:val="both"/>
        <w:rPr>
          <w:lang w:val="en-CA"/>
        </w:rPr>
      </w:pPr>
      <w:r w:rsidRPr="00717C77">
        <w:rPr>
          <w:rFonts w:cs="Times New Roman"/>
          <w:szCs w:val="24"/>
        </w:rPr>
        <w:fldChar w:fldCharType="begin"/>
      </w:r>
      <w:r w:rsidRPr="00717C77">
        <w:rPr>
          <w:rFonts w:cs="Times New Roman"/>
          <w:szCs w:val="24"/>
        </w:rPr>
        <w:instrText xml:space="preserve"> = 4 \* GB4 </w:instrText>
      </w:r>
      <w:r w:rsidRPr="00717C77">
        <w:rPr>
          <w:rFonts w:cs="Times New Roman"/>
          <w:szCs w:val="24"/>
        </w:rPr>
        <w:fldChar w:fldCharType="separate"/>
      </w:r>
      <w:r w:rsidRPr="00717C77">
        <w:rPr>
          <w:rFonts w:cs="Times New Roman"/>
          <w:noProof/>
          <w:szCs w:val="24"/>
        </w:rPr>
        <w:t>㈣</w:t>
      </w:r>
      <w:r w:rsidRPr="00717C77">
        <w:rPr>
          <w:rFonts w:cs="Times New Roman"/>
          <w:szCs w:val="24"/>
        </w:rPr>
        <w:fldChar w:fldCharType="end"/>
      </w:r>
      <w:r w:rsidR="00864A07">
        <w:rPr>
          <w:rFonts w:cs="Times New Roman"/>
          <w:szCs w:val="24"/>
        </w:rPr>
        <w:tab/>
      </w:r>
      <w:r w:rsidR="00BB7E91" w:rsidRPr="00BB7E91">
        <w:rPr>
          <w:rFonts w:hint="eastAsia"/>
          <w:lang w:val="zh-CN"/>
        </w:rPr>
        <w:t>提交</w:t>
      </w:r>
      <w:r w:rsidR="00DD3FE0" w:rsidRPr="00DD3FE0">
        <w:rPr>
          <w:rFonts w:hint="eastAsia"/>
          <w:b/>
          <w:bCs/>
          <w:lang w:val="zh-CN"/>
        </w:rPr>
        <w:t>其余</w:t>
      </w:r>
      <w:r w:rsidR="00DD3FE0">
        <w:rPr>
          <w:rFonts w:hint="eastAsia"/>
          <w:lang w:val="zh-CN"/>
        </w:rPr>
        <w:t>关于</w:t>
      </w:r>
      <w:r w:rsidR="00BB7E91" w:rsidRPr="00BB7E91">
        <w:rPr>
          <w:rFonts w:hint="eastAsia"/>
          <w:lang w:val="zh-CN"/>
        </w:rPr>
        <w:t>在所有行业</w:t>
      </w:r>
      <w:r w:rsidR="00864A07">
        <w:rPr>
          <w:rFonts w:hint="eastAsia"/>
          <w:lang w:val="zh-CN"/>
        </w:rPr>
        <w:t>中</w:t>
      </w:r>
      <w:r w:rsidR="00BB7E91" w:rsidRPr="00BB7E91">
        <w:rPr>
          <w:rFonts w:hint="eastAsia"/>
          <w:lang w:val="zh-CN"/>
        </w:rPr>
        <w:t>进行的研究和技术援助</w:t>
      </w:r>
      <w:r w:rsidR="00864A07">
        <w:rPr>
          <w:rFonts w:hint="eastAsia"/>
          <w:lang w:val="zh-CN"/>
        </w:rPr>
        <w:t>的</w:t>
      </w:r>
      <w:r w:rsidR="00BB7E91" w:rsidRPr="00BB7E91">
        <w:rPr>
          <w:rFonts w:hint="eastAsia"/>
          <w:lang w:val="zh-CN"/>
        </w:rPr>
        <w:t>报告</w:t>
      </w:r>
      <w:r w:rsidR="00BB7E91" w:rsidRPr="00BB7E91">
        <w:rPr>
          <w:rFonts w:hint="eastAsia"/>
          <w:lang w:val="en-CA"/>
        </w:rPr>
        <w:t>，</w:t>
      </w:r>
      <w:r w:rsidR="00BB7E91" w:rsidRPr="00BB7E91">
        <w:rPr>
          <w:rFonts w:hint="eastAsia"/>
          <w:lang w:val="zh-CN"/>
        </w:rPr>
        <w:t>以</w:t>
      </w:r>
      <w:r w:rsidR="00864A07">
        <w:rPr>
          <w:rFonts w:hint="eastAsia"/>
          <w:lang w:val="zh-CN"/>
        </w:rPr>
        <w:t>视可能</w:t>
      </w:r>
      <w:r w:rsidR="00BB7E91" w:rsidRPr="00BB7E91">
        <w:rPr>
          <w:rFonts w:hint="eastAsia"/>
          <w:lang w:val="zh-CN"/>
        </w:rPr>
        <w:t>传播给其他第</w:t>
      </w:r>
      <w:r w:rsidR="00BB7E91" w:rsidRPr="00BB7E91">
        <w:rPr>
          <w:lang w:val="en-CA"/>
        </w:rPr>
        <w:t>5</w:t>
      </w:r>
      <w:r w:rsidR="00BB7E91" w:rsidRPr="00BB7E91">
        <w:rPr>
          <w:rFonts w:hint="eastAsia"/>
          <w:lang w:val="zh-CN"/>
        </w:rPr>
        <w:t>条国家</w:t>
      </w:r>
      <w:r w:rsidR="00BB7E91" w:rsidRPr="00BB7E91">
        <w:rPr>
          <w:rFonts w:hint="eastAsia"/>
          <w:lang w:val="en-CA"/>
        </w:rPr>
        <w:t>；</w:t>
      </w:r>
    </w:p>
    <w:p w14:paraId="3AEC735B" w14:textId="7D9AD486" w:rsidR="00C006C5" w:rsidRDefault="00E12DF2" w:rsidP="00E12DF2">
      <w:pPr>
        <w:tabs>
          <w:tab w:val="num" w:pos="0"/>
        </w:tabs>
        <w:spacing w:line="259" w:lineRule="auto"/>
        <w:ind w:left="980" w:hanging="490"/>
        <w:jc w:val="both"/>
      </w:pPr>
      <w:r>
        <w:rPr>
          <w:rFonts w:hint="eastAsia"/>
        </w:rPr>
        <w:t>(</w:t>
      </w:r>
      <w:r>
        <w:t>d)</w:t>
      </w:r>
      <w:r>
        <w:tab/>
      </w:r>
      <w:r w:rsidR="00864A07">
        <w:rPr>
          <w:rFonts w:hint="eastAsia"/>
        </w:rPr>
        <w:t>请</w:t>
      </w:r>
      <w:r w:rsidR="00BB7E91" w:rsidRPr="00457E6E">
        <w:rPr>
          <w:rFonts w:hint="eastAsia"/>
        </w:rPr>
        <w:t>中国政府通过世界银行向第八十五次会议</w:t>
      </w:r>
      <w:r w:rsidR="00A07449">
        <w:rPr>
          <w:rFonts w:hint="eastAsia"/>
        </w:rPr>
        <w:t>提供更多信息，介绍拟议在</w:t>
      </w:r>
      <w:r w:rsidR="00BB7E91" w:rsidRPr="00457E6E">
        <w:rPr>
          <w:rFonts w:hint="eastAsia"/>
        </w:rPr>
        <w:t>二类加工剂行业计划</w:t>
      </w:r>
      <w:r w:rsidR="00A07449">
        <w:rPr>
          <w:rFonts w:hint="eastAsia"/>
        </w:rPr>
        <w:t>之下</w:t>
      </w:r>
      <w:r w:rsidR="00BB7E91" w:rsidRPr="00457E6E">
        <w:rPr>
          <w:rFonts w:hint="eastAsia"/>
        </w:rPr>
        <w:t>进行的活动、</w:t>
      </w:r>
      <w:r w:rsidR="00A07449">
        <w:rPr>
          <w:rFonts w:hint="eastAsia"/>
        </w:rPr>
        <w:t>这些</w:t>
      </w:r>
      <w:r w:rsidR="00BB7E91" w:rsidRPr="00457E6E">
        <w:rPr>
          <w:rFonts w:hint="eastAsia"/>
        </w:rPr>
        <w:t>活动</w:t>
      </w:r>
      <w:r w:rsidR="00A07449">
        <w:rPr>
          <w:rFonts w:hint="eastAsia"/>
        </w:rPr>
        <w:t>的</w:t>
      </w:r>
      <w:r w:rsidR="00BB7E91" w:rsidRPr="00457E6E">
        <w:rPr>
          <w:rFonts w:hint="eastAsia"/>
        </w:rPr>
        <w:t>预算及其执行进度</w:t>
      </w:r>
      <w:r w:rsidR="00A07449">
        <w:rPr>
          <w:rFonts w:hint="eastAsia"/>
        </w:rPr>
        <w:t>。</w:t>
      </w:r>
    </w:p>
    <w:p w14:paraId="5F513A3E" w14:textId="165F0A70" w:rsidR="00F30365" w:rsidRDefault="00F30365" w:rsidP="00F30365">
      <w:pPr>
        <w:pStyle w:val="Heading1"/>
        <w:spacing w:line="259" w:lineRule="auto"/>
        <w:ind w:left="1260" w:hanging="1260"/>
        <w:rPr>
          <w:rFonts w:hint="eastAsia"/>
          <w:lang w:val="en-GB"/>
        </w:rPr>
      </w:pPr>
    </w:p>
    <w:p w14:paraId="57201E16" w14:textId="77777777" w:rsidR="001D4B2D" w:rsidRPr="001D4B2D" w:rsidRDefault="001D4B2D" w:rsidP="001D4B2D">
      <w:pPr>
        <w:rPr>
          <w:lang w:val="en-GB"/>
        </w:rPr>
      </w:pPr>
    </w:p>
    <w:p w14:paraId="37D80EFE" w14:textId="4AAB2B5C" w:rsidR="00A07449" w:rsidRDefault="00F30365" w:rsidP="00F30365">
      <w:pPr>
        <w:pStyle w:val="Heading1"/>
        <w:spacing w:line="259" w:lineRule="auto"/>
        <w:ind w:left="1260" w:hanging="1260"/>
        <w:rPr>
          <w:rFonts w:hint="eastAsia"/>
          <w:lang w:val="en-GB"/>
        </w:rPr>
      </w:pPr>
      <w:r w:rsidRPr="00F30365">
        <w:rPr>
          <w:lang w:val="en-GB"/>
        </w:rPr>
        <w:t>第三部分：</w:t>
      </w:r>
      <w:r w:rsidR="00573AB1">
        <w:rPr>
          <w:lang w:val="en-GB"/>
        </w:rPr>
        <w:t>淘汰甲基溴生产的行业计划</w:t>
      </w:r>
      <w:r w:rsidRPr="00F30365">
        <w:rPr>
          <w:lang w:val="en-GB"/>
        </w:rPr>
        <w:t>（工发组织）</w:t>
      </w:r>
    </w:p>
    <w:p w14:paraId="50C44798" w14:textId="4F16F0FC" w:rsidR="00F30365" w:rsidRDefault="00F30365" w:rsidP="00F30365">
      <w:pPr>
        <w:pStyle w:val="Heading1"/>
        <w:spacing w:line="259" w:lineRule="auto"/>
        <w:ind w:left="1267" w:hanging="1267"/>
        <w:rPr>
          <w:rFonts w:hint="eastAsia"/>
          <w:lang w:val="en-GB"/>
        </w:rPr>
      </w:pPr>
      <w:r>
        <w:rPr>
          <w:rFonts w:hint="eastAsia"/>
          <w:lang w:val="en-GB"/>
        </w:rPr>
        <w:t>背景</w:t>
      </w:r>
    </w:p>
    <w:p w14:paraId="62A3B577" w14:textId="53370BA0" w:rsidR="00F30365" w:rsidRPr="00F30365" w:rsidRDefault="00B203C3" w:rsidP="00F30365">
      <w:pPr>
        <w:numPr>
          <w:ilvl w:val="0"/>
          <w:numId w:val="20"/>
        </w:numPr>
        <w:spacing w:line="259" w:lineRule="auto"/>
        <w:ind w:left="0" w:firstLine="0"/>
        <w:jc w:val="both"/>
        <w:rPr>
          <w:lang w:val="zh-CN"/>
        </w:rPr>
      </w:pPr>
      <w:r>
        <w:rPr>
          <w:rFonts w:hint="eastAsia"/>
          <w:lang w:val="zh-CN"/>
        </w:rPr>
        <w:t>执委会</w:t>
      </w:r>
      <w:r w:rsidR="00F30365" w:rsidRPr="00B203C3">
        <w:rPr>
          <w:lang w:val="zh-CN"/>
        </w:rPr>
        <w:t>第八十三次会议</w:t>
      </w:r>
      <w:r w:rsidR="00F30365" w:rsidRPr="00F30365">
        <w:rPr>
          <w:lang w:val="zh-CN"/>
        </w:rPr>
        <w:t>注意到关于</w:t>
      </w:r>
      <w:r>
        <w:rPr>
          <w:rFonts w:hint="eastAsia"/>
          <w:lang w:val="zh-CN"/>
        </w:rPr>
        <w:t>建立管理信息系统，</w:t>
      </w:r>
      <w:r w:rsidR="00F30365" w:rsidRPr="00F30365">
        <w:rPr>
          <w:lang w:val="zh-CN"/>
        </w:rPr>
        <w:t>将其纳入</w:t>
      </w:r>
      <w:r>
        <w:rPr>
          <w:lang w:val="zh-CN"/>
        </w:rPr>
        <w:t>海关总署</w:t>
      </w:r>
      <w:r w:rsidR="00F30365" w:rsidRPr="00F30365">
        <w:rPr>
          <w:lang w:val="zh-CN"/>
        </w:rPr>
        <w:t>将要</w:t>
      </w:r>
      <w:r>
        <w:rPr>
          <w:rFonts w:hint="eastAsia"/>
          <w:lang w:val="zh-CN"/>
        </w:rPr>
        <w:t>执行</w:t>
      </w:r>
      <w:r w:rsidR="00F30365" w:rsidRPr="00F30365">
        <w:rPr>
          <w:lang w:val="zh-CN"/>
        </w:rPr>
        <w:t>的</w:t>
      </w:r>
      <w:r>
        <w:rPr>
          <w:rFonts w:hint="eastAsia"/>
          <w:lang w:val="zh-CN"/>
        </w:rPr>
        <w:t>监测</w:t>
      </w:r>
      <w:r w:rsidR="00F30365" w:rsidRPr="00F30365">
        <w:rPr>
          <w:lang w:val="zh-CN"/>
        </w:rPr>
        <w:t>和监督</w:t>
      </w:r>
      <w:r>
        <w:rPr>
          <w:rFonts w:hint="eastAsia"/>
          <w:lang w:val="zh-CN"/>
        </w:rPr>
        <w:t>方案的进度报告，并注意到</w:t>
      </w:r>
      <w:r w:rsidR="00F004AF">
        <w:rPr>
          <w:rFonts w:hint="eastAsia"/>
          <w:lang w:val="zh-CN"/>
        </w:rPr>
        <w:t>为</w:t>
      </w:r>
      <w:r w:rsidRPr="00F30365">
        <w:rPr>
          <w:lang w:val="zh-CN"/>
        </w:rPr>
        <w:t>确保</w:t>
      </w:r>
      <w:r w:rsidR="00F004AF">
        <w:rPr>
          <w:rFonts w:hint="eastAsia"/>
          <w:lang w:val="zh-CN"/>
        </w:rPr>
        <w:t>在</w:t>
      </w:r>
      <w:r w:rsidR="00F004AF" w:rsidRPr="00F004AF">
        <w:rPr>
          <w:lang w:val="zh-CN"/>
        </w:rPr>
        <w:t>行业计划完成后</w:t>
      </w:r>
      <w:r w:rsidR="00F004AF">
        <w:rPr>
          <w:rFonts w:hint="eastAsia"/>
          <w:lang w:val="zh-CN"/>
        </w:rPr>
        <w:t>对甲基溴生产的淘汰成果进行</w:t>
      </w:r>
      <w:r w:rsidRPr="00F30365">
        <w:rPr>
          <w:lang w:val="zh-CN"/>
        </w:rPr>
        <w:t>长期持续监测</w:t>
      </w:r>
      <w:r w:rsidR="00F004AF">
        <w:rPr>
          <w:rFonts w:hint="eastAsia"/>
          <w:lang w:val="zh-CN"/>
        </w:rPr>
        <w:t>，对工作计划所做更新</w:t>
      </w:r>
      <w:r w:rsidRPr="00F30365">
        <w:rPr>
          <w:lang w:val="zh-CN"/>
        </w:rPr>
        <w:t>，</w:t>
      </w:r>
      <w:r w:rsidR="00F004AF">
        <w:rPr>
          <w:rFonts w:hint="eastAsia"/>
          <w:lang w:val="zh-CN"/>
        </w:rPr>
        <w:t>这两份文件都是</w:t>
      </w:r>
      <w:r w:rsidRPr="00F30365">
        <w:rPr>
          <w:lang w:val="zh-CN"/>
        </w:rPr>
        <w:t>工发组织提出的</w:t>
      </w:r>
      <w:r w:rsidR="00F004AF">
        <w:rPr>
          <w:rFonts w:hint="eastAsia"/>
          <w:lang w:val="zh-CN"/>
        </w:rPr>
        <w:t>；请</w:t>
      </w:r>
      <w:r w:rsidR="00F30365" w:rsidRPr="00F30365">
        <w:rPr>
          <w:lang w:val="zh-CN"/>
        </w:rPr>
        <w:t>中国政府通过工发组织在第八十四次会议上提供</w:t>
      </w:r>
      <w:r w:rsidR="00F004AF">
        <w:rPr>
          <w:rFonts w:hint="eastAsia"/>
          <w:lang w:val="zh-CN"/>
        </w:rPr>
        <w:t>资料，说明</w:t>
      </w:r>
      <w:r w:rsidR="00573AB1" w:rsidRPr="00F30365">
        <w:rPr>
          <w:lang w:val="zh-CN"/>
        </w:rPr>
        <w:t>将</w:t>
      </w:r>
      <w:r w:rsidR="00573AB1">
        <w:rPr>
          <w:rFonts w:hint="eastAsia"/>
          <w:lang w:val="zh-CN"/>
        </w:rPr>
        <w:t>由</w:t>
      </w:r>
      <w:r w:rsidR="00F30365" w:rsidRPr="00F30365">
        <w:rPr>
          <w:lang w:val="zh-CN"/>
        </w:rPr>
        <w:t>海关</w:t>
      </w:r>
      <w:r w:rsidR="00573AB1">
        <w:rPr>
          <w:rFonts w:hint="eastAsia"/>
          <w:lang w:val="zh-CN"/>
        </w:rPr>
        <w:t>总署</w:t>
      </w:r>
      <w:r w:rsidR="00F30365" w:rsidRPr="00F30365">
        <w:rPr>
          <w:lang w:val="zh-CN"/>
        </w:rPr>
        <w:t>执行的监测和监督方案合同的最新情况</w:t>
      </w:r>
      <w:r w:rsidR="00F004AF">
        <w:rPr>
          <w:rFonts w:hint="eastAsia"/>
          <w:lang w:val="zh-CN"/>
        </w:rPr>
        <w:t>，并在</w:t>
      </w:r>
      <w:r w:rsidR="00573AB1">
        <w:rPr>
          <w:lang w:val="zh-CN"/>
        </w:rPr>
        <w:t>淘汰甲基溴生产的行业计划</w:t>
      </w:r>
      <w:r w:rsidR="00F004AF">
        <w:rPr>
          <w:rFonts w:hint="eastAsia"/>
          <w:lang w:val="zh-CN"/>
        </w:rPr>
        <w:t>年度执行情况报告中说明</w:t>
      </w:r>
      <w:r w:rsidR="00F30365" w:rsidRPr="00F30365">
        <w:rPr>
          <w:lang w:val="zh-CN"/>
        </w:rPr>
        <w:t>甲基溴</w:t>
      </w:r>
      <w:r w:rsidR="00F004AF">
        <w:rPr>
          <w:rFonts w:hint="eastAsia"/>
          <w:lang w:val="zh-CN"/>
        </w:rPr>
        <w:t>标识</w:t>
      </w:r>
      <w:r w:rsidR="00F30365" w:rsidRPr="00F30365">
        <w:rPr>
          <w:lang w:val="zh-CN"/>
        </w:rPr>
        <w:t>和</w:t>
      </w:r>
      <w:r w:rsidR="00F004AF">
        <w:rPr>
          <w:rFonts w:hint="eastAsia"/>
          <w:lang w:val="zh-CN"/>
        </w:rPr>
        <w:t>跟踪监测系统</w:t>
      </w:r>
      <w:r w:rsidR="00F30365" w:rsidRPr="00F30365">
        <w:rPr>
          <w:lang w:val="zh-CN"/>
        </w:rPr>
        <w:t>的最新情况（第</w:t>
      </w:r>
      <w:r w:rsidR="00F30365" w:rsidRPr="00F30365">
        <w:rPr>
          <w:lang w:val="zh-CN"/>
        </w:rPr>
        <w:t>83/44</w:t>
      </w:r>
      <w:r w:rsidR="00F30365" w:rsidRPr="00F30365">
        <w:rPr>
          <w:lang w:val="zh-CN"/>
        </w:rPr>
        <w:t>号决定）。工发组织代表中国政府向第八十四次会议提交了所要求的进度报告和最新情况。</w:t>
      </w:r>
      <w:r w:rsidR="00F30365" w:rsidRPr="00F30365">
        <w:rPr>
          <w:lang w:val="zh-CN"/>
        </w:rPr>
        <w:t>    </w:t>
      </w:r>
    </w:p>
    <w:p w14:paraId="31392D42" w14:textId="5D7681B7" w:rsidR="00F2312F" w:rsidRDefault="00F30365" w:rsidP="00F30365">
      <w:pPr>
        <w:numPr>
          <w:ilvl w:val="0"/>
          <w:numId w:val="20"/>
        </w:numPr>
        <w:spacing w:line="259" w:lineRule="auto"/>
        <w:ind w:left="0" w:firstLine="0"/>
        <w:jc w:val="both"/>
        <w:rPr>
          <w:lang w:val="zh-CN"/>
        </w:rPr>
      </w:pPr>
      <w:r w:rsidRPr="00F30365">
        <w:rPr>
          <w:lang w:val="zh-CN"/>
        </w:rPr>
        <w:t>与执行委员会</w:t>
      </w:r>
      <w:r w:rsidR="00F004AF">
        <w:rPr>
          <w:rFonts w:hint="eastAsia"/>
          <w:lang w:val="zh-CN"/>
        </w:rPr>
        <w:t>之间</w:t>
      </w:r>
      <w:r w:rsidRPr="00F30365">
        <w:rPr>
          <w:lang w:val="zh-CN"/>
        </w:rPr>
        <w:t>的协定规定</w:t>
      </w:r>
      <w:r w:rsidR="00F004AF">
        <w:rPr>
          <w:rFonts w:hint="eastAsia"/>
          <w:lang w:val="zh-CN"/>
        </w:rPr>
        <w:t>了</w:t>
      </w:r>
      <w:r w:rsidRPr="00F30365">
        <w:rPr>
          <w:lang w:val="zh-CN"/>
        </w:rPr>
        <w:t>2015</w:t>
      </w:r>
      <w:r w:rsidRPr="00F30365">
        <w:rPr>
          <w:lang w:val="zh-CN"/>
        </w:rPr>
        <w:t>年用于受控用途的</w:t>
      </w:r>
      <w:r w:rsidR="00F004AF" w:rsidRPr="00F30365">
        <w:rPr>
          <w:lang w:val="zh-CN"/>
        </w:rPr>
        <w:t>甲基溴</w:t>
      </w:r>
      <w:r w:rsidRPr="00F30365">
        <w:rPr>
          <w:lang w:val="zh-CN"/>
        </w:rPr>
        <w:t>年产量</w:t>
      </w:r>
      <w:r w:rsidR="00F004AF">
        <w:rPr>
          <w:rFonts w:hint="eastAsia"/>
          <w:lang w:val="zh-CN"/>
        </w:rPr>
        <w:t>允许上限</w:t>
      </w:r>
      <w:r w:rsidRPr="00F30365">
        <w:rPr>
          <w:lang w:val="zh-CN"/>
        </w:rPr>
        <w:t>，</w:t>
      </w:r>
      <w:r w:rsidR="00F004AF">
        <w:rPr>
          <w:rFonts w:hint="eastAsia"/>
          <w:lang w:val="zh-CN"/>
        </w:rPr>
        <w:t>并规定</w:t>
      </w:r>
      <w:r w:rsidR="00F004AF">
        <w:rPr>
          <w:rFonts w:hint="eastAsia"/>
          <w:lang w:val="zh-CN"/>
        </w:rPr>
        <w:t>2015</w:t>
      </w:r>
      <w:r w:rsidR="00F004AF">
        <w:rPr>
          <w:rFonts w:hint="eastAsia"/>
          <w:lang w:val="zh-CN"/>
        </w:rPr>
        <w:t>年之后，</w:t>
      </w:r>
      <w:r w:rsidR="00F2312F">
        <w:rPr>
          <w:rFonts w:hint="eastAsia"/>
          <w:lang w:val="zh-CN"/>
        </w:rPr>
        <w:t>除了</w:t>
      </w:r>
      <w:r w:rsidRPr="00F30365">
        <w:rPr>
          <w:lang w:val="zh-CN"/>
        </w:rPr>
        <w:t>缔约方</w:t>
      </w:r>
      <w:r w:rsidR="00F2312F">
        <w:rPr>
          <w:rFonts w:hint="eastAsia"/>
          <w:lang w:val="zh-CN"/>
        </w:rPr>
        <w:t>大会</w:t>
      </w:r>
      <w:r w:rsidRPr="00F30365">
        <w:rPr>
          <w:lang w:val="zh-CN"/>
        </w:rPr>
        <w:t>批准的</w:t>
      </w:r>
      <w:r w:rsidR="00F2312F" w:rsidRPr="00F2312F">
        <w:t>检疫和装运前消毒处理</w:t>
      </w:r>
      <w:r w:rsidRPr="00F30365">
        <w:rPr>
          <w:lang w:val="zh-CN"/>
        </w:rPr>
        <w:t>（</w:t>
      </w:r>
      <w:r w:rsidRPr="00F30365">
        <w:rPr>
          <w:lang w:val="zh-CN"/>
        </w:rPr>
        <w:t>QPS</w:t>
      </w:r>
      <w:r w:rsidRPr="00F30365">
        <w:rPr>
          <w:lang w:val="zh-CN"/>
        </w:rPr>
        <w:t>）</w:t>
      </w:r>
      <w:r w:rsidR="00F2312F">
        <w:rPr>
          <w:rFonts w:hint="eastAsia"/>
          <w:lang w:val="zh-CN"/>
        </w:rPr>
        <w:t>、</w:t>
      </w:r>
      <w:r w:rsidRPr="00F30365">
        <w:rPr>
          <w:lang w:val="zh-CN"/>
        </w:rPr>
        <w:t>原料和关键用途</w:t>
      </w:r>
      <w:r w:rsidR="00F2312F">
        <w:rPr>
          <w:rFonts w:hint="eastAsia"/>
          <w:lang w:val="zh-CN"/>
        </w:rPr>
        <w:t>外，其他用途的产量为零</w:t>
      </w:r>
      <w:r w:rsidRPr="00F30365">
        <w:rPr>
          <w:lang w:val="zh-CN"/>
        </w:rPr>
        <w:t>。此外，</w:t>
      </w:r>
      <w:r w:rsidR="00F2312F" w:rsidRPr="00F30365">
        <w:rPr>
          <w:lang w:val="zh-CN"/>
        </w:rPr>
        <w:t>执行委员会</w:t>
      </w:r>
      <w:r w:rsidR="00F2312F">
        <w:rPr>
          <w:rFonts w:hint="eastAsia"/>
          <w:lang w:val="zh-CN"/>
        </w:rPr>
        <w:t>第</w:t>
      </w:r>
      <w:r w:rsidRPr="00F30365">
        <w:rPr>
          <w:lang w:val="zh-CN"/>
        </w:rPr>
        <w:t>八十三次会议</w:t>
      </w:r>
      <w:r w:rsidR="00F2312F">
        <w:rPr>
          <w:rFonts w:hint="eastAsia"/>
          <w:lang w:val="zh-CN"/>
        </w:rPr>
        <w:t>请</w:t>
      </w:r>
      <w:r w:rsidRPr="00F30365">
        <w:rPr>
          <w:lang w:val="zh-CN"/>
        </w:rPr>
        <w:t>中国与工发组织</w:t>
      </w:r>
      <w:r w:rsidR="00F2312F">
        <w:rPr>
          <w:rFonts w:hint="eastAsia"/>
          <w:lang w:val="zh-CN"/>
        </w:rPr>
        <w:t>在按照第</w:t>
      </w:r>
      <w:r w:rsidR="00F2312F">
        <w:rPr>
          <w:rFonts w:hint="eastAsia"/>
          <w:lang w:val="zh-CN"/>
        </w:rPr>
        <w:t>82</w:t>
      </w:r>
      <w:r w:rsidR="00F2312F">
        <w:rPr>
          <w:lang w:val="zh-CN"/>
        </w:rPr>
        <w:t>/19</w:t>
      </w:r>
      <w:r w:rsidR="00F2312F">
        <w:rPr>
          <w:rFonts w:hint="eastAsia"/>
          <w:lang w:val="zh-CN"/>
        </w:rPr>
        <w:t>号决定</w:t>
      </w:r>
      <w:r w:rsidR="00F2312F">
        <w:rPr>
          <w:rFonts w:hint="eastAsia"/>
          <w:lang w:val="zh-CN"/>
        </w:rPr>
        <w:t>(</w:t>
      </w:r>
      <w:r w:rsidR="00F2312F">
        <w:rPr>
          <w:lang w:val="zh-CN"/>
        </w:rPr>
        <w:t>e)</w:t>
      </w:r>
      <w:r w:rsidR="00F2312F">
        <w:rPr>
          <w:rFonts w:hint="eastAsia"/>
          <w:lang w:val="zh-CN"/>
        </w:rPr>
        <w:t>段提交</w:t>
      </w:r>
      <w:r w:rsidR="00F2312F">
        <w:rPr>
          <w:rFonts w:hint="eastAsia"/>
          <w:lang w:val="zh-CN"/>
        </w:rPr>
        <w:t>2018</w:t>
      </w:r>
      <w:r w:rsidR="00F2312F">
        <w:rPr>
          <w:rFonts w:hint="eastAsia"/>
          <w:lang w:val="zh-CN"/>
        </w:rPr>
        <w:t>年甲基溴生产情况核查报告时，把用于甲基溴消费的数量包括在内。缔约方大会为中国批准的</w:t>
      </w:r>
      <w:r w:rsidR="00F2312F">
        <w:rPr>
          <w:rFonts w:hint="eastAsia"/>
          <w:lang w:val="zh-CN"/>
        </w:rPr>
        <w:t>2018</w:t>
      </w:r>
      <w:r w:rsidR="00F2312F">
        <w:rPr>
          <w:rFonts w:hint="eastAsia"/>
          <w:lang w:val="zh-CN"/>
        </w:rPr>
        <w:t>年关键用途豁免数量为</w:t>
      </w:r>
      <w:r w:rsidR="00F2312F" w:rsidRPr="00F30365">
        <w:rPr>
          <w:lang w:val="zh-CN"/>
        </w:rPr>
        <w:t>87.24</w:t>
      </w:r>
      <w:r w:rsidR="00F2312F" w:rsidRPr="00F30365">
        <w:rPr>
          <w:lang w:val="zh-CN"/>
        </w:rPr>
        <w:t>公吨</w:t>
      </w:r>
      <w:r w:rsidR="00F2312F">
        <w:rPr>
          <w:rFonts w:hint="eastAsia"/>
          <w:lang w:val="zh-CN"/>
        </w:rPr>
        <w:t>。</w:t>
      </w:r>
    </w:p>
    <w:p w14:paraId="3CC370A7" w14:textId="77777777" w:rsidR="00F2312F" w:rsidRDefault="00F30365" w:rsidP="00F2312F">
      <w:pPr>
        <w:numPr>
          <w:ilvl w:val="0"/>
          <w:numId w:val="20"/>
        </w:numPr>
        <w:spacing w:line="259" w:lineRule="auto"/>
        <w:ind w:left="0" w:firstLine="0"/>
        <w:jc w:val="both"/>
        <w:rPr>
          <w:lang w:val="zh-CN"/>
        </w:rPr>
      </w:pPr>
      <w:r w:rsidRPr="00F30365">
        <w:rPr>
          <w:lang w:val="zh-CN"/>
        </w:rPr>
        <w:t>中国政府没有</w:t>
      </w:r>
      <w:r w:rsidR="00F2312F">
        <w:rPr>
          <w:rFonts w:hint="eastAsia"/>
          <w:lang w:val="zh-CN"/>
        </w:rPr>
        <w:t>为</w:t>
      </w:r>
      <w:r w:rsidRPr="00F30365">
        <w:rPr>
          <w:lang w:val="zh-CN"/>
        </w:rPr>
        <w:t>2019</w:t>
      </w:r>
      <w:r w:rsidRPr="00F30365">
        <w:rPr>
          <w:lang w:val="zh-CN"/>
        </w:rPr>
        <w:t>年的</w:t>
      </w:r>
      <w:r w:rsidR="00F2312F">
        <w:rPr>
          <w:rFonts w:hint="eastAsia"/>
          <w:lang w:val="zh-CN"/>
        </w:rPr>
        <w:t>生产提交</w:t>
      </w:r>
      <w:r w:rsidRPr="00F30365">
        <w:rPr>
          <w:lang w:val="zh-CN"/>
        </w:rPr>
        <w:t>关键用途提名。</w:t>
      </w:r>
      <w:r w:rsidRPr="00F30365">
        <w:rPr>
          <w:lang w:val="zh-CN"/>
        </w:rPr>
        <w:t>2018</w:t>
      </w:r>
      <w:r w:rsidRPr="00F30365">
        <w:rPr>
          <w:lang w:val="zh-CN"/>
        </w:rPr>
        <w:t>年核查报告证实，中国的</w:t>
      </w:r>
      <w:r w:rsidR="00F2312F">
        <w:rPr>
          <w:rFonts w:hint="eastAsia"/>
          <w:lang w:val="zh-CN"/>
        </w:rPr>
        <w:t>产量</w:t>
      </w:r>
      <w:r w:rsidRPr="00F30365">
        <w:rPr>
          <w:lang w:val="zh-CN"/>
        </w:rPr>
        <w:t>符合协定。政府根据《蒙特利尔议定书》</w:t>
      </w:r>
      <w:r w:rsidR="00F2312F" w:rsidRPr="00F30365">
        <w:rPr>
          <w:lang w:val="zh-CN"/>
        </w:rPr>
        <w:t>第</w:t>
      </w:r>
      <w:r w:rsidR="00F2312F" w:rsidRPr="00F30365">
        <w:rPr>
          <w:lang w:val="zh-CN"/>
        </w:rPr>
        <w:t>7</w:t>
      </w:r>
      <w:r w:rsidR="00F2312F" w:rsidRPr="00F30365">
        <w:rPr>
          <w:lang w:val="zh-CN"/>
        </w:rPr>
        <w:t>条报告</w:t>
      </w:r>
      <w:r w:rsidR="00F2312F">
        <w:rPr>
          <w:rFonts w:hint="eastAsia"/>
          <w:lang w:val="zh-CN"/>
        </w:rPr>
        <w:t>的</w:t>
      </w:r>
      <w:r w:rsidRPr="00F30365">
        <w:rPr>
          <w:lang w:val="zh-CN"/>
        </w:rPr>
        <w:t>甲基溴</w:t>
      </w:r>
      <w:r w:rsidR="00F2312F">
        <w:rPr>
          <w:rFonts w:hint="eastAsia"/>
          <w:lang w:val="zh-CN"/>
        </w:rPr>
        <w:t>产量</w:t>
      </w:r>
      <w:r w:rsidRPr="00F30365">
        <w:rPr>
          <w:lang w:val="zh-CN"/>
        </w:rPr>
        <w:t>与核查报告</w:t>
      </w:r>
      <w:r w:rsidR="00F2312F">
        <w:rPr>
          <w:rFonts w:hint="eastAsia"/>
          <w:lang w:val="zh-CN"/>
        </w:rPr>
        <w:t>相</w:t>
      </w:r>
      <w:r w:rsidRPr="00F30365">
        <w:rPr>
          <w:lang w:val="zh-CN"/>
        </w:rPr>
        <w:t>一致。</w:t>
      </w:r>
    </w:p>
    <w:p w14:paraId="3B9935D9" w14:textId="5DAA1B4B" w:rsidR="00F2312F" w:rsidRPr="00E0071C" w:rsidRDefault="00E0071C" w:rsidP="00F2312F">
      <w:pPr>
        <w:rPr>
          <w:rFonts w:cs="Times New Roman"/>
          <w:b/>
          <w:szCs w:val="24"/>
          <w:lang w:val="en-CA"/>
        </w:rPr>
      </w:pPr>
      <w:r w:rsidRPr="00E0071C">
        <w:rPr>
          <w:rFonts w:cs="Times New Roman"/>
          <w:b/>
          <w:szCs w:val="24"/>
          <w:lang w:val="en-CA"/>
        </w:rPr>
        <w:t>表</w:t>
      </w:r>
      <w:r w:rsidR="00F2312F" w:rsidRPr="00E0071C">
        <w:rPr>
          <w:rFonts w:cs="Times New Roman"/>
          <w:b/>
          <w:szCs w:val="24"/>
          <w:lang w:val="en-CA"/>
        </w:rPr>
        <w:t>3</w:t>
      </w:r>
      <w:r w:rsidRPr="00E0071C">
        <w:rPr>
          <w:rFonts w:cs="Times New Roman"/>
          <w:b/>
          <w:szCs w:val="24"/>
          <w:lang w:val="en-CA"/>
        </w:rPr>
        <w:t>：</w:t>
      </w:r>
      <w:r w:rsidR="00F2312F" w:rsidRPr="00E0071C">
        <w:rPr>
          <w:rFonts w:cs="Times New Roman"/>
          <w:b/>
          <w:szCs w:val="24"/>
          <w:lang w:val="en-CA"/>
        </w:rPr>
        <w:t>2018</w:t>
      </w:r>
      <w:r w:rsidRPr="00E0071C">
        <w:rPr>
          <w:rFonts w:cs="Times New Roman"/>
          <w:b/>
          <w:szCs w:val="24"/>
          <w:lang w:val="en-CA"/>
        </w:rPr>
        <w:t>年第</w:t>
      </w:r>
      <w:r w:rsidRPr="00E0071C">
        <w:rPr>
          <w:rFonts w:cs="Times New Roman"/>
          <w:b/>
          <w:szCs w:val="24"/>
          <w:lang w:val="en-CA"/>
        </w:rPr>
        <w:t>7</w:t>
      </w:r>
      <w:r w:rsidRPr="00E0071C">
        <w:rPr>
          <w:rFonts w:cs="Times New Roman"/>
          <w:b/>
          <w:szCs w:val="24"/>
          <w:lang w:val="en-CA"/>
        </w:rPr>
        <w:t>条数据、经核实的甲基溴产量和中国的关键用途豁免数量（公吨）</w:t>
      </w:r>
    </w:p>
    <w:tbl>
      <w:tblPr>
        <w:tblW w:w="5000" w:type="pct"/>
        <w:tblLook w:val="04A0" w:firstRow="1" w:lastRow="0" w:firstColumn="1" w:lastColumn="0" w:noHBand="0" w:noVBand="1"/>
      </w:tblPr>
      <w:tblGrid>
        <w:gridCol w:w="6294"/>
        <w:gridCol w:w="3056"/>
      </w:tblGrid>
      <w:tr w:rsidR="00F2312F" w:rsidRPr="001D4B2D" w14:paraId="41FEB4FA" w14:textId="77777777" w:rsidTr="00E0071C">
        <w:trPr>
          <w:trHeight w:val="62"/>
        </w:trPr>
        <w:tc>
          <w:tcPr>
            <w:tcW w:w="3366" w:type="pct"/>
            <w:tcBorders>
              <w:top w:val="single" w:sz="4" w:space="0" w:color="auto"/>
              <w:left w:val="single" w:sz="4" w:space="0" w:color="auto"/>
              <w:bottom w:val="single" w:sz="4" w:space="0" w:color="auto"/>
              <w:right w:val="single" w:sz="4" w:space="0" w:color="auto"/>
            </w:tcBorders>
            <w:shd w:val="clear" w:color="auto" w:fill="auto"/>
            <w:noWrap/>
            <w:hideMark/>
          </w:tcPr>
          <w:p w14:paraId="7FB39A33" w14:textId="4AD7BA33" w:rsidR="00F2312F" w:rsidRPr="001D4B2D" w:rsidRDefault="00E0071C" w:rsidP="00F2312F">
            <w:pPr>
              <w:spacing w:before="40" w:after="40" w:line="240" w:lineRule="auto"/>
              <w:rPr>
                <w:rFonts w:eastAsia="Times New Roman" w:cs="Times New Roman"/>
                <w:b/>
                <w:sz w:val="20"/>
                <w:szCs w:val="20"/>
                <w:lang w:val="en-CA" w:eastAsia="en-US"/>
              </w:rPr>
            </w:pPr>
            <w:r w:rsidRPr="001D4B2D">
              <w:rPr>
                <w:rFonts w:ascii="SimSun" w:hAnsi="SimSun" w:cs="SimSun" w:hint="eastAsia"/>
                <w:b/>
                <w:sz w:val="20"/>
                <w:szCs w:val="20"/>
                <w:lang w:val="en-CA"/>
              </w:rPr>
              <w:t>甲基溴产量</w:t>
            </w:r>
          </w:p>
        </w:tc>
        <w:tc>
          <w:tcPr>
            <w:tcW w:w="1634" w:type="pct"/>
            <w:tcBorders>
              <w:top w:val="single" w:sz="4" w:space="0" w:color="auto"/>
              <w:left w:val="nil"/>
              <w:bottom w:val="single" w:sz="4" w:space="0" w:color="auto"/>
              <w:right w:val="single" w:sz="4" w:space="0" w:color="auto"/>
            </w:tcBorders>
            <w:shd w:val="clear" w:color="auto" w:fill="auto"/>
            <w:noWrap/>
            <w:hideMark/>
          </w:tcPr>
          <w:p w14:paraId="282F8499" w14:textId="07A0944E" w:rsidR="00F2312F" w:rsidRPr="001D4B2D" w:rsidRDefault="00F2312F" w:rsidP="00F2312F">
            <w:pPr>
              <w:spacing w:before="40" w:after="40" w:line="240" w:lineRule="auto"/>
              <w:jc w:val="center"/>
              <w:rPr>
                <w:rFonts w:eastAsia="Times New Roman" w:cs="Times New Roman"/>
                <w:b/>
                <w:sz w:val="20"/>
                <w:szCs w:val="20"/>
                <w:lang w:val="en-CA" w:eastAsia="en-US"/>
              </w:rPr>
            </w:pPr>
            <w:r w:rsidRPr="001D4B2D">
              <w:rPr>
                <w:rFonts w:eastAsia="Times New Roman" w:cs="Times New Roman"/>
                <w:b/>
                <w:sz w:val="20"/>
                <w:szCs w:val="20"/>
                <w:lang w:val="en-CA" w:eastAsia="en-US"/>
              </w:rPr>
              <w:t>2018</w:t>
            </w:r>
            <w:r w:rsidR="00E0071C" w:rsidRPr="001D4B2D">
              <w:rPr>
                <w:rFonts w:ascii="SimSun" w:hAnsi="SimSun" w:cs="SimSun" w:hint="eastAsia"/>
                <w:b/>
                <w:sz w:val="20"/>
                <w:szCs w:val="20"/>
                <w:lang w:val="en-CA"/>
              </w:rPr>
              <w:t>年</w:t>
            </w:r>
          </w:p>
        </w:tc>
      </w:tr>
      <w:tr w:rsidR="00F2312F" w:rsidRPr="001D4B2D" w14:paraId="10F45346" w14:textId="77777777" w:rsidTr="00E0071C">
        <w:tc>
          <w:tcPr>
            <w:tcW w:w="3366" w:type="pct"/>
            <w:tcBorders>
              <w:top w:val="nil"/>
              <w:left w:val="single" w:sz="4" w:space="0" w:color="auto"/>
              <w:bottom w:val="single" w:sz="4" w:space="0" w:color="auto"/>
              <w:right w:val="single" w:sz="4" w:space="0" w:color="auto"/>
            </w:tcBorders>
            <w:shd w:val="clear" w:color="auto" w:fill="auto"/>
            <w:noWrap/>
            <w:hideMark/>
          </w:tcPr>
          <w:p w14:paraId="6371BB07" w14:textId="091C074B" w:rsidR="00F2312F" w:rsidRPr="001D4B2D" w:rsidRDefault="00E0071C" w:rsidP="00F2312F">
            <w:pPr>
              <w:spacing w:before="40" w:after="40" w:line="240" w:lineRule="auto"/>
              <w:jc w:val="both"/>
              <w:rPr>
                <w:rFonts w:eastAsia="Times New Roman" w:cs="Times New Roman"/>
                <w:sz w:val="20"/>
                <w:szCs w:val="20"/>
                <w:lang w:val="en-CA" w:eastAsia="en-US"/>
              </w:rPr>
            </w:pPr>
            <w:r w:rsidRPr="001D4B2D">
              <w:rPr>
                <w:rFonts w:cs="Times New Roman" w:hint="eastAsia"/>
                <w:sz w:val="20"/>
                <w:szCs w:val="20"/>
                <w:lang w:val="en-CA"/>
              </w:rPr>
              <w:t>根据</w:t>
            </w:r>
            <w:r w:rsidRPr="001D4B2D">
              <w:rPr>
                <w:rFonts w:cs="Times New Roman"/>
                <w:sz w:val="20"/>
                <w:szCs w:val="20"/>
                <w:lang w:val="en-CA"/>
              </w:rPr>
              <w:t>第</w:t>
            </w:r>
            <w:r w:rsidRPr="001D4B2D">
              <w:rPr>
                <w:rFonts w:cs="Times New Roman"/>
                <w:sz w:val="20"/>
                <w:szCs w:val="20"/>
                <w:lang w:val="en-CA"/>
              </w:rPr>
              <w:t>7</w:t>
            </w:r>
            <w:r w:rsidRPr="001D4B2D">
              <w:rPr>
                <w:rFonts w:cs="Times New Roman"/>
                <w:sz w:val="20"/>
                <w:szCs w:val="20"/>
                <w:lang w:val="en-CA"/>
              </w:rPr>
              <w:t>条</w:t>
            </w:r>
            <w:r w:rsidRPr="001D4B2D">
              <w:rPr>
                <w:rFonts w:cs="Times New Roman" w:hint="eastAsia"/>
                <w:sz w:val="20"/>
                <w:szCs w:val="20"/>
                <w:lang w:val="en-CA"/>
              </w:rPr>
              <w:t>报告的</w:t>
            </w:r>
            <w:r w:rsidRPr="001D4B2D">
              <w:rPr>
                <w:rFonts w:cs="Times New Roman"/>
                <w:sz w:val="20"/>
                <w:szCs w:val="20"/>
                <w:lang w:val="en-CA"/>
              </w:rPr>
              <w:t>受控用途产量</w:t>
            </w:r>
          </w:p>
        </w:tc>
        <w:tc>
          <w:tcPr>
            <w:tcW w:w="1634" w:type="pct"/>
            <w:tcBorders>
              <w:top w:val="nil"/>
              <w:left w:val="nil"/>
              <w:bottom w:val="single" w:sz="4" w:space="0" w:color="auto"/>
              <w:right w:val="single" w:sz="4" w:space="0" w:color="auto"/>
            </w:tcBorders>
            <w:shd w:val="clear" w:color="auto" w:fill="auto"/>
            <w:noWrap/>
            <w:hideMark/>
          </w:tcPr>
          <w:p w14:paraId="1D20DE13" w14:textId="77777777" w:rsidR="00F2312F" w:rsidRPr="001D4B2D" w:rsidRDefault="00F2312F" w:rsidP="00F2312F">
            <w:pPr>
              <w:spacing w:before="40" w:after="40" w:line="240" w:lineRule="auto"/>
              <w:jc w:val="right"/>
              <w:rPr>
                <w:rFonts w:eastAsia="Times New Roman" w:cs="Times New Roman"/>
                <w:sz w:val="20"/>
                <w:szCs w:val="20"/>
                <w:lang w:val="en-CA" w:eastAsia="en-US"/>
              </w:rPr>
            </w:pPr>
            <w:r w:rsidRPr="001D4B2D">
              <w:rPr>
                <w:rFonts w:eastAsia="Times New Roman" w:cs="Times New Roman"/>
                <w:sz w:val="20"/>
                <w:szCs w:val="20"/>
                <w:lang w:val="en-CA" w:eastAsia="en-US"/>
              </w:rPr>
              <w:t>87.18</w:t>
            </w:r>
          </w:p>
        </w:tc>
      </w:tr>
      <w:tr w:rsidR="00F2312F" w:rsidRPr="001D4B2D" w14:paraId="2C1E8883" w14:textId="77777777" w:rsidTr="00E0071C">
        <w:tc>
          <w:tcPr>
            <w:tcW w:w="3366" w:type="pct"/>
            <w:tcBorders>
              <w:top w:val="nil"/>
              <w:left w:val="single" w:sz="4" w:space="0" w:color="auto"/>
              <w:bottom w:val="single" w:sz="4" w:space="0" w:color="auto"/>
              <w:right w:val="single" w:sz="4" w:space="0" w:color="auto"/>
            </w:tcBorders>
            <w:shd w:val="clear" w:color="auto" w:fill="auto"/>
            <w:noWrap/>
            <w:hideMark/>
          </w:tcPr>
          <w:p w14:paraId="082B6C24" w14:textId="5297BD0C" w:rsidR="00F2312F" w:rsidRPr="001D4B2D" w:rsidRDefault="00E0071C" w:rsidP="00F2312F">
            <w:pPr>
              <w:spacing w:before="40" w:after="40" w:line="240" w:lineRule="auto"/>
              <w:jc w:val="both"/>
              <w:rPr>
                <w:rFonts w:eastAsia="Times New Roman" w:cs="Times New Roman"/>
                <w:sz w:val="20"/>
                <w:szCs w:val="20"/>
                <w:lang w:val="en-CA" w:eastAsia="en-US"/>
              </w:rPr>
            </w:pPr>
            <w:r w:rsidRPr="001D4B2D">
              <w:rPr>
                <w:rFonts w:ascii="SimSun" w:hAnsi="SimSun" w:cs="SimSun" w:hint="eastAsia"/>
                <w:sz w:val="20"/>
                <w:szCs w:val="20"/>
                <w:lang w:val="en-CA"/>
              </w:rPr>
              <w:t>经核实的受控用途产量</w:t>
            </w:r>
            <w:r w:rsidR="00F2312F" w:rsidRPr="001D4B2D">
              <w:rPr>
                <w:rFonts w:eastAsia="Times New Roman" w:cs="Times New Roman"/>
                <w:sz w:val="20"/>
                <w:szCs w:val="20"/>
                <w:lang w:val="en-CA" w:eastAsia="en-US"/>
              </w:rPr>
              <w:t xml:space="preserve"> </w:t>
            </w:r>
          </w:p>
        </w:tc>
        <w:tc>
          <w:tcPr>
            <w:tcW w:w="1634" w:type="pct"/>
            <w:tcBorders>
              <w:top w:val="nil"/>
              <w:left w:val="nil"/>
              <w:bottom w:val="single" w:sz="4" w:space="0" w:color="auto"/>
              <w:right w:val="single" w:sz="4" w:space="0" w:color="auto"/>
            </w:tcBorders>
            <w:shd w:val="clear" w:color="auto" w:fill="auto"/>
            <w:noWrap/>
            <w:hideMark/>
          </w:tcPr>
          <w:p w14:paraId="04E04E0A" w14:textId="77777777" w:rsidR="00F2312F" w:rsidRPr="001D4B2D" w:rsidRDefault="00F2312F" w:rsidP="00F2312F">
            <w:pPr>
              <w:spacing w:before="40" w:after="40" w:line="240" w:lineRule="auto"/>
              <w:jc w:val="right"/>
              <w:rPr>
                <w:rFonts w:eastAsia="Times New Roman" w:cs="Times New Roman"/>
                <w:sz w:val="20"/>
                <w:szCs w:val="20"/>
                <w:lang w:val="en-CA" w:eastAsia="en-US"/>
              </w:rPr>
            </w:pPr>
            <w:r w:rsidRPr="001D4B2D">
              <w:rPr>
                <w:rFonts w:eastAsia="Times New Roman" w:cs="Times New Roman"/>
                <w:sz w:val="20"/>
                <w:szCs w:val="20"/>
                <w:lang w:val="en-CA" w:eastAsia="en-US"/>
              </w:rPr>
              <w:t>87.179</w:t>
            </w:r>
          </w:p>
        </w:tc>
      </w:tr>
      <w:tr w:rsidR="00F2312F" w:rsidRPr="001D4B2D" w14:paraId="45954786" w14:textId="77777777" w:rsidTr="00E0071C">
        <w:tc>
          <w:tcPr>
            <w:tcW w:w="3366" w:type="pct"/>
            <w:tcBorders>
              <w:top w:val="nil"/>
              <w:left w:val="single" w:sz="4" w:space="0" w:color="auto"/>
              <w:bottom w:val="single" w:sz="4" w:space="0" w:color="auto"/>
              <w:right w:val="single" w:sz="4" w:space="0" w:color="auto"/>
            </w:tcBorders>
            <w:shd w:val="clear" w:color="auto" w:fill="auto"/>
            <w:noWrap/>
            <w:hideMark/>
          </w:tcPr>
          <w:p w14:paraId="2A67C9E1" w14:textId="7ADB5AFD" w:rsidR="00F2312F" w:rsidRPr="001D4B2D" w:rsidRDefault="00E0071C" w:rsidP="00F2312F">
            <w:pPr>
              <w:spacing w:before="40" w:after="40" w:line="240" w:lineRule="auto"/>
              <w:jc w:val="both"/>
              <w:rPr>
                <w:rFonts w:eastAsia="Times New Roman" w:cs="Times New Roman"/>
                <w:sz w:val="20"/>
                <w:szCs w:val="20"/>
                <w:lang w:val="en-CA" w:eastAsia="en-US"/>
              </w:rPr>
            </w:pPr>
            <w:r w:rsidRPr="001D4B2D">
              <w:rPr>
                <w:rFonts w:ascii="SimSun" w:hAnsi="SimSun" w:cs="SimSun" w:hint="eastAsia"/>
                <w:sz w:val="20"/>
                <w:szCs w:val="20"/>
                <w:lang w:val="en-CA"/>
              </w:rPr>
              <w:t>缔约方大会批准的关键用途豁免数量</w:t>
            </w:r>
          </w:p>
        </w:tc>
        <w:tc>
          <w:tcPr>
            <w:tcW w:w="1634" w:type="pct"/>
            <w:tcBorders>
              <w:top w:val="nil"/>
              <w:left w:val="nil"/>
              <w:bottom w:val="single" w:sz="4" w:space="0" w:color="auto"/>
              <w:right w:val="single" w:sz="4" w:space="0" w:color="auto"/>
            </w:tcBorders>
            <w:shd w:val="clear" w:color="auto" w:fill="auto"/>
            <w:noWrap/>
            <w:hideMark/>
          </w:tcPr>
          <w:p w14:paraId="6AB890BB" w14:textId="77777777" w:rsidR="00F2312F" w:rsidRPr="001D4B2D" w:rsidRDefault="00F2312F" w:rsidP="00F2312F">
            <w:pPr>
              <w:spacing w:before="40" w:after="40" w:line="240" w:lineRule="auto"/>
              <w:jc w:val="right"/>
              <w:rPr>
                <w:rFonts w:eastAsia="Times New Roman" w:cs="Times New Roman"/>
                <w:sz w:val="20"/>
                <w:szCs w:val="20"/>
                <w:lang w:val="en-CA" w:eastAsia="en-US"/>
              </w:rPr>
            </w:pPr>
            <w:r w:rsidRPr="001D4B2D">
              <w:rPr>
                <w:rFonts w:eastAsia="Times New Roman" w:cs="Times New Roman"/>
                <w:sz w:val="20"/>
                <w:szCs w:val="20"/>
                <w:lang w:val="en-CA" w:eastAsia="en-US"/>
              </w:rPr>
              <w:t>87.24</w:t>
            </w:r>
          </w:p>
        </w:tc>
      </w:tr>
    </w:tbl>
    <w:p w14:paraId="3E27C73E" w14:textId="4C3E9DC3" w:rsidR="00F30365" w:rsidRDefault="00F30365" w:rsidP="00E0071C">
      <w:pPr>
        <w:spacing w:before="0" w:after="0" w:line="259" w:lineRule="auto"/>
        <w:jc w:val="both"/>
        <w:rPr>
          <w:lang w:val="zh-CN"/>
        </w:rPr>
      </w:pPr>
    </w:p>
    <w:p w14:paraId="19371370" w14:textId="2DA41856" w:rsidR="00E0071C" w:rsidRPr="00E0071C" w:rsidRDefault="00E0071C" w:rsidP="00E0071C">
      <w:pPr>
        <w:keepNext/>
        <w:spacing w:line="259" w:lineRule="auto"/>
        <w:jc w:val="both"/>
        <w:rPr>
          <w:u w:val="single"/>
          <w:lang w:val="zh-CN"/>
        </w:rPr>
      </w:pPr>
      <w:r w:rsidRPr="00E0071C">
        <w:rPr>
          <w:rFonts w:hint="eastAsia"/>
          <w:u w:val="single"/>
          <w:lang w:val="zh-CN"/>
        </w:rPr>
        <w:lastRenderedPageBreak/>
        <w:t>经核实的</w:t>
      </w:r>
      <w:r w:rsidRPr="00E0071C">
        <w:rPr>
          <w:rFonts w:hint="eastAsia"/>
          <w:u w:val="single"/>
          <w:lang w:val="zh-CN"/>
        </w:rPr>
        <w:t>2018</w:t>
      </w:r>
      <w:r w:rsidRPr="00E0071C">
        <w:rPr>
          <w:rFonts w:hint="eastAsia"/>
          <w:u w:val="single"/>
          <w:lang w:val="zh-CN"/>
        </w:rPr>
        <w:t>年甲基溴产量</w:t>
      </w:r>
    </w:p>
    <w:p w14:paraId="17D37CEC" w14:textId="580A0C4D" w:rsidR="00E0071C" w:rsidRPr="00E0071C" w:rsidRDefault="00E0071C" w:rsidP="00E0071C">
      <w:pPr>
        <w:numPr>
          <w:ilvl w:val="0"/>
          <w:numId w:val="20"/>
        </w:numPr>
        <w:spacing w:line="259" w:lineRule="auto"/>
        <w:ind w:left="0" w:firstLine="0"/>
        <w:jc w:val="both"/>
      </w:pPr>
      <w:r w:rsidRPr="00E0071C">
        <w:t>2019 </w:t>
      </w:r>
      <w:r w:rsidRPr="00E0071C">
        <w:t>年</w:t>
      </w:r>
      <w:r w:rsidRPr="00E0071C">
        <w:t>3</w:t>
      </w:r>
      <w:r w:rsidRPr="00E0071C">
        <w:t>月对</w:t>
      </w:r>
      <w:r w:rsidR="000F1DB9">
        <w:rPr>
          <w:rFonts w:hint="eastAsia"/>
        </w:rPr>
        <w:t>三个甲基溴</w:t>
      </w:r>
      <w:r w:rsidRPr="00E0071C">
        <w:t>生产</w:t>
      </w:r>
      <w:r w:rsidR="000F1DB9">
        <w:rPr>
          <w:rFonts w:hint="eastAsia"/>
        </w:rPr>
        <w:t>厂家</w:t>
      </w:r>
      <w:r w:rsidRPr="00E0071C">
        <w:t>进行了生产数据</w:t>
      </w:r>
      <w:r w:rsidR="000F1DB9">
        <w:rPr>
          <w:rFonts w:hint="eastAsia"/>
        </w:rPr>
        <w:t>核查</w:t>
      </w:r>
      <w:r w:rsidRPr="00E0071C">
        <w:t>。收集并</w:t>
      </w:r>
      <w:r w:rsidR="000F1DB9">
        <w:rPr>
          <w:rFonts w:hint="eastAsia"/>
        </w:rPr>
        <w:t>核查</w:t>
      </w:r>
      <w:r w:rsidRPr="00E0071C">
        <w:t>了</w:t>
      </w:r>
      <w:r w:rsidR="000F1DB9">
        <w:rPr>
          <w:rFonts w:hint="eastAsia"/>
        </w:rPr>
        <w:t>相关的</w:t>
      </w:r>
      <w:r w:rsidRPr="00E0071C">
        <w:t>2018</w:t>
      </w:r>
      <w:r w:rsidRPr="00E0071C">
        <w:t>年生产数据，包括：工厂</w:t>
      </w:r>
      <w:r w:rsidR="000F1DB9">
        <w:rPr>
          <w:rFonts w:hint="eastAsia"/>
        </w:rPr>
        <w:t>身份、</w:t>
      </w:r>
      <w:r w:rsidRPr="00E0071C">
        <w:t>工厂历史</w:t>
      </w:r>
      <w:r w:rsidR="000F1DB9">
        <w:rPr>
          <w:rFonts w:hint="eastAsia"/>
        </w:rPr>
        <w:t>、</w:t>
      </w:r>
      <w:r w:rsidRPr="00E0071C">
        <w:t>工厂运营详细</w:t>
      </w:r>
      <w:r w:rsidR="000F1DB9">
        <w:rPr>
          <w:rFonts w:hint="eastAsia"/>
        </w:rPr>
        <w:t>资料、</w:t>
      </w:r>
      <w:r w:rsidRPr="00E0071C">
        <w:t>销售数字以及</w:t>
      </w:r>
      <w:r w:rsidR="000F1DB9">
        <w:rPr>
          <w:rFonts w:hint="eastAsia"/>
        </w:rPr>
        <w:t>年初和年终库存</w:t>
      </w:r>
      <w:r w:rsidRPr="00E0071C">
        <w:t>。核查小组得出结论</w:t>
      </w:r>
      <w:r w:rsidR="000F1DB9">
        <w:rPr>
          <w:rFonts w:hint="eastAsia"/>
        </w:rPr>
        <w:t>认为</w:t>
      </w:r>
      <w:r w:rsidRPr="00E0071C">
        <w:t>，三个企业中没有</w:t>
      </w:r>
      <w:r w:rsidR="000F1DB9">
        <w:rPr>
          <w:rFonts w:hint="eastAsia"/>
        </w:rPr>
        <w:t>任何</w:t>
      </w:r>
      <w:r w:rsidRPr="00E0071C">
        <w:t>一家生产的受控用途甲基溴</w:t>
      </w:r>
      <w:r w:rsidR="000F1DB9">
        <w:rPr>
          <w:rFonts w:hint="eastAsia"/>
        </w:rPr>
        <w:t>产量</w:t>
      </w:r>
      <w:r w:rsidRPr="00E0071C">
        <w:t>超过配额，受控用途的生产</w:t>
      </w:r>
      <w:r w:rsidR="000F1DB9">
        <w:rPr>
          <w:rFonts w:hint="eastAsia"/>
        </w:rPr>
        <w:t>符合</w:t>
      </w:r>
      <w:r w:rsidRPr="00E0071C">
        <w:t>行业计划的</w:t>
      </w:r>
      <w:r w:rsidR="000F1DB9">
        <w:rPr>
          <w:rFonts w:hint="eastAsia"/>
        </w:rPr>
        <w:t>限制</w:t>
      </w:r>
      <w:r w:rsidRPr="00E0071C">
        <w:t>。</w:t>
      </w:r>
      <w:r w:rsidRPr="00E0071C">
        <w:t>             </w:t>
      </w:r>
    </w:p>
    <w:p w14:paraId="276C290D" w14:textId="47D372F0" w:rsidR="00E0071C" w:rsidRPr="00E0071C" w:rsidRDefault="008E0A04" w:rsidP="000F1DB9">
      <w:pPr>
        <w:keepNext/>
        <w:spacing w:line="259" w:lineRule="auto"/>
        <w:jc w:val="both"/>
      </w:pPr>
      <w:r>
        <w:rPr>
          <w:rFonts w:hint="eastAsia"/>
          <w:u w:val="single"/>
          <w:lang w:val="zh-CN"/>
        </w:rPr>
        <w:t>关于和</w:t>
      </w:r>
      <w:r w:rsidR="000F1DB9">
        <w:rPr>
          <w:rFonts w:hint="eastAsia"/>
          <w:u w:val="single"/>
          <w:lang w:val="zh-CN"/>
        </w:rPr>
        <w:t>海关总署之间</w:t>
      </w:r>
      <w:r w:rsidR="00E0071C" w:rsidRPr="00E0071C">
        <w:rPr>
          <w:u w:val="single"/>
          <w:lang w:val="zh-CN"/>
        </w:rPr>
        <w:t>合同</w:t>
      </w:r>
      <w:r w:rsidR="000F1DB9">
        <w:rPr>
          <w:rFonts w:hint="eastAsia"/>
          <w:u w:val="single"/>
          <w:lang w:val="zh-CN"/>
        </w:rPr>
        <w:t>的</w:t>
      </w:r>
      <w:r w:rsidR="00E0071C" w:rsidRPr="00E0071C">
        <w:rPr>
          <w:u w:val="single"/>
          <w:lang w:val="zh-CN"/>
        </w:rPr>
        <w:t>进度报告</w:t>
      </w:r>
    </w:p>
    <w:p w14:paraId="0407B500" w14:textId="0D235362" w:rsidR="00E0071C" w:rsidRPr="00E0071C" w:rsidRDefault="00E0071C" w:rsidP="000F1DB9">
      <w:pPr>
        <w:numPr>
          <w:ilvl w:val="0"/>
          <w:numId w:val="20"/>
        </w:numPr>
        <w:spacing w:line="259" w:lineRule="auto"/>
        <w:ind w:left="0" w:firstLine="0"/>
        <w:jc w:val="both"/>
      </w:pPr>
      <w:r w:rsidRPr="00E0071C">
        <w:t> </w:t>
      </w:r>
      <w:r w:rsidR="00736879">
        <w:rPr>
          <w:rFonts w:hint="eastAsia"/>
        </w:rPr>
        <w:t>由于</w:t>
      </w:r>
      <w:r w:rsidR="00736879" w:rsidRPr="00E0071C">
        <w:t>已</w:t>
      </w:r>
      <w:r w:rsidR="00736879">
        <w:rPr>
          <w:rFonts w:hint="eastAsia"/>
        </w:rPr>
        <w:t>把</w:t>
      </w:r>
      <w:r w:rsidR="00736879" w:rsidRPr="00736879">
        <w:t>国家质量监督检验检疫总局</w:t>
      </w:r>
      <w:r w:rsidR="00736879">
        <w:rPr>
          <w:rFonts w:hint="eastAsia"/>
        </w:rPr>
        <w:t>并入</w:t>
      </w:r>
      <w:r w:rsidRPr="00E0071C">
        <w:t>海关</w:t>
      </w:r>
      <w:r w:rsidR="00736879">
        <w:rPr>
          <w:rFonts w:hint="eastAsia"/>
        </w:rPr>
        <w:t>总署</w:t>
      </w:r>
      <w:r w:rsidRPr="00E0071C">
        <w:t>，</w:t>
      </w:r>
      <w:r w:rsidR="00736879">
        <w:rPr>
          <w:rFonts w:hint="eastAsia"/>
        </w:rPr>
        <w:t>生态和环境部</w:t>
      </w:r>
      <w:r w:rsidRPr="00E0071C">
        <w:t>/</w:t>
      </w:r>
      <w:r w:rsidR="00736879">
        <w:rPr>
          <w:rFonts w:hint="eastAsia"/>
        </w:rPr>
        <w:t>FECO</w:t>
      </w:r>
      <w:r w:rsidR="00736879">
        <w:rPr>
          <w:rFonts w:hint="eastAsia"/>
        </w:rPr>
        <w:t>正与</w:t>
      </w:r>
      <w:r w:rsidRPr="00E0071C">
        <w:t>海关</w:t>
      </w:r>
      <w:r w:rsidR="00736879">
        <w:rPr>
          <w:rFonts w:hint="eastAsia"/>
        </w:rPr>
        <w:t>总署谈判签署</w:t>
      </w:r>
      <w:r w:rsidRPr="00E0071C">
        <w:t>新的谅解备忘录，</w:t>
      </w:r>
      <w:r w:rsidR="00736879">
        <w:rPr>
          <w:rFonts w:hint="eastAsia"/>
        </w:rPr>
        <w:t>用以</w:t>
      </w:r>
      <w:r w:rsidRPr="00E0071C">
        <w:t>确定</w:t>
      </w:r>
      <w:r w:rsidR="00736879" w:rsidRPr="00E0071C">
        <w:t>2019</w:t>
      </w:r>
      <w:r w:rsidR="00736879">
        <w:rPr>
          <w:rFonts w:hint="eastAsia"/>
        </w:rPr>
        <w:t xml:space="preserve"> </w:t>
      </w:r>
      <w:r w:rsidR="00736879">
        <w:t xml:space="preserve">– </w:t>
      </w:r>
      <w:r w:rsidR="00736879" w:rsidRPr="00E0071C">
        <w:t>2021</w:t>
      </w:r>
      <w:r w:rsidR="00736879" w:rsidRPr="00E0071C">
        <w:t>年</w:t>
      </w:r>
      <w:r w:rsidRPr="00E0071C">
        <w:t>期间</w:t>
      </w:r>
      <w:r w:rsidR="00736879">
        <w:rPr>
          <w:rFonts w:hint="eastAsia"/>
        </w:rPr>
        <w:t>开展的活动。已经就</w:t>
      </w:r>
      <w:r w:rsidR="00736879" w:rsidRPr="00E0071C">
        <w:t>工作计划和备忘录</w:t>
      </w:r>
      <w:r w:rsidR="00736879">
        <w:rPr>
          <w:rFonts w:hint="eastAsia"/>
        </w:rPr>
        <w:t>举行了</w:t>
      </w:r>
      <w:r w:rsidRPr="00E0071C">
        <w:t>初步讨论，</w:t>
      </w:r>
      <w:r w:rsidR="00736879">
        <w:rPr>
          <w:rFonts w:hint="eastAsia"/>
        </w:rPr>
        <w:t>商定</w:t>
      </w:r>
      <w:r w:rsidRPr="00E0071C">
        <w:t>在第八十四次会议上签署一份备忘录。该备忘录</w:t>
      </w:r>
      <w:r w:rsidR="00736879">
        <w:rPr>
          <w:rFonts w:hint="eastAsia"/>
        </w:rPr>
        <w:t>一旦定稿</w:t>
      </w:r>
      <w:r w:rsidRPr="00E0071C">
        <w:t>，</w:t>
      </w:r>
      <w:r w:rsidR="00736879">
        <w:rPr>
          <w:rFonts w:hint="eastAsia"/>
        </w:rPr>
        <w:t>FECO</w:t>
      </w:r>
      <w:r w:rsidRPr="00E0071C">
        <w:t>将签署一份开展</w:t>
      </w:r>
      <w:r w:rsidR="00736879">
        <w:rPr>
          <w:rFonts w:hint="eastAsia"/>
        </w:rPr>
        <w:t>各项</w:t>
      </w:r>
      <w:r w:rsidRPr="00E0071C">
        <w:t>活动</w:t>
      </w:r>
      <w:r w:rsidR="00736879">
        <w:rPr>
          <w:rFonts w:hint="eastAsia"/>
        </w:rPr>
        <w:t>的合同</w:t>
      </w:r>
      <w:r w:rsidRPr="00E0071C">
        <w:t>。</w:t>
      </w:r>
      <w:r w:rsidRPr="00E0071C">
        <w:t>            </w:t>
      </w:r>
      <w:r w:rsidRPr="00E0071C">
        <w:rPr>
          <w:vertAlign w:val="superscript"/>
        </w:rPr>
        <w:t> </w:t>
      </w:r>
    </w:p>
    <w:p w14:paraId="36B77DC5" w14:textId="27688205" w:rsidR="00E0071C" w:rsidRPr="00E0071C" w:rsidRDefault="00736879" w:rsidP="00736879">
      <w:pPr>
        <w:keepNext/>
        <w:spacing w:line="259" w:lineRule="auto"/>
        <w:jc w:val="both"/>
        <w:rPr>
          <w:u w:val="single"/>
          <w:lang w:val="zh-CN"/>
        </w:rPr>
      </w:pPr>
      <w:r w:rsidRPr="00E0071C">
        <w:rPr>
          <w:u w:val="single"/>
          <w:lang w:val="zh-CN"/>
        </w:rPr>
        <w:t>2019</w:t>
      </w:r>
      <w:r w:rsidRPr="00736879">
        <w:rPr>
          <w:rFonts w:hint="eastAsia"/>
          <w:u w:val="single"/>
          <w:lang w:val="zh-CN"/>
        </w:rPr>
        <w:t xml:space="preserve"> </w:t>
      </w:r>
      <w:r w:rsidRPr="00736879">
        <w:rPr>
          <w:u w:val="single"/>
          <w:lang w:val="zh-CN"/>
        </w:rPr>
        <w:t xml:space="preserve">– </w:t>
      </w:r>
      <w:r w:rsidRPr="00E0071C">
        <w:rPr>
          <w:u w:val="single"/>
          <w:lang w:val="zh-CN"/>
        </w:rPr>
        <w:t>2021</w:t>
      </w:r>
      <w:r w:rsidR="00E0071C" w:rsidRPr="00E0071C">
        <w:rPr>
          <w:u w:val="single"/>
          <w:lang w:val="zh-CN"/>
        </w:rPr>
        <w:t>年</w:t>
      </w:r>
      <w:r w:rsidRPr="00736879">
        <w:rPr>
          <w:rFonts w:hint="eastAsia"/>
          <w:u w:val="single"/>
          <w:lang w:val="zh-CN"/>
        </w:rPr>
        <w:t>执行</w:t>
      </w:r>
      <w:r w:rsidR="00E0071C" w:rsidRPr="00E0071C">
        <w:rPr>
          <w:u w:val="single"/>
          <w:lang w:val="zh-CN"/>
        </w:rPr>
        <w:t>计划</w:t>
      </w:r>
    </w:p>
    <w:p w14:paraId="6FFE5D1A" w14:textId="75887343" w:rsidR="00E0071C" w:rsidRPr="00E0071C" w:rsidRDefault="00D87497" w:rsidP="00E0071C">
      <w:pPr>
        <w:numPr>
          <w:ilvl w:val="0"/>
          <w:numId w:val="20"/>
        </w:numPr>
        <w:spacing w:line="259" w:lineRule="auto"/>
        <w:ind w:left="0" w:firstLine="0"/>
        <w:jc w:val="both"/>
      </w:pPr>
      <w:r>
        <w:rPr>
          <w:rFonts w:hint="eastAsia"/>
        </w:rPr>
        <w:t>执行委员会第八十二次</w:t>
      </w:r>
      <w:r w:rsidR="00E0071C" w:rsidRPr="00E0071C">
        <w:t>会议</w:t>
      </w:r>
      <w:r>
        <w:rPr>
          <w:rFonts w:hint="eastAsia"/>
        </w:rPr>
        <w:t>注意到</w:t>
      </w:r>
      <w:r w:rsidR="00E0071C" w:rsidRPr="00E0071C">
        <w:t>，</w:t>
      </w:r>
      <w:r w:rsidR="00E0071C" w:rsidRPr="00E0071C">
        <w:t>2019</w:t>
      </w:r>
      <w:r>
        <w:rPr>
          <w:rFonts w:hint="eastAsia"/>
        </w:rPr>
        <w:t xml:space="preserve"> </w:t>
      </w:r>
      <w:r>
        <w:t xml:space="preserve">– </w:t>
      </w:r>
      <w:r>
        <w:rPr>
          <w:rFonts w:hint="eastAsia"/>
        </w:rPr>
        <w:t>2021</w:t>
      </w:r>
      <w:r>
        <w:rPr>
          <w:rFonts w:hint="eastAsia"/>
        </w:rPr>
        <w:t>年</w:t>
      </w:r>
      <w:r w:rsidR="00E0071C" w:rsidRPr="00E0071C">
        <w:t>工作计划</w:t>
      </w:r>
      <w:r>
        <w:rPr>
          <w:rFonts w:hint="eastAsia"/>
        </w:rPr>
        <w:t>包括以下活动：侧重于对这段期间内的甲基溴生产情况进行监测和监督的近期活动，</w:t>
      </w:r>
      <w:r w:rsidR="00CB1726">
        <w:rPr>
          <w:rFonts w:hint="eastAsia"/>
        </w:rPr>
        <w:t>以及</w:t>
      </w:r>
      <w:r w:rsidR="00E0071C" w:rsidRPr="00E0071C">
        <w:t>旨在</w:t>
      </w:r>
      <w:r w:rsidR="00CB1726">
        <w:rPr>
          <w:rFonts w:hint="eastAsia"/>
        </w:rPr>
        <w:t>通过制定和实施甲基溴</w:t>
      </w:r>
      <w:r w:rsidR="00CB1726" w:rsidRPr="00E0071C">
        <w:t>监测和监督</w:t>
      </w:r>
      <w:r w:rsidR="00CB1726">
        <w:rPr>
          <w:rFonts w:hint="eastAsia"/>
        </w:rPr>
        <w:t>方案</w:t>
      </w:r>
      <w:r w:rsidR="00CB1726" w:rsidRPr="00E0071C">
        <w:t>及工具</w:t>
      </w:r>
      <w:r w:rsidR="00CB1726">
        <w:rPr>
          <w:rFonts w:hint="eastAsia"/>
        </w:rPr>
        <w:t>来</w:t>
      </w:r>
      <w:r w:rsidR="00E0071C" w:rsidRPr="00E0071C">
        <w:t>确保长期</w:t>
      </w:r>
      <w:r w:rsidR="00CB1726">
        <w:rPr>
          <w:rFonts w:hint="eastAsia"/>
        </w:rPr>
        <w:t>履约的活动</w:t>
      </w:r>
      <w:r w:rsidR="00E0071C" w:rsidRPr="00E0071C">
        <w:t>。</w:t>
      </w:r>
    </w:p>
    <w:p w14:paraId="0C46AB21" w14:textId="3D286672" w:rsidR="00E0071C" w:rsidRPr="00E0071C" w:rsidRDefault="001A75F2" w:rsidP="00CB1726">
      <w:pPr>
        <w:numPr>
          <w:ilvl w:val="0"/>
          <w:numId w:val="20"/>
        </w:numPr>
        <w:spacing w:line="259" w:lineRule="auto"/>
        <w:ind w:left="0" w:firstLine="0"/>
        <w:jc w:val="both"/>
      </w:pPr>
      <w:r>
        <w:rPr>
          <w:rFonts w:hint="eastAsia"/>
        </w:rPr>
        <w:t>自从向</w:t>
      </w:r>
      <w:r w:rsidRPr="00E0071C">
        <w:t>第八十三次会议提交</w:t>
      </w:r>
      <w:r w:rsidR="00E0071C" w:rsidRPr="00E0071C">
        <w:t>进度报告</w:t>
      </w:r>
      <w:r>
        <w:rPr>
          <w:rStyle w:val="FootnoteReference"/>
        </w:rPr>
        <w:footnoteReference w:id="13"/>
      </w:r>
      <w:r w:rsidR="00E0071C" w:rsidRPr="00E0071C">
        <w:t>以来，</w:t>
      </w:r>
      <w:bookmarkStart w:id="11" w:name="_ftnref13"/>
      <w:bookmarkEnd w:id="11"/>
      <w:r>
        <w:t>FECO</w:t>
      </w:r>
      <w:r w:rsidR="00E0071C" w:rsidRPr="00E0071C">
        <w:t>正在</w:t>
      </w:r>
      <w:r>
        <w:rPr>
          <w:rFonts w:hint="eastAsia"/>
        </w:rPr>
        <w:t>为</w:t>
      </w:r>
      <w:r w:rsidRPr="00E0071C">
        <w:t>建立甲基溴</w:t>
      </w:r>
      <w:r>
        <w:rPr>
          <w:rFonts w:hint="eastAsia"/>
        </w:rPr>
        <w:t>标识</w:t>
      </w:r>
      <w:r w:rsidRPr="00E0071C">
        <w:t>和</w:t>
      </w:r>
      <w:r>
        <w:rPr>
          <w:rFonts w:hint="eastAsia"/>
        </w:rPr>
        <w:t>跟踪监测</w:t>
      </w:r>
      <w:r w:rsidRPr="00E0071C">
        <w:t>系统</w:t>
      </w:r>
      <w:r w:rsidR="00E0071C" w:rsidRPr="00E0071C">
        <w:t>制定职权范围，该系统将于</w:t>
      </w:r>
      <w:r w:rsidR="00E0071C" w:rsidRPr="00E0071C">
        <w:t>2019</w:t>
      </w:r>
      <w:r w:rsidR="00E0071C" w:rsidRPr="00E0071C">
        <w:t>年底</w:t>
      </w:r>
      <w:r>
        <w:rPr>
          <w:rFonts w:hint="eastAsia"/>
        </w:rPr>
        <w:t>之前建成</w:t>
      </w:r>
      <w:r w:rsidR="00E0071C" w:rsidRPr="00E0071C">
        <w:t>。</w:t>
      </w:r>
      <w:r>
        <w:t>FECO</w:t>
      </w:r>
      <w:r w:rsidR="0039513E">
        <w:rPr>
          <w:rFonts w:hint="eastAsia"/>
        </w:rPr>
        <w:t>所</w:t>
      </w:r>
      <w:r w:rsidR="00E0071C" w:rsidRPr="00E0071C">
        <w:t>建立</w:t>
      </w:r>
      <w:r w:rsidR="0039513E">
        <w:rPr>
          <w:rFonts w:hint="eastAsia"/>
        </w:rPr>
        <w:t>的甲基溴标识</w:t>
      </w:r>
      <w:r w:rsidR="00E0071C" w:rsidRPr="00E0071C">
        <w:t>和</w:t>
      </w:r>
      <w:r w:rsidR="0039513E">
        <w:rPr>
          <w:rFonts w:hint="eastAsia"/>
        </w:rPr>
        <w:t>跟踪监测</w:t>
      </w:r>
      <w:r w:rsidR="00E0071C" w:rsidRPr="00E0071C">
        <w:t>系统将</w:t>
      </w:r>
      <w:r w:rsidR="0039513E">
        <w:rPr>
          <w:rFonts w:hint="eastAsia"/>
        </w:rPr>
        <w:t>动态收集</w:t>
      </w:r>
      <w:r w:rsidR="00E0071C" w:rsidRPr="00E0071C">
        <w:t>生产和消费信息</w:t>
      </w:r>
      <w:r w:rsidR="0039513E">
        <w:rPr>
          <w:rFonts w:hint="eastAsia"/>
        </w:rPr>
        <w:t>，将其输入一个数据管理信息系统</w:t>
      </w:r>
      <w:r w:rsidR="00E0071C" w:rsidRPr="00E0071C">
        <w:t>。</w:t>
      </w:r>
      <w:r w:rsidR="0039513E">
        <w:rPr>
          <w:rFonts w:hint="eastAsia"/>
        </w:rPr>
        <w:t>由于甲基溴只用钢瓶运输</w:t>
      </w:r>
      <w:r w:rsidR="00E0071C" w:rsidRPr="00E0071C">
        <w:t>，而不</w:t>
      </w:r>
      <w:r w:rsidR="0039513E">
        <w:rPr>
          <w:rFonts w:hint="eastAsia"/>
        </w:rPr>
        <w:t>用集装罐运输</w:t>
      </w:r>
      <w:r w:rsidR="00E0071C" w:rsidRPr="00E0071C">
        <w:t>，</w:t>
      </w:r>
      <w:r w:rsidR="0039513E">
        <w:rPr>
          <w:rFonts w:hint="eastAsia"/>
        </w:rPr>
        <w:t>每只灌装了甲基溴的钢瓶都</w:t>
      </w:r>
      <w:r w:rsidR="00E0071C" w:rsidRPr="00E0071C">
        <w:t>将被</w:t>
      </w:r>
      <w:r w:rsidR="0039513E">
        <w:rPr>
          <w:rFonts w:hint="eastAsia"/>
        </w:rPr>
        <w:t>标识</w:t>
      </w:r>
      <w:r w:rsidR="00E0071C" w:rsidRPr="00E0071C">
        <w:t>，</w:t>
      </w:r>
      <w:r w:rsidR="0039513E">
        <w:rPr>
          <w:rFonts w:hint="eastAsia"/>
        </w:rPr>
        <w:t>而且在核查了甲基溴</w:t>
      </w:r>
      <w:r w:rsidR="00E0071C" w:rsidRPr="00E0071C">
        <w:t>如何使用</w:t>
      </w:r>
      <w:r w:rsidR="0039513E">
        <w:rPr>
          <w:rFonts w:hint="eastAsia"/>
        </w:rPr>
        <w:t>之后</w:t>
      </w:r>
      <w:r w:rsidR="00E0071C" w:rsidRPr="00E0071C">
        <w:t>（例如，在</w:t>
      </w:r>
      <w:r w:rsidR="0039513E" w:rsidRPr="0039513E">
        <w:t>检疫和装运前消毒处理</w:t>
      </w:r>
      <w:r w:rsidR="0039513E">
        <w:rPr>
          <w:rFonts w:hint="eastAsia"/>
        </w:rPr>
        <w:t>熏蒸设施</w:t>
      </w:r>
      <w:r w:rsidR="00E0071C" w:rsidRPr="00E0071C">
        <w:t>或原料用户</w:t>
      </w:r>
      <w:r w:rsidR="0039513E">
        <w:rPr>
          <w:rFonts w:hint="eastAsia"/>
        </w:rPr>
        <w:t>进行核查</w:t>
      </w:r>
      <w:r w:rsidR="00E0071C" w:rsidRPr="00E0071C">
        <w:t>），</w:t>
      </w:r>
      <w:r w:rsidR="0039513E" w:rsidRPr="00E0071C">
        <w:t>将记录</w:t>
      </w:r>
      <w:r w:rsidR="00E0071C" w:rsidRPr="00E0071C">
        <w:t>使用类型（例如，</w:t>
      </w:r>
      <w:r w:rsidR="0039513E" w:rsidRPr="0039513E">
        <w:t>检疫和装运前消毒处理</w:t>
      </w:r>
      <w:r w:rsidR="00E0071C" w:rsidRPr="00E0071C">
        <w:t>或原料）。该系统将根据每个</w:t>
      </w:r>
      <w:r w:rsidR="0039513E">
        <w:rPr>
          <w:rFonts w:hint="eastAsia"/>
        </w:rPr>
        <w:t>甲基溴</w:t>
      </w:r>
      <w:r w:rsidR="00E0071C" w:rsidRPr="00E0071C">
        <w:t>生产</w:t>
      </w:r>
      <w:r w:rsidR="0039513E">
        <w:rPr>
          <w:rFonts w:hint="eastAsia"/>
        </w:rPr>
        <w:t>厂家</w:t>
      </w:r>
      <w:r w:rsidR="00E0071C" w:rsidRPr="00E0071C">
        <w:t>的特点</w:t>
      </w:r>
      <w:r w:rsidR="0039513E">
        <w:rPr>
          <w:rFonts w:hint="eastAsia"/>
        </w:rPr>
        <w:t>来</w:t>
      </w:r>
      <w:r w:rsidR="00E0071C" w:rsidRPr="00E0071C">
        <w:t>设计，并考虑</w:t>
      </w:r>
      <w:r w:rsidR="0039513E">
        <w:rPr>
          <w:rFonts w:hint="eastAsia"/>
        </w:rPr>
        <w:t>到</w:t>
      </w:r>
      <w:r w:rsidR="00E0071C" w:rsidRPr="00E0071C">
        <w:t>利益</w:t>
      </w:r>
      <w:r w:rsidR="0039513E">
        <w:rPr>
          <w:rFonts w:hint="eastAsia"/>
        </w:rPr>
        <w:t>攸关方</w:t>
      </w:r>
      <w:r w:rsidR="00E0071C" w:rsidRPr="00E0071C">
        <w:t>的建议。此外，</w:t>
      </w:r>
      <w:r w:rsidR="0039513E">
        <w:rPr>
          <w:rFonts w:hint="eastAsia"/>
        </w:rPr>
        <w:t>FECO</w:t>
      </w:r>
      <w:r w:rsidR="00E0071C" w:rsidRPr="00E0071C">
        <w:t>正在</w:t>
      </w:r>
      <w:r w:rsidR="008E0A04">
        <w:rPr>
          <w:rFonts w:hint="eastAsia"/>
        </w:rPr>
        <w:t>制定</w:t>
      </w:r>
      <w:r w:rsidR="008E0A04" w:rsidRPr="00E0071C">
        <w:t>2017</w:t>
      </w:r>
      <w:r w:rsidR="008E0A04">
        <w:rPr>
          <w:rFonts w:hint="eastAsia"/>
        </w:rPr>
        <w:t xml:space="preserve"> </w:t>
      </w:r>
      <w:r w:rsidR="008E0A04">
        <w:t>–</w:t>
      </w:r>
      <w:r w:rsidR="008E0A04" w:rsidRPr="00E0071C">
        <w:t> 2018</w:t>
      </w:r>
      <w:r w:rsidR="008E0A04">
        <w:rPr>
          <w:rFonts w:hint="eastAsia"/>
        </w:rPr>
        <w:t>年甲基溴</w:t>
      </w:r>
      <w:r w:rsidR="00E0071C" w:rsidRPr="00E0071C">
        <w:t>原料用途数据调查的职权范围</w:t>
      </w:r>
      <w:r w:rsidR="008E0A04">
        <w:rPr>
          <w:rFonts w:hint="eastAsia"/>
        </w:rPr>
        <w:t>。</w:t>
      </w:r>
    </w:p>
    <w:p w14:paraId="0E1FCE0F" w14:textId="77777777" w:rsidR="00E0071C" w:rsidRPr="00E0071C" w:rsidRDefault="00E0071C" w:rsidP="008E0A04">
      <w:pPr>
        <w:pStyle w:val="Heading1"/>
        <w:spacing w:line="259" w:lineRule="auto"/>
        <w:ind w:left="1267" w:hanging="1267"/>
        <w:rPr>
          <w:rFonts w:hint="eastAsia"/>
          <w:lang w:val="en-GB"/>
        </w:rPr>
      </w:pPr>
      <w:r w:rsidRPr="00E0071C">
        <w:rPr>
          <w:lang w:val="en-GB"/>
        </w:rPr>
        <w:t>秘书处的评论</w:t>
      </w:r>
    </w:p>
    <w:p w14:paraId="748FE697" w14:textId="77777777" w:rsidR="008E0A04" w:rsidRPr="008E0A04" w:rsidRDefault="008E0A04" w:rsidP="008E0A04">
      <w:pPr>
        <w:keepNext/>
        <w:spacing w:line="259" w:lineRule="auto"/>
        <w:jc w:val="both"/>
        <w:rPr>
          <w:u w:val="single"/>
        </w:rPr>
      </w:pPr>
      <w:r w:rsidRPr="008E0A04">
        <w:rPr>
          <w:u w:val="single"/>
          <w:lang w:val="zh-CN"/>
        </w:rPr>
        <w:t>关于和海关总署</w:t>
      </w:r>
      <w:r w:rsidRPr="008E0A04">
        <w:rPr>
          <w:rFonts w:hint="eastAsia"/>
          <w:u w:val="single"/>
          <w:lang w:val="zh-CN"/>
        </w:rPr>
        <w:t>之间</w:t>
      </w:r>
      <w:r w:rsidRPr="008E0A04">
        <w:rPr>
          <w:u w:val="single"/>
          <w:lang w:val="zh-CN"/>
        </w:rPr>
        <w:t>合同的进度报告</w:t>
      </w:r>
    </w:p>
    <w:p w14:paraId="168623F5" w14:textId="18D33F8A" w:rsidR="00E0071C" w:rsidRPr="00E0071C" w:rsidRDefault="008E0A04" w:rsidP="00E0071C">
      <w:pPr>
        <w:numPr>
          <w:ilvl w:val="0"/>
          <w:numId w:val="20"/>
        </w:numPr>
        <w:spacing w:line="259" w:lineRule="auto"/>
        <w:ind w:left="0" w:firstLine="0"/>
        <w:jc w:val="both"/>
      </w:pPr>
      <w:r>
        <w:rPr>
          <w:rFonts w:hint="eastAsia"/>
        </w:rPr>
        <w:t>秘书处</w:t>
      </w:r>
      <w:r w:rsidR="00E0071C" w:rsidRPr="00E0071C">
        <w:t>注意到，</w:t>
      </w:r>
      <w:r>
        <w:rPr>
          <w:rFonts w:hint="eastAsia"/>
        </w:rPr>
        <w:t>和</w:t>
      </w:r>
      <w:r w:rsidR="00E0071C" w:rsidRPr="00E0071C">
        <w:t>海关</w:t>
      </w:r>
      <w:r>
        <w:rPr>
          <w:rFonts w:hint="eastAsia"/>
        </w:rPr>
        <w:t>总署之间关于建立</w:t>
      </w:r>
      <w:r w:rsidR="00E0071C" w:rsidRPr="00E0071C">
        <w:t>管理信息系统</w:t>
      </w:r>
      <w:r>
        <w:rPr>
          <w:rFonts w:hint="eastAsia"/>
        </w:rPr>
        <w:t>，将其纳入</w:t>
      </w:r>
      <w:r w:rsidR="00E0071C" w:rsidRPr="00E0071C">
        <w:t>监测和监督</w:t>
      </w:r>
      <w:r>
        <w:rPr>
          <w:rFonts w:hint="eastAsia"/>
        </w:rPr>
        <w:t>方案的合同</w:t>
      </w:r>
      <w:r w:rsidR="00E0071C" w:rsidRPr="00E0071C">
        <w:t>尚未签署，</w:t>
      </w:r>
      <w:r>
        <w:rPr>
          <w:rFonts w:hint="eastAsia"/>
        </w:rPr>
        <w:t>因此</w:t>
      </w:r>
      <w:r w:rsidR="00E0071C" w:rsidRPr="00E0071C">
        <w:t>建议中国政府通过工发组织</w:t>
      </w:r>
      <w:r>
        <w:rPr>
          <w:rFonts w:hint="eastAsia"/>
        </w:rPr>
        <w:t>在</w:t>
      </w:r>
      <w:r w:rsidRPr="00E0071C">
        <w:t>第八十四次会议上</w:t>
      </w:r>
      <w:r w:rsidR="00E0071C" w:rsidRPr="00E0071C">
        <w:t>口头</w:t>
      </w:r>
      <w:r>
        <w:rPr>
          <w:rFonts w:hint="eastAsia"/>
        </w:rPr>
        <w:t>说明</w:t>
      </w:r>
      <w:r w:rsidR="00E0071C" w:rsidRPr="00E0071C">
        <w:t>合同</w:t>
      </w:r>
      <w:r>
        <w:rPr>
          <w:rFonts w:hint="eastAsia"/>
        </w:rPr>
        <w:t>的最新情况</w:t>
      </w:r>
      <w:r w:rsidR="00E0071C" w:rsidRPr="00E0071C">
        <w:t>，</w:t>
      </w:r>
      <w:r w:rsidR="00573AB1">
        <w:rPr>
          <w:rFonts w:hint="eastAsia"/>
        </w:rPr>
        <w:t>并</w:t>
      </w:r>
      <w:r w:rsidR="00E0071C" w:rsidRPr="00E0071C">
        <w:t>有一</w:t>
      </w:r>
      <w:r w:rsidR="00C63027">
        <w:rPr>
          <w:rFonts w:hint="eastAsia"/>
        </w:rPr>
        <w:t>个条件是</w:t>
      </w:r>
      <w:r w:rsidR="00E0071C" w:rsidRPr="00E0071C">
        <w:t>，如果</w:t>
      </w:r>
      <w:r w:rsidR="00C63027">
        <w:rPr>
          <w:rFonts w:hint="eastAsia"/>
        </w:rPr>
        <w:t>届时尚</w:t>
      </w:r>
      <w:r w:rsidR="00E0071C" w:rsidRPr="00E0071C">
        <w:t>未签署合同，</w:t>
      </w:r>
      <w:r w:rsidR="00C63027">
        <w:rPr>
          <w:rFonts w:hint="eastAsia"/>
        </w:rPr>
        <w:t>将把</w:t>
      </w:r>
      <w:r w:rsidR="00E0071C" w:rsidRPr="00E0071C">
        <w:t>分配的资金（</w:t>
      </w:r>
      <w:r w:rsidR="00E0071C" w:rsidRPr="00E0071C">
        <w:t>350,000</w:t>
      </w:r>
      <w:r w:rsidR="00E0071C" w:rsidRPr="00E0071C">
        <w:t>美元，加上工发组织的机构支助费用</w:t>
      </w:r>
      <w:r w:rsidR="00C63027" w:rsidRPr="00C63027">
        <w:rPr>
          <w:lang w:val="en-CA"/>
        </w:rPr>
        <w:t>26,250</w:t>
      </w:r>
      <w:r w:rsidR="00E0071C" w:rsidRPr="00E0071C">
        <w:t>美元）退还</w:t>
      </w:r>
      <w:r w:rsidR="00C63027">
        <w:rPr>
          <w:rFonts w:hint="eastAsia"/>
        </w:rPr>
        <w:t>多边</w:t>
      </w:r>
      <w:r w:rsidR="00E0071C" w:rsidRPr="00E0071C">
        <w:t>基金。</w:t>
      </w:r>
      <w:r w:rsidR="00E0071C" w:rsidRPr="00E0071C">
        <w:rPr>
          <w:vertAlign w:val="superscript"/>
        </w:rPr>
        <w:t> </w:t>
      </w:r>
      <w:r w:rsidR="00E0071C" w:rsidRPr="00E0071C">
        <w:t>  </w:t>
      </w:r>
    </w:p>
    <w:p w14:paraId="331E2407" w14:textId="7198A769" w:rsidR="00E0071C" w:rsidRPr="00E0071C" w:rsidRDefault="00E0071C" w:rsidP="00C63027">
      <w:pPr>
        <w:numPr>
          <w:ilvl w:val="0"/>
          <w:numId w:val="20"/>
        </w:numPr>
        <w:spacing w:line="259" w:lineRule="auto"/>
        <w:ind w:left="0" w:firstLine="0"/>
        <w:jc w:val="both"/>
      </w:pPr>
      <w:r w:rsidRPr="00E0071C">
        <w:t>工发组织澄清说，备忘录已经起草，磋商仍在进行中，以便可以在第八十四次会议之前签署备忘录。但是，鉴于执行委员会已同意将甲基溴生产行业计划的完成日期延至</w:t>
      </w:r>
      <w:r w:rsidRPr="00E0071C">
        <w:t>2021 </w:t>
      </w:r>
      <w:r w:rsidRPr="00E0071C">
        <w:t>年</w:t>
      </w:r>
      <w:r w:rsidRPr="00E0071C">
        <w:t>12</w:t>
      </w:r>
      <w:r w:rsidRPr="00E0071C">
        <w:t>月</w:t>
      </w:r>
      <w:r w:rsidRPr="00E0071C">
        <w:t>31 </w:t>
      </w:r>
      <w:r w:rsidRPr="00E0071C">
        <w:t>日</w:t>
      </w:r>
      <w:r w:rsidR="00C63027">
        <w:rPr>
          <w:rFonts w:hint="eastAsia"/>
        </w:rPr>
        <w:t>，</w:t>
      </w:r>
      <w:r w:rsidRPr="00E0071C">
        <w:t>并注意到</w:t>
      </w:r>
      <w:r w:rsidR="00C63027">
        <w:rPr>
          <w:rFonts w:hint="eastAsia"/>
        </w:rPr>
        <w:t>了旨在</w:t>
      </w:r>
      <w:r w:rsidR="00C63027" w:rsidRPr="00E0071C">
        <w:t>确保对中国的甲基溴生产进行长期持续监测</w:t>
      </w:r>
      <w:r w:rsidR="00C63027">
        <w:rPr>
          <w:rFonts w:hint="eastAsia"/>
        </w:rPr>
        <w:t>的</w:t>
      </w:r>
      <w:r w:rsidRPr="00E0071C">
        <w:t>2019</w:t>
      </w:r>
      <w:r w:rsidR="00C63027">
        <w:t xml:space="preserve"> – </w:t>
      </w:r>
      <w:r w:rsidRPr="00E0071C">
        <w:t>2021</w:t>
      </w:r>
      <w:r w:rsidRPr="00E0071C">
        <w:t>年</w:t>
      </w:r>
      <w:r w:rsidR="00C63027" w:rsidRPr="00E0071C">
        <w:t>拟议</w:t>
      </w:r>
      <w:r w:rsidRPr="00E0071C">
        <w:t>工作计划（第</w:t>
      </w:r>
      <w:r w:rsidRPr="00E0071C">
        <w:t>82/19 </w:t>
      </w:r>
      <w:r w:rsidR="00C63027" w:rsidRPr="00E0071C">
        <w:t>号决定</w:t>
      </w:r>
      <w:r w:rsidRPr="00E0071C">
        <w:t>(b)</w:t>
      </w:r>
      <w:r w:rsidRPr="00E0071C">
        <w:t>和</w:t>
      </w:r>
      <w:r w:rsidRPr="00E0071C">
        <w:t>(d)</w:t>
      </w:r>
      <w:r w:rsidR="00C63027">
        <w:rPr>
          <w:rFonts w:hint="eastAsia"/>
        </w:rPr>
        <w:t>段</w:t>
      </w:r>
      <w:r w:rsidRPr="00E0071C">
        <w:t>），政府认为不应</w:t>
      </w:r>
      <w:r w:rsidR="00C63027">
        <w:rPr>
          <w:rFonts w:hint="eastAsia"/>
        </w:rPr>
        <w:t>在</w:t>
      </w:r>
      <w:r w:rsidRPr="00E0071C">
        <w:t>第八十四次会议上退还资金。</w:t>
      </w:r>
      <w:r w:rsidRPr="00E0071C">
        <w:t>  </w:t>
      </w:r>
    </w:p>
    <w:p w14:paraId="2658F8F6" w14:textId="6C8CCC72" w:rsidR="00E0071C" w:rsidRPr="00E0071C" w:rsidRDefault="00C63027" w:rsidP="00C63027">
      <w:pPr>
        <w:keepNext/>
        <w:spacing w:line="259" w:lineRule="auto"/>
        <w:jc w:val="both"/>
        <w:rPr>
          <w:u w:val="single"/>
          <w:lang w:val="zh-CN"/>
        </w:rPr>
      </w:pPr>
      <w:r>
        <w:rPr>
          <w:rFonts w:hint="eastAsia"/>
          <w:u w:val="single"/>
          <w:lang w:val="zh-CN"/>
        </w:rPr>
        <w:lastRenderedPageBreak/>
        <w:t>甲基溴标识</w:t>
      </w:r>
      <w:r w:rsidR="00E0071C" w:rsidRPr="00E0071C">
        <w:rPr>
          <w:u w:val="single"/>
          <w:lang w:val="zh-CN"/>
        </w:rPr>
        <w:t>和</w:t>
      </w:r>
      <w:r>
        <w:rPr>
          <w:rFonts w:hint="eastAsia"/>
          <w:u w:val="single"/>
          <w:lang w:val="zh-CN"/>
        </w:rPr>
        <w:t>跟踪监测</w:t>
      </w:r>
      <w:r w:rsidR="00E0071C" w:rsidRPr="00E0071C">
        <w:rPr>
          <w:u w:val="single"/>
          <w:lang w:val="zh-CN"/>
        </w:rPr>
        <w:t>系统</w:t>
      </w:r>
    </w:p>
    <w:p w14:paraId="2C6FA1E6" w14:textId="6821ECA4" w:rsidR="00E0071C" w:rsidRDefault="00E0071C" w:rsidP="00E0071C">
      <w:pPr>
        <w:numPr>
          <w:ilvl w:val="0"/>
          <w:numId w:val="20"/>
        </w:numPr>
        <w:spacing w:line="259" w:lineRule="auto"/>
        <w:ind w:left="0" w:firstLine="0"/>
        <w:jc w:val="both"/>
      </w:pPr>
      <w:r w:rsidRPr="00E0071C">
        <w:t>秘书处</w:t>
      </w:r>
      <w:r w:rsidR="00C63027">
        <w:rPr>
          <w:rFonts w:hint="eastAsia"/>
        </w:rPr>
        <w:t>注意到</w:t>
      </w:r>
      <w:r w:rsidRPr="00E0071C">
        <w:t>，甲基溴</w:t>
      </w:r>
      <w:r w:rsidR="00C63027">
        <w:rPr>
          <w:rFonts w:hint="eastAsia"/>
        </w:rPr>
        <w:t>标识</w:t>
      </w:r>
      <w:r w:rsidRPr="00E0071C">
        <w:t>和</w:t>
      </w:r>
      <w:r w:rsidR="00C63027">
        <w:rPr>
          <w:rFonts w:hint="eastAsia"/>
        </w:rPr>
        <w:t>跟踪监测</w:t>
      </w:r>
      <w:r w:rsidRPr="00E0071C">
        <w:t>系统</w:t>
      </w:r>
      <w:r w:rsidR="00C63027">
        <w:rPr>
          <w:rFonts w:hint="eastAsia"/>
        </w:rPr>
        <w:t>的</w:t>
      </w:r>
      <w:r w:rsidR="00C63027" w:rsidRPr="00E0071C">
        <w:t>建立</w:t>
      </w:r>
      <w:r w:rsidRPr="00E0071C">
        <w:t>仍处于</w:t>
      </w:r>
      <w:r w:rsidR="00C63027">
        <w:rPr>
          <w:rFonts w:hint="eastAsia"/>
        </w:rPr>
        <w:t>构想</w:t>
      </w:r>
      <w:r w:rsidRPr="00E0071C">
        <w:t>阶段，并建议政府在</w:t>
      </w:r>
      <w:r w:rsidR="00C63027">
        <w:rPr>
          <w:rFonts w:hint="eastAsia"/>
        </w:rPr>
        <w:t>提交第八十六次会议的</w:t>
      </w:r>
      <w:r w:rsidR="00573AB1">
        <w:rPr>
          <w:rFonts w:hint="eastAsia"/>
        </w:rPr>
        <w:t>淘汰甲基溴生产的行业计划</w:t>
      </w:r>
      <w:r w:rsidRPr="00E0071C">
        <w:t>年度进度报告中提供详细的最新资料。</w:t>
      </w:r>
    </w:p>
    <w:p w14:paraId="51A2BBA9" w14:textId="540E9443" w:rsidR="00E0071C" w:rsidRPr="00E0071C" w:rsidRDefault="00C63027" w:rsidP="00C63027">
      <w:pPr>
        <w:keepNext/>
        <w:spacing w:line="259" w:lineRule="auto"/>
        <w:jc w:val="both"/>
      </w:pPr>
      <w:r>
        <w:rPr>
          <w:rFonts w:hint="eastAsia"/>
          <w:u w:val="single"/>
        </w:rPr>
        <w:t>甲基溴</w:t>
      </w:r>
      <w:r w:rsidR="00E0071C" w:rsidRPr="00E0071C">
        <w:rPr>
          <w:u w:val="single"/>
          <w:lang w:val="zh-CN"/>
        </w:rPr>
        <w:t>淘汰</w:t>
      </w:r>
      <w:r>
        <w:rPr>
          <w:rFonts w:hint="eastAsia"/>
          <w:u w:val="single"/>
          <w:lang w:val="zh-CN"/>
        </w:rPr>
        <w:t>成果</w:t>
      </w:r>
      <w:r w:rsidR="00E0071C" w:rsidRPr="00E0071C">
        <w:rPr>
          <w:u w:val="single"/>
          <w:lang w:val="zh-CN"/>
        </w:rPr>
        <w:t>的可持续性</w:t>
      </w:r>
    </w:p>
    <w:p w14:paraId="6B062AB1" w14:textId="471F04C9" w:rsidR="00E0071C" w:rsidRPr="00E0071C" w:rsidRDefault="00E0071C" w:rsidP="00E0071C">
      <w:pPr>
        <w:numPr>
          <w:ilvl w:val="0"/>
          <w:numId w:val="20"/>
        </w:numPr>
        <w:spacing w:line="259" w:lineRule="auto"/>
        <w:ind w:left="0" w:firstLine="0"/>
        <w:jc w:val="both"/>
      </w:pPr>
      <w:r w:rsidRPr="00E0071C">
        <w:t>秘书处</w:t>
      </w:r>
      <w:r w:rsidR="004C1925">
        <w:rPr>
          <w:rFonts w:hint="eastAsia"/>
        </w:rPr>
        <w:t>注意到</w:t>
      </w:r>
      <w:r w:rsidRPr="00E0071C">
        <w:t>，原料用途的甲基溴消费量集中在三个省（江苏</w:t>
      </w:r>
      <w:r w:rsidR="004C1925">
        <w:rPr>
          <w:rFonts w:hint="eastAsia"/>
        </w:rPr>
        <w:t>、</w:t>
      </w:r>
      <w:r w:rsidRPr="00E0071C">
        <w:t>山东</w:t>
      </w:r>
      <w:r w:rsidR="004C1925">
        <w:rPr>
          <w:rFonts w:hint="eastAsia"/>
        </w:rPr>
        <w:t>、</w:t>
      </w:r>
      <w:r w:rsidRPr="00E0071C">
        <w:t>上海和浙江），并询问</w:t>
      </w:r>
      <w:r w:rsidR="00573AB1">
        <w:rPr>
          <w:rFonts w:hint="eastAsia"/>
        </w:rPr>
        <w:t>如果像</w:t>
      </w:r>
      <w:r w:rsidR="004C1925">
        <w:rPr>
          <w:rFonts w:hint="eastAsia"/>
        </w:rPr>
        <w:t>关于中国现行</w:t>
      </w:r>
      <w:r w:rsidR="004C1925" w:rsidRPr="004C1925">
        <w:rPr>
          <w:rFonts w:hint="eastAsia"/>
        </w:rPr>
        <w:t>监测、报告、核查和执法</w:t>
      </w:r>
      <w:r w:rsidR="004C1925">
        <w:rPr>
          <w:rFonts w:hint="eastAsia"/>
        </w:rPr>
        <w:t>制度的审查报告</w:t>
      </w:r>
      <w:r w:rsidR="004C1925">
        <w:rPr>
          <w:rStyle w:val="FootnoteReference"/>
        </w:rPr>
        <w:footnoteReference w:id="14"/>
      </w:r>
      <w:r w:rsidR="00BE0D66">
        <w:rPr>
          <w:rFonts w:hint="eastAsia"/>
        </w:rPr>
        <w:t>所说的那样</w:t>
      </w:r>
      <w:r w:rsidR="004C1925">
        <w:rPr>
          <w:rFonts w:hint="eastAsia"/>
        </w:rPr>
        <w:t>，</w:t>
      </w:r>
      <w:r w:rsidRPr="00E0071C">
        <w:t>在这些省建立任何大气监测站</w:t>
      </w:r>
      <w:r w:rsidR="00BE0D66">
        <w:rPr>
          <w:rFonts w:hint="eastAsia"/>
        </w:rPr>
        <w:t>，</w:t>
      </w:r>
      <w:r w:rsidR="00573AB1" w:rsidRPr="00E0071C">
        <w:t>是否考虑</w:t>
      </w:r>
      <w:r w:rsidR="00BE0D66">
        <w:rPr>
          <w:rFonts w:hint="eastAsia"/>
        </w:rPr>
        <w:t>为其配备</w:t>
      </w:r>
      <w:r w:rsidRPr="00E0071C">
        <w:t>可以测量大气中</w:t>
      </w:r>
      <w:r w:rsidR="00BE0D66">
        <w:rPr>
          <w:rFonts w:hint="eastAsia"/>
        </w:rPr>
        <w:t>甲基溴</w:t>
      </w:r>
      <w:r w:rsidRPr="00E0071C">
        <w:t>含量的仪器。工发组织澄清说，</w:t>
      </w:r>
      <w:r w:rsidR="00BE0D66">
        <w:rPr>
          <w:rFonts w:hint="eastAsia"/>
        </w:rPr>
        <w:t>生态和环境部计划最迟于</w:t>
      </w:r>
      <w:r w:rsidR="00BE0D66">
        <w:rPr>
          <w:rFonts w:hint="eastAsia"/>
        </w:rPr>
        <w:t>2021</w:t>
      </w:r>
      <w:r w:rsidR="00BE0D66">
        <w:rPr>
          <w:rFonts w:hint="eastAsia"/>
        </w:rPr>
        <w:t>年建立的</w:t>
      </w:r>
      <w:r w:rsidRPr="00E0071C">
        <w:t>ODS</w:t>
      </w:r>
      <w:r w:rsidRPr="00E0071C">
        <w:t>大气监测网络</w:t>
      </w:r>
      <w:r w:rsidR="00BE0D66">
        <w:rPr>
          <w:rFonts w:hint="eastAsia"/>
        </w:rPr>
        <w:t>正在</w:t>
      </w:r>
      <w:r w:rsidRPr="00E0071C">
        <w:t>设计</w:t>
      </w:r>
      <w:r w:rsidR="00BE0D66">
        <w:rPr>
          <w:rFonts w:hint="eastAsia"/>
        </w:rPr>
        <w:t>之中</w:t>
      </w:r>
      <w:r w:rsidRPr="00E0071C">
        <w:t>，</w:t>
      </w:r>
      <w:r w:rsidR="00BE0D66">
        <w:rPr>
          <w:rFonts w:hint="eastAsia"/>
        </w:rPr>
        <w:t>该部尚未决定是否把甲基溴列入该系统所监测的物质</w:t>
      </w:r>
      <w:r w:rsidRPr="00E0071C">
        <w:t>。</w:t>
      </w:r>
      <w:r w:rsidRPr="00E0071C">
        <w:t> </w:t>
      </w:r>
    </w:p>
    <w:p w14:paraId="66A0C282" w14:textId="246AB3F4" w:rsidR="00E0071C" w:rsidRPr="00E0071C" w:rsidRDefault="00573AB1" w:rsidP="00BE0D66">
      <w:pPr>
        <w:numPr>
          <w:ilvl w:val="0"/>
          <w:numId w:val="20"/>
        </w:numPr>
        <w:spacing w:line="259" w:lineRule="auto"/>
        <w:ind w:left="0" w:firstLine="0"/>
        <w:jc w:val="both"/>
      </w:pPr>
      <w:r>
        <w:rPr>
          <w:rFonts w:hint="eastAsia"/>
        </w:rPr>
        <w:t>关于</w:t>
      </w:r>
      <w:r w:rsidRPr="00E0071C">
        <w:t>政府在第八十三次会议上</w:t>
      </w:r>
      <w:r>
        <w:rPr>
          <w:rFonts w:hint="eastAsia"/>
        </w:rPr>
        <w:t>报告的</w:t>
      </w:r>
      <w:r w:rsidRPr="00E0071C">
        <w:t>2014</w:t>
      </w:r>
      <w:r w:rsidRPr="00E0071C">
        <w:t>年非法生产甲基溴的</w:t>
      </w:r>
      <w:r>
        <w:rPr>
          <w:rFonts w:hint="eastAsia"/>
        </w:rPr>
        <w:t>案件</w:t>
      </w:r>
      <w:r>
        <w:rPr>
          <w:rStyle w:val="FootnoteReference"/>
        </w:rPr>
        <w:footnoteReference w:id="15"/>
      </w:r>
      <w:r>
        <w:rPr>
          <w:rFonts w:hint="eastAsia"/>
        </w:rPr>
        <w:t>，由于</w:t>
      </w:r>
      <w:r w:rsidR="00E0071C" w:rsidRPr="00E0071C">
        <w:t>2014</w:t>
      </w:r>
      <w:r w:rsidR="00E0071C" w:rsidRPr="00E0071C">
        <w:t>年或随后的核查和进度报告中</w:t>
      </w:r>
      <w:r w:rsidR="00BE0D66">
        <w:rPr>
          <w:rFonts w:hint="eastAsia"/>
        </w:rPr>
        <w:t>都</w:t>
      </w:r>
      <w:r w:rsidR="00E0071C" w:rsidRPr="00E0071C">
        <w:t>没有</w:t>
      </w:r>
      <w:r w:rsidR="00BE0D66">
        <w:rPr>
          <w:rFonts w:hint="eastAsia"/>
        </w:rPr>
        <w:t>提供任何有关</w:t>
      </w:r>
      <w:r w:rsidR="00E0071C" w:rsidRPr="00E0071C">
        <w:t>信息，秘书处询问</w:t>
      </w:r>
      <w:r w:rsidR="00BE0D66">
        <w:rPr>
          <w:rFonts w:hint="eastAsia"/>
        </w:rPr>
        <w:t>，是否可以提供更多</w:t>
      </w:r>
      <w:r>
        <w:rPr>
          <w:rFonts w:hint="eastAsia"/>
        </w:rPr>
        <w:t>关于这个案件的</w:t>
      </w:r>
      <w:r w:rsidR="00BE0D66">
        <w:rPr>
          <w:rFonts w:hint="eastAsia"/>
        </w:rPr>
        <w:t>信息</w:t>
      </w:r>
      <w:r w:rsidR="00E0071C" w:rsidRPr="00E0071C">
        <w:t>。</w:t>
      </w:r>
      <w:bookmarkStart w:id="12" w:name="_ftnref15"/>
      <w:bookmarkEnd w:id="12"/>
      <w:r w:rsidR="00E0071C" w:rsidRPr="00E0071C">
        <w:t>工发组织</w:t>
      </w:r>
      <w:r w:rsidR="00BE0D66">
        <w:rPr>
          <w:rFonts w:hint="eastAsia"/>
        </w:rPr>
        <w:t>表示</w:t>
      </w:r>
      <w:r w:rsidR="00E0071C" w:rsidRPr="00E0071C">
        <w:t>，由于法律诉讼仍在进行</w:t>
      </w:r>
      <w:r w:rsidR="00BE0D66">
        <w:rPr>
          <w:rFonts w:hint="eastAsia"/>
        </w:rPr>
        <w:t>之中</w:t>
      </w:r>
      <w:r w:rsidR="00E0071C" w:rsidRPr="00E0071C">
        <w:t>，</w:t>
      </w:r>
      <w:r w:rsidR="00BE0D66">
        <w:rPr>
          <w:rFonts w:hint="eastAsia"/>
        </w:rPr>
        <w:t>生态和环境部</w:t>
      </w:r>
      <w:r w:rsidR="00E0071C" w:rsidRPr="00E0071C">
        <w:t>无法透露更多细节。秘书处</w:t>
      </w:r>
      <w:r w:rsidR="00BE0D66">
        <w:rPr>
          <w:rFonts w:hint="eastAsia"/>
        </w:rPr>
        <w:t>请生态和环境部在可以公开提供有关信息时</w:t>
      </w:r>
      <w:r w:rsidR="00BA4371">
        <w:rPr>
          <w:rFonts w:hint="eastAsia"/>
        </w:rPr>
        <w:t>立即</w:t>
      </w:r>
      <w:r w:rsidR="00BE0D66">
        <w:rPr>
          <w:rFonts w:hint="eastAsia"/>
        </w:rPr>
        <w:t>通过</w:t>
      </w:r>
      <w:r w:rsidR="00E0071C" w:rsidRPr="00E0071C">
        <w:t>工发组织</w:t>
      </w:r>
      <w:r w:rsidR="00BE0D66">
        <w:rPr>
          <w:rFonts w:hint="eastAsia"/>
        </w:rPr>
        <w:t>向</w:t>
      </w:r>
      <w:r w:rsidR="00E0071C" w:rsidRPr="00E0071C">
        <w:t>执行委员会</w:t>
      </w:r>
      <w:r w:rsidR="00BA4371">
        <w:rPr>
          <w:rFonts w:hint="eastAsia"/>
        </w:rPr>
        <w:t>报告情况</w:t>
      </w:r>
      <w:r w:rsidR="00E0071C" w:rsidRPr="00E0071C">
        <w:t>。</w:t>
      </w:r>
      <w:r w:rsidR="00E0071C" w:rsidRPr="00E0071C">
        <w:t> </w:t>
      </w:r>
    </w:p>
    <w:p w14:paraId="4052D8F5" w14:textId="103008FC" w:rsidR="00E0071C" w:rsidRPr="00E0071C" w:rsidRDefault="00E0071C" w:rsidP="00BA4371">
      <w:pPr>
        <w:pStyle w:val="Heading1"/>
        <w:spacing w:line="259" w:lineRule="auto"/>
        <w:ind w:left="1267" w:hanging="1267"/>
        <w:rPr>
          <w:rFonts w:hint="eastAsia"/>
          <w:lang w:val="en-GB"/>
        </w:rPr>
      </w:pPr>
      <w:r w:rsidRPr="00E0071C">
        <w:rPr>
          <w:lang w:val="en-GB"/>
        </w:rPr>
        <w:t>建议</w:t>
      </w:r>
    </w:p>
    <w:p w14:paraId="28B647CA" w14:textId="73ECFA3E" w:rsidR="00E0071C" w:rsidRPr="00E0071C" w:rsidRDefault="00E0071C" w:rsidP="00E0071C">
      <w:pPr>
        <w:numPr>
          <w:ilvl w:val="0"/>
          <w:numId w:val="20"/>
        </w:numPr>
        <w:spacing w:line="259" w:lineRule="auto"/>
        <w:ind w:left="0" w:firstLine="0"/>
        <w:jc w:val="both"/>
      </w:pPr>
      <w:r w:rsidRPr="00E0071C">
        <w:t>执行委员会</w:t>
      </w:r>
      <w:r w:rsidR="00A05F5A">
        <w:rPr>
          <w:rFonts w:hint="eastAsia"/>
        </w:rPr>
        <w:t>不妨考虑</w:t>
      </w:r>
      <w:r w:rsidR="00BA4371">
        <w:rPr>
          <w:rFonts w:hint="eastAsia"/>
        </w:rPr>
        <w:t>：</w:t>
      </w:r>
    </w:p>
    <w:p w14:paraId="73ECE9B2" w14:textId="689955D7" w:rsidR="00E0071C" w:rsidRPr="00E0071C" w:rsidRDefault="00E0071C" w:rsidP="00BA4371">
      <w:pPr>
        <w:tabs>
          <w:tab w:val="num" w:pos="0"/>
        </w:tabs>
        <w:spacing w:line="259" w:lineRule="auto"/>
        <w:ind w:left="980" w:hanging="490"/>
        <w:jc w:val="both"/>
      </w:pPr>
      <w:r w:rsidRPr="00E0071C">
        <w:t>(a)</w:t>
      </w:r>
      <w:r w:rsidR="00BA4371">
        <w:tab/>
      </w:r>
      <w:r w:rsidRPr="00E0071C">
        <w:t>注意到</w:t>
      </w:r>
      <w:r w:rsidR="00BA4371" w:rsidRPr="00BA4371">
        <w:rPr>
          <w:lang w:val="en-CA"/>
        </w:rPr>
        <w:t>UNEP/</w:t>
      </w:r>
      <w:proofErr w:type="spellStart"/>
      <w:r w:rsidR="00BA4371" w:rsidRPr="00BA4371">
        <w:rPr>
          <w:lang w:val="en-CA"/>
        </w:rPr>
        <w:t>OzL.Pro</w:t>
      </w:r>
      <w:proofErr w:type="spellEnd"/>
      <w:r w:rsidR="00BA4371" w:rsidRPr="00BA4371">
        <w:rPr>
          <w:lang w:val="en-CA"/>
        </w:rPr>
        <w:t>/</w:t>
      </w:r>
      <w:proofErr w:type="spellStart"/>
      <w:r w:rsidR="00BA4371" w:rsidRPr="00BA4371">
        <w:rPr>
          <w:lang w:val="en-CA"/>
        </w:rPr>
        <w:t>ExCom</w:t>
      </w:r>
      <w:proofErr w:type="spellEnd"/>
      <w:r w:rsidR="00BA4371" w:rsidRPr="00BA4371">
        <w:rPr>
          <w:lang w:val="en-CA"/>
        </w:rPr>
        <w:t>/84/22/Add.1</w:t>
      </w:r>
      <w:r w:rsidR="00BA4371">
        <w:rPr>
          <w:rFonts w:hint="eastAsia"/>
          <w:lang w:val="en-CA"/>
        </w:rPr>
        <w:t>号文件所载</w:t>
      </w:r>
      <w:r w:rsidRPr="00E0071C">
        <w:t>中国</w:t>
      </w:r>
      <w:r w:rsidR="00573AB1">
        <w:t>淘汰甲基溴生产的行业计划</w:t>
      </w:r>
      <w:r w:rsidRPr="00E0071C">
        <w:t>的执行情况报告</w:t>
      </w:r>
      <w:r w:rsidR="00BA4371">
        <w:rPr>
          <w:rFonts w:hint="eastAsia"/>
        </w:rPr>
        <w:t>、关于将由</w:t>
      </w:r>
      <w:r w:rsidRPr="00E0071C">
        <w:t>海关当局执行的监测和监督</w:t>
      </w:r>
      <w:r w:rsidR="00BA4371">
        <w:rPr>
          <w:rFonts w:hint="eastAsia"/>
        </w:rPr>
        <w:t>方案</w:t>
      </w:r>
      <w:r w:rsidRPr="00E0071C">
        <w:t>合同的最新</w:t>
      </w:r>
      <w:r w:rsidR="00BA4371">
        <w:rPr>
          <w:rFonts w:hint="eastAsia"/>
        </w:rPr>
        <w:t>说明</w:t>
      </w:r>
      <w:r w:rsidRPr="00E0071C">
        <w:t>以及</w:t>
      </w:r>
      <w:r w:rsidR="00BA4371" w:rsidRPr="00E0071C">
        <w:t>工发组织提交的</w:t>
      </w:r>
      <w:r w:rsidR="00A05F5A">
        <w:rPr>
          <w:rFonts w:hint="eastAsia"/>
        </w:rPr>
        <w:t>关于</w:t>
      </w:r>
      <w:r w:rsidR="00BA4371" w:rsidRPr="00E0071C">
        <w:t>甲基溴</w:t>
      </w:r>
      <w:r w:rsidR="00BA4371">
        <w:rPr>
          <w:rFonts w:hint="eastAsia"/>
        </w:rPr>
        <w:t>标识</w:t>
      </w:r>
      <w:r w:rsidR="00BA4371" w:rsidRPr="00E0071C">
        <w:t>和</w:t>
      </w:r>
      <w:r w:rsidR="00BA4371">
        <w:rPr>
          <w:rFonts w:hint="eastAsia"/>
        </w:rPr>
        <w:t>跟踪监测</w:t>
      </w:r>
      <w:r w:rsidR="00BA4371" w:rsidRPr="00E0071C">
        <w:t>系统</w:t>
      </w:r>
      <w:r w:rsidR="00BA4371">
        <w:rPr>
          <w:rFonts w:hint="eastAsia"/>
        </w:rPr>
        <w:t>的最新说明</w:t>
      </w:r>
      <w:r w:rsidRPr="00E0071C">
        <w:t>；</w:t>
      </w:r>
      <w:r w:rsidRPr="00E0071C">
        <w:t>               </w:t>
      </w:r>
    </w:p>
    <w:p w14:paraId="62CE3F48" w14:textId="58A41601" w:rsidR="00E0071C" w:rsidRPr="00E0071C" w:rsidRDefault="00E0071C" w:rsidP="00BA4371">
      <w:pPr>
        <w:tabs>
          <w:tab w:val="num" w:pos="0"/>
        </w:tabs>
        <w:spacing w:line="259" w:lineRule="auto"/>
        <w:ind w:left="980" w:hanging="490"/>
        <w:jc w:val="both"/>
      </w:pPr>
      <w:r w:rsidRPr="00E0071C">
        <w:t>(b)</w:t>
      </w:r>
      <w:r w:rsidR="00A05F5A">
        <w:tab/>
      </w:r>
      <w:r w:rsidRPr="00E0071C">
        <w:t>[</w:t>
      </w:r>
      <w:r w:rsidRPr="00E0071C">
        <w:t>根据</w:t>
      </w:r>
      <w:r w:rsidR="00A05F5A">
        <w:rPr>
          <w:rFonts w:hint="eastAsia"/>
        </w:rPr>
        <w:t>在</w:t>
      </w:r>
      <w:r w:rsidRPr="00E0071C">
        <w:t>第八十四次会议</w:t>
      </w:r>
      <w:r w:rsidR="00A05F5A">
        <w:rPr>
          <w:rFonts w:hint="eastAsia"/>
        </w:rPr>
        <w:t>期间</w:t>
      </w:r>
      <w:r w:rsidRPr="00E0071C">
        <w:t>提供的关于</w:t>
      </w:r>
      <w:r w:rsidR="00A05F5A" w:rsidRPr="00E0071C">
        <w:t>中国</w:t>
      </w:r>
      <w:r w:rsidRPr="00E0071C">
        <w:t>海关</w:t>
      </w:r>
      <w:r w:rsidR="00A05F5A">
        <w:rPr>
          <w:rFonts w:hint="eastAsia"/>
        </w:rPr>
        <w:t>总署</w:t>
      </w:r>
      <w:r w:rsidRPr="00E0071C">
        <w:t>与生态和环境部之间</w:t>
      </w:r>
      <w:r w:rsidR="00A05F5A">
        <w:rPr>
          <w:rFonts w:hint="eastAsia"/>
        </w:rPr>
        <w:t>签署</w:t>
      </w:r>
      <w:r w:rsidRPr="00E0071C">
        <w:t>备忘录的最新情况，是否取消有关活动并注意到</w:t>
      </w:r>
      <w:r w:rsidR="00A05F5A" w:rsidRPr="00E0071C">
        <w:t>向多边基金</w:t>
      </w:r>
      <w:r w:rsidRPr="00E0071C">
        <w:t>退还</w:t>
      </w:r>
      <w:r w:rsidRPr="00E0071C">
        <w:t>350,000</w:t>
      </w:r>
      <w:r w:rsidRPr="00E0071C">
        <w:t>美元</w:t>
      </w:r>
      <w:r w:rsidR="00A05F5A">
        <w:rPr>
          <w:rFonts w:hint="eastAsia"/>
        </w:rPr>
        <w:t>以及</w:t>
      </w:r>
      <w:r w:rsidRPr="00E0071C">
        <w:t>工发组织的机构支助费用</w:t>
      </w:r>
      <w:r w:rsidRPr="00E0071C">
        <w:t>26,250</w:t>
      </w:r>
      <w:r w:rsidRPr="00E0071C">
        <w:t>美元；</w:t>
      </w:r>
      <w:r w:rsidRPr="00E0071C">
        <w:t>]                  </w:t>
      </w:r>
    </w:p>
    <w:p w14:paraId="7167EAD4" w14:textId="6F9901C4" w:rsidR="00A05F5A" w:rsidRDefault="00A05F5A" w:rsidP="00BA4371">
      <w:pPr>
        <w:tabs>
          <w:tab w:val="num" w:pos="0"/>
        </w:tabs>
        <w:spacing w:line="259" w:lineRule="auto"/>
        <w:ind w:left="980" w:hanging="490"/>
        <w:jc w:val="both"/>
      </w:pPr>
      <w:r>
        <w:rPr>
          <w:rFonts w:hint="eastAsia"/>
        </w:rPr>
        <w:t>(</w:t>
      </w:r>
      <w:r>
        <w:t>c)</w:t>
      </w:r>
      <w:r>
        <w:tab/>
      </w:r>
      <w:r>
        <w:rPr>
          <w:rFonts w:hint="eastAsia"/>
        </w:rPr>
        <w:t>请</w:t>
      </w:r>
      <w:r w:rsidR="00E0071C" w:rsidRPr="00E0071C">
        <w:t>中国政府</w:t>
      </w:r>
      <w:r w:rsidRPr="00E0071C">
        <w:t>在</w:t>
      </w:r>
      <w:r w:rsidRPr="00A05F5A">
        <w:t>提交第八十六次会议的</w:t>
      </w:r>
      <w:r w:rsidR="00573AB1">
        <w:t>淘汰甲基溴生产的行业计划</w:t>
      </w:r>
      <w:r w:rsidRPr="00E0071C">
        <w:t>年度</w:t>
      </w:r>
      <w:r>
        <w:rPr>
          <w:rFonts w:hint="eastAsia"/>
        </w:rPr>
        <w:t>执行情况</w:t>
      </w:r>
      <w:r w:rsidRPr="00E0071C">
        <w:t>报告中</w:t>
      </w:r>
      <w:r>
        <w:rPr>
          <w:rFonts w:hint="eastAsia"/>
        </w:rPr>
        <w:t>通过工发组织说明</w:t>
      </w:r>
      <w:r w:rsidRPr="00E0071C">
        <w:t>甲基溴</w:t>
      </w:r>
      <w:r w:rsidRPr="00A05F5A">
        <w:t>标识</w:t>
      </w:r>
      <w:r w:rsidRPr="00E0071C">
        <w:t>和</w:t>
      </w:r>
      <w:r w:rsidRPr="00A05F5A">
        <w:t>跟踪监测</w:t>
      </w:r>
      <w:r w:rsidRPr="00E0071C">
        <w:t>系统</w:t>
      </w:r>
      <w:r w:rsidRPr="00A05F5A">
        <w:t>的</w:t>
      </w:r>
      <w:r>
        <w:rPr>
          <w:rFonts w:hint="eastAsia"/>
        </w:rPr>
        <w:t>最新情况</w:t>
      </w:r>
      <w:r w:rsidR="00E0071C" w:rsidRPr="00E0071C">
        <w:t>，</w:t>
      </w:r>
    </w:p>
    <w:p w14:paraId="27E02AB3" w14:textId="6C4533DA" w:rsidR="00A05F5A" w:rsidRDefault="00E0071C" w:rsidP="00BA4371">
      <w:pPr>
        <w:tabs>
          <w:tab w:val="num" w:pos="0"/>
        </w:tabs>
        <w:spacing w:line="259" w:lineRule="auto"/>
        <w:ind w:left="980" w:hanging="490"/>
        <w:jc w:val="both"/>
      </w:pPr>
      <w:r w:rsidRPr="00E0071C">
        <w:t>(d)</w:t>
      </w:r>
      <w:r w:rsidR="00A05F5A">
        <w:tab/>
      </w:r>
      <w:r w:rsidRPr="00E0071C">
        <w:t>请</w:t>
      </w:r>
      <w:r w:rsidR="00A05F5A">
        <w:rPr>
          <w:rFonts w:hint="eastAsia"/>
        </w:rPr>
        <w:t>中国政府</w:t>
      </w:r>
      <w:r w:rsidR="00A05F5A" w:rsidRPr="00A05F5A">
        <w:rPr>
          <w:rFonts w:hint="eastAsia"/>
        </w:rPr>
        <w:t>在可以公开提供有关信息时立即</w:t>
      </w:r>
      <w:r w:rsidR="00A05F5A" w:rsidRPr="00A05F5A">
        <w:t>通过</w:t>
      </w:r>
      <w:r w:rsidR="00A05F5A" w:rsidRPr="00E0071C">
        <w:t>工发组织</w:t>
      </w:r>
      <w:r w:rsidR="00A05F5A">
        <w:rPr>
          <w:rFonts w:hint="eastAsia"/>
        </w:rPr>
        <w:t>提供信息，说明</w:t>
      </w:r>
      <w:r w:rsidR="00A05F5A" w:rsidRPr="00A05F5A">
        <w:rPr>
          <w:lang w:val="en-CA"/>
        </w:rPr>
        <w:t>UNEP/</w:t>
      </w:r>
      <w:proofErr w:type="spellStart"/>
      <w:r w:rsidR="00A05F5A" w:rsidRPr="00A05F5A">
        <w:rPr>
          <w:lang w:val="en-CA"/>
        </w:rPr>
        <w:t>OzL.Pro</w:t>
      </w:r>
      <w:proofErr w:type="spellEnd"/>
      <w:r w:rsidR="00A05F5A" w:rsidRPr="00A05F5A">
        <w:rPr>
          <w:lang w:val="en-CA"/>
        </w:rPr>
        <w:t>/</w:t>
      </w:r>
      <w:proofErr w:type="spellStart"/>
      <w:r w:rsidR="00A05F5A" w:rsidRPr="00A05F5A">
        <w:rPr>
          <w:lang w:val="en-CA"/>
        </w:rPr>
        <w:t>ExCom</w:t>
      </w:r>
      <w:proofErr w:type="spellEnd"/>
      <w:r w:rsidR="00A05F5A" w:rsidRPr="00A05F5A">
        <w:rPr>
          <w:lang w:val="en-CA"/>
        </w:rPr>
        <w:t>/84/22/Add.1</w:t>
      </w:r>
      <w:r w:rsidR="00A05F5A">
        <w:rPr>
          <w:rFonts w:hint="eastAsia"/>
          <w:lang w:val="en-CA"/>
        </w:rPr>
        <w:t>所述</w:t>
      </w:r>
      <w:r w:rsidR="00A05F5A" w:rsidRPr="00E0071C">
        <w:t>2014</w:t>
      </w:r>
      <w:r w:rsidR="00A05F5A" w:rsidRPr="00E0071C">
        <w:t>年非法生产甲基溴的</w:t>
      </w:r>
      <w:r w:rsidR="00A05F5A">
        <w:t>案件</w:t>
      </w:r>
      <w:r w:rsidR="00A05F5A">
        <w:rPr>
          <w:rFonts w:hint="eastAsia"/>
        </w:rPr>
        <w:t>。</w:t>
      </w:r>
    </w:p>
    <w:p w14:paraId="1E407BA8" w14:textId="57972689" w:rsidR="00BA4371" w:rsidRDefault="00BA4371" w:rsidP="00BA4371">
      <w:pPr>
        <w:tabs>
          <w:tab w:val="num" w:pos="0"/>
        </w:tabs>
        <w:spacing w:line="259" w:lineRule="auto"/>
        <w:ind w:left="980" w:hanging="490"/>
        <w:jc w:val="both"/>
      </w:pPr>
      <w:bookmarkStart w:id="13" w:name="_GoBack"/>
      <w:bookmarkEnd w:id="13"/>
    </w:p>
    <w:sectPr w:rsidR="00BA4371" w:rsidSect="00DC7E81">
      <w:headerReference w:type="even" r:id="rId9"/>
      <w:headerReference w:type="default" r:id="rId10"/>
      <w:footerReference w:type="even" r:id="rId11"/>
      <w:footerReference w:type="default" r:id="rId12"/>
      <w:footerReference w:type="first" r:id="rId13"/>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6F4D" w14:textId="77777777" w:rsidR="00DB4B33" w:rsidRDefault="00DB4B33" w:rsidP="009252BB">
      <w:pPr>
        <w:spacing w:before="0" w:after="0" w:line="240" w:lineRule="auto"/>
      </w:pPr>
      <w:r>
        <w:separator/>
      </w:r>
    </w:p>
  </w:endnote>
  <w:endnote w:type="continuationSeparator" w:id="0">
    <w:p w14:paraId="05045338" w14:textId="77777777" w:rsidR="00DB4B33" w:rsidRDefault="00DB4B33" w:rsidP="009252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11833"/>
      <w:docPartObj>
        <w:docPartGallery w:val="Page Numbers (Bottom of Page)"/>
        <w:docPartUnique/>
      </w:docPartObj>
    </w:sdtPr>
    <w:sdtEndPr>
      <w:rPr>
        <w:noProof/>
        <w:sz w:val="20"/>
        <w:szCs w:val="20"/>
      </w:rPr>
    </w:sdtEndPr>
    <w:sdtContent>
      <w:p w14:paraId="25B2B9C1" w14:textId="77777777" w:rsidR="00DB4B33" w:rsidRDefault="00DB4B33">
        <w:pPr>
          <w:pStyle w:val="Footer"/>
          <w:jc w:val="center"/>
        </w:pPr>
      </w:p>
      <w:p w14:paraId="5E935F4D" w14:textId="2BD9C66D" w:rsidR="00DB4B33" w:rsidRDefault="00DB4B33" w:rsidP="00824C2B">
        <w:pPr>
          <w:pStyle w:val="Footer"/>
          <w:jc w:val="center"/>
        </w:pPr>
        <w:r w:rsidRPr="00DC7E81">
          <w:rPr>
            <w:sz w:val="20"/>
            <w:szCs w:val="20"/>
          </w:rPr>
          <w:fldChar w:fldCharType="begin"/>
        </w:r>
        <w:r w:rsidRPr="00DC7E81">
          <w:rPr>
            <w:sz w:val="20"/>
            <w:szCs w:val="20"/>
          </w:rPr>
          <w:instrText xml:space="preserve"> PAGE   \* MERGEFORMAT </w:instrText>
        </w:r>
        <w:r w:rsidRPr="00DC7E81">
          <w:rPr>
            <w:sz w:val="20"/>
            <w:szCs w:val="20"/>
          </w:rPr>
          <w:fldChar w:fldCharType="separate"/>
        </w:r>
        <w:r w:rsidR="0078247F">
          <w:rPr>
            <w:noProof/>
            <w:sz w:val="20"/>
            <w:szCs w:val="20"/>
          </w:rPr>
          <w:t>22</w:t>
        </w:r>
        <w:r w:rsidRPr="00DC7E8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773720"/>
      <w:docPartObj>
        <w:docPartGallery w:val="Page Numbers (Bottom of Page)"/>
        <w:docPartUnique/>
      </w:docPartObj>
    </w:sdtPr>
    <w:sdtEndPr>
      <w:rPr>
        <w:noProof/>
      </w:rPr>
    </w:sdtEndPr>
    <w:sdtContent>
      <w:p w14:paraId="0CF4FD3C" w14:textId="77777777" w:rsidR="00DB4B33" w:rsidRDefault="00DB4B33">
        <w:pPr>
          <w:pStyle w:val="Footer"/>
          <w:jc w:val="center"/>
        </w:pPr>
      </w:p>
      <w:p w14:paraId="322A8015" w14:textId="5E0D6511" w:rsidR="00DB4B33" w:rsidRDefault="00DB4B33">
        <w:pPr>
          <w:pStyle w:val="Footer"/>
          <w:jc w:val="center"/>
        </w:pPr>
        <w:r w:rsidRPr="00DC7E81">
          <w:rPr>
            <w:sz w:val="20"/>
            <w:szCs w:val="20"/>
          </w:rPr>
          <w:fldChar w:fldCharType="begin"/>
        </w:r>
        <w:r w:rsidRPr="00DC7E81">
          <w:rPr>
            <w:sz w:val="20"/>
            <w:szCs w:val="20"/>
          </w:rPr>
          <w:instrText xml:space="preserve"> PAGE   \* MERGEFORMAT </w:instrText>
        </w:r>
        <w:r w:rsidRPr="00DC7E81">
          <w:rPr>
            <w:sz w:val="20"/>
            <w:szCs w:val="20"/>
          </w:rPr>
          <w:fldChar w:fldCharType="separate"/>
        </w:r>
        <w:r w:rsidR="0078247F">
          <w:rPr>
            <w:noProof/>
            <w:sz w:val="20"/>
            <w:szCs w:val="20"/>
          </w:rPr>
          <w:t>23</w:t>
        </w:r>
        <w:r w:rsidRPr="00DC7E81">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C76E" w14:textId="762CF842" w:rsidR="00DB4B33" w:rsidRDefault="00DB4B33">
    <w:pPr>
      <w:pStyle w:val="Footer"/>
    </w:pPr>
  </w:p>
  <w:p w14:paraId="363CE327" w14:textId="3BC80536" w:rsidR="00DB4B33" w:rsidRPr="00DC7E81" w:rsidRDefault="00DB4B33" w:rsidP="00DC7E81">
    <w:pPr>
      <w:pBdr>
        <w:top w:val="single" w:sz="4" w:space="1" w:color="auto"/>
        <w:left w:val="single" w:sz="4" w:space="4" w:color="auto"/>
        <w:bottom w:val="single" w:sz="4" w:space="1" w:color="auto"/>
        <w:right w:val="single" w:sz="4" w:space="4" w:color="auto"/>
      </w:pBdr>
      <w:spacing w:before="0" w:after="0" w:line="240" w:lineRule="auto"/>
      <w:jc w:val="center"/>
      <w:rPr>
        <w:rFonts w:cs="Times New Roman"/>
        <w:sz w:val="20"/>
        <w:szCs w:val="20"/>
        <w:lang w:val="en-GB"/>
      </w:rPr>
    </w:pPr>
    <w:r w:rsidRPr="009252BB">
      <w:rPr>
        <w:rFonts w:cs="Times New Roman" w:hint="eastAsia"/>
        <w:sz w:val="20"/>
        <w:szCs w:val="20"/>
        <w:lang w:val="en-GB"/>
      </w:rPr>
      <w:t>执行蒙特利尔议定书多边基金执行委员会的会前文件不妨碍文件印发后执行委员会可能作出的任何决定。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883AF" w14:textId="77777777" w:rsidR="00DB4B33" w:rsidRDefault="00DB4B33" w:rsidP="009252BB">
      <w:pPr>
        <w:spacing w:before="0" w:after="0" w:line="240" w:lineRule="auto"/>
      </w:pPr>
      <w:r>
        <w:separator/>
      </w:r>
    </w:p>
  </w:footnote>
  <w:footnote w:type="continuationSeparator" w:id="0">
    <w:p w14:paraId="25DD6ABF" w14:textId="77777777" w:rsidR="00DB4B33" w:rsidRDefault="00DB4B33" w:rsidP="009252BB">
      <w:pPr>
        <w:spacing w:before="0" w:after="0" w:line="240" w:lineRule="auto"/>
      </w:pPr>
      <w:r>
        <w:continuationSeparator/>
      </w:r>
    </w:p>
  </w:footnote>
  <w:footnote w:id="1">
    <w:p w14:paraId="5A848729" w14:textId="1AF670C7" w:rsidR="00DB4B33" w:rsidRDefault="00DB4B33" w:rsidP="009369F2">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执委会</w:t>
      </w:r>
      <w:r w:rsidRPr="00E33D9D">
        <w:rPr>
          <w:lang w:eastAsia="zh-CN"/>
        </w:rPr>
        <w:t>请政府通过有关</w:t>
      </w:r>
      <w:r>
        <w:rPr>
          <w:rFonts w:hint="eastAsia"/>
          <w:lang w:eastAsia="zh-CN"/>
        </w:rPr>
        <w:t>的</w:t>
      </w:r>
      <w:r w:rsidRPr="00E33D9D">
        <w:rPr>
          <w:lang w:eastAsia="zh-CN"/>
        </w:rPr>
        <w:t>执行机构在今后的财务审计报告中提供</w:t>
      </w:r>
      <w:r>
        <w:rPr>
          <w:rFonts w:hint="eastAsia"/>
          <w:lang w:eastAsia="zh-CN"/>
        </w:rPr>
        <w:t>信息，说明</w:t>
      </w:r>
      <w:r w:rsidRPr="00E33D9D">
        <w:rPr>
          <w:lang w:eastAsia="zh-CN"/>
        </w:rPr>
        <w:t>政府持有的用于</w:t>
      </w:r>
      <w:r>
        <w:rPr>
          <w:rFonts w:hint="eastAsia"/>
          <w:lang w:eastAsia="zh-CN"/>
        </w:rPr>
        <w:t>在二类加工剂、</w:t>
      </w:r>
      <w:r w:rsidRPr="00E33D9D">
        <w:rPr>
          <w:lang w:eastAsia="zh-CN"/>
        </w:rPr>
        <w:t>溶剂和制冷维修行业计划</w:t>
      </w:r>
      <w:r>
        <w:rPr>
          <w:rFonts w:hint="eastAsia"/>
          <w:lang w:eastAsia="zh-CN"/>
        </w:rPr>
        <w:t>之下发放给</w:t>
      </w:r>
      <w:r w:rsidRPr="00E33D9D">
        <w:rPr>
          <w:lang w:eastAsia="zh-CN"/>
        </w:rPr>
        <w:t>受益人的所有资金以及</w:t>
      </w:r>
      <w:r>
        <w:rPr>
          <w:rFonts w:hint="eastAsia"/>
          <w:lang w:eastAsia="zh-CN"/>
        </w:rPr>
        <w:t>这些余额</w:t>
      </w:r>
      <w:r w:rsidRPr="00E33D9D">
        <w:rPr>
          <w:lang w:eastAsia="zh-CN"/>
        </w:rPr>
        <w:t>产生的利息</w:t>
      </w:r>
      <w:r>
        <w:rPr>
          <w:rFonts w:hint="eastAsia"/>
          <w:lang w:eastAsia="zh-CN"/>
        </w:rPr>
        <w:t>，并说明各行业计划的</w:t>
      </w:r>
      <w:r w:rsidRPr="00E33D9D">
        <w:rPr>
          <w:lang w:eastAsia="zh-CN"/>
        </w:rPr>
        <w:t>工作计划</w:t>
      </w:r>
      <w:r>
        <w:rPr>
          <w:rFonts w:hint="eastAsia"/>
          <w:lang w:eastAsia="zh-CN"/>
        </w:rPr>
        <w:t>执行进度和提出关于</w:t>
      </w:r>
      <w:r w:rsidRPr="00E33D9D">
        <w:rPr>
          <w:lang w:eastAsia="zh-CN"/>
        </w:rPr>
        <w:t>如何使用潜在余额的建议。</w:t>
      </w:r>
    </w:p>
  </w:footnote>
  <w:footnote w:id="2">
    <w:p w14:paraId="294225E9" w14:textId="77777777" w:rsidR="00DB4B33" w:rsidRDefault="00DB4B33" w:rsidP="009369F2">
      <w:pPr>
        <w:pStyle w:val="FootnoteText"/>
        <w:rPr>
          <w:lang w:eastAsia="zh-CN"/>
        </w:rPr>
      </w:pPr>
      <w:r>
        <w:rPr>
          <w:rStyle w:val="FootnoteReference"/>
        </w:rPr>
        <w:footnoteRef/>
      </w:r>
      <w:r>
        <w:rPr>
          <w:lang w:eastAsia="zh-CN"/>
        </w:rPr>
        <w:t xml:space="preserve"> </w:t>
      </w:r>
      <w:r>
        <w:rPr>
          <w:lang w:eastAsia="zh-CN"/>
        </w:rPr>
        <w:tab/>
      </w:r>
      <w:r w:rsidRPr="00E33D9D">
        <w:rPr>
          <w:lang w:eastAsia="zh-CN"/>
        </w:rPr>
        <w:t>委员会邀请政府通过</w:t>
      </w:r>
      <w:r>
        <w:rPr>
          <w:rFonts w:hint="eastAsia"/>
          <w:lang w:eastAsia="zh-CN"/>
        </w:rPr>
        <w:t>有关</w:t>
      </w:r>
      <w:r w:rsidRPr="00E33D9D">
        <w:rPr>
          <w:lang w:eastAsia="zh-CN"/>
        </w:rPr>
        <w:t>的执行机构</w:t>
      </w:r>
      <w:r>
        <w:rPr>
          <w:rFonts w:hint="eastAsia"/>
          <w:lang w:eastAsia="zh-CN"/>
        </w:rPr>
        <w:t>向第七十三次</w:t>
      </w:r>
      <w:r w:rsidRPr="00E33D9D">
        <w:rPr>
          <w:lang w:eastAsia="zh-CN"/>
        </w:rPr>
        <w:t>会议</w:t>
      </w:r>
      <w:r>
        <w:rPr>
          <w:rFonts w:hint="eastAsia"/>
          <w:lang w:eastAsia="zh-CN"/>
        </w:rPr>
        <w:t>提交二类</w:t>
      </w:r>
      <w:r w:rsidRPr="00E33D9D">
        <w:rPr>
          <w:lang w:eastAsia="zh-CN"/>
        </w:rPr>
        <w:t>加工剂</w:t>
      </w:r>
      <w:r>
        <w:rPr>
          <w:rFonts w:hint="eastAsia"/>
          <w:lang w:eastAsia="zh-CN"/>
        </w:rPr>
        <w:t>、</w:t>
      </w:r>
      <w:r w:rsidRPr="00E33D9D">
        <w:rPr>
          <w:lang w:eastAsia="zh-CN"/>
        </w:rPr>
        <w:t>溶剂和</w:t>
      </w:r>
      <w:r w:rsidRPr="008D6BD8">
        <w:rPr>
          <w:lang w:eastAsia="zh-CN"/>
        </w:rPr>
        <w:t>氟氯化碳</w:t>
      </w:r>
      <w:r w:rsidRPr="00E33D9D">
        <w:rPr>
          <w:lang w:eastAsia="zh-CN"/>
        </w:rPr>
        <w:t>制冷维修行业</w:t>
      </w:r>
      <w:r>
        <w:rPr>
          <w:rFonts w:hint="eastAsia"/>
          <w:lang w:eastAsia="zh-CN"/>
        </w:rPr>
        <w:t>的财务审计报告</w:t>
      </w:r>
      <w:r w:rsidRPr="00E33D9D">
        <w:rPr>
          <w:lang w:eastAsia="zh-CN"/>
        </w:rPr>
        <w:t>，</w:t>
      </w:r>
      <w:r>
        <w:rPr>
          <w:rFonts w:hint="eastAsia"/>
          <w:lang w:eastAsia="zh-CN"/>
        </w:rPr>
        <w:t>同时提交</w:t>
      </w:r>
      <w:r w:rsidRPr="00E33D9D">
        <w:rPr>
          <w:lang w:eastAsia="zh-CN"/>
        </w:rPr>
        <w:t>哈龙</w:t>
      </w:r>
      <w:r>
        <w:rPr>
          <w:rFonts w:hint="eastAsia"/>
          <w:lang w:eastAsia="zh-CN"/>
        </w:rPr>
        <w:t>、</w:t>
      </w:r>
      <w:r w:rsidRPr="008D6BD8">
        <w:rPr>
          <w:lang w:eastAsia="zh-CN"/>
        </w:rPr>
        <w:t>氟氯化碳</w:t>
      </w:r>
      <w:r w:rsidRPr="00E33D9D">
        <w:rPr>
          <w:lang w:eastAsia="zh-CN"/>
        </w:rPr>
        <w:t>生产</w:t>
      </w:r>
      <w:r>
        <w:rPr>
          <w:rFonts w:hint="eastAsia"/>
          <w:lang w:eastAsia="zh-CN"/>
        </w:rPr>
        <w:t>、</w:t>
      </w:r>
      <w:r w:rsidRPr="00E33D9D">
        <w:rPr>
          <w:lang w:eastAsia="zh-CN"/>
        </w:rPr>
        <w:t>泡沫</w:t>
      </w:r>
      <w:r>
        <w:rPr>
          <w:rFonts w:hint="eastAsia"/>
          <w:lang w:eastAsia="zh-CN"/>
        </w:rPr>
        <w:t>塑料、</w:t>
      </w:r>
      <w:r w:rsidRPr="008D6BD8">
        <w:rPr>
          <w:lang w:eastAsia="zh-CN"/>
        </w:rPr>
        <w:t>二类加工剂</w:t>
      </w:r>
      <w:r>
        <w:rPr>
          <w:rFonts w:hint="eastAsia"/>
          <w:lang w:eastAsia="zh-CN"/>
        </w:rPr>
        <w:t>、</w:t>
      </w:r>
      <w:r w:rsidRPr="00E33D9D">
        <w:rPr>
          <w:lang w:eastAsia="zh-CN"/>
        </w:rPr>
        <w:t>溶剂和</w:t>
      </w:r>
      <w:r w:rsidRPr="008D6BD8">
        <w:rPr>
          <w:lang w:eastAsia="zh-CN"/>
        </w:rPr>
        <w:t>氟氯化碳</w:t>
      </w:r>
      <w:r w:rsidRPr="00E33D9D">
        <w:rPr>
          <w:lang w:eastAsia="zh-CN"/>
        </w:rPr>
        <w:t>制冷维修行业</w:t>
      </w:r>
      <w:r>
        <w:rPr>
          <w:rFonts w:hint="eastAsia"/>
          <w:lang w:eastAsia="zh-CN"/>
        </w:rPr>
        <w:t>的剩余资金的使用计划</w:t>
      </w:r>
      <w:r w:rsidRPr="00E33D9D">
        <w:rPr>
          <w:lang w:eastAsia="zh-CN"/>
        </w:rPr>
        <w:t>，</w:t>
      </w:r>
      <w:r>
        <w:rPr>
          <w:rFonts w:hint="eastAsia"/>
          <w:lang w:eastAsia="zh-CN"/>
        </w:rPr>
        <w:t>说明</w:t>
      </w:r>
      <w:r w:rsidRPr="00E33D9D">
        <w:rPr>
          <w:lang w:eastAsia="zh-CN"/>
        </w:rPr>
        <w:t>将如何</w:t>
      </w:r>
      <w:r>
        <w:rPr>
          <w:rFonts w:hint="eastAsia"/>
          <w:lang w:eastAsia="zh-CN"/>
        </w:rPr>
        <w:t>把这些余额</w:t>
      </w:r>
      <w:r w:rsidRPr="00E33D9D">
        <w:rPr>
          <w:lang w:eastAsia="zh-CN"/>
        </w:rPr>
        <w:t>用于</w:t>
      </w:r>
      <w:r>
        <w:rPr>
          <w:rFonts w:hint="eastAsia"/>
          <w:lang w:eastAsia="zh-CN"/>
        </w:rPr>
        <w:t>开展与</w:t>
      </w:r>
      <w:r w:rsidRPr="00E33D9D">
        <w:rPr>
          <w:lang w:eastAsia="zh-CN"/>
        </w:rPr>
        <w:t>ODS</w:t>
      </w:r>
      <w:r>
        <w:rPr>
          <w:rFonts w:hint="eastAsia"/>
          <w:lang w:eastAsia="zh-CN"/>
        </w:rPr>
        <w:t>淘汰有关的</w:t>
      </w:r>
      <w:r w:rsidRPr="00E33D9D">
        <w:rPr>
          <w:lang w:eastAsia="zh-CN"/>
        </w:rPr>
        <w:t>活动</w:t>
      </w:r>
      <w:r>
        <w:rPr>
          <w:rFonts w:hint="eastAsia"/>
          <w:lang w:eastAsia="zh-CN"/>
        </w:rPr>
        <w:t>，使这些行业计划能够在</w:t>
      </w:r>
      <w:r w:rsidRPr="00E33D9D">
        <w:rPr>
          <w:lang w:eastAsia="zh-CN"/>
        </w:rPr>
        <w:t>2018</w:t>
      </w:r>
      <w:r w:rsidRPr="00E33D9D">
        <w:rPr>
          <w:lang w:eastAsia="zh-CN"/>
        </w:rPr>
        <w:t>年底</w:t>
      </w:r>
      <w:r>
        <w:rPr>
          <w:rFonts w:hint="eastAsia"/>
          <w:lang w:eastAsia="zh-CN"/>
        </w:rPr>
        <w:t>之前</w:t>
      </w:r>
      <w:r w:rsidRPr="00E33D9D">
        <w:rPr>
          <w:lang w:eastAsia="zh-CN"/>
        </w:rPr>
        <w:t>完成。</w:t>
      </w:r>
      <w:r w:rsidRPr="00E33D9D">
        <w:rPr>
          <w:lang w:eastAsia="zh-CN"/>
        </w:rPr>
        <w:t> </w:t>
      </w:r>
      <w:r w:rsidRPr="00E33D9D">
        <w:rPr>
          <w:vertAlign w:val="superscript"/>
          <w:lang w:eastAsia="zh-CN"/>
        </w:rPr>
        <w:t> </w:t>
      </w:r>
    </w:p>
  </w:footnote>
  <w:footnote w:id="3">
    <w:p w14:paraId="69B51257" w14:textId="77777777" w:rsidR="00DB4B33" w:rsidRDefault="00DB4B33" w:rsidP="009369F2">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请</w:t>
      </w:r>
      <w:r w:rsidRPr="00E33D9D">
        <w:rPr>
          <w:lang w:eastAsia="zh-CN"/>
        </w:rPr>
        <w:t>政府</w:t>
      </w:r>
      <w:r>
        <w:rPr>
          <w:rFonts w:hint="eastAsia"/>
          <w:lang w:eastAsia="zh-CN"/>
        </w:rPr>
        <w:t>以及</w:t>
      </w:r>
      <w:r w:rsidRPr="00E33D9D">
        <w:rPr>
          <w:lang w:eastAsia="zh-CN"/>
        </w:rPr>
        <w:t>有关</w:t>
      </w:r>
      <w:r>
        <w:rPr>
          <w:rFonts w:hint="eastAsia"/>
          <w:lang w:eastAsia="zh-CN"/>
        </w:rPr>
        <w:t>的</w:t>
      </w:r>
      <w:r w:rsidRPr="00E33D9D">
        <w:rPr>
          <w:lang w:eastAsia="zh-CN"/>
        </w:rPr>
        <w:t>双边</w:t>
      </w:r>
      <w:r>
        <w:rPr>
          <w:rFonts w:hint="eastAsia"/>
          <w:lang w:eastAsia="zh-CN"/>
        </w:rPr>
        <w:t>机构</w:t>
      </w:r>
      <w:r w:rsidRPr="00E33D9D">
        <w:rPr>
          <w:lang w:eastAsia="zh-CN"/>
        </w:rPr>
        <w:t>和执行机构提交氟氯化碳生产</w:t>
      </w:r>
      <w:r>
        <w:rPr>
          <w:rFonts w:hint="eastAsia"/>
          <w:lang w:eastAsia="zh-CN"/>
        </w:rPr>
        <w:t>、</w:t>
      </w:r>
      <w:r w:rsidRPr="00E33D9D">
        <w:rPr>
          <w:lang w:eastAsia="zh-CN"/>
        </w:rPr>
        <w:t>哈龙</w:t>
      </w:r>
      <w:r>
        <w:rPr>
          <w:rFonts w:hint="eastAsia"/>
          <w:lang w:eastAsia="zh-CN"/>
        </w:rPr>
        <w:t>、</w:t>
      </w:r>
      <w:r w:rsidRPr="00E33D9D">
        <w:rPr>
          <w:lang w:eastAsia="zh-CN"/>
        </w:rPr>
        <w:t>聚氨酯泡沫</w:t>
      </w:r>
      <w:r>
        <w:rPr>
          <w:rFonts w:hint="eastAsia"/>
          <w:lang w:eastAsia="zh-CN"/>
        </w:rPr>
        <w:t>、</w:t>
      </w:r>
      <w:r w:rsidRPr="00196303">
        <w:rPr>
          <w:lang w:eastAsia="zh-CN"/>
        </w:rPr>
        <w:t>二类加工剂</w:t>
      </w:r>
      <w:r>
        <w:rPr>
          <w:rFonts w:hint="eastAsia"/>
          <w:lang w:eastAsia="zh-CN"/>
        </w:rPr>
        <w:t>、</w:t>
      </w:r>
      <w:r w:rsidRPr="00E33D9D">
        <w:rPr>
          <w:lang w:eastAsia="zh-CN"/>
        </w:rPr>
        <w:t>制冷维修和溶剂行业计划</w:t>
      </w:r>
      <w:r>
        <w:rPr>
          <w:rFonts w:hint="eastAsia"/>
          <w:lang w:eastAsia="zh-CN"/>
        </w:rPr>
        <w:t>的</w:t>
      </w:r>
      <w:r w:rsidRPr="00E33D9D">
        <w:rPr>
          <w:lang w:eastAsia="zh-CN"/>
        </w:rPr>
        <w:t>年度进度报告</w:t>
      </w:r>
      <w:r>
        <w:rPr>
          <w:rFonts w:hint="eastAsia"/>
          <w:lang w:eastAsia="zh-CN"/>
        </w:rPr>
        <w:t>、</w:t>
      </w:r>
      <w:r w:rsidRPr="00E33D9D">
        <w:rPr>
          <w:lang w:eastAsia="zh-CN"/>
        </w:rPr>
        <w:t>审计报告</w:t>
      </w:r>
      <w:r>
        <w:rPr>
          <w:rFonts w:hint="eastAsia"/>
          <w:lang w:eastAsia="zh-CN"/>
        </w:rPr>
        <w:t>、说明</w:t>
      </w:r>
      <w:r w:rsidRPr="00E33D9D">
        <w:rPr>
          <w:lang w:eastAsia="zh-CN"/>
        </w:rPr>
        <w:t>在</w:t>
      </w:r>
      <w:r>
        <w:rPr>
          <w:rFonts w:hint="eastAsia"/>
          <w:lang w:eastAsia="zh-CN"/>
        </w:rPr>
        <w:t>计划</w:t>
      </w:r>
      <w:r w:rsidRPr="00E33D9D">
        <w:rPr>
          <w:lang w:eastAsia="zh-CN"/>
        </w:rPr>
        <w:t>执行期间</w:t>
      </w:r>
      <w:r>
        <w:rPr>
          <w:rFonts w:hint="eastAsia"/>
          <w:lang w:eastAsia="zh-CN"/>
        </w:rPr>
        <w:t>产生</w:t>
      </w:r>
      <w:r w:rsidRPr="00E33D9D">
        <w:rPr>
          <w:lang w:eastAsia="zh-CN"/>
        </w:rPr>
        <w:t>的利息，</w:t>
      </w:r>
      <w:r>
        <w:rPr>
          <w:rFonts w:hint="eastAsia"/>
          <w:lang w:eastAsia="zh-CN"/>
        </w:rPr>
        <w:t>直至</w:t>
      </w:r>
      <w:r w:rsidRPr="00E33D9D">
        <w:rPr>
          <w:lang w:eastAsia="zh-CN"/>
        </w:rPr>
        <w:t>所有活动</w:t>
      </w:r>
      <w:r>
        <w:rPr>
          <w:rFonts w:hint="eastAsia"/>
          <w:lang w:eastAsia="zh-CN"/>
        </w:rPr>
        <w:t>最迟于</w:t>
      </w:r>
      <w:r w:rsidRPr="00E33D9D">
        <w:rPr>
          <w:lang w:eastAsia="zh-CN"/>
        </w:rPr>
        <w:t>2018 </w:t>
      </w:r>
      <w:r w:rsidRPr="00E33D9D">
        <w:rPr>
          <w:lang w:eastAsia="zh-CN"/>
        </w:rPr>
        <w:t>年</w:t>
      </w:r>
      <w:r w:rsidRPr="00E33D9D">
        <w:rPr>
          <w:lang w:eastAsia="zh-CN"/>
        </w:rPr>
        <w:t>12 </w:t>
      </w:r>
      <w:r w:rsidRPr="00E33D9D">
        <w:rPr>
          <w:lang w:eastAsia="zh-CN"/>
        </w:rPr>
        <w:t>月</w:t>
      </w:r>
      <w:r w:rsidRPr="00E33D9D">
        <w:rPr>
          <w:lang w:eastAsia="zh-CN"/>
        </w:rPr>
        <w:t>31 </w:t>
      </w:r>
      <w:r w:rsidRPr="00E33D9D">
        <w:rPr>
          <w:lang w:eastAsia="zh-CN"/>
        </w:rPr>
        <w:t>日</w:t>
      </w:r>
      <w:r>
        <w:rPr>
          <w:rFonts w:hint="eastAsia"/>
          <w:lang w:eastAsia="zh-CN"/>
        </w:rPr>
        <w:t>之前</w:t>
      </w:r>
      <w:r w:rsidRPr="00E33D9D">
        <w:rPr>
          <w:lang w:eastAsia="zh-CN"/>
        </w:rPr>
        <w:t>完成，并且不迟于</w:t>
      </w:r>
      <w:r w:rsidRPr="00E33D9D">
        <w:rPr>
          <w:lang w:eastAsia="zh-CN"/>
        </w:rPr>
        <w:t>2019</w:t>
      </w:r>
      <w:r w:rsidRPr="00E33D9D">
        <w:rPr>
          <w:lang w:eastAsia="zh-CN"/>
        </w:rPr>
        <w:t>年第一次会议提交行业计划的项目完成报告。</w:t>
      </w:r>
    </w:p>
  </w:footnote>
  <w:footnote w:id="4">
    <w:p w14:paraId="628D845F" w14:textId="77777777" w:rsidR="00DB4B33" w:rsidRDefault="00DB4B33" w:rsidP="009369F2">
      <w:pPr>
        <w:pStyle w:val="FootnoteText"/>
        <w:rPr>
          <w:lang w:eastAsia="zh-CN"/>
        </w:rPr>
      </w:pPr>
      <w:r>
        <w:rPr>
          <w:rStyle w:val="FootnoteReference"/>
        </w:rPr>
        <w:footnoteRef/>
      </w:r>
      <w:r>
        <w:rPr>
          <w:lang w:eastAsia="zh-CN"/>
        </w:rPr>
        <w:t xml:space="preserve"> </w:t>
      </w:r>
      <w:r>
        <w:rPr>
          <w:lang w:eastAsia="zh-CN"/>
        </w:rPr>
        <w:tab/>
      </w:r>
      <w:r w:rsidRPr="00E33D9D">
        <w:rPr>
          <w:lang w:eastAsia="zh-CN"/>
        </w:rPr>
        <w:t>邀请政府</w:t>
      </w:r>
      <w:r>
        <w:rPr>
          <w:rFonts w:hint="eastAsia"/>
          <w:lang w:eastAsia="zh-CN"/>
        </w:rPr>
        <w:t>在无</w:t>
      </w:r>
      <w:r w:rsidRPr="005C2951">
        <w:rPr>
          <w:lang w:eastAsia="zh-CN"/>
        </w:rPr>
        <w:t>氟氯化碳</w:t>
      </w:r>
      <w:r>
        <w:rPr>
          <w:rFonts w:hint="eastAsia"/>
          <w:lang w:eastAsia="zh-CN"/>
        </w:rPr>
        <w:t>替代品</w:t>
      </w:r>
      <w:r w:rsidRPr="00E33D9D">
        <w:rPr>
          <w:lang w:eastAsia="zh-CN"/>
        </w:rPr>
        <w:t>筛选和评估活动</w:t>
      </w:r>
      <w:r>
        <w:rPr>
          <w:rFonts w:hint="eastAsia"/>
          <w:lang w:eastAsia="zh-CN"/>
        </w:rPr>
        <w:t>以及</w:t>
      </w:r>
      <w:r w:rsidRPr="00E33D9D">
        <w:rPr>
          <w:lang w:eastAsia="zh-CN"/>
        </w:rPr>
        <w:t>新替代品</w:t>
      </w:r>
      <w:r>
        <w:rPr>
          <w:rFonts w:hint="eastAsia"/>
          <w:lang w:eastAsia="zh-CN"/>
        </w:rPr>
        <w:t>开发活动</w:t>
      </w:r>
      <w:r w:rsidRPr="00E33D9D">
        <w:rPr>
          <w:lang w:eastAsia="zh-CN"/>
        </w:rPr>
        <w:t>时</w:t>
      </w:r>
      <w:r>
        <w:rPr>
          <w:rFonts w:hint="eastAsia"/>
          <w:lang w:eastAsia="zh-CN"/>
        </w:rPr>
        <w:t>提交一份报告</w:t>
      </w:r>
      <w:r w:rsidRPr="00E33D9D">
        <w:rPr>
          <w:lang w:eastAsia="zh-CN"/>
        </w:rPr>
        <w:t>，</w:t>
      </w:r>
      <w:r>
        <w:rPr>
          <w:rFonts w:hint="eastAsia"/>
          <w:lang w:eastAsia="zh-CN"/>
        </w:rPr>
        <w:t>说明这些活动的成果</w:t>
      </w:r>
      <w:r w:rsidRPr="00E33D9D">
        <w:rPr>
          <w:lang w:eastAsia="zh-CN"/>
        </w:rPr>
        <w:t>; </w:t>
      </w:r>
      <w:r w:rsidRPr="00E33D9D">
        <w:rPr>
          <w:lang w:eastAsia="zh-CN"/>
        </w:rPr>
        <w:t>收集</w:t>
      </w:r>
      <w:r>
        <w:rPr>
          <w:rFonts w:hint="eastAsia"/>
          <w:lang w:eastAsia="zh-CN"/>
        </w:rPr>
        <w:t>现有的</w:t>
      </w:r>
      <w:r w:rsidRPr="00E33D9D">
        <w:rPr>
          <w:lang w:eastAsia="zh-CN"/>
        </w:rPr>
        <w:t>哈龙回收信息</w:t>
      </w:r>
      <w:r>
        <w:rPr>
          <w:rFonts w:hint="eastAsia"/>
          <w:lang w:eastAsia="zh-CN"/>
        </w:rPr>
        <w:t>，将其作为</w:t>
      </w:r>
      <w:r w:rsidRPr="00E33D9D">
        <w:rPr>
          <w:lang w:eastAsia="zh-CN"/>
        </w:rPr>
        <w:t>在</w:t>
      </w:r>
      <w:r>
        <w:rPr>
          <w:rFonts w:hint="eastAsia"/>
          <w:lang w:eastAsia="zh-CN"/>
        </w:rPr>
        <w:t>视察</w:t>
      </w:r>
      <w:r w:rsidRPr="00E33D9D">
        <w:rPr>
          <w:lang w:eastAsia="zh-CN"/>
        </w:rPr>
        <w:t>拆船中心期间收集</w:t>
      </w:r>
      <w:r>
        <w:rPr>
          <w:rFonts w:hint="eastAsia"/>
          <w:lang w:eastAsia="zh-CN"/>
        </w:rPr>
        <w:t>的</w:t>
      </w:r>
      <w:r w:rsidRPr="00E33D9D">
        <w:rPr>
          <w:lang w:eastAsia="zh-CN"/>
        </w:rPr>
        <w:t>氟氯化碳回收信息</w:t>
      </w:r>
      <w:r>
        <w:rPr>
          <w:rFonts w:hint="eastAsia"/>
          <w:lang w:eastAsia="zh-CN"/>
        </w:rPr>
        <w:t>的一部分</w:t>
      </w:r>
      <w:r w:rsidRPr="00E33D9D">
        <w:rPr>
          <w:lang w:eastAsia="zh-CN"/>
        </w:rPr>
        <w:t>；</w:t>
      </w:r>
      <w:r>
        <w:rPr>
          <w:rFonts w:hint="eastAsia"/>
          <w:lang w:eastAsia="zh-CN"/>
        </w:rPr>
        <w:t>对中国的</w:t>
      </w:r>
      <w:r w:rsidRPr="00E33D9D">
        <w:rPr>
          <w:lang w:eastAsia="zh-CN"/>
        </w:rPr>
        <w:t>四氯化碳生产及其</w:t>
      </w:r>
      <w:r>
        <w:rPr>
          <w:rFonts w:hint="eastAsia"/>
          <w:lang w:eastAsia="zh-CN"/>
        </w:rPr>
        <w:t>作为原料的使用情况</w:t>
      </w:r>
      <w:r w:rsidRPr="00E33D9D">
        <w:rPr>
          <w:lang w:eastAsia="zh-CN"/>
        </w:rPr>
        <w:t>进行研究，并在</w:t>
      </w:r>
      <w:r w:rsidRPr="00E33D9D">
        <w:rPr>
          <w:lang w:eastAsia="zh-CN"/>
        </w:rPr>
        <w:t>2018</w:t>
      </w:r>
      <w:r w:rsidRPr="00E33D9D">
        <w:rPr>
          <w:lang w:eastAsia="zh-CN"/>
        </w:rPr>
        <w:t>年底之前向</w:t>
      </w:r>
      <w:r>
        <w:rPr>
          <w:rFonts w:hint="eastAsia"/>
          <w:lang w:eastAsia="zh-CN"/>
        </w:rPr>
        <w:t>执委会</w:t>
      </w:r>
      <w:r w:rsidRPr="00E33D9D">
        <w:rPr>
          <w:lang w:eastAsia="zh-CN"/>
        </w:rPr>
        <w:t>提供研究结果。</w:t>
      </w:r>
    </w:p>
  </w:footnote>
  <w:footnote w:id="5">
    <w:p w14:paraId="6A1C1883" w14:textId="77777777" w:rsidR="00DB4B33" w:rsidRDefault="00DB4B33" w:rsidP="009369F2">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请</w:t>
      </w:r>
      <w:r w:rsidRPr="00E33D9D">
        <w:rPr>
          <w:lang w:eastAsia="zh-CN"/>
        </w:rPr>
        <w:t>政府</w:t>
      </w:r>
      <w:r>
        <w:rPr>
          <w:rFonts w:hint="eastAsia"/>
          <w:lang w:eastAsia="zh-CN"/>
        </w:rPr>
        <w:t>向第七十九次会议提供关于所有使用</w:t>
      </w:r>
      <w:r w:rsidRPr="00E33D9D">
        <w:rPr>
          <w:lang w:eastAsia="zh-CN"/>
        </w:rPr>
        <w:t>多边基金</w:t>
      </w:r>
      <w:r>
        <w:rPr>
          <w:rFonts w:hint="eastAsia"/>
          <w:lang w:eastAsia="zh-CN"/>
        </w:rPr>
        <w:t>的资金在</w:t>
      </w:r>
      <w:r w:rsidRPr="00E33D9D">
        <w:rPr>
          <w:lang w:eastAsia="zh-CN"/>
        </w:rPr>
        <w:t>氟氯化碳生产</w:t>
      </w:r>
      <w:r>
        <w:rPr>
          <w:rFonts w:hint="eastAsia"/>
          <w:lang w:eastAsia="zh-CN"/>
        </w:rPr>
        <w:t>行业举办的研发项目的最后研究报告。</w:t>
      </w:r>
    </w:p>
  </w:footnote>
  <w:footnote w:id="6">
    <w:p w14:paraId="52E537EC" w14:textId="77777777" w:rsidR="00DB4B33" w:rsidRDefault="00DB4B33" w:rsidP="009369F2">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执委会</w:t>
      </w:r>
      <w:r w:rsidRPr="00591F3D">
        <w:rPr>
          <w:lang w:eastAsia="zh-CN"/>
        </w:rPr>
        <w:t>赞赏</w:t>
      </w:r>
      <w:r>
        <w:rPr>
          <w:rFonts w:hint="eastAsia"/>
          <w:lang w:eastAsia="zh-CN"/>
        </w:rPr>
        <w:t>地</w:t>
      </w:r>
      <w:r w:rsidRPr="00591F3D">
        <w:rPr>
          <w:lang w:eastAsia="zh-CN"/>
        </w:rPr>
        <w:t>注意到</w:t>
      </w:r>
      <w:r>
        <w:rPr>
          <w:rFonts w:hint="eastAsia"/>
          <w:lang w:eastAsia="zh-CN"/>
        </w:rPr>
        <w:t>，</w:t>
      </w:r>
      <w:r w:rsidRPr="00591F3D">
        <w:rPr>
          <w:lang w:eastAsia="zh-CN"/>
        </w:rPr>
        <w:t>政府已证实，将在</w:t>
      </w:r>
      <w:r w:rsidRPr="00591F3D">
        <w:rPr>
          <w:lang w:eastAsia="zh-CN"/>
        </w:rPr>
        <w:t>2018</w:t>
      </w:r>
      <w:r w:rsidRPr="00591F3D">
        <w:rPr>
          <w:lang w:eastAsia="zh-CN"/>
        </w:rPr>
        <w:t>年底之前</w:t>
      </w:r>
      <w:r>
        <w:rPr>
          <w:rFonts w:hint="eastAsia"/>
          <w:lang w:eastAsia="zh-CN"/>
        </w:rPr>
        <w:t>全部发放</w:t>
      </w:r>
      <w:r w:rsidRPr="00591F3D">
        <w:rPr>
          <w:lang w:eastAsia="zh-CN"/>
        </w:rPr>
        <w:t>每个</w:t>
      </w:r>
      <w:r>
        <w:rPr>
          <w:rFonts w:hint="eastAsia"/>
          <w:lang w:eastAsia="zh-CN"/>
        </w:rPr>
        <w:t>行业</w:t>
      </w:r>
      <w:r w:rsidRPr="00591F3D">
        <w:rPr>
          <w:lang w:eastAsia="zh-CN"/>
        </w:rPr>
        <w:t>计划的资金余额</w:t>
      </w:r>
      <w:r>
        <w:rPr>
          <w:rFonts w:hint="eastAsia"/>
          <w:lang w:eastAsia="zh-CN"/>
        </w:rPr>
        <w:t>；将向</w:t>
      </w:r>
      <w:r w:rsidRPr="00591F3D">
        <w:rPr>
          <w:lang w:eastAsia="zh-CN"/>
        </w:rPr>
        <w:t>2018</w:t>
      </w:r>
      <w:r w:rsidRPr="00591F3D">
        <w:rPr>
          <w:lang w:eastAsia="zh-CN"/>
        </w:rPr>
        <w:t>年的</w:t>
      </w:r>
      <w:r>
        <w:rPr>
          <w:rFonts w:hint="eastAsia"/>
          <w:lang w:eastAsia="zh-CN"/>
        </w:rPr>
        <w:t>最后一次</w:t>
      </w:r>
      <w:r w:rsidRPr="00591F3D">
        <w:rPr>
          <w:lang w:eastAsia="zh-CN"/>
        </w:rPr>
        <w:t>会议</w:t>
      </w:r>
      <w:r>
        <w:rPr>
          <w:rFonts w:hint="eastAsia"/>
          <w:lang w:eastAsia="zh-CN"/>
        </w:rPr>
        <w:t>提交相关</w:t>
      </w:r>
      <w:r w:rsidRPr="00591F3D">
        <w:rPr>
          <w:lang w:eastAsia="zh-CN"/>
        </w:rPr>
        <w:t>的研究和技术援助报告，</w:t>
      </w:r>
      <w:r>
        <w:rPr>
          <w:rFonts w:hint="eastAsia"/>
          <w:lang w:eastAsia="zh-CN"/>
        </w:rPr>
        <w:t>并向</w:t>
      </w:r>
      <w:r w:rsidRPr="00591F3D">
        <w:rPr>
          <w:lang w:eastAsia="zh-CN"/>
        </w:rPr>
        <w:t>2019</w:t>
      </w:r>
      <w:r w:rsidRPr="00591F3D">
        <w:rPr>
          <w:lang w:eastAsia="zh-CN"/>
        </w:rPr>
        <w:t>年的第一次会议</w:t>
      </w:r>
      <w:r>
        <w:rPr>
          <w:rFonts w:hint="eastAsia"/>
          <w:lang w:eastAsia="zh-CN"/>
        </w:rPr>
        <w:t>提交</w:t>
      </w:r>
      <w:r w:rsidRPr="00591F3D">
        <w:rPr>
          <w:lang w:eastAsia="zh-CN"/>
        </w:rPr>
        <w:t>项目完成报告。</w:t>
      </w:r>
    </w:p>
  </w:footnote>
  <w:footnote w:id="7">
    <w:p w14:paraId="7350B8B7" w14:textId="77777777" w:rsidR="00DB4B33" w:rsidRDefault="00DB4B33" w:rsidP="00F22FE4">
      <w:pPr>
        <w:pStyle w:val="FootnoteText"/>
        <w:rPr>
          <w:lang w:eastAsia="zh-CN"/>
        </w:rPr>
      </w:pPr>
      <w:r>
        <w:rPr>
          <w:rStyle w:val="FootnoteReference"/>
        </w:rPr>
        <w:footnoteRef/>
      </w:r>
      <w:r>
        <w:rPr>
          <w:lang w:eastAsia="zh-CN"/>
        </w:rPr>
        <w:t xml:space="preserve"> </w:t>
      </w:r>
      <w:r>
        <w:rPr>
          <w:lang w:eastAsia="zh-CN"/>
        </w:rPr>
        <w:tab/>
      </w:r>
      <w:r w:rsidRPr="00891A3D">
        <w:rPr>
          <w:lang w:val="en-CA" w:eastAsia="zh-CN"/>
        </w:rPr>
        <w:t>UNEP/</w:t>
      </w:r>
      <w:proofErr w:type="spellStart"/>
      <w:r w:rsidRPr="00891A3D">
        <w:rPr>
          <w:lang w:val="en-CA" w:eastAsia="zh-CN"/>
        </w:rPr>
        <w:t>OzL.Pro</w:t>
      </w:r>
      <w:proofErr w:type="spellEnd"/>
      <w:r w:rsidRPr="00891A3D">
        <w:rPr>
          <w:lang w:val="en-CA" w:eastAsia="zh-CN"/>
        </w:rPr>
        <w:t>/</w:t>
      </w:r>
      <w:proofErr w:type="spellStart"/>
      <w:r w:rsidRPr="00891A3D">
        <w:rPr>
          <w:lang w:val="en-CA" w:eastAsia="zh-CN"/>
        </w:rPr>
        <w:t>ExCom</w:t>
      </w:r>
      <w:proofErr w:type="spellEnd"/>
      <w:r w:rsidRPr="00891A3D">
        <w:rPr>
          <w:lang w:val="en-CA" w:eastAsia="zh-CN"/>
        </w:rPr>
        <w:t>/83/11/Add.1</w:t>
      </w:r>
      <w:r>
        <w:rPr>
          <w:rFonts w:hint="eastAsia"/>
          <w:lang w:val="en-CA" w:eastAsia="zh-CN"/>
        </w:rPr>
        <w:t>号文件第一部分。</w:t>
      </w:r>
    </w:p>
  </w:footnote>
  <w:footnote w:id="8">
    <w:p w14:paraId="574E8B6E" w14:textId="7B35768C" w:rsidR="00DB4B33" w:rsidRDefault="00DB4B33">
      <w:pPr>
        <w:pStyle w:val="FootnoteText"/>
        <w:rPr>
          <w:lang w:eastAsia="zh-CN"/>
        </w:rPr>
      </w:pPr>
      <w:r>
        <w:rPr>
          <w:rStyle w:val="FootnoteReference"/>
        </w:rPr>
        <w:footnoteRef/>
      </w:r>
      <w:r>
        <w:rPr>
          <w:lang w:eastAsia="zh-CN"/>
        </w:rPr>
        <w:t xml:space="preserve"> </w:t>
      </w:r>
      <w:r>
        <w:rPr>
          <w:lang w:eastAsia="zh-CN"/>
        </w:rPr>
        <w:tab/>
      </w:r>
      <w:r>
        <w:rPr>
          <w:rFonts w:hint="eastAsia"/>
          <w:lang w:val="en-US" w:eastAsia="zh-CN"/>
        </w:rPr>
        <w:t>以</w:t>
      </w:r>
      <w:r w:rsidRPr="000508C7">
        <w:rPr>
          <w:lang w:val="en-US" w:eastAsia="zh-CN"/>
        </w:rPr>
        <w:t>中国政府</w:t>
      </w:r>
      <w:r>
        <w:rPr>
          <w:rFonts w:hint="eastAsia"/>
          <w:lang w:val="en-US" w:eastAsia="zh-CN"/>
        </w:rPr>
        <w:t>提交的截至</w:t>
      </w:r>
      <w:r w:rsidRPr="000508C7">
        <w:rPr>
          <w:lang w:val="en-US" w:eastAsia="zh-CN"/>
        </w:rPr>
        <w:t>2019</w:t>
      </w:r>
      <w:r w:rsidRPr="000508C7">
        <w:rPr>
          <w:lang w:val="en-US" w:eastAsia="zh-CN"/>
        </w:rPr>
        <w:t>年</w:t>
      </w:r>
      <w:r w:rsidRPr="000508C7">
        <w:rPr>
          <w:lang w:val="en-US" w:eastAsia="zh-CN"/>
        </w:rPr>
        <w:t>6</w:t>
      </w:r>
      <w:r w:rsidRPr="000508C7">
        <w:rPr>
          <w:lang w:val="en-US" w:eastAsia="zh-CN"/>
        </w:rPr>
        <w:t>月</w:t>
      </w:r>
      <w:r w:rsidRPr="000508C7">
        <w:rPr>
          <w:lang w:val="en-US" w:eastAsia="zh-CN"/>
        </w:rPr>
        <w:t>30</w:t>
      </w:r>
      <w:r w:rsidRPr="000508C7">
        <w:rPr>
          <w:lang w:val="en-US" w:eastAsia="zh-CN"/>
        </w:rPr>
        <w:t>日</w:t>
      </w:r>
      <w:r>
        <w:rPr>
          <w:rFonts w:hint="eastAsia"/>
          <w:lang w:val="en-US" w:eastAsia="zh-CN"/>
        </w:rPr>
        <w:t>的</w:t>
      </w:r>
      <w:r w:rsidRPr="000508C7">
        <w:rPr>
          <w:lang w:val="en-US" w:eastAsia="zh-CN"/>
        </w:rPr>
        <w:t>审计报告</w:t>
      </w:r>
      <w:r>
        <w:rPr>
          <w:rFonts w:hint="eastAsia"/>
          <w:lang w:val="en-US" w:eastAsia="zh-CN"/>
        </w:rPr>
        <w:t>为依据</w:t>
      </w:r>
      <w:r w:rsidRPr="000508C7">
        <w:rPr>
          <w:lang w:val="en-US" w:eastAsia="zh-CN"/>
        </w:rPr>
        <w:t>的最新</w:t>
      </w:r>
      <w:r>
        <w:rPr>
          <w:rFonts w:hint="eastAsia"/>
          <w:lang w:val="en-US" w:eastAsia="zh-CN"/>
        </w:rPr>
        <w:t>数字</w:t>
      </w:r>
      <w:r w:rsidRPr="000508C7">
        <w:rPr>
          <w:lang w:val="en-US" w:eastAsia="zh-CN"/>
        </w:rPr>
        <w:t>，其中包括</w:t>
      </w:r>
      <w:r>
        <w:rPr>
          <w:rFonts w:hint="eastAsia"/>
          <w:lang w:val="en-US" w:eastAsia="zh-CN"/>
        </w:rPr>
        <w:t>关于</w:t>
      </w:r>
      <w:r w:rsidRPr="000508C7">
        <w:rPr>
          <w:lang w:val="en-US" w:eastAsia="zh-CN"/>
        </w:rPr>
        <w:t>二类加工剂的数据</w:t>
      </w:r>
      <w:r>
        <w:rPr>
          <w:rFonts w:hint="eastAsia"/>
          <w:lang w:val="en-US" w:eastAsia="zh-CN"/>
        </w:rPr>
        <w:t>。</w:t>
      </w:r>
    </w:p>
  </w:footnote>
  <w:footnote w:id="9">
    <w:p w14:paraId="023D4DE4" w14:textId="326750D3" w:rsidR="00DB4B33" w:rsidRDefault="00DB4B33">
      <w:pPr>
        <w:pStyle w:val="FootnoteText"/>
        <w:rPr>
          <w:lang w:eastAsia="zh-CN"/>
        </w:rPr>
      </w:pPr>
      <w:r>
        <w:rPr>
          <w:rStyle w:val="FootnoteReference"/>
        </w:rPr>
        <w:footnoteRef/>
      </w:r>
      <w:r>
        <w:rPr>
          <w:lang w:eastAsia="zh-CN"/>
        </w:rPr>
        <w:t xml:space="preserve"> </w:t>
      </w:r>
      <w:r>
        <w:rPr>
          <w:lang w:eastAsia="zh-CN"/>
        </w:rPr>
        <w:tab/>
      </w:r>
      <w:r w:rsidRPr="00482303">
        <w:rPr>
          <w:lang w:val="en-US" w:eastAsia="zh-CN"/>
        </w:rPr>
        <w:t>北京宇</w:t>
      </w:r>
      <w:r>
        <w:rPr>
          <w:rFonts w:hint="eastAsia"/>
          <w:lang w:val="en-US" w:eastAsia="zh-CN"/>
        </w:rPr>
        <w:t>极、</w:t>
      </w:r>
      <w:r w:rsidRPr="00482303">
        <w:rPr>
          <w:lang w:val="en-US" w:eastAsia="zh-CN"/>
        </w:rPr>
        <w:t>东阳</w:t>
      </w:r>
      <w:r w:rsidRPr="00482303">
        <w:rPr>
          <w:rFonts w:hint="eastAsia"/>
          <w:lang w:val="en-US" w:eastAsia="zh-CN"/>
        </w:rPr>
        <w:t>巍华</w:t>
      </w:r>
      <w:r>
        <w:rPr>
          <w:rFonts w:hint="eastAsia"/>
          <w:lang w:val="en-US" w:eastAsia="zh-CN"/>
        </w:rPr>
        <w:t>、</w:t>
      </w:r>
      <w:r w:rsidRPr="00482303">
        <w:rPr>
          <w:lang w:val="en-US" w:eastAsia="zh-CN"/>
        </w:rPr>
        <w:t>上海</w:t>
      </w:r>
      <w:r w:rsidRPr="00B64AB7">
        <w:rPr>
          <w:rFonts w:hint="eastAsia"/>
          <w:lang w:val="en-US" w:eastAsia="zh-CN"/>
        </w:rPr>
        <w:t>矽利康</w:t>
      </w:r>
      <w:r>
        <w:rPr>
          <w:rFonts w:hint="eastAsia"/>
          <w:lang w:val="en-US" w:eastAsia="zh-CN"/>
        </w:rPr>
        <w:t>、</w:t>
      </w:r>
      <w:r w:rsidRPr="00B64AB7">
        <w:rPr>
          <w:lang w:val="en-US" w:eastAsia="zh-CN"/>
        </w:rPr>
        <w:t>衢州三成</w:t>
      </w:r>
      <w:r w:rsidRPr="00482303">
        <w:rPr>
          <w:lang w:val="en-US" w:eastAsia="zh-CN"/>
        </w:rPr>
        <w:t>和华夏神州</w:t>
      </w:r>
      <w:r>
        <w:rPr>
          <w:rFonts w:hint="eastAsia"/>
          <w:lang w:val="en-US" w:eastAsia="zh-CN"/>
        </w:rPr>
        <w:t>。</w:t>
      </w:r>
    </w:p>
  </w:footnote>
  <w:footnote w:id="10">
    <w:p w14:paraId="65FC9D64" w14:textId="5D5C391E" w:rsidR="00DB4B33" w:rsidRDefault="00DB4B33">
      <w:pPr>
        <w:pStyle w:val="FootnoteText"/>
        <w:rPr>
          <w:lang w:eastAsia="zh-CN"/>
        </w:rPr>
      </w:pPr>
      <w:r>
        <w:rPr>
          <w:rStyle w:val="FootnoteReference"/>
        </w:rPr>
        <w:footnoteRef/>
      </w:r>
      <w:r>
        <w:rPr>
          <w:lang w:eastAsia="zh-CN"/>
        </w:rPr>
        <w:t xml:space="preserve"> </w:t>
      </w:r>
      <w:r>
        <w:rPr>
          <w:lang w:eastAsia="zh-CN"/>
        </w:rPr>
        <w:tab/>
      </w:r>
      <w:r w:rsidRPr="00774013">
        <w:rPr>
          <w:lang w:val="en-US" w:eastAsia="zh-CN"/>
        </w:rPr>
        <w:t>向秘书处提供了一张表格，其中列出了与每个</w:t>
      </w:r>
      <w:r>
        <w:rPr>
          <w:rFonts w:hint="eastAsia"/>
          <w:lang w:val="en-US" w:eastAsia="zh-CN"/>
        </w:rPr>
        <w:t>生态和环境局</w:t>
      </w:r>
      <w:r w:rsidRPr="00774013">
        <w:rPr>
          <w:lang w:val="en-US" w:eastAsia="zh-CN"/>
        </w:rPr>
        <w:t>签订的合同的</w:t>
      </w:r>
      <w:r>
        <w:rPr>
          <w:rFonts w:hint="eastAsia"/>
          <w:lang w:val="en-US" w:eastAsia="zh-CN"/>
        </w:rPr>
        <w:t>费用</w:t>
      </w:r>
      <w:r w:rsidRPr="00774013">
        <w:rPr>
          <w:lang w:val="en-US" w:eastAsia="zh-CN"/>
        </w:rPr>
        <w:t>。</w:t>
      </w:r>
    </w:p>
  </w:footnote>
  <w:footnote w:id="11">
    <w:p w14:paraId="1A991583" w14:textId="25B6F3E5" w:rsidR="00DB4B33" w:rsidRPr="00070870" w:rsidRDefault="00DB4B33">
      <w:pPr>
        <w:pStyle w:val="FootnoteText"/>
        <w:rPr>
          <w:lang w:eastAsia="zh-CN"/>
        </w:rPr>
      </w:pPr>
      <w:r>
        <w:rPr>
          <w:rStyle w:val="FootnoteReference"/>
        </w:rPr>
        <w:footnoteRef/>
      </w:r>
      <w:r>
        <w:t xml:space="preserve"> </w:t>
      </w:r>
      <w:r>
        <w:rPr>
          <w:lang w:eastAsia="zh-CN"/>
        </w:rPr>
        <w:tab/>
      </w:r>
      <w:r w:rsidRPr="00070870">
        <w:rPr>
          <w:b/>
          <w:bCs/>
          <w:lang w:val="en-US" w:eastAsia="zh-CN"/>
        </w:rPr>
        <w:t>EW-4400</w:t>
      </w:r>
      <w:r w:rsidRPr="00070870">
        <w:rPr>
          <w:b/>
          <w:bCs/>
          <w:lang w:val="en-US" w:eastAsia="zh-CN"/>
        </w:rPr>
        <w:t>型便携式光电离气相色谱仪，</w:t>
      </w:r>
      <w:r w:rsidRPr="00070870">
        <w:rPr>
          <w:b/>
          <w:bCs/>
          <w:lang w:val="en-US" w:eastAsia="zh-CN"/>
        </w:rPr>
        <w:t>East and West Analytical Instruments</w:t>
      </w:r>
      <w:r>
        <w:rPr>
          <w:rFonts w:hint="eastAsia"/>
          <w:b/>
          <w:bCs/>
          <w:lang w:val="en-US" w:eastAsia="zh-CN"/>
        </w:rPr>
        <w:t>公司的产品</w:t>
      </w:r>
      <w:r w:rsidRPr="00070870">
        <w:rPr>
          <w:b/>
          <w:bCs/>
          <w:lang w:val="en-US" w:eastAsia="zh-CN"/>
        </w:rPr>
        <w:t>，每</w:t>
      </w:r>
      <w:r>
        <w:rPr>
          <w:rFonts w:hint="eastAsia"/>
          <w:b/>
          <w:bCs/>
          <w:lang w:val="en-US" w:eastAsia="zh-CN"/>
        </w:rPr>
        <w:t>台价格</w:t>
      </w:r>
      <w:r w:rsidRPr="00070870">
        <w:rPr>
          <w:b/>
          <w:bCs/>
          <w:lang w:val="en-US" w:eastAsia="zh-CN"/>
        </w:rPr>
        <w:t>为</w:t>
      </w:r>
      <w:r w:rsidRPr="00070870">
        <w:rPr>
          <w:b/>
          <w:bCs/>
          <w:lang w:val="en-US" w:eastAsia="zh-CN"/>
        </w:rPr>
        <w:t>20,000</w:t>
      </w:r>
      <w:r w:rsidRPr="00070870">
        <w:rPr>
          <w:b/>
          <w:bCs/>
          <w:lang w:val="en-US" w:eastAsia="zh-CN"/>
        </w:rPr>
        <w:t>美元</w:t>
      </w:r>
      <w:r>
        <w:rPr>
          <w:rFonts w:hint="eastAsia"/>
          <w:lang w:val="en-US" w:eastAsia="zh-CN"/>
        </w:rPr>
        <w:t>。</w:t>
      </w:r>
    </w:p>
  </w:footnote>
  <w:footnote w:id="12">
    <w:p w14:paraId="7132CF98" w14:textId="4590972D" w:rsidR="00DB4B33" w:rsidRDefault="00DB4B33" w:rsidP="00185135">
      <w:pPr>
        <w:pStyle w:val="FootnoteText"/>
      </w:pPr>
      <w:r>
        <w:rPr>
          <w:rStyle w:val="FootnoteReference"/>
          <w:szCs w:val="24"/>
        </w:rPr>
        <w:footnoteRef/>
      </w:r>
      <w:r>
        <w:rPr>
          <w:szCs w:val="24"/>
        </w:rPr>
        <w:t xml:space="preserve"> </w:t>
      </w:r>
      <w:r>
        <w:rPr>
          <w:szCs w:val="24"/>
        </w:rPr>
        <w:tab/>
      </w:r>
      <w:r w:rsidRPr="00911D2E">
        <w:rPr>
          <w:szCs w:val="24"/>
        </w:rPr>
        <w:t>UNEP/</w:t>
      </w:r>
      <w:proofErr w:type="spellStart"/>
      <w:r w:rsidRPr="00911D2E">
        <w:rPr>
          <w:szCs w:val="24"/>
        </w:rPr>
        <w:t>OzL.Pro</w:t>
      </w:r>
      <w:proofErr w:type="spellEnd"/>
      <w:r w:rsidRPr="00911D2E">
        <w:rPr>
          <w:szCs w:val="24"/>
        </w:rPr>
        <w:t>/</w:t>
      </w:r>
      <w:proofErr w:type="spellStart"/>
      <w:r w:rsidRPr="00911D2E">
        <w:rPr>
          <w:szCs w:val="24"/>
        </w:rPr>
        <w:t>ExCom</w:t>
      </w:r>
      <w:proofErr w:type="spellEnd"/>
      <w:r w:rsidRPr="00911D2E">
        <w:rPr>
          <w:szCs w:val="24"/>
        </w:rPr>
        <w:t>/82/SGP/03</w:t>
      </w:r>
      <w:proofErr w:type="spellStart"/>
      <w:r>
        <w:rPr>
          <w:rFonts w:ascii="SimSun" w:hint="eastAsia"/>
          <w:szCs w:val="24"/>
          <w:lang w:val="zh-CN"/>
        </w:rPr>
        <w:t>号文件指出</w:t>
      </w:r>
      <w:r w:rsidRPr="00911D2E">
        <w:rPr>
          <w:rFonts w:ascii="SimSun" w:hint="eastAsia"/>
          <w:szCs w:val="24"/>
        </w:rPr>
        <w:t>，</w:t>
      </w:r>
      <w:r>
        <w:rPr>
          <w:rFonts w:ascii="SimSun" w:hint="eastAsia"/>
          <w:szCs w:val="24"/>
          <w:lang w:val="zh-CN"/>
        </w:rPr>
        <w:t>在生产</w:t>
      </w:r>
      <w:proofErr w:type="spellEnd"/>
      <w:r w:rsidRPr="00911D2E">
        <w:rPr>
          <w:szCs w:val="24"/>
        </w:rPr>
        <w:t>halon</w:t>
      </w:r>
      <w:r w:rsidRPr="00911D2E">
        <w:rPr>
          <w:szCs w:val="24"/>
        </w:rPr>
        <w:noBreakHyphen/>
        <w:t>1301</w:t>
      </w:r>
      <w:proofErr w:type="spellStart"/>
      <w:r>
        <w:rPr>
          <w:rFonts w:ascii="SimSun" w:hint="eastAsia"/>
          <w:szCs w:val="24"/>
          <w:lang w:val="zh-CN"/>
        </w:rPr>
        <w:t>的过程中</w:t>
      </w:r>
      <w:proofErr w:type="spellEnd"/>
      <w:r w:rsidRPr="00911D2E">
        <w:rPr>
          <w:rFonts w:ascii="SimSun" w:hint="eastAsia"/>
          <w:szCs w:val="24"/>
        </w:rPr>
        <w:t>，</w:t>
      </w:r>
      <w:r w:rsidRPr="00911D2E">
        <w:rPr>
          <w:szCs w:val="24"/>
        </w:rPr>
        <w:t>HFC-23</w:t>
      </w:r>
      <w:proofErr w:type="spellStart"/>
      <w:r>
        <w:rPr>
          <w:rFonts w:ascii="SimSun" w:hint="eastAsia"/>
          <w:szCs w:val="24"/>
          <w:lang w:val="zh-CN"/>
        </w:rPr>
        <w:t>作为原料使用</w:t>
      </w:r>
      <w:proofErr w:type="spellEnd"/>
      <w:r>
        <w:rPr>
          <w:rFonts w:ascii="SimSun" w:hint="eastAsia"/>
          <w:szCs w:val="24"/>
          <w:lang w:val="zh-CN" w:eastAsia="zh-CN"/>
        </w:rPr>
        <w:t>。</w:t>
      </w:r>
    </w:p>
  </w:footnote>
  <w:footnote w:id="13">
    <w:p w14:paraId="70301E1D" w14:textId="7A67011F" w:rsidR="00DB4B33" w:rsidRDefault="00DB4B33">
      <w:pPr>
        <w:pStyle w:val="FootnoteText"/>
        <w:rPr>
          <w:lang w:eastAsia="zh-CN"/>
        </w:rPr>
      </w:pPr>
      <w:r>
        <w:rPr>
          <w:rStyle w:val="FootnoteReference"/>
        </w:rPr>
        <w:footnoteRef/>
      </w:r>
      <w:r>
        <w:t xml:space="preserve"> </w:t>
      </w:r>
      <w:r>
        <w:rPr>
          <w:lang w:eastAsia="zh-CN"/>
        </w:rPr>
        <w:tab/>
      </w:r>
      <w:r w:rsidRPr="001A75F2">
        <w:rPr>
          <w:lang w:val="en-US"/>
        </w:rPr>
        <w:t>UNEP/</w:t>
      </w:r>
      <w:proofErr w:type="spellStart"/>
      <w:r w:rsidRPr="001A75F2">
        <w:rPr>
          <w:lang w:val="en-US"/>
        </w:rPr>
        <w:t>OzL.Pro</w:t>
      </w:r>
      <w:proofErr w:type="spellEnd"/>
      <w:r w:rsidRPr="001A75F2">
        <w:rPr>
          <w:lang w:val="en-US"/>
        </w:rPr>
        <w:t>/</w:t>
      </w:r>
      <w:proofErr w:type="spellStart"/>
      <w:r w:rsidRPr="001A75F2">
        <w:rPr>
          <w:lang w:val="en-US"/>
        </w:rPr>
        <w:t>ExCom</w:t>
      </w:r>
      <w:proofErr w:type="spellEnd"/>
      <w:r w:rsidRPr="001A75F2">
        <w:rPr>
          <w:lang w:val="en-US"/>
        </w:rPr>
        <w:t>/83/11/Add.1</w:t>
      </w:r>
      <w:r w:rsidRPr="001A75F2">
        <w:rPr>
          <w:lang w:val="en-US"/>
        </w:rPr>
        <w:t>（第</w:t>
      </w:r>
      <w:r>
        <w:rPr>
          <w:rFonts w:hint="eastAsia"/>
          <w:lang w:val="en-US" w:eastAsia="zh-CN"/>
        </w:rPr>
        <w:t>五</w:t>
      </w:r>
      <w:proofErr w:type="spellStart"/>
      <w:r w:rsidRPr="001A75F2">
        <w:rPr>
          <w:lang w:val="en-US"/>
        </w:rPr>
        <w:t>部分</w:t>
      </w:r>
      <w:proofErr w:type="spellEnd"/>
      <w:r w:rsidRPr="001A75F2">
        <w:rPr>
          <w:lang w:val="en-US"/>
        </w:rPr>
        <w:t>）。</w:t>
      </w:r>
    </w:p>
  </w:footnote>
  <w:footnote w:id="14">
    <w:p w14:paraId="7249622B" w14:textId="15B6BEC7" w:rsidR="00DB4B33" w:rsidRDefault="00DB4B33">
      <w:pPr>
        <w:pStyle w:val="FootnoteText"/>
        <w:rPr>
          <w:lang w:eastAsia="zh-CN"/>
        </w:rPr>
      </w:pPr>
      <w:r>
        <w:rPr>
          <w:rStyle w:val="FootnoteReference"/>
        </w:rPr>
        <w:footnoteRef/>
      </w:r>
      <w:r>
        <w:t xml:space="preserve"> </w:t>
      </w:r>
      <w:r>
        <w:tab/>
      </w:r>
      <w:r w:rsidRPr="004C1925">
        <w:rPr>
          <w:lang w:val="en-US"/>
        </w:rPr>
        <w:t>UNEP/</w:t>
      </w:r>
      <w:proofErr w:type="spellStart"/>
      <w:r w:rsidRPr="004C1925">
        <w:rPr>
          <w:lang w:val="en-US"/>
        </w:rPr>
        <w:t>OzL.Pro</w:t>
      </w:r>
      <w:proofErr w:type="spellEnd"/>
      <w:r w:rsidRPr="004C1925">
        <w:rPr>
          <w:lang w:val="en-US"/>
        </w:rPr>
        <w:t>/</w:t>
      </w:r>
      <w:proofErr w:type="spellStart"/>
      <w:r w:rsidRPr="004C1925">
        <w:rPr>
          <w:lang w:val="en-US"/>
        </w:rPr>
        <w:t>ExCom</w:t>
      </w:r>
      <w:proofErr w:type="spellEnd"/>
      <w:r w:rsidRPr="004C1925">
        <w:rPr>
          <w:lang w:val="en-US"/>
        </w:rPr>
        <w:t>/83/11/Add.1</w:t>
      </w:r>
      <w:r>
        <w:rPr>
          <w:rFonts w:hint="eastAsia"/>
          <w:lang w:val="en-US" w:eastAsia="zh-CN"/>
        </w:rPr>
        <w:t>和</w:t>
      </w:r>
      <w:r w:rsidRPr="004C1925">
        <w:rPr>
          <w:lang w:val="en-US"/>
        </w:rPr>
        <w:t>UNEP/</w:t>
      </w:r>
      <w:proofErr w:type="spellStart"/>
      <w:r w:rsidRPr="004C1925">
        <w:rPr>
          <w:lang w:val="en-US"/>
        </w:rPr>
        <w:t>OzL.Pro</w:t>
      </w:r>
      <w:proofErr w:type="spellEnd"/>
      <w:r w:rsidRPr="004C1925">
        <w:rPr>
          <w:lang w:val="en-US"/>
        </w:rPr>
        <w:t>/</w:t>
      </w:r>
      <w:proofErr w:type="spellStart"/>
      <w:r w:rsidRPr="004C1925">
        <w:rPr>
          <w:lang w:val="en-US"/>
        </w:rPr>
        <w:t>ExCom</w:t>
      </w:r>
      <w:proofErr w:type="spellEnd"/>
      <w:r w:rsidRPr="004C1925">
        <w:rPr>
          <w:lang w:val="en-US"/>
        </w:rPr>
        <w:t>/84/22/Add.1</w:t>
      </w:r>
      <w:r>
        <w:rPr>
          <w:rFonts w:hint="eastAsia"/>
          <w:lang w:val="en-US" w:eastAsia="zh-CN"/>
        </w:rPr>
        <w:t>。</w:t>
      </w:r>
    </w:p>
  </w:footnote>
  <w:footnote w:id="15">
    <w:p w14:paraId="43AD9084" w14:textId="77777777" w:rsidR="00DB4B33" w:rsidRPr="00BE0D66" w:rsidRDefault="00DB4B33" w:rsidP="00573AB1">
      <w:pPr>
        <w:pStyle w:val="FootnoteText"/>
        <w:rPr>
          <w:lang w:val="en-CA" w:eastAsia="zh-CN"/>
        </w:rPr>
      </w:pPr>
      <w:r>
        <w:rPr>
          <w:rStyle w:val="FootnoteReference"/>
        </w:rPr>
        <w:footnoteRef/>
      </w:r>
      <w:r>
        <w:t xml:space="preserve"> </w:t>
      </w:r>
      <w:r>
        <w:rPr>
          <w:lang w:eastAsia="zh-CN"/>
        </w:rPr>
        <w:tab/>
      </w:r>
      <w:r w:rsidRPr="00BE0D66">
        <w:rPr>
          <w:lang w:eastAsia="zh-CN"/>
        </w:rPr>
        <w:t>UNEP/</w:t>
      </w:r>
      <w:proofErr w:type="spellStart"/>
      <w:r w:rsidRPr="00BE0D66">
        <w:rPr>
          <w:lang w:eastAsia="zh-CN"/>
        </w:rPr>
        <w:t>OzL.Pro</w:t>
      </w:r>
      <w:proofErr w:type="spellEnd"/>
      <w:r w:rsidRPr="00BE0D66">
        <w:rPr>
          <w:lang w:eastAsia="zh-CN"/>
        </w:rPr>
        <w:t>/</w:t>
      </w:r>
      <w:proofErr w:type="spellStart"/>
      <w:r w:rsidRPr="00BE0D66">
        <w:rPr>
          <w:lang w:eastAsia="zh-CN"/>
        </w:rPr>
        <w:t>ExCom</w:t>
      </w:r>
      <w:proofErr w:type="spellEnd"/>
      <w:r w:rsidRPr="00BE0D66">
        <w:rPr>
          <w:lang w:eastAsia="zh-CN"/>
        </w:rPr>
        <w:t>/83/11/Add.1</w:t>
      </w:r>
      <w:r>
        <w:rPr>
          <w:rFonts w:hint="eastAsia"/>
          <w:lang w:eastAsia="zh-CN"/>
        </w:rPr>
        <w:t>号文件第</w:t>
      </w:r>
      <w:r w:rsidRPr="00BE0D66">
        <w:rPr>
          <w:lang w:eastAsia="zh-CN"/>
        </w:rPr>
        <w:t xml:space="preserve">52(c) </w:t>
      </w:r>
      <w:r>
        <w:rPr>
          <w:rFonts w:hint="eastAsia"/>
          <w:lang w:eastAsia="zh-CN"/>
        </w:rPr>
        <w:t>段。</w:t>
      </w:r>
    </w:p>
    <w:p w14:paraId="748DFB4E" w14:textId="77777777" w:rsidR="00DB4B33" w:rsidRPr="00BE0D66" w:rsidRDefault="00DB4B33" w:rsidP="00573AB1">
      <w:pPr>
        <w:pStyle w:val="FootnoteText"/>
        <w:rPr>
          <w:lang w:val="en-CA" w:eastAsia="zh-C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993D" w14:textId="201DA733" w:rsidR="00DB4B33" w:rsidRDefault="00DB4B33" w:rsidP="00C8253D">
    <w:pPr>
      <w:pStyle w:val="Header"/>
      <w:rPr>
        <w:lang w:val="en-GB"/>
      </w:rPr>
    </w:pPr>
    <w:r w:rsidRPr="002E56BD">
      <w:rPr>
        <w:lang w:val="en-GB"/>
      </w:rPr>
      <w:fldChar w:fldCharType="begin"/>
    </w:r>
    <w:r w:rsidRPr="002E56BD">
      <w:rPr>
        <w:lang w:val="en-GB"/>
      </w:rPr>
      <w:instrText xml:space="preserve"> DOCPROPERTY "Document number"  \* MERGEFORMAT </w:instrText>
    </w:r>
    <w:r w:rsidRPr="002E56BD">
      <w:rPr>
        <w:lang w:val="en-GB"/>
      </w:rPr>
      <w:fldChar w:fldCharType="separate"/>
    </w:r>
    <w:r>
      <w:rPr>
        <w:lang w:val="en-GB"/>
      </w:rPr>
      <w:t>UNEP/</w:t>
    </w:r>
    <w:proofErr w:type="spellStart"/>
    <w:r>
      <w:rPr>
        <w:lang w:val="en-GB"/>
      </w:rPr>
      <w:t>OzL.Pro</w:t>
    </w:r>
    <w:proofErr w:type="spellEnd"/>
    <w:r>
      <w:rPr>
        <w:lang w:val="en-GB"/>
      </w:rPr>
      <w:t>/</w:t>
    </w:r>
    <w:proofErr w:type="spellStart"/>
    <w:r>
      <w:rPr>
        <w:lang w:val="en-GB"/>
      </w:rPr>
      <w:t>ExCom</w:t>
    </w:r>
    <w:proofErr w:type="spellEnd"/>
    <w:r>
      <w:rPr>
        <w:lang w:val="en-GB"/>
      </w:rPr>
      <w:t>/84/22/Add.1</w:t>
    </w:r>
    <w:r w:rsidRPr="002E56BD">
      <w:rPr>
        <w:lang w:val="en-GB"/>
      </w:rPr>
      <w:fldChar w:fldCharType="end"/>
    </w:r>
  </w:p>
  <w:p w14:paraId="2CA4192F" w14:textId="77777777" w:rsidR="00DB4B33" w:rsidRDefault="00DB4B33" w:rsidP="00C8253D">
    <w:pPr>
      <w:pStyle w:val="Header"/>
      <w:rPr>
        <w:lang w:val="en-GB"/>
      </w:rPr>
    </w:pPr>
  </w:p>
  <w:p w14:paraId="1810B339" w14:textId="77777777" w:rsidR="00DB4B33" w:rsidRDefault="00DB4B33" w:rsidP="002E56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2CE8" w14:textId="0FD7B731" w:rsidR="00DB4B33" w:rsidRDefault="00DB4B33" w:rsidP="007A1ACB">
    <w:pPr>
      <w:pStyle w:val="Header"/>
      <w:jc w:val="right"/>
    </w:pPr>
    <w:r w:rsidRPr="007A1ACB">
      <w:rPr>
        <w:lang w:val="en-GB"/>
      </w:rPr>
      <w:fldChar w:fldCharType="begin"/>
    </w:r>
    <w:r w:rsidRPr="007A1ACB">
      <w:rPr>
        <w:lang w:val="en-GB"/>
      </w:rPr>
      <w:instrText xml:space="preserve"> DOCPROPERTY "Document number"  \* MERGEFORMAT </w:instrText>
    </w:r>
    <w:r w:rsidRPr="007A1ACB">
      <w:rPr>
        <w:lang w:val="en-GB"/>
      </w:rPr>
      <w:fldChar w:fldCharType="separate"/>
    </w:r>
    <w:r w:rsidRPr="00DB4B33">
      <w:rPr>
        <w:rFonts w:eastAsia="Times New Roman" w:cs="Times New Roman"/>
        <w:sz w:val="22"/>
        <w:lang w:val="en-GB" w:eastAsia="en-US"/>
      </w:rPr>
      <w:t>UNEP</w:t>
    </w:r>
    <w:r>
      <w:rPr>
        <w:lang w:val="en-GB"/>
      </w:rPr>
      <w:t>/</w:t>
    </w:r>
    <w:proofErr w:type="spellStart"/>
    <w:r>
      <w:rPr>
        <w:lang w:val="en-GB"/>
      </w:rPr>
      <w:t>OzL.Pro</w:t>
    </w:r>
    <w:proofErr w:type="spellEnd"/>
    <w:r>
      <w:rPr>
        <w:lang w:val="en-GB"/>
      </w:rPr>
      <w:t>/</w:t>
    </w:r>
    <w:proofErr w:type="spellStart"/>
    <w:r>
      <w:rPr>
        <w:lang w:val="en-GB"/>
      </w:rPr>
      <w:t>ExCom</w:t>
    </w:r>
    <w:proofErr w:type="spellEnd"/>
    <w:r>
      <w:rPr>
        <w:lang w:val="en-GB"/>
      </w:rPr>
      <w:t>/84/22/Add.1</w:t>
    </w:r>
    <w:r w:rsidRPr="007A1ACB">
      <w:fldChar w:fldCharType="end"/>
    </w:r>
  </w:p>
  <w:p w14:paraId="619B9AE1" w14:textId="6BE286C2" w:rsidR="00DB4B33" w:rsidRDefault="00DB4B33" w:rsidP="007A1ACB">
    <w:pPr>
      <w:pStyle w:val="Header"/>
      <w:jc w:val="right"/>
    </w:pPr>
  </w:p>
  <w:p w14:paraId="6C58C001" w14:textId="77777777" w:rsidR="00DB4B33" w:rsidRDefault="00DB4B33" w:rsidP="007A1AC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0F2CAA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 w15:restartNumberingAfterBreak="0">
    <w:nsid w:val="03BB3B5D"/>
    <w:multiLevelType w:val="multilevel"/>
    <w:tmpl w:val="3BD4A3EE"/>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D48DD"/>
    <w:multiLevelType w:val="multilevel"/>
    <w:tmpl w:val="22464E40"/>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A346A"/>
    <w:multiLevelType w:val="hybridMultilevel"/>
    <w:tmpl w:val="E7B8FC96"/>
    <w:lvl w:ilvl="0" w:tplc="A9081F7E">
      <w:start w:val="1"/>
      <w:numFmt w:val="chineseCountingThousand"/>
      <w:lvlText w:val="（%1）"/>
      <w:lvlJc w:val="left"/>
      <w:pPr>
        <w:ind w:left="720" w:hanging="36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50873"/>
    <w:multiLevelType w:val="hybridMultilevel"/>
    <w:tmpl w:val="29368A0C"/>
    <w:lvl w:ilvl="0" w:tplc="EE34FEC4">
      <w:start w:val="1"/>
      <w:numFmt w:val="decimal"/>
      <w:pStyle w:val="ListParagraph"/>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87A85"/>
    <w:multiLevelType w:val="multilevel"/>
    <w:tmpl w:val="1A9897B6"/>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5544A"/>
    <w:multiLevelType w:val="hybridMultilevel"/>
    <w:tmpl w:val="A2D2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528BD"/>
    <w:multiLevelType w:val="multilevel"/>
    <w:tmpl w:val="3594B514"/>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DA5BEA"/>
    <w:multiLevelType w:val="multilevel"/>
    <w:tmpl w:val="E1B2102E"/>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C3615"/>
    <w:multiLevelType w:val="multilevel"/>
    <w:tmpl w:val="06843B3A"/>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921EAF"/>
    <w:multiLevelType w:val="hybridMultilevel"/>
    <w:tmpl w:val="07746B86"/>
    <w:lvl w:ilvl="0" w:tplc="6E5C61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446DF"/>
    <w:multiLevelType w:val="hybridMultilevel"/>
    <w:tmpl w:val="55924E84"/>
    <w:lvl w:ilvl="0" w:tplc="A9081F7E">
      <w:start w:val="1"/>
      <w:numFmt w:val="chineseCountingThousand"/>
      <w:lvlText w:val="（%1）"/>
      <w:lvlJc w:val="left"/>
      <w:pPr>
        <w:ind w:left="720" w:hanging="36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D7F96"/>
    <w:multiLevelType w:val="hybridMultilevel"/>
    <w:tmpl w:val="FDF2E6CE"/>
    <w:lvl w:ilvl="0" w:tplc="24180468">
      <w:start w:val="1"/>
      <w:numFmt w:val="decimal"/>
      <w:lvlText w:val="%1."/>
      <w:lvlJc w:val="left"/>
      <w:pPr>
        <w:ind w:left="720" w:hanging="360"/>
      </w:pPr>
      <w:rPr>
        <w:rFonts w:hint="default"/>
        <w:b w:val="0"/>
        <w:i w:val="0"/>
        <w:iCs/>
      </w:rPr>
    </w:lvl>
    <w:lvl w:ilvl="1" w:tplc="327AFD80">
      <w:start w:val="1"/>
      <w:numFmt w:val="lowerRoman"/>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0"/>
  </w:num>
  <w:num w:numId="20">
    <w:abstractNumId w:val="12"/>
  </w:num>
  <w:num w:numId="21">
    <w:abstractNumId w:val="3"/>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2"/>
  </w:num>
  <w:num w:numId="27">
    <w:abstractNumId w:val="5"/>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hideSpellingErrors/>
  <w:hideGrammaticalErrors/>
  <w:proofState w:spelling="clean" w:grammar="clean"/>
  <w:attachedTemplate r:id="rId1"/>
  <w:defaultTabStop w:val="49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31"/>
    <w:rsid w:val="0000520E"/>
    <w:rsid w:val="000508C7"/>
    <w:rsid w:val="00055831"/>
    <w:rsid w:val="00066EE7"/>
    <w:rsid w:val="00070870"/>
    <w:rsid w:val="00072432"/>
    <w:rsid w:val="00076422"/>
    <w:rsid w:val="000A7703"/>
    <w:rsid w:val="000B272F"/>
    <w:rsid w:val="000C4049"/>
    <w:rsid w:val="000C6BF2"/>
    <w:rsid w:val="000D4EFA"/>
    <w:rsid w:val="000E19A1"/>
    <w:rsid w:val="000F1728"/>
    <w:rsid w:val="000F1DB9"/>
    <w:rsid w:val="000F4FE5"/>
    <w:rsid w:val="000F53A0"/>
    <w:rsid w:val="00120AF1"/>
    <w:rsid w:val="00120F00"/>
    <w:rsid w:val="0013354E"/>
    <w:rsid w:val="00140D39"/>
    <w:rsid w:val="00145E9C"/>
    <w:rsid w:val="00156264"/>
    <w:rsid w:val="001800A0"/>
    <w:rsid w:val="00185135"/>
    <w:rsid w:val="00194B3F"/>
    <w:rsid w:val="001A75F2"/>
    <w:rsid w:val="001D4B2D"/>
    <w:rsid w:val="001E0831"/>
    <w:rsid w:val="001E2246"/>
    <w:rsid w:val="001E3D58"/>
    <w:rsid w:val="001E78A8"/>
    <w:rsid w:val="001F1986"/>
    <w:rsid w:val="0020542A"/>
    <w:rsid w:val="0020645D"/>
    <w:rsid w:val="00207FDF"/>
    <w:rsid w:val="002164DE"/>
    <w:rsid w:val="00223388"/>
    <w:rsid w:val="002303EF"/>
    <w:rsid w:val="00236F4A"/>
    <w:rsid w:val="00263D82"/>
    <w:rsid w:val="00265A72"/>
    <w:rsid w:val="00271C22"/>
    <w:rsid w:val="0027445F"/>
    <w:rsid w:val="00275314"/>
    <w:rsid w:val="0028118C"/>
    <w:rsid w:val="00284822"/>
    <w:rsid w:val="00293EFA"/>
    <w:rsid w:val="002A37D7"/>
    <w:rsid w:val="002A7F91"/>
    <w:rsid w:val="002B241F"/>
    <w:rsid w:val="002B48F0"/>
    <w:rsid w:val="002B64D1"/>
    <w:rsid w:val="002D00E9"/>
    <w:rsid w:val="002D0682"/>
    <w:rsid w:val="002D7A6D"/>
    <w:rsid w:val="002E0AFA"/>
    <w:rsid w:val="002E1BCC"/>
    <w:rsid w:val="002E25C2"/>
    <w:rsid w:val="002E310B"/>
    <w:rsid w:val="002E4470"/>
    <w:rsid w:val="002E56BD"/>
    <w:rsid w:val="00310D3F"/>
    <w:rsid w:val="00311E1B"/>
    <w:rsid w:val="00332CF7"/>
    <w:rsid w:val="00353EBC"/>
    <w:rsid w:val="00355AB9"/>
    <w:rsid w:val="00356E49"/>
    <w:rsid w:val="003650EB"/>
    <w:rsid w:val="00373D27"/>
    <w:rsid w:val="003753FD"/>
    <w:rsid w:val="00380A36"/>
    <w:rsid w:val="003818FA"/>
    <w:rsid w:val="0039099E"/>
    <w:rsid w:val="0039513E"/>
    <w:rsid w:val="003A1E3B"/>
    <w:rsid w:val="003B5490"/>
    <w:rsid w:val="003B6C22"/>
    <w:rsid w:val="003B7C9C"/>
    <w:rsid w:val="003C30A5"/>
    <w:rsid w:val="003C4C12"/>
    <w:rsid w:val="003D3CD4"/>
    <w:rsid w:val="003E7DD0"/>
    <w:rsid w:val="00402E08"/>
    <w:rsid w:val="00410B52"/>
    <w:rsid w:val="00414790"/>
    <w:rsid w:val="00422BD4"/>
    <w:rsid w:val="00451B18"/>
    <w:rsid w:val="00466A3B"/>
    <w:rsid w:val="004732DE"/>
    <w:rsid w:val="00473E67"/>
    <w:rsid w:val="0048173A"/>
    <w:rsid w:val="00482303"/>
    <w:rsid w:val="004907B2"/>
    <w:rsid w:val="0049482B"/>
    <w:rsid w:val="004A5E84"/>
    <w:rsid w:val="004A6D07"/>
    <w:rsid w:val="004B40D4"/>
    <w:rsid w:val="004B6A13"/>
    <w:rsid w:val="004C1925"/>
    <w:rsid w:val="004D2B43"/>
    <w:rsid w:val="004D3019"/>
    <w:rsid w:val="004D32AD"/>
    <w:rsid w:val="004E72A1"/>
    <w:rsid w:val="005355C0"/>
    <w:rsid w:val="00540D60"/>
    <w:rsid w:val="00542658"/>
    <w:rsid w:val="00547CF4"/>
    <w:rsid w:val="005510E2"/>
    <w:rsid w:val="00556B8A"/>
    <w:rsid w:val="005625CD"/>
    <w:rsid w:val="00571430"/>
    <w:rsid w:val="00573AB1"/>
    <w:rsid w:val="005A07FE"/>
    <w:rsid w:val="005A0D77"/>
    <w:rsid w:val="005A404B"/>
    <w:rsid w:val="005A7A4B"/>
    <w:rsid w:val="005E003B"/>
    <w:rsid w:val="005E59E9"/>
    <w:rsid w:val="00607FDB"/>
    <w:rsid w:val="00640D25"/>
    <w:rsid w:val="00643001"/>
    <w:rsid w:val="00670FB6"/>
    <w:rsid w:val="006B0EF9"/>
    <w:rsid w:val="006B18FC"/>
    <w:rsid w:val="006B53BB"/>
    <w:rsid w:val="006C0145"/>
    <w:rsid w:val="006E2AF7"/>
    <w:rsid w:val="006E51D2"/>
    <w:rsid w:val="006E6B18"/>
    <w:rsid w:val="006F2934"/>
    <w:rsid w:val="00724AE2"/>
    <w:rsid w:val="00733310"/>
    <w:rsid w:val="00734223"/>
    <w:rsid w:val="00736879"/>
    <w:rsid w:val="0074591C"/>
    <w:rsid w:val="00754959"/>
    <w:rsid w:val="00765ECA"/>
    <w:rsid w:val="00774013"/>
    <w:rsid w:val="007741C4"/>
    <w:rsid w:val="00776507"/>
    <w:rsid w:val="0078247F"/>
    <w:rsid w:val="007A1ACB"/>
    <w:rsid w:val="007A36B8"/>
    <w:rsid w:val="007A3F8F"/>
    <w:rsid w:val="007B369C"/>
    <w:rsid w:val="007B5E0D"/>
    <w:rsid w:val="007B5FFF"/>
    <w:rsid w:val="007B76F6"/>
    <w:rsid w:val="007C1E65"/>
    <w:rsid w:val="007C7189"/>
    <w:rsid w:val="007D0585"/>
    <w:rsid w:val="007D1266"/>
    <w:rsid w:val="007E0D64"/>
    <w:rsid w:val="007F540C"/>
    <w:rsid w:val="00805EC4"/>
    <w:rsid w:val="0080725C"/>
    <w:rsid w:val="00815CB4"/>
    <w:rsid w:val="00824C2B"/>
    <w:rsid w:val="00833725"/>
    <w:rsid w:val="00853FD2"/>
    <w:rsid w:val="00855FAB"/>
    <w:rsid w:val="00864A07"/>
    <w:rsid w:val="0087654B"/>
    <w:rsid w:val="00884802"/>
    <w:rsid w:val="008A6D25"/>
    <w:rsid w:val="008B1D5E"/>
    <w:rsid w:val="008B2CFE"/>
    <w:rsid w:val="008B69A5"/>
    <w:rsid w:val="008E0A04"/>
    <w:rsid w:val="00902383"/>
    <w:rsid w:val="0091040A"/>
    <w:rsid w:val="00911783"/>
    <w:rsid w:val="0091207C"/>
    <w:rsid w:val="0092414F"/>
    <w:rsid w:val="009252BB"/>
    <w:rsid w:val="009369F2"/>
    <w:rsid w:val="009469D6"/>
    <w:rsid w:val="00960CA8"/>
    <w:rsid w:val="009700D4"/>
    <w:rsid w:val="00971FBF"/>
    <w:rsid w:val="00982814"/>
    <w:rsid w:val="009A1865"/>
    <w:rsid w:val="009B60A2"/>
    <w:rsid w:val="009B7AAB"/>
    <w:rsid w:val="009C5A12"/>
    <w:rsid w:val="009D2B6E"/>
    <w:rsid w:val="009E4482"/>
    <w:rsid w:val="009E77F5"/>
    <w:rsid w:val="009F4EB4"/>
    <w:rsid w:val="00A05F5A"/>
    <w:rsid w:val="00A07449"/>
    <w:rsid w:val="00A221C9"/>
    <w:rsid w:val="00A417C6"/>
    <w:rsid w:val="00A64C4A"/>
    <w:rsid w:val="00A7447E"/>
    <w:rsid w:val="00A80EFF"/>
    <w:rsid w:val="00AB0B0D"/>
    <w:rsid w:val="00AB40BA"/>
    <w:rsid w:val="00AB553F"/>
    <w:rsid w:val="00AE4EBF"/>
    <w:rsid w:val="00B0309C"/>
    <w:rsid w:val="00B12F4A"/>
    <w:rsid w:val="00B203C3"/>
    <w:rsid w:val="00B25A4D"/>
    <w:rsid w:val="00B3737D"/>
    <w:rsid w:val="00B40C49"/>
    <w:rsid w:val="00B4427F"/>
    <w:rsid w:val="00B4469C"/>
    <w:rsid w:val="00B64AB7"/>
    <w:rsid w:val="00B92B4E"/>
    <w:rsid w:val="00B9722A"/>
    <w:rsid w:val="00BA4371"/>
    <w:rsid w:val="00BA6527"/>
    <w:rsid w:val="00BA6DD0"/>
    <w:rsid w:val="00BB7E91"/>
    <w:rsid w:val="00BC0ECE"/>
    <w:rsid w:val="00BE0D66"/>
    <w:rsid w:val="00BE275B"/>
    <w:rsid w:val="00BF3C15"/>
    <w:rsid w:val="00BF4E24"/>
    <w:rsid w:val="00C006C5"/>
    <w:rsid w:val="00C0251D"/>
    <w:rsid w:val="00C053AA"/>
    <w:rsid w:val="00C068B2"/>
    <w:rsid w:val="00C10CF3"/>
    <w:rsid w:val="00C4138F"/>
    <w:rsid w:val="00C55356"/>
    <w:rsid w:val="00C55DAC"/>
    <w:rsid w:val="00C63027"/>
    <w:rsid w:val="00C678D9"/>
    <w:rsid w:val="00C72724"/>
    <w:rsid w:val="00C7583F"/>
    <w:rsid w:val="00C801F8"/>
    <w:rsid w:val="00C8253D"/>
    <w:rsid w:val="00C86A98"/>
    <w:rsid w:val="00C954AE"/>
    <w:rsid w:val="00CB08BE"/>
    <w:rsid w:val="00CB1726"/>
    <w:rsid w:val="00CC0D0B"/>
    <w:rsid w:val="00CD42B5"/>
    <w:rsid w:val="00CF5220"/>
    <w:rsid w:val="00CF736B"/>
    <w:rsid w:val="00D10980"/>
    <w:rsid w:val="00D26D8D"/>
    <w:rsid w:val="00D36589"/>
    <w:rsid w:val="00D55132"/>
    <w:rsid w:val="00D80667"/>
    <w:rsid w:val="00D87497"/>
    <w:rsid w:val="00DA7197"/>
    <w:rsid w:val="00DB4B33"/>
    <w:rsid w:val="00DC6FF5"/>
    <w:rsid w:val="00DC7DF9"/>
    <w:rsid w:val="00DC7E81"/>
    <w:rsid w:val="00DD3FE0"/>
    <w:rsid w:val="00DE45E4"/>
    <w:rsid w:val="00DF3A8E"/>
    <w:rsid w:val="00E0071C"/>
    <w:rsid w:val="00E03431"/>
    <w:rsid w:val="00E04F95"/>
    <w:rsid w:val="00E05F9C"/>
    <w:rsid w:val="00E12DF2"/>
    <w:rsid w:val="00E2555F"/>
    <w:rsid w:val="00E27840"/>
    <w:rsid w:val="00E31425"/>
    <w:rsid w:val="00E37745"/>
    <w:rsid w:val="00E408FC"/>
    <w:rsid w:val="00E43A6A"/>
    <w:rsid w:val="00E54F2A"/>
    <w:rsid w:val="00E608D4"/>
    <w:rsid w:val="00E62548"/>
    <w:rsid w:val="00E76CD4"/>
    <w:rsid w:val="00E77ACF"/>
    <w:rsid w:val="00E83820"/>
    <w:rsid w:val="00E85626"/>
    <w:rsid w:val="00E9183F"/>
    <w:rsid w:val="00E92E86"/>
    <w:rsid w:val="00EA0484"/>
    <w:rsid w:val="00EA0E88"/>
    <w:rsid w:val="00EA2262"/>
    <w:rsid w:val="00EB054E"/>
    <w:rsid w:val="00EC18AA"/>
    <w:rsid w:val="00EC5B96"/>
    <w:rsid w:val="00EE01A2"/>
    <w:rsid w:val="00EE099A"/>
    <w:rsid w:val="00EE6162"/>
    <w:rsid w:val="00EF4A9A"/>
    <w:rsid w:val="00F004AF"/>
    <w:rsid w:val="00F22FE4"/>
    <w:rsid w:val="00F2312F"/>
    <w:rsid w:val="00F2561F"/>
    <w:rsid w:val="00F30365"/>
    <w:rsid w:val="00F42E47"/>
    <w:rsid w:val="00F53049"/>
    <w:rsid w:val="00F533BB"/>
    <w:rsid w:val="00F5481F"/>
    <w:rsid w:val="00F63D27"/>
    <w:rsid w:val="00F930FD"/>
    <w:rsid w:val="00FA3A28"/>
    <w:rsid w:val="00FA5807"/>
    <w:rsid w:val="00FA6BDE"/>
    <w:rsid w:val="00FB0F76"/>
    <w:rsid w:val="00FC3746"/>
    <w:rsid w:val="00FE50C4"/>
    <w:rsid w:val="00FF1D1E"/>
    <w:rsid w:val="00FF56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6C984"/>
  <w15:chartTrackingRefBased/>
  <w15:docId w15:val="{4C942F6A-7031-428A-9663-BF24F672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AD"/>
    <w:pPr>
      <w:spacing w:before="120" w:after="120" w:line="264" w:lineRule="auto"/>
    </w:pPr>
    <w:rPr>
      <w:rFonts w:ascii="Times New Roman" w:eastAsia="SimSun" w:hAnsi="Times New Roman"/>
      <w:sz w:val="24"/>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Heading1"/>
    <w:basedOn w:val="Normal"/>
    <w:next w:val="Normal"/>
    <w:link w:val="Heading1Char"/>
    <w:uiPriority w:val="99"/>
    <w:qFormat/>
    <w:rsid w:val="00EB054E"/>
    <w:pPr>
      <w:keepNext/>
      <w:keepLines/>
      <w:outlineLvl w:val="0"/>
    </w:pPr>
    <w:rPr>
      <w:rFonts w:ascii="Times New Roman Bold" w:hAnsi="Times New Roman Bold" w:cstheme="majorBidi"/>
      <w:b/>
      <w:szCs w:val="32"/>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9"/>
    <w:qFormat/>
    <w:rsid w:val="002E56BD"/>
    <w:pPr>
      <w:widowControl w:val="0"/>
      <w:tabs>
        <w:tab w:val="num" w:pos="0"/>
      </w:tabs>
      <w:spacing w:before="0" w:after="240" w:line="240" w:lineRule="auto"/>
      <w:ind w:left="1440" w:hanging="720"/>
      <w:jc w:val="both"/>
      <w:outlineLvl w:val="1"/>
    </w:pPr>
    <w:rPr>
      <w:rFonts w:eastAsia="Times New Roman" w:cs="Times New Roman"/>
      <w:sz w:val="22"/>
      <w:lang w:val="en-GB" w:eastAsia="en-US"/>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uiPriority w:val="99"/>
    <w:qFormat/>
    <w:rsid w:val="002E56BD"/>
    <w:pPr>
      <w:widowControl w:val="0"/>
      <w:tabs>
        <w:tab w:val="num" w:pos="0"/>
      </w:tabs>
      <w:spacing w:before="0" w:after="240" w:line="240" w:lineRule="auto"/>
      <w:ind w:left="2160" w:hanging="720"/>
      <w:jc w:val="both"/>
      <w:outlineLvl w:val="2"/>
    </w:pPr>
    <w:rPr>
      <w:rFonts w:eastAsia="Times New Roman" w:cs="Times New Roman"/>
      <w:sz w:val="22"/>
      <w:lang w:val="en-GB" w:eastAsia="en-US"/>
    </w:rPr>
  </w:style>
  <w:style w:type="paragraph" w:styleId="Heading4">
    <w:name w:val="heading 4"/>
    <w:aliases w:val="Heading 11,para 4,Título 41,heading 4,Heading 41,标题 41"/>
    <w:basedOn w:val="Normal"/>
    <w:next w:val="Heading9"/>
    <w:link w:val="Heading4Char"/>
    <w:uiPriority w:val="99"/>
    <w:qFormat/>
    <w:rsid w:val="002E56BD"/>
    <w:pPr>
      <w:keepNext/>
      <w:tabs>
        <w:tab w:val="num" w:pos="-90"/>
      </w:tabs>
      <w:spacing w:before="240" w:after="60" w:line="240" w:lineRule="auto"/>
      <w:ind w:left="2776" w:hanging="706"/>
      <w:jc w:val="both"/>
      <w:outlineLvl w:val="3"/>
    </w:pPr>
    <w:rPr>
      <w:rFonts w:eastAsia="Times New Roman" w:cs="Times New Roman"/>
      <w:sz w:val="22"/>
      <w:lang w:val="en-GB" w:eastAsia="en-US"/>
    </w:rPr>
  </w:style>
  <w:style w:type="paragraph" w:styleId="Heading6">
    <w:name w:val="heading 6"/>
    <w:basedOn w:val="Normal"/>
    <w:next w:val="Normal"/>
    <w:link w:val="Heading6Char"/>
    <w:uiPriority w:val="99"/>
    <w:qFormat/>
    <w:rsid w:val="002E56BD"/>
    <w:pPr>
      <w:tabs>
        <w:tab w:val="num" w:pos="0"/>
      </w:tabs>
      <w:spacing w:before="240" w:after="60" w:line="240" w:lineRule="auto"/>
      <w:ind w:left="4291" w:hanging="720"/>
      <w:jc w:val="both"/>
      <w:outlineLvl w:val="5"/>
    </w:pPr>
    <w:rPr>
      <w:rFonts w:ascii="Arial" w:eastAsia="Times New Roman" w:hAnsi="Arial" w:cs="Times New Roman"/>
      <w:i/>
      <w:sz w:val="22"/>
      <w:lang w:val="en-GB" w:eastAsia="en-US"/>
    </w:rPr>
  </w:style>
  <w:style w:type="paragraph" w:styleId="Heading7">
    <w:name w:val="heading 7"/>
    <w:basedOn w:val="Normal"/>
    <w:next w:val="Normal"/>
    <w:link w:val="Heading7Char"/>
    <w:uiPriority w:val="99"/>
    <w:qFormat/>
    <w:rsid w:val="002E56BD"/>
    <w:pPr>
      <w:tabs>
        <w:tab w:val="num" w:pos="0"/>
      </w:tabs>
      <w:spacing w:before="240" w:after="60" w:line="240" w:lineRule="auto"/>
      <w:ind w:left="4997" w:hanging="706"/>
      <w:jc w:val="both"/>
      <w:outlineLvl w:val="6"/>
    </w:pPr>
    <w:rPr>
      <w:rFonts w:ascii="Arial" w:eastAsia="Times New Roman" w:hAnsi="Arial" w:cs="Times New Roman"/>
      <w:sz w:val="22"/>
      <w:lang w:val="en-GB" w:eastAsia="en-US"/>
    </w:rPr>
  </w:style>
  <w:style w:type="paragraph" w:styleId="Heading9">
    <w:name w:val="heading 9"/>
    <w:basedOn w:val="Normal"/>
    <w:next w:val="Normal"/>
    <w:link w:val="Heading9Char"/>
    <w:uiPriority w:val="99"/>
    <w:qFormat/>
    <w:rsid w:val="002E56BD"/>
    <w:pPr>
      <w:tabs>
        <w:tab w:val="num" w:pos="0"/>
      </w:tabs>
      <w:spacing w:before="240" w:after="60" w:line="240" w:lineRule="auto"/>
      <w:ind w:left="6408" w:hanging="706"/>
      <w:jc w:val="both"/>
      <w:outlineLvl w:val="8"/>
    </w:pPr>
    <w:rPr>
      <w:rFonts w:ascii="Arial" w:eastAsia="Times New Roman" w:hAnsi="Arial" w:cs="Times New Roman"/>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uiPriority w:val="9"/>
    <w:rsid w:val="00EB054E"/>
    <w:rPr>
      <w:rFonts w:ascii="Times New Roman Bold" w:eastAsia="SimSun" w:hAnsi="Times New Roman Bold" w:cstheme="majorBidi"/>
      <w:b/>
      <w:sz w:val="24"/>
      <w:szCs w:val="32"/>
    </w:rPr>
  </w:style>
  <w:style w:type="paragraph" w:styleId="ListParagraph">
    <w:name w:val="List Paragraph"/>
    <w:basedOn w:val="Normal"/>
    <w:uiPriority w:val="34"/>
    <w:qFormat/>
    <w:rsid w:val="00223388"/>
    <w:pPr>
      <w:numPr>
        <w:numId w:val="1"/>
      </w:numPr>
      <w:jc w:val="both"/>
    </w:pPr>
  </w:style>
  <w:style w:type="paragraph" w:styleId="Header">
    <w:name w:val="header"/>
    <w:basedOn w:val="Normal"/>
    <w:link w:val="HeaderChar"/>
    <w:uiPriority w:val="99"/>
    <w:unhideWhenUsed/>
    <w:rsid w:val="009252B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252BB"/>
    <w:rPr>
      <w:rFonts w:ascii="Times New Roman" w:eastAsia="SimSun" w:hAnsi="Times New Roman"/>
      <w:sz w:val="24"/>
    </w:rPr>
  </w:style>
  <w:style w:type="paragraph" w:styleId="Footer">
    <w:name w:val="footer"/>
    <w:basedOn w:val="Normal"/>
    <w:link w:val="FooterChar"/>
    <w:uiPriority w:val="99"/>
    <w:unhideWhenUsed/>
    <w:rsid w:val="009252B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252BB"/>
    <w:rPr>
      <w:rFonts w:ascii="Times New Roman" w:eastAsia="SimSun" w:hAnsi="Times New Roman"/>
      <w:sz w:val="24"/>
    </w:rPr>
  </w:style>
  <w:style w:type="paragraph" w:styleId="BalloonText">
    <w:name w:val="Balloon Text"/>
    <w:basedOn w:val="Normal"/>
    <w:link w:val="BalloonTextChar"/>
    <w:uiPriority w:val="99"/>
    <w:semiHidden/>
    <w:unhideWhenUsed/>
    <w:rsid w:val="007B5E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0D"/>
    <w:rPr>
      <w:rFonts w:ascii="Segoe UI" w:eastAsia="SimSun" w:hAnsi="Segoe UI" w:cs="Segoe UI"/>
      <w:sz w:val="18"/>
      <w:szCs w:val="18"/>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
    <w:basedOn w:val="Normal"/>
    <w:link w:val="FootnoteTextChar"/>
    <w:uiPriority w:val="99"/>
    <w:unhideWhenUsed/>
    <w:qFormat/>
    <w:rsid w:val="00120AF1"/>
    <w:pPr>
      <w:spacing w:before="0" w:after="0" w:line="240" w:lineRule="auto"/>
      <w:jc w:val="both"/>
    </w:pPr>
    <w:rPr>
      <w:rFonts w:cs="Times New Roman"/>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w:basedOn w:val="DefaultParagraphFont"/>
    <w:link w:val="FootnoteText"/>
    <w:uiPriority w:val="99"/>
    <w:rsid w:val="00120AF1"/>
    <w:rPr>
      <w:rFonts w:ascii="Times New Roman" w:eastAsia="SimSun" w:hAnsi="Times New Roman" w:cs="Times New Roman"/>
      <w:sz w:val="20"/>
      <w:szCs w:val="20"/>
      <w:lang w:val="en-GB" w:eastAsia="en-US"/>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A7447E"/>
    <w:rPr>
      <w:vertAlign w:val="superscript"/>
    </w:rPr>
  </w:style>
  <w:style w:type="table" w:styleId="TableGrid">
    <w:name w:val="Table Grid"/>
    <w:basedOn w:val="TableNormal"/>
    <w:rsid w:val="00CD42B5"/>
    <w:pPr>
      <w:spacing w:after="0" w:line="240" w:lineRule="auto"/>
      <w:jc w:val="both"/>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2E56BD"/>
    <w:rPr>
      <w:rFonts w:ascii="Times New Roman" w:eastAsia="Times New Roman" w:hAnsi="Times New Roman" w:cs="Times New Roman"/>
      <w:lang w:val="en-GB" w:eastAsia="en-US"/>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2E56BD"/>
    <w:rPr>
      <w:rFonts w:ascii="Times New Roman" w:eastAsia="Times New Roman" w:hAnsi="Times New Roman" w:cs="Times New Roman"/>
      <w:lang w:val="en-GB" w:eastAsia="en-US"/>
    </w:rPr>
  </w:style>
  <w:style w:type="character" w:customStyle="1" w:styleId="Heading4Char">
    <w:name w:val="Heading 4 Char"/>
    <w:aliases w:val="Heading 11 Char,para 4 Char,Título 41 Char,heading 4 Char,Heading 41 Char,标题 41 Char"/>
    <w:basedOn w:val="DefaultParagraphFont"/>
    <w:link w:val="Heading4"/>
    <w:rsid w:val="002E56BD"/>
    <w:rPr>
      <w:rFonts w:ascii="Times New Roman" w:eastAsia="Times New Roman" w:hAnsi="Times New Roman" w:cs="Times New Roman"/>
      <w:lang w:val="en-GB" w:eastAsia="en-US"/>
    </w:rPr>
  </w:style>
  <w:style w:type="character" w:customStyle="1" w:styleId="Heading6Char">
    <w:name w:val="Heading 6 Char"/>
    <w:basedOn w:val="DefaultParagraphFont"/>
    <w:link w:val="Heading6"/>
    <w:rsid w:val="002E56BD"/>
    <w:rPr>
      <w:rFonts w:ascii="Arial" w:eastAsia="Times New Roman" w:hAnsi="Arial" w:cs="Times New Roman"/>
      <w:i/>
      <w:lang w:val="en-GB" w:eastAsia="en-US"/>
    </w:rPr>
  </w:style>
  <w:style w:type="character" w:customStyle="1" w:styleId="Heading7Char">
    <w:name w:val="Heading 7 Char"/>
    <w:basedOn w:val="DefaultParagraphFont"/>
    <w:link w:val="Heading7"/>
    <w:rsid w:val="002E56BD"/>
    <w:rPr>
      <w:rFonts w:ascii="Arial" w:eastAsia="Times New Roman" w:hAnsi="Arial" w:cs="Times New Roman"/>
      <w:lang w:val="en-GB" w:eastAsia="en-US"/>
    </w:rPr>
  </w:style>
  <w:style w:type="character" w:customStyle="1" w:styleId="Heading9Char">
    <w:name w:val="Heading 9 Char"/>
    <w:basedOn w:val="DefaultParagraphFont"/>
    <w:link w:val="Heading9"/>
    <w:rsid w:val="002E56BD"/>
    <w:rPr>
      <w:rFonts w:ascii="Arial" w:eastAsia="Times New Roman" w:hAnsi="Arial" w:cs="Times New Roman"/>
      <w:i/>
      <w:sz w:val="18"/>
      <w:lang w:val="en-GB" w:eastAsia="en-US"/>
    </w:rPr>
  </w:style>
  <w:style w:type="table" w:customStyle="1" w:styleId="TableGrid1">
    <w:name w:val="Table Grid1"/>
    <w:basedOn w:val="TableNormal"/>
    <w:next w:val="TableGrid"/>
    <w:rsid w:val="00D55132"/>
    <w:pPr>
      <w:spacing w:after="0" w:line="240" w:lineRule="auto"/>
    </w:pPr>
    <w:rPr>
      <w:rFonts w:eastAsia="Calibr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FE5"/>
    <w:rPr>
      <w:color w:val="0563C1" w:themeColor="hyperlink"/>
      <w:u w:val="single"/>
    </w:rPr>
  </w:style>
  <w:style w:type="character" w:customStyle="1" w:styleId="UnresolvedMention">
    <w:name w:val="Unresolved Mention"/>
    <w:basedOn w:val="DefaultParagraphFont"/>
    <w:uiPriority w:val="99"/>
    <w:semiHidden/>
    <w:unhideWhenUsed/>
    <w:rsid w:val="000F4FE5"/>
    <w:rPr>
      <w:color w:val="605E5C"/>
      <w:shd w:val="clear" w:color="auto" w:fill="E1DFDD"/>
    </w:rPr>
  </w:style>
  <w:style w:type="table" w:customStyle="1" w:styleId="TableGrid2">
    <w:name w:val="Table Grid2"/>
    <w:basedOn w:val="TableNormal"/>
    <w:next w:val="TableGrid"/>
    <w:uiPriority w:val="59"/>
    <w:rsid w:val="00BA4371"/>
    <w:pPr>
      <w:spacing w:after="0" w:line="240" w:lineRule="auto"/>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UNEP/OzL.Pro/ExCom/84/22/Add.1</Document_x0020_Number>
  </documentManagement>
</p:properties>
</file>

<file path=customXml/itemProps1.xml><?xml version="1.0" encoding="utf-8"?>
<ds:datastoreItem xmlns:ds="http://schemas.openxmlformats.org/officeDocument/2006/customXml" ds:itemID="{0D9442B8-6D80-4672-8B2C-9463EBE8E486}"/>
</file>

<file path=customXml/itemProps2.xml><?xml version="1.0" encoding="utf-8"?>
<ds:datastoreItem xmlns:ds="http://schemas.openxmlformats.org/officeDocument/2006/customXml" ds:itemID="{C1A1EE3D-24A9-4B82-A647-5E59D9A4FC49}"/>
</file>

<file path=customXml/itemProps3.xml><?xml version="1.0" encoding="utf-8"?>
<ds:datastoreItem xmlns:ds="http://schemas.openxmlformats.org/officeDocument/2006/customXml" ds:itemID="{D77E9BE1-E59F-47D9-98D4-85731FDB27BB}"/>
</file>

<file path=docProps/app.xml><?xml version="1.0" encoding="utf-8"?>
<Properties xmlns="http://schemas.openxmlformats.org/officeDocument/2006/extended-properties" xmlns:vt="http://schemas.openxmlformats.org/officeDocument/2006/docPropsVTypes">
  <Template>Chinese_Normal</Template>
  <TotalTime>1370</TotalTime>
  <Pages>23</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关于有特殊报告要求的项目的报告: 增编</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关于有特殊报告要求的项目的报告: 增编</dc:title>
  <dc:subject>84th </dc:subject>
  <dc:creator>Steve Pei</dc:creator>
  <cp:keywords/>
  <dc:description/>
  <cp:lastModifiedBy>HBE</cp:lastModifiedBy>
  <cp:revision>105</cp:revision>
  <dcterms:created xsi:type="dcterms:W3CDTF">2019-11-29T20:55:00Z</dcterms:created>
  <dcterms:modified xsi:type="dcterms:W3CDTF">2019-12-10T19:06:00Z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UNEP/OzL.Pro/ExCom/84/22/Add.1</vt:lpwstr>
  </property>
  <property fmtid="{D5CDD505-2E9C-101B-9397-08002B2CF9AE}" pid="3" name="Recorded date">
    <vt:lpwstr>11/28/2019</vt:lpwstr>
  </property>
  <property fmtid="{D5CDD505-2E9C-101B-9397-08002B2CF9AE}" pid="4" name="ContentTypeId">
    <vt:lpwstr>0x010100425C447D7ECE4948834BAD83A694AABC</vt:lpwstr>
  </property>
</Properties>
</file>