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bookmarkStart w:id="0" w:name="_GoBack"/>
            <w:bookmarkEnd w:id="0"/>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14:anchorId="7B90CA56" wp14:editId="7CAF4F68">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bidi="ar-SA"/>
              </w:rPr>
              <w:drawing>
                <wp:anchor distT="0" distB="0" distL="114300" distR="114300" simplePos="0" relativeHeight="251659264" behindDoc="1" locked="0" layoutInCell="0" allowOverlap="1" wp14:anchorId="6C8646E2" wp14:editId="765A40E9">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C80600" w:rsidRDefault="003853D8" w:rsidP="003853D8">
            <w:fldSimple w:instr=" DOCPROPERTY &quot;Document number&quot;  \* MERGEFORMAT ">
              <w:r w:rsidR="007F0AE9">
                <w:t>UNEP/OzL.Pro/ExCom/84/52</w:t>
              </w:r>
            </w:fldSimple>
            <w:r w:rsidR="00C80600">
              <w:br/>
              <w:t>19 November 2019</w:t>
            </w:r>
          </w:p>
          <w:p w:rsidR="003853D8" w:rsidRDefault="003853D8" w:rsidP="003853D8">
            <w:pPr>
              <w:rPr>
                <w:rtl/>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Pr="00F61C43" w:rsidRDefault="00E1360E">
            <w:pPr>
              <w:pStyle w:val="Heading4"/>
              <w:numPr>
                <w:ilvl w:val="0"/>
                <w:numId w:val="0"/>
              </w:numPr>
              <w:spacing w:before="0" w:after="0"/>
              <w:ind w:right="459"/>
              <w:jc w:val="right"/>
              <w:rPr>
                <w:rFonts w:cs="Arabic Transparent"/>
                <w:bCs/>
                <w:sz w:val="52"/>
                <w:szCs w:val="52"/>
                <w:lang w:val="en-US"/>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BD028E" w:rsidRDefault="00BD028E" w:rsidP="00BD028E">
      <w:pPr>
        <w:pStyle w:val="Caption"/>
        <w:ind w:left="0" w:right="180"/>
        <w:jc w:val="both"/>
        <w:rPr>
          <w:rFonts w:cs="Arabic Transparent"/>
          <w:b/>
          <w:bCs/>
          <w:sz w:val="28"/>
          <w:szCs w:val="28"/>
          <w:rtl/>
        </w:rPr>
      </w:pPr>
      <w:bookmarkStart w:id="1" w:name="_Hlk7529271"/>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BD028E" w:rsidRDefault="00BD028E" w:rsidP="00BD028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BD028E" w:rsidRDefault="00BD028E" w:rsidP="00BD028E">
      <w:pPr>
        <w:bidi/>
        <w:ind w:left="4"/>
        <w:jc w:val="lowKashida"/>
        <w:rPr>
          <w:sz w:val="28"/>
          <w:szCs w:val="28"/>
          <w:rtl/>
          <w:lang w:val="en-US" w:eastAsia="en-CA"/>
        </w:rPr>
      </w:pPr>
      <w:r>
        <w:rPr>
          <w:sz w:val="28"/>
          <w:szCs w:val="28"/>
          <w:rtl/>
          <w:lang w:val="en-US" w:eastAsia="en-CA"/>
        </w:rPr>
        <w:t xml:space="preserve">الاجتمــــــاع </w:t>
      </w:r>
      <w:r w:rsidR="00EF729B">
        <w:rPr>
          <w:rFonts w:hint="cs"/>
          <w:sz w:val="28"/>
          <w:szCs w:val="28"/>
          <w:rtl/>
          <w:lang w:val="en-US" w:eastAsia="en-CA" w:bidi="ar-EG"/>
        </w:rPr>
        <w:t>الرابع</w:t>
      </w:r>
      <w:r>
        <w:rPr>
          <w:rFonts w:hint="cs"/>
          <w:sz w:val="28"/>
          <w:szCs w:val="28"/>
          <w:rtl/>
          <w:lang w:val="en-US" w:eastAsia="en-CA"/>
        </w:rPr>
        <w:t xml:space="preserve"> والثمانون</w:t>
      </w:r>
    </w:p>
    <w:p w:rsidR="00BD028E" w:rsidRDefault="00BD028E" w:rsidP="00BD028E">
      <w:pPr>
        <w:pStyle w:val="0Heading0"/>
        <w:bidi/>
        <w:ind w:left="4"/>
        <w:rPr>
          <w:rFonts w:asciiTheme="majorBidi" w:hAnsiTheme="majorBidi" w:cstheme="majorBidi"/>
          <w:sz w:val="26"/>
          <w:szCs w:val="26"/>
          <w:lang w:bidi="ar-SY"/>
        </w:rPr>
      </w:pPr>
      <w:r>
        <w:rPr>
          <w:rFonts w:hint="cs"/>
          <w:sz w:val="28"/>
          <w:szCs w:val="28"/>
          <w:rtl/>
        </w:rPr>
        <w:t>مونتريال</w:t>
      </w:r>
      <w:r>
        <w:rPr>
          <w:sz w:val="28"/>
          <w:szCs w:val="28"/>
          <w:rtl/>
        </w:rPr>
        <w:t>،</w:t>
      </w:r>
      <w:r>
        <w:rPr>
          <w:rFonts w:hint="cs"/>
          <w:sz w:val="28"/>
          <w:szCs w:val="28"/>
          <w:rtl/>
        </w:rPr>
        <w:t xml:space="preserve"> من </w:t>
      </w:r>
      <w:r w:rsidR="00502457">
        <w:rPr>
          <w:rFonts w:hint="cs"/>
          <w:sz w:val="28"/>
          <w:szCs w:val="28"/>
          <w:rtl/>
        </w:rPr>
        <w:t>16</w:t>
      </w:r>
      <w:r>
        <w:rPr>
          <w:rFonts w:hint="cs"/>
          <w:sz w:val="28"/>
          <w:szCs w:val="28"/>
          <w:rtl/>
        </w:rPr>
        <w:t xml:space="preserve"> إلى</w:t>
      </w:r>
      <w:r w:rsidR="00502457">
        <w:rPr>
          <w:rFonts w:hint="cs"/>
          <w:sz w:val="28"/>
          <w:szCs w:val="28"/>
          <w:rtl/>
        </w:rPr>
        <w:t xml:space="preserve"> 20 ديسمبر/كانون الأول 2019</w:t>
      </w:r>
    </w:p>
    <w:p w:rsidR="00BD028E" w:rsidRDefault="00BD028E" w:rsidP="00BD028E">
      <w:pPr>
        <w:pStyle w:val="0Heading0"/>
        <w:bidi/>
        <w:ind w:left="4"/>
        <w:rPr>
          <w:rFonts w:cs="Arabic Transparent"/>
          <w:sz w:val="28"/>
          <w:szCs w:val="28"/>
          <w:lang w:bidi="ar-DZ"/>
        </w:rPr>
      </w:pPr>
    </w:p>
    <w:p w:rsidR="003853D8" w:rsidRDefault="003853D8" w:rsidP="003853D8">
      <w:pPr>
        <w:pStyle w:val="0Heading0"/>
        <w:bidi/>
        <w:ind w:left="4"/>
        <w:rPr>
          <w:rFonts w:cs="Arabic Transparent"/>
          <w:sz w:val="28"/>
          <w:szCs w:val="28"/>
          <w:lang w:bidi="ar-DZ"/>
        </w:rPr>
      </w:pPr>
    </w:p>
    <w:p w:rsidR="003853D8" w:rsidRDefault="003853D8" w:rsidP="003853D8">
      <w:pPr>
        <w:pStyle w:val="0Heading0"/>
        <w:bidi/>
        <w:ind w:left="4"/>
        <w:rPr>
          <w:rFonts w:cs="Arabic Transparent"/>
          <w:sz w:val="28"/>
          <w:szCs w:val="28"/>
          <w:lang w:bidi="ar-DZ"/>
        </w:rPr>
      </w:pPr>
    </w:p>
    <w:p w:rsidR="00BD028E" w:rsidRPr="004D3AB8" w:rsidRDefault="00BD028E" w:rsidP="00BD028E">
      <w:pPr>
        <w:pStyle w:val="StyleHeader4Para4Left0Firstline0"/>
        <w:numPr>
          <w:ilvl w:val="0"/>
          <w:numId w:val="0"/>
        </w:numPr>
        <w:bidi/>
        <w:jc w:val="center"/>
        <w:rPr>
          <w:b/>
          <w:bCs/>
          <w:sz w:val="32"/>
          <w:szCs w:val="32"/>
          <w:rtl/>
          <w:lang w:val="en-US" w:bidi="ar-EG"/>
        </w:rPr>
      </w:pPr>
      <w:r w:rsidRPr="004D3AB8">
        <w:rPr>
          <w:rFonts w:hint="cs"/>
          <w:b/>
          <w:bCs/>
          <w:sz w:val="32"/>
          <w:szCs w:val="32"/>
          <w:rtl/>
          <w:lang w:bidi="ar-SA"/>
        </w:rPr>
        <w:t xml:space="preserve">مقترح مشروع: </w:t>
      </w:r>
      <w:r w:rsidR="00D33CBF" w:rsidRPr="004D3AB8">
        <w:rPr>
          <w:rFonts w:hint="cs"/>
          <w:b/>
          <w:bCs/>
          <w:sz w:val="32"/>
          <w:szCs w:val="32"/>
          <w:rtl/>
          <w:lang w:bidi="ar-EG"/>
        </w:rPr>
        <w:t>العراق</w:t>
      </w:r>
    </w:p>
    <w:p w:rsidR="00BD028E" w:rsidRPr="003853D8" w:rsidRDefault="00BD028E" w:rsidP="00BD028E">
      <w:pPr>
        <w:pStyle w:val="StyleHeader4Para4Left0Firstline0"/>
        <w:numPr>
          <w:ilvl w:val="0"/>
          <w:numId w:val="0"/>
        </w:numPr>
        <w:bidi/>
        <w:rPr>
          <w:sz w:val="10"/>
          <w:szCs w:val="10"/>
          <w:rtl/>
          <w:lang w:bidi="ar-EG"/>
        </w:rPr>
      </w:pPr>
    </w:p>
    <w:p w:rsidR="00BD028E" w:rsidRPr="004D3AB8" w:rsidRDefault="00BD028E" w:rsidP="004D3AB8">
      <w:pPr>
        <w:pStyle w:val="StyleHeader4Para4Left0Firstline0"/>
        <w:numPr>
          <w:ilvl w:val="0"/>
          <w:numId w:val="0"/>
        </w:numPr>
        <w:bidi/>
        <w:rPr>
          <w:sz w:val="26"/>
          <w:szCs w:val="26"/>
          <w:rtl/>
          <w:lang w:bidi="ar-SA"/>
        </w:rPr>
      </w:pPr>
      <w:r w:rsidRPr="00010740">
        <w:rPr>
          <w:rFonts w:hint="cs"/>
          <w:sz w:val="26"/>
          <w:szCs w:val="26"/>
          <w:rtl/>
          <w:lang w:bidi="ar-SA"/>
        </w:rPr>
        <w:t>تتألف هذه الوثيقة من تعليقات وتوصي</w:t>
      </w:r>
      <w:r>
        <w:rPr>
          <w:rFonts w:hint="cs"/>
          <w:sz w:val="26"/>
          <w:szCs w:val="26"/>
          <w:rtl/>
          <w:lang w:bidi="ar-SA"/>
        </w:rPr>
        <w:t>ة</w:t>
      </w:r>
      <w:r w:rsidRPr="00010740">
        <w:rPr>
          <w:rFonts w:hint="cs"/>
          <w:sz w:val="26"/>
          <w:szCs w:val="26"/>
          <w:rtl/>
          <w:lang w:bidi="ar-SA"/>
        </w:rPr>
        <w:t xml:space="preserve"> الأمانة بشأن مقترح المشروع التالي: </w:t>
      </w:r>
    </w:p>
    <w:p w:rsidR="00BD028E" w:rsidRPr="00010740" w:rsidRDefault="00BD028E" w:rsidP="00BD028E">
      <w:pPr>
        <w:pStyle w:val="StyleHeader4Para4Left0Firstline0"/>
        <w:numPr>
          <w:ilvl w:val="0"/>
          <w:numId w:val="0"/>
        </w:numPr>
        <w:bidi/>
        <w:rPr>
          <w:sz w:val="26"/>
          <w:szCs w:val="26"/>
          <w:u w:val="single"/>
          <w:rtl/>
          <w:lang w:bidi="ar-SA"/>
        </w:rPr>
      </w:pPr>
      <w:r>
        <w:rPr>
          <w:rFonts w:hint="cs"/>
          <w:sz w:val="26"/>
          <w:szCs w:val="26"/>
          <w:u w:val="single"/>
          <w:rtl/>
          <w:lang w:bidi="ar-EG"/>
        </w:rPr>
        <w:t>الإزالة</w:t>
      </w:r>
    </w:p>
    <w:tbl>
      <w:tblPr>
        <w:tblStyle w:val="TableGrid"/>
        <w:bidiVisual/>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6"/>
        <w:gridCol w:w="1620"/>
      </w:tblGrid>
      <w:tr w:rsidR="00EB6EDC" w:rsidRPr="00010740" w:rsidTr="003367ED">
        <w:tc>
          <w:tcPr>
            <w:tcW w:w="7996" w:type="dxa"/>
          </w:tcPr>
          <w:p w:rsidR="00B70DF5" w:rsidRPr="00DC09F2" w:rsidRDefault="00DB721A" w:rsidP="0041204A">
            <w:pPr>
              <w:pStyle w:val="StyleHeader4Para4Left0Firstline0"/>
              <w:numPr>
                <w:ilvl w:val="0"/>
                <w:numId w:val="23"/>
              </w:numPr>
              <w:bidi/>
              <w:rPr>
                <w:sz w:val="26"/>
                <w:szCs w:val="26"/>
                <w:rtl/>
                <w:lang w:bidi="ar-SA"/>
              </w:rPr>
            </w:pPr>
            <w:r w:rsidRPr="00DC09F2">
              <w:rPr>
                <w:rFonts w:hint="cs"/>
                <w:sz w:val="26"/>
                <w:szCs w:val="26"/>
                <w:rtl/>
                <w:lang w:bidi="ar-SA"/>
              </w:rPr>
              <w:t xml:space="preserve">خطة إدارة إزالة المواد الهيدروكلوروفلوروكربونية (المرحلة </w:t>
            </w:r>
            <w:r w:rsidR="00523882" w:rsidRPr="00DC09F2">
              <w:rPr>
                <w:rFonts w:hint="cs"/>
                <w:sz w:val="26"/>
                <w:szCs w:val="26"/>
                <w:rtl/>
                <w:lang w:bidi="ar-SA"/>
              </w:rPr>
              <w:t>الأولى</w:t>
            </w:r>
            <w:r w:rsidRPr="00DC09F2">
              <w:rPr>
                <w:rFonts w:hint="cs"/>
                <w:sz w:val="26"/>
                <w:szCs w:val="26"/>
                <w:rtl/>
                <w:lang w:bidi="ar-SA"/>
              </w:rPr>
              <w:t xml:space="preserve">، </w:t>
            </w:r>
            <w:r w:rsidR="00502457" w:rsidRPr="00DC09F2">
              <w:rPr>
                <w:rFonts w:hint="cs"/>
                <w:sz w:val="26"/>
                <w:szCs w:val="26"/>
                <w:rtl/>
                <w:lang w:bidi="ar-SA"/>
              </w:rPr>
              <w:t xml:space="preserve">الشريحة </w:t>
            </w:r>
            <w:r w:rsidR="00D33CBF" w:rsidRPr="00DC09F2">
              <w:rPr>
                <w:rFonts w:hint="cs"/>
                <w:sz w:val="26"/>
                <w:szCs w:val="26"/>
                <w:rtl/>
                <w:lang w:bidi="ar-SA"/>
              </w:rPr>
              <w:t>الثالثة</w:t>
            </w:r>
            <w:r w:rsidRPr="00DC09F2">
              <w:rPr>
                <w:rFonts w:hint="cs"/>
                <w:sz w:val="26"/>
                <w:szCs w:val="26"/>
                <w:rtl/>
                <w:lang w:bidi="ar-SA"/>
              </w:rPr>
              <w:t>)</w:t>
            </w:r>
          </w:p>
        </w:tc>
        <w:tc>
          <w:tcPr>
            <w:tcW w:w="1620" w:type="dxa"/>
          </w:tcPr>
          <w:p w:rsidR="00EB6EDC" w:rsidRPr="00DC09F2" w:rsidRDefault="00D33CBF" w:rsidP="001A2DFA">
            <w:pPr>
              <w:pStyle w:val="StyleHeader4Para4Left0Firstline0"/>
              <w:numPr>
                <w:ilvl w:val="0"/>
                <w:numId w:val="0"/>
              </w:numPr>
              <w:bidi/>
              <w:jc w:val="right"/>
              <w:rPr>
                <w:sz w:val="26"/>
                <w:szCs w:val="26"/>
                <w:lang w:val="en-US" w:bidi="ar-EG"/>
              </w:rPr>
            </w:pPr>
            <w:r w:rsidRPr="00DC09F2">
              <w:rPr>
                <w:rFonts w:hint="cs"/>
                <w:sz w:val="26"/>
                <w:szCs w:val="26"/>
                <w:rtl/>
                <w:lang w:bidi="ar-SA"/>
              </w:rPr>
              <w:t>يونيب و</w:t>
            </w:r>
            <w:r w:rsidR="00502457" w:rsidRPr="00DC09F2">
              <w:rPr>
                <w:rFonts w:hint="cs"/>
                <w:sz w:val="26"/>
                <w:szCs w:val="26"/>
                <w:rtl/>
                <w:lang w:bidi="ar-SA"/>
              </w:rPr>
              <w:t>يونيدو</w:t>
            </w:r>
          </w:p>
        </w:tc>
      </w:tr>
    </w:tbl>
    <w:p w:rsidR="00EB6EDC" w:rsidRDefault="00EB6EDC" w:rsidP="00EB6EDC">
      <w:pPr>
        <w:pStyle w:val="StyleHeader4Para4Left0Firstline0"/>
        <w:numPr>
          <w:ilvl w:val="0"/>
          <w:numId w:val="0"/>
        </w:numPr>
        <w:bidi/>
        <w:rPr>
          <w:rtl/>
          <w:lang w:bidi="ar-SA"/>
        </w:rPr>
      </w:pPr>
    </w:p>
    <w:bookmarkEnd w:id="1"/>
    <w:p w:rsidR="007E39FA" w:rsidRDefault="007E39FA" w:rsidP="00010740">
      <w:pPr>
        <w:pStyle w:val="StyleHeader4Para4Left0Firstline0"/>
        <w:numPr>
          <w:ilvl w:val="0"/>
          <w:numId w:val="0"/>
        </w:numPr>
        <w:bidi/>
        <w:spacing w:after="0"/>
        <w:jc w:val="center"/>
        <w:rPr>
          <w:b/>
          <w:bCs/>
          <w:sz w:val="28"/>
          <w:szCs w:val="28"/>
          <w:rtl/>
          <w:lang w:bidi="ar-SA"/>
        </w:rPr>
      </w:pPr>
    </w:p>
    <w:p w:rsidR="007E39FA" w:rsidRDefault="007E39FA" w:rsidP="007E39FA">
      <w:pPr>
        <w:pStyle w:val="StyleHeader4Para4Left0Firstline0"/>
        <w:numPr>
          <w:ilvl w:val="0"/>
          <w:numId w:val="0"/>
        </w:numPr>
        <w:bidi/>
        <w:spacing w:after="0"/>
        <w:jc w:val="center"/>
        <w:rPr>
          <w:sz w:val="24"/>
          <w:rtl/>
        </w:rPr>
      </w:pPr>
    </w:p>
    <w:p w:rsidR="00DB721A" w:rsidRDefault="009969EA">
      <w:pPr>
        <w:jc w:val="left"/>
        <w:rPr>
          <w:b/>
          <w:bCs/>
          <w:sz w:val="28"/>
          <w:szCs w:val="28"/>
          <w:rtl/>
          <w:lang w:bidi="ar-SA"/>
        </w:rPr>
      </w:pPr>
      <w:r w:rsidRPr="00B70DF5">
        <w:rPr>
          <w:noProof/>
          <w:sz w:val="26"/>
          <w:szCs w:val="26"/>
          <w:lang w:val="en-CA" w:eastAsia="en-CA" w:bidi="ar-SA"/>
        </w:rPr>
        <mc:AlternateContent>
          <mc:Choice Requires="wps">
            <w:drawing>
              <wp:anchor distT="0" distB="0" distL="114300" distR="114300" simplePos="0" relativeHeight="251662336" behindDoc="0" locked="0" layoutInCell="1" allowOverlap="1" wp14:anchorId="1950F7B0" wp14:editId="523AE591">
                <wp:simplePos x="0" y="0"/>
                <wp:positionH relativeFrom="margin">
                  <wp:posOffset>88488</wp:posOffset>
                </wp:positionH>
                <wp:positionV relativeFrom="page">
                  <wp:posOffset>9154795</wp:posOffset>
                </wp:positionV>
                <wp:extent cx="5774055" cy="421640"/>
                <wp:effectExtent l="0" t="0" r="17145" b="16510"/>
                <wp:wrapThrough wrapText="bothSides">
                  <wp:wrapPolygon edited="0">
                    <wp:start x="0" y="0"/>
                    <wp:lineTo x="0" y="21470"/>
                    <wp:lineTo x="21593" y="21470"/>
                    <wp:lineTo x="2159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421640"/>
                        </a:xfrm>
                        <a:prstGeom prst="rect">
                          <a:avLst/>
                        </a:prstGeom>
                        <a:solidFill>
                          <a:srgbClr val="FFFFFF"/>
                        </a:solidFill>
                        <a:ln w="9525">
                          <a:solidFill>
                            <a:srgbClr val="000000"/>
                          </a:solidFill>
                          <a:miter lim="800000"/>
                          <a:headEnd/>
                          <a:tailEnd/>
                        </a:ln>
                      </wps:spPr>
                      <wps:txbx>
                        <w:txbxContent>
                          <w:p w:rsidR="009E052D" w:rsidRDefault="009E052D" w:rsidP="007E39FA">
                            <w:pPr>
                              <w:jc w:val="center"/>
                              <w:rPr>
                                <w:rtl/>
                              </w:rPr>
                            </w:pPr>
                            <w:r>
                              <w:rPr>
                                <w:rtl/>
                              </w:rPr>
                              <w:t>إن وثائق ما قبل دورات اللجنة التنفيذية للصندوق المتعدد الأطراف لتنفيذ بروتوكول مونتريال</w:t>
                            </w:r>
                          </w:p>
                          <w:p w:rsidR="009E052D" w:rsidRDefault="009E052D" w:rsidP="007E39FA">
                            <w:pPr>
                              <w:bidi/>
                              <w:jc w:val="center"/>
                            </w:pPr>
                            <w:r>
                              <w:rPr>
                                <w:rtl/>
                              </w:rPr>
                              <w:t>قد تصدر دون إخلال بأي قرار تتخذه اللجنة التنفيذية بعد صدورها</w:t>
                            </w:r>
                            <w:r>
                              <w:t>.</w:t>
                            </w:r>
                          </w:p>
                        </w:txbxContent>
                      </wps:txbx>
                      <wps:bodyPr rot="0" vert="horz" wrap="square" lIns="91440" tIns="45720" rIns="91440" bIns="45720" anchor="t" anchorCtr="0">
                        <a:spAutoFit/>
                      </wps:bodyPr>
                    </wps:wsp>
                  </a:graphicData>
                </a:graphic>
              </wp:anchor>
            </w:drawing>
          </mc:Choice>
          <mc:Fallback xmlns:cx1="http://schemas.microsoft.com/office/drawing/2015/9/8/chartex">
            <w:pict>
              <v:shapetype w14:anchorId="1950F7B0" id="_x0000_t202" coordsize="21600,21600" o:spt="202" path="m,l,21600r21600,l21600,xe">
                <v:stroke joinstyle="miter"/>
                <v:path gradientshapeok="t" o:connecttype="rect"/>
              </v:shapetype>
              <v:shape id="Text Box 2" o:spid="_x0000_s1026" type="#_x0000_t202" style="position:absolute;margin-left:6.95pt;margin-top:720.85pt;width:454.65pt;height:33.2pt;z-index:25166233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5eIwIAAEY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">
                <v:textbox style="mso-fit-shape-to-text:t">
                  <w:txbxContent>
                    <w:p w:rsidR="009E052D" w:rsidRDefault="009E052D" w:rsidP="007E39FA">
                      <w:pPr>
                        <w:jc w:val="center"/>
                        <w:rPr>
                          <w:rtl/>
                        </w:rPr>
                      </w:pPr>
                      <w:r>
                        <w:rPr>
                          <w:rtl/>
                        </w:rPr>
                        <w:t>إن وثائق ما قبل دورات اللجنة التنفيذية للصندوق المتعدد الأطراف لتنفيذ بروتوكول مونتريال</w:t>
                      </w:r>
                    </w:p>
                    <w:p w:rsidR="009E052D" w:rsidRDefault="009E052D" w:rsidP="007E39FA">
                      <w:pPr>
                        <w:bidi/>
                        <w:jc w:val="center"/>
                      </w:pPr>
                      <w:r>
                        <w:rPr>
                          <w:rtl/>
                        </w:rPr>
                        <w:t>قد تصدر دون إخلال بأي قرار تتخذه اللجنة التنفيذية بعد صدورها</w:t>
                      </w:r>
                      <w:r>
                        <w:t>.</w:t>
                      </w:r>
                    </w:p>
                  </w:txbxContent>
                </v:textbox>
                <w10:wrap type="through" anchorx="margin" anchory="page"/>
              </v:shape>
            </w:pict>
          </mc:Fallback>
        </mc:AlternateContent>
      </w:r>
      <w:r w:rsidR="00DB721A">
        <w:rPr>
          <w:b/>
          <w:bCs/>
          <w:sz w:val="28"/>
          <w:szCs w:val="28"/>
          <w:rtl/>
          <w:lang w:bidi="ar-SA"/>
        </w:rPr>
        <w:br w:type="page"/>
      </w:r>
    </w:p>
    <w:p w:rsidR="00C31215" w:rsidRPr="007F0AE9" w:rsidRDefault="00C31215" w:rsidP="00C31215">
      <w:pPr>
        <w:pStyle w:val="StyleHeader4Para4Left0Firstline0"/>
        <w:numPr>
          <w:ilvl w:val="0"/>
          <w:numId w:val="0"/>
        </w:numPr>
        <w:bidi/>
        <w:spacing w:after="0"/>
        <w:jc w:val="center"/>
        <w:rPr>
          <w:b/>
          <w:bCs/>
          <w:sz w:val="28"/>
          <w:szCs w:val="28"/>
          <w:rtl/>
          <w:lang w:bidi="ar-EG"/>
        </w:rPr>
      </w:pPr>
      <w:r w:rsidRPr="007F0AE9">
        <w:rPr>
          <w:rFonts w:hint="cs"/>
          <w:b/>
          <w:bCs/>
          <w:sz w:val="28"/>
          <w:szCs w:val="28"/>
          <w:rtl/>
          <w:lang w:bidi="ar-SA"/>
        </w:rPr>
        <w:lastRenderedPageBreak/>
        <w:t xml:space="preserve">ورقة تقييم المشروع </w:t>
      </w:r>
      <w:r w:rsidRPr="007F0AE9">
        <w:rPr>
          <w:b/>
          <w:bCs/>
          <w:sz w:val="28"/>
          <w:szCs w:val="28"/>
          <w:rtl/>
          <w:lang w:bidi="ar-SA"/>
        </w:rPr>
        <w:t>–</w:t>
      </w:r>
      <w:r w:rsidRPr="007F0AE9">
        <w:rPr>
          <w:rFonts w:hint="cs"/>
          <w:b/>
          <w:bCs/>
          <w:sz w:val="28"/>
          <w:szCs w:val="28"/>
          <w:rtl/>
          <w:lang w:bidi="ar-SA"/>
        </w:rPr>
        <w:t xml:space="preserve"> </w:t>
      </w:r>
      <w:r w:rsidRPr="007F0AE9">
        <w:rPr>
          <w:rFonts w:hint="cs"/>
          <w:b/>
          <w:bCs/>
          <w:sz w:val="28"/>
          <w:szCs w:val="28"/>
          <w:rtl/>
          <w:lang w:bidi="ar-EG"/>
        </w:rPr>
        <w:t>مشروعات متعددة السنوات</w:t>
      </w:r>
    </w:p>
    <w:p w:rsidR="00C31215" w:rsidRPr="007F0AE9" w:rsidRDefault="00D33CBF" w:rsidP="00C31215">
      <w:pPr>
        <w:bidi/>
        <w:jc w:val="center"/>
        <w:rPr>
          <w:b/>
          <w:bCs/>
          <w:sz w:val="28"/>
          <w:szCs w:val="28"/>
          <w:rtl/>
          <w:lang w:val="en-US" w:bidi="ar-EG"/>
        </w:rPr>
      </w:pPr>
      <w:r w:rsidRPr="007F0AE9">
        <w:rPr>
          <w:rFonts w:hint="cs"/>
          <w:b/>
          <w:bCs/>
          <w:sz w:val="28"/>
          <w:szCs w:val="28"/>
          <w:rtl/>
          <w:lang w:bidi="ar-EG"/>
        </w:rPr>
        <w:t>العراق</w:t>
      </w:r>
    </w:p>
    <w:p w:rsidR="00C31215" w:rsidRPr="007F0AE9" w:rsidRDefault="00C31215" w:rsidP="00C31215">
      <w:pPr>
        <w:bidi/>
        <w:jc w:val="center"/>
        <w:rPr>
          <w:sz w:val="28"/>
          <w:szCs w:val="22"/>
          <w:lang w:val="en-CA"/>
        </w:rPr>
      </w:pPr>
    </w:p>
    <w:tbl>
      <w:tblPr>
        <w:tblStyle w:val="TableGrid"/>
        <w:bidiVisual/>
        <w:tblW w:w="10348"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059"/>
        <w:gridCol w:w="1530"/>
        <w:gridCol w:w="2516"/>
        <w:gridCol w:w="2243"/>
      </w:tblGrid>
      <w:tr w:rsidR="00C31215" w:rsidRPr="007F0AE9" w:rsidTr="003F1105">
        <w:trPr>
          <w:trHeight w:val="240"/>
          <w:jc w:val="center"/>
        </w:trPr>
        <w:tc>
          <w:tcPr>
            <w:tcW w:w="4059" w:type="dxa"/>
            <w:shd w:val="clear" w:color="auto" w:fill="auto"/>
          </w:tcPr>
          <w:p w:rsidR="00C31215" w:rsidRPr="007F0AE9" w:rsidRDefault="00523882" w:rsidP="009E052D">
            <w:pPr>
              <w:bidi/>
              <w:spacing w:after="80"/>
              <w:jc w:val="left"/>
              <w:rPr>
                <w:bCs/>
                <w:sz w:val="20"/>
                <w:lang w:val="en-CA"/>
              </w:rPr>
            </w:pPr>
            <w:r w:rsidRPr="007F0AE9">
              <w:rPr>
                <w:rFonts w:hint="cs"/>
                <w:bCs/>
                <w:sz w:val="20"/>
                <w:rtl/>
                <w:lang w:val="en-CA"/>
              </w:rPr>
              <w:t>(</w:t>
            </w:r>
            <w:r w:rsidR="009E052D" w:rsidRPr="007F0AE9">
              <w:rPr>
                <w:rFonts w:hint="cs"/>
                <w:bCs/>
                <w:sz w:val="20"/>
                <w:rtl/>
                <w:lang w:val="en-CA"/>
              </w:rPr>
              <w:t>أولا</w:t>
            </w:r>
            <w:r w:rsidRPr="007F0AE9">
              <w:rPr>
                <w:rFonts w:hint="cs"/>
                <w:bCs/>
                <w:sz w:val="20"/>
                <w:rtl/>
                <w:lang w:val="en-CA"/>
              </w:rPr>
              <w:t>) عنوان المشروع</w:t>
            </w:r>
          </w:p>
        </w:tc>
        <w:tc>
          <w:tcPr>
            <w:tcW w:w="1530" w:type="dxa"/>
            <w:shd w:val="clear" w:color="auto" w:fill="auto"/>
          </w:tcPr>
          <w:p w:rsidR="00C31215" w:rsidRPr="007F0AE9" w:rsidRDefault="00523882" w:rsidP="00034DD8">
            <w:pPr>
              <w:bidi/>
              <w:spacing w:after="80"/>
              <w:jc w:val="center"/>
              <w:rPr>
                <w:bCs/>
                <w:sz w:val="20"/>
                <w:lang w:val="en-CA"/>
              </w:rPr>
            </w:pPr>
            <w:r w:rsidRPr="007F0AE9">
              <w:rPr>
                <w:rFonts w:hint="cs"/>
                <w:bCs/>
                <w:sz w:val="20"/>
                <w:rtl/>
                <w:lang w:val="en-CA"/>
              </w:rPr>
              <w:t>الوكالة</w:t>
            </w:r>
          </w:p>
        </w:tc>
        <w:tc>
          <w:tcPr>
            <w:tcW w:w="2516" w:type="dxa"/>
            <w:shd w:val="clear" w:color="auto" w:fill="auto"/>
          </w:tcPr>
          <w:p w:rsidR="00C31215" w:rsidRPr="007F0AE9" w:rsidRDefault="00523882" w:rsidP="00034DD8">
            <w:pPr>
              <w:bidi/>
              <w:spacing w:after="80"/>
              <w:jc w:val="center"/>
              <w:rPr>
                <w:bCs/>
                <w:sz w:val="20"/>
                <w:lang w:val="en-CA"/>
              </w:rPr>
            </w:pPr>
            <w:r w:rsidRPr="007F0AE9">
              <w:rPr>
                <w:rFonts w:hint="cs"/>
                <w:bCs/>
                <w:sz w:val="20"/>
                <w:rtl/>
                <w:lang w:val="en-CA"/>
              </w:rPr>
              <w:t>الاجتماع الذي تمت فيه الموافقة</w:t>
            </w:r>
          </w:p>
        </w:tc>
        <w:tc>
          <w:tcPr>
            <w:tcW w:w="2243" w:type="dxa"/>
            <w:shd w:val="clear" w:color="auto" w:fill="auto"/>
          </w:tcPr>
          <w:p w:rsidR="00C31215" w:rsidRPr="007F0AE9" w:rsidRDefault="00523882" w:rsidP="00034DD8">
            <w:pPr>
              <w:bidi/>
              <w:spacing w:after="80"/>
              <w:jc w:val="center"/>
              <w:rPr>
                <w:bCs/>
                <w:sz w:val="20"/>
                <w:lang w:val="en-CA"/>
              </w:rPr>
            </w:pPr>
            <w:r w:rsidRPr="007F0AE9">
              <w:rPr>
                <w:rFonts w:hint="cs"/>
                <w:bCs/>
                <w:sz w:val="20"/>
                <w:rtl/>
                <w:lang w:val="en-CA"/>
              </w:rPr>
              <w:t>تدابير الرقابة</w:t>
            </w:r>
          </w:p>
        </w:tc>
      </w:tr>
      <w:tr w:rsidR="00C31215" w:rsidRPr="007F0AE9" w:rsidTr="003F1105">
        <w:trPr>
          <w:trHeight w:val="240"/>
          <w:jc w:val="center"/>
        </w:trPr>
        <w:tc>
          <w:tcPr>
            <w:tcW w:w="4059" w:type="dxa"/>
            <w:shd w:val="clear" w:color="auto" w:fill="auto"/>
          </w:tcPr>
          <w:p w:rsidR="00706A2E" w:rsidRPr="007F0AE9" w:rsidRDefault="00523882" w:rsidP="00034DD8">
            <w:pPr>
              <w:bidi/>
              <w:spacing w:after="80"/>
              <w:jc w:val="center"/>
              <w:rPr>
                <w:sz w:val="20"/>
                <w:rtl/>
                <w:lang w:val="en-CA"/>
              </w:rPr>
            </w:pPr>
            <w:r w:rsidRPr="007F0AE9">
              <w:rPr>
                <w:rFonts w:hint="cs"/>
                <w:sz w:val="20"/>
                <w:rtl/>
                <w:lang w:val="en-CA"/>
              </w:rPr>
              <w:t>خطة إزالة المواد الهيدروكلوروفلوروكربونية</w:t>
            </w:r>
          </w:p>
          <w:p w:rsidR="00C31215" w:rsidRPr="007F0AE9" w:rsidRDefault="00523882" w:rsidP="00034DD8">
            <w:pPr>
              <w:bidi/>
              <w:spacing w:after="80"/>
              <w:jc w:val="center"/>
              <w:rPr>
                <w:sz w:val="20"/>
                <w:lang w:val="en-CA"/>
              </w:rPr>
            </w:pPr>
            <w:r w:rsidRPr="007F0AE9">
              <w:rPr>
                <w:rFonts w:hint="cs"/>
                <w:sz w:val="20"/>
                <w:rtl/>
                <w:lang w:val="en-CA"/>
              </w:rPr>
              <w:t>(المرحلة الأولى)</w:t>
            </w:r>
          </w:p>
        </w:tc>
        <w:tc>
          <w:tcPr>
            <w:tcW w:w="1530" w:type="dxa"/>
            <w:shd w:val="clear" w:color="auto" w:fill="auto"/>
          </w:tcPr>
          <w:p w:rsidR="00C30640" w:rsidRPr="007F0AE9" w:rsidRDefault="00D33CBF" w:rsidP="00034DD8">
            <w:pPr>
              <w:bidi/>
              <w:spacing w:after="80"/>
              <w:jc w:val="center"/>
              <w:rPr>
                <w:sz w:val="20"/>
                <w:rtl/>
                <w:lang w:val="en-CA" w:bidi="ar-EG"/>
              </w:rPr>
            </w:pPr>
            <w:r w:rsidRPr="007F0AE9">
              <w:rPr>
                <w:rFonts w:hint="cs"/>
                <w:sz w:val="20"/>
                <w:rtl/>
                <w:lang w:val="en-CA" w:bidi="ar-EG"/>
              </w:rPr>
              <w:t>يونيب</w:t>
            </w:r>
            <w:r w:rsidR="00807BB6" w:rsidRPr="007F0AE9">
              <w:rPr>
                <w:rFonts w:hint="cs"/>
                <w:sz w:val="20"/>
                <w:rtl/>
                <w:lang w:val="en-CA" w:bidi="ar-EG"/>
              </w:rPr>
              <w:t xml:space="preserve"> (رئيسية)</w:t>
            </w:r>
          </w:p>
          <w:p w:rsidR="00D33CBF" w:rsidRPr="007F0AE9" w:rsidRDefault="00D33CBF" w:rsidP="00D33CBF">
            <w:pPr>
              <w:bidi/>
              <w:spacing w:after="80"/>
              <w:jc w:val="center"/>
              <w:rPr>
                <w:sz w:val="20"/>
                <w:lang w:val="en-CA"/>
              </w:rPr>
            </w:pPr>
            <w:r w:rsidRPr="007F0AE9">
              <w:rPr>
                <w:rFonts w:hint="cs"/>
                <w:sz w:val="20"/>
                <w:rtl/>
                <w:lang w:val="en-CA"/>
              </w:rPr>
              <w:t>يونيدو</w:t>
            </w:r>
          </w:p>
        </w:tc>
        <w:tc>
          <w:tcPr>
            <w:tcW w:w="2516" w:type="dxa"/>
            <w:shd w:val="clear" w:color="auto" w:fill="auto"/>
          </w:tcPr>
          <w:p w:rsidR="00C31215" w:rsidRPr="007F0AE9" w:rsidRDefault="00D33CBF" w:rsidP="00034DD8">
            <w:pPr>
              <w:bidi/>
              <w:spacing w:after="80"/>
              <w:jc w:val="center"/>
              <w:rPr>
                <w:sz w:val="20"/>
                <w:lang w:val="en-CA"/>
              </w:rPr>
            </w:pPr>
            <w:r w:rsidRPr="007F0AE9">
              <w:rPr>
                <w:rFonts w:hint="cs"/>
                <w:sz w:val="20"/>
                <w:rtl/>
                <w:lang w:val="en-CA"/>
              </w:rPr>
              <w:t>الخامس والستون</w:t>
            </w:r>
          </w:p>
        </w:tc>
        <w:tc>
          <w:tcPr>
            <w:tcW w:w="2243" w:type="dxa"/>
            <w:shd w:val="clear" w:color="auto" w:fill="auto"/>
          </w:tcPr>
          <w:p w:rsidR="00C31215" w:rsidRPr="007F0AE9" w:rsidRDefault="00D33CBF" w:rsidP="00034DD8">
            <w:pPr>
              <w:bidi/>
              <w:spacing w:after="80"/>
              <w:jc w:val="center"/>
              <w:rPr>
                <w:sz w:val="20"/>
                <w:lang w:val="en-CA"/>
              </w:rPr>
            </w:pPr>
            <w:r w:rsidRPr="007F0AE9">
              <w:rPr>
                <w:sz w:val="20"/>
                <w:lang w:val="en-CA"/>
              </w:rPr>
              <w:t>13.8</w:t>
            </w:r>
            <w:r w:rsidR="003F1105" w:rsidRPr="007F0AE9">
              <w:rPr>
                <w:sz w:val="20"/>
                <w:lang w:val="en-CA"/>
              </w:rPr>
              <w:t>2</w:t>
            </w:r>
            <w:r w:rsidR="00523882" w:rsidRPr="007F0AE9">
              <w:rPr>
                <w:rFonts w:hint="cs"/>
                <w:sz w:val="20"/>
                <w:rtl/>
                <w:lang w:val="en-CA"/>
              </w:rPr>
              <w:t xml:space="preserve"> في المائة بحلول عام </w:t>
            </w:r>
            <w:r w:rsidRPr="007F0AE9">
              <w:rPr>
                <w:rFonts w:hint="cs"/>
                <w:sz w:val="20"/>
                <w:rtl/>
                <w:lang w:val="en-CA"/>
              </w:rPr>
              <w:t>2017</w:t>
            </w:r>
          </w:p>
        </w:tc>
      </w:tr>
    </w:tbl>
    <w:p w:rsidR="00C31215" w:rsidRPr="007F0AE9" w:rsidRDefault="00C31215" w:rsidP="00C31215">
      <w:pPr>
        <w:spacing w:after="60"/>
        <w:jc w:val="center"/>
        <w:rPr>
          <w:sz w:val="20"/>
          <w:lang w:val="en-CA"/>
        </w:rPr>
      </w:pPr>
    </w:p>
    <w:tbl>
      <w:tblPr>
        <w:tblStyle w:val="TableGrid"/>
        <w:bidiVisual/>
        <w:tblW w:w="10352" w:type="dxa"/>
        <w:tblInd w:w="-51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4947"/>
        <w:gridCol w:w="1800"/>
        <w:gridCol w:w="3605"/>
      </w:tblGrid>
      <w:tr w:rsidR="00C31215" w:rsidRPr="007F0AE9" w:rsidTr="00034DD8">
        <w:trPr>
          <w:trHeight w:val="240"/>
        </w:trPr>
        <w:tc>
          <w:tcPr>
            <w:tcW w:w="4947" w:type="dxa"/>
            <w:shd w:val="clear" w:color="auto" w:fill="auto"/>
          </w:tcPr>
          <w:p w:rsidR="00C31215" w:rsidRPr="007F0AE9" w:rsidRDefault="00523882" w:rsidP="009E052D">
            <w:pPr>
              <w:bidi/>
              <w:spacing w:after="60"/>
              <w:jc w:val="left"/>
              <w:rPr>
                <w:bCs/>
                <w:sz w:val="20"/>
                <w:lang w:val="en-CA"/>
              </w:rPr>
            </w:pPr>
            <w:r w:rsidRPr="007F0AE9">
              <w:rPr>
                <w:rFonts w:hint="cs"/>
                <w:bCs/>
                <w:sz w:val="20"/>
                <w:rtl/>
                <w:lang w:val="en-CA"/>
              </w:rPr>
              <w:t>(</w:t>
            </w:r>
            <w:r w:rsidR="009E052D" w:rsidRPr="007F0AE9">
              <w:rPr>
                <w:rFonts w:hint="cs"/>
                <w:bCs/>
                <w:sz w:val="20"/>
                <w:rtl/>
                <w:lang w:val="en-CA"/>
              </w:rPr>
              <w:t>ثانيا</w:t>
            </w:r>
            <w:r w:rsidRPr="007F0AE9">
              <w:rPr>
                <w:rFonts w:hint="cs"/>
                <w:bCs/>
                <w:sz w:val="20"/>
                <w:rtl/>
                <w:lang w:val="en-CA"/>
              </w:rPr>
              <w:t>) أحدث بيانات المادة 7 (المرفق جيم المجموعة الأولى)</w:t>
            </w:r>
          </w:p>
        </w:tc>
        <w:tc>
          <w:tcPr>
            <w:tcW w:w="1800" w:type="dxa"/>
            <w:shd w:val="clear" w:color="auto" w:fill="auto"/>
          </w:tcPr>
          <w:p w:rsidR="00C31215" w:rsidRPr="007F0AE9" w:rsidRDefault="00523882" w:rsidP="00C31215">
            <w:pPr>
              <w:spacing w:after="60"/>
              <w:jc w:val="center"/>
              <w:rPr>
                <w:sz w:val="20"/>
                <w:lang w:val="en-CA" w:bidi="ar-EG"/>
              </w:rPr>
            </w:pPr>
            <w:r w:rsidRPr="007F0AE9">
              <w:rPr>
                <w:rFonts w:hint="cs"/>
                <w:sz w:val="20"/>
                <w:rtl/>
                <w:lang w:val="en-CA"/>
              </w:rPr>
              <w:t xml:space="preserve">السنة: </w:t>
            </w:r>
            <w:r w:rsidR="00807BB6" w:rsidRPr="007F0AE9">
              <w:rPr>
                <w:rFonts w:hint="cs"/>
                <w:sz w:val="20"/>
                <w:rtl/>
                <w:lang w:val="en-CA" w:bidi="ar-EG"/>
              </w:rPr>
              <w:t>2018</w:t>
            </w:r>
          </w:p>
        </w:tc>
        <w:tc>
          <w:tcPr>
            <w:tcW w:w="3605" w:type="dxa"/>
            <w:shd w:val="clear" w:color="auto" w:fill="auto"/>
          </w:tcPr>
          <w:p w:rsidR="00C31215" w:rsidRPr="007F0AE9" w:rsidRDefault="00D33CBF" w:rsidP="000B3FC8">
            <w:pPr>
              <w:bidi/>
              <w:spacing w:after="60"/>
              <w:jc w:val="left"/>
              <w:rPr>
                <w:sz w:val="20"/>
                <w:lang w:val="en-CA"/>
              </w:rPr>
            </w:pPr>
            <w:r w:rsidRPr="007F0AE9">
              <w:rPr>
                <w:sz w:val="20"/>
                <w:lang w:val="en-US"/>
              </w:rPr>
              <w:t>92.68</w:t>
            </w:r>
            <w:r w:rsidR="00523882" w:rsidRPr="007F0AE9">
              <w:rPr>
                <w:rFonts w:hint="cs"/>
                <w:sz w:val="20"/>
                <w:rtl/>
                <w:lang w:val="en-CA"/>
              </w:rPr>
              <w:t xml:space="preserve"> (طن من قدرات استنفاد الأوزون)</w:t>
            </w:r>
          </w:p>
        </w:tc>
      </w:tr>
    </w:tbl>
    <w:p w:rsidR="00C31215" w:rsidRPr="007F0AE9" w:rsidRDefault="00C31215" w:rsidP="00C31215">
      <w:pPr>
        <w:spacing w:after="60"/>
        <w:jc w:val="center"/>
        <w:rPr>
          <w:sz w:val="28"/>
          <w:szCs w:val="28"/>
          <w:rtl/>
          <w:lang w:val="en-CA"/>
        </w:rPr>
      </w:pPr>
    </w:p>
    <w:tbl>
      <w:tblPr>
        <w:tblStyle w:val="TableGrid"/>
        <w:bidiVisual/>
        <w:tblW w:w="5529" w:type="pct"/>
        <w:tblInd w:w="-477"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367"/>
        <w:gridCol w:w="1196"/>
        <w:gridCol w:w="817"/>
        <w:gridCol w:w="713"/>
        <w:gridCol w:w="754"/>
        <w:gridCol w:w="668"/>
        <w:gridCol w:w="783"/>
        <w:gridCol w:w="663"/>
        <w:gridCol w:w="1083"/>
        <w:gridCol w:w="1295"/>
      </w:tblGrid>
      <w:tr w:rsidR="00436E4A" w:rsidRPr="007F0AE9" w:rsidTr="00034DD8">
        <w:trPr>
          <w:trHeight w:val="240"/>
        </w:trPr>
        <w:tc>
          <w:tcPr>
            <w:tcW w:w="3776" w:type="pct"/>
            <w:gridSpan w:val="8"/>
            <w:shd w:val="clear" w:color="auto" w:fill="auto"/>
          </w:tcPr>
          <w:p w:rsidR="00436E4A" w:rsidRPr="007F0AE9" w:rsidRDefault="00436E4A" w:rsidP="009E052D">
            <w:pPr>
              <w:bidi/>
              <w:spacing w:after="60"/>
              <w:jc w:val="left"/>
              <w:rPr>
                <w:bCs/>
                <w:sz w:val="20"/>
                <w:lang w:val="en-US"/>
              </w:rPr>
            </w:pPr>
            <w:r w:rsidRPr="007F0AE9">
              <w:rPr>
                <w:rFonts w:hint="cs"/>
                <w:bCs/>
                <w:sz w:val="20"/>
                <w:rtl/>
                <w:lang w:val="en-US"/>
              </w:rPr>
              <w:t>(</w:t>
            </w:r>
            <w:r w:rsidR="009E052D" w:rsidRPr="007F0AE9">
              <w:rPr>
                <w:rFonts w:hint="cs"/>
                <w:bCs/>
                <w:sz w:val="20"/>
                <w:rtl/>
                <w:lang w:val="en-US"/>
              </w:rPr>
              <w:t>ثالثا</w:t>
            </w:r>
            <w:r w:rsidRPr="007F0AE9">
              <w:rPr>
                <w:rFonts w:hint="cs"/>
                <w:bCs/>
                <w:sz w:val="20"/>
                <w:rtl/>
                <w:lang w:val="en-US"/>
              </w:rPr>
              <w:t>) أحدث البيانات القطاعية للبرنامج القطري (طن من قدرات استنفاد الأوزون)</w:t>
            </w:r>
          </w:p>
        </w:tc>
        <w:tc>
          <w:tcPr>
            <w:tcW w:w="1224" w:type="pct"/>
            <w:gridSpan w:val="2"/>
            <w:shd w:val="clear" w:color="auto" w:fill="auto"/>
          </w:tcPr>
          <w:p w:rsidR="00436E4A" w:rsidRPr="007F0AE9" w:rsidRDefault="00436E4A" w:rsidP="00C56D86">
            <w:pPr>
              <w:spacing w:after="60"/>
              <w:jc w:val="right"/>
              <w:rPr>
                <w:bCs/>
                <w:sz w:val="20"/>
                <w:rtl/>
                <w:lang w:val="en-US" w:bidi="ar-EG"/>
              </w:rPr>
            </w:pPr>
            <w:r w:rsidRPr="007F0AE9">
              <w:rPr>
                <w:rFonts w:hint="cs"/>
                <w:bCs/>
                <w:sz w:val="20"/>
                <w:rtl/>
                <w:lang w:val="en-US"/>
              </w:rPr>
              <w:t xml:space="preserve">السنة: </w:t>
            </w:r>
            <w:r w:rsidR="000C387F" w:rsidRPr="007F0AE9">
              <w:rPr>
                <w:rFonts w:hint="cs"/>
                <w:bCs/>
                <w:sz w:val="20"/>
                <w:rtl/>
                <w:lang w:val="en-US"/>
              </w:rPr>
              <w:t>2018</w:t>
            </w:r>
          </w:p>
        </w:tc>
      </w:tr>
      <w:tr w:rsidR="00436E4A" w:rsidRPr="007F0AE9" w:rsidTr="00D33CBF">
        <w:trPr>
          <w:trHeight w:val="240"/>
        </w:trPr>
        <w:tc>
          <w:tcPr>
            <w:tcW w:w="1203" w:type="pct"/>
            <w:shd w:val="clear" w:color="auto" w:fill="auto"/>
          </w:tcPr>
          <w:p w:rsidR="00436E4A" w:rsidRPr="007F0AE9" w:rsidRDefault="00436E4A" w:rsidP="00C56D86">
            <w:pPr>
              <w:bidi/>
              <w:spacing w:after="60"/>
              <w:jc w:val="center"/>
              <w:rPr>
                <w:sz w:val="20"/>
                <w:szCs w:val="22"/>
              </w:rPr>
            </w:pPr>
            <w:r w:rsidRPr="007F0AE9">
              <w:rPr>
                <w:rFonts w:hint="cs"/>
                <w:sz w:val="20"/>
                <w:szCs w:val="22"/>
                <w:rtl/>
              </w:rPr>
              <w:t>كيميائي</w:t>
            </w:r>
          </w:p>
        </w:tc>
        <w:tc>
          <w:tcPr>
            <w:tcW w:w="535" w:type="pct"/>
            <w:shd w:val="clear" w:color="auto" w:fill="auto"/>
          </w:tcPr>
          <w:p w:rsidR="00436E4A" w:rsidRPr="007F0AE9" w:rsidRDefault="00436E4A" w:rsidP="00C56D86">
            <w:pPr>
              <w:bidi/>
              <w:spacing w:after="60"/>
              <w:jc w:val="center"/>
              <w:rPr>
                <w:sz w:val="20"/>
                <w:szCs w:val="22"/>
              </w:rPr>
            </w:pPr>
            <w:r w:rsidRPr="007F0AE9">
              <w:rPr>
                <w:rFonts w:hint="cs"/>
                <w:sz w:val="20"/>
                <w:szCs w:val="22"/>
                <w:rtl/>
              </w:rPr>
              <w:t>الإيروصولات</w:t>
            </w:r>
          </w:p>
        </w:tc>
        <w:tc>
          <w:tcPr>
            <w:tcW w:w="369" w:type="pct"/>
            <w:shd w:val="clear" w:color="auto" w:fill="auto"/>
          </w:tcPr>
          <w:p w:rsidR="00436E4A" w:rsidRPr="007F0AE9" w:rsidRDefault="00436E4A" w:rsidP="00C56D86">
            <w:pPr>
              <w:bidi/>
              <w:spacing w:after="60"/>
              <w:jc w:val="center"/>
              <w:rPr>
                <w:sz w:val="20"/>
                <w:szCs w:val="22"/>
              </w:rPr>
            </w:pPr>
            <w:r w:rsidRPr="007F0AE9">
              <w:rPr>
                <w:rFonts w:hint="cs"/>
                <w:sz w:val="20"/>
                <w:szCs w:val="22"/>
                <w:rtl/>
              </w:rPr>
              <w:t>الرغاوي</w:t>
            </w:r>
          </w:p>
        </w:tc>
        <w:tc>
          <w:tcPr>
            <w:tcW w:w="335" w:type="pct"/>
            <w:shd w:val="clear" w:color="auto" w:fill="auto"/>
          </w:tcPr>
          <w:p w:rsidR="00436E4A" w:rsidRPr="007F0AE9" w:rsidRDefault="00436E4A" w:rsidP="00C56D86">
            <w:pPr>
              <w:bidi/>
              <w:spacing w:after="60"/>
              <w:jc w:val="center"/>
              <w:rPr>
                <w:sz w:val="20"/>
                <w:szCs w:val="22"/>
              </w:rPr>
            </w:pPr>
            <w:r w:rsidRPr="007F0AE9">
              <w:rPr>
                <w:rFonts w:hint="cs"/>
                <w:sz w:val="20"/>
                <w:szCs w:val="22"/>
                <w:rtl/>
              </w:rPr>
              <w:t>مكافحة الحريق</w:t>
            </w:r>
          </w:p>
        </w:tc>
        <w:tc>
          <w:tcPr>
            <w:tcW w:w="674" w:type="pct"/>
            <w:gridSpan w:val="2"/>
            <w:shd w:val="clear" w:color="auto" w:fill="auto"/>
          </w:tcPr>
          <w:p w:rsidR="00436E4A" w:rsidRPr="007F0AE9" w:rsidRDefault="00436E4A" w:rsidP="00C56D86">
            <w:pPr>
              <w:bidi/>
              <w:spacing w:after="60"/>
              <w:jc w:val="center"/>
              <w:rPr>
                <w:sz w:val="20"/>
                <w:szCs w:val="22"/>
              </w:rPr>
            </w:pPr>
            <w:r w:rsidRPr="007F0AE9">
              <w:rPr>
                <w:rFonts w:hint="cs"/>
                <w:sz w:val="20"/>
                <w:szCs w:val="22"/>
                <w:rtl/>
              </w:rPr>
              <w:t>التبريد</w:t>
            </w:r>
          </w:p>
        </w:tc>
        <w:tc>
          <w:tcPr>
            <w:tcW w:w="354" w:type="pct"/>
            <w:shd w:val="clear" w:color="auto" w:fill="auto"/>
          </w:tcPr>
          <w:p w:rsidR="00436E4A" w:rsidRPr="007F0AE9" w:rsidRDefault="00436E4A" w:rsidP="00C56D86">
            <w:pPr>
              <w:bidi/>
              <w:spacing w:after="60"/>
              <w:jc w:val="center"/>
              <w:rPr>
                <w:sz w:val="20"/>
                <w:szCs w:val="22"/>
              </w:rPr>
            </w:pPr>
            <w:r w:rsidRPr="007F0AE9">
              <w:rPr>
                <w:rFonts w:hint="cs"/>
                <w:sz w:val="20"/>
                <w:szCs w:val="22"/>
                <w:rtl/>
              </w:rPr>
              <w:t>المذيبات</w:t>
            </w:r>
          </w:p>
        </w:tc>
        <w:tc>
          <w:tcPr>
            <w:tcW w:w="306" w:type="pct"/>
            <w:shd w:val="clear" w:color="auto" w:fill="auto"/>
          </w:tcPr>
          <w:p w:rsidR="00436E4A" w:rsidRPr="007F0AE9" w:rsidRDefault="00436E4A" w:rsidP="00C56D86">
            <w:pPr>
              <w:bidi/>
              <w:spacing w:after="60"/>
              <w:jc w:val="center"/>
              <w:rPr>
                <w:sz w:val="20"/>
                <w:szCs w:val="22"/>
              </w:rPr>
            </w:pPr>
            <w:r w:rsidRPr="007F0AE9">
              <w:rPr>
                <w:rFonts w:hint="cs"/>
                <w:sz w:val="20"/>
                <w:szCs w:val="22"/>
                <w:rtl/>
              </w:rPr>
              <w:t>عامل تصنيع</w:t>
            </w:r>
          </w:p>
        </w:tc>
        <w:tc>
          <w:tcPr>
            <w:tcW w:w="486" w:type="pct"/>
            <w:shd w:val="clear" w:color="auto" w:fill="auto"/>
          </w:tcPr>
          <w:p w:rsidR="00436E4A" w:rsidRPr="007F0AE9" w:rsidRDefault="00436E4A" w:rsidP="00C56D86">
            <w:pPr>
              <w:bidi/>
              <w:spacing w:after="60"/>
              <w:jc w:val="center"/>
              <w:rPr>
                <w:sz w:val="20"/>
                <w:szCs w:val="22"/>
              </w:rPr>
            </w:pPr>
            <w:r w:rsidRPr="007F0AE9">
              <w:rPr>
                <w:rFonts w:hint="cs"/>
                <w:sz w:val="20"/>
                <w:szCs w:val="22"/>
                <w:rtl/>
              </w:rPr>
              <w:t>الاستخدامات المعملية</w:t>
            </w:r>
          </w:p>
        </w:tc>
        <w:tc>
          <w:tcPr>
            <w:tcW w:w="738" w:type="pct"/>
            <w:shd w:val="clear" w:color="auto" w:fill="auto"/>
          </w:tcPr>
          <w:p w:rsidR="00436E4A" w:rsidRPr="007F0AE9" w:rsidRDefault="00436E4A" w:rsidP="00C56D86">
            <w:pPr>
              <w:bidi/>
              <w:spacing w:after="60"/>
              <w:jc w:val="center"/>
              <w:rPr>
                <w:sz w:val="20"/>
                <w:szCs w:val="22"/>
              </w:rPr>
            </w:pPr>
            <w:r w:rsidRPr="007F0AE9">
              <w:rPr>
                <w:rFonts w:hint="cs"/>
                <w:sz w:val="20"/>
                <w:szCs w:val="22"/>
                <w:rtl/>
              </w:rPr>
              <w:t>إجمالي استهلاك القطاع</w:t>
            </w:r>
          </w:p>
        </w:tc>
      </w:tr>
      <w:tr w:rsidR="00436E4A" w:rsidRPr="007F0AE9" w:rsidTr="00D33CBF">
        <w:trPr>
          <w:trHeight w:val="240"/>
        </w:trPr>
        <w:tc>
          <w:tcPr>
            <w:tcW w:w="2442" w:type="pct"/>
            <w:gridSpan w:val="4"/>
            <w:shd w:val="clear" w:color="auto" w:fill="auto"/>
          </w:tcPr>
          <w:p w:rsidR="00436E4A" w:rsidRPr="007F0AE9" w:rsidRDefault="00436E4A" w:rsidP="00C56D86">
            <w:pPr>
              <w:bidi/>
              <w:spacing w:after="60"/>
              <w:rPr>
                <w:sz w:val="20"/>
                <w:szCs w:val="22"/>
              </w:rPr>
            </w:pPr>
            <w:r w:rsidRPr="007F0AE9">
              <w:rPr>
                <w:sz w:val="20"/>
                <w:szCs w:val="22"/>
              </w:rPr>
              <w:t xml:space="preserve"> </w:t>
            </w:r>
          </w:p>
        </w:tc>
        <w:tc>
          <w:tcPr>
            <w:tcW w:w="370" w:type="pct"/>
            <w:shd w:val="clear" w:color="auto" w:fill="auto"/>
          </w:tcPr>
          <w:p w:rsidR="00436E4A" w:rsidRPr="007F0AE9" w:rsidRDefault="00436E4A" w:rsidP="00C56D86">
            <w:pPr>
              <w:bidi/>
              <w:spacing w:after="60"/>
              <w:rPr>
                <w:sz w:val="20"/>
                <w:szCs w:val="22"/>
              </w:rPr>
            </w:pPr>
            <w:r w:rsidRPr="007F0AE9">
              <w:rPr>
                <w:rFonts w:hint="cs"/>
                <w:sz w:val="20"/>
                <w:szCs w:val="22"/>
                <w:rtl/>
              </w:rPr>
              <w:t>التصنيع</w:t>
            </w:r>
          </w:p>
        </w:tc>
        <w:tc>
          <w:tcPr>
            <w:tcW w:w="304" w:type="pct"/>
            <w:shd w:val="clear" w:color="auto" w:fill="auto"/>
          </w:tcPr>
          <w:p w:rsidR="00436E4A" w:rsidRPr="007F0AE9" w:rsidRDefault="00436E4A" w:rsidP="00C56D86">
            <w:pPr>
              <w:bidi/>
              <w:spacing w:after="60"/>
              <w:rPr>
                <w:sz w:val="20"/>
                <w:szCs w:val="22"/>
              </w:rPr>
            </w:pPr>
            <w:r w:rsidRPr="007F0AE9">
              <w:rPr>
                <w:rFonts w:hint="cs"/>
                <w:sz w:val="20"/>
                <w:szCs w:val="22"/>
                <w:rtl/>
              </w:rPr>
              <w:t>الخدمة</w:t>
            </w:r>
          </w:p>
        </w:tc>
        <w:tc>
          <w:tcPr>
            <w:tcW w:w="1884" w:type="pct"/>
            <w:gridSpan w:val="4"/>
            <w:shd w:val="clear" w:color="auto" w:fill="auto"/>
          </w:tcPr>
          <w:p w:rsidR="00436E4A" w:rsidRPr="007F0AE9" w:rsidRDefault="00436E4A" w:rsidP="00C56D86">
            <w:pPr>
              <w:bidi/>
              <w:spacing w:after="60"/>
              <w:rPr>
                <w:sz w:val="20"/>
                <w:szCs w:val="22"/>
              </w:rPr>
            </w:pPr>
          </w:p>
        </w:tc>
      </w:tr>
      <w:tr w:rsidR="00D33CBF" w:rsidRPr="007F0AE9" w:rsidTr="00D33CBF">
        <w:trPr>
          <w:trHeight w:val="240"/>
        </w:trPr>
        <w:tc>
          <w:tcPr>
            <w:tcW w:w="1203" w:type="pct"/>
            <w:shd w:val="clear" w:color="auto" w:fill="auto"/>
          </w:tcPr>
          <w:p w:rsidR="00D33CBF" w:rsidRPr="007F0AE9" w:rsidRDefault="00D33CBF" w:rsidP="00D33CBF">
            <w:pPr>
              <w:bidi/>
              <w:spacing w:after="60"/>
              <w:jc w:val="left"/>
              <w:rPr>
                <w:sz w:val="20"/>
                <w:rtl/>
                <w:lang w:val="en-US"/>
              </w:rPr>
            </w:pPr>
            <w:r w:rsidRPr="007F0AE9">
              <w:rPr>
                <w:rFonts w:hint="cs"/>
                <w:sz w:val="20"/>
                <w:rtl/>
                <w:lang w:val="en-US"/>
              </w:rPr>
              <w:t>الهيدروكلوروفلوروكربون-22</w:t>
            </w:r>
          </w:p>
        </w:tc>
        <w:tc>
          <w:tcPr>
            <w:tcW w:w="535" w:type="pct"/>
            <w:shd w:val="clear" w:color="auto" w:fill="auto"/>
          </w:tcPr>
          <w:p w:rsidR="00D33CBF" w:rsidRPr="007F0AE9" w:rsidRDefault="00D33CBF" w:rsidP="00D33CBF">
            <w:pPr>
              <w:spacing w:after="60"/>
              <w:jc w:val="right"/>
              <w:rPr>
                <w:sz w:val="20"/>
                <w:szCs w:val="22"/>
                <w:lang w:val="en-CA"/>
              </w:rPr>
            </w:pPr>
          </w:p>
        </w:tc>
        <w:tc>
          <w:tcPr>
            <w:tcW w:w="369" w:type="pct"/>
            <w:shd w:val="clear" w:color="auto" w:fill="auto"/>
          </w:tcPr>
          <w:p w:rsidR="00D33CBF" w:rsidRPr="007F0AE9" w:rsidRDefault="00D33CBF" w:rsidP="00D33CBF">
            <w:pPr>
              <w:spacing w:after="60"/>
              <w:jc w:val="right"/>
              <w:rPr>
                <w:sz w:val="20"/>
                <w:szCs w:val="22"/>
                <w:lang w:val="en-CA"/>
              </w:rPr>
            </w:pPr>
          </w:p>
        </w:tc>
        <w:tc>
          <w:tcPr>
            <w:tcW w:w="335" w:type="pct"/>
            <w:shd w:val="clear" w:color="auto" w:fill="auto"/>
          </w:tcPr>
          <w:p w:rsidR="00D33CBF" w:rsidRPr="007F0AE9" w:rsidRDefault="00D33CBF" w:rsidP="00D33CBF">
            <w:pPr>
              <w:spacing w:after="60"/>
              <w:jc w:val="right"/>
              <w:rPr>
                <w:sz w:val="20"/>
                <w:szCs w:val="22"/>
                <w:lang w:val="en-CA"/>
              </w:rPr>
            </w:pPr>
          </w:p>
        </w:tc>
        <w:tc>
          <w:tcPr>
            <w:tcW w:w="370" w:type="pct"/>
            <w:shd w:val="clear" w:color="auto" w:fill="auto"/>
          </w:tcPr>
          <w:p w:rsidR="00D33CBF" w:rsidRPr="007F0AE9" w:rsidRDefault="00D33CBF" w:rsidP="00D33CBF">
            <w:pPr>
              <w:spacing w:after="60"/>
              <w:jc w:val="right"/>
              <w:rPr>
                <w:sz w:val="20"/>
                <w:szCs w:val="22"/>
                <w:lang w:val="en-CA"/>
              </w:rPr>
            </w:pPr>
            <w:r w:rsidRPr="007F0AE9">
              <w:rPr>
                <w:sz w:val="20"/>
                <w:szCs w:val="22"/>
                <w:lang w:val="en-CA"/>
              </w:rPr>
              <w:t>4.95</w:t>
            </w:r>
          </w:p>
        </w:tc>
        <w:tc>
          <w:tcPr>
            <w:tcW w:w="304" w:type="pct"/>
            <w:shd w:val="clear" w:color="auto" w:fill="auto"/>
          </w:tcPr>
          <w:p w:rsidR="00D33CBF" w:rsidRPr="007F0AE9" w:rsidRDefault="00D33CBF" w:rsidP="00D33CBF">
            <w:pPr>
              <w:spacing w:after="60"/>
              <w:jc w:val="right"/>
              <w:rPr>
                <w:sz w:val="20"/>
                <w:szCs w:val="22"/>
                <w:lang w:val="en-CA"/>
              </w:rPr>
            </w:pPr>
            <w:r w:rsidRPr="007F0AE9">
              <w:rPr>
                <w:sz w:val="20"/>
                <w:szCs w:val="22"/>
                <w:lang w:val="en-CA"/>
              </w:rPr>
              <w:t>87.18</w:t>
            </w:r>
          </w:p>
        </w:tc>
        <w:tc>
          <w:tcPr>
            <w:tcW w:w="354" w:type="pct"/>
            <w:shd w:val="clear" w:color="auto" w:fill="auto"/>
          </w:tcPr>
          <w:p w:rsidR="00D33CBF" w:rsidRPr="007F0AE9" w:rsidRDefault="00D33CBF" w:rsidP="00D33CBF">
            <w:pPr>
              <w:spacing w:after="60"/>
              <w:jc w:val="right"/>
              <w:rPr>
                <w:sz w:val="20"/>
                <w:szCs w:val="22"/>
                <w:lang w:val="en-CA"/>
              </w:rPr>
            </w:pPr>
          </w:p>
        </w:tc>
        <w:tc>
          <w:tcPr>
            <w:tcW w:w="306" w:type="pct"/>
            <w:shd w:val="clear" w:color="auto" w:fill="auto"/>
          </w:tcPr>
          <w:p w:rsidR="00D33CBF" w:rsidRPr="007F0AE9" w:rsidRDefault="00D33CBF" w:rsidP="00D33CBF">
            <w:pPr>
              <w:spacing w:after="60"/>
              <w:jc w:val="right"/>
              <w:rPr>
                <w:sz w:val="20"/>
                <w:szCs w:val="22"/>
                <w:lang w:val="en-CA"/>
              </w:rPr>
            </w:pPr>
          </w:p>
        </w:tc>
        <w:tc>
          <w:tcPr>
            <w:tcW w:w="486" w:type="pct"/>
            <w:shd w:val="clear" w:color="auto" w:fill="auto"/>
          </w:tcPr>
          <w:p w:rsidR="00D33CBF" w:rsidRPr="007F0AE9" w:rsidRDefault="00D33CBF" w:rsidP="00D33CBF">
            <w:pPr>
              <w:spacing w:after="60"/>
              <w:jc w:val="right"/>
              <w:rPr>
                <w:sz w:val="20"/>
                <w:szCs w:val="22"/>
                <w:lang w:val="en-CA"/>
              </w:rPr>
            </w:pPr>
          </w:p>
        </w:tc>
        <w:tc>
          <w:tcPr>
            <w:tcW w:w="738" w:type="pct"/>
            <w:shd w:val="clear" w:color="auto" w:fill="auto"/>
          </w:tcPr>
          <w:p w:rsidR="00D33CBF" w:rsidRPr="007F0AE9" w:rsidRDefault="00D33CBF" w:rsidP="00D33CBF">
            <w:pPr>
              <w:spacing w:after="60"/>
              <w:jc w:val="right"/>
              <w:rPr>
                <w:sz w:val="20"/>
                <w:szCs w:val="22"/>
                <w:lang w:val="en-CA"/>
              </w:rPr>
            </w:pPr>
            <w:r w:rsidRPr="007F0AE9">
              <w:rPr>
                <w:sz w:val="20"/>
                <w:szCs w:val="22"/>
                <w:lang w:val="en-CA"/>
              </w:rPr>
              <w:t>92.13</w:t>
            </w:r>
          </w:p>
        </w:tc>
      </w:tr>
    </w:tbl>
    <w:p w:rsidR="00436E4A" w:rsidRPr="007F0AE9" w:rsidRDefault="00436E4A" w:rsidP="00436E4A">
      <w:pPr>
        <w:spacing w:after="60"/>
        <w:jc w:val="center"/>
        <w:rPr>
          <w:szCs w:val="24"/>
          <w:lang w:val="en-US"/>
        </w:rPr>
      </w:pPr>
    </w:p>
    <w:tbl>
      <w:tblPr>
        <w:tblStyle w:val="TableGrid"/>
        <w:bidiVisual/>
        <w:tblW w:w="5435" w:type="pct"/>
        <w:tblInd w:w="-48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988"/>
        <w:gridCol w:w="766"/>
        <w:gridCol w:w="5328"/>
        <w:gridCol w:w="1081"/>
      </w:tblGrid>
      <w:tr w:rsidR="00436E4A" w:rsidRPr="007F0AE9" w:rsidTr="003367ED">
        <w:trPr>
          <w:trHeight w:val="240"/>
        </w:trPr>
        <w:tc>
          <w:tcPr>
            <w:tcW w:w="5000" w:type="pct"/>
            <w:gridSpan w:val="4"/>
            <w:shd w:val="clear" w:color="auto" w:fill="auto"/>
          </w:tcPr>
          <w:p w:rsidR="00436E4A" w:rsidRPr="007F0AE9" w:rsidRDefault="00436E4A" w:rsidP="009E052D">
            <w:pPr>
              <w:bidi/>
              <w:spacing w:after="60"/>
              <w:jc w:val="left"/>
              <w:rPr>
                <w:bCs/>
                <w:sz w:val="20"/>
                <w:lang w:val="en-US"/>
              </w:rPr>
            </w:pPr>
            <w:r w:rsidRPr="007F0AE9">
              <w:rPr>
                <w:rFonts w:hint="cs"/>
                <w:bCs/>
                <w:sz w:val="20"/>
                <w:rtl/>
                <w:lang w:val="en-US"/>
              </w:rPr>
              <w:t>(</w:t>
            </w:r>
            <w:r w:rsidR="009E052D" w:rsidRPr="007F0AE9">
              <w:rPr>
                <w:rFonts w:hint="cs"/>
                <w:bCs/>
                <w:sz w:val="20"/>
                <w:rtl/>
                <w:lang w:val="en-US"/>
              </w:rPr>
              <w:t>رابعا</w:t>
            </w:r>
            <w:r w:rsidRPr="007F0AE9">
              <w:rPr>
                <w:rFonts w:hint="cs"/>
                <w:bCs/>
                <w:sz w:val="20"/>
                <w:rtl/>
                <w:lang w:val="en-US"/>
              </w:rPr>
              <w:t>) بيانات الاستهلاك (طن من قدرات استنفاد الأوزون)</w:t>
            </w:r>
          </w:p>
        </w:tc>
      </w:tr>
      <w:tr w:rsidR="00436E4A" w:rsidRPr="007F0AE9" w:rsidTr="003367ED">
        <w:trPr>
          <w:trHeight w:val="240"/>
        </w:trPr>
        <w:tc>
          <w:tcPr>
            <w:tcW w:w="1472" w:type="pct"/>
            <w:shd w:val="clear" w:color="auto" w:fill="auto"/>
          </w:tcPr>
          <w:p w:rsidR="00436E4A" w:rsidRPr="007F0AE9" w:rsidRDefault="00436E4A" w:rsidP="00C56D86">
            <w:pPr>
              <w:spacing w:after="60"/>
              <w:jc w:val="center"/>
              <w:rPr>
                <w:sz w:val="20"/>
                <w:lang w:val="en-US"/>
              </w:rPr>
            </w:pPr>
            <w:r w:rsidRPr="007F0AE9">
              <w:rPr>
                <w:rFonts w:hint="cs"/>
                <w:sz w:val="20"/>
                <w:rtl/>
                <w:lang w:val="en-US"/>
              </w:rPr>
              <w:t>خط الأساس للفترة 2009-2010</w:t>
            </w:r>
          </w:p>
        </w:tc>
        <w:tc>
          <w:tcPr>
            <w:tcW w:w="371" w:type="pct"/>
            <w:shd w:val="clear" w:color="auto" w:fill="auto"/>
          </w:tcPr>
          <w:p w:rsidR="00436E4A" w:rsidRPr="007F0AE9" w:rsidRDefault="002C6CC7" w:rsidP="003367ED">
            <w:pPr>
              <w:spacing w:after="60"/>
              <w:jc w:val="right"/>
              <w:rPr>
                <w:sz w:val="20"/>
                <w:szCs w:val="22"/>
                <w:lang w:val="en-CA" w:bidi="ar-SA"/>
              </w:rPr>
            </w:pPr>
            <w:r w:rsidRPr="007F0AE9">
              <w:rPr>
                <w:sz w:val="20"/>
                <w:szCs w:val="22"/>
                <w:lang w:val="en-CA"/>
              </w:rPr>
              <w:t>108.38</w:t>
            </w:r>
          </w:p>
        </w:tc>
        <w:tc>
          <w:tcPr>
            <w:tcW w:w="2623" w:type="pct"/>
            <w:shd w:val="clear" w:color="auto" w:fill="auto"/>
          </w:tcPr>
          <w:p w:rsidR="00436E4A" w:rsidRPr="007F0AE9" w:rsidRDefault="00436E4A" w:rsidP="00C56D86">
            <w:pPr>
              <w:spacing w:after="60"/>
              <w:jc w:val="center"/>
              <w:rPr>
                <w:sz w:val="20"/>
                <w:lang w:val="en-US"/>
              </w:rPr>
            </w:pPr>
            <w:r w:rsidRPr="007F0AE9">
              <w:rPr>
                <w:rFonts w:hint="cs"/>
                <w:sz w:val="20"/>
                <w:rtl/>
                <w:lang w:val="en-US"/>
              </w:rPr>
              <w:t>نقطة البداية للتخفيضات المجمعة المستدامة</w:t>
            </w:r>
          </w:p>
        </w:tc>
        <w:tc>
          <w:tcPr>
            <w:tcW w:w="534" w:type="pct"/>
            <w:shd w:val="clear" w:color="auto" w:fill="auto"/>
          </w:tcPr>
          <w:p w:rsidR="00436E4A" w:rsidRPr="007F0AE9" w:rsidRDefault="002C6CC7" w:rsidP="00C56D86">
            <w:pPr>
              <w:spacing w:after="60"/>
              <w:jc w:val="right"/>
              <w:rPr>
                <w:sz w:val="20"/>
                <w:lang w:val="en-US"/>
              </w:rPr>
            </w:pPr>
            <w:r w:rsidRPr="007F0AE9">
              <w:rPr>
                <w:sz w:val="20"/>
                <w:szCs w:val="22"/>
                <w:lang w:val="en-CA"/>
              </w:rPr>
              <w:t>108.38</w:t>
            </w:r>
          </w:p>
        </w:tc>
      </w:tr>
      <w:tr w:rsidR="00436E4A" w:rsidRPr="007F0AE9" w:rsidTr="003367ED">
        <w:trPr>
          <w:trHeight w:val="240"/>
        </w:trPr>
        <w:tc>
          <w:tcPr>
            <w:tcW w:w="5000" w:type="pct"/>
            <w:gridSpan w:val="4"/>
            <w:shd w:val="clear" w:color="auto" w:fill="auto"/>
          </w:tcPr>
          <w:p w:rsidR="00436E4A" w:rsidRPr="007F0AE9" w:rsidRDefault="00436E4A" w:rsidP="00C56D86">
            <w:pPr>
              <w:spacing w:after="60"/>
              <w:jc w:val="center"/>
              <w:rPr>
                <w:bCs/>
                <w:sz w:val="20"/>
                <w:lang w:val="en-US"/>
              </w:rPr>
            </w:pPr>
            <w:r w:rsidRPr="007F0AE9">
              <w:rPr>
                <w:rFonts w:hint="cs"/>
                <w:bCs/>
                <w:sz w:val="20"/>
                <w:rtl/>
                <w:lang w:val="en-US"/>
              </w:rPr>
              <w:t>الاستهلاك المؤهل للتمويل (طن من قدرات استنفاد الأوزون)</w:t>
            </w:r>
          </w:p>
        </w:tc>
      </w:tr>
      <w:tr w:rsidR="002C6CC7" w:rsidRPr="007F0AE9" w:rsidTr="003367ED">
        <w:trPr>
          <w:trHeight w:val="240"/>
        </w:trPr>
        <w:tc>
          <w:tcPr>
            <w:tcW w:w="1472" w:type="pct"/>
            <w:shd w:val="clear" w:color="auto" w:fill="auto"/>
          </w:tcPr>
          <w:p w:rsidR="002C6CC7" w:rsidRPr="007F0AE9" w:rsidRDefault="002C6CC7" w:rsidP="002C6CC7">
            <w:pPr>
              <w:spacing w:after="60"/>
              <w:jc w:val="center"/>
              <w:rPr>
                <w:sz w:val="20"/>
                <w:lang w:val="en-US"/>
              </w:rPr>
            </w:pPr>
            <w:r w:rsidRPr="007F0AE9">
              <w:rPr>
                <w:rFonts w:hint="cs"/>
                <w:sz w:val="20"/>
                <w:rtl/>
                <w:lang w:val="en-US"/>
              </w:rPr>
              <w:t>موافق عليه بالفعل:</w:t>
            </w:r>
          </w:p>
        </w:tc>
        <w:tc>
          <w:tcPr>
            <w:tcW w:w="371" w:type="pct"/>
            <w:shd w:val="clear" w:color="auto" w:fill="auto"/>
          </w:tcPr>
          <w:p w:rsidR="002C6CC7" w:rsidRPr="007F0AE9" w:rsidRDefault="002C6CC7" w:rsidP="002C6CC7">
            <w:pPr>
              <w:spacing w:after="60"/>
              <w:jc w:val="right"/>
              <w:rPr>
                <w:sz w:val="20"/>
                <w:szCs w:val="22"/>
                <w:lang w:val="en-CA"/>
              </w:rPr>
            </w:pPr>
            <w:r w:rsidRPr="007F0AE9">
              <w:rPr>
                <w:sz w:val="20"/>
                <w:szCs w:val="22"/>
                <w:lang w:val="en-CA"/>
              </w:rPr>
              <w:t>14.98</w:t>
            </w:r>
          </w:p>
        </w:tc>
        <w:tc>
          <w:tcPr>
            <w:tcW w:w="2623" w:type="pct"/>
            <w:shd w:val="clear" w:color="auto" w:fill="auto"/>
          </w:tcPr>
          <w:p w:rsidR="002C6CC7" w:rsidRPr="007F0AE9" w:rsidRDefault="002C6CC7" w:rsidP="002C6CC7">
            <w:pPr>
              <w:spacing w:after="60"/>
              <w:jc w:val="center"/>
              <w:rPr>
                <w:sz w:val="20"/>
                <w:lang w:val="en-US"/>
              </w:rPr>
            </w:pPr>
            <w:r w:rsidRPr="007F0AE9">
              <w:rPr>
                <w:rFonts w:hint="cs"/>
                <w:sz w:val="20"/>
                <w:rtl/>
                <w:lang w:val="en-US"/>
              </w:rPr>
              <w:t>المتبقي</w:t>
            </w:r>
          </w:p>
        </w:tc>
        <w:tc>
          <w:tcPr>
            <w:tcW w:w="534" w:type="pct"/>
            <w:shd w:val="clear" w:color="auto" w:fill="auto"/>
          </w:tcPr>
          <w:p w:rsidR="002C6CC7" w:rsidRPr="007F0AE9" w:rsidRDefault="002C6CC7" w:rsidP="002C6CC7">
            <w:pPr>
              <w:spacing w:after="60"/>
              <w:jc w:val="right"/>
              <w:rPr>
                <w:sz w:val="20"/>
                <w:szCs w:val="22"/>
                <w:lang w:val="pl-PL"/>
              </w:rPr>
            </w:pPr>
            <w:r w:rsidRPr="007F0AE9">
              <w:rPr>
                <w:sz w:val="20"/>
                <w:szCs w:val="22"/>
                <w:lang w:val="en-CA"/>
              </w:rPr>
              <w:t>93.40</w:t>
            </w:r>
          </w:p>
        </w:tc>
      </w:tr>
    </w:tbl>
    <w:p w:rsidR="000B3FC8" w:rsidRPr="007F0AE9" w:rsidRDefault="000B3FC8" w:rsidP="000B3FC8">
      <w:pPr>
        <w:spacing w:after="60"/>
        <w:jc w:val="center"/>
        <w:rPr>
          <w:sz w:val="20"/>
          <w:lang w:val="en-US"/>
        </w:rPr>
      </w:pPr>
    </w:p>
    <w:tbl>
      <w:tblPr>
        <w:tblStyle w:val="TableGrid"/>
        <w:bidiVisual/>
        <w:tblW w:w="5420" w:type="pct"/>
        <w:tblInd w:w="-444" w:type="dxa"/>
        <w:tblLook w:val="04A0" w:firstRow="1" w:lastRow="0" w:firstColumn="1" w:lastColumn="0" w:noHBand="0" w:noVBand="1"/>
      </w:tblPr>
      <w:tblGrid>
        <w:gridCol w:w="1186"/>
        <w:gridCol w:w="5232"/>
        <w:gridCol w:w="1747"/>
        <w:gridCol w:w="1970"/>
      </w:tblGrid>
      <w:tr w:rsidR="002C6CC7" w:rsidRPr="007F0AE9" w:rsidTr="002C6CC7">
        <w:trPr>
          <w:trHeight w:val="251"/>
        </w:trPr>
        <w:tc>
          <w:tcPr>
            <w:tcW w:w="3166" w:type="pct"/>
            <w:gridSpan w:val="2"/>
            <w:shd w:val="clear" w:color="auto" w:fill="auto"/>
          </w:tcPr>
          <w:p w:rsidR="002C6CC7" w:rsidRPr="007F0AE9" w:rsidRDefault="002C6CC7" w:rsidP="009E052D">
            <w:pPr>
              <w:bidi/>
              <w:spacing w:after="60"/>
              <w:jc w:val="left"/>
              <w:rPr>
                <w:bCs/>
                <w:color w:val="000000" w:themeColor="text1"/>
                <w:sz w:val="20"/>
              </w:rPr>
            </w:pPr>
            <w:r w:rsidRPr="007F0AE9">
              <w:rPr>
                <w:rFonts w:hint="cs"/>
                <w:bCs/>
                <w:color w:val="000000" w:themeColor="text1"/>
                <w:sz w:val="20"/>
                <w:rtl/>
              </w:rPr>
              <w:t>(</w:t>
            </w:r>
            <w:r w:rsidR="009E052D" w:rsidRPr="007F0AE9">
              <w:rPr>
                <w:rFonts w:hint="cs"/>
                <w:bCs/>
                <w:color w:val="000000" w:themeColor="text1"/>
                <w:sz w:val="20"/>
                <w:rtl/>
              </w:rPr>
              <w:t>خامسا</w:t>
            </w:r>
            <w:r w:rsidRPr="007F0AE9">
              <w:rPr>
                <w:rFonts w:hint="cs"/>
                <w:bCs/>
                <w:color w:val="000000" w:themeColor="text1"/>
                <w:sz w:val="20"/>
                <w:rtl/>
              </w:rPr>
              <w:t>) خطة الأعمال</w:t>
            </w:r>
          </w:p>
        </w:tc>
        <w:tc>
          <w:tcPr>
            <w:tcW w:w="862" w:type="pct"/>
            <w:shd w:val="clear" w:color="auto" w:fill="auto"/>
          </w:tcPr>
          <w:p w:rsidR="002C6CC7" w:rsidRPr="007F0AE9" w:rsidRDefault="002C6CC7" w:rsidP="003367ED">
            <w:pPr>
              <w:spacing w:after="60"/>
              <w:jc w:val="right"/>
              <w:rPr>
                <w:b/>
                <w:bCs/>
                <w:sz w:val="20"/>
                <w:szCs w:val="22"/>
                <w:lang w:val="en-CA"/>
              </w:rPr>
            </w:pPr>
            <w:r w:rsidRPr="007F0AE9">
              <w:rPr>
                <w:b/>
                <w:bCs/>
                <w:sz w:val="20"/>
                <w:szCs w:val="22"/>
                <w:lang w:val="en-CA"/>
              </w:rPr>
              <w:t>2019</w:t>
            </w:r>
          </w:p>
        </w:tc>
        <w:tc>
          <w:tcPr>
            <w:tcW w:w="972" w:type="pct"/>
          </w:tcPr>
          <w:p w:rsidR="002C6CC7" w:rsidRPr="007F0AE9" w:rsidRDefault="002C6CC7" w:rsidP="00B84E7C">
            <w:pPr>
              <w:spacing w:after="60"/>
              <w:jc w:val="center"/>
              <w:rPr>
                <w:bCs/>
                <w:sz w:val="20"/>
                <w:szCs w:val="22"/>
                <w:rtl/>
                <w:lang w:val="en-US" w:bidi="ar-EG"/>
              </w:rPr>
            </w:pPr>
            <w:r w:rsidRPr="007F0AE9">
              <w:rPr>
                <w:rFonts w:hint="cs"/>
                <w:bCs/>
                <w:sz w:val="20"/>
                <w:szCs w:val="22"/>
                <w:rtl/>
                <w:lang w:val="en-US" w:bidi="ar-EG"/>
              </w:rPr>
              <w:t>المجموع</w:t>
            </w:r>
          </w:p>
        </w:tc>
      </w:tr>
      <w:tr w:rsidR="002C6CC7" w:rsidRPr="007F0AE9" w:rsidTr="002C6CC7">
        <w:trPr>
          <w:trHeight w:val="251"/>
        </w:trPr>
        <w:tc>
          <w:tcPr>
            <w:tcW w:w="585" w:type="pct"/>
            <w:vMerge w:val="restart"/>
            <w:shd w:val="clear" w:color="auto" w:fill="auto"/>
          </w:tcPr>
          <w:p w:rsidR="002C6CC7" w:rsidRPr="007F0AE9" w:rsidRDefault="002C6CC7" w:rsidP="002C6CC7">
            <w:pPr>
              <w:spacing w:after="60"/>
              <w:jc w:val="center"/>
              <w:rPr>
                <w:color w:val="000000" w:themeColor="text1"/>
                <w:sz w:val="20"/>
                <w:rtl/>
                <w:lang w:bidi="ar-EG"/>
              </w:rPr>
            </w:pPr>
            <w:r w:rsidRPr="007F0AE9">
              <w:rPr>
                <w:rFonts w:hint="cs"/>
                <w:color w:val="000000" w:themeColor="text1"/>
                <w:sz w:val="20"/>
                <w:rtl/>
                <w:lang w:bidi="ar-EG"/>
              </w:rPr>
              <w:t>يونيب</w:t>
            </w:r>
          </w:p>
        </w:tc>
        <w:tc>
          <w:tcPr>
            <w:tcW w:w="2581" w:type="pct"/>
            <w:shd w:val="clear" w:color="auto" w:fill="auto"/>
          </w:tcPr>
          <w:p w:rsidR="002C6CC7" w:rsidRPr="007F0AE9" w:rsidRDefault="002C6CC7" w:rsidP="002C6CC7">
            <w:pPr>
              <w:bidi/>
              <w:spacing w:after="60"/>
              <w:jc w:val="left"/>
              <w:rPr>
                <w:color w:val="000000" w:themeColor="text1"/>
                <w:sz w:val="20"/>
              </w:rPr>
            </w:pPr>
            <w:r w:rsidRPr="007F0AE9">
              <w:rPr>
                <w:rFonts w:hint="cs"/>
                <w:color w:val="000000" w:themeColor="text1"/>
                <w:sz w:val="20"/>
                <w:rtl/>
              </w:rPr>
              <w:t>إزالة المواد المستنفدة للأوزون (طن من قدرات استنفاد الأوزون)</w:t>
            </w:r>
          </w:p>
        </w:tc>
        <w:tc>
          <w:tcPr>
            <w:tcW w:w="862" w:type="pct"/>
            <w:shd w:val="clear" w:color="auto" w:fill="auto"/>
          </w:tcPr>
          <w:p w:rsidR="002C6CC7" w:rsidRPr="007F0AE9" w:rsidRDefault="002C6CC7" w:rsidP="002C6CC7">
            <w:pPr>
              <w:spacing w:after="60"/>
              <w:jc w:val="right"/>
              <w:rPr>
                <w:sz w:val="20"/>
                <w:szCs w:val="22"/>
                <w:lang w:val="en-CA"/>
              </w:rPr>
            </w:pPr>
            <w:r w:rsidRPr="007F0AE9">
              <w:rPr>
                <w:sz w:val="20"/>
                <w:szCs w:val="22"/>
                <w:lang w:val="en-CA"/>
              </w:rPr>
              <w:t>2.79</w:t>
            </w:r>
          </w:p>
        </w:tc>
        <w:tc>
          <w:tcPr>
            <w:tcW w:w="972" w:type="pct"/>
          </w:tcPr>
          <w:p w:rsidR="002C6CC7" w:rsidRPr="007F0AE9" w:rsidRDefault="002C6CC7" w:rsidP="002C6CC7">
            <w:pPr>
              <w:spacing w:after="60"/>
              <w:jc w:val="right"/>
              <w:rPr>
                <w:sz w:val="20"/>
                <w:szCs w:val="22"/>
                <w:lang w:val="en-CA"/>
              </w:rPr>
            </w:pPr>
            <w:r w:rsidRPr="007F0AE9">
              <w:rPr>
                <w:sz w:val="20"/>
                <w:szCs w:val="22"/>
                <w:lang w:val="en-CA"/>
              </w:rPr>
              <w:t>2.79</w:t>
            </w:r>
          </w:p>
        </w:tc>
      </w:tr>
      <w:tr w:rsidR="002C6CC7" w:rsidRPr="007F0AE9" w:rsidTr="002C6CC7">
        <w:trPr>
          <w:trHeight w:val="251"/>
        </w:trPr>
        <w:tc>
          <w:tcPr>
            <w:tcW w:w="585" w:type="pct"/>
            <w:vMerge/>
            <w:shd w:val="clear" w:color="auto" w:fill="auto"/>
          </w:tcPr>
          <w:p w:rsidR="002C6CC7" w:rsidRPr="007F0AE9" w:rsidRDefault="002C6CC7" w:rsidP="002C6CC7">
            <w:pPr>
              <w:spacing w:after="60"/>
              <w:jc w:val="center"/>
              <w:rPr>
                <w:color w:val="000000" w:themeColor="text1"/>
                <w:sz w:val="20"/>
              </w:rPr>
            </w:pPr>
          </w:p>
        </w:tc>
        <w:tc>
          <w:tcPr>
            <w:tcW w:w="2581" w:type="pct"/>
            <w:shd w:val="clear" w:color="auto" w:fill="auto"/>
          </w:tcPr>
          <w:p w:rsidR="002C6CC7" w:rsidRPr="007F0AE9" w:rsidRDefault="002C6CC7" w:rsidP="002C6CC7">
            <w:pPr>
              <w:bidi/>
              <w:spacing w:after="60"/>
              <w:jc w:val="left"/>
              <w:rPr>
                <w:color w:val="000000" w:themeColor="text1"/>
                <w:sz w:val="20"/>
              </w:rPr>
            </w:pPr>
            <w:r w:rsidRPr="007F0AE9">
              <w:rPr>
                <w:rFonts w:hint="cs"/>
                <w:color w:val="000000" w:themeColor="text1"/>
                <w:sz w:val="20"/>
                <w:rtl/>
              </w:rPr>
              <w:t>التمويل (دولار أمريكي)</w:t>
            </w:r>
          </w:p>
        </w:tc>
        <w:tc>
          <w:tcPr>
            <w:tcW w:w="862" w:type="pct"/>
            <w:shd w:val="clear" w:color="auto" w:fill="auto"/>
          </w:tcPr>
          <w:p w:rsidR="002C6CC7" w:rsidRPr="007F0AE9" w:rsidRDefault="002C6CC7" w:rsidP="002C6CC7">
            <w:pPr>
              <w:spacing w:after="60"/>
              <w:jc w:val="right"/>
              <w:rPr>
                <w:sz w:val="20"/>
                <w:szCs w:val="22"/>
                <w:lang w:val="en-CA"/>
              </w:rPr>
            </w:pPr>
            <w:r w:rsidRPr="007F0AE9">
              <w:rPr>
                <w:sz w:val="20"/>
                <w:szCs w:val="22"/>
                <w:lang w:val="en-CA"/>
              </w:rPr>
              <w:t>247,634</w:t>
            </w:r>
          </w:p>
        </w:tc>
        <w:tc>
          <w:tcPr>
            <w:tcW w:w="972" w:type="pct"/>
          </w:tcPr>
          <w:p w:rsidR="002C6CC7" w:rsidRPr="007F0AE9" w:rsidRDefault="002C6CC7" w:rsidP="002C6CC7">
            <w:pPr>
              <w:spacing w:after="60"/>
              <w:jc w:val="right"/>
              <w:rPr>
                <w:sz w:val="20"/>
                <w:szCs w:val="22"/>
                <w:lang w:val="en-CA"/>
              </w:rPr>
            </w:pPr>
            <w:r w:rsidRPr="007F0AE9">
              <w:rPr>
                <w:sz w:val="20"/>
                <w:szCs w:val="22"/>
                <w:lang w:val="en-CA"/>
              </w:rPr>
              <w:t>247,634</w:t>
            </w:r>
          </w:p>
        </w:tc>
      </w:tr>
      <w:tr w:rsidR="002C6CC7" w:rsidRPr="007F0AE9" w:rsidTr="002C6CC7">
        <w:trPr>
          <w:trHeight w:val="251"/>
        </w:trPr>
        <w:tc>
          <w:tcPr>
            <w:tcW w:w="585" w:type="pct"/>
            <w:vMerge w:val="restart"/>
            <w:shd w:val="clear" w:color="auto" w:fill="auto"/>
          </w:tcPr>
          <w:p w:rsidR="002C6CC7" w:rsidRPr="007F0AE9" w:rsidRDefault="002C6CC7" w:rsidP="002C6CC7">
            <w:pPr>
              <w:spacing w:after="60"/>
              <w:jc w:val="center"/>
              <w:rPr>
                <w:color w:val="000000" w:themeColor="text1"/>
                <w:sz w:val="20"/>
              </w:rPr>
            </w:pPr>
            <w:r w:rsidRPr="007F0AE9">
              <w:rPr>
                <w:rFonts w:hint="cs"/>
                <w:color w:val="000000" w:themeColor="text1"/>
                <w:sz w:val="20"/>
                <w:rtl/>
              </w:rPr>
              <w:t>يونيدو</w:t>
            </w:r>
          </w:p>
        </w:tc>
        <w:tc>
          <w:tcPr>
            <w:tcW w:w="2581" w:type="pct"/>
            <w:shd w:val="clear" w:color="auto" w:fill="auto"/>
          </w:tcPr>
          <w:p w:rsidR="002C6CC7" w:rsidRPr="007F0AE9" w:rsidRDefault="002C6CC7" w:rsidP="002C6CC7">
            <w:pPr>
              <w:bidi/>
              <w:spacing w:after="60"/>
              <w:jc w:val="left"/>
              <w:rPr>
                <w:color w:val="000000" w:themeColor="text1"/>
                <w:sz w:val="20"/>
              </w:rPr>
            </w:pPr>
            <w:r w:rsidRPr="007F0AE9">
              <w:rPr>
                <w:rFonts w:hint="cs"/>
                <w:color w:val="000000" w:themeColor="text1"/>
                <w:sz w:val="20"/>
                <w:rtl/>
              </w:rPr>
              <w:t>إزالة المواد المستنفدة للأوزون (طن من قدرات استنفاد الأوزون)</w:t>
            </w:r>
          </w:p>
        </w:tc>
        <w:tc>
          <w:tcPr>
            <w:tcW w:w="862" w:type="pct"/>
            <w:shd w:val="clear" w:color="auto" w:fill="auto"/>
          </w:tcPr>
          <w:p w:rsidR="002C6CC7" w:rsidRPr="007F0AE9" w:rsidRDefault="002C6CC7" w:rsidP="002C6CC7">
            <w:pPr>
              <w:spacing w:after="60"/>
              <w:jc w:val="right"/>
              <w:rPr>
                <w:sz w:val="20"/>
                <w:szCs w:val="22"/>
                <w:lang w:val="en-CA"/>
              </w:rPr>
            </w:pPr>
            <w:r w:rsidRPr="007F0AE9">
              <w:rPr>
                <w:sz w:val="20"/>
                <w:szCs w:val="22"/>
                <w:lang w:val="en-CA"/>
              </w:rPr>
              <w:t>2.67</w:t>
            </w:r>
          </w:p>
        </w:tc>
        <w:tc>
          <w:tcPr>
            <w:tcW w:w="972" w:type="pct"/>
          </w:tcPr>
          <w:p w:rsidR="002C6CC7" w:rsidRPr="007F0AE9" w:rsidRDefault="002C6CC7" w:rsidP="002C6CC7">
            <w:pPr>
              <w:spacing w:after="60"/>
              <w:jc w:val="right"/>
              <w:rPr>
                <w:sz w:val="20"/>
                <w:szCs w:val="22"/>
                <w:lang w:val="en-CA"/>
              </w:rPr>
            </w:pPr>
            <w:r w:rsidRPr="007F0AE9">
              <w:rPr>
                <w:sz w:val="20"/>
                <w:szCs w:val="22"/>
                <w:lang w:val="en-CA"/>
              </w:rPr>
              <w:t>2.67</w:t>
            </w:r>
          </w:p>
        </w:tc>
      </w:tr>
      <w:tr w:rsidR="002C6CC7" w:rsidRPr="007F0AE9" w:rsidTr="002C6CC7">
        <w:trPr>
          <w:trHeight w:val="251"/>
        </w:trPr>
        <w:tc>
          <w:tcPr>
            <w:tcW w:w="585" w:type="pct"/>
            <w:vMerge/>
            <w:shd w:val="clear" w:color="auto" w:fill="auto"/>
          </w:tcPr>
          <w:p w:rsidR="002C6CC7" w:rsidRPr="007F0AE9" w:rsidRDefault="002C6CC7" w:rsidP="002C6CC7">
            <w:pPr>
              <w:spacing w:after="60"/>
              <w:jc w:val="center"/>
              <w:rPr>
                <w:color w:val="000000" w:themeColor="text1"/>
                <w:sz w:val="20"/>
              </w:rPr>
            </w:pPr>
          </w:p>
        </w:tc>
        <w:tc>
          <w:tcPr>
            <w:tcW w:w="2581" w:type="pct"/>
            <w:shd w:val="clear" w:color="auto" w:fill="auto"/>
          </w:tcPr>
          <w:p w:rsidR="002C6CC7" w:rsidRPr="007F0AE9" w:rsidRDefault="002C6CC7" w:rsidP="002C6CC7">
            <w:pPr>
              <w:bidi/>
              <w:spacing w:after="60"/>
              <w:jc w:val="left"/>
              <w:rPr>
                <w:color w:val="000000" w:themeColor="text1"/>
                <w:sz w:val="20"/>
              </w:rPr>
            </w:pPr>
            <w:r w:rsidRPr="007F0AE9">
              <w:rPr>
                <w:rFonts w:hint="cs"/>
                <w:color w:val="000000" w:themeColor="text1"/>
                <w:sz w:val="20"/>
                <w:rtl/>
              </w:rPr>
              <w:t>التمويل (دولار أمريكي)</w:t>
            </w:r>
          </w:p>
        </w:tc>
        <w:tc>
          <w:tcPr>
            <w:tcW w:w="862" w:type="pct"/>
            <w:shd w:val="clear" w:color="auto" w:fill="auto"/>
          </w:tcPr>
          <w:p w:rsidR="002C6CC7" w:rsidRPr="007F0AE9" w:rsidRDefault="002C6CC7" w:rsidP="002C6CC7">
            <w:pPr>
              <w:spacing w:after="60"/>
              <w:jc w:val="right"/>
              <w:rPr>
                <w:sz w:val="20"/>
                <w:szCs w:val="22"/>
                <w:lang w:val="en-CA"/>
              </w:rPr>
            </w:pPr>
            <w:r w:rsidRPr="007F0AE9">
              <w:rPr>
                <w:sz w:val="20"/>
                <w:szCs w:val="22"/>
                <w:lang w:val="en-CA"/>
              </w:rPr>
              <w:t>225,750</w:t>
            </w:r>
          </w:p>
        </w:tc>
        <w:tc>
          <w:tcPr>
            <w:tcW w:w="972" w:type="pct"/>
          </w:tcPr>
          <w:p w:rsidR="002C6CC7" w:rsidRPr="007F0AE9" w:rsidRDefault="002C6CC7" w:rsidP="002C6CC7">
            <w:pPr>
              <w:spacing w:after="60"/>
              <w:jc w:val="right"/>
              <w:rPr>
                <w:sz w:val="20"/>
                <w:szCs w:val="22"/>
                <w:lang w:val="en-CA"/>
              </w:rPr>
            </w:pPr>
            <w:r w:rsidRPr="007F0AE9">
              <w:rPr>
                <w:sz w:val="20"/>
                <w:szCs w:val="22"/>
                <w:lang w:val="en-CA"/>
              </w:rPr>
              <w:t>225,750</w:t>
            </w:r>
          </w:p>
        </w:tc>
      </w:tr>
    </w:tbl>
    <w:p w:rsidR="009C0DF4" w:rsidRPr="007F0AE9" w:rsidRDefault="009C0DF4" w:rsidP="009C0DF4">
      <w:pPr>
        <w:bidi/>
        <w:spacing w:after="60"/>
        <w:rPr>
          <w:sz w:val="22"/>
          <w:szCs w:val="22"/>
          <w:lang w:val="en-CA"/>
        </w:rPr>
      </w:pPr>
    </w:p>
    <w:tbl>
      <w:tblPr>
        <w:tblStyle w:val="TableGrid"/>
        <w:bidiVisual/>
        <w:tblW w:w="10071"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91"/>
        <w:gridCol w:w="565"/>
        <w:gridCol w:w="1098"/>
        <w:gridCol w:w="866"/>
        <w:gridCol w:w="596"/>
        <w:gridCol w:w="766"/>
        <w:gridCol w:w="766"/>
        <w:gridCol w:w="866"/>
        <w:gridCol w:w="666"/>
        <w:gridCol w:w="666"/>
        <w:gridCol w:w="666"/>
        <w:gridCol w:w="866"/>
        <w:gridCol w:w="893"/>
      </w:tblGrid>
      <w:tr w:rsidR="002C6CC7" w:rsidRPr="007F0AE9" w:rsidTr="002C6CC7">
        <w:trPr>
          <w:jc w:val="center"/>
        </w:trPr>
        <w:tc>
          <w:tcPr>
            <w:tcW w:w="2435" w:type="dxa"/>
            <w:gridSpan w:val="3"/>
            <w:shd w:val="clear" w:color="auto" w:fill="auto"/>
          </w:tcPr>
          <w:p w:rsidR="002C6CC7" w:rsidRPr="007F0AE9" w:rsidRDefault="002C6CC7" w:rsidP="009E052D">
            <w:pPr>
              <w:bidi/>
              <w:spacing w:after="60"/>
              <w:jc w:val="left"/>
              <w:rPr>
                <w:bCs/>
                <w:sz w:val="18"/>
                <w:szCs w:val="18"/>
                <w:lang w:val="en-CA"/>
              </w:rPr>
            </w:pPr>
            <w:r w:rsidRPr="007F0AE9">
              <w:rPr>
                <w:rFonts w:hint="cs"/>
                <w:bCs/>
                <w:sz w:val="18"/>
                <w:szCs w:val="18"/>
                <w:rtl/>
                <w:lang w:val="en-CA"/>
              </w:rPr>
              <w:t>(</w:t>
            </w:r>
            <w:r w:rsidR="009E052D" w:rsidRPr="007F0AE9">
              <w:rPr>
                <w:rFonts w:hint="cs"/>
                <w:bCs/>
                <w:sz w:val="18"/>
                <w:szCs w:val="18"/>
                <w:rtl/>
                <w:lang w:val="en-CA"/>
              </w:rPr>
              <w:t>سادسا</w:t>
            </w:r>
            <w:r w:rsidRPr="007F0AE9">
              <w:rPr>
                <w:rFonts w:hint="cs"/>
                <w:bCs/>
                <w:sz w:val="18"/>
                <w:szCs w:val="18"/>
                <w:rtl/>
                <w:lang w:val="en-CA"/>
              </w:rPr>
              <w:t>) بيانات المشروع</w:t>
            </w:r>
          </w:p>
        </w:tc>
        <w:tc>
          <w:tcPr>
            <w:tcW w:w="0" w:type="auto"/>
            <w:shd w:val="clear" w:color="auto" w:fill="auto"/>
          </w:tcPr>
          <w:p w:rsidR="002C6CC7" w:rsidRPr="007F0AE9" w:rsidRDefault="002C6CC7" w:rsidP="00452966">
            <w:pPr>
              <w:spacing w:after="60"/>
              <w:jc w:val="center"/>
              <w:rPr>
                <w:b/>
                <w:sz w:val="18"/>
                <w:szCs w:val="18"/>
                <w:lang w:val="en-CA"/>
              </w:rPr>
            </w:pPr>
            <w:r w:rsidRPr="007F0AE9">
              <w:rPr>
                <w:b/>
                <w:sz w:val="18"/>
                <w:szCs w:val="18"/>
                <w:lang w:val="en-CA"/>
              </w:rPr>
              <w:t>2011</w:t>
            </w:r>
          </w:p>
        </w:tc>
        <w:tc>
          <w:tcPr>
            <w:tcW w:w="0" w:type="auto"/>
            <w:shd w:val="clear" w:color="auto" w:fill="auto"/>
          </w:tcPr>
          <w:p w:rsidR="002C6CC7" w:rsidRPr="007F0AE9" w:rsidRDefault="002C6CC7" w:rsidP="00452966">
            <w:pPr>
              <w:spacing w:after="60"/>
              <w:jc w:val="center"/>
              <w:rPr>
                <w:b/>
                <w:sz w:val="18"/>
                <w:szCs w:val="18"/>
                <w:lang w:val="en-CA"/>
              </w:rPr>
            </w:pPr>
            <w:r w:rsidRPr="007F0AE9">
              <w:rPr>
                <w:b/>
                <w:sz w:val="18"/>
                <w:szCs w:val="18"/>
                <w:lang w:val="en-CA"/>
              </w:rPr>
              <w:t>2012</w:t>
            </w:r>
          </w:p>
        </w:tc>
        <w:tc>
          <w:tcPr>
            <w:tcW w:w="0" w:type="auto"/>
            <w:shd w:val="clear" w:color="auto" w:fill="auto"/>
          </w:tcPr>
          <w:p w:rsidR="002C6CC7" w:rsidRPr="007F0AE9" w:rsidRDefault="002C6CC7" w:rsidP="00452966">
            <w:pPr>
              <w:spacing w:after="60"/>
              <w:jc w:val="center"/>
              <w:rPr>
                <w:b/>
                <w:sz w:val="18"/>
                <w:szCs w:val="18"/>
                <w:lang w:val="en-CA"/>
              </w:rPr>
            </w:pPr>
            <w:r w:rsidRPr="007F0AE9">
              <w:rPr>
                <w:b/>
                <w:sz w:val="18"/>
                <w:szCs w:val="18"/>
                <w:lang w:val="en-CA"/>
              </w:rPr>
              <w:t>2013</w:t>
            </w:r>
          </w:p>
        </w:tc>
        <w:tc>
          <w:tcPr>
            <w:tcW w:w="0" w:type="auto"/>
            <w:shd w:val="clear" w:color="auto" w:fill="auto"/>
          </w:tcPr>
          <w:p w:rsidR="002C6CC7" w:rsidRPr="007F0AE9" w:rsidRDefault="002C6CC7" w:rsidP="00452966">
            <w:pPr>
              <w:spacing w:after="60"/>
              <w:jc w:val="center"/>
              <w:rPr>
                <w:b/>
                <w:sz w:val="18"/>
                <w:szCs w:val="18"/>
                <w:lang w:val="en-CA"/>
              </w:rPr>
            </w:pPr>
            <w:r w:rsidRPr="007F0AE9">
              <w:rPr>
                <w:b/>
                <w:sz w:val="18"/>
                <w:szCs w:val="18"/>
                <w:lang w:val="en-CA"/>
              </w:rPr>
              <w:t>2014</w:t>
            </w:r>
          </w:p>
        </w:tc>
        <w:tc>
          <w:tcPr>
            <w:tcW w:w="0" w:type="auto"/>
            <w:shd w:val="clear" w:color="auto" w:fill="auto"/>
          </w:tcPr>
          <w:p w:rsidR="002C6CC7" w:rsidRPr="007F0AE9" w:rsidRDefault="002C6CC7" w:rsidP="00452966">
            <w:pPr>
              <w:spacing w:after="60"/>
              <w:jc w:val="center"/>
              <w:rPr>
                <w:b/>
                <w:sz w:val="18"/>
                <w:szCs w:val="18"/>
                <w:lang w:val="en-CA"/>
              </w:rPr>
            </w:pPr>
            <w:r w:rsidRPr="007F0AE9">
              <w:rPr>
                <w:b/>
                <w:sz w:val="18"/>
                <w:szCs w:val="18"/>
                <w:lang w:val="en-CA"/>
              </w:rPr>
              <w:t>2015</w:t>
            </w:r>
          </w:p>
        </w:tc>
        <w:tc>
          <w:tcPr>
            <w:tcW w:w="0" w:type="auto"/>
            <w:shd w:val="clear" w:color="auto" w:fill="auto"/>
          </w:tcPr>
          <w:p w:rsidR="002C6CC7" w:rsidRPr="007F0AE9" w:rsidRDefault="002C6CC7" w:rsidP="00452966">
            <w:pPr>
              <w:spacing w:after="60"/>
              <w:jc w:val="center"/>
              <w:rPr>
                <w:b/>
                <w:sz w:val="18"/>
                <w:szCs w:val="18"/>
                <w:lang w:val="en-CA"/>
              </w:rPr>
            </w:pPr>
            <w:r w:rsidRPr="007F0AE9">
              <w:rPr>
                <w:b/>
                <w:sz w:val="18"/>
                <w:szCs w:val="18"/>
                <w:lang w:val="en-CA"/>
              </w:rPr>
              <w:t>2016</w:t>
            </w:r>
          </w:p>
        </w:tc>
        <w:tc>
          <w:tcPr>
            <w:tcW w:w="0" w:type="auto"/>
            <w:shd w:val="clear" w:color="auto" w:fill="auto"/>
          </w:tcPr>
          <w:p w:rsidR="002C6CC7" w:rsidRPr="007F0AE9" w:rsidRDefault="002C6CC7" w:rsidP="00452966">
            <w:pPr>
              <w:spacing w:after="60"/>
              <w:jc w:val="center"/>
              <w:rPr>
                <w:b/>
                <w:sz w:val="18"/>
                <w:szCs w:val="18"/>
                <w:lang w:val="en-CA"/>
              </w:rPr>
            </w:pPr>
            <w:r w:rsidRPr="007F0AE9">
              <w:rPr>
                <w:b/>
                <w:sz w:val="18"/>
                <w:szCs w:val="18"/>
                <w:lang w:val="en-CA"/>
              </w:rPr>
              <w:t>2017</w:t>
            </w:r>
          </w:p>
        </w:tc>
        <w:tc>
          <w:tcPr>
            <w:tcW w:w="0" w:type="auto"/>
            <w:shd w:val="clear" w:color="auto" w:fill="auto"/>
          </w:tcPr>
          <w:p w:rsidR="002C6CC7" w:rsidRPr="007F0AE9" w:rsidRDefault="002C6CC7" w:rsidP="00452966">
            <w:pPr>
              <w:spacing w:after="60"/>
              <w:jc w:val="center"/>
              <w:rPr>
                <w:b/>
                <w:sz w:val="18"/>
                <w:szCs w:val="18"/>
                <w:lang w:val="en-CA"/>
              </w:rPr>
            </w:pPr>
            <w:r w:rsidRPr="007F0AE9">
              <w:rPr>
                <w:b/>
                <w:sz w:val="18"/>
                <w:szCs w:val="18"/>
                <w:lang w:val="en-CA"/>
              </w:rPr>
              <w:t>2018</w:t>
            </w:r>
          </w:p>
        </w:tc>
        <w:tc>
          <w:tcPr>
            <w:tcW w:w="0" w:type="auto"/>
            <w:shd w:val="clear" w:color="auto" w:fill="auto"/>
          </w:tcPr>
          <w:p w:rsidR="002C6CC7" w:rsidRPr="007F0AE9" w:rsidRDefault="002C6CC7" w:rsidP="00452966">
            <w:pPr>
              <w:spacing w:after="60"/>
              <w:jc w:val="center"/>
              <w:rPr>
                <w:b/>
                <w:sz w:val="18"/>
                <w:szCs w:val="18"/>
                <w:lang w:val="en-CA"/>
              </w:rPr>
            </w:pPr>
            <w:r w:rsidRPr="007F0AE9">
              <w:rPr>
                <w:b/>
                <w:sz w:val="18"/>
                <w:szCs w:val="18"/>
                <w:lang w:val="en-CA"/>
              </w:rPr>
              <w:t>2019</w:t>
            </w:r>
          </w:p>
        </w:tc>
        <w:tc>
          <w:tcPr>
            <w:tcW w:w="896" w:type="dxa"/>
            <w:shd w:val="clear" w:color="auto" w:fill="auto"/>
          </w:tcPr>
          <w:p w:rsidR="002C6CC7" w:rsidRPr="007F0AE9" w:rsidRDefault="002C6CC7" w:rsidP="00452966">
            <w:pPr>
              <w:spacing w:after="60"/>
              <w:jc w:val="center"/>
              <w:rPr>
                <w:bCs/>
                <w:sz w:val="20"/>
                <w:lang w:val="en-CA"/>
              </w:rPr>
            </w:pPr>
            <w:r w:rsidRPr="007F0AE9">
              <w:rPr>
                <w:rFonts w:hint="cs"/>
                <w:bCs/>
                <w:sz w:val="20"/>
                <w:rtl/>
                <w:lang w:val="en-CA"/>
              </w:rPr>
              <w:t>المجموع</w:t>
            </w:r>
          </w:p>
        </w:tc>
      </w:tr>
      <w:tr w:rsidR="002C6CC7" w:rsidRPr="007F0AE9" w:rsidTr="002C6CC7">
        <w:trPr>
          <w:jc w:val="center"/>
        </w:trPr>
        <w:tc>
          <w:tcPr>
            <w:tcW w:w="2435" w:type="dxa"/>
            <w:gridSpan w:val="3"/>
            <w:shd w:val="clear" w:color="auto" w:fill="auto"/>
          </w:tcPr>
          <w:p w:rsidR="002C6CC7" w:rsidRPr="007F0AE9" w:rsidRDefault="002C6CC7" w:rsidP="002C6CC7">
            <w:pPr>
              <w:bidi/>
              <w:spacing w:after="60"/>
              <w:jc w:val="left"/>
              <w:rPr>
                <w:color w:val="000000" w:themeColor="text1"/>
                <w:sz w:val="18"/>
                <w:szCs w:val="18"/>
              </w:rPr>
            </w:pPr>
            <w:r w:rsidRPr="007F0AE9">
              <w:rPr>
                <w:rFonts w:hint="cs"/>
                <w:color w:val="000000" w:themeColor="text1"/>
                <w:sz w:val="18"/>
                <w:szCs w:val="18"/>
                <w:rtl/>
              </w:rPr>
              <w:t>حدود الاستهلاك في بروتوكول مونتريال</w:t>
            </w:r>
          </w:p>
        </w:tc>
        <w:tc>
          <w:tcPr>
            <w:tcW w:w="0" w:type="auto"/>
            <w:shd w:val="clear" w:color="auto" w:fill="auto"/>
          </w:tcPr>
          <w:p w:rsidR="002C6CC7" w:rsidRPr="007F0AE9" w:rsidRDefault="002C6CC7" w:rsidP="002C6CC7">
            <w:pPr>
              <w:spacing w:after="60"/>
              <w:jc w:val="right"/>
              <w:rPr>
                <w:sz w:val="20"/>
                <w:lang w:val="en-CA"/>
              </w:rPr>
            </w:pPr>
            <w:r w:rsidRPr="007F0AE9">
              <w:rPr>
                <w:rFonts w:hint="cs"/>
                <w:sz w:val="20"/>
                <w:rtl/>
                <w:lang w:val="en-CA"/>
              </w:rPr>
              <w:t>لا ينطبق</w:t>
            </w:r>
          </w:p>
        </w:tc>
        <w:tc>
          <w:tcPr>
            <w:tcW w:w="0" w:type="auto"/>
            <w:shd w:val="clear" w:color="auto" w:fill="auto"/>
          </w:tcPr>
          <w:p w:rsidR="002C6CC7" w:rsidRPr="007F0AE9" w:rsidRDefault="002C6CC7" w:rsidP="002C6CC7">
            <w:pPr>
              <w:spacing w:after="60"/>
              <w:jc w:val="right"/>
              <w:rPr>
                <w:sz w:val="20"/>
                <w:lang w:val="en-CA"/>
              </w:rPr>
            </w:pPr>
            <w:r w:rsidRPr="007F0AE9">
              <w:rPr>
                <w:rFonts w:hint="cs"/>
                <w:sz w:val="20"/>
                <w:rtl/>
                <w:lang w:val="en-CA"/>
              </w:rPr>
              <w:t>لا ينطبق</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108.38</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108.38</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97.54</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97.54</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97.54</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97.54</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97.54</w:t>
            </w:r>
          </w:p>
        </w:tc>
        <w:tc>
          <w:tcPr>
            <w:tcW w:w="896" w:type="dxa"/>
            <w:shd w:val="clear" w:color="auto" w:fill="auto"/>
          </w:tcPr>
          <w:p w:rsidR="002C6CC7" w:rsidRPr="007F0AE9" w:rsidRDefault="002C6CC7" w:rsidP="002C6CC7">
            <w:pPr>
              <w:spacing w:after="60"/>
              <w:jc w:val="right"/>
              <w:rPr>
                <w:sz w:val="20"/>
                <w:lang w:val="en-CA"/>
              </w:rPr>
            </w:pPr>
            <w:r w:rsidRPr="007F0AE9">
              <w:rPr>
                <w:rFonts w:hint="cs"/>
                <w:sz w:val="20"/>
                <w:rtl/>
                <w:lang w:val="en-CA"/>
              </w:rPr>
              <w:t>لا ينطبق</w:t>
            </w:r>
          </w:p>
        </w:tc>
      </w:tr>
      <w:tr w:rsidR="002C6CC7" w:rsidRPr="007F0AE9" w:rsidTr="002C6CC7">
        <w:trPr>
          <w:jc w:val="center"/>
        </w:trPr>
        <w:tc>
          <w:tcPr>
            <w:tcW w:w="2435" w:type="dxa"/>
            <w:gridSpan w:val="3"/>
            <w:shd w:val="clear" w:color="auto" w:fill="auto"/>
          </w:tcPr>
          <w:p w:rsidR="002C6CC7" w:rsidRPr="007F0AE9" w:rsidRDefault="002C6CC7" w:rsidP="002C6CC7">
            <w:pPr>
              <w:bidi/>
              <w:jc w:val="left"/>
              <w:rPr>
                <w:color w:val="000000" w:themeColor="text1"/>
                <w:sz w:val="18"/>
                <w:szCs w:val="18"/>
              </w:rPr>
            </w:pPr>
            <w:r w:rsidRPr="007F0AE9">
              <w:rPr>
                <w:rFonts w:hint="cs"/>
                <w:color w:val="000000" w:themeColor="text1"/>
                <w:sz w:val="18"/>
                <w:szCs w:val="18"/>
                <w:rtl/>
              </w:rPr>
              <w:t>الحد الأقصى للاستهلاك المسموح به (طن من قدرات استنفاد الأوزون)</w:t>
            </w:r>
          </w:p>
        </w:tc>
        <w:tc>
          <w:tcPr>
            <w:tcW w:w="0" w:type="auto"/>
            <w:shd w:val="clear" w:color="auto" w:fill="auto"/>
          </w:tcPr>
          <w:p w:rsidR="002C6CC7" w:rsidRPr="007F0AE9" w:rsidRDefault="002C6CC7" w:rsidP="002C6CC7">
            <w:pPr>
              <w:spacing w:after="60"/>
              <w:jc w:val="right"/>
              <w:rPr>
                <w:sz w:val="20"/>
                <w:lang w:val="en-CA"/>
              </w:rPr>
            </w:pPr>
            <w:r w:rsidRPr="007F0AE9">
              <w:rPr>
                <w:rFonts w:hint="cs"/>
                <w:sz w:val="20"/>
                <w:rtl/>
                <w:lang w:val="en-CA"/>
              </w:rPr>
              <w:t>لا ينطبق</w:t>
            </w:r>
          </w:p>
        </w:tc>
        <w:tc>
          <w:tcPr>
            <w:tcW w:w="0" w:type="auto"/>
            <w:shd w:val="clear" w:color="auto" w:fill="auto"/>
          </w:tcPr>
          <w:p w:rsidR="002C6CC7" w:rsidRPr="007F0AE9" w:rsidRDefault="002C6CC7" w:rsidP="002C6CC7">
            <w:pPr>
              <w:spacing w:after="60"/>
              <w:jc w:val="right"/>
              <w:rPr>
                <w:sz w:val="20"/>
                <w:lang w:val="en-CA"/>
              </w:rPr>
            </w:pPr>
            <w:r w:rsidRPr="007F0AE9">
              <w:rPr>
                <w:rFonts w:hint="cs"/>
                <w:sz w:val="20"/>
                <w:rtl/>
                <w:lang w:val="en-CA"/>
              </w:rPr>
              <w:t>لا ينطبق</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102.2</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97.7</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93.4</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93.4</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93.4</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93.4</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93.4</w:t>
            </w:r>
          </w:p>
        </w:tc>
        <w:tc>
          <w:tcPr>
            <w:tcW w:w="896" w:type="dxa"/>
            <w:shd w:val="clear" w:color="auto" w:fill="auto"/>
          </w:tcPr>
          <w:p w:rsidR="002C6CC7" w:rsidRPr="007F0AE9" w:rsidRDefault="002C6CC7" w:rsidP="002C6CC7">
            <w:pPr>
              <w:spacing w:after="60"/>
              <w:jc w:val="right"/>
              <w:rPr>
                <w:sz w:val="20"/>
                <w:lang w:val="en-CA"/>
              </w:rPr>
            </w:pPr>
            <w:r w:rsidRPr="007F0AE9">
              <w:rPr>
                <w:rFonts w:hint="cs"/>
                <w:sz w:val="20"/>
                <w:rtl/>
                <w:lang w:val="en-CA"/>
              </w:rPr>
              <w:t>لا ينطبق</w:t>
            </w:r>
          </w:p>
        </w:tc>
      </w:tr>
      <w:tr w:rsidR="002C6CC7" w:rsidRPr="007F0AE9" w:rsidTr="002C6CC7">
        <w:trPr>
          <w:jc w:val="center"/>
        </w:trPr>
        <w:tc>
          <w:tcPr>
            <w:tcW w:w="791" w:type="dxa"/>
            <w:vMerge w:val="restart"/>
            <w:shd w:val="clear" w:color="auto" w:fill="auto"/>
          </w:tcPr>
          <w:p w:rsidR="002C6CC7" w:rsidRPr="007F0AE9" w:rsidRDefault="002C6CC7" w:rsidP="002C6CC7">
            <w:pPr>
              <w:bidi/>
              <w:spacing w:after="60"/>
              <w:jc w:val="left"/>
              <w:rPr>
                <w:sz w:val="18"/>
                <w:szCs w:val="18"/>
                <w:lang w:val="en-US"/>
              </w:rPr>
            </w:pPr>
            <w:r w:rsidRPr="007F0AE9">
              <w:rPr>
                <w:rFonts w:hint="cs"/>
                <w:sz w:val="18"/>
                <w:szCs w:val="18"/>
                <w:rtl/>
                <w:lang w:val="en-US"/>
              </w:rPr>
              <w:t>التمويل الموافق عليه (بالدولار الأمريكي)</w:t>
            </w:r>
          </w:p>
        </w:tc>
        <w:tc>
          <w:tcPr>
            <w:tcW w:w="0" w:type="auto"/>
            <w:vMerge w:val="restart"/>
            <w:shd w:val="clear" w:color="auto" w:fill="auto"/>
          </w:tcPr>
          <w:p w:rsidR="002C6CC7" w:rsidRPr="007F0AE9" w:rsidRDefault="002C6CC7" w:rsidP="002C6CC7">
            <w:pPr>
              <w:spacing w:after="60"/>
              <w:jc w:val="center"/>
              <w:rPr>
                <w:sz w:val="18"/>
                <w:szCs w:val="18"/>
                <w:rtl/>
                <w:lang w:val="en-US" w:bidi="ar-EG"/>
              </w:rPr>
            </w:pPr>
            <w:r w:rsidRPr="007F0AE9">
              <w:rPr>
                <w:rFonts w:hint="cs"/>
                <w:sz w:val="18"/>
                <w:szCs w:val="18"/>
                <w:rtl/>
                <w:lang w:val="en-US" w:bidi="ar-EG"/>
              </w:rPr>
              <w:t>يونيب</w:t>
            </w:r>
          </w:p>
        </w:tc>
        <w:tc>
          <w:tcPr>
            <w:tcW w:w="0" w:type="auto"/>
            <w:shd w:val="clear" w:color="auto" w:fill="auto"/>
          </w:tcPr>
          <w:p w:rsidR="002C6CC7" w:rsidRPr="007F0AE9" w:rsidRDefault="002C6CC7" w:rsidP="002C6CC7">
            <w:pPr>
              <w:bidi/>
              <w:spacing w:after="60"/>
              <w:jc w:val="left"/>
              <w:rPr>
                <w:sz w:val="18"/>
                <w:szCs w:val="18"/>
                <w:lang w:val="en-US"/>
              </w:rPr>
            </w:pPr>
            <w:r w:rsidRPr="007F0AE9">
              <w:rPr>
                <w:rFonts w:hint="cs"/>
                <w:sz w:val="18"/>
                <w:szCs w:val="18"/>
                <w:rtl/>
                <w:lang w:val="en-US"/>
              </w:rPr>
              <w:t>تكاليف المشروع</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115,000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325,000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220,000</w:t>
            </w:r>
          </w:p>
        </w:tc>
        <w:tc>
          <w:tcPr>
            <w:tcW w:w="896" w:type="dxa"/>
            <w:shd w:val="clear" w:color="auto" w:fill="auto"/>
          </w:tcPr>
          <w:p w:rsidR="002C6CC7" w:rsidRPr="007F0AE9" w:rsidRDefault="002C6CC7" w:rsidP="002C6CC7">
            <w:pPr>
              <w:spacing w:after="60"/>
              <w:jc w:val="right"/>
              <w:rPr>
                <w:sz w:val="20"/>
                <w:lang w:val="en-CA"/>
              </w:rPr>
            </w:pPr>
            <w:r w:rsidRPr="007F0AE9">
              <w:rPr>
                <w:sz w:val="20"/>
                <w:lang w:val="en-CA"/>
              </w:rPr>
              <w:t>545,000</w:t>
            </w:r>
          </w:p>
        </w:tc>
      </w:tr>
      <w:tr w:rsidR="002C6CC7" w:rsidRPr="007F0AE9" w:rsidTr="002C6CC7">
        <w:trPr>
          <w:jc w:val="center"/>
        </w:trPr>
        <w:tc>
          <w:tcPr>
            <w:tcW w:w="791" w:type="dxa"/>
            <w:vMerge/>
            <w:shd w:val="clear" w:color="auto" w:fill="auto"/>
          </w:tcPr>
          <w:p w:rsidR="002C6CC7" w:rsidRPr="007F0AE9" w:rsidRDefault="002C6CC7" w:rsidP="002C6CC7">
            <w:pPr>
              <w:bidi/>
              <w:spacing w:after="60"/>
              <w:jc w:val="center"/>
              <w:rPr>
                <w:sz w:val="18"/>
                <w:szCs w:val="18"/>
                <w:lang w:val="en-CA"/>
              </w:rPr>
            </w:pPr>
          </w:p>
        </w:tc>
        <w:tc>
          <w:tcPr>
            <w:tcW w:w="0" w:type="auto"/>
            <w:vMerge/>
            <w:shd w:val="clear" w:color="auto" w:fill="auto"/>
          </w:tcPr>
          <w:p w:rsidR="002C6CC7" w:rsidRPr="007F0AE9" w:rsidRDefault="002C6CC7" w:rsidP="002C6CC7">
            <w:pPr>
              <w:bidi/>
              <w:spacing w:after="60"/>
              <w:jc w:val="center"/>
              <w:rPr>
                <w:sz w:val="18"/>
                <w:szCs w:val="18"/>
                <w:lang w:val="en-CA"/>
              </w:rPr>
            </w:pPr>
          </w:p>
        </w:tc>
        <w:tc>
          <w:tcPr>
            <w:tcW w:w="0" w:type="auto"/>
            <w:shd w:val="clear" w:color="auto" w:fill="auto"/>
          </w:tcPr>
          <w:p w:rsidR="002C6CC7" w:rsidRPr="007F0AE9" w:rsidRDefault="002C6CC7" w:rsidP="002C6CC7">
            <w:pPr>
              <w:bidi/>
              <w:spacing w:after="60"/>
              <w:jc w:val="left"/>
              <w:rPr>
                <w:sz w:val="18"/>
                <w:szCs w:val="18"/>
                <w:lang w:val="en-CA"/>
              </w:rPr>
            </w:pPr>
            <w:r w:rsidRPr="007F0AE9">
              <w:rPr>
                <w:rFonts w:hint="cs"/>
                <w:sz w:val="18"/>
                <w:szCs w:val="18"/>
                <w:rtl/>
                <w:lang w:val="en-US"/>
              </w:rPr>
              <w:t>تكاليف الدعم</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14,144</w:t>
            </w:r>
          </w:p>
        </w:tc>
        <w:tc>
          <w:tcPr>
            <w:tcW w:w="0" w:type="auto"/>
            <w:shd w:val="clear" w:color="auto" w:fill="auto"/>
          </w:tcPr>
          <w:p w:rsidR="002C6CC7" w:rsidRPr="007F0AE9" w:rsidRDefault="002C6CC7" w:rsidP="002C6CC7">
            <w:pPr>
              <w:jc w:val="right"/>
              <w:rPr>
                <w:sz w:val="28"/>
                <w:szCs w:val="22"/>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40,822</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27,634</w:t>
            </w:r>
          </w:p>
        </w:tc>
        <w:tc>
          <w:tcPr>
            <w:tcW w:w="896" w:type="dxa"/>
            <w:shd w:val="clear" w:color="auto" w:fill="auto"/>
          </w:tcPr>
          <w:p w:rsidR="002C6CC7" w:rsidRPr="007F0AE9" w:rsidRDefault="002C6CC7" w:rsidP="002C6CC7">
            <w:pPr>
              <w:spacing w:after="60"/>
              <w:jc w:val="right"/>
              <w:rPr>
                <w:sz w:val="20"/>
                <w:lang w:val="en-CA"/>
              </w:rPr>
            </w:pPr>
            <w:r w:rsidRPr="007F0AE9">
              <w:rPr>
                <w:sz w:val="20"/>
                <w:lang w:val="en-CA"/>
              </w:rPr>
              <w:t>68,456</w:t>
            </w:r>
          </w:p>
        </w:tc>
      </w:tr>
      <w:tr w:rsidR="002C6CC7" w:rsidRPr="007F0AE9" w:rsidTr="002C6CC7">
        <w:trPr>
          <w:jc w:val="center"/>
        </w:trPr>
        <w:tc>
          <w:tcPr>
            <w:tcW w:w="791" w:type="dxa"/>
            <w:vMerge/>
            <w:shd w:val="clear" w:color="auto" w:fill="auto"/>
          </w:tcPr>
          <w:p w:rsidR="002C6CC7" w:rsidRPr="007F0AE9" w:rsidRDefault="002C6CC7" w:rsidP="002C6CC7">
            <w:pPr>
              <w:bidi/>
              <w:spacing w:after="60"/>
              <w:jc w:val="left"/>
              <w:rPr>
                <w:sz w:val="18"/>
                <w:szCs w:val="18"/>
                <w:lang w:val="en-US"/>
              </w:rPr>
            </w:pPr>
          </w:p>
        </w:tc>
        <w:tc>
          <w:tcPr>
            <w:tcW w:w="0" w:type="auto"/>
            <w:vMerge w:val="restart"/>
            <w:shd w:val="clear" w:color="auto" w:fill="auto"/>
          </w:tcPr>
          <w:p w:rsidR="002C6CC7" w:rsidRPr="007F0AE9" w:rsidRDefault="002C6CC7" w:rsidP="002C6CC7">
            <w:pPr>
              <w:spacing w:after="60"/>
              <w:jc w:val="center"/>
              <w:rPr>
                <w:sz w:val="18"/>
                <w:szCs w:val="18"/>
                <w:rtl/>
                <w:lang w:val="en-US" w:bidi="ar-EG"/>
              </w:rPr>
            </w:pPr>
            <w:r w:rsidRPr="007F0AE9">
              <w:rPr>
                <w:rFonts w:hint="cs"/>
                <w:sz w:val="18"/>
                <w:szCs w:val="18"/>
                <w:rtl/>
                <w:lang w:val="en-US" w:bidi="ar-EG"/>
              </w:rPr>
              <w:t>يونيدو</w:t>
            </w:r>
          </w:p>
        </w:tc>
        <w:tc>
          <w:tcPr>
            <w:tcW w:w="0" w:type="auto"/>
            <w:shd w:val="clear" w:color="auto" w:fill="auto"/>
          </w:tcPr>
          <w:p w:rsidR="002C6CC7" w:rsidRPr="007F0AE9" w:rsidRDefault="002C6CC7" w:rsidP="002C6CC7">
            <w:pPr>
              <w:bidi/>
              <w:spacing w:after="60"/>
              <w:jc w:val="left"/>
              <w:rPr>
                <w:sz w:val="18"/>
                <w:szCs w:val="18"/>
                <w:lang w:val="en-US"/>
              </w:rPr>
            </w:pPr>
            <w:r w:rsidRPr="007F0AE9">
              <w:rPr>
                <w:rFonts w:hint="cs"/>
                <w:sz w:val="18"/>
                <w:szCs w:val="18"/>
                <w:rtl/>
                <w:lang w:val="en-US"/>
              </w:rPr>
              <w:t>تكاليف المشروع</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80,000</w:t>
            </w:r>
          </w:p>
        </w:tc>
        <w:tc>
          <w:tcPr>
            <w:tcW w:w="0" w:type="auto"/>
            <w:shd w:val="clear" w:color="auto" w:fill="auto"/>
          </w:tcPr>
          <w:p w:rsidR="002C6CC7" w:rsidRPr="007F0AE9" w:rsidRDefault="002C6CC7" w:rsidP="002C6CC7">
            <w:pPr>
              <w:jc w:val="right"/>
              <w:rPr>
                <w:sz w:val="28"/>
                <w:szCs w:val="22"/>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230,000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210,000</w:t>
            </w:r>
          </w:p>
        </w:tc>
        <w:tc>
          <w:tcPr>
            <w:tcW w:w="896" w:type="dxa"/>
            <w:shd w:val="clear" w:color="auto" w:fill="auto"/>
          </w:tcPr>
          <w:p w:rsidR="002C6CC7" w:rsidRPr="007F0AE9" w:rsidRDefault="002C6CC7" w:rsidP="002C6CC7">
            <w:pPr>
              <w:spacing w:after="60"/>
              <w:jc w:val="right"/>
              <w:rPr>
                <w:sz w:val="20"/>
                <w:lang w:val="en-CA"/>
              </w:rPr>
            </w:pPr>
            <w:r w:rsidRPr="007F0AE9">
              <w:rPr>
                <w:sz w:val="20"/>
                <w:lang w:val="en-CA"/>
              </w:rPr>
              <w:t>440,000</w:t>
            </w:r>
          </w:p>
        </w:tc>
      </w:tr>
      <w:tr w:rsidR="002C6CC7" w:rsidRPr="007F0AE9" w:rsidTr="002C6CC7">
        <w:trPr>
          <w:jc w:val="center"/>
        </w:trPr>
        <w:tc>
          <w:tcPr>
            <w:tcW w:w="791" w:type="dxa"/>
            <w:vMerge/>
            <w:shd w:val="clear" w:color="auto" w:fill="auto"/>
          </w:tcPr>
          <w:p w:rsidR="002C6CC7" w:rsidRPr="007F0AE9" w:rsidRDefault="002C6CC7" w:rsidP="002C6CC7">
            <w:pPr>
              <w:bidi/>
              <w:spacing w:after="60"/>
              <w:jc w:val="center"/>
              <w:rPr>
                <w:sz w:val="18"/>
                <w:szCs w:val="18"/>
                <w:lang w:val="en-CA"/>
              </w:rPr>
            </w:pPr>
          </w:p>
        </w:tc>
        <w:tc>
          <w:tcPr>
            <w:tcW w:w="0" w:type="auto"/>
            <w:vMerge/>
            <w:shd w:val="clear" w:color="auto" w:fill="auto"/>
          </w:tcPr>
          <w:p w:rsidR="002C6CC7" w:rsidRPr="007F0AE9" w:rsidRDefault="002C6CC7" w:rsidP="002C6CC7">
            <w:pPr>
              <w:bidi/>
              <w:spacing w:after="60"/>
              <w:jc w:val="center"/>
              <w:rPr>
                <w:sz w:val="18"/>
                <w:szCs w:val="18"/>
                <w:lang w:val="en-CA"/>
              </w:rPr>
            </w:pPr>
          </w:p>
        </w:tc>
        <w:tc>
          <w:tcPr>
            <w:tcW w:w="0" w:type="auto"/>
            <w:shd w:val="clear" w:color="auto" w:fill="auto"/>
          </w:tcPr>
          <w:p w:rsidR="002C6CC7" w:rsidRPr="007F0AE9" w:rsidRDefault="002C6CC7" w:rsidP="002C6CC7">
            <w:pPr>
              <w:bidi/>
              <w:spacing w:after="60"/>
              <w:jc w:val="left"/>
              <w:rPr>
                <w:sz w:val="18"/>
                <w:szCs w:val="18"/>
                <w:lang w:val="en-CA"/>
              </w:rPr>
            </w:pPr>
            <w:r w:rsidRPr="007F0AE9">
              <w:rPr>
                <w:rFonts w:hint="cs"/>
                <w:sz w:val="18"/>
                <w:szCs w:val="18"/>
                <w:rtl/>
                <w:lang w:val="en-US"/>
              </w:rPr>
              <w:t>تكاليف الدعم</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6,000</w:t>
            </w:r>
          </w:p>
        </w:tc>
        <w:tc>
          <w:tcPr>
            <w:tcW w:w="0" w:type="auto"/>
            <w:shd w:val="clear" w:color="auto" w:fill="auto"/>
          </w:tcPr>
          <w:p w:rsidR="002C6CC7" w:rsidRPr="007F0AE9" w:rsidRDefault="002C6CC7" w:rsidP="002C6CC7">
            <w:pPr>
              <w:jc w:val="right"/>
              <w:rPr>
                <w:sz w:val="28"/>
                <w:szCs w:val="22"/>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17,250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15,750</w:t>
            </w:r>
          </w:p>
        </w:tc>
        <w:tc>
          <w:tcPr>
            <w:tcW w:w="896" w:type="dxa"/>
            <w:shd w:val="clear" w:color="auto" w:fill="auto"/>
          </w:tcPr>
          <w:p w:rsidR="002C6CC7" w:rsidRPr="007F0AE9" w:rsidRDefault="002C6CC7" w:rsidP="002C6CC7">
            <w:pPr>
              <w:spacing w:after="60"/>
              <w:jc w:val="right"/>
              <w:rPr>
                <w:sz w:val="20"/>
                <w:lang w:val="en-CA"/>
              </w:rPr>
            </w:pPr>
            <w:r w:rsidRPr="007F0AE9">
              <w:rPr>
                <w:sz w:val="20"/>
                <w:lang w:val="en-CA"/>
              </w:rPr>
              <w:t>33,000</w:t>
            </w:r>
          </w:p>
        </w:tc>
      </w:tr>
      <w:tr w:rsidR="002C6CC7" w:rsidRPr="007F0AE9" w:rsidTr="002C6CC7">
        <w:trPr>
          <w:jc w:val="center"/>
        </w:trPr>
        <w:tc>
          <w:tcPr>
            <w:tcW w:w="1340" w:type="dxa"/>
            <w:gridSpan w:val="2"/>
            <w:vMerge w:val="restart"/>
            <w:shd w:val="clear" w:color="auto" w:fill="auto"/>
          </w:tcPr>
          <w:p w:rsidR="002C6CC7" w:rsidRPr="007F0AE9" w:rsidRDefault="002C6CC7" w:rsidP="002C6CC7">
            <w:pPr>
              <w:bidi/>
              <w:spacing w:after="60"/>
              <w:jc w:val="left"/>
              <w:rPr>
                <w:sz w:val="18"/>
                <w:szCs w:val="18"/>
                <w:lang w:val="en-CA"/>
              </w:rPr>
            </w:pPr>
            <w:r w:rsidRPr="007F0AE9">
              <w:rPr>
                <w:rFonts w:hint="cs"/>
                <w:sz w:val="18"/>
                <w:szCs w:val="18"/>
                <w:rtl/>
                <w:lang w:val="en-CA" w:bidi="ar-EG"/>
              </w:rPr>
              <w:t>المبالغ التي وافقت عليها اللجنة التنفيذية</w:t>
            </w:r>
            <w:r w:rsidRPr="007F0AE9">
              <w:rPr>
                <w:rFonts w:hint="cs"/>
                <w:sz w:val="18"/>
                <w:szCs w:val="18"/>
                <w:rtl/>
                <w:lang w:val="en-CA"/>
              </w:rPr>
              <w:t xml:space="preserve"> (بالدولار الأمريكي)</w:t>
            </w:r>
          </w:p>
        </w:tc>
        <w:tc>
          <w:tcPr>
            <w:tcW w:w="0" w:type="auto"/>
            <w:shd w:val="clear" w:color="auto" w:fill="auto"/>
          </w:tcPr>
          <w:p w:rsidR="002C6CC7" w:rsidRPr="007F0AE9" w:rsidRDefault="002C6CC7" w:rsidP="002C6CC7">
            <w:pPr>
              <w:bidi/>
              <w:spacing w:after="60"/>
              <w:jc w:val="left"/>
              <w:rPr>
                <w:sz w:val="18"/>
                <w:szCs w:val="18"/>
                <w:lang w:val="en-CA"/>
              </w:rPr>
            </w:pPr>
            <w:r w:rsidRPr="007F0AE9">
              <w:rPr>
                <w:rFonts w:hint="cs"/>
                <w:sz w:val="18"/>
                <w:szCs w:val="18"/>
                <w:rtl/>
                <w:lang w:val="en-CA"/>
              </w:rPr>
              <w:t>تكاليف المشروع</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195,000</w:t>
            </w:r>
          </w:p>
        </w:tc>
        <w:tc>
          <w:tcPr>
            <w:tcW w:w="0" w:type="auto"/>
            <w:shd w:val="clear" w:color="auto" w:fill="auto"/>
          </w:tcPr>
          <w:p w:rsidR="002C6CC7" w:rsidRPr="007F0AE9" w:rsidRDefault="002C6CC7" w:rsidP="002C6CC7">
            <w:pPr>
              <w:jc w:val="right"/>
              <w:rPr>
                <w:sz w:val="20"/>
              </w:rPr>
            </w:pPr>
            <w:r w:rsidRPr="007F0AE9">
              <w:rPr>
                <w:sz w:val="20"/>
              </w:rPr>
              <w:t>0</w:t>
            </w:r>
          </w:p>
        </w:tc>
        <w:tc>
          <w:tcPr>
            <w:tcW w:w="0" w:type="auto"/>
            <w:shd w:val="clear" w:color="auto" w:fill="auto"/>
          </w:tcPr>
          <w:p w:rsidR="002C6CC7" w:rsidRPr="007F0AE9" w:rsidRDefault="002C6CC7" w:rsidP="002C6CC7">
            <w:pPr>
              <w:jc w:val="right"/>
              <w:rPr>
                <w:sz w:val="28"/>
                <w:szCs w:val="22"/>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555,000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0</w:t>
            </w:r>
          </w:p>
        </w:tc>
        <w:tc>
          <w:tcPr>
            <w:tcW w:w="896" w:type="dxa"/>
            <w:shd w:val="clear" w:color="auto" w:fill="auto"/>
          </w:tcPr>
          <w:p w:rsidR="002C6CC7" w:rsidRPr="007F0AE9" w:rsidRDefault="002C6CC7" w:rsidP="002C6CC7">
            <w:pPr>
              <w:spacing w:after="60"/>
              <w:jc w:val="right"/>
              <w:rPr>
                <w:sz w:val="20"/>
                <w:lang w:val="en-CA"/>
              </w:rPr>
            </w:pPr>
            <w:r w:rsidRPr="007F0AE9">
              <w:rPr>
                <w:sz w:val="20"/>
                <w:lang w:val="en-CA"/>
              </w:rPr>
              <w:t>750,000</w:t>
            </w:r>
          </w:p>
        </w:tc>
      </w:tr>
      <w:tr w:rsidR="002C6CC7" w:rsidRPr="007F0AE9" w:rsidTr="002C6CC7">
        <w:trPr>
          <w:jc w:val="center"/>
        </w:trPr>
        <w:tc>
          <w:tcPr>
            <w:tcW w:w="1340" w:type="dxa"/>
            <w:gridSpan w:val="2"/>
            <w:vMerge/>
            <w:shd w:val="clear" w:color="auto" w:fill="auto"/>
          </w:tcPr>
          <w:p w:rsidR="002C6CC7" w:rsidRPr="007F0AE9" w:rsidRDefault="002C6CC7" w:rsidP="002C6CC7">
            <w:pPr>
              <w:bidi/>
              <w:spacing w:after="60"/>
              <w:jc w:val="center"/>
              <w:rPr>
                <w:sz w:val="18"/>
                <w:szCs w:val="18"/>
                <w:lang w:val="en-CA"/>
              </w:rPr>
            </w:pPr>
          </w:p>
        </w:tc>
        <w:tc>
          <w:tcPr>
            <w:tcW w:w="0" w:type="auto"/>
            <w:shd w:val="clear" w:color="auto" w:fill="auto"/>
          </w:tcPr>
          <w:p w:rsidR="002C6CC7" w:rsidRPr="007F0AE9" w:rsidRDefault="002C6CC7" w:rsidP="002C6CC7">
            <w:pPr>
              <w:bidi/>
              <w:spacing w:after="60"/>
              <w:jc w:val="left"/>
              <w:rPr>
                <w:sz w:val="18"/>
                <w:szCs w:val="18"/>
                <w:lang w:val="en-CA"/>
              </w:rPr>
            </w:pPr>
            <w:r w:rsidRPr="007F0AE9">
              <w:rPr>
                <w:rFonts w:hint="cs"/>
                <w:sz w:val="18"/>
                <w:szCs w:val="18"/>
                <w:rtl/>
                <w:lang w:val="en-CA"/>
              </w:rPr>
              <w:t>تكاليف الدعم</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20,144</w:t>
            </w:r>
          </w:p>
        </w:tc>
        <w:tc>
          <w:tcPr>
            <w:tcW w:w="0" w:type="auto"/>
            <w:shd w:val="clear" w:color="auto" w:fill="auto"/>
          </w:tcPr>
          <w:p w:rsidR="002C6CC7" w:rsidRPr="007F0AE9" w:rsidRDefault="002C6CC7" w:rsidP="002C6CC7">
            <w:pPr>
              <w:jc w:val="right"/>
              <w:rPr>
                <w:sz w:val="20"/>
              </w:rPr>
            </w:pPr>
            <w:r w:rsidRPr="007F0AE9">
              <w:rPr>
                <w:sz w:val="20"/>
              </w:rPr>
              <w:t>0</w:t>
            </w:r>
          </w:p>
        </w:tc>
        <w:tc>
          <w:tcPr>
            <w:tcW w:w="0" w:type="auto"/>
            <w:shd w:val="clear" w:color="auto" w:fill="auto"/>
          </w:tcPr>
          <w:p w:rsidR="002C6CC7" w:rsidRPr="007F0AE9" w:rsidRDefault="002C6CC7" w:rsidP="002C6CC7">
            <w:pPr>
              <w:jc w:val="right"/>
              <w:rPr>
                <w:sz w:val="28"/>
                <w:szCs w:val="22"/>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58,072</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sz w:val="20"/>
                <w:lang w:val="en-CA"/>
              </w:rPr>
            </w:pPr>
            <w:r w:rsidRPr="007F0AE9">
              <w:rPr>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0</w:t>
            </w: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0</w:t>
            </w:r>
          </w:p>
        </w:tc>
        <w:tc>
          <w:tcPr>
            <w:tcW w:w="896" w:type="dxa"/>
            <w:shd w:val="clear" w:color="auto" w:fill="auto"/>
          </w:tcPr>
          <w:p w:rsidR="002C6CC7" w:rsidRPr="007F0AE9" w:rsidRDefault="002C6CC7" w:rsidP="002C6CC7">
            <w:pPr>
              <w:spacing w:after="60"/>
              <w:jc w:val="right"/>
              <w:rPr>
                <w:sz w:val="20"/>
                <w:lang w:val="en-CA"/>
              </w:rPr>
            </w:pPr>
            <w:r w:rsidRPr="007F0AE9">
              <w:rPr>
                <w:sz w:val="20"/>
                <w:lang w:val="en-CA"/>
              </w:rPr>
              <w:t>78,216</w:t>
            </w:r>
          </w:p>
        </w:tc>
      </w:tr>
      <w:tr w:rsidR="002C6CC7" w:rsidRPr="007F0AE9" w:rsidTr="002C6CC7">
        <w:trPr>
          <w:jc w:val="center"/>
        </w:trPr>
        <w:tc>
          <w:tcPr>
            <w:tcW w:w="1340" w:type="dxa"/>
            <w:gridSpan w:val="2"/>
            <w:vMerge w:val="restart"/>
            <w:shd w:val="clear" w:color="auto" w:fill="auto"/>
          </w:tcPr>
          <w:p w:rsidR="002C6CC7" w:rsidRPr="007F0AE9" w:rsidRDefault="002C6CC7" w:rsidP="002C6CC7">
            <w:pPr>
              <w:bidi/>
              <w:jc w:val="left"/>
              <w:rPr>
                <w:sz w:val="22"/>
                <w:szCs w:val="28"/>
                <w:lang w:val="en-CA"/>
              </w:rPr>
            </w:pPr>
            <w:r w:rsidRPr="007F0AE9">
              <w:rPr>
                <w:rFonts w:hint="cs"/>
                <w:color w:val="000000" w:themeColor="text1"/>
                <w:sz w:val="18"/>
                <w:szCs w:val="18"/>
                <w:rtl/>
              </w:rPr>
              <w:t>إجمالي المبالغ المطلوبة في هذا الاجتماع (دولار أمريكي)</w:t>
            </w:r>
          </w:p>
        </w:tc>
        <w:tc>
          <w:tcPr>
            <w:tcW w:w="0" w:type="auto"/>
            <w:shd w:val="clear" w:color="auto" w:fill="auto"/>
          </w:tcPr>
          <w:p w:rsidR="002C6CC7" w:rsidRPr="007F0AE9" w:rsidRDefault="002C6CC7" w:rsidP="002C6CC7">
            <w:pPr>
              <w:bidi/>
              <w:spacing w:after="60"/>
              <w:jc w:val="left"/>
              <w:rPr>
                <w:sz w:val="18"/>
                <w:szCs w:val="18"/>
                <w:lang w:val="en-US"/>
              </w:rPr>
            </w:pPr>
            <w:r w:rsidRPr="007F0AE9">
              <w:rPr>
                <w:rFonts w:hint="cs"/>
                <w:sz w:val="18"/>
                <w:szCs w:val="18"/>
                <w:rtl/>
                <w:lang w:val="en-US"/>
              </w:rPr>
              <w:t>تكاليف المشروع</w:t>
            </w: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b/>
                <w:sz w:val="20"/>
                <w:lang w:val="en-CA"/>
              </w:rPr>
            </w:pP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430,000</w:t>
            </w:r>
          </w:p>
        </w:tc>
        <w:tc>
          <w:tcPr>
            <w:tcW w:w="896" w:type="dxa"/>
            <w:shd w:val="clear" w:color="auto" w:fill="auto"/>
          </w:tcPr>
          <w:p w:rsidR="002C6CC7" w:rsidRPr="007F0AE9" w:rsidRDefault="002C6CC7" w:rsidP="002C6CC7">
            <w:pPr>
              <w:spacing w:after="60"/>
              <w:jc w:val="right"/>
              <w:rPr>
                <w:sz w:val="20"/>
                <w:lang w:val="en-CA"/>
              </w:rPr>
            </w:pPr>
            <w:r w:rsidRPr="007F0AE9">
              <w:rPr>
                <w:sz w:val="20"/>
                <w:lang w:val="en-CA"/>
              </w:rPr>
              <w:t>430,000</w:t>
            </w:r>
          </w:p>
        </w:tc>
      </w:tr>
      <w:tr w:rsidR="002C6CC7" w:rsidRPr="007F0AE9" w:rsidTr="002C6CC7">
        <w:trPr>
          <w:jc w:val="center"/>
        </w:trPr>
        <w:tc>
          <w:tcPr>
            <w:tcW w:w="1340" w:type="dxa"/>
            <w:gridSpan w:val="2"/>
            <w:vMerge/>
            <w:shd w:val="clear" w:color="auto" w:fill="auto"/>
          </w:tcPr>
          <w:p w:rsidR="002C6CC7" w:rsidRPr="007F0AE9" w:rsidRDefault="002C6CC7" w:rsidP="002C6CC7">
            <w:pPr>
              <w:bidi/>
              <w:spacing w:after="60"/>
              <w:jc w:val="center"/>
              <w:rPr>
                <w:sz w:val="18"/>
                <w:szCs w:val="18"/>
                <w:lang w:val="en-CA"/>
              </w:rPr>
            </w:pPr>
          </w:p>
        </w:tc>
        <w:tc>
          <w:tcPr>
            <w:tcW w:w="0" w:type="auto"/>
            <w:shd w:val="clear" w:color="auto" w:fill="auto"/>
          </w:tcPr>
          <w:p w:rsidR="002C6CC7" w:rsidRPr="007F0AE9" w:rsidRDefault="002C6CC7" w:rsidP="002C6CC7">
            <w:pPr>
              <w:bidi/>
              <w:spacing w:after="60"/>
              <w:jc w:val="left"/>
              <w:rPr>
                <w:sz w:val="18"/>
                <w:szCs w:val="18"/>
                <w:lang w:val="en-CA"/>
              </w:rPr>
            </w:pPr>
            <w:r w:rsidRPr="007F0AE9">
              <w:rPr>
                <w:rFonts w:hint="cs"/>
                <w:sz w:val="18"/>
                <w:szCs w:val="18"/>
                <w:rtl/>
                <w:lang w:val="en-US"/>
              </w:rPr>
              <w:t>تكاليف الدعم</w:t>
            </w: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sz w:val="20"/>
                <w:lang w:val="en-CA"/>
              </w:rPr>
            </w:pPr>
          </w:p>
        </w:tc>
        <w:tc>
          <w:tcPr>
            <w:tcW w:w="0" w:type="auto"/>
            <w:shd w:val="clear" w:color="auto" w:fill="auto"/>
          </w:tcPr>
          <w:p w:rsidR="002C6CC7" w:rsidRPr="007F0AE9" w:rsidRDefault="002C6CC7" w:rsidP="002C6CC7">
            <w:pPr>
              <w:spacing w:after="60"/>
              <w:jc w:val="right"/>
              <w:rPr>
                <w:b/>
                <w:sz w:val="20"/>
                <w:lang w:val="en-CA"/>
              </w:rPr>
            </w:pPr>
          </w:p>
        </w:tc>
        <w:tc>
          <w:tcPr>
            <w:tcW w:w="0" w:type="auto"/>
            <w:shd w:val="clear" w:color="auto" w:fill="auto"/>
          </w:tcPr>
          <w:p w:rsidR="002C6CC7" w:rsidRPr="007F0AE9" w:rsidRDefault="002C6CC7" w:rsidP="002C6CC7">
            <w:pPr>
              <w:spacing w:after="60"/>
              <w:jc w:val="right"/>
              <w:rPr>
                <w:b/>
                <w:sz w:val="20"/>
                <w:lang w:val="en-CA"/>
              </w:rPr>
            </w:pPr>
            <w:r w:rsidRPr="007F0AE9">
              <w:rPr>
                <w:b/>
                <w:sz w:val="20"/>
                <w:lang w:val="en-CA"/>
              </w:rPr>
              <w:t>43,384</w:t>
            </w:r>
          </w:p>
        </w:tc>
        <w:tc>
          <w:tcPr>
            <w:tcW w:w="896" w:type="dxa"/>
            <w:shd w:val="clear" w:color="auto" w:fill="auto"/>
          </w:tcPr>
          <w:p w:rsidR="002C6CC7" w:rsidRPr="007F0AE9" w:rsidRDefault="002C6CC7" w:rsidP="002C6CC7">
            <w:pPr>
              <w:spacing w:after="60"/>
              <w:jc w:val="right"/>
              <w:rPr>
                <w:sz w:val="20"/>
                <w:lang w:val="en-CA"/>
              </w:rPr>
            </w:pPr>
            <w:r w:rsidRPr="007F0AE9">
              <w:rPr>
                <w:sz w:val="20"/>
                <w:lang w:val="en-CA"/>
              </w:rPr>
              <w:t>43,384</w:t>
            </w:r>
          </w:p>
        </w:tc>
      </w:tr>
    </w:tbl>
    <w:p w:rsidR="007C27C9" w:rsidRPr="007F0AE9" w:rsidRDefault="003F1105" w:rsidP="007C27C9">
      <w:pPr>
        <w:bidi/>
        <w:spacing w:after="60"/>
        <w:rPr>
          <w:sz w:val="18"/>
          <w:szCs w:val="18"/>
          <w:lang w:val="en-US" w:bidi="ar-EG"/>
        </w:rPr>
      </w:pPr>
      <w:r w:rsidRPr="007F0AE9">
        <w:rPr>
          <w:rFonts w:hint="cs"/>
          <w:sz w:val="18"/>
          <w:szCs w:val="18"/>
          <w:rtl/>
          <w:lang w:val="en-US" w:bidi="ar-EG"/>
        </w:rPr>
        <w:t>ملحوظة: ستتم دراسة الاتفاق المنقح في الاجتماع الرابع والثمانين.</w:t>
      </w:r>
    </w:p>
    <w:p w:rsidR="004D7426" w:rsidRPr="007F0AE9" w:rsidRDefault="004D7426" w:rsidP="004D7426">
      <w:pPr>
        <w:bidi/>
        <w:spacing w:after="60"/>
        <w:rPr>
          <w:sz w:val="18"/>
          <w:szCs w:val="18"/>
          <w:lang w:val="en-US" w:bidi="ar-EG"/>
        </w:rPr>
      </w:pPr>
    </w:p>
    <w:tbl>
      <w:tblPr>
        <w:tblStyle w:val="TableGrid"/>
        <w:bidiVisual/>
        <w:tblW w:w="9893" w:type="dxa"/>
        <w:tblInd w:w="-23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236"/>
        <w:gridCol w:w="6657"/>
      </w:tblGrid>
      <w:tr w:rsidR="002D5FAE" w:rsidRPr="007F0AE9" w:rsidTr="00C76601">
        <w:trPr>
          <w:trHeight w:val="240"/>
        </w:trPr>
        <w:tc>
          <w:tcPr>
            <w:tcW w:w="3236" w:type="dxa"/>
            <w:shd w:val="clear" w:color="auto" w:fill="auto"/>
          </w:tcPr>
          <w:p w:rsidR="002D5FAE" w:rsidRPr="007F0AE9" w:rsidRDefault="002D5FAE" w:rsidP="00460098">
            <w:pPr>
              <w:bidi/>
              <w:spacing w:after="60"/>
              <w:jc w:val="left"/>
              <w:rPr>
                <w:bCs/>
                <w:sz w:val="20"/>
                <w:szCs w:val="22"/>
              </w:rPr>
            </w:pPr>
            <w:r w:rsidRPr="007F0AE9">
              <w:rPr>
                <w:rFonts w:hint="cs"/>
                <w:bCs/>
                <w:sz w:val="20"/>
                <w:szCs w:val="22"/>
                <w:rtl/>
              </w:rPr>
              <w:t>توصية الأمانة:</w:t>
            </w:r>
          </w:p>
        </w:tc>
        <w:tc>
          <w:tcPr>
            <w:tcW w:w="6657" w:type="dxa"/>
            <w:shd w:val="clear" w:color="auto" w:fill="auto"/>
          </w:tcPr>
          <w:p w:rsidR="002D5FAE" w:rsidRPr="007F0AE9" w:rsidRDefault="003F1105" w:rsidP="00460098">
            <w:pPr>
              <w:bidi/>
              <w:spacing w:after="60"/>
              <w:jc w:val="center"/>
              <w:rPr>
                <w:sz w:val="20"/>
                <w:szCs w:val="22"/>
              </w:rPr>
            </w:pPr>
            <w:r w:rsidRPr="007F0AE9">
              <w:rPr>
                <w:rFonts w:hint="cs"/>
                <w:sz w:val="20"/>
                <w:szCs w:val="22"/>
                <w:rtl/>
              </w:rPr>
              <w:t>للدراسة الفردية</w:t>
            </w:r>
          </w:p>
        </w:tc>
      </w:tr>
    </w:tbl>
    <w:p w:rsidR="00206034" w:rsidRDefault="00AB2735" w:rsidP="0045228A">
      <w:pPr>
        <w:bidi/>
        <w:jc w:val="center"/>
        <w:rPr>
          <w:b/>
          <w:bCs/>
          <w:sz w:val="28"/>
          <w:szCs w:val="28"/>
          <w:rtl/>
        </w:rPr>
      </w:pPr>
      <w:r>
        <w:rPr>
          <w:b/>
          <w:bCs/>
          <w:sz w:val="28"/>
          <w:szCs w:val="28"/>
          <w:rtl/>
        </w:rPr>
        <w:br w:type="page"/>
      </w:r>
      <w:bookmarkStart w:id="2" w:name="_Hlk7529719"/>
      <w:r w:rsidR="00507AB6" w:rsidRPr="00010740">
        <w:rPr>
          <w:rFonts w:hint="cs"/>
          <w:b/>
          <w:bCs/>
          <w:sz w:val="28"/>
          <w:szCs w:val="28"/>
          <w:rtl/>
        </w:rPr>
        <w:lastRenderedPageBreak/>
        <w:t>وصف المشروع</w:t>
      </w:r>
    </w:p>
    <w:p w:rsidR="009E052D" w:rsidRPr="009E052D" w:rsidRDefault="009E052D" w:rsidP="009E052D">
      <w:pPr>
        <w:bidi/>
        <w:jc w:val="center"/>
        <w:rPr>
          <w:b/>
          <w:bCs/>
          <w:sz w:val="10"/>
          <w:szCs w:val="10"/>
          <w:rtl/>
        </w:rPr>
      </w:pPr>
    </w:p>
    <w:p w:rsidR="00706A2E" w:rsidRPr="004B1960" w:rsidRDefault="00B84E7C" w:rsidP="009E052D">
      <w:pPr>
        <w:pStyle w:val="StyleHeader4Para4Left0Firstline0"/>
        <w:numPr>
          <w:ilvl w:val="0"/>
          <w:numId w:val="0"/>
        </w:numPr>
        <w:tabs>
          <w:tab w:val="clear" w:pos="2880"/>
          <w:tab w:val="clear" w:pos="5760"/>
          <w:tab w:val="left" w:pos="720"/>
        </w:tabs>
        <w:bidi/>
        <w:spacing w:after="200"/>
        <w:rPr>
          <w:sz w:val="26"/>
          <w:szCs w:val="26"/>
          <w:rtl/>
          <w:lang w:val="en-US" w:bidi="ar-EG"/>
        </w:rPr>
      </w:pPr>
      <w:r w:rsidRPr="00010740">
        <w:rPr>
          <w:rFonts w:hint="cs"/>
          <w:sz w:val="26"/>
          <w:szCs w:val="26"/>
          <w:rtl/>
        </w:rPr>
        <w:t>1 -</w:t>
      </w:r>
      <w:r w:rsidRPr="00010740">
        <w:rPr>
          <w:rFonts w:hint="cs"/>
          <w:sz w:val="26"/>
          <w:szCs w:val="26"/>
          <w:rtl/>
        </w:rPr>
        <w:tab/>
      </w:r>
      <w:r w:rsidR="003F1105">
        <w:rPr>
          <w:rFonts w:hint="cs"/>
          <w:sz w:val="26"/>
          <w:szCs w:val="26"/>
          <w:rtl/>
          <w:lang w:bidi="ar-EG"/>
        </w:rPr>
        <w:t xml:space="preserve">بالنيابة عن حكومة العراق، قدم يونيب بصفته الوكالة المنفذة الرئيسية طلبا لتمويل الشريحة الثالثة والأخيرة من المرحلة الأولى من خطة إدارة إزالة المواد الهيدروكلوروفلوروكربونية بتكلفة إجمالية تبلغ </w:t>
      </w:r>
      <w:r w:rsidR="003F1105">
        <w:rPr>
          <w:sz w:val="26"/>
          <w:szCs w:val="26"/>
          <w:lang w:val="en-US" w:bidi="ar-EG"/>
        </w:rPr>
        <w:t>473,384</w:t>
      </w:r>
      <w:r w:rsidR="003F1105">
        <w:rPr>
          <w:rFonts w:hint="cs"/>
          <w:sz w:val="26"/>
          <w:szCs w:val="26"/>
          <w:rtl/>
          <w:lang w:val="en-US" w:bidi="ar-EG"/>
        </w:rPr>
        <w:t xml:space="preserve"> </w:t>
      </w:r>
      <w:r w:rsidR="00551ABA">
        <w:rPr>
          <w:rFonts w:hint="cs"/>
          <w:sz w:val="26"/>
          <w:szCs w:val="26"/>
          <w:rtl/>
          <w:lang w:val="en-US" w:bidi="ar-EG"/>
        </w:rPr>
        <w:t>دولار أمريكي</w:t>
      </w:r>
      <w:r w:rsidR="003F1105">
        <w:rPr>
          <w:rFonts w:hint="cs"/>
          <w:sz w:val="26"/>
          <w:szCs w:val="26"/>
          <w:rtl/>
          <w:lang w:val="en-US" w:bidi="ar-EG"/>
        </w:rPr>
        <w:t xml:space="preserve"> تشمل </w:t>
      </w:r>
      <w:r w:rsidR="003F1105">
        <w:rPr>
          <w:sz w:val="26"/>
          <w:szCs w:val="26"/>
          <w:lang w:val="en-US" w:bidi="ar-EG"/>
        </w:rPr>
        <w:t>220,000</w:t>
      </w:r>
      <w:r w:rsidR="003F1105">
        <w:rPr>
          <w:rFonts w:hint="cs"/>
          <w:sz w:val="26"/>
          <w:szCs w:val="26"/>
          <w:rtl/>
          <w:lang w:val="en-US" w:bidi="ar-EG"/>
        </w:rPr>
        <w:t xml:space="preserve"> دولار أمريكي زائد تكاليف دعم الوكالة البالغة </w:t>
      </w:r>
      <w:r w:rsidR="003F1105">
        <w:rPr>
          <w:sz w:val="26"/>
          <w:szCs w:val="26"/>
          <w:lang w:val="en-US" w:bidi="ar-EG"/>
        </w:rPr>
        <w:t>27,634</w:t>
      </w:r>
      <w:r w:rsidR="003F1105">
        <w:rPr>
          <w:rFonts w:hint="cs"/>
          <w:sz w:val="26"/>
          <w:szCs w:val="26"/>
          <w:rtl/>
          <w:lang w:val="en-US" w:bidi="ar-EG"/>
        </w:rPr>
        <w:t xml:space="preserve"> دولار أمريكي ليونيب، ومبلغ </w:t>
      </w:r>
      <w:r w:rsidR="003F1105">
        <w:rPr>
          <w:sz w:val="26"/>
          <w:szCs w:val="26"/>
          <w:lang w:val="en-US" w:bidi="ar-EG"/>
        </w:rPr>
        <w:t>210,000</w:t>
      </w:r>
      <w:r w:rsidR="003F1105">
        <w:rPr>
          <w:rFonts w:hint="cs"/>
          <w:sz w:val="26"/>
          <w:szCs w:val="26"/>
          <w:rtl/>
          <w:lang w:val="en-US" w:bidi="ar-EG"/>
        </w:rPr>
        <w:t xml:space="preserve"> دولار أمريكي زائد تكاليف دعم الوكالة ومقدارها </w:t>
      </w:r>
      <w:r w:rsidR="003F1105">
        <w:rPr>
          <w:sz w:val="26"/>
          <w:szCs w:val="26"/>
          <w:lang w:val="en-US" w:bidi="ar-EG"/>
        </w:rPr>
        <w:t>15,750</w:t>
      </w:r>
      <w:r w:rsidR="003F1105">
        <w:rPr>
          <w:rFonts w:hint="cs"/>
          <w:sz w:val="26"/>
          <w:szCs w:val="26"/>
          <w:rtl/>
          <w:lang w:val="en-US" w:bidi="ar-EG"/>
        </w:rPr>
        <w:t xml:space="preserve"> دولار أمريكي ليونيدو</w:t>
      </w:r>
      <w:r w:rsidR="004B1960" w:rsidRPr="00010740">
        <w:rPr>
          <w:rStyle w:val="FootnoteReference"/>
          <w:sz w:val="26"/>
          <w:szCs w:val="26"/>
          <w:rtl/>
        </w:rPr>
        <w:footnoteReference w:id="2"/>
      </w:r>
      <w:r w:rsidR="007F6423">
        <w:rPr>
          <w:rFonts w:hint="cs"/>
          <w:sz w:val="26"/>
          <w:szCs w:val="26"/>
          <w:rtl/>
          <w:lang w:val="en-US" w:bidi="ar-EG"/>
        </w:rPr>
        <w:t>.</w:t>
      </w:r>
      <w:r w:rsidR="004B1960">
        <w:rPr>
          <w:rFonts w:hint="cs"/>
          <w:sz w:val="26"/>
          <w:szCs w:val="26"/>
          <w:rtl/>
          <w:lang w:val="en-US" w:bidi="ar-EG"/>
        </w:rPr>
        <w:t xml:space="preserve"> </w:t>
      </w:r>
      <w:r w:rsidR="003F1105">
        <w:rPr>
          <w:rFonts w:hint="cs"/>
          <w:sz w:val="26"/>
          <w:szCs w:val="26"/>
          <w:rtl/>
          <w:lang w:val="en-US" w:bidi="ar-EG"/>
        </w:rPr>
        <w:t>ويشمل الطلب تقريرا مرحليا بشأن تنفيذ الشريحة الثانية، وتقرير تحقق بشأن استهلاك المواد الهيدروكلوروفلوروكربونية للفترة ما بين عامي 2015 إلى 2018 وخطة تنفيذ الشريحة لعام 2020 وطلبا لتمديد المرحلة الأولى من خطة إدارة إزالة المواد الهيدروكلوروفلوروكربونية.</w:t>
      </w:r>
    </w:p>
    <w:bookmarkEnd w:id="2"/>
    <w:p w:rsidR="000B7A14" w:rsidRPr="000B7A14" w:rsidRDefault="003F1105" w:rsidP="009E052D">
      <w:pPr>
        <w:pStyle w:val="StyleHeader4Para4Left0Firstline0"/>
        <w:numPr>
          <w:ilvl w:val="0"/>
          <w:numId w:val="0"/>
        </w:numPr>
        <w:tabs>
          <w:tab w:val="clear" w:pos="2880"/>
          <w:tab w:val="clear" w:pos="5760"/>
          <w:tab w:val="left" w:pos="720"/>
        </w:tabs>
        <w:bidi/>
        <w:spacing w:before="120" w:after="200"/>
        <w:jc w:val="lowKashida"/>
        <w:rPr>
          <w:sz w:val="26"/>
          <w:szCs w:val="26"/>
          <w:u w:val="single"/>
          <w:rtl/>
          <w:lang w:val="en-US" w:bidi="ar-EG"/>
        </w:rPr>
      </w:pPr>
      <w:r>
        <w:rPr>
          <w:rFonts w:hint="cs"/>
          <w:sz w:val="26"/>
          <w:szCs w:val="26"/>
          <w:u w:val="single"/>
          <w:rtl/>
          <w:lang w:val="en-US" w:bidi="ar-EG"/>
        </w:rPr>
        <w:t>المقدمة</w:t>
      </w:r>
    </w:p>
    <w:p w:rsidR="000B7A14" w:rsidRDefault="00495CF0" w:rsidP="009E052D">
      <w:pPr>
        <w:pStyle w:val="StyleHeader4Para4Left0Firstline0"/>
        <w:numPr>
          <w:ilvl w:val="0"/>
          <w:numId w:val="0"/>
        </w:numPr>
        <w:tabs>
          <w:tab w:val="clear" w:pos="2880"/>
          <w:tab w:val="clear" w:pos="5760"/>
          <w:tab w:val="left" w:pos="720"/>
        </w:tabs>
        <w:bidi/>
        <w:spacing w:before="120" w:after="200"/>
        <w:jc w:val="lowKashida"/>
        <w:rPr>
          <w:sz w:val="26"/>
          <w:szCs w:val="26"/>
          <w:rtl/>
          <w:lang w:val="en-US" w:bidi="ar-EG"/>
        </w:rPr>
      </w:pPr>
      <w:r>
        <w:rPr>
          <w:rFonts w:hint="cs"/>
          <w:sz w:val="26"/>
          <w:szCs w:val="26"/>
          <w:rtl/>
          <w:lang w:val="en-US" w:bidi="ar-EG"/>
        </w:rPr>
        <w:t>2</w:t>
      </w:r>
      <w:r w:rsidR="000B7A14">
        <w:rPr>
          <w:rFonts w:hint="cs"/>
          <w:sz w:val="26"/>
          <w:szCs w:val="26"/>
          <w:rtl/>
          <w:lang w:val="en-US" w:bidi="ar-EG"/>
        </w:rPr>
        <w:t xml:space="preserve"> -</w:t>
      </w:r>
      <w:r w:rsidR="000B7A14">
        <w:rPr>
          <w:sz w:val="26"/>
          <w:szCs w:val="26"/>
          <w:rtl/>
          <w:lang w:val="en-US" w:bidi="ar-EG"/>
        </w:rPr>
        <w:tab/>
      </w:r>
      <w:r w:rsidR="003F1105">
        <w:rPr>
          <w:rFonts w:hint="cs"/>
          <w:sz w:val="26"/>
          <w:szCs w:val="26"/>
          <w:rtl/>
          <w:lang w:val="en-US" w:bidi="ar-EG"/>
        </w:rPr>
        <w:t>كان ينبغي تقديم شريحة التمويل الثالثة من المرحلة الأولى من خطة إدارة إزالة المواد الهيدروكلوروفلوروكربونية للعراق للموافقة عليها عام 2017. إلا أنه بسبب ظروف سياسية ومؤسسية خارجة عن سيطرة وحدة الأوزون الوطنية، كانت قدرة البلد على صرف الأموال وتنفيذ الأنشطة محدودة للغاية لعدة سنوات. وبالرغم من هذه الظروف، تمكنت حكومة العراق من تحقيق الامتثال بأهداف استهلاك المواد الهيدروكلوروفلوروكربونية والاستدامة فيه من خلال تدابير تنظيمية معززة ورقابة صارمة على تجارة المواد المستنفدة للأوزون. كما تمكنت وزارة البيئة أيضا من الاستمرار في بناء البنية التحتية الوطنية وشراكات من أجل تنفيذ خطة إدارة إزالة المواد الهيدروكلوروفلوروكربونية.</w:t>
      </w:r>
    </w:p>
    <w:p w:rsidR="003F1105" w:rsidRDefault="003F1105" w:rsidP="009E052D">
      <w:pPr>
        <w:pStyle w:val="StyleHeader4Para4Left0Firstline0"/>
        <w:numPr>
          <w:ilvl w:val="0"/>
          <w:numId w:val="0"/>
        </w:numPr>
        <w:tabs>
          <w:tab w:val="clear" w:pos="2880"/>
          <w:tab w:val="clear" w:pos="5760"/>
          <w:tab w:val="left" w:pos="720"/>
        </w:tabs>
        <w:bidi/>
        <w:spacing w:before="120" w:after="200"/>
        <w:jc w:val="lowKashida"/>
        <w:rPr>
          <w:sz w:val="26"/>
          <w:szCs w:val="26"/>
          <w:rtl/>
          <w:lang w:val="en-US" w:bidi="ar-EG"/>
        </w:rPr>
      </w:pPr>
      <w:r>
        <w:rPr>
          <w:rFonts w:hint="cs"/>
          <w:sz w:val="26"/>
          <w:szCs w:val="26"/>
          <w:rtl/>
          <w:lang w:val="en-US" w:bidi="ar-EG"/>
        </w:rPr>
        <w:t>3 -</w:t>
      </w:r>
      <w:r>
        <w:rPr>
          <w:sz w:val="26"/>
          <w:szCs w:val="26"/>
          <w:rtl/>
          <w:lang w:val="en-US" w:bidi="ar-EG"/>
        </w:rPr>
        <w:tab/>
      </w:r>
      <w:r>
        <w:rPr>
          <w:rFonts w:hint="cs"/>
          <w:sz w:val="26"/>
          <w:szCs w:val="26"/>
          <w:rtl/>
          <w:lang w:val="en-US" w:bidi="ar-EG"/>
        </w:rPr>
        <w:t>ومع التحسن الشامل للحالة في البلد، وصلت الأنشطة الموافق عليها في إطار المرحلة الأولى الآن إلى مرحلة متقدمة من التنفيذ، وتقدم الحكومة الشريحة الثالثة ل</w:t>
      </w:r>
      <w:r w:rsidR="000C387F">
        <w:rPr>
          <w:rFonts w:hint="cs"/>
          <w:sz w:val="26"/>
          <w:szCs w:val="26"/>
          <w:rtl/>
          <w:lang w:val="en-US" w:bidi="ar-EG"/>
        </w:rPr>
        <w:t>ك</w:t>
      </w:r>
      <w:r>
        <w:rPr>
          <w:rFonts w:hint="cs"/>
          <w:sz w:val="26"/>
          <w:szCs w:val="26"/>
          <w:rtl/>
          <w:lang w:val="en-US" w:bidi="ar-EG"/>
        </w:rPr>
        <w:t>ي تتم دراستها في الاجتماع الرابع والثمانين مع ملاحظة ما يلي:</w:t>
      </w:r>
    </w:p>
    <w:p w:rsidR="003F1105" w:rsidRDefault="003F1105" w:rsidP="009E052D">
      <w:pPr>
        <w:pStyle w:val="StyleHeader4Para4Left0Firstline0"/>
        <w:numPr>
          <w:ilvl w:val="0"/>
          <w:numId w:val="0"/>
        </w:numPr>
        <w:tabs>
          <w:tab w:val="clear" w:pos="2880"/>
          <w:tab w:val="clear" w:pos="5760"/>
          <w:tab w:val="left" w:pos="720"/>
        </w:tabs>
        <w:bidi/>
        <w:spacing w:before="120" w:after="200"/>
        <w:ind w:left="1324" w:hanging="1324"/>
        <w:jc w:val="lowKashida"/>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Pr>
          <w:rFonts w:hint="cs"/>
          <w:sz w:val="26"/>
          <w:szCs w:val="26"/>
          <w:rtl/>
          <w:lang w:val="en-US" w:bidi="ar-EG"/>
        </w:rPr>
        <w:t>أن تحسن ظروف الأمن والاستقرار السياسي بعد تحرير جميع أنحاء العراق سوف ييسران بدرجة كبيرة التنفيذ السريع للأنشطة المخطط لها وسوف يمكن الخبراء والمستشارين من زيارة البلد حسب المطلوب؛</w:t>
      </w:r>
    </w:p>
    <w:p w:rsidR="003F1105" w:rsidRDefault="003F1105" w:rsidP="009E052D">
      <w:pPr>
        <w:pStyle w:val="StyleHeader4Para4Left0Firstline0"/>
        <w:numPr>
          <w:ilvl w:val="0"/>
          <w:numId w:val="0"/>
        </w:numPr>
        <w:tabs>
          <w:tab w:val="clear" w:pos="2880"/>
          <w:tab w:val="clear" w:pos="5760"/>
          <w:tab w:val="left" w:pos="720"/>
        </w:tabs>
        <w:bidi/>
        <w:spacing w:before="120" w:after="200"/>
        <w:ind w:left="1324" w:hanging="1324"/>
        <w:jc w:val="lowKashida"/>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Pr>
          <w:rFonts w:hint="cs"/>
          <w:sz w:val="26"/>
          <w:szCs w:val="26"/>
          <w:rtl/>
          <w:lang w:val="en-US" w:bidi="ar-EG"/>
        </w:rPr>
        <w:t>أقامت وزارة البيئة والمالية آلية جديدة من أجل ضبط عملية الإفراج عن الأرصدة الواردة من الصندوق المتعدد الأطراف وإدارتها؛ و</w:t>
      </w:r>
    </w:p>
    <w:p w:rsidR="003F1105" w:rsidRDefault="003F1105" w:rsidP="009E052D">
      <w:pPr>
        <w:pStyle w:val="StyleHeader4Para4Left0Firstline0"/>
        <w:numPr>
          <w:ilvl w:val="0"/>
          <w:numId w:val="0"/>
        </w:numPr>
        <w:tabs>
          <w:tab w:val="clear" w:pos="2880"/>
          <w:tab w:val="clear" w:pos="5760"/>
          <w:tab w:val="left" w:pos="720"/>
        </w:tabs>
        <w:bidi/>
        <w:spacing w:before="120" w:after="200"/>
        <w:ind w:left="1324" w:hanging="1324"/>
        <w:jc w:val="lowKashida"/>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تعمل الفرق الفنية المنشأة في الأنشطة التي تمت الموافقة عليها في إطار المرحلة الأولى.</w:t>
      </w:r>
    </w:p>
    <w:p w:rsidR="003F1105" w:rsidRDefault="003F1105" w:rsidP="009E052D">
      <w:pPr>
        <w:pStyle w:val="StyleHeader4Para4Left0Firstline0"/>
        <w:numPr>
          <w:ilvl w:val="0"/>
          <w:numId w:val="0"/>
        </w:numPr>
        <w:tabs>
          <w:tab w:val="clear" w:pos="2880"/>
          <w:tab w:val="clear" w:pos="5760"/>
          <w:tab w:val="left" w:pos="720"/>
        </w:tabs>
        <w:bidi/>
        <w:spacing w:before="120" w:after="200"/>
        <w:jc w:val="lowKashida"/>
        <w:rPr>
          <w:sz w:val="26"/>
          <w:szCs w:val="26"/>
          <w:rtl/>
          <w:lang w:val="en-US" w:bidi="ar-EG"/>
        </w:rPr>
      </w:pPr>
      <w:r>
        <w:rPr>
          <w:rFonts w:hint="cs"/>
          <w:sz w:val="26"/>
          <w:szCs w:val="26"/>
          <w:rtl/>
          <w:lang w:val="en-US" w:bidi="ar-EG"/>
        </w:rPr>
        <w:t>4 -</w:t>
      </w:r>
      <w:r>
        <w:rPr>
          <w:sz w:val="26"/>
          <w:szCs w:val="26"/>
          <w:rtl/>
          <w:lang w:val="en-US" w:bidi="ar-EG"/>
        </w:rPr>
        <w:tab/>
      </w:r>
      <w:r>
        <w:rPr>
          <w:rFonts w:hint="cs"/>
          <w:sz w:val="26"/>
          <w:szCs w:val="26"/>
          <w:rtl/>
          <w:lang w:val="en-US" w:bidi="ar-EG"/>
        </w:rPr>
        <w:t xml:space="preserve">من أجل السماح </w:t>
      </w:r>
      <w:r w:rsidR="00A83328">
        <w:rPr>
          <w:rFonts w:hint="cs"/>
          <w:sz w:val="26"/>
          <w:szCs w:val="26"/>
          <w:rtl/>
          <w:lang w:val="en-US" w:bidi="ar-EG"/>
        </w:rPr>
        <w:t xml:space="preserve">بالانتهاء من الأنشطة الجارية في قطاع خدمة التبريد، قدمت حكومة العراق طلبا لتمديد المرحلة الأولى من خطة إدارة إزالة المواد الهيدروكلوروفلوروكربونية، من عام 2017 إلى عام 2020، والإبقاء على هدف التخفيض بنسبة </w:t>
      </w:r>
      <w:r w:rsidR="00A83328">
        <w:rPr>
          <w:sz w:val="26"/>
          <w:szCs w:val="26"/>
          <w:lang w:val="en-US" w:bidi="ar-EG"/>
        </w:rPr>
        <w:t>13.8</w:t>
      </w:r>
      <w:r w:rsidR="00A83328">
        <w:rPr>
          <w:rFonts w:hint="cs"/>
          <w:sz w:val="26"/>
          <w:szCs w:val="26"/>
          <w:rtl/>
          <w:lang w:val="en-US" w:bidi="ar-EG"/>
        </w:rPr>
        <w:t xml:space="preserve"> في المائة أقل من خط الأساس لاستهلاك المواد الهيدروكلوروفلوروكربونية حتى عام 2019. وسوف يسمح هذا التمديد بتنفيذ الشريحة الأخيرة في الميعاد المحدد والتي ستتم الموافقة عليها عام 2019.</w:t>
      </w:r>
    </w:p>
    <w:p w:rsidR="00A83328" w:rsidRDefault="00A83328" w:rsidP="009E052D">
      <w:pPr>
        <w:pStyle w:val="StyleHeader4Para4Left0Firstline0"/>
        <w:numPr>
          <w:ilvl w:val="0"/>
          <w:numId w:val="0"/>
        </w:numPr>
        <w:tabs>
          <w:tab w:val="clear" w:pos="2880"/>
          <w:tab w:val="clear" w:pos="5760"/>
          <w:tab w:val="left" w:pos="720"/>
        </w:tabs>
        <w:bidi/>
        <w:spacing w:before="120" w:after="200"/>
        <w:jc w:val="lowKashida"/>
        <w:rPr>
          <w:sz w:val="26"/>
          <w:szCs w:val="26"/>
          <w:rtl/>
          <w:lang w:val="en-US" w:bidi="ar-EG"/>
        </w:rPr>
      </w:pPr>
      <w:r>
        <w:rPr>
          <w:rFonts w:hint="cs"/>
          <w:sz w:val="26"/>
          <w:szCs w:val="26"/>
          <w:rtl/>
          <w:lang w:val="en-US" w:bidi="ar-EG"/>
        </w:rPr>
        <w:t>5 -</w:t>
      </w:r>
      <w:r>
        <w:rPr>
          <w:sz w:val="26"/>
          <w:szCs w:val="26"/>
          <w:rtl/>
          <w:lang w:val="en-US" w:bidi="ar-EG"/>
        </w:rPr>
        <w:tab/>
      </w:r>
      <w:r>
        <w:rPr>
          <w:rFonts w:hint="cs"/>
          <w:sz w:val="26"/>
          <w:szCs w:val="26"/>
          <w:rtl/>
          <w:lang w:val="en-US" w:bidi="ar-EG"/>
        </w:rPr>
        <w:t xml:space="preserve">وبعد مناقشات مكثفة مع يونيب (ظهرت في الجزء الخاص بتعليقات الأمانة من هذه الوثيقة) وبعد الحصول على تأكيدات بأن يونيب ويونيدو سوف يتمكنا من مساعدة الحكومة على استكمال الأنشطة الجارية حاليا في إطار المرحلة الأولى من خطة إدارة إزالة المواد الهيدروكلوروفلوروكربونية قدمت الأمانة طلب </w:t>
      </w:r>
      <w:r w:rsidR="00BA42AD">
        <w:rPr>
          <w:rFonts w:hint="cs"/>
          <w:sz w:val="26"/>
          <w:szCs w:val="26"/>
          <w:rtl/>
          <w:lang w:val="en-US" w:bidi="ar-EG"/>
        </w:rPr>
        <w:t>حكومة العراق للدراسة في اللجنة التنفيذية.</w:t>
      </w:r>
    </w:p>
    <w:p w:rsidR="00BA42AD" w:rsidRPr="00BA42AD" w:rsidRDefault="00BA42AD" w:rsidP="009E052D">
      <w:pPr>
        <w:pStyle w:val="StyleHeader4Para4Left0Firstline0"/>
        <w:numPr>
          <w:ilvl w:val="0"/>
          <w:numId w:val="0"/>
        </w:numPr>
        <w:tabs>
          <w:tab w:val="clear" w:pos="2880"/>
          <w:tab w:val="clear" w:pos="5760"/>
          <w:tab w:val="left" w:pos="720"/>
        </w:tabs>
        <w:bidi/>
        <w:spacing w:before="120" w:after="200"/>
        <w:jc w:val="lowKashida"/>
        <w:rPr>
          <w:sz w:val="26"/>
          <w:szCs w:val="26"/>
          <w:u w:val="single"/>
          <w:rtl/>
          <w:lang w:val="en-US" w:bidi="ar-EG"/>
        </w:rPr>
      </w:pPr>
      <w:r w:rsidRPr="00BA42AD">
        <w:rPr>
          <w:rFonts w:hint="cs"/>
          <w:sz w:val="26"/>
          <w:szCs w:val="26"/>
          <w:u w:val="single"/>
          <w:rtl/>
          <w:lang w:val="en-US" w:bidi="ar-EG"/>
        </w:rPr>
        <w:t>تقرير بشأن استهلاك المواد الهيدروكلوروفلوروكربونية</w:t>
      </w:r>
    </w:p>
    <w:p w:rsidR="00967816" w:rsidRDefault="00BA42AD" w:rsidP="009E052D">
      <w:pPr>
        <w:pStyle w:val="StyleHeader4Para4Left0Firstline0"/>
        <w:numPr>
          <w:ilvl w:val="0"/>
          <w:numId w:val="0"/>
        </w:numPr>
        <w:tabs>
          <w:tab w:val="clear" w:pos="2880"/>
          <w:tab w:val="clear" w:pos="5760"/>
        </w:tabs>
        <w:bidi/>
        <w:spacing w:before="120"/>
        <w:jc w:val="lowKashida"/>
        <w:rPr>
          <w:sz w:val="26"/>
          <w:szCs w:val="26"/>
          <w:rtl/>
          <w:lang w:val="en-US" w:bidi="ar-EG"/>
        </w:rPr>
      </w:pPr>
      <w:r>
        <w:rPr>
          <w:rFonts w:hint="cs"/>
          <w:sz w:val="26"/>
          <w:szCs w:val="26"/>
          <w:rtl/>
          <w:lang w:val="en-US" w:bidi="ar-EG"/>
        </w:rPr>
        <w:t>6 -</w:t>
      </w:r>
      <w:r>
        <w:rPr>
          <w:sz w:val="26"/>
          <w:szCs w:val="26"/>
          <w:rtl/>
          <w:lang w:val="en-US" w:bidi="ar-EG"/>
        </w:rPr>
        <w:tab/>
      </w:r>
      <w:r>
        <w:rPr>
          <w:rFonts w:hint="cs"/>
          <w:sz w:val="26"/>
          <w:szCs w:val="26"/>
          <w:rtl/>
          <w:lang w:val="en-US" w:bidi="ar-EG"/>
        </w:rPr>
        <w:t xml:space="preserve">أبلغت </w:t>
      </w:r>
      <w:r w:rsidR="00967816">
        <w:rPr>
          <w:rFonts w:hint="cs"/>
          <w:sz w:val="26"/>
          <w:szCs w:val="26"/>
          <w:rtl/>
          <w:lang w:val="en-US" w:bidi="ar-EG"/>
        </w:rPr>
        <w:t xml:space="preserve">حكومة العراق عن استهلاك يبلغ </w:t>
      </w:r>
      <w:r w:rsidR="00967816">
        <w:rPr>
          <w:sz w:val="26"/>
          <w:szCs w:val="26"/>
          <w:lang w:val="en-US" w:bidi="ar-EG"/>
        </w:rPr>
        <w:t>92.68</w:t>
      </w:r>
      <w:r w:rsidR="00967816">
        <w:rPr>
          <w:rFonts w:hint="cs"/>
          <w:sz w:val="26"/>
          <w:szCs w:val="26"/>
          <w:rtl/>
          <w:lang w:val="en-US" w:bidi="ar-EG"/>
        </w:rPr>
        <w:t xml:space="preserve"> طن من قدرات استنفاد الأوزون من المواد الهيدروكلوروفلوروكربونية عام 2018 وهو أقل بنسبة </w:t>
      </w:r>
      <w:r w:rsidR="00967816">
        <w:rPr>
          <w:sz w:val="26"/>
          <w:szCs w:val="26"/>
          <w:lang w:val="en-US" w:bidi="ar-EG"/>
        </w:rPr>
        <w:t>14.5</w:t>
      </w:r>
      <w:r w:rsidR="00967816">
        <w:rPr>
          <w:rFonts w:hint="cs"/>
          <w:sz w:val="26"/>
          <w:szCs w:val="26"/>
          <w:rtl/>
          <w:lang w:val="en-US" w:bidi="ar-EG"/>
        </w:rPr>
        <w:t xml:space="preserve"> في المائة من خط الأساس للامتثال لهذه المواد. ويرد استهلاك المواد الهيدروكلوروفلوروكربونية للفترة من 2014 إلى 2018 في الجدول 1.</w:t>
      </w:r>
    </w:p>
    <w:p w:rsidR="004712AB" w:rsidRPr="00CC644A" w:rsidRDefault="004712AB" w:rsidP="004712AB">
      <w:pPr>
        <w:pStyle w:val="StyleHeader4Para4Left0Firstline0"/>
        <w:numPr>
          <w:ilvl w:val="0"/>
          <w:numId w:val="0"/>
        </w:numPr>
        <w:tabs>
          <w:tab w:val="clear" w:pos="2880"/>
          <w:tab w:val="clear" w:pos="5760"/>
          <w:tab w:val="left" w:pos="720"/>
        </w:tabs>
        <w:bidi/>
        <w:spacing w:before="120"/>
        <w:rPr>
          <w:b/>
          <w:bCs/>
          <w:sz w:val="26"/>
          <w:szCs w:val="26"/>
          <w:lang w:val="en-US" w:bidi="ar-EG"/>
        </w:rPr>
      </w:pPr>
      <w:r w:rsidRPr="00CC644A">
        <w:rPr>
          <w:rFonts w:hint="cs"/>
          <w:b/>
          <w:bCs/>
          <w:sz w:val="26"/>
          <w:szCs w:val="26"/>
          <w:rtl/>
          <w:lang w:val="en-US" w:bidi="ar-EG"/>
        </w:rPr>
        <w:lastRenderedPageBreak/>
        <w:t xml:space="preserve">الجدول 1. استهلاك المواد الهيدروكلوروفلوروكربونية في </w:t>
      </w:r>
      <w:r w:rsidR="00967816">
        <w:rPr>
          <w:rFonts w:hint="cs"/>
          <w:b/>
          <w:bCs/>
          <w:sz w:val="26"/>
          <w:szCs w:val="26"/>
          <w:rtl/>
          <w:lang w:val="en-US" w:bidi="ar-EG"/>
        </w:rPr>
        <w:t>العراق</w:t>
      </w:r>
      <w:r w:rsidRPr="00CC644A">
        <w:rPr>
          <w:rFonts w:hint="cs"/>
          <w:b/>
          <w:bCs/>
          <w:sz w:val="26"/>
          <w:szCs w:val="26"/>
          <w:rtl/>
          <w:lang w:val="en-US" w:bidi="ar-EG"/>
        </w:rPr>
        <w:t xml:space="preserve"> (</w:t>
      </w:r>
      <w:r>
        <w:rPr>
          <w:b/>
          <w:bCs/>
          <w:sz w:val="26"/>
          <w:szCs w:val="26"/>
          <w:lang w:val="en-US" w:bidi="ar-EG"/>
        </w:rPr>
        <w:t>2018-2014</w:t>
      </w:r>
      <w:r w:rsidRPr="00CC644A">
        <w:rPr>
          <w:rFonts w:hint="cs"/>
          <w:b/>
          <w:bCs/>
          <w:sz w:val="26"/>
          <w:szCs w:val="26"/>
          <w:rtl/>
          <w:lang w:val="en-US" w:bidi="ar-EG"/>
        </w:rPr>
        <w:t xml:space="preserve"> بيانات المادة 7)</w:t>
      </w:r>
    </w:p>
    <w:tbl>
      <w:tblPr>
        <w:bidiVisual/>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1064"/>
        <w:gridCol w:w="1064"/>
        <w:gridCol w:w="1064"/>
        <w:gridCol w:w="1063"/>
        <w:gridCol w:w="1063"/>
        <w:gridCol w:w="1065"/>
      </w:tblGrid>
      <w:tr w:rsidR="004712AB" w:rsidRPr="008769F2" w:rsidTr="00967816">
        <w:trPr>
          <w:trHeight w:val="248"/>
          <w:tblHeader/>
        </w:trPr>
        <w:tc>
          <w:tcPr>
            <w:tcW w:w="1566" w:type="pct"/>
            <w:shd w:val="clear" w:color="auto" w:fill="auto"/>
            <w:noWrap/>
            <w:tcMar>
              <w:left w:w="43" w:type="dxa"/>
              <w:right w:w="43" w:type="dxa"/>
            </w:tcMar>
            <w:vAlign w:val="center"/>
            <w:hideMark/>
          </w:tcPr>
          <w:p w:rsidR="004712AB" w:rsidRPr="008769F2" w:rsidRDefault="009969EA" w:rsidP="004712AB">
            <w:pPr>
              <w:widowControl w:val="0"/>
              <w:bidi/>
              <w:jc w:val="left"/>
              <w:rPr>
                <w:b/>
                <w:bCs/>
                <w:color w:val="000000"/>
                <w:sz w:val="20"/>
                <w:lang w:val="en-CA"/>
              </w:rPr>
            </w:pPr>
            <w:r>
              <w:rPr>
                <w:rFonts w:hint="cs"/>
                <w:b/>
                <w:bCs/>
                <w:color w:val="000000"/>
                <w:sz w:val="20"/>
                <w:rtl/>
                <w:lang w:val="en-CA"/>
              </w:rPr>
              <w:t>الهيدروكلوروفلوروكربون</w:t>
            </w:r>
            <w:r w:rsidR="000C387F">
              <w:rPr>
                <w:rFonts w:hint="cs"/>
                <w:b/>
                <w:bCs/>
                <w:color w:val="000000"/>
                <w:sz w:val="20"/>
                <w:rtl/>
                <w:lang w:val="en-CA"/>
              </w:rPr>
              <w:t>-22</w:t>
            </w:r>
          </w:p>
        </w:tc>
        <w:tc>
          <w:tcPr>
            <w:tcW w:w="572" w:type="pct"/>
            <w:shd w:val="clear" w:color="auto" w:fill="auto"/>
            <w:noWrap/>
            <w:vAlign w:val="center"/>
            <w:hideMark/>
          </w:tcPr>
          <w:p w:rsidR="004712AB" w:rsidRPr="008769F2" w:rsidRDefault="004712AB" w:rsidP="004712AB">
            <w:pPr>
              <w:widowControl w:val="0"/>
              <w:jc w:val="center"/>
              <w:rPr>
                <w:b/>
                <w:bCs/>
                <w:color w:val="000000"/>
                <w:sz w:val="20"/>
                <w:lang w:val="en-CA"/>
              </w:rPr>
            </w:pPr>
            <w:r w:rsidRPr="008769F2">
              <w:rPr>
                <w:b/>
                <w:bCs/>
                <w:color w:val="000000"/>
                <w:sz w:val="20"/>
                <w:lang w:val="en-CA"/>
              </w:rPr>
              <w:t>2014</w:t>
            </w:r>
          </w:p>
        </w:tc>
        <w:tc>
          <w:tcPr>
            <w:tcW w:w="572" w:type="pct"/>
            <w:shd w:val="clear" w:color="auto" w:fill="auto"/>
            <w:noWrap/>
            <w:hideMark/>
          </w:tcPr>
          <w:p w:rsidR="004712AB" w:rsidRPr="008769F2" w:rsidRDefault="004712AB" w:rsidP="004712AB">
            <w:pPr>
              <w:widowControl w:val="0"/>
              <w:jc w:val="center"/>
              <w:rPr>
                <w:b/>
                <w:bCs/>
                <w:color w:val="000000"/>
                <w:sz w:val="20"/>
                <w:lang w:val="en-CA"/>
              </w:rPr>
            </w:pPr>
            <w:r w:rsidRPr="008769F2">
              <w:rPr>
                <w:b/>
                <w:bCs/>
                <w:color w:val="000000"/>
                <w:sz w:val="20"/>
                <w:lang w:val="en-CA"/>
              </w:rPr>
              <w:t>2015</w:t>
            </w:r>
          </w:p>
        </w:tc>
        <w:tc>
          <w:tcPr>
            <w:tcW w:w="572" w:type="pct"/>
          </w:tcPr>
          <w:p w:rsidR="004712AB" w:rsidRPr="008769F2" w:rsidRDefault="004712AB" w:rsidP="004712AB">
            <w:pPr>
              <w:widowControl w:val="0"/>
              <w:jc w:val="center"/>
              <w:rPr>
                <w:b/>
                <w:bCs/>
                <w:color w:val="000000"/>
                <w:sz w:val="20"/>
                <w:lang w:val="en-CA"/>
              </w:rPr>
            </w:pPr>
            <w:r w:rsidRPr="008769F2">
              <w:rPr>
                <w:b/>
                <w:bCs/>
                <w:color w:val="000000"/>
                <w:sz w:val="20"/>
                <w:lang w:val="en-CA"/>
              </w:rPr>
              <w:t>2016</w:t>
            </w:r>
          </w:p>
        </w:tc>
        <w:tc>
          <w:tcPr>
            <w:tcW w:w="572" w:type="pct"/>
          </w:tcPr>
          <w:p w:rsidR="004712AB" w:rsidRPr="008769F2" w:rsidRDefault="004712AB" w:rsidP="004712AB">
            <w:pPr>
              <w:widowControl w:val="0"/>
              <w:jc w:val="center"/>
              <w:rPr>
                <w:b/>
                <w:bCs/>
                <w:color w:val="000000"/>
                <w:sz w:val="20"/>
                <w:lang w:val="en-CA"/>
              </w:rPr>
            </w:pPr>
            <w:r w:rsidRPr="008769F2">
              <w:rPr>
                <w:b/>
                <w:bCs/>
                <w:color w:val="000000"/>
                <w:sz w:val="20"/>
                <w:lang w:val="en-CA"/>
              </w:rPr>
              <w:t>2017</w:t>
            </w:r>
          </w:p>
        </w:tc>
        <w:tc>
          <w:tcPr>
            <w:tcW w:w="572" w:type="pct"/>
          </w:tcPr>
          <w:p w:rsidR="004712AB" w:rsidRPr="008769F2" w:rsidRDefault="004712AB" w:rsidP="004712AB">
            <w:pPr>
              <w:widowControl w:val="0"/>
              <w:jc w:val="center"/>
              <w:rPr>
                <w:b/>
                <w:bCs/>
                <w:color w:val="000000"/>
                <w:sz w:val="20"/>
                <w:lang w:val="en-CA"/>
              </w:rPr>
            </w:pPr>
            <w:r w:rsidRPr="008769F2">
              <w:rPr>
                <w:b/>
                <w:bCs/>
                <w:color w:val="000000"/>
                <w:sz w:val="20"/>
                <w:lang w:val="en-CA"/>
              </w:rPr>
              <w:t>201</w:t>
            </w:r>
            <w:r>
              <w:rPr>
                <w:b/>
                <w:bCs/>
                <w:color w:val="000000"/>
                <w:sz w:val="20"/>
                <w:lang w:val="en-CA"/>
              </w:rPr>
              <w:t>8</w:t>
            </w:r>
          </w:p>
        </w:tc>
        <w:tc>
          <w:tcPr>
            <w:tcW w:w="573" w:type="pct"/>
            <w:shd w:val="clear" w:color="auto" w:fill="auto"/>
            <w:noWrap/>
            <w:vAlign w:val="center"/>
            <w:hideMark/>
          </w:tcPr>
          <w:p w:rsidR="004712AB" w:rsidRPr="008769F2" w:rsidRDefault="004712AB" w:rsidP="004712AB">
            <w:pPr>
              <w:widowControl w:val="0"/>
              <w:jc w:val="center"/>
              <w:rPr>
                <w:b/>
                <w:bCs/>
                <w:color w:val="000000"/>
                <w:sz w:val="20"/>
                <w:lang w:val="en-CA"/>
              </w:rPr>
            </w:pPr>
            <w:r>
              <w:rPr>
                <w:rFonts w:hint="cs"/>
                <w:b/>
                <w:bCs/>
                <w:color w:val="000000"/>
                <w:sz w:val="20"/>
                <w:rtl/>
                <w:lang w:val="en-CA"/>
              </w:rPr>
              <w:t>خط الأساس</w:t>
            </w:r>
            <w:r w:rsidR="00967816">
              <w:rPr>
                <w:rFonts w:hint="cs"/>
                <w:b/>
                <w:bCs/>
                <w:color w:val="000000"/>
                <w:sz w:val="20"/>
                <w:rtl/>
                <w:lang w:val="en-CA"/>
              </w:rPr>
              <w:t>*</w:t>
            </w:r>
          </w:p>
        </w:tc>
      </w:tr>
      <w:tr w:rsidR="00967816" w:rsidRPr="008769F2" w:rsidTr="00967816">
        <w:trPr>
          <w:trHeight w:val="240"/>
        </w:trPr>
        <w:tc>
          <w:tcPr>
            <w:tcW w:w="1566" w:type="pct"/>
            <w:shd w:val="clear" w:color="auto" w:fill="auto"/>
            <w:noWrap/>
            <w:tcMar>
              <w:left w:w="43" w:type="dxa"/>
              <w:right w:w="43" w:type="dxa"/>
            </w:tcMar>
            <w:vAlign w:val="center"/>
            <w:hideMark/>
          </w:tcPr>
          <w:p w:rsidR="00967816" w:rsidRPr="00967816" w:rsidRDefault="00967816" w:rsidP="00967816">
            <w:pPr>
              <w:widowControl w:val="0"/>
              <w:bidi/>
              <w:jc w:val="left"/>
              <w:rPr>
                <w:b/>
                <w:color w:val="000000"/>
                <w:sz w:val="20"/>
                <w:lang w:val="en-CA"/>
              </w:rPr>
            </w:pPr>
            <w:r w:rsidRPr="00967816">
              <w:rPr>
                <w:rFonts w:hint="cs"/>
                <w:b/>
                <w:color w:val="000000"/>
                <w:sz w:val="20"/>
                <w:rtl/>
                <w:lang w:val="en-CA"/>
              </w:rPr>
              <w:t>طن متري</w:t>
            </w:r>
          </w:p>
        </w:tc>
        <w:tc>
          <w:tcPr>
            <w:tcW w:w="572" w:type="pct"/>
            <w:shd w:val="clear" w:color="auto" w:fill="auto"/>
            <w:noWrap/>
            <w:vAlign w:val="bottom"/>
          </w:tcPr>
          <w:p w:rsidR="00967816" w:rsidRPr="00A97A60" w:rsidRDefault="00967816" w:rsidP="00967816">
            <w:pPr>
              <w:jc w:val="right"/>
              <w:rPr>
                <w:color w:val="000000"/>
                <w:sz w:val="20"/>
                <w:lang w:val="en-CA"/>
              </w:rPr>
            </w:pPr>
            <w:r w:rsidRPr="00A97A60">
              <w:rPr>
                <w:color w:val="000000"/>
                <w:sz w:val="20"/>
              </w:rPr>
              <w:t>1</w:t>
            </w:r>
            <w:r>
              <w:rPr>
                <w:color w:val="000000"/>
                <w:sz w:val="20"/>
              </w:rPr>
              <w:t>,</w:t>
            </w:r>
            <w:r w:rsidRPr="00A97A60">
              <w:rPr>
                <w:color w:val="000000"/>
                <w:sz w:val="20"/>
              </w:rPr>
              <w:t>760.5</w:t>
            </w:r>
            <w:r>
              <w:rPr>
                <w:color w:val="000000"/>
                <w:sz w:val="20"/>
              </w:rPr>
              <w:t>0</w:t>
            </w:r>
          </w:p>
        </w:tc>
        <w:tc>
          <w:tcPr>
            <w:tcW w:w="572" w:type="pct"/>
            <w:shd w:val="clear" w:color="auto" w:fill="auto"/>
            <w:noWrap/>
            <w:vAlign w:val="bottom"/>
          </w:tcPr>
          <w:p w:rsidR="00967816" w:rsidRPr="00A97A60" w:rsidRDefault="00967816" w:rsidP="00967816">
            <w:pPr>
              <w:jc w:val="right"/>
              <w:rPr>
                <w:color w:val="000000"/>
                <w:sz w:val="20"/>
                <w:lang w:val="en-CA"/>
              </w:rPr>
            </w:pPr>
            <w:r w:rsidRPr="00A97A60">
              <w:rPr>
                <w:color w:val="000000"/>
                <w:sz w:val="20"/>
              </w:rPr>
              <w:t>1</w:t>
            </w:r>
            <w:r>
              <w:rPr>
                <w:color w:val="000000"/>
                <w:sz w:val="20"/>
              </w:rPr>
              <w:t>,</w:t>
            </w:r>
            <w:r w:rsidRPr="00A97A60">
              <w:rPr>
                <w:color w:val="000000"/>
                <w:sz w:val="20"/>
              </w:rPr>
              <w:t>698</w:t>
            </w:r>
            <w:r>
              <w:rPr>
                <w:color w:val="000000"/>
                <w:sz w:val="20"/>
              </w:rPr>
              <w:t>.00</w:t>
            </w:r>
          </w:p>
        </w:tc>
        <w:tc>
          <w:tcPr>
            <w:tcW w:w="572" w:type="pct"/>
            <w:vAlign w:val="bottom"/>
          </w:tcPr>
          <w:p w:rsidR="00967816" w:rsidRPr="00A97A60" w:rsidRDefault="00967816" w:rsidP="00967816">
            <w:pPr>
              <w:widowControl w:val="0"/>
              <w:jc w:val="right"/>
              <w:rPr>
                <w:bCs/>
                <w:color w:val="000000"/>
                <w:sz w:val="20"/>
                <w:lang w:val="en-CA"/>
              </w:rPr>
            </w:pPr>
            <w:r w:rsidRPr="00A97A60">
              <w:rPr>
                <w:color w:val="000000"/>
                <w:sz w:val="20"/>
              </w:rPr>
              <w:t>1</w:t>
            </w:r>
            <w:r>
              <w:rPr>
                <w:color w:val="000000"/>
                <w:sz w:val="20"/>
              </w:rPr>
              <w:t>,</w:t>
            </w:r>
            <w:r w:rsidRPr="00A97A60">
              <w:rPr>
                <w:color w:val="000000"/>
                <w:sz w:val="20"/>
              </w:rPr>
              <w:t>695</w:t>
            </w:r>
            <w:r>
              <w:rPr>
                <w:color w:val="000000"/>
                <w:sz w:val="20"/>
              </w:rPr>
              <w:t>.00</w:t>
            </w:r>
          </w:p>
        </w:tc>
        <w:tc>
          <w:tcPr>
            <w:tcW w:w="572" w:type="pct"/>
            <w:vAlign w:val="bottom"/>
          </w:tcPr>
          <w:p w:rsidR="00967816" w:rsidRPr="00A97A60" w:rsidRDefault="00967816" w:rsidP="00967816">
            <w:pPr>
              <w:widowControl w:val="0"/>
              <w:jc w:val="right"/>
              <w:rPr>
                <w:bCs/>
                <w:color w:val="000000"/>
                <w:sz w:val="20"/>
                <w:lang w:val="en-CA"/>
              </w:rPr>
            </w:pPr>
            <w:r w:rsidRPr="00A97A60">
              <w:rPr>
                <w:color w:val="000000"/>
                <w:sz w:val="20"/>
              </w:rPr>
              <w:t>1</w:t>
            </w:r>
            <w:r>
              <w:rPr>
                <w:color w:val="000000"/>
                <w:sz w:val="20"/>
              </w:rPr>
              <w:t>,</w:t>
            </w:r>
            <w:r w:rsidRPr="00A97A60">
              <w:rPr>
                <w:color w:val="000000"/>
                <w:sz w:val="20"/>
              </w:rPr>
              <w:t>664</w:t>
            </w:r>
            <w:r>
              <w:rPr>
                <w:color w:val="000000"/>
                <w:sz w:val="20"/>
              </w:rPr>
              <w:t>.00</w:t>
            </w:r>
          </w:p>
        </w:tc>
        <w:tc>
          <w:tcPr>
            <w:tcW w:w="572" w:type="pct"/>
          </w:tcPr>
          <w:p w:rsidR="00967816" w:rsidRPr="00FE3307" w:rsidRDefault="00967816" w:rsidP="00967816">
            <w:pPr>
              <w:widowControl w:val="0"/>
              <w:jc w:val="right"/>
              <w:rPr>
                <w:rFonts w:eastAsiaTheme="minorHAnsi"/>
                <w:color w:val="000000"/>
                <w:sz w:val="20"/>
                <w:lang w:val="en-CA"/>
              </w:rPr>
            </w:pPr>
            <w:r>
              <w:rPr>
                <w:rFonts w:eastAsiaTheme="minorHAnsi"/>
                <w:color w:val="000000"/>
                <w:sz w:val="20"/>
                <w:lang w:val="en-CA"/>
              </w:rPr>
              <w:t>1,685.09</w:t>
            </w:r>
          </w:p>
        </w:tc>
        <w:tc>
          <w:tcPr>
            <w:tcW w:w="573" w:type="pct"/>
            <w:shd w:val="clear" w:color="auto" w:fill="auto"/>
            <w:noWrap/>
            <w:vAlign w:val="center"/>
          </w:tcPr>
          <w:p w:rsidR="00967816" w:rsidRPr="00FE3307" w:rsidRDefault="00967816" w:rsidP="00967816">
            <w:pPr>
              <w:widowControl w:val="0"/>
              <w:jc w:val="right"/>
              <w:rPr>
                <w:b/>
                <w:bCs/>
                <w:color w:val="000000"/>
                <w:sz w:val="20"/>
                <w:lang w:val="en-CA"/>
              </w:rPr>
            </w:pPr>
            <w:r>
              <w:rPr>
                <w:b/>
                <w:bCs/>
                <w:color w:val="000000"/>
                <w:sz w:val="20"/>
                <w:lang w:val="en-CA"/>
              </w:rPr>
              <w:t>1,970.9</w:t>
            </w:r>
          </w:p>
        </w:tc>
      </w:tr>
      <w:tr w:rsidR="00967816" w:rsidRPr="008769F2" w:rsidTr="00967816">
        <w:trPr>
          <w:trHeight w:val="240"/>
        </w:trPr>
        <w:tc>
          <w:tcPr>
            <w:tcW w:w="1566" w:type="pct"/>
            <w:shd w:val="clear" w:color="auto" w:fill="auto"/>
            <w:noWrap/>
            <w:tcMar>
              <w:left w:w="43" w:type="dxa"/>
              <w:right w:w="43" w:type="dxa"/>
            </w:tcMar>
          </w:tcPr>
          <w:p w:rsidR="00967816" w:rsidRPr="00967816" w:rsidRDefault="00967816" w:rsidP="00967816">
            <w:pPr>
              <w:widowControl w:val="0"/>
              <w:bidi/>
              <w:jc w:val="left"/>
              <w:rPr>
                <w:b/>
                <w:color w:val="000000"/>
                <w:sz w:val="20"/>
                <w:rtl/>
                <w:lang w:val="en-CA"/>
              </w:rPr>
            </w:pPr>
            <w:r w:rsidRPr="00967816">
              <w:rPr>
                <w:rFonts w:hint="cs"/>
                <w:b/>
                <w:color w:val="000000"/>
                <w:sz w:val="20"/>
                <w:rtl/>
                <w:lang w:val="en-CA"/>
              </w:rPr>
              <w:t>طن من قدرات استنفاد الأوزون</w:t>
            </w:r>
          </w:p>
        </w:tc>
        <w:tc>
          <w:tcPr>
            <w:tcW w:w="572" w:type="pct"/>
            <w:shd w:val="clear" w:color="auto" w:fill="auto"/>
            <w:noWrap/>
          </w:tcPr>
          <w:p w:rsidR="00967816" w:rsidRPr="00FE3307" w:rsidRDefault="00967816" w:rsidP="00967816">
            <w:pPr>
              <w:jc w:val="right"/>
              <w:rPr>
                <w:rFonts w:eastAsiaTheme="minorHAnsi"/>
                <w:color w:val="000000"/>
                <w:sz w:val="20"/>
                <w:lang w:val="en-CA"/>
              </w:rPr>
            </w:pPr>
            <w:r>
              <w:rPr>
                <w:rFonts w:eastAsiaTheme="minorHAnsi"/>
                <w:color w:val="000000"/>
                <w:sz w:val="20"/>
                <w:lang w:val="en-CA"/>
              </w:rPr>
              <w:t>96.83</w:t>
            </w:r>
          </w:p>
        </w:tc>
        <w:tc>
          <w:tcPr>
            <w:tcW w:w="572" w:type="pct"/>
            <w:shd w:val="clear" w:color="auto" w:fill="auto"/>
            <w:noWrap/>
          </w:tcPr>
          <w:p w:rsidR="00967816" w:rsidRPr="00FE3307" w:rsidRDefault="00967816" w:rsidP="00967816">
            <w:pPr>
              <w:jc w:val="right"/>
              <w:rPr>
                <w:color w:val="000000"/>
                <w:sz w:val="20"/>
                <w:lang w:val="en-CA"/>
              </w:rPr>
            </w:pPr>
            <w:r>
              <w:rPr>
                <w:color w:val="000000"/>
                <w:sz w:val="20"/>
                <w:lang w:val="en-CA"/>
              </w:rPr>
              <w:t>93.39</w:t>
            </w:r>
          </w:p>
        </w:tc>
        <w:tc>
          <w:tcPr>
            <w:tcW w:w="572" w:type="pct"/>
          </w:tcPr>
          <w:p w:rsidR="00967816" w:rsidRPr="00FE3307" w:rsidRDefault="00967816" w:rsidP="00967816">
            <w:pPr>
              <w:jc w:val="right"/>
              <w:rPr>
                <w:color w:val="000000"/>
                <w:sz w:val="20"/>
                <w:lang w:val="en-CA"/>
              </w:rPr>
            </w:pPr>
            <w:r>
              <w:rPr>
                <w:color w:val="000000"/>
                <w:sz w:val="20"/>
                <w:lang w:val="en-CA"/>
              </w:rPr>
              <w:t>93.22</w:t>
            </w:r>
          </w:p>
        </w:tc>
        <w:tc>
          <w:tcPr>
            <w:tcW w:w="572" w:type="pct"/>
          </w:tcPr>
          <w:p w:rsidR="00967816" w:rsidRPr="00FE3307" w:rsidRDefault="00967816" w:rsidP="00967816">
            <w:pPr>
              <w:jc w:val="right"/>
              <w:rPr>
                <w:sz w:val="20"/>
                <w:lang w:val="en-CA"/>
              </w:rPr>
            </w:pPr>
            <w:r>
              <w:rPr>
                <w:sz w:val="20"/>
                <w:lang w:val="en-CA"/>
              </w:rPr>
              <w:t>91.52</w:t>
            </w:r>
          </w:p>
        </w:tc>
        <w:tc>
          <w:tcPr>
            <w:tcW w:w="572" w:type="pct"/>
          </w:tcPr>
          <w:p w:rsidR="00967816" w:rsidRPr="00FE3307" w:rsidRDefault="00967816" w:rsidP="00967816">
            <w:pPr>
              <w:jc w:val="right"/>
              <w:rPr>
                <w:rFonts w:eastAsiaTheme="minorHAnsi"/>
                <w:color w:val="000000"/>
                <w:sz w:val="20"/>
                <w:lang w:val="en-CA"/>
              </w:rPr>
            </w:pPr>
            <w:r w:rsidRPr="00A97A60">
              <w:rPr>
                <w:rFonts w:eastAsiaTheme="minorHAnsi"/>
                <w:color w:val="000000"/>
                <w:sz w:val="20"/>
                <w:lang w:val="en-CA"/>
              </w:rPr>
              <w:t>92.68</w:t>
            </w:r>
          </w:p>
        </w:tc>
        <w:tc>
          <w:tcPr>
            <w:tcW w:w="573" w:type="pct"/>
            <w:shd w:val="clear" w:color="auto" w:fill="auto"/>
            <w:noWrap/>
          </w:tcPr>
          <w:p w:rsidR="00967816" w:rsidRPr="001117F5" w:rsidRDefault="00967816" w:rsidP="00967816">
            <w:pPr>
              <w:jc w:val="right"/>
              <w:rPr>
                <w:rFonts w:eastAsiaTheme="minorHAnsi"/>
                <w:b/>
                <w:color w:val="000000"/>
                <w:sz w:val="20"/>
                <w:lang w:val="en-CA"/>
              </w:rPr>
            </w:pPr>
            <w:r w:rsidRPr="001117F5">
              <w:rPr>
                <w:rFonts w:eastAsiaTheme="minorHAnsi"/>
                <w:b/>
                <w:color w:val="000000"/>
                <w:sz w:val="20"/>
                <w:lang w:val="en-CA"/>
              </w:rPr>
              <w:t>108.</w:t>
            </w:r>
            <w:r>
              <w:rPr>
                <w:rFonts w:eastAsiaTheme="minorHAnsi"/>
                <w:b/>
                <w:color w:val="000000"/>
                <w:sz w:val="20"/>
                <w:lang w:val="en-CA"/>
              </w:rPr>
              <w:t>4</w:t>
            </w:r>
          </w:p>
        </w:tc>
      </w:tr>
    </w:tbl>
    <w:p w:rsidR="000B7A14" w:rsidRDefault="004712AB" w:rsidP="000C387F">
      <w:pPr>
        <w:bidi/>
        <w:spacing w:before="120" w:after="60"/>
        <w:ind w:left="662" w:hanging="662"/>
        <w:rPr>
          <w:b/>
          <w:color w:val="000000"/>
          <w:sz w:val="20"/>
          <w:lang w:val="en-US" w:bidi="ar-EG"/>
        </w:rPr>
      </w:pPr>
      <w:r>
        <w:rPr>
          <w:rFonts w:hint="cs"/>
          <w:rtl/>
          <w:lang w:val="en-US" w:bidi="ar-EG"/>
        </w:rPr>
        <w:t>*</w:t>
      </w:r>
      <w:r>
        <w:rPr>
          <w:rtl/>
          <w:lang w:val="en-US" w:bidi="ar-EG"/>
        </w:rPr>
        <w:tab/>
      </w:r>
      <w:r w:rsidR="00967816">
        <w:rPr>
          <w:rFonts w:hint="cs"/>
          <w:b/>
          <w:color w:val="000000"/>
          <w:sz w:val="20"/>
          <w:rtl/>
          <w:lang w:val="en-CA"/>
        </w:rPr>
        <w:t xml:space="preserve">يشمل خط الأساس </w:t>
      </w:r>
      <w:r w:rsidR="00967816" w:rsidRPr="00967816">
        <w:rPr>
          <w:b/>
          <w:color w:val="000000"/>
          <w:sz w:val="18"/>
          <w:szCs w:val="18"/>
          <w:lang w:val="en-US"/>
        </w:rPr>
        <w:t>0.05</w:t>
      </w:r>
      <w:r w:rsidR="00967816">
        <w:rPr>
          <w:rFonts w:hint="cs"/>
          <w:b/>
          <w:color w:val="000000"/>
          <w:sz w:val="20"/>
          <w:rtl/>
          <w:lang w:val="en-US" w:bidi="ar-EG"/>
        </w:rPr>
        <w:t xml:space="preserve"> طن من قدرات استنفاد الأوزون من الهيدروكلوروفلوروكربون-124 و </w:t>
      </w:r>
      <w:r w:rsidR="00967816">
        <w:rPr>
          <w:b/>
          <w:color w:val="000000"/>
          <w:sz w:val="20"/>
          <w:lang w:val="en-US" w:bidi="ar-EG"/>
        </w:rPr>
        <w:t>0.09</w:t>
      </w:r>
      <w:r w:rsidR="00967816">
        <w:rPr>
          <w:rFonts w:hint="cs"/>
          <w:b/>
          <w:color w:val="000000"/>
          <w:sz w:val="20"/>
          <w:rtl/>
          <w:lang w:val="en-US" w:bidi="ar-EG"/>
        </w:rPr>
        <w:t xml:space="preserve"> طن من قدرات استنفاد الأوزون من الهيدروكلوروفلوروكربون-1</w:t>
      </w:r>
      <w:r w:rsidR="000C387F">
        <w:rPr>
          <w:rFonts w:hint="cs"/>
          <w:b/>
          <w:color w:val="000000"/>
          <w:sz w:val="20"/>
          <w:rtl/>
          <w:lang w:val="en-US" w:bidi="ar-EG"/>
        </w:rPr>
        <w:t>42</w:t>
      </w:r>
      <w:r w:rsidR="00967816">
        <w:rPr>
          <w:rFonts w:hint="cs"/>
          <w:b/>
          <w:color w:val="000000"/>
          <w:sz w:val="20"/>
          <w:rtl/>
          <w:lang w:val="en-US" w:bidi="ar-EG"/>
        </w:rPr>
        <w:t>ب. إلا أنه لم يتم استهلاك هذه المواد منذ عام 2010.</w:t>
      </w:r>
    </w:p>
    <w:p w:rsidR="009E052D" w:rsidRPr="009E052D" w:rsidRDefault="009E052D" w:rsidP="009E052D">
      <w:pPr>
        <w:bidi/>
        <w:spacing w:before="120" w:after="60"/>
        <w:ind w:left="662" w:hanging="662"/>
        <w:rPr>
          <w:sz w:val="12"/>
          <w:szCs w:val="12"/>
          <w:rtl/>
          <w:lang w:val="en-US" w:bidi="ar-EG"/>
        </w:rPr>
      </w:pPr>
    </w:p>
    <w:p w:rsidR="00967816" w:rsidRDefault="0090495D" w:rsidP="00967816">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7 -</w:t>
      </w:r>
      <w:r>
        <w:rPr>
          <w:sz w:val="26"/>
          <w:szCs w:val="26"/>
          <w:rtl/>
          <w:lang w:val="en-US" w:bidi="ar-EG"/>
        </w:rPr>
        <w:tab/>
      </w:r>
      <w:r w:rsidR="00967816">
        <w:rPr>
          <w:rFonts w:hint="cs"/>
          <w:sz w:val="26"/>
          <w:szCs w:val="26"/>
          <w:rtl/>
          <w:lang w:val="en-US" w:bidi="ar-EG"/>
        </w:rPr>
        <w:t>أسهمت الأنشطة التي يتم تنفيذها في إطار المرحلة الأولى في الحفاظ على نفس مستوى الاستهلاك بالرغم من زيادة الطلب على المعدات القائمة على المواد الهيدروكلوروفلوروكربونية بسبب النمو السكاني والاقتصادي. وتخطط الحكومة للوفاء بهدف عام 2020 من خلال الإنفاذ الصارم لنظام الترخيص بالإضافة إلى استكمال أنشطة الإزالة الجارية حاليا في إطار المرحلة الأولى. ومن المتوقع أن تحدث تخفيضات أكبر في استهلاك المواد الهيدروكلوروفلوروكربونية عند تنفيذ عناصر الاستثمار المخطط لها في إطار المرحلة الثانية من خطة إدارة إزالة المواد الهيدروكلوروفلوروكربونية.</w:t>
      </w:r>
    </w:p>
    <w:p w:rsidR="00154388" w:rsidRPr="00154388" w:rsidRDefault="00967816" w:rsidP="00154388">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Pr>
          <w:rFonts w:hint="cs"/>
          <w:i/>
          <w:iCs/>
          <w:sz w:val="26"/>
          <w:szCs w:val="26"/>
          <w:rtl/>
          <w:lang w:val="en-US" w:bidi="ar-EG"/>
        </w:rPr>
        <w:t>تقرير تنفيذ البرنامج القطري</w:t>
      </w:r>
    </w:p>
    <w:p w:rsidR="00DC5715" w:rsidRDefault="00DC5715" w:rsidP="00154388">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8 -</w:t>
      </w:r>
      <w:r>
        <w:rPr>
          <w:sz w:val="26"/>
          <w:szCs w:val="26"/>
          <w:rtl/>
          <w:lang w:val="en-US" w:bidi="ar-EG"/>
        </w:rPr>
        <w:tab/>
      </w:r>
      <w:r w:rsidR="00967816">
        <w:rPr>
          <w:rFonts w:hint="cs"/>
          <w:sz w:val="26"/>
          <w:szCs w:val="26"/>
          <w:rtl/>
          <w:lang w:val="en-US" w:bidi="ar-EG"/>
        </w:rPr>
        <w:t xml:space="preserve">أبلغت حكومة العراق عن بيانات </w:t>
      </w:r>
      <w:r w:rsidR="002646E3">
        <w:rPr>
          <w:rFonts w:hint="cs"/>
          <w:sz w:val="26"/>
          <w:szCs w:val="26"/>
          <w:rtl/>
          <w:lang w:val="en-US" w:bidi="ar-EG"/>
        </w:rPr>
        <w:t>استهلاك قطاع المواد الهيدروكلوروفلوروكربونية في إطار تقرير تنفيذ البرنامج القطري وهي متسقة والبيانات المبلغ عنها بموجب المادة 7 من بروتوكول مونتريال. وكان المستوى المقدر لاستخدام المواد الهيدروكلوروفلوروكربونية لعام 2018 المبلغ عنه في تقرير تنفيذ البرنامج القطري أقل بقليل (</w:t>
      </w:r>
      <w:r w:rsidR="009E33BA">
        <w:rPr>
          <w:sz w:val="26"/>
          <w:szCs w:val="26"/>
          <w:lang w:val="en-US" w:bidi="ar-EG"/>
        </w:rPr>
        <w:t>10</w:t>
      </w:r>
      <w:r w:rsidR="009E33BA">
        <w:rPr>
          <w:rFonts w:hint="cs"/>
          <w:sz w:val="26"/>
          <w:szCs w:val="26"/>
          <w:rtl/>
          <w:lang w:val="en-US" w:bidi="ar-EG"/>
        </w:rPr>
        <w:t xml:space="preserve"> طن متري أو </w:t>
      </w:r>
      <w:r w:rsidR="009E33BA">
        <w:rPr>
          <w:sz w:val="26"/>
          <w:szCs w:val="26"/>
          <w:lang w:val="en-US" w:bidi="ar-EG"/>
        </w:rPr>
        <w:t>0.55</w:t>
      </w:r>
      <w:r w:rsidR="009E33BA">
        <w:rPr>
          <w:rFonts w:hint="cs"/>
          <w:sz w:val="26"/>
          <w:szCs w:val="26"/>
          <w:rtl/>
          <w:lang w:val="en-US" w:bidi="ar-EG"/>
        </w:rPr>
        <w:t xml:space="preserve"> طن من قدرات استنفاد الأوزون) من مستوى الواردات المبلغ عنه في إطار تقرير المادة 7.</w:t>
      </w:r>
    </w:p>
    <w:p w:rsidR="00DC5715" w:rsidRPr="00FA1D69" w:rsidRDefault="009E33BA" w:rsidP="00DC5715">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Pr>
          <w:rFonts w:hint="cs"/>
          <w:i/>
          <w:iCs/>
          <w:sz w:val="26"/>
          <w:szCs w:val="26"/>
          <w:rtl/>
          <w:lang w:val="en-US" w:bidi="ar-EG"/>
        </w:rPr>
        <w:t>تقرير التحقق</w:t>
      </w:r>
    </w:p>
    <w:p w:rsidR="00FA1D69" w:rsidRDefault="00FA1D69" w:rsidP="00FA1D69">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9 -</w:t>
      </w:r>
      <w:r>
        <w:rPr>
          <w:sz w:val="26"/>
          <w:szCs w:val="26"/>
          <w:rtl/>
          <w:lang w:val="en-US" w:bidi="ar-EG"/>
        </w:rPr>
        <w:tab/>
      </w:r>
      <w:r w:rsidR="009E33BA">
        <w:rPr>
          <w:rFonts w:hint="cs"/>
          <w:sz w:val="26"/>
          <w:szCs w:val="26"/>
          <w:rtl/>
          <w:lang w:val="en-US" w:bidi="ar-EG"/>
        </w:rPr>
        <w:t>أكد تقرير التحقق أن الحكومة تقوم بتنفيذ نظام ترخيص وحصص لواردات وصادرات المواد الهيدروكلوروفلوروكربونية وأن إجمالي استهلاك هذه المواد للفترة من عام 2015 إلى عام 2018 كان المبلغ عنه بموجب المادة 7 من بروتوكول مونتريال. وخلص التحقق إلى أن العراق في حالة امتثال بأقصى مستويات استهلاك مسموح بها والمحددة في اتفاق</w:t>
      </w:r>
      <w:r w:rsidR="000C387F">
        <w:rPr>
          <w:rFonts w:hint="cs"/>
          <w:sz w:val="26"/>
          <w:szCs w:val="26"/>
          <w:rtl/>
          <w:lang w:val="en-US" w:bidi="ar-EG"/>
        </w:rPr>
        <w:t>ه</w:t>
      </w:r>
      <w:r w:rsidR="009E33BA">
        <w:rPr>
          <w:rFonts w:hint="cs"/>
          <w:sz w:val="26"/>
          <w:szCs w:val="26"/>
          <w:rtl/>
          <w:lang w:val="en-US" w:bidi="ar-EG"/>
        </w:rPr>
        <w:t xml:space="preserve"> مع اللجنة التنفيذية.</w:t>
      </w:r>
    </w:p>
    <w:p w:rsidR="009E33BA" w:rsidRPr="009E33BA" w:rsidRDefault="009E33BA" w:rsidP="009E33BA">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9E33BA">
        <w:rPr>
          <w:rFonts w:hint="cs"/>
          <w:sz w:val="26"/>
          <w:szCs w:val="26"/>
          <w:u w:val="single"/>
          <w:rtl/>
          <w:lang w:val="en-US" w:bidi="ar-EG"/>
        </w:rPr>
        <w:t>تقرير مرحلي بشأن تنفيذ الشريحة الثانية من خطة إدارة إزالة المواد الهيدروكلوروفلوروكربونية</w:t>
      </w:r>
    </w:p>
    <w:p w:rsidR="009E33BA" w:rsidRPr="009E33BA" w:rsidRDefault="009E33BA" w:rsidP="009E33BA">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9E33BA">
        <w:rPr>
          <w:rFonts w:hint="cs"/>
          <w:i/>
          <w:iCs/>
          <w:sz w:val="26"/>
          <w:szCs w:val="26"/>
          <w:rtl/>
          <w:lang w:val="en-US" w:bidi="ar-EG"/>
        </w:rPr>
        <w:t xml:space="preserve">الإطار القانوني </w:t>
      </w:r>
    </w:p>
    <w:p w:rsidR="00FA1D69" w:rsidRDefault="00FA1D69" w:rsidP="00FA1D69">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10 -</w:t>
      </w:r>
      <w:r>
        <w:rPr>
          <w:sz w:val="26"/>
          <w:szCs w:val="26"/>
          <w:rtl/>
          <w:lang w:val="en-US" w:bidi="ar-EG"/>
        </w:rPr>
        <w:tab/>
      </w:r>
      <w:r w:rsidR="009E33BA">
        <w:rPr>
          <w:rFonts w:hint="cs"/>
          <w:sz w:val="26"/>
          <w:szCs w:val="26"/>
          <w:rtl/>
          <w:lang w:val="en-US" w:bidi="ar-EG"/>
        </w:rPr>
        <w:t>تم تحديث لائحة الأوزون لعام 2012 بتعليمات قانونية جديدة من وزارة البيئة ومجلس الوزراء تحث المستوردين والوزارات والمؤسسات على خفض استخدام واستيراد المعدات القائمة على المواد الهيدروكلوروفلوروكربونية.</w:t>
      </w:r>
    </w:p>
    <w:p w:rsidR="00FA1D69" w:rsidRDefault="00FA1D69" w:rsidP="00FA1D69">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11 -</w:t>
      </w:r>
      <w:r>
        <w:rPr>
          <w:sz w:val="26"/>
          <w:szCs w:val="26"/>
          <w:rtl/>
          <w:lang w:val="en-US" w:bidi="ar-EG"/>
        </w:rPr>
        <w:tab/>
      </w:r>
      <w:r w:rsidR="009E33BA">
        <w:rPr>
          <w:rFonts w:hint="cs"/>
          <w:sz w:val="26"/>
          <w:szCs w:val="26"/>
          <w:rtl/>
          <w:lang w:val="en-US" w:bidi="ar-EG"/>
        </w:rPr>
        <w:t xml:space="preserve">وبالرغم من أن التشريع لا يتطلب ترخيصا لبدائل المواد المستنفدة للأوزون، فإنه يتيح لوزارة البيئة أن تدرجها في إجراءات إصدار تراخيص الاستيراد كجزء من الترتيبات التي تهدف لتحقيق الرقابة الصارمة على استيراد وتصدير المواد المستنفدة للأوزون ولتمكين وحدة الأوزون الوطنية من جمع البيانات المؤدية لتفهم أفضل لاتجاهات السوق. </w:t>
      </w:r>
    </w:p>
    <w:p w:rsidR="00B47419" w:rsidRPr="009E33BA" w:rsidRDefault="009E33BA" w:rsidP="00B47419">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9E33BA">
        <w:rPr>
          <w:rFonts w:hint="cs"/>
          <w:i/>
          <w:iCs/>
          <w:sz w:val="26"/>
          <w:szCs w:val="26"/>
          <w:rtl/>
          <w:lang w:val="en-US" w:bidi="ar-EG"/>
        </w:rPr>
        <w:t>قطاع خدمة التبريد</w:t>
      </w:r>
    </w:p>
    <w:p w:rsidR="00B47419" w:rsidRDefault="00B47419" w:rsidP="00B47419">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12 -</w:t>
      </w:r>
      <w:r>
        <w:rPr>
          <w:sz w:val="26"/>
          <w:szCs w:val="26"/>
          <w:rtl/>
          <w:lang w:val="en-US" w:bidi="ar-EG"/>
        </w:rPr>
        <w:tab/>
      </w:r>
      <w:r w:rsidR="009E33BA">
        <w:rPr>
          <w:rFonts w:hint="cs"/>
          <w:sz w:val="26"/>
          <w:szCs w:val="26"/>
          <w:rtl/>
          <w:lang w:val="en-US" w:bidi="ar-EG"/>
        </w:rPr>
        <w:t>تم تحقيق التقدم المذكور أدناه فيما يتعلق بخطة عمل الشريحة التانية:</w:t>
      </w:r>
    </w:p>
    <w:p w:rsidR="009E33BA" w:rsidRDefault="009E33BA" w:rsidP="009E33BA">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Pr>
          <w:rFonts w:hint="cs"/>
          <w:sz w:val="26"/>
          <w:szCs w:val="26"/>
          <w:rtl/>
          <w:lang w:val="en-US" w:bidi="ar-EG"/>
        </w:rPr>
        <w:t>الإنفاذ الصارم لنظام ترخيص الواردات والحصص بما في ذلك ورش عمل للأطراف المعنية لضمان التنفيذ السليم للتشريعات الوطنية وإنفاذها؛ تشك</w:t>
      </w:r>
      <w:r w:rsidR="000C387F">
        <w:rPr>
          <w:rFonts w:hint="cs"/>
          <w:sz w:val="26"/>
          <w:szCs w:val="26"/>
          <w:rtl/>
          <w:lang w:val="en-US" w:bidi="ar-EG"/>
        </w:rPr>
        <w:t>ي</w:t>
      </w:r>
      <w:r>
        <w:rPr>
          <w:rFonts w:hint="cs"/>
          <w:sz w:val="26"/>
          <w:szCs w:val="26"/>
          <w:rtl/>
          <w:lang w:val="en-US" w:bidi="ar-EG"/>
        </w:rPr>
        <w:t xml:space="preserve">ل لجنة تشريعية وطنية للإنفاذ بمشاركة وزارة البيئة </w:t>
      </w:r>
      <w:r>
        <w:rPr>
          <w:rFonts w:hint="cs"/>
          <w:sz w:val="26"/>
          <w:szCs w:val="26"/>
          <w:rtl/>
          <w:lang w:val="en-US" w:bidi="ar-EG"/>
        </w:rPr>
        <w:lastRenderedPageBreak/>
        <w:t>والتجارة والصناعة ومصلحة الجمارك العامة والتوحيد ورقابة الجودة. وتم شراء ثمانية أجهزة محمولة إضافية للتعرف على الخلطات وتوزيعها على منافذ الدخول للجمارك؛</w:t>
      </w:r>
    </w:p>
    <w:p w:rsidR="009E33BA" w:rsidRDefault="009E33BA" w:rsidP="009E33BA">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Pr>
          <w:rFonts w:hint="cs"/>
          <w:sz w:val="26"/>
          <w:szCs w:val="26"/>
          <w:rtl/>
          <w:lang w:val="en-US" w:bidi="ar-EG"/>
        </w:rPr>
        <w:t>تشكيل فريق متخصص والبدء في استعراض وتحديث جميع المعايير والقوانين الخاصة بالقطاعات المستهلكة للمواد الهيدروكلوروفلوروكربونية بما في ذلك المعدات وغازات التبريد وحاوياتها وغازات التبريد الخطرة؛</w:t>
      </w:r>
    </w:p>
    <w:p w:rsidR="009E33BA" w:rsidRDefault="009E33BA" w:rsidP="009E33BA">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Pr>
          <w:rFonts w:hint="cs"/>
          <w:sz w:val="26"/>
          <w:szCs w:val="26"/>
          <w:rtl/>
          <w:lang w:val="en-US" w:bidi="ar-EG"/>
        </w:rPr>
        <w:t xml:space="preserve">تحديث برامج جميع مراكز تدريب التبريد، وإصدار كتيب مساندة بعنوان "حماية طبقة الأوزون بالممارسة الجيدة" وتوزيعه على مراكز التدريب لمساندة المعلمين والمدربين على تقديم البرنامج </w:t>
      </w:r>
      <w:r w:rsidR="008C4669">
        <w:rPr>
          <w:rFonts w:hint="cs"/>
          <w:sz w:val="26"/>
          <w:szCs w:val="26"/>
          <w:rtl/>
          <w:lang w:val="en-US" w:bidi="ar-EG"/>
        </w:rPr>
        <w:t>المحدث؛</w:t>
      </w:r>
    </w:p>
    <w:p w:rsidR="008C4669" w:rsidRDefault="008C4669" w:rsidP="008C466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Pr>
          <w:rFonts w:hint="cs"/>
          <w:sz w:val="26"/>
          <w:szCs w:val="26"/>
          <w:rtl/>
          <w:lang w:val="en-US" w:bidi="ar-EG"/>
        </w:rPr>
        <w:t xml:space="preserve">البدء في برنامج وطني لاعتماد فنيي التبريد وتكييف الهواء بمشاركة عشرة </w:t>
      </w:r>
      <w:r w:rsidR="000C387F">
        <w:rPr>
          <w:rFonts w:hint="cs"/>
          <w:sz w:val="26"/>
          <w:szCs w:val="26"/>
          <w:rtl/>
          <w:lang w:val="en-US" w:bidi="ar-EG"/>
        </w:rPr>
        <w:t xml:space="preserve">مراكز </w:t>
      </w:r>
      <w:r>
        <w:rPr>
          <w:rFonts w:hint="cs"/>
          <w:sz w:val="26"/>
          <w:szCs w:val="26"/>
          <w:rtl/>
          <w:lang w:val="en-US" w:bidi="ar-EG"/>
        </w:rPr>
        <w:t>تدريب؛ وتشكيل لجنة تنسيق لتحديد عملية الاختبار ومعايير الاعتماد لفنيي التبريد وتكييف الهواء المؤهلين؛ وتشكيل لجنة تفتيش وتقييم لرصد اعتماد فنيي التبريد وتكييف الهواء الممارسين؛ وتحديد وزارة العمل بصفتها الجهاز المسؤول قانونا عن تدريب واعتماد الفنيين؛ وتدريب واعتماد 150 فني تبريد وتكييف هواء. وبدءا من عام 2021 سيتعين على ورش الخدمة أن توظف فنيي تبريد وتكييف هواء معتمدين وتجديد رخصهم؛</w:t>
      </w:r>
    </w:p>
    <w:p w:rsidR="008C4669" w:rsidRDefault="008C4669" w:rsidP="008C466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r>
        <w:rPr>
          <w:rFonts w:hint="cs"/>
          <w:sz w:val="26"/>
          <w:szCs w:val="26"/>
          <w:rtl/>
          <w:lang w:val="en-US" w:bidi="ar-EG"/>
        </w:rPr>
        <w:t>شراء 100 مجموعة حوافظ إضافية لوحدات الاسترداد تشمل فلترات وأسطوانات</w:t>
      </w:r>
      <w:r w:rsidR="000C387F">
        <w:rPr>
          <w:rFonts w:hint="cs"/>
          <w:sz w:val="26"/>
          <w:szCs w:val="26"/>
          <w:rtl/>
          <w:lang w:val="en-US" w:bidi="ar-EG"/>
        </w:rPr>
        <w:t xml:space="preserve"> وتوزيعها على مراكز التدريب</w:t>
      </w:r>
      <w:r>
        <w:rPr>
          <w:rFonts w:hint="cs"/>
          <w:sz w:val="26"/>
          <w:szCs w:val="26"/>
          <w:rtl/>
          <w:lang w:val="en-US" w:bidi="ar-EG"/>
        </w:rPr>
        <w:t>. وسوف يتم استكمال تدريب إضافي وتحديث معدات في ثلاثة مراكز تدريب للقيام بالاعتماد وذلك في الربع الأخير من عام 2019؛ و</w:t>
      </w:r>
    </w:p>
    <w:p w:rsidR="008C4669" w:rsidRDefault="008C4669" w:rsidP="008C4669">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(و)</w:t>
      </w:r>
      <w:r>
        <w:rPr>
          <w:sz w:val="26"/>
          <w:szCs w:val="26"/>
          <w:rtl/>
          <w:lang w:val="en-US" w:bidi="ar-EG"/>
        </w:rPr>
        <w:tab/>
      </w:r>
      <w:r>
        <w:rPr>
          <w:rFonts w:hint="cs"/>
          <w:sz w:val="26"/>
          <w:szCs w:val="26"/>
          <w:rtl/>
          <w:lang w:val="en-US" w:bidi="ar-EG"/>
        </w:rPr>
        <w:t>التدريب على التكنولوجيات الجديدة وتوفير معدات تبريد ذات كفاءة عالية للفنيين الذين يخدمون نظم كبيرة للتبريد وتكييف الهواء؛ وإعداد مواد توعية ببدائل المواد الهيدروكلوروفلوروكربونية ذات إمكانية احترار عالمية منخفضة في مختلف التطبيقات وتوزيعها على المستخدمين النهائيين؛ وعقد ندوات ولقاءات في وسائل الإعلام الوطنية لزيادة الوعي لدى كافة الأطراف بالمسائل المتعلقة بإزالة المواد الهيدروكلوروفلوروكربونية. ومن المخطط أن يتم في كانون الأول/ديسمبر 2019 تدريب متخذي القرار على إزالة المواد الهيدروكلوروفلوروكربونية وتكنولوجيات بديلة.</w:t>
      </w:r>
    </w:p>
    <w:p w:rsidR="009E33BA" w:rsidRPr="008C4669" w:rsidRDefault="008C4669" w:rsidP="009E33BA">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8C4669">
        <w:rPr>
          <w:rFonts w:hint="cs"/>
          <w:sz w:val="26"/>
          <w:szCs w:val="26"/>
          <w:u w:val="single"/>
          <w:rtl/>
          <w:lang w:val="en-US" w:bidi="ar-EG"/>
        </w:rPr>
        <w:t>وحدة رصد وتنفيذ المشروع</w:t>
      </w:r>
    </w:p>
    <w:p w:rsidR="008C4669" w:rsidRDefault="008C4669" w:rsidP="008C4669">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13 -</w:t>
      </w:r>
      <w:r>
        <w:rPr>
          <w:sz w:val="26"/>
          <w:szCs w:val="26"/>
          <w:rtl/>
          <w:lang w:val="en-US" w:bidi="ar-EG"/>
        </w:rPr>
        <w:tab/>
      </w:r>
      <w:r>
        <w:rPr>
          <w:rFonts w:hint="cs"/>
          <w:sz w:val="26"/>
          <w:szCs w:val="26"/>
          <w:rtl/>
          <w:lang w:val="en-US" w:bidi="ar-EG"/>
        </w:rPr>
        <w:t>تشمل الأنشطة الرئيسية التي تقوم بها وحدة رصد وتنفيذ المشروع إعداد خطة عمل مع فرق ومجموعات مخصصة لخطة إدارة إزالة المواد الهيدروكلوروفلوروكربونية؛ وتنظيم ورش عمل وبرامج تدريبية وأحداث؛ وإعداد وتوزيع الوثائق المساندة والمواد الخاصة بالتوعية؛ وإبلاغ وحدة الأوزون الوطنية ويونيب بالتقدم المحرز في المشروع. وتحملت الوحدة تكاليف بلغت</w:t>
      </w:r>
      <w:r>
        <w:rPr>
          <w:sz w:val="26"/>
          <w:szCs w:val="26"/>
          <w:lang w:val="en-US" w:bidi="ar-EG"/>
        </w:rPr>
        <w:t>90,000</w:t>
      </w:r>
      <w:r>
        <w:rPr>
          <w:rFonts w:hint="cs"/>
          <w:sz w:val="26"/>
          <w:szCs w:val="26"/>
          <w:rtl/>
          <w:lang w:val="en-US" w:bidi="ar-EG"/>
        </w:rPr>
        <w:t xml:space="preserve"> دولار أمريكي شملت الموظفين (</w:t>
      </w:r>
      <w:r>
        <w:rPr>
          <w:sz w:val="26"/>
          <w:szCs w:val="26"/>
          <w:lang w:val="en-US" w:bidi="ar-EG"/>
        </w:rPr>
        <w:t>41,400</w:t>
      </w:r>
      <w:r>
        <w:rPr>
          <w:rFonts w:hint="cs"/>
          <w:sz w:val="26"/>
          <w:szCs w:val="26"/>
          <w:rtl/>
          <w:lang w:val="en-US" w:bidi="ar-EG"/>
        </w:rPr>
        <w:t xml:space="preserve"> دولار أمريكي) وورش عمل تدريبية واجتماعات (</w:t>
      </w:r>
      <w:r>
        <w:rPr>
          <w:sz w:val="26"/>
          <w:szCs w:val="26"/>
          <w:lang w:val="en-US" w:bidi="ar-EG"/>
        </w:rPr>
        <w:t>40,000</w:t>
      </w:r>
      <w:r>
        <w:rPr>
          <w:rFonts w:hint="cs"/>
          <w:sz w:val="26"/>
          <w:szCs w:val="26"/>
          <w:rtl/>
          <w:lang w:val="en-US" w:bidi="ar-EG"/>
        </w:rPr>
        <w:t xml:space="preserve"> دولار أمريكي) ومصروفات متفرقة (</w:t>
      </w:r>
      <w:r>
        <w:rPr>
          <w:sz w:val="26"/>
          <w:szCs w:val="26"/>
          <w:lang w:val="en-US" w:bidi="ar-EG"/>
        </w:rPr>
        <w:t>8,600</w:t>
      </w:r>
      <w:r>
        <w:rPr>
          <w:rFonts w:hint="cs"/>
          <w:sz w:val="26"/>
          <w:szCs w:val="26"/>
          <w:rtl/>
          <w:lang w:val="en-US" w:bidi="ar-EG"/>
        </w:rPr>
        <w:t xml:space="preserve"> دولار أمريكي).</w:t>
      </w:r>
    </w:p>
    <w:p w:rsidR="008C4669" w:rsidRPr="008C4669" w:rsidRDefault="008C4669" w:rsidP="008C4669">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8C4669">
        <w:rPr>
          <w:rFonts w:hint="cs"/>
          <w:sz w:val="26"/>
          <w:szCs w:val="26"/>
          <w:u w:val="single"/>
          <w:rtl/>
          <w:lang w:val="en-US" w:bidi="ar-EG"/>
        </w:rPr>
        <w:t>مستوى صرف الأموال</w:t>
      </w:r>
    </w:p>
    <w:p w:rsidR="008C4669" w:rsidRDefault="008C4669" w:rsidP="008C4669">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14 -</w:t>
      </w:r>
      <w:r>
        <w:rPr>
          <w:sz w:val="26"/>
          <w:szCs w:val="26"/>
          <w:rtl/>
          <w:lang w:val="en-US" w:bidi="ar-EG"/>
        </w:rPr>
        <w:tab/>
      </w:r>
      <w:r>
        <w:rPr>
          <w:rFonts w:hint="cs"/>
          <w:sz w:val="26"/>
          <w:szCs w:val="26"/>
          <w:rtl/>
          <w:lang w:val="en-US" w:bidi="ar-EG"/>
        </w:rPr>
        <w:t xml:space="preserve">بتاريخ تشرين الأول/أكتوبر 2019 من إجمالي مبلغ </w:t>
      </w:r>
      <w:r>
        <w:rPr>
          <w:sz w:val="26"/>
          <w:szCs w:val="26"/>
          <w:lang w:val="en-US" w:bidi="ar-EG"/>
        </w:rPr>
        <w:t>750,000</w:t>
      </w:r>
      <w:r>
        <w:rPr>
          <w:rFonts w:hint="cs"/>
          <w:sz w:val="26"/>
          <w:szCs w:val="26"/>
          <w:rtl/>
          <w:lang w:val="en-US" w:bidi="ar-EG"/>
        </w:rPr>
        <w:t xml:space="preserve"> دولار أمريكي موافق عليه حتى الآن، تم صرف </w:t>
      </w:r>
      <w:r>
        <w:rPr>
          <w:sz w:val="26"/>
          <w:szCs w:val="26"/>
          <w:lang w:val="en-US" w:bidi="ar-EG"/>
        </w:rPr>
        <w:t>355,366</w:t>
      </w:r>
      <w:r>
        <w:rPr>
          <w:rFonts w:hint="cs"/>
          <w:sz w:val="26"/>
          <w:szCs w:val="26"/>
          <w:rtl/>
          <w:lang w:val="en-US" w:bidi="ar-EG"/>
        </w:rPr>
        <w:t xml:space="preserve"> دولار أمريكي (</w:t>
      </w:r>
      <w:r>
        <w:rPr>
          <w:sz w:val="26"/>
          <w:szCs w:val="26"/>
          <w:lang w:val="en-US" w:bidi="ar-EG"/>
        </w:rPr>
        <w:t>275,366</w:t>
      </w:r>
      <w:r>
        <w:rPr>
          <w:rFonts w:hint="cs"/>
          <w:sz w:val="26"/>
          <w:szCs w:val="26"/>
          <w:rtl/>
          <w:lang w:val="en-US" w:bidi="ar-EG"/>
        </w:rPr>
        <w:t xml:space="preserve"> دولار أمريكي ليونيب و </w:t>
      </w:r>
      <w:r>
        <w:rPr>
          <w:sz w:val="26"/>
          <w:szCs w:val="26"/>
          <w:lang w:val="en-US" w:bidi="ar-EG"/>
        </w:rPr>
        <w:t>80,000</w:t>
      </w:r>
      <w:r>
        <w:rPr>
          <w:rFonts w:hint="cs"/>
          <w:sz w:val="26"/>
          <w:szCs w:val="26"/>
          <w:rtl/>
          <w:lang w:val="en-US" w:bidi="ar-EG"/>
        </w:rPr>
        <w:t xml:space="preserve"> دولار أمريكي ليونيدو) كما يبين الجدول 2. وسيتم صرف الرصيد المتبقي وهو </w:t>
      </w:r>
      <w:r>
        <w:rPr>
          <w:sz w:val="26"/>
          <w:szCs w:val="26"/>
          <w:lang w:val="en-US" w:bidi="ar-EG"/>
        </w:rPr>
        <w:t>394,</w:t>
      </w:r>
      <w:r w:rsidR="00EF072B">
        <w:rPr>
          <w:sz w:val="26"/>
          <w:szCs w:val="26"/>
          <w:lang w:val="en-US" w:bidi="ar-EG"/>
        </w:rPr>
        <w:t>634</w:t>
      </w:r>
      <w:r w:rsidR="00EF072B">
        <w:rPr>
          <w:rFonts w:hint="cs"/>
          <w:sz w:val="26"/>
          <w:szCs w:val="26"/>
          <w:rtl/>
          <w:lang w:val="en-US" w:bidi="ar-EG"/>
        </w:rPr>
        <w:t xml:space="preserve"> دولار أمريكي خلال عام 2020.</w:t>
      </w:r>
    </w:p>
    <w:p w:rsidR="00EF072B" w:rsidRDefault="00EF072B">
      <w:pPr>
        <w:jc w:val="left"/>
        <w:rPr>
          <w:b/>
          <w:bCs/>
          <w:sz w:val="26"/>
          <w:szCs w:val="26"/>
          <w:rtl/>
          <w:lang w:val="en-US" w:bidi="ar-EG"/>
        </w:rPr>
      </w:pPr>
      <w:r>
        <w:rPr>
          <w:b/>
          <w:bCs/>
          <w:sz w:val="26"/>
          <w:szCs w:val="26"/>
          <w:rtl/>
          <w:lang w:val="en-US" w:bidi="ar-EG"/>
        </w:rPr>
        <w:br w:type="page"/>
      </w:r>
    </w:p>
    <w:p w:rsidR="00B47419" w:rsidRPr="00B47419" w:rsidRDefault="00B47419" w:rsidP="00B47419">
      <w:pPr>
        <w:pStyle w:val="StyleHeader4Para4Left0Firstline0"/>
        <w:numPr>
          <w:ilvl w:val="0"/>
          <w:numId w:val="0"/>
        </w:numPr>
        <w:tabs>
          <w:tab w:val="clear" w:pos="2880"/>
          <w:tab w:val="clear" w:pos="5760"/>
          <w:tab w:val="left" w:pos="720"/>
        </w:tabs>
        <w:bidi/>
        <w:spacing w:before="120"/>
        <w:jc w:val="lowKashida"/>
        <w:rPr>
          <w:b/>
          <w:bCs/>
          <w:sz w:val="26"/>
          <w:szCs w:val="26"/>
          <w:rtl/>
          <w:lang w:val="en-US" w:bidi="ar-EG"/>
        </w:rPr>
      </w:pPr>
      <w:r w:rsidRPr="00B47419">
        <w:rPr>
          <w:rFonts w:hint="cs"/>
          <w:b/>
          <w:bCs/>
          <w:sz w:val="26"/>
          <w:szCs w:val="26"/>
          <w:rtl/>
          <w:lang w:val="en-US" w:bidi="ar-EG"/>
        </w:rPr>
        <w:lastRenderedPageBreak/>
        <w:t xml:space="preserve">الجدول 2. التقرير المالي للمرحلة الأولى من خطة إدارة إزالة المواد الهيدروكلوروفلوروكربونية </w:t>
      </w:r>
      <w:r w:rsidR="00EF072B">
        <w:rPr>
          <w:rFonts w:hint="cs"/>
          <w:b/>
          <w:bCs/>
          <w:sz w:val="26"/>
          <w:szCs w:val="26"/>
          <w:rtl/>
          <w:lang w:val="en-US" w:bidi="ar-EG"/>
        </w:rPr>
        <w:t>للعراق</w:t>
      </w:r>
      <w:r w:rsidRPr="00B47419">
        <w:rPr>
          <w:rFonts w:hint="cs"/>
          <w:b/>
          <w:bCs/>
          <w:sz w:val="26"/>
          <w:szCs w:val="26"/>
          <w:rtl/>
          <w:lang w:val="en-US" w:bidi="ar-EG"/>
        </w:rPr>
        <w:t xml:space="preserve"> (دولار أمريكي)</w:t>
      </w:r>
    </w:p>
    <w:tbl>
      <w:tblPr>
        <w:tblStyle w:val="TableGrid"/>
        <w:bidiVisual/>
        <w:tblW w:w="0" w:type="auto"/>
        <w:tblInd w:w="-5" w:type="dxa"/>
        <w:tblLook w:val="04A0" w:firstRow="1" w:lastRow="0" w:firstColumn="1" w:lastColumn="0" w:noHBand="0" w:noVBand="1"/>
      </w:tblPr>
      <w:tblGrid>
        <w:gridCol w:w="2156"/>
        <w:gridCol w:w="1080"/>
        <w:gridCol w:w="1237"/>
        <w:gridCol w:w="1119"/>
        <w:gridCol w:w="1256"/>
        <w:gridCol w:w="1251"/>
        <w:gridCol w:w="1256"/>
      </w:tblGrid>
      <w:tr w:rsidR="00B47419" w:rsidRPr="00A44138" w:rsidTr="00B47419">
        <w:tc>
          <w:tcPr>
            <w:tcW w:w="2156" w:type="dxa"/>
            <w:vMerge w:val="restart"/>
            <w:tcMar>
              <w:left w:w="29" w:type="dxa"/>
              <w:right w:w="29" w:type="dxa"/>
            </w:tcMar>
            <w:vAlign w:val="center"/>
          </w:tcPr>
          <w:p w:rsidR="00B47419" w:rsidRPr="00B47419" w:rsidRDefault="00B47419" w:rsidP="00B47419">
            <w:pPr>
              <w:bidi/>
              <w:jc w:val="left"/>
              <w:rPr>
                <w:bCs/>
                <w:sz w:val="20"/>
                <w:lang w:val="en-CA"/>
              </w:rPr>
            </w:pPr>
            <w:r w:rsidRPr="00B47419">
              <w:rPr>
                <w:rFonts w:hint="cs"/>
                <w:bCs/>
                <w:sz w:val="20"/>
                <w:rtl/>
                <w:lang w:val="en-CA"/>
              </w:rPr>
              <w:t>الوكالة</w:t>
            </w:r>
          </w:p>
        </w:tc>
        <w:tc>
          <w:tcPr>
            <w:tcW w:w="2317" w:type="dxa"/>
            <w:gridSpan w:val="2"/>
          </w:tcPr>
          <w:p w:rsidR="00B47419" w:rsidRPr="00B47419" w:rsidRDefault="00EF072B" w:rsidP="00B47419">
            <w:pPr>
              <w:bidi/>
              <w:jc w:val="center"/>
              <w:rPr>
                <w:bCs/>
                <w:sz w:val="20"/>
                <w:lang w:val="en-CA"/>
              </w:rPr>
            </w:pPr>
            <w:r>
              <w:rPr>
                <w:rFonts w:hint="cs"/>
                <w:bCs/>
                <w:sz w:val="20"/>
                <w:rtl/>
                <w:lang w:val="en-CA"/>
              </w:rPr>
              <w:t>الشريحة الأولى</w:t>
            </w:r>
          </w:p>
        </w:tc>
        <w:tc>
          <w:tcPr>
            <w:tcW w:w="2375" w:type="dxa"/>
            <w:gridSpan w:val="2"/>
          </w:tcPr>
          <w:p w:rsidR="00B47419" w:rsidRPr="00B47419" w:rsidRDefault="00EF072B" w:rsidP="00B47419">
            <w:pPr>
              <w:bidi/>
              <w:jc w:val="center"/>
              <w:rPr>
                <w:bCs/>
                <w:sz w:val="20"/>
                <w:lang w:val="en-CA"/>
              </w:rPr>
            </w:pPr>
            <w:r>
              <w:rPr>
                <w:rFonts w:hint="cs"/>
                <w:bCs/>
                <w:sz w:val="20"/>
                <w:rtl/>
                <w:lang w:val="en-CA"/>
              </w:rPr>
              <w:t>الشريحة الثانية</w:t>
            </w:r>
          </w:p>
        </w:tc>
        <w:tc>
          <w:tcPr>
            <w:tcW w:w="2507" w:type="dxa"/>
            <w:gridSpan w:val="2"/>
          </w:tcPr>
          <w:p w:rsidR="00B47419" w:rsidRPr="00B47419" w:rsidRDefault="00EF072B" w:rsidP="00B47419">
            <w:pPr>
              <w:bidi/>
              <w:jc w:val="center"/>
              <w:rPr>
                <w:bCs/>
                <w:sz w:val="20"/>
                <w:lang w:val="en-CA"/>
              </w:rPr>
            </w:pPr>
            <w:r>
              <w:rPr>
                <w:rFonts w:hint="cs"/>
                <w:bCs/>
                <w:sz w:val="20"/>
                <w:rtl/>
                <w:lang w:val="en-CA"/>
              </w:rPr>
              <w:t>مجموع الموافق عليه</w:t>
            </w:r>
          </w:p>
        </w:tc>
      </w:tr>
      <w:tr w:rsidR="00B47419" w:rsidRPr="00A44138" w:rsidTr="00B47419">
        <w:trPr>
          <w:trHeight w:val="262"/>
        </w:trPr>
        <w:tc>
          <w:tcPr>
            <w:tcW w:w="2156" w:type="dxa"/>
            <w:vMerge/>
            <w:tcMar>
              <w:left w:w="29" w:type="dxa"/>
              <w:right w:w="29" w:type="dxa"/>
            </w:tcMar>
          </w:tcPr>
          <w:p w:rsidR="00B47419" w:rsidRPr="00B47419" w:rsidRDefault="00B47419" w:rsidP="00B47419">
            <w:pPr>
              <w:bidi/>
              <w:jc w:val="center"/>
              <w:rPr>
                <w:bCs/>
                <w:sz w:val="20"/>
                <w:lang w:val="en-CA"/>
              </w:rPr>
            </w:pPr>
          </w:p>
        </w:tc>
        <w:tc>
          <w:tcPr>
            <w:tcW w:w="1080" w:type="dxa"/>
          </w:tcPr>
          <w:p w:rsidR="00B47419" w:rsidRPr="00B47419" w:rsidRDefault="00B47419" w:rsidP="00B47419">
            <w:pPr>
              <w:bidi/>
              <w:jc w:val="center"/>
              <w:rPr>
                <w:bCs/>
                <w:sz w:val="20"/>
                <w:lang w:val="en-CA"/>
              </w:rPr>
            </w:pPr>
            <w:r w:rsidRPr="00B47419">
              <w:rPr>
                <w:rFonts w:hint="cs"/>
                <w:bCs/>
                <w:sz w:val="20"/>
                <w:rtl/>
                <w:lang w:val="en-CA"/>
              </w:rPr>
              <w:t>الموافق عليه</w:t>
            </w:r>
          </w:p>
        </w:tc>
        <w:tc>
          <w:tcPr>
            <w:tcW w:w="1237" w:type="dxa"/>
          </w:tcPr>
          <w:p w:rsidR="00B47419" w:rsidRPr="00B47419" w:rsidRDefault="00B47419" w:rsidP="00B47419">
            <w:pPr>
              <w:bidi/>
              <w:jc w:val="center"/>
              <w:rPr>
                <w:bCs/>
                <w:sz w:val="20"/>
                <w:lang w:val="en-CA"/>
              </w:rPr>
            </w:pPr>
            <w:r w:rsidRPr="00B47419">
              <w:rPr>
                <w:rFonts w:hint="cs"/>
                <w:bCs/>
                <w:sz w:val="20"/>
                <w:rtl/>
                <w:lang w:val="en-CA"/>
              </w:rPr>
              <w:t>المصروف</w:t>
            </w:r>
          </w:p>
        </w:tc>
        <w:tc>
          <w:tcPr>
            <w:tcW w:w="1119" w:type="dxa"/>
          </w:tcPr>
          <w:p w:rsidR="00B47419" w:rsidRPr="00B47419" w:rsidRDefault="00B47419" w:rsidP="00B47419">
            <w:pPr>
              <w:bidi/>
              <w:jc w:val="center"/>
              <w:rPr>
                <w:bCs/>
                <w:sz w:val="20"/>
                <w:lang w:val="en-CA"/>
              </w:rPr>
            </w:pPr>
            <w:r w:rsidRPr="00B47419">
              <w:rPr>
                <w:rFonts w:hint="cs"/>
                <w:bCs/>
                <w:sz w:val="20"/>
                <w:rtl/>
                <w:lang w:val="en-CA"/>
              </w:rPr>
              <w:t>الموافق عليه</w:t>
            </w:r>
          </w:p>
        </w:tc>
        <w:tc>
          <w:tcPr>
            <w:tcW w:w="1256" w:type="dxa"/>
          </w:tcPr>
          <w:p w:rsidR="00B47419" w:rsidRPr="00B47419" w:rsidRDefault="00B47419" w:rsidP="00B47419">
            <w:pPr>
              <w:bidi/>
              <w:jc w:val="center"/>
              <w:rPr>
                <w:bCs/>
                <w:sz w:val="20"/>
                <w:lang w:val="en-CA"/>
              </w:rPr>
            </w:pPr>
            <w:r w:rsidRPr="00B47419">
              <w:rPr>
                <w:rFonts w:hint="cs"/>
                <w:bCs/>
                <w:sz w:val="20"/>
                <w:rtl/>
                <w:lang w:val="en-CA"/>
              </w:rPr>
              <w:t>المصروف</w:t>
            </w:r>
          </w:p>
        </w:tc>
        <w:tc>
          <w:tcPr>
            <w:tcW w:w="1251" w:type="dxa"/>
          </w:tcPr>
          <w:p w:rsidR="00B47419" w:rsidRPr="00B47419" w:rsidRDefault="00B47419" w:rsidP="00B47419">
            <w:pPr>
              <w:bidi/>
              <w:jc w:val="center"/>
              <w:rPr>
                <w:bCs/>
                <w:sz w:val="20"/>
                <w:lang w:val="en-CA"/>
              </w:rPr>
            </w:pPr>
            <w:r w:rsidRPr="00B47419">
              <w:rPr>
                <w:rFonts w:hint="cs"/>
                <w:bCs/>
                <w:sz w:val="20"/>
                <w:rtl/>
                <w:lang w:val="en-CA"/>
              </w:rPr>
              <w:t>الموافق عليه</w:t>
            </w:r>
          </w:p>
        </w:tc>
        <w:tc>
          <w:tcPr>
            <w:tcW w:w="1256" w:type="dxa"/>
          </w:tcPr>
          <w:p w:rsidR="00B47419" w:rsidRPr="00B47419" w:rsidRDefault="00B47419" w:rsidP="00B47419">
            <w:pPr>
              <w:bidi/>
              <w:jc w:val="center"/>
              <w:rPr>
                <w:bCs/>
                <w:sz w:val="20"/>
                <w:lang w:val="en-CA"/>
              </w:rPr>
            </w:pPr>
            <w:r w:rsidRPr="00B47419">
              <w:rPr>
                <w:rFonts w:hint="cs"/>
                <w:bCs/>
                <w:sz w:val="20"/>
                <w:rtl/>
                <w:lang w:val="en-CA"/>
              </w:rPr>
              <w:t>المصروف</w:t>
            </w:r>
          </w:p>
        </w:tc>
      </w:tr>
      <w:tr w:rsidR="00EF072B" w:rsidRPr="00A44138" w:rsidTr="00B47419">
        <w:trPr>
          <w:trHeight w:val="263"/>
        </w:trPr>
        <w:tc>
          <w:tcPr>
            <w:tcW w:w="2156" w:type="dxa"/>
            <w:tcMar>
              <w:left w:w="29" w:type="dxa"/>
              <w:right w:w="29" w:type="dxa"/>
            </w:tcMar>
          </w:tcPr>
          <w:p w:rsidR="00EF072B" w:rsidRDefault="00EF072B" w:rsidP="00EF072B">
            <w:pPr>
              <w:bidi/>
              <w:rPr>
                <w:sz w:val="20"/>
                <w:rtl/>
                <w:lang w:val="en-CA"/>
              </w:rPr>
            </w:pPr>
            <w:r>
              <w:rPr>
                <w:rFonts w:hint="cs"/>
                <w:sz w:val="20"/>
                <w:rtl/>
                <w:lang w:val="en-CA"/>
              </w:rPr>
              <w:t>يونيب</w:t>
            </w:r>
          </w:p>
        </w:tc>
        <w:tc>
          <w:tcPr>
            <w:tcW w:w="1080" w:type="dxa"/>
          </w:tcPr>
          <w:p w:rsidR="00EF072B" w:rsidRPr="00BE0E32" w:rsidRDefault="00EF072B" w:rsidP="00EF072B">
            <w:pPr>
              <w:keepNext/>
              <w:jc w:val="right"/>
              <w:rPr>
                <w:sz w:val="20"/>
                <w:lang w:val="en-CA"/>
              </w:rPr>
            </w:pPr>
            <w:r w:rsidRPr="00BE0E32">
              <w:rPr>
                <w:sz w:val="20"/>
                <w:lang w:val="en-CA"/>
              </w:rPr>
              <w:t>115,000</w:t>
            </w:r>
          </w:p>
        </w:tc>
        <w:tc>
          <w:tcPr>
            <w:tcW w:w="1237" w:type="dxa"/>
          </w:tcPr>
          <w:p w:rsidR="00EF072B" w:rsidRPr="00A30780" w:rsidRDefault="00EF072B" w:rsidP="00EF072B">
            <w:pPr>
              <w:jc w:val="right"/>
              <w:rPr>
                <w:sz w:val="20"/>
              </w:rPr>
            </w:pPr>
            <w:r w:rsidRPr="00A30780">
              <w:rPr>
                <w:sz w:val="20"/>
              </w:rPr>
              <w:t>113,266</w:t>
            </w:r>
          </w:p>
        </w:tc>
        <w:tc>
          <w:tcPr>
            <w:tcW w:w="1119" w:type="dxa"/>
          </w:tcPr>
          <w:p w:rsidR="00EF072B" w:rsidRPr="00BE0E32" w:rsidRDefault="00EF072B" w:rsidP="00EF072B">
            <w:pPr>
              <w:keepNext/>
              <w:jc w:val="right"/>
              <w:rPr>
                <w:sz w:val="20"/>
                <w:lang w:val="en-CA"/>
              </w:rPr>
            </w:pPr>
            <w:r w:rsidRPr="00BE0E32">
              <w:rPr>
                <w:sz w:val="20"/>
                <w:lang w:val="en-CA"/>
              </w:rPr>
              <w:t>325,000</w:t>
            </w:r>
          </w:p>
        </w:tc>
        <w:tc>
          <w:tcPr>
            <w:tcW w:w="1256" w:type="dxa"/>
          </w:tcPr>
          <w:p w:rsidR="00EF072B" w:rsidRPr="00A30780" w:rsidRDefault="00EF072B" w:rsidP="00EF072B">
            <w:pPr>
              <w:jc w:val="right"/>
              <w:rPr>
                <w:sz w:val="20"/>
              </w:rPr>
            </w:pPr>
            <w:r w:rsidRPr="00A30780">
              <w:rPr>
                <w:sz w:val="20"/>
              </w:rPr>
              <w:t>162,100</w:t>
            </w:r>
          </w:p>
        </w:tc>
        <w:tc>
          <w:tcPr>
            <w:tcW w:w="1251" w:type="dxa"/>
          </w:tcPr>
          <w:p w:rsidR="00EF072B" w:rsidRPr="00BE0E32" w:rsidRDefault="00EF072B" w:rsidP="00EF072B">
            <w:pPr>
              <w:keepNext/>
              <w:jc w:val="right"/>
              <w:rPr>
                <w:sz w:val="20"/>
                <w:lang w:val="en-CA"/>
              </w:rPr>
            </w:pPr>
            <w:r w:rsidRPr="00BE0E32">
              <w:rPr>
                <w:sz w:val="20"/>
                <w:lang w:val="en-CA"/>
              </w:rPr>
              <w:t>440,000</w:t>
            </w:r>
          </w:p>
        </w:tc>
        <w:tc>
          <w:tcPr>
            <w:tcW w:w="1256" w:type="dxa"/>
          </w:tcPr>
          <w:p w:rsidR="00EF072B" w:rsidRPr="00BE0E32" w:rsidRDefault="00EF072B" w:rsidP="00EF072B">
            <w:pPr>
              <w:keepNext/>
              <w:jc w:val="right"/>
              <w:rPr>
                <w:sz w:val="20"/>
                <w:lang w:val="en-CA"/>
              </w:rPr>
            </w:pPr>
            <w:r>
              <w:rPr>
                <w:sz w:val="20"/>
                <w:lang w:val="en-CA"/>
              </w:rPr>
              <w:t>275,366</w:t>
            </w:r>
          </w:p>
        </w:tc>
      </w:tr>
      <w:tr w:rsidR="00EF072B" w:rsidRPr="00A44138" w:rsidTr="00B47419">
        <w:trPr>
          <w:trHeight w:val="263"/>
        </w:trPr>
        <w:tc>
          <w:tcPr>
            <w:tcW w:w="2156" w:type="dxa"/>
            <w:tcMar>
              <w:left w:w="29" w:type="dxa"/>
              <w:right w:w="29" w:type="dxa"/>
            </w:tcMar>
          </w:tcPr>
          <w:p w:rsidR="00EF072B" w:rsidRDefault="00EF072B" w:rsidP="00EF072B">
            <w:pPr>
              <w:bidi/>
              <w:rPr>
                <w:sz w:val="20"/>
                <w:rtl/>
                <w:lang w:val="en-CA"/>
              </w:rPr>
            </w:pPr>
            <w:r>
              <w:rPr>
                <w:rFonts w:hint="cs"/>
                <w:sz w:val="20"/>
                <w:rtl/>
                <w:lang w:val="en-CA"/>
              </w:rPr>
              <w:t>يونيدو</w:t>
            </w:r>
          </w:p>
        </w:tc>
        <w:tc>
          <w:tcPr>
            <w:tcW w:w="1080" w:type="dxa"/>
          </w:tcPr>
          <w:p w:rsidR="00EF072B" w:rsidRPr="00BE0E32" w:rsidRDefault="00EF072B" w:rsidP="00EF072B">
            <w:pPr>
              <w:jc w:val="right"/>
              <w:rPr>
                <w:sz w:val="20"/>
                <w:lang w:val="en-CA"/>
              </w:rPr>
            </w:pPr>
            <w:r w:rsidRPr="00BE0E32">
              <w:rPr>
                <w:sz w:val="20"/>
                <w:lang w:val="en-CA"/>
              </w:rPr>
              <w:t>80,000</w:t>
            </w:r>
          </w:p>
        </w:tc>
        <w:tc>
          <w:tcPr>
            <w:tcW w:w="1237" w:type="dxa"/>
          </w:tcPr>
          <w:p w:rsidR="00EF072B" w:rsidRPr="00A30780" w:rsidRDefault="00EF072B" w:rsidP="00EF072B">
            <w:pPr>
              <w:jc w:val="right"/>
              <w:rPr>
                <w:sz w:val="20"/>
              </w:rPr>
            </w:pPr>
            <w:r w:rsidRPr="00A30780">
              <w:rPr>
                <w:sz w:val="20"/>
              </w:rPr>
              <w:t>80,000</w:t>
            </w:r>
          </w:p>
        </w:tc>
        <w:tc>
          <w:tcPr>
            <w:tcW w:w="1119" w:type="dxa"/>
          </w:tcPr>
          <w:p w:rsidR="00EF072B" w:rsidRPr="00BE0E32" w:rsidRDefault="00EF072B" w:rsidP="00EF072B">
            <w:pPr>
              <w:jc w:val="right"/>
              <w:rPr>
                <w:sz w:val="20"/>
                <w:lang w:val="en-CA"/>
              </w:rPr>
            </w:pPr>
            <w:r w:rsidRPr="00BE0E32">
              <w:rPr>
                <w:sz w:val="20"/>
                <w:lang w:val="en-CA"/>
              </w:rPr>
              <w:t>230,000</w:t>
            </w:r>
          </w:p>
        </w:tc>
        <w:tc>
          <w:tcPr>
            <w:tcW w:w="1256" w:type="dxa"/>
          </w:tcPr>
          <w:p w:rsidR="00EF072B" w:rsidRPr="00A30780" w:rsidRDefault="00EF072B" w:rsidP="00EF072B">
            <w:pPr>
              <w:jc w:val="right"/>
              <w:rPr>
                <w:sz w:val="20"/>
              </w:rPr>
            </w:pPr>
            <w:r w:rsidRPr="00A30780">
              <w:rPr>
                <w:sz w:val="20"/>
              </w:rPr>
              <w:t>0</w:t>
            </w:r>
          </w:p>
        </w:tc>
        <w:tc>
          <w:tcPr>
            <w:tcW w:w="1251" w:type="dxa"/>
          </w:tcPr>
          <w:p w:rsidR="00EF072B" w:rsidRPr="00BE0E32" w:rsidRDefault="00EF072B" w:rsidP="00EF072B">
            <w:pPr>
              <w:jc w:val="right"/>
              <w:rPr>
                <w:sz w:val="20"/>
                <w:lang w:val="en-CA"/>
              </w:rPr>
            </w:pPr>
            <w:r w:rsidRPr="00BE0E32">
              <w:rPr>
                <w:sz w:val="20"/>
                <w:lang w:val="en-CA"/>
              </w:rPr>
              <w:t>310,000</w:t>
            </w:r>
          </w:p>
        </w:tc>
        <w:tc>
          <w:tcPr>
            <w:tcW w:w="1256" w:type="dxa"/>
          </w:tcPr>
          <w:p w:rsidR="00EF072B" w:rsidRPr="00BE0E32" w:rsidRDefault="00EF072B" w:rsidP="00EF072B">
            <w:pPr>
              <w:jc w:val="right"/>
              <w:rPr>
                <w:sz w:val="20"/>
                <w:lang w:val="en-CA"/>
              </w:rPr>
            </w:pPr>
            <w:r>
              <w:rPr>
                <w:sz w:val="20"/>
                <w:lang w:val="en-CA"/>
              </w:rPr>
              <w:t>80,000</w:t>
            </w:r>
          </w:p>
        </w:tc>
      </w:tr>
      <w:tr w:rsidR="00EF072B" w:rsidRPr="00A44138" w:rsidTr="00B47419">
        <w:trPr>
          <w:trHeight w:val="263"/>
        </w:trPr>
        <w:tc>
          <w:tcPr>
            <w:tcW w:w="2156" w:type="dxa"/>
            <w:tcMar>
              <w:left w:w="29" w:type="dxa"/>
              <w:right w:w="29" w:type="dxa"/>
            </w:tcMar>
          </w:tcPr>
          <w:p w:rsidR="00EF072B" w:rsidRPr="000C387F" w:rsidRDefault="00EF072B" w:rsidP="00EF072B">
            <w:pPr>
              <w:bidi/>
              <w:rPr>
                <w:b/>
                <w:bCs/>
                <w:sz w:val="20"/>
                <w:rtl/>
                <w:lang w:val="en-CA"/>
              </w:rPr>
            </w:pPr>
            <w:r w:rsidRPr="000C387F">
              <w:rPr>
                <w:rFonts w:hint="cs"/>
                <w:b/>
                <w:bCs/>
                <w:sz w:val="20"/>
                <w:rtl/>
                <w:lang w:val="en-CA"/>
              </w:rPr>
              <w:t>المجموع</w:t>
            </w:r>
          </w:p>
        </w:tc>
        <w:tc>
          <w:tcPr>
            <w:tcW w:w="1080" w:type="dxa"/>
          </w:tcPr>
          <w:p w:rsidR="00EF072B" w:rsidRPr="00F0375E" w:rsidRDefault="00EF072B" w:rsidP="00EF072B">
            <w:pPr>
              <w:jc w:val="right"/>
              <w:rPr>
                <w:b/>
                <w:sz w:val="20"/>
                <w:lang w:val="en-CA"/>
              </w:rPr>
            </w:pPr>
            <w:r w:rsidRPr="00F0375E">
              <w:rPr>
                <w:b/>
                <w:sz w:val="20"/>
                <w:lang w:val="en-CA"/>
              </w:rPr>
              <w:t>195,000</w:t>
            </w:r>
          </w:p>
        </w:tc>
        <w:tc>
          <w:tcPr>
            <w:tcW w:w="1237" w:type="dxa"/>
          </w:tcPr>
          <w:p w:rsidR="00EF072B" w:rsidRPr="00F0375E" w:rsidRDefault="00EF072B" w:rsidP="00EF072B">
            <w:pPr>
              <w:jc w:val="right"/>
              <w:rPr>
                <w:b/>
                <w:sz w:val="20"/>
              </w:rPr>
            </w:pPr>
            <w:r w:rsidRPr="00F0375E">
              <w:rPr>
                <w:b/>
                <w:sz w:val="20"/>
              </w:rPr>
              <w:t>193,266</w:t>
            </w:r>
          </w:p>
        </w:tc>
        <w:tc>
          <w:tcPr>
            <w:tcW w:w="1119" w:type="dxa"/>
          </w:tcPr>
          <w:p w:rsidR="00EF072B" w:rsidRPr="00F0375E" w:rsidRDefault="00EF072B" w:rsidP="00EF072B">
            <w:pPr>
              <w:jc w:val="right"/>
              <w:rPr>
                <w:b/>
                <w:sz w:val="20"/>
                <w:lang w:val="en-CA"/>
              </w:rPr>
            </w:pPr>
            <w:r w:rsidRPr="00F0375E">
              <w:rPr>
                <w:b/>
                <w:sz w:val="20"/>
                <w:lang w:val="en-CA"/>
              </w:rPr>
              <w:t>555,000</w:t>
            </w:r>
          </w:p>
        </w:tc>
        <w:tc>
          <w:tcPr>
            <w:tcW w:w="1256" w:type="dxa"/>
          </w:tcPr>
          <w:p w:rsidR="00EF072B" w:rsidRPr="00F0375E" w:rsidRDefault="00EF072B" w:rsidP="00EF072B">
            <w:pPr>
              <w:jc w:val="right"/>
              <w:rPr>
                <w:b/>
                <w:sz w:val="20"/>
              </w:rPr>
            </w:pPr>
            <w:r w:rsidRPr="00F0375E">
              <w:rPr>
                <w:b/>
                <w:sz w:val="20"/>
              </w:rPr>
              <w:t>162,100</w:t>
            </w:r>
          </w:p>
        </w:tc>
        <w:tc>
          <w:tcPr>
            <w:tcW w:w="1251" w:type="dxa"/>
          </w:tcPr>
          <w:p w:rsidR="00EF072B" w:rsidRPr="00F0375E" w:rsidRDefault="00EF072B" w:rsidP="00EF072B">
            <w:pPr>
              <w:jc w:val="right"/>
              <w:rPr>
                <w:b/>
                <w:sz w:val="20"/>
                <w:lang w:val="en-CA"/>
              </w:rPr>
            </w:pPr>
            <w:r w:rsidRPr="00F0375E">
              <w:rPr>
                <w:b/>
                <w:sz w:val="20"/>
                <w:lang w:val="en-CA"/>
              </w:rPr>
              <w:t>750,000</w:t>
            </w:r>
          </w:p>
        </w:tc>
        <w:tc>
          <w:tcPr>
            <w:tcW w:w="1256" w:type="dxa"/>
          </w:tcPr>
          <w:p w:rsidR="00EF072B" w:rsidRPr="00F0375E" w:rsidRDefault="00EF072B" w:rsidP="00EF072B">
            <w:pPr>
              <w:jc w:val="right"/>
              <w:rPr>
                <w:b/>
                <w:sz w:val="20"/>
                <w:lang w:val="en-CA"/>
              </w:rPr>
            </w:pPr>
            <w:r w:rsidRPr="00F0375E">
              <w:rPr>
                <w:b/>
                <w:sz w:val="20"/>
                <w:lang w:val="en-CA"/>
              </w:rPr>
              <w:t>355,366</w:t>
            </w:r>
          </w:p>
        </w:tc>
      </w:tr>
      <w:tr w:rsidR="00EF072B" w:rsidRPr="004C20B6" w:rsidTr="00B47419">
        <w:trPr>
          <w:trHeight w:val="206"/>
        </w:trPr>
        <w:tc>
          <w:tcPr>
            <w:tcW w:w="2156" w:type="dxa"/>
            <w:tcMar>
              <w:left w:w="29" w:type="dxa"/>
              <w:right w:w="29" w:type="dxa"/>
            </w:tcMar>
          </w:tcPr>
          <w:p w:rsidR="00EF072B" w:rsidRPr="00B47419" w:rsidRDefault="00EF072B" w:rsidP="00EF072B">
            <w:pPr>
              <w:bidi/>
              <w:rPr>
                <w:bCs/>
                <w:sz w:val="20"/>
                <w:lang w:val="en-CA"/>
              </w:rPr>
            </w:pPr>
            <w:r w:rsidRPr="00B47419">
              <w:rPr>
                <w:rFonts w:hint="cs"/>
                <w:bCs/>
                <w:sz w:val="20"/>
                <w:rtl/>
                <w:lang w:val="en-CA"/>
              </w:rPr>
              <w:t>نسبة الصرف (%)</w:t>
            </w:r>
          </w:p>
        </w:tc>
        <w:tc>
          <w:tcPr>
            <w:tcW w:w="2317" w:type="dxa"/>
            <w:gridSpan w:val="2"/>
          </w:tcPr>
          <w:p w:rsidR="00EF072B" w:rsidRPr="00BE0E32" w:rsidRDefault="00EF072B" w:rsidP="00EF072B">
            <w:pPr>
              <w:jc w:val="right"/>
              <w:rPr>
                <w:sz w:val="20"/>
                <w:lang w:val="en-CA"/>
              </w:rPr>
            </w:pPr>
            <w:r>
              <w:rPr>
                <w:sz w:val="20"/>
                <w:lang w:val="en-CA"/>
              </w:rPr>
              <w:t>99</w:t>
            </w:r>
          </w:p>
        </w:tc>
        <w:tc>
          <w:tcPr>
            <w:tcW w:w="2375" w:type="dxa"/>
            <w:gridSpan w:val="2"/>
          </w:tcPr>
          <w:p w:rsidR="00EF072B" w:rsidRPr="00BE0E32" w:rsidRDefault="00EF072B" w:rsidP="00EF072B">
            <w:pPr>
              <w:jc w:val="right"/>
              <w:rPr>
                <w:sz w:val="20"/>
                <w:lang w:val="en-CA"/>
              </w:rPr>
            </w:pPr>
            <w:r>
              <w:rPr>
                <w:sz w:val="20"/>
                <w:lang w:val="en-CA"/>
              </w:rPr>
              <w:t>29</w:t>
            </w:r>
          </w:p>
        </w:tc>
        <w:tc>
          <w:tcPr>
            <w:tcW w:w="2507" w:type="dxa"/>
            <w:gridSpan w:val="2"/>
          </w:tcPr>
          <w:p w:rsidR="00EF072B" w:rsidRPr="00BE0E32" w:rsidRDefault="00EF072B" w:rsidP="00EF072B">
            <w:pPr>
              <w:jc w:val="right"/>
              <w:rPr>
                <w:sz w:val="20"/>
                <w:lang w:val="en-CA"/>
              </w:rPr>
            </w:pPr>
            <w:r>
              <w:rPr>
                <w:sz w:val="20"/>
                <w:lang w:val="en-CA"/>
              </w:rPr>
              <w:t>47</w:t>
            </w:r>
          </w:p>
        </w:tc>
      </w:tr>
    </w:tbl>
    <w:p w:rsidR="00B47419" w:rsidRPr="007F6423" w:rsidRDefault="00B47419" w:rsidP="00B47419">
      <w:pPr>
        <w:pStyle w:val="StyleHeader4Para4Left0Firstline0"/>
        <w:numPr>
          <w:ilvl w:val="0"/>
          <w:numId w:val="0"/>
        </w:numPr>
        <w:tabs>
          <w:tab w:val="clear" w:pos="2880"/>
          <w:tab w:val="clear" w:pos="5760"/>
          <w:tab w:val="left" w:pos="720"/>
        </w:tabs>
        <w:bidi/>
        <w:spacing w:before="240"/>
        <w:jc w:val="lowKashida"/>
        <w:rPr>
          <w:sz w:val="26"/>
          <w:szCs w:val="26"/>
          <w:u w:val="single"/>
          <w:rtl/>
          <w:lang w:val="en-US" w:bidi="ar-EG"/>
        </w:rPr>
      </w:pPr>
      <w:r w:rsidRPr="007F6423">
        <w:rPr>
          <w:rFonts w:hint="cs"/>
          <w:sz w:val="26"/>
          <w:szCs w:val="26"/>
          <w:u w:val="single"/>
          <w:rtl/>
          <w:lang w:val="en-US" w:bidi="ar-EG"/>
        </w:rPr>
        <w:t xml:space="preserve">خطة تنفيذ الشريحة </w:t>
      </w:r>
      <w:r w:rsidR="00EF072B">
        <w:rPr>
          <w:rFonts w:hint="cs"/>
          <w:sz w:val="26"/>
          <w:szCs w:val="26"/>
          <w:u w:val="single"/>
          <w:rtl/>
          <w:lang w:val="en-US" w:bidi="ar-EG"/>
        </w:rPr>
        <w:t>الثالثة والأخيرة</w:t>
      </w:r>
      <w:r w:rsidRPr="007F6423">
        <w:rPr>
          <w:rFonts w:hint="cs"/>
          <w:sz w:val="26"/>
          <w:szCs w:val="26"/>
          <w:u w:val="single"/>
          <w:rtl/>
          <w:lang w:val="en-US" w:bidi="ar-EG"/>
        </w:rPr>
        <w:t xml:space="preserve"> من خطة إدارة إزالة المواد الهيدروكلوروفلوروكربونية</w:t>
      </w:r>
    </w:p>
    <w:p w:rsidR="00154388" w:rsidRDefault="00EF072B" w:rsidP="00DC5715">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15</w:t>
      </w:r>
      <w:r w:rsidR="00154388">
        <w:rPr>
          <w:rFonts w:hint="cs"/>
          <w:sz w:val="26"/>
          <w:szCs w:val="26"/>
          <w:rtl/>
          <w:lang w:val="en-US" w:bidi="ar-EG"/>
        </w:rPr>
        <w:t xml:space="preserve"> -</w:t>
      </w:r>
      <w:r w:rsidR="00154388">
        <w:rPr>
          <w:sz w:val="26"/>
          <w:szCs w:val="26"/>
          <w:rtl/>
          <w:lang w:val="en-US" w:bidi="ar-EG"/>
        </w:rPr>
        <w:tab/>
      </w:r>
      <w:r w:rsidR="00B47419">
        <w:rPr>
          <w:rFonts w:hint="cs"/>
          <w:sz w:val="26"/>
          <w:szCs w:val="26"/>
          <w:rtl/>
          <w:lang w:val="en-US" w:bidi="ar-EG"/>
        </w:rPr>
        <w:t xml:space="preserve">سيتم تنفيذ الأنشطة التالية </w:t>
      </w:r>
      <w:r>
        <w:rPr>
          <w:rFonts w:hint="cs"/>
          <w:sz w:val="26"/>
          <w:szCs w:val="26"/>
          <w:rtl/>
          <w:lang w:val="en-US" w:bidi="ar-EG"/>
        </w:rPr>
        <w:t>خلال عام</w:t>
      </w:r>
      <w:r w:rsidR="00B47419">
        <w:rPr>
          <w:rFonts w:hint="cs"/>
          <w:sz w:val="26"/>
          <w:szCs w:val="26"/>
          <w:rtl/>
          <w:lang w:val="en-US" w:bidi="ar-EG"/>
        </w:rPr>
        <w:t xml:space="preserve"> 2020:</w:t>
      </w:r>
    </w:p>
    <w:p w:rsidR="00734C1C" w:rsidRDefault="00734C1C" w:rsidP="00734C1C">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sidR="00EF072B">
        <w:rPr>
          <w:rFonts w:hint="cs"/>
          <w:sz w:val="26"/>
          <w:szCs w:val="26"/>
          <w:rtl/>
          <w:lang w:val="en-US" w:bidi="ar-EG"/>
        </w:rPr>
        <w:t>عقد اجتماعات تشاور مع الأطراف المعنية، وصياغة تشريعات خاصة بالمواد المستنفدة للأوزون، وعقد ورش عمل وطنية للإنفاذ ودورات تدريبية للسلطات الحكومية والأطراف المعنية الأساسية بشأن تشريعات المواد المستنفدة للأوزون والإنفاذ (يونيب) (</w:t>
      </w:r>
      <w:r w:rsidR="00EF072B">
        <w:rPr>
          <w:sz w:val="26"/>
          <w:szCs w:val="26"/>
          <w:lang w:val="en-US" w:bidi="ar-EG"/>
        </w:rPr>
        <w:t>20,000</w:t>
      </w:r>
      <w:r w:rsidR="00EF072B">
        <w:rPr>
          <w:rFonts w:hint="cs"/>
          <w:sz w:val="26"/>
          <w:szCs w:val="26"/>
          <w:rtl/>
          <w:lang w:val="en-US" w:bidi="ar-EG"/>
        </w:rPr>
        <w:t xml:space="preserve"> دولار أمريكي)؛</w:t>
      </w:r>
    </w:p>
    <w:p w:rsidR="005A4ED1" w:rsidRDefault="00734C1C" w:rsidP="005A4ED1">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sidR="005A4ED1">
        <w:rPr>
          <w:rFonts w:hint="cs"/>
          <w:sz w:val="26"/>
          <w:szCs w:val="26"/>
          <w:rtl/>
          <w:lang w:val="en-US" w:bidi="ar-EG"/>
        </w:rPr>
        <w:t>تطوير نظام ترخيص إلكتروني وفقا للظروف المحلية يشمل التركيب وتدريب العاملين المحليين والمستوردين على النظام (يونيب) (</w:t>
      </w:r>
      <w:r w:rsidR="005A4ED1">
        <w:rPr>
          <w:sz w:val="26"/>
          <w:szCs w:val="26"/>
          <w:lang w:val="en-US" w:bidi="ar-EG"/>
        </w:rPr>
        <w:t>40,000</w:t>
      </w:r>
      <w:r w:rsidR="005A4ED1">
        <w:rPr>
          <w:rFonts w:hint="cs"/>
          <w:sz w:val="26"/>
          <w:szCs w:val="26"/>
          <w:rtl/>
          <w:lang w:val="en-US" w:bidi="ar-EG"/>
        </w:rPr>
        <w:t xml:space="preserve"> دولار أمريكي)؛</w:t>
      </w:r>
    </w:p>
    <w:p w:rsidR="00734C1C" w:rsidRDefault="00734C1C" w:rsidP="00734C1C">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sidR="005A4ED1">
        <w:rPr>
          <w:rFonts w:hint="cs"/>
          <w:sz w:val="26"/>
          <w:szCs w:val="26"/>
          <w:rtl/>
          <w:lang w:val="en-US" w:bidi="ar-EG"/>
        </w:rPr>
        <w:t>الاستمرار في العمل على المعايير والقوانين الوطنية المتعلقة بالمواد الهيدروكلوروفلوروكربونية بما في ذلك تحديث وتطوير مواصفات السلامة ومتطلبات البيئة في نظم التبريد وتكييف الهواء، ومعايير ومتطلبات تحديد وتكوين غاز التبريد وحاوياته والترسيم واسترداد واستصلاح غازات التبريد (يونيب) (</w:t>
      </w:r>
      <w:r w:rsidR="005A4ED1">
        <w:rPr>
          <w:sz w:val="26"/>
          <w:szCs w:val="26"/>
          <w:lang w:val="en-US" w:bidi="ar-EG"/>
        </w:rPr>
        <w:t>20,000</w:t>
      </w:r>
      <w:r w:rsidR="005A4ED1">
        <w:rPr>
          <w:rFonts w:hint="cs"/>
          <w:sz w:val="26"/>
          <w:szCs w:val="26"/>
          <w:rtl/>
          <w:lang w:val="en-US" w:bidi="ar-EG"/>
        </w:rPr>
        <w:t xml:space="preserve"> دولار أمريكي)؛</w:t>
      </w:r>
    </w:p>
    <w:p w:rsidR="007F4378" w:rsidRDefault="007F4378" w:rsidP="007F4378">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sidR="005A4ED1">
        <w:rPr>
          <w:rFonts w:hint="cs"/>
          <w:sz w:val="26"/>
          <w:szCs w:val="26"/>
          <w:rtl/>
          <w:lang w:val="en-US" w:bidi="ar-EG"/>
        </w:rPr>
        <w:t>شراء معدات معملية (مثل أجهزة اختبار الرطوبة ومعدات تفتيش واختبار الضغط في أسطوانات الاسترداد) لمساندة ثلاثة مراكز للاستصلاح (يونيدو) (</w:t>
      </w:r>
      <w:r w:rsidR="005A4ED1">
        <w:rPr>
          <w:sz w:val="26"/>
          <w:szCs w:val="26"/>
          <w:lang w:val="en-US" w:bidi="ar-EG"/>
        </w:rPr>
        <w:t>210,000</w:t>
      </w:r>
      <w:r w:rsidR="005A4ED1">
        <w:rPr>
          <w:rFonts w:hint="cs"/>
          <w:sz w:val="26"/>
          <w:szCs w:val="26"/>
          <w:rtl/>
          <w:lang w:val="en-US" w:bidi="ar-EG"/>
        </w:rPr>
        <w:t xml:space="preserve"> دولار أمريكي)؛</w:t>
      </w:r>
    </w:p>
    <w:p w:rsidR="005A4ED1" w:rsidRDefault="005A4ED1" w:rsidP="005A4ED1">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r>
        <w:rPr>
          <w:rFonts w:hint="cs"/>
          <w:sz w:val="26"/>
          <w:szCs w:val="26"/>
          <w:rtl/>
          <w:lang w:val="en-US" w:bidi="ar-EG"/>
        </w:rPr>
        <w:t>تدريب واعتماد 500 فنيا إضافيا في مختلف القطاعات الفرعية للخدمة على ممارسات الخدمة الجيدة (يونيب) (</w:t>
      </w:r>
      <w:r>
        <w:rPr>
          <w:sz w:val="26"/>
          <w:szCs w:val="26"/>
          <w:lang w:val="en-US" w:bidi="ar-EG"/>
        </w:rPr>
        <w:t>65,000</w:t>
      </w:r>
      <w:r>
        <w:rPr>
          <w:rFonts w:hint="cs"/>
          <w:sz w:val="26"/>
          <w:szCs w:val="26"/>
          <w:rtl/>
          <w:lang w:val="en-US" w:bidi="ar-EG"/>
        </w:rPr>
        <w:t xml:space="preserve"> دولار أمريكي)؛</w:t>
      </w:r>
    </w:p>
    <w:p w:rsidR="007F4378" w:rsidRDefault="005A4ED1" w:rsidP="007F4378">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(و)</w:t>
      </w:r>
      <w:r>
        <w:rPr>
          <w:sz w:val="26"/>
          <w:szCs w:val="26"/>
          <w:rtl/>
          <w:lang w:val="en-US" w:bidi="ar-EG"/>
        </w:rPr>
        <w:tab/>
      </w:r>
      <w:r>
        <w:rPr>
          <w:rFonts w:hint="cs"/>
          <w:sz w:val="26"/>
          <w:szCs w:val="26"/>
          <w:rtl/>
          <w:lang w:val="en-US" w:bidi="ar-EG"/>
        </w:rPr>
        <w:t xml:space="preserve">تصميم وتنفيذ برنامج تدريب لتعزيز قوانين الممارسة الوطنية بما في ذلك </w:t>
      </w:r>
      <w:r w:rsidR="000C387F">
        <w:rPr>
          <w:rFonts w:hint="cs"/>
          <w:sz w:val="26"/>
          <w:szCs w:val="26"/>
          <w:rtl/>
          <w:lang w:val="en-US" w:bidi="ar-EG"/>
        </w:rPr>
        <w:t>حملات</w:t>
      </w:r>
      <w:r>
        <w:rPr>
          <w:rFonts w:hint="cs"/>
          <w:sz w:val="26"/>
          <w:szCs w:val="26"/>
          <w:rtl/>
          <w:lang w:val="en-US" w:bidi="ar-EG"/>
        </w:rPr>
        <w:t xml:space="preserve"> التوعية التقنية لقطاعات المستخدمين النهائيين الكبيرة مثل الحكومة والمباني الصناعية والتجارية (يونيب) (</w:t>
      </w:r>
      <w:r>
        <w:rPr>
          <w:sz w:val="26"/>
          <w:szCs w:val="26"/>
          <w:lang w:val="en-US" w:bidi="ar-EG"/>
        </w:rPr>
        <w:t>15,000</w:t>
      </w:r>
      <w:r>
        <w:rPr>
          <w:rFonts w:hint="cs"/>
          <w:sz w:val="26"/>
          <w:szCs w:val="26"/>
          <w:rtl/>
          <w:lang w:val="en-US" w:bidi="ar-EG"/>
        </w:rPr>
        <w:t xml:space="preserve"> دولار أمريكي)؛</w:t>
      </w:r>
    </w:p>
    <w:p w:rsidR="005A4ED1" w:rsidRDefault="005A4ED1" w:rsidP="005A4ED1">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(ز)</w:t>
      </w:r>
      <w:r>
        <w:rPr>
          <w:sz w:val="26"/>
          <w:szCs w:val="26"/>
          <w:rtl/>
          <w:lang w:val="en-US" w:bidi="ar-EG"/>
        </w:rPr>
        <w:tab/>
      </w:r>
      <w:r>
        <w:rPr>
          <w:rFonts w:hint="cs"/>
          <w:sz w:val="26"/>
          <w:szCs w:val="26"/>
          <w:rtl/>
          <w:lang w:val="en-US" w:bidi="ar-EG"/>
        </w:rPr>
        <w:t>الترويج للبرنامج المحدث الخاص بالممارسات الجيدة في البلد من خلال كتيبات وأدلة تدريب ومراجع إلكترونية (يونيب) (</w:t>
      </w:r>
      <w:r>
        <w:rPr>
          <w:sz w:val="26"/>
          <w:szCs w:val="26"/>
          <w:lang w:val="en-US" w:bidi="ar-EG"/>
        </w:rPr>
        <w:t>15,000</w:t>
      </w:r>
      <w:r>
        <w:rPr>
          <w:rFonts w:hint="cs"/>
          <w:sz w:val="26"/>
          <w:szCs w:val="26"/>
          <w:rtl/>
          <w:lang w:val="en-US" w:bidi="ar-EG"/>
        </w:rPr>
        <w:t xml:space="preserve"> دولار أمريكي)؛ و</w:t>
      </w:r>
    </w:p>
    <w:p w:rsidR="005A4ED1" w:rsidRDefault="005A4ED1" w:rsidP="005A4ED1">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(ح)</w:t>
      </w:r>
      <w:r>
        <w:rPr>
          <w:sz w:val="26"/>
          <w:szCs w:val="26"/>
          <w:rtl/>
          <w:lang w:val="en-US" w:bidi="ar-EG"/>
        </w:rPr>
        <w:tab/>
      </w:r>
      <w:r>
        <w:rPr>
          <w:rFonts w:hint="cs"/>
          <w:sz w:val="26"/>
          <w:szCs w:val="26"/>
          <w:rtl/>
          <w:lang w:val="en-US" w:bidi="ar-EG"/>
        </w:rPr>
        <w:t>مساندة عمل وحدة رصد وتنفيذ المشروع في تنفيذ الأنشطة المتبقية في خطة إدارة إزالة المواد الهيدروكلوروفلوروكربونية ومساندة وحدة الأوزون الوطنية في متابعة التنفيذ (يونيب) (</w:t>
      </w:r>
      <w:r>
        <w:rPr>
          <w:sz w:val="26"/>
          <w:szCs w:val="26"/>
          <w:lang w:val="en-US" w:bidi="ar-EG"/>
        </w:rPr>
        <w:t>45,000</w:t>
      </w:r>
      <w:r>
        <w:rPr>
          <w:rFonts w:hint="cs"/>
          <w:sz w:val="26"/>
          <w:szCs w:val="26"/>
          <w:rtl/>
          <w:lang w:val="en-US" w:bidi="ar-EG"/>
        </w:rPr>
        <w:t xml:space="preserve"> دولار أمريكي شاملة الموظفين (</w:t>
      </w:r>
      <w:r>
        <w:rPr>
          <w:sz w:val="26"/>
          <w:szCs w:val="26"/>
          <w:lang w:val="en-US" w:bidi="ar-EG"/>
        </w:rPr>
        <w:t>20,700</w:t>
      </w:r>
      <w:r>
        <w:rPr>
          <w:rFonts w:hint="cs"/>
          <w:sz w:val="26"/>
          <w:szCs w:val="26"/>
          <w:rtl/>
          <w:lang w:val="en-US" w:bidi="ar-EG"/>
        </w:rPr>
        <w:t xml:space="preserve"> دولار أمريكي) وورش عمل تدريبية واجتماعات (</w:t>
      </w:r>
      <w:r>
        <w:rPr>
          <w:sz w:val="26"/>
          <w:szCs w:val="26"/>
          <w:lang w:val="en-US" w:bidi="ar-EG"/>
        </w:rPr>
        <w:t>40,000</w:t>
      </w:r>
      <w:r>
        <w:rPr>
          <w:rFonts w:hint="cs"/>
          <w:sz w:val="26"/>
          <w:szCs w:val="26"/>
          <w:rtl/>
          <w:lang w:val="en-US" w:bidi="ar-EG"/>
        </w:rPr>
        <w:t xml:space="preserve"> دولار أمريكي) ومصروفات نثرية (</w:t>
      </w:r>
      <w:r>
        <w:rPr>
          <w:sz w:val="26"/>
          <w:szCs w:val="26"/>
          <w:lang w:val="en-US" w:bidi="ar-EG"/>
        </w:rPr>
        <w:t>4,300</w:t>
      </w:r>
      <w:r>
        <w:rPr>
          <w:rFonts w:hint="cs"/>
          <w:sz w:val="26"/>
          <w:szCs w:val="26"/>
          <w:rtl/>
          <w:lang w:val="en-US" w:bidi="ar-EG"/>
        </w:rPr>
        <w:t xml:space="preserve"> دولار أمريكي).</w:t>
      </w:r>
    </w:p>
    <w:p w:rsidR="007F4378" w:rsidRDefault="007F4378">
      <w:pPr>
        <w:jc w:val="left"/>
        <w:rPr>
          <w:b/>
          <w:bCs/>
          <w:sz w:val="26"/>
          <w:szCs w:val="26"/>
          <w:rtl/>
          <w:lang w:val="en-US" w:bidi="ar-EG"/>
        </w:rPr>
      </w:pPr>
      <w:r>
        <w:rPr>
          <w:b/>
          <w:bCs/>
          <w:sz w:val="26"/>
          <w:szCs w:val="26"/>
          <w:rtl/>
          <w:lang w:val="en-US" w:bidi="ar-EG"/>
        </w:rPr>
        <w:br w:type="page"/>
      </w:r>
    </w:p>
    <w:p w:rsidR="00CC25D3" w:rsidRPr="00CC25D3" w:rsidRDefault="00CC25D3" w:rsidP="00CC25D3">
      <w:pPr>
        <w:pStyle w:val="StyleHeader4Para4Left0Firstline0"/>
        <w:numPr>
          <w:ilvl w:val="0"/>
          <w:numId w:val="0"/>
        </w:numPr>
        <w:tabs>
          <w:tab w:val="clear" w:pos="2880"/>
          <w:tab w:val="clear" w:pos="5760"/>
          <w:tab w:val="left" w:pos="720"/>
        </w:tabs>
        <w:bidi/>
        <w:spacing w:before="120"/>
        <w:ind w:left="1324" w:hanging="1324"/>
        <w:jc w:val="center"/>
        <w:rPr>
          <w:b/>
          <w:bCs/>
          <w:sz w:val="26"/>
          <w:szCs w:val="26"/>
          <w:rtl/>
          <w:lang w:val="en-US" w:bidi="ar-EG"/>
        </w:rPr>
      </w:pPr>
      <w:r w:rsidRPr="00CC25D3">
        <w:rPr>
          <w:rFonts w:hint="cs"/>
          <w:b/>
          <w:bCs/>
          <w:sz w:val="26"/>
          <w:szCs w:val="26"/>
          <w:rtl/>
          <w:lang w:val="en-US" w:bidi="ar-EG"/>
        </w:rPr>
        <w:lastRenderedPageBreak/>
        <w:t>تعليقات الأمانة</w:t>
      </w:r>
      <w:r w:rsidR="005A4ED1">
        <w:rPr>
          <w:rFonts w:hint="cs"/>
          <w:b/>
          <w:bCs/>
          <w:sz w:val="26"/>
          <w:szCs w:val="26"/>
          <w:rtl/>
          <w:lang w:val="en-US" w:bidi="ar-EG"/>
        </w:rPr>
        <w:t xml:space="preserve"> وتوصيتها</w:t>
      </w:r>
    </w:p>
    <w:p w:rsidR="00CC25D3" w:rsidRPr="00CC25D3" w:rsidRDefault="00CC25D3" w:rsidP="00CC25D3">
      <w:pPr>
        <w:pStyle w:val="StyleHeader4Para4Left0Firstline0"/>
        <w:numPr>
          <w:ilvl w:val="0"/>
          <w:numId w:val="0"/>
        </w:numPr>
        <w:tabs>
          <w:tab w:val="clear" w:pos="2880"/>
          <w:tab w:val="clear" w:pos="5760"/>
          <w:tab w:val="left" w:pos="720"/>
        </w:tabs>
        <w:bidi/>
        <w:spacing w:before="120"/>
        <w:ind w:left="1324" w:hanging="1324"/>
        <w:jc w:val="lowKashida"/>
        <w:rPr>
          <w:b/>
          <w:bCs/>
          <w:sz w:val="26"/>
          <w:szCs w:val="26"/>
          <w:rtl/>
          <w:lang w:val="en-US" w:bidi="ar-EG"/>
        </w:rPr>
      </w:pPr>
      <w:r w:rsidRPr="00CC25D3">
        <w:rPr>
          <w:rFonts w:hint="cs"/>
          <w:b/>
          <w:bCs/>
          <w:sz w:val="26"/>
          <w:szCs w:val="26"/>
          <w:rtl/>
          <w:lang w:val="en-US" w:bidi="ar-EG"/>
        </w:rPr>
        <w:t>التعليقات</w:t>
      </w:r>
    </w:p>
    <w:p w:rsidR="00CC25D3" w:rsidRPr="00CC25D3" w:rsidRDefault="005A4ED1" w:rsidP="00CC25D3">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Pr>
          <w:rFonts w:hint="cs"/>
          <w:sz w:val="26"/>
          <w:szCs w:val="26"/>
          <w:u w:val="single"/>
          <w:rtl/>
          <w:lang w:val="en-US" w:bidi="ar-EG"/>
        </w:rPr>
        <w:t>تمديد المرحلة الأولى وتأجيل المرحلة الثانية</w:t>
      </w:r>
    </w:p>
    <w:p w:rsidR="00C8643F" w:rsidRDefault="00302A04" w:rsidP="00C8643F">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16</w:t>
      </w:r>
      <w:r w:rsidR="00C8643F">
        <w:rPr>
          <w:rFonts w:hint="cs"/>
          <w:sz w:val="26"/>
          <w:szCs w:val="26"/>
          <w:rtl/>
          <w:lang w:val="en-US" w:bidi="ar-EG"/>
        </w:rPr>
        <w:t xml:space="preserve"> -</w:t>
      </w:r>
      <w:r w:rsidR="00C8643F">
        <w:rPr>
          <w:sz w:val="26"/>
          <w:szCs w:val="26"/>
          <w:rtl/>
          <w:lang w:val="en-US" w:bidi="ar-EG"/>
        </w:rPr>
        <w:tab/>
      </w:r>
      <w:r w:rsidR="005A4ED1">
        <w:rPr>
          <w:rFonts w:hint="cs"/>
          <w:sz w:val="26"/>
          <w:szCs w:val="26"/>
          <w:rtl/>
          <w:lang w:val="en-US" w:bidi="ar-EG"/>
        </w:rPr>
        <w:t xml:space="preserve">قدم يونيب إلى الاجتماع الرابع والثمانين طلبا من حيث المبدأ لتمويل المرحلة الثانية من خطة إدارة إزالة المواد الهيدروكلوروفلوروكربونية وطلبا لتمويل الشريحة الأولى من المرحلة الثانية </w:t>
      </w:r>
      <w:r w:rsidR="00764615">
        <w:rPr>
          <w:rFonts w:hint="cs"/>
          <w:sz w:val="26"/>
          <w:szCs w:val="26"/>
          <w:rtl/>
          <w:lang w:val="en-US" w:bidi="ar-EG"/>
        </w:rPr>
        <w:t xml:space="preserve">بالإضافة إلى تمويل آخر شريحة من المرحلة الأولى وطلب تمديد المرحلة الأولى والتي كانت قد تم </w:t>
      </w:r>
      <w:r w:rsidR="000C387F">
        <w:rPr>
          <w:rFonts w:hint="cs"/>
          <w:sz w:val="26"/>
          <w:szCs w:val="26"/>
          <w:rtl/>
          <w:lang w:val="en-US" w:bidi="ar-EG"/>
        </w:rPr>
        <w:t>تمديدها</w:t>
      </w:r>
      <w:r w:rsidR="00764615">
        <w:rPr>
          <w:rFonts w:hint="cs"/>
          <w:sz w:val="26"/>
          <w:szCs w:val="26"/>
          <w:rtl/>
          <w:lang w:val="en-US" w:bidi="ar-EG"/>
        </w:rPr>
        <w:t xml:space="preserve"> بالفعل في الاجتماع الرابع والسبعين من عام 2016 إلى عام 2018.</w:t>
      </w:r>
    </w:p>
    <w:p w:rsidR="00764615" w:rsidRDefault="00764615" w:rsidP="00764615">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17 -</w:t>
      </w:r>
      <w:r>
        <w:rPr>
          <w:sz w:val="26"/>
          <w:szCs w:val="26"/>
          <w:rtl/>
          <w:lang w:val="en-US" w:bidi="ar-EG"/>
        </w:rPr>
        <w:tab/>
      </w:r>
      <w:r>
        <w:rPr>
          <w:rFonts w:hint="cs"/>
          <w:sz w:val="26"/>
          <w:szCs w:val="26"/>
          <w:rtl/>
          <w:lang w:val="en-US" w:bidi="ar-EG"/>
        </w:rPr>
        <w:t>ولتبرير طلبات التمويل للشريحة الأخيرة من المرحلة الأولى والشريحة الأولى من المرحلة الثانية في نفس الوقت، أشار يونيب إلى أنه بالرغم من أن مستوى الصرف من الشريحة الثانية كان بنسبة 29 في المائة فقط إلا أن</w:t>
      </w:r>
      <w:r w:rsidR="000C387F">
        <w:rPr>
          <w:rFonts w:hint="cs"/>
          <w:sz w:val="26"/>
          <w:szCs w:val="26"/>
          <w:rtl/>
          <w:lang w:val="en-US" w:bidi="ar-EG"/>
        </w:rPr>
        <w:t>ه</w:t>
      </w:r>
      <w:r>
        <w:rPr>
          <w:rFonts w:hint="cs"/>
          <w:sz w:val="26"/>
          <w:szCs w:val="26"/>
          <w:rtl/>
          <w:lang w:val="en-US" w:bidi="ar-EG"/>
        </w:rPr>
        <w:t xml:space="preserve"> كان قد تم الالتزام فعلا بمبلغ إضافي مقداره </w:t>
      </w:r>
      <w:r>
        <w:rPr>
          <w:sz w:val="26"/>
          <w:szCs w:val="26"/>
          <w:lang w:val="en-US" w:bidi="ar-EG"/>
        </w:rPr>
        <w:t>690,000</w:t>
      </w:r>
      <w:r>
        <w:rPr>
          <w:rFonts w:hint="cs"/>
          <w:sz w:val="26"/>
          <w:szCs w:val="26"/>
          <w:rtl/>
          <w:lang w:val="en-US" w:bidi="ar-EG"/>
        </w:rPr>
        <w:t xml:space="preserve"> دولار أمريكي للأنشطة الجارية حاليا والتي ستستكمل بحلول عام 2020. وسيتم استخدام الأموال المطلوبة في الشريحة الثالثة لاستكمال العمل الذي بدأ بالفعل في إطار الشرائح السابقة، وأن الأنشطة المقترحة في إطار المرحلة الثانية ستقوم بمساندة الإزالة التي تمت حتى الآن وتحقيق هدف إزالة نسبة </w:t>
      </w:r>
      <w:r>
        <w:rPr>
          <w:sz w:val="26"/>
          <w:szCs w:val="26"/>
          <w:lang w:val="en-US" w:bidi="ar-EG"/>
        </w:rPr>
        <w:t>67.5</w:t>
      </w:r>
      <w:r>
        <w:rPr>
          <w:rFonts w:hint="cs"/>
          <w:sz w:val="26"/>
          <w:szCs w:val="26"/>
          <w:rtl/>
          <w:lang w:val="en-US" w:bidi="ar-EG"/>
        </w:rPr>
        <w:t xml:space="preserve"> في المائة عام 2025.</w:t>
      </w:r>
    </w:p>
    <w:p w:rsidR="00764615" w:rsidRDefault="00F15EF3" w:rsidP="00764615">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18 -</w:t>
      </w:r>
      <w:r>
        <w:rPr>
          <w:sz w:val="26"/>
          <w:szCs w:val="26"/>
          <w:rtl/>
          <w:lang w:val="en-US" w:bidi="ar-EG"/>
        </w:rPr>
        <w:tab/>
      </w:r>
      <w:r>
        <w:rPr>
          <w:rFonts w:hint="cs"/>
          <w:sz w:val="26"/>
          <w:szCs w:val="26"/>
          <w:rtl/>
          <w:lang w:val="en-US" w:bidi="ar-EG"/>
        </w:rPr>
        <w:t>ومع ملاحظة أن المشروع قد تم تمديده مرة قبل ذلك بالفعل، وأن ظروف البلد تسمح بتنفيذ الأنشطة المتبقية الموافق عليها في المرحلة الأولى، قد توصي الأمانة بتمديد آخر على أساس تفهم مفاده أن</w:t>
      </w:r>
      <w:r w:rsidR="000C387F">
        <w:rPr>
          <w:rFonts w:hint="cs"/>
          <w:sz w:val="26"/>
          <w:szCs w:val="26"/>
          <w:rtl/>
          <w:lang w:val="en-US" w:bidi="ar-EG"/>
        </w:rPr>
        <w:t>ه</w:t>
      </w:r>
      <w:r>
        <w:rPr>
          <w:rFonts w:hint="cs"/>
          <w:sz w:val="26"/>
          <w:szCs w:val="26"/>
          <w:rtl/>
          <w:lang w:val="en-US" w:bidi="ar-EG"/>
        </w:rPr>
        <w:t xml:space="preserve"> لن يكون هناك أي طلب بتمديد إضافي. تبعا لذلك وفر يونيب تأكيدات بأن كافة الظروف </w:t>
      </w:r>
      <w:r w:rsidR="000C387F">
        <w:rPr>
          <w:rFonts w:hint="cs"/>
          <w:sz w:val="26"/>
          <w:szCs w:val="26"/>
          <w:rtl/>
          <w:lang w:val="en-US" w:bidi="ar-EG"/>
        </w:rPr>
        <w:t xml:space="preserve">قد </w:t>
      </w:r>
      <w:r>
        <w:rPr>
          <w:rFonts w:hint="cs"/>
          <w:sz w:val="26"/>
          <w:szCs w:val="26"/>
          <w:rtl/>
          <w:lang w:val="en-US" w:bidi="ar-EG"/>
        </w:rPr>
        <w:t>توفرت للإنجاز في الوقت المحدد وأنه سيتم القيام بجميع الأنشطة المخطط لها بنهاية عام 2020 ولن يتم طلب أي تمديد إضافي.</w:t>
      </w:r>
    </w:p>
    <w:p w:rsidR="00F15EF3" w:rsidRDefault="00F15EF3" w:rsidP="00F15EF3">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19 -</w:t>
      </w:r>
      <w:r>
        <w:rPr>
          <w:sz w:val="26"/>
          <w:szCs w:val="26"/>
          <w:rtl/>
          <w:lang w:val="en-US" w:bidi="ar-EG"/>
        </w:rPr>
        <w:tab/>
      </w:r>
      <w:r>
        <w:rPr>
          <w:rFonts w:hint="cs"/>
          <w:sz w:val="26"/>
          <w:szCs w:val="26"/>
          <w:rtl/>
          <w:lang w:val="en-US" w:bidi="ar-EG"/>
        </w:rPr>
        <w:t>نظرا لضرورة التركيز على الانتهاء من المرحلة الأولى، وبالنظر إلى الموارد المالية التي ما زالت متاحة، ومع ملاحظة أن أنشطة المرحلة الثانية تأتي مكملة للأنشطة الجارية حاليا في المرحلة الأولى، وافق يونيب على سحب طلب المرحلة الثانية من خطة إدارة إزالة المواد الهيدروكلوروفلوروكربونية على أن يعاد تقديمه إلى الاجتماع الخامس والثمانين، عندما يتم إحراز تقدم إضافي نحو استكمال المرحلة الأولى.</w:t>
      </w:r>
    </w:p>
    <w:p w:rsidR="00F15EF3" w:rsidRPr="00F15EF3" w:rsidRDefault="00F15EF3" w:rsidP="00F15EF3">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F15EF3">
        <w:rPr>
          <w:rFonts w:hint="cs"/>
          <w:sz w:val="26"/>
          <w:szCs w:val="26"/>
          <w:u w:val="single"/>
          <w:rtl/>
          <w:lang w:val="en-US" w:bidi="ar-EG"/>
        </w:rPr>
        <w:t>تقرير بشأن استهلاك المواد الهيدروكلوروفلوروكربونية وتقرير التحقق</w:t>
      </w:r>
    </w:p>
    <w:p w:rsidR="00F15EF3" w:rsidRDefault="00F15EF3" w:rsidP="00F15EF3">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20 -</w:t>
      </w:r>
      <w:r>
        <w:rPr>
          <w:sz w:val="26"/>
          <w:szCs w:val="26"/>
          <w:rtl/>
          <w:lang w:val="en-US" w:bidi="ar-EG"/>
        </w:rPr>
        <w:tab/>
      </w:r>
      <w:r>
        <w:rPr>
          <w:rFonts w:hint="cs"/>
          <w:sz w:val="26"/>
          <w:szCs w:val="26"/>
          <w:rtl/>
          <w:lang w:val="en-US" w:bidi="ar-EG"/>
        </w:rPr>
        <w:t>لاحظت الأمانة أنه نظرا لأسباب أمنية فإن تقرير التحقق للأعوام من 2015 إلى 2018 قد تم دون زيارة المستشار إلى البلد. وعلى حين أن هذا الأمر مفهوم، أعترت الأمانة مشاغل بالنسبة إلى إذا ما كانت هناك سجلات كافية من الجمارك والمستوردين قد وضعت تحت تصرف المستشار للقيام بتحقق سليم من تصاريح الاستيراد. وفي حالة ما إذا لم تكن هذه المعلومات قد أُتيحت للمحقق الذي اختاره يونيب، سألت الأمانة إن كانت هناك إمكانية لإتاحة المعلومات خبير محلي مستقل أو لمؤسسة يمكنها القيام بالتحقق.</w:t>
      </w:r>
    </w:p>
    <w:p w:rsidR="00F15EF3" w:rsidRDefault="00F15EF3" w:rsidP="00F15EF3">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21 -</w:t>
      </w:r>
      <w:r>
        <w:rPr>
          <w:sz w:val="26"/>
          <w:szCs w:val="26"/>
          <w:rtl/>
          <w:lang w:val="en-US" w:bidi="ar-EG"/>
        </w:rPr>
        <w:tab/>
      </w:r>
      <w:r>
        <w:rPr>
          <w:rFonts w:hint="cs"/>
          <w:sz w:val="26"/>
          <w:szCs w:val="26"/>
          <w:rtl/>
          <w:lang w:val="en-US" w:bidi="ar-EG"/>
        </w:rPr>
        <w:t xml:space="preserve">شرح يونيب أنه وفقا للقواعد السارية فإنه يتعين على المستوردين الإبلاغ عن الواردات إلى وحدة الأوزون الوطنية كل سنتين وكل سنة مع إرفاق الوثائق المساندة بما في ذلك وثائق الجمارك. وكانت البيانات التي وفرتها وحدة الأوزون الوطنية للمحقق قائمة على أساس بيانات استيراد الهيدروكلوروفلوروكربون-22 التي وفرها كل مستورد. </w:t>
      </w:r>
    </w:p>
    <w:p w:rsidR="00F15EF3" w:rsidRDefault="00F15EF3" w:rsidP="00F15EF3">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22 -</w:t>
      </w:r>
      <w:r>
        <w:rPr>
          <w:sz w:val="26"/>
          <w:szCs w:val="26"/>
          <w:rtl/>
          <w:lang w:val="en-US" w:bidi="ar-EG"/>
        </w:rPr>
        <w:tab/>
      </w:r>
      <w:r>
        <w:rPr>
          <w:rFonts w:hint="cs"/>
          <w:sz w:val="26"/>
          <w:szCs w:val="26"/>
          <w:rtl/>
          <w:lang w:val="en-US" w:bidi="ar-EG"/>
        </w:rPr>
        <w:t xml:space="preserve">ونظرا لأهمية التحقق في الموقع حتى يتمكن المحقق ليس فقط من استعراض سجلات الاستيراد وإنما أيضا المناقشة مع الأطراف المعنية وتوفير تأكيدات واضحة بأن نظام الترخيص والحصص يعمل، وتوفير توصيات على أساس الملحوظات، ومع ملاحظة أن حالة الأمن قد </w:t>
      </w:r>
      <w:r w:rsidR="000C387F">
        <w:rPr>
          <w:rFonts w:hint="cs"/>
          <w:sz w:val="26"/>
          <w:szCs w:val="26"/>
          <w:rtl/>
          <w:lang w:val="en-US" w:bidi="ar-EG"/>
        </w:rPr>
        <w:t>تحسنت</w:t>
      </w:r>
      <w:r>
        <w:rPr>
          <w:rFonts w:hint="cs"/>
          <w:sz w:val="26"/>
          <w:szCs w:val="26"/>
          <w:rtl/>
          <w:lang w:val="en-US" w:bidi="ar-EG"/>
        </w:rPr>
        <w:t>، اقترحت الأمانة على يونيب أن يتم تحقق في استهلاك عام 2019 بواسطة خبير محلي/شركة محاسب</w:t>
      </w:r>
      <w:r w:rsidR="000C387F">
        <w:rPr>
          <w:rFonts w:hint="cs"/>
          <w:sz w:val="26"/>
          <w:szCs w:val="26"/>
          <w:rtl/>
          <w:lang w:val="en-US" w:bidi="ar-EG"/>
        </w:rPr>
        <w:t>ة</w:t>
      </w:r>
      <w:r>
        <w:rPr>
          <w:rFonts w:hint="cs"/>
          <w:sz w:val="26"/>
          <w:szCs w:val="26"/>
          <w:rtl/>
          <w:lang w:val="en-US" w:bidi="ar-EG"/>
        </w:rPr>
        <w:t xml:space="preserve"> يمكن أن يتوفر لها الاتصال المباشر بمختلف المؤسسات المعنية، وأن يتم تقديم التقرير مع الطلب الخاص بالمرحلة الثانية من خطة إدارة إزالة المواد الهيدروكلوروفلوروكربونية.</w:t>
      </w:r>
    </w:p>
    <w:p w:rsidR="00F15EF3" w:rsidRPr="0099635D" w:rsidRDefault="00F15EF3" w:rsidP="0099635D">
      <w:pPr>
        <w:pStyle w:val="StyleHeader4Para4Left0Firstline0"/>
        <w:keepNext/>
        <w:keepLines/>
        <w:numPr>
          <w:ilvl w:val="0"/>
          <w:numId w:val="0"/>
        </w:numPr>
        <w:tabs>
          <w:tab w:val="clear" w:pos="2880"/>
          <w:tab w:val="clear" w:pos="5760"/>
          <w:tab w:val="left" w:pos="720"/>
        </w:tabs>
        <w:bidi/>
        <w:spacing w:before="120"/>
        <w:jc w:val="lowKashida"/>
        <w:rPr>
          <w:sz w:val="26"/>
          <w:szCs w:val="26"/>
          <w:u w:val="single"/>
          <w:rtl/>
          <w:lang w:val="en-US" w:bidi="ar-EG"/>
        </w:rPr>
      </w:pPr>
      <w:r w:rsidRPr="0099635D">
        <w:rPr>
          <w:rFonts w:hint="cs"/>
          <w:sz w:val="26"/>
          <w:szCs w:val="26"/>
          <w:u w:val="single"/>
          <w:rtl/>
          <w:lang w:val="en-US" w:bidi="ar-EG"/>
        </w:rPr>
        <w:lastRenderedPageBreak/>
        <w:t xml:space="preserve">تقرير مرحلي بشأن تنفيذ الشريحة الثانية من خطة إدارة إزالة المواد الهيدروكلوروفلوروكربونية </w:t>
      </w:r>
    </w:p>
    <w:p w:rsidR="00F15EF3" w:rsidRPr="0099635D" w:rsidRDefault="0099635D" w:rsidP="00F15EF3">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99635D">
        <w:rPr>
          <w:rFonts w:hint="cs"/>
          <w:i/>
          <w:iCs/>
          <w:sz w:val="26"/>
          <w:szCs w:val="26"/>
          <w:rtl/>
          <w:lang w:val="en-US" w:bidi="ar-EG"/>
        </w:rPr>
        <w:t>الإطار القانوني</w:t>
      </w:r>
    </w:p>
    <w:p w:rsidR="0099635D" w:rsidRDefault="0099635D" w:rsidP="0099635D">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23 -</w:t>
      </w:r>
      <w:r>
        <w:rPr>
          <w:sz w:val="26"/>
          <w:szCs w:val="26"/>
          <w:rtl/>
          <w:lang w:val="en-US" w:bidi="ar-EG"/>
        </w:rPr>
        <w:tab/>
      </w:r>
      <w:r>
        <w:rPr>
          <w:rFonts w:hint="cs"/>
          <w:sz w:val="26"/>
          <w:szCs w:val="26"/>
          <w:rtl/>
          <w:lang w:val="en-US" w:bidi="ar-EG"/>
        </w:rPr>
        <w:t>أصدرت حكومة العراق بالفعل حصص استيراد المواد الهيدروكلوروفلوروكربونية لعام 2019 حسب الاتفاق بين الحكومة واللجنة التنفيذية.</w:t>
      </w:r>
    </w:p>
    <w:p w:rsidR="0099635D" w:rsidRPr="0099635D" w:rsidRDefault="0099635D" w:rsidP="0099635D">
      <w:pPr>
        <w:pStyle w:val="StyleHeader4Para4Left0Firstline0"/>
        <w:numPr>
          <w:ilvl w:val="0"/>
          <w:numId w:val="0"/>
        </w:numPr>
        <w:tabs>
          <w:tab w:val="clear" w:pos="2880"/>
          <w:tab w:val="clear" w:pos="5760"/>
          <w:tab w:val="left" w:pos="720"/>
        </w:tabs>
        <w:bidi/>
        <w:spacing w:before="120"/>
        <w:jc w:val="lowKashida"/>
        <w:rPr>
          <w:i/>
          <w:iCs/>
          <w:sz w:val="26"/>
          <w:szCs w:val="26"/>
          <w:rtl/>
          <w:lang w:val="en-US" w:bidi="ar-EG"/>
        </w:rPr>
      </w:pPr>
      <w:r w:rsidRPr="0099635D">
        <w:rPr>
          <w:rFonts w:hint="cs"/>
          <w:i/>
          <w:iCs/>
          <w:sz w:val="26"/>
          <w:szCs w:val="26"/>
          <w:rtl/>
          <w:lang w:val="en-US" w:bidi="ar-EG"/>
        </w:rPr>
        <w:t>قطاع خدمة التبريد</w:t>
      </w:r>
    </w:p>
    <w:p w:rsidR="0099635D" w:rsidRDefault="0099635D" w:rsidP="0099635D">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24 -</w:t>
      </w:r>
      <w:r>
        <w:rPr>
          <w:sz w:val="26"/>
          <w:szCs w:val="26"/>
          <w:rtl/>
          <w:lang w:val="en-US" w:bidi="ar-EG"/>
        </w:rPr>
        <w:tab/>
      </w:r>
      <w:r>
        <w:rPr>
          <w:rFonts w:hint="cs"/>
          <w:sz w:val="26"/>
          <w:szCs w:val="26"/>
          <w:rtl/>
          <w:lang w:val="en-US" w:bidi="ar-EG"/>
        </w:rPr>
        <w:t xml:space="preserve">مع ملاحظة أن عدد الفنيين </w:t>
      </w:r>
      <w:r w:rsidR="000C387F">
        <w:rPr>
          <w:rFonts w:hint="cs"/>
          <w:sz w:val="26"/>
          <w:szCs w:val="26"/>
          <w:rtl/>
          <w:lang w:val="en-US" w:bidi="ar-EG"/>
        </w:rPr>
        <w:t xml:space="preserve">المقدر </w:t>
      </w:r>
      <w:r>
        <w:rPr>
          <w:rFonts w:hint="cs"/>
          <w:sz w:val="26"/>
          <w:szCs w:val="26"/>
          <w:rtl/>
          <w:lang w:val="en-US" w:bidi="ar-EG"/>
        </w:rPr>
        <w:t xml:space="preserve">في العراق يبلغ </w:t>
      </w:r>
      <w:r>
        <w:rPr>
          <w:sz w:val="26"/>
          <w:szCs w:val="26"/>
          <w:lang w:val="en-US" w:bidi="ar-EG"/>
        </w:rPr>
        <w:t>14,460</w:t>
      </w:r>
      <w:r>
        <w:rPr>
          <w:rFonts w:hint="cs"/>
          <w:sz w:val="26"/>
          <w:szCs w:val="26"/>
          <w:rtl/>
          <w:lang w:val="en-US" w:bidi="ar-EG"/>
        </w:rPr>
        <w:t xml:space="preserve"> فنيا، سألت الأمانة يونب إذا ما كان من الممكن زيادة هدف </w:t>
      </w:r>
      <w:r>
        <w:rPr>
          <w:sz w:val="26"/>
          <w:szCs w:val="26"/>
          <w:lang w:val="en-US" w:bidi="ar-EG"/>
        </w:rPr>
        <w:t>1,000</w:t>
      </w:r>
      <w:r>
        <w:rPr>
          <w:rFonts w:hint="cs"/>
          <w:sz w:val="26"/>
          <w:szCs w:val="26"/>
          <w:rtl/>
          <w:lang w:val="en-US" w:bidi="ar-EG"/>
        </w:rPr>
        <w:t xml:space="preserve"> فني معتمد في المرحلة الأولى. وأشار يونيب إلى أنه مع الأخذ في الاعتبار الوقت المتبقي وميزانية المرحلة الأولى فإنه لا يمكن زيادة هذا الهدف؛ إلا أنه قد تم إعداد استراتيجية شاملة لقطاع خدمة التبريد في إطار المرحلة الثانية من الخطة لاستكمال تدريب واعتماد العدد المتبقي من الفنيين بالإضافة إلى ضمان إن كافة الخريجين الجدد من التعليم </w:t>
      </w:r>
      <w:r w:rsidR="000C387F">
        <w:rPr>
          <w:rFonts w:hint="cs"/>
          <w:sz w:val="26"/>
          <w:szCs w:val="26"/>
          <w:rtl/>
          <w:lang w:val="en-US" w:bidi="ar-EG"/>
        </w:rPr>
        <w:t>المهني</w:t>
      </w:r>
      <w:r>
        <w:rPr>
          <w:rFonts w:hint="cs"/>
          <w:sz w:val="26"/>
          <w:szCs w:val="26"/>
          <w:rtl/>
          <w:lang w:val="en-US" w:bidi="ar-EG"/>
        </w:rPr>
        <w:t xml:space="preserve"> ونظام التدريب سيتم تدريبهم بشكل مناسب. </w:t>
      </w:r>
    </w:p>
    <w:p w:rsidR="0099635D" w:rsidRDefault="0099635D" w:rsidP="0099635D">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25 -</w:t>
      </w:r>
      <w:r>
        <w:rPr>
          <w:sz w:val="26"/>
          <w:szCs w:val="26"/>
          <w:rtl/>
          <w:lang w:val="en-US" w:bidi="ar-EG"/>
        </w:rPr>
        <w:tab/>
      </w:r>
      <w:r>
        <w:rPr>
          <w:rFonts w:hint="cs"/>
          <w:sz w:val="26"/>
          <w:szCs w:val="26"/>
          <w:rtl/>
          <w:lang w:val="en-US" w:bidi="ar-EG"/>
        </w:rPr>
        <w:t>بالنسبة إلى التشغيل الفعال واستدامة البنية التحتية لاحتواء غاز التبريد والتي تمت حتى الآن بمساعدة من الصندوق المتعدد الأطراف، شرح يونيب أنه قد تم إنشاء ثلاثة مراكز استصلاح و</w:t>
      </w:r>
      <w:r w:rsidR="000C387F">
        <w:rPr>
          <w:rFonts w:hint="cs"/>
          <w:sz w:val="26"/>
          <w:szCs w:val="26"/>
          <w:rtl/>
          <w:lang w:val="en-US" w:bidi="ar-EG"/>
        </w:rPr>
        <w:t>ت</w:t>
      </w:r>
      <w:r>
        <w:rPr>
          <w:rFonts w:hint="cs"/>
          <w:sz w:val="26"/>
          <w:szCs w:val="26"/>
          <w:rtl/>
          <w:lang w:val="en-US" w:bidi="ar-EG"/>
        </w:rPr>
        <w:t>م توزيع معدات الاسترداد لخدمة هذه المراكز. وسيتم شراء معدات المعامل بالشريحة الأخيرة من المرحلة الأولى لتعزيز هذه المراكز</w:t>
      </w:r>
      <w:r w:rsidR="000C387F">
        <w:rPr>
          <w:rFonts w:hint="cs"/>
          <w:sz w:val="26"/>
          <w:szCs w:val="26"/>
          <w:rtl/>
          <w:lang w:val="en-US" w:bidi="ar-EG"/>
        </w:rPr>
        <w:t>.</w:t>
      </w:r>
      <w:r>
        <w:rPr>
          <w:rFonts w:hint="cs"/>
          <w:sz w:val="26"/>
          <w:szCs w:val="26"/>
          <w:rtl/>
          <w:lang w:val="en-US" w:bidi="ar-EG"/>
        </w:rPr>
        <w:t xml:space="preserve"> وخلال المرحلة الثانية، سيتم تعزيز نظام الإنفاذ لتيسير التشغيل السليم لنظام الاسترداد والاستصلاح. وبناء على اقتراح من الأمانة أكدت يونيدو أن معدات الاستصلاح سوف تتمكن من العمل بالمواد الهيدروكلوروفلوروكربونية، الهيدروفلوروكربون الصافي (مثل الهيدروفلوروكربون-134</w:t>
      </w:r>
      <w:r>
        <w:rPr>
          <w:sz w:val="26"/>
          <w:szCs w:val="26"/>
          <w:lang w:val="en-US" w:bidi="ar-EG"/>
        </w:rPr>
        <w:t>a</w:t>
      </w:r>
      <w:r>
        <w:rPr>
          <w:rFonts w:hint="cs"/>
          <w:sz w:val="26"/>
          <w:szCs w:val="26"/>
          <w:rtl/>
          <w:lang w:val="en-US" w:bidi="ar-EG"/>
        </w:rPr>
        <w:t xml:space="preserve">) وخلطات شبه صامدة للغليان من الهيدروفلوروكربون (مثل </w:t>
      </w:r>
      <w:r>
        <w:rPr>
          <w:sz w:val="26"/>
          <w:szCs w:val="26"/>
          <w:lang w:val="en-US" w:bidi="ar-EG"/>
        </w:rPr>
        <w:t>R-410A</w:t>
      </w:r>
      <w:r>
        <w:rPr>
          <w:rFonts w:hint="cs"/>
          <w:sz w:val="26"/>
          <w:szCs w:val="26"/>
          <w:rtl/>
          <w:lang w:val="en-US" w:bidi="ar-EG"/>
        </w:rPr>
        <w:t xml:space="preserve"> و</w:t>
      </w:r>
      <w:r w:rsidR="008716F0">
        <w:rPr>
          <w:rFonts w:hint="eastAsia"/>
          <w:sz w:val="26"/>
          <w:szCs w:val="26"/>
          <w:rtl/>
          <w:lang w:val="en-US" w:bidi="ar-EG"/>
        </w:rPr>
        <w:t> </w:t>
      </w:r>
      <w:r w:rsidR="00B93CC1">
        <w:rPr>
          <w:sz w:val="26"/>
          <w:szCs w:val="26"/>
          <w:lang w:val="en-US" w:bidi="ar-EG"/>
        </w:rPr>
        <w:t>R-404A</w:t>
      </w:r>
      <w:r w:rsidR="00B93CC1">
        <w:rPr>
          <w:rFonts w:hint="cs"/>
          <w:sz w:val="26"/>
          <w:szCs w:val="26"/>
          <w:rtl/>
          <w:lang w:val="en-US" w:bidi="ar-EG"/>
        </w:rPr>
        <w:t>) إلا أنه لن يكون من المناسب التشغيل بغازات تبريد قابلة للاشتعال (مثل الهيدروفلوروكربون-32).</w:t>
      </w:r>
    </w:p>
    <w:p w:rsidR="00B93CC1" w:rsidRPr="00B93CC1" w:rsidRDefault="00B93CC1" w:rsidP="00B93CC1">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B93CC1">
        <w:rPr>
          <w:rFonts w:hint="cs"/>
          <w:sz w:val="26"/>
          <w:szCs w:val="26"/>
          <w:u w:val="single"/>
          <w:rtl/>
          <w:lang w:val="en-US" w:bidi="ar-EG"/>
        </w:rPr>
        <w:t>تنقيح اتفاق خطة إدارة إزالة المواد الهيدروكلوروفلوروكربون</w:t>
      </w:r>
      <w:r w:rsidR="000C387F">
        <w:rPr>
          <w:rFonts w:hint="cs"/>
          <w:sz w:val="26"/>
          <w:szCs w:val="26"/>
          <w:u w:val="single"/>
          <w:rtl/>
          <w:lang w:val="en-US" w:bidi="ar-EG"/>
        </w:rPr>
        <w:t>ية</w:t>
      </w:r>
    </w:p>
    <w:p w:rsidR="00B93CC1" w:rsidRDefault="00B93CC1" w:rsidP="00B93CC1">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26 -</w:t>
      </w:r>
      <w:r>
        <w:rPr>
          <w:sz w:val="26"/>
          <w:szCs w:val="26"/>
          <w:rtl/>
          <w:lang w:val="en-US" w:bidi="ar-EG"/>
        </w:rPr>
        <w:tab/>
      </w:r>
      <w:r>
        <w:rPr>
          <w:rFonts w:hint="cs"/>
          <w:sz w:val="26"/>
          <w:szCs w:val="26"/>
          <w:rtl/>
          <w:lang w:val="en-US" w:bidi="ar-EG"/>
        </w:rPr>
        <w:t xml:space="preserve">من أجل التعبير عن التغييرات في إصدار آخر شريحة من المرحلة الأولى عام 2019 وتمديد المرحلة الأولى وتمديد هدف التخفيض بنسبة </w:t>
      </w:r>
      <w:r>
        <w:rPr>
          <w:sz w:val="26"/>
          <w:szCs w:val="26"/>
          <w:lang w:val="en-US" w:bidi="ar-EG"/>
        </w:rPr>
        <w:t>13.8</w:t>
      </w:r>
      <w:r>
        <w:rPr>
          <w:rFonts w:hint="cs"/>
          <w:sz w:val="26"/>
          <w:szCs w:val="26"/>
          <w:rtl/>
          <w:lang w:val="en-US" w:bidi="ar-EG"/>
        </w:rPr>
        <w:t xml:space="preserve"> في المائة أقل من خط الأساس لاستهلاك المواد الهيدروكلوروفلوروكربونية حتى عام 2019، تم تحديث الفقرة 16 والتذييل 2-ألف من الاتفاق بين الحكومة واللجنة التنفيذية، كما يتضح من المرافق الأول لهذه الوثيقة. وسوف يتم إرفاق نسخة كاملة من الاتفاق المنقح بالتقرير الختامي للاجتماع الرابع والثمانين.</w:t>
      </w:r>
    </w:p>
    <w:p w:rsidR="00B93CC1" w:rsidRPr="00B93CC1" w:rsidRDefault="00B93CC1" w:rsidP="00B93CC1">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B93CC1">
        <w:rPr>
          <w:rFonts w:hint="cs"/>
          <w:sz w:val="26"/>
          <w:szCs w:val="26"/>
          <w:u w:val="single"/>
          <w:rtl/>
          <w:lang w:val="en-US" w:bidi="ar-EG"/>
        </w:rPr>
        <w:t>استدامة إزالة المواد الهيدروكلوروفلوروكربونية</w:t>
      </w:r>
    </w:p>
    <w:p w:rsidR="00B93CC1" w:rsidRDefault="00B93CC1" w:rsidP="00B93CC1">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27 -</w:t>
      </w:r>
      <w:r>
        <w:rPr>
          <w:sz w:val="26"/>
          <w:szCs w:val="26"/>
          <w:rtl/>
          <w:lang w:val="en-US" w:bidi="ar-EG"/>
        </w:rPr>
        <w:tab/>
      </w:r>
      <w:r>
        <w:rPr>
          <w:rFonts w:hint="cs"/>
          <w:sz w:val="26"/>
          <w:szCs w:val="26"/>
          <w:rtl/>
          <w:lang w:val="en-US" w:bidi="ar-EG"/>
        </w:rPr>
        <w:t>سوف تتم معالجة قطاع تصنيع التبريد وتكييف الهواء في العراق في المرحلة الثانية فقط من خطة إدارة إزالة المواد الهيدروكلوروفلوروكربونية. وعندما تتم المعالجة ستتبعها التدابير التنظيمية المطلوبة لضمان استدامة إزالة الهيدروكلوروفلوروكربون-22 في التصنيع. فضلا عن ذلك وخلال المرحلة الثانية، ستقوم الحكومة مع يونيب بضمان أن المفاهيم والخبرات المدرجة في برامج تدريب موظفي الجمارك يتم إدماجها في برامج التدريب الخاصة بهيئة الجمارك.</w:t>
      </w:r>
    </w:p>
    <w:p w:rsidR="00B93CC1" w:rsidRPr="00B93CC1" w:rsidRDefault="00B93CC1" w:rsidP="00B93CC1">
      <w:pPr>
        <w:pStyle w:val="StyleHeader4Para4Left0Firstline0"/>
        <w:numPr>
          <w:ilvl w:val="0"/>
          <w:numId w:val="0"/>
        </w:numPr>
        <w:tabs>
          <w:tab w:val="clear" w:pos="2880"/>
          <w:tab w:val="clear" w:pos="5760"/>
          <w:tab w:val="left" w:pos="720"/>
        </w:tabs>
        <w:bidi/>
        <w:spacing w:before="120"/>
        <w:jc w:val="lowKashida"/>
        <w:rPr>
          <w:sz w:val="26"/>
          <w:szCs w:val="26"/>
          <w:u w:val="single"/>
          <w:rtl/>
          <w:lang w:val="en-US" w:bidi="ar-EG"/>
        </w:rPr>
      </w:pPr>
      <w:r w:rsidRPr="00B93CC1">
        <w:rPr>
          <w:rFonts w:hint="cs"/>
          <w:sz w:val="26"/>
          <w:szCs w:val="26"/>
          <w:u w:val="single"/>
          <w:rtl/>
          <w:lang w:val="en-US" w:bidi="ar-EG"/>
        </w:rPr>
        <w:t>الخلاصة</w:t>
      </w:r>
    </w:p>
    <w:p w:rsidR="00B93CC1" w:rsidRDefault="00B93CC1" w:rsidP="00B93CC1">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28 -</w:t>
      </w:r>
      <w:r>
        <w:rPr>
          <w:sz w:val="26"/>
          <w:szCs w:val="26"/>
          <w:rtl/>
          <w:lang w:val="en-US" w:bidi="ar-EG"/>
        </w:rPr>
        <w:tab/>
      </w:r>
      <w:r>
        <w:rPr>
          <w:rFonts w:hint="cs"/>
          <w:sz w:val="26"/>
          <w:szCs w:val="26"/>
          <w:rtl/>
          <w:lang w:val="en-US" w:bidi="ar-EG"/>
        </w:rPr>
        <w:t>أخذت الأمانة علما بأن العراق في حالة امتثال ببروتوكول مونتريال واتفاق خطة إدارة إزالة المواد الهيدروكلوروفلوروكربونية مع اللجنة التنفيذية. كما أن نظام البلد لترخيص الواردات والحصص يعمل بالفعل وسوف يمكن تحقيق تخفيضات للمواد الهيدروكلوروفلوروكربونية وفقا لجدول الإزالة في بروتوكول مونتريال. وبالرغم من الموقف الصعب بسبب عوامل خارجية، تمكنت حكومة العراق من تنفيذ أنشطة في قطاع خدمة التبريد، بما في ذلك إنشاء نظام لاعتماد الفنيين وتعزيز مراكز تدريب الفنيين ومنافذ الدخول الجمركية وأنشطة توعية المستخدم النهائي. وتوصي الأمانة بتمديد المرحلة الأولى كما طلب من أجل السماح باستكمال الأنشطة الجارية في قطاع خدمة التبريد. وسيتم تقديم المرحلة الثانية من خطة إدارة إزالة المواد الهيدروكلوروفلوروكربونية إلى الاجتماع الخامس والثمانين عندما يتم تحقيق تقدم إضافي في اكتمال المرحلة الأولى.</w:t>
      </w:r>
    </w:p>
    <w:p w:rsidR="00B93CC1" w:rsidRPr="00B93CC1" w:rsidRDefault="00B93CC1" w:rsidP="00B93CC1">
      <w:pPr>
        <w:pStyle w:val="StyleHeader4Para4Left0Firstline0"/>
        <w:numPr>
          <w:ilvl w:val="0"/>
          <w:numId w:val="0"/>
        </w:numPr>
        <w:tabs>
          <w:tab w:val="clear" w:pos="2880"/>
          <w:tab w:val="clear" w:pos="5760"/>
          <w:tab w:val="left" w:pos="720"/>
        </w:tabs>
        <w:bidi/>
        <w:spacing w:before="120"/>
        <w:jc w:val="lowKashida"/>
        <w:rPr>
          <w:b/>
          <w:bCs/>
          <w:sz w:val="26"/>
          <w:szCs w:val="26"/>
          <w:rtl/>
          <w:lang w:val="en-US" w:bidi="ar-EG"/>
        </w:rPr>
      </w:pPr>
      <w:r w:rsidRPr="00B93CC1">
        <w:rPr>
          <w:rFonts w:hint="cs"/>
          <w:b/>
          <w:bCs/>
          <w:sz w:val="26"/>
          <w:szCs w:val="26"/>
          <w:rtl/>
          <w:lang w:val="en-US" w:bidi="ar-EG"/>
        </w:rPr>
        <w:lastRenderedPageBreak/>
        <w:t>التوصية</w:t>
      </w:r>
    </w:p>
    <w:p w:rsidR="00B93CC1" w:rsidRDefault="00B93CC1" w:rsidP="00B93CC1">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r>
        <w:rPr>
          <w:rFonts w:hint="cs"/>
          <w:sz w:val="26"/>
          <w:szCs w:val="26"/>
          <w:rtl/>
          <w:lang w:val="en-US" w:bidi="ar-EG"/>
        </w:rPr>
        <w:t>29 -</w:t>
      </w:r>
      <w:r>
        <w:rPr>
          <w:sz w:val="26"/>
          <w:szCs w:val="26"/>
          <w:rtl/>
          <w:lang w:val="en-US" w:bidi="ar-EG"/>
        </w:rPr>
        <w:tab/>
      </w:r>
      <w:r>
        <w:rPr>
          <w:rFonts w:hint="cs"/>
          <w:sz w:val="26"/>
          <w:szCs w:val="26"/>
          <w:rtl/>
          <w:lang w:val="en-US" w:bidi="ar-EG"/>
        </w:rPr>
        <w:t>قد ترغب اللجنة التنفيذية في أن:</w:t>
      </w:r>
    </w:p>
    <w:p w:rsidR="00B93CC1" w:rsidRDefault="00B93CC1" w:rsidP="00B93CC1">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(أ)</w:t>
      </w:r>
      <w:r>
        <w:rPr>
          <w:sz w:val="26"/>
          <w:szCs w:val="26"/>
          <w:rtl/>
          <w:lang w:val="en-US" w:bidi="ar-EG"/>
        </w:rPr>
        <w:tab/>
      </w:r>
      <w:r w:rsidR="000F7BF0">
        <w:rPr>
          <w:rFonts w:hint="cs"/>
          <w:sz w:val="26"/>
          <w:szCs w:val="26"/>
          <w:rtl/>
          <w:lang w:val="en-US" w:bidi="ar-EG"/>
        </w:rPr>
        <w:t>تأخذ علما بالتقرير المرحلي بشأن تنفيذ الشريحة الثانية من المرحلة الأولى من خطة إدارة إزالة المواد الهيدروكلوروفلوروكربونية للعراق؛</w:t>
      </w:r>
    </w:p>
    <w:p w:rsidR="00B93CC1" w:rsidRDefault="00B93CC1" w:rsidP="00B93CC1">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(ب)</w:t>
      </w:r>
      <w:r>
        <w:rPr>
          <w:sz w:val="26"/>
          <w:szCs w:val="26"/>
          <w:rtl/>
          <w:lang w:val="en-US" w:bidi="ar-EG"/>
        </w:rPr>
        <w:tab/>
      </w:r>
      <w:r w:rsidR="000F7BF0">
        <w:rPr>
          <w:rFonts w:hint="cs"/>
          <w:sz w:val="26"/>
          <w:szCs w:val="26"/>
          <w:rtl/>
          <w:lang w:val="en-US" w:bidi="ar-EG"/>
        </w:rPr>
        <w:t xml:space="preserve">توافق على تمديد فترة المرحلة الأولى من خطة إدارة إزالة المواد الهيدروكلوروفلوروكربونية من عام 2018 إلى عام </w:t>
      </w:r>
      <w:r w:rsidR="00B93F2A">
        <w:rPr>
          <w:rFonts w:hint="cs"/>
          <w:sz w:val="26"/>
          <w:szCs w:val="26"/>
          <w:rtl/>
          <w:lang w:val="en-US" w:bidi="ar-EG"/>
        </w:rPr>
        <w:t>2020</w:t>
      </w:r>
      <w:r w:rsidR="000F7BF0">
        <w:rPr>
          <w:rFonts w:hint="cs"/>
          <w:sz w:val="26"/>
          <w:szCs w:val="26"/>
          <w:rtl/>
          <w:lang w:val="en-US" w:bidi="ar-EG"/>
        </w:rPr>
        <w:t>؛</w:t>
      </w:r>
    </w:p>
    <w:p w:rsidR="00B93CC1" w:rsidRDefault="00B93CC1" w:rsidP="00B93CC1">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(ج)</w:t>
      </w:r>
      <w:r>
        <w:rPr>
          <w:sz w:val="26"/>
          <w:szCs w:val="26"/>
          <w:rtl/>
          <w:lang w:val="en-US" w:bidi="ar-EG"/>
        </w:rPr>
        <w:tab/>
      </w:r>
      <w:r w:rsidR="000F7BF0">
        <w:rPr>
          <w:rFonts w:hint="cs"/>
          <w:sz w:val="26"/>
          <w:szCs w:val="26"/>
          <w:rtl/>
          <w:lang w:val="en-US" w:bidi="ar-EG"/>
        </w:rPr>
        <w:t>تأخذ علما بأن الأمانة قد حدثت الاتفاق بين حكومة العراق واللجنة التنفيذية الوارد في المرفق الأول من هذه الوثيقة، وبصفة خاصة التذييل 2-ألف ليبين جدول التمويل المنقح وتمديد فترة المرحلة الأولى، والفقرة 16 للإشارة إلى أن الاتفاق المعدل يجّب الاتفاق الذي تم التوصل إليه في الاجتماع الرابع والسبعين؛</w:t>
      </w:r>
    </w:p>
    <w:p w:rsidR="00B93CC1" w:rsidRDefault="00B93CC1" w:rsidP="00B93CC1">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(د)</w:t>
      </w:r>
      <w:r>
        <w:rPr>
          <w:sz w:val="26"/>
          <w:szCs w:val="26"/>
          <w:rtl/>
          <w:lang w:val="en-US" w:bidi="ar-EG"/>
        </w:rPr>
        <w:tab/>
      </w:r>
      <w:r w:rsidR="000F7BF0">
        <w:rPr>
          <w:rFonts w:hint="cs"/>
          <w:sz w:val="26"/>
          <w:szCs w:val="26"/>
          <w:rtl/>
          <w:lang w:val="en-US" w:bidi="ar-EG"/>
        </w:rPr>
        <w:t>تطلب إلى حكومة العراق ويونيب ويونيدو أن يقدموا ما يلي:</w:t>
      </w:r>
    </w:p>
    <w:p w:rsidR="000F7BF0" w:rsidRDefault="000F7BF0" w:rsidP="000F7BF0">
      <w:pPr>
        <w:pStyle w:val="StyleHeader4Para4Left0Firstline0"/>
        <w:numPr>
          <w:ilvl w:val="0"/>
          <w:numId w:val="0"/>
        </w:numPr>
        <w:tabs>
          <w:tab w:val="clear" w:pos="2880"/>
          <w:tab w:val="clear" w:pos="5760"/>
          <w:tab w:val="left" w:pos="1350"/>
        </w:tabs>
        <w:bidi/>
        <w:spacing w:before="120"/>
        <w:ind w:left="1980" w:hanging="1980"/>
        <w:jc w:val="lowKashida"/>
        <w:rPr>
          <w:sz w:val="26"/>
          <w:szCs w:val="26"/>
          <w:rtl/>
          <w:lang w:val="en-US" w:bidi="ar-EG"/>
        </w:rPr>
      </w:pPr>
      <w:r>
        <w:rPr>
          <w:sz w:val="26"/>
          <w:szCs w:val="26"/>
          <w:rtl/>
          <w:lang w:val="en-US" w:bidi="ar-EG"/>
        </w:rPr>
        <w:tab/>
      </w:r>
      <w:r>
        <w:rPr>
          <w:rFonts w:hint="cs"/>
          <w:sz w:val="26"/>
          <w:szCs w:val="26"/>
          <w:rtl/>
          <w:lang w:val="en-US" w:bidi="ar-EG"/>
        </w:rPr>
        <w:t>(1)</w:t>
      </w:r>
      <w:r>
        <w:rPr>
          <w:sz w:val="26"/>
          <w:szCs w:val="26"/>
          <w:rtl/>
          <w:lang w:val="en-US" w:bidi="ar-EG"/>
        </w:rPr>
        <w:tab/>
      </w:r>
      <w:r>
        <w:rPr>
          <w:rFonts w:hint="cs"/>
          <w:sz w:val="26"/>
          <w:szCs w:val="26"/>
          <w:rtl/>
          <w:lang w:val="en-US" w:bidi="ar-EG"/>
        </w:rPr>
        <w:t>تقرير استكمال المشروع إلى أول اجتماع للجنة التنفيذية عام 2021؛</w:t>
      </w:r>
    </w:p>
    <w:p w:rsidR="000F7BF0" w:rsidRDefault="000F7BF0" w:rsidP="000F7BF0">
      <w:pPr>
        <w:pStyle w:val="StyleHeader4Para4Left0Firstline0"/>
        <w:numPr>
          <w:ilvl w:val="0"/>
          <w:numId w:val="0"/>
        </w:numPr>
        <w:tabs>
          <w:tab w:val="clear" w:pos="2880"/>
          <w:tab w:val="clear" w:pos="5760"/>
          <w:tab w:val="left" w:pos="1350"/>
        </w:tabs>
        <w:bidi/>
        <w:spacing w:before="120"/>
        <w:ind w:left="1980" w:hanging="1980"/>
        <w:jc w:val="lowKashida"/>
        <w:rPr>
          <w:sz w:val="26"/>
          <w:szCs w:val="26"/>
          <w:rtl/>
          <w:lang w:val="en-US" w:bidi="ar-EG"/>
        </w:rPr>
      </w:pPr>
      <w:r>
        <w:rPr>
          <w:sz w:val="26"/>
          <w:szCs w:val="26"/>
          <w:rtl/>
          <w:lang w:val="en-US" w:bidi="ar-EG"/>
        </w:rPr>
        <w:tab/>
      </w:r>
      <w:r>
        <w:rPr>
          <w:rFonts w:hint="cs"/>
          <w:sz w:val="26"/>
          <w:szCs w:val="26"/>
          <w:rtl/>
          <w:lang w:val="en-US" w:bidi="ar-EG"/>
        </w:rPr>
        <w:t>(2)</w:t>
      </w:r>
      <w:r>
        <w:rPr>
          <w:sz w:val="26"/>
          <w:szCs w:val="26"/>
          <w:rtl/>
          <w:lang w:val="en-US" w:bidi="ar-EG"/>
        </w:rPr>
        <w:tab/>
      </w:r>
      <w:r>
        <w:rPr>
          <w:rFonts w:hint="cs"/>
          <w:sz w:val="26"/>
          <w:szCs w:val="26"/>
          <w:rtl/>
          <w:lang w:val="en-US" w:bidi="ar-EG"/>
        </w:rPr>
        <w:t>تقرير تحقق مستقل لعام 2019 وذلك مع طلب المرحلة الثانية من خطة إدارة إزالة المواد الهيدروكلوروفلوروكربونية؛ و</w:t>
      </w:r>
    </w:p>
    <w:p w:rsidR="00B93CC1" w:rsidRDefault="00B93CC1" w:rsidP="00B93CC1">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r>
        <w:rPr>
          <w:sz w:val="26"/>
          <w:szCs w:val="26"/>
          <w:rtl/>
          <w:lang w:val="en-US" w:bidi="ar-EG"/>
        </w:rPr>
        <w:tab/>
      </w:r>
      <w:r>
        <w:rPr>
          <w:rFonts w:hint="cs"/>
          <w:sz w:val="26"/>
          <w:szCs w:val="26"/>
          <w:rtl/>
          <w:lang w:val="en-US" w:bidi="ar-EG"/>
        </w:rPr>
        <w:t>(هـ)</w:t>
      </w:r>
      <w:r>
        <w:rPr>
          <w:sz w:val="26"/>
          <w:szCs w:val="26"/>
          <w:rtl/>
          <w:lang w:val="en-US" w:bidi="ar-EG"/>
        </w:rPr>
        <w:tab/>
      </w:r>
      <w:r w:rsidR="000F7BF0">
        <w:rPr>
          <w:rFonts w:hint="cs"/>
          <w:sz w:val="26"/>
          <w:szCs w:val="26"/>
          <w:rtl/>
          <w:lang w:val="en-US" w:bidi="ar-EG"/>
        </w:rPr>
        <w:t xml:space="preserve">توافق على الشريحة الثالثة والأخيرة من المرحلة الأولى من خطة إدارة إزالة المواد الهيدروكلوروفلوروكربونية للعراق، وخطة تنفيذ الشريحة المقابلة لعام 2019 بمبلغ </w:t>
      </w:r>
      <w:r w:rsidR="000F7BF0">
        <w:rPr>
          <w:sz w:val="26"/>
          <w:szCs w:val="26"/>
          <w:lang w:val="en-US" w:bidi="ar-EG"/>
        </w:rPr>
        <w:t>473,384</w:t>
      </w:r>
      <w:r w:rsidR="000F7BF0">
        <w:rPr>
          <w:rFonts w:hint="cs"/>
          <w:sz w:val="26"/>
          <w:szCs w:val="26"/>
          <w:rtl/>
          <w:lang w:val="en-US" w:bidi="ar-EG"/>
        </w:rPr>
        <w:t xml:space="preserve"> دولار أمريكي يشمل </w:t>
      </w:r>
      <w:r w:rsidR="000F7BF0">
        <w:rPr>
          <w:sz w:val="26"/>
          <w:szCs w:val="26"/>
          <w:lang w:val="en-US" w:bidi="ar-EG"/>
        </w:rPr>
        <w:t>220,000</w:t>
      </w:r>
      <w:r w:rsidR="000F7BF0">
        <w:rPr>
          <w:rFonts w:hint="cs"/>
          <w:sz w:val="26"/>
          <w:szCs w:val="26"/>
          <w:rtl/>
          <w:lang w:val="en-US" w:bidi="ar-EG"/>
        </w:rPr>
        <w:t xml:space="preserve"> دولار أمريكي زائد تكاليف الدعم البالغة </w:t>
      </w:r>
      <w:r w:rsidR="000F7BF0">
        <w:rPr>
          <w:sz w:val="26"/>
          <w:szCs w:val="26"/>
          <w:lang w:val="en-US" w:bidi="ar-EG"/>
        </w:rPr>
        <w:t>27,634</w:t>
      </w:r>
      <w:r w:rsidR="000F7BF0">
        <w:rPr>
          <w:rFonts w:hint="cs"/>
          <w:sz w:val="26"/>
          <w:szCs w:val="26"/>
          <w:rtl/>
          <w:lang w:val="en-US" w:bidi="ar-EG"/>
        </w:rPr>
        <w:t xml:space="preserve"> دولار أمريكي ليونيب، و </w:t>
      </w:r>
      <w:r w:rsidR="000F7BF0">
        <w:rPr>
          <w:sz w:val="26"/>
          <w:szCs w:val="26"/>
          <w:lang w:val="en-US" w:bidi="ar-EG"/>
        </w:rPr>
        <w:t>210,000</w:t>
      </w:r>
      <w:r w:rsidR="000F7BF0">
        <w:rPr>
          <w:rFonts w:hint="cs"/>
          <w:sz w:val="26"/>
          <w:szCs w:val="26"/>
          <w:rtl/>
          <w:lang w:val="en-US" w:bidi="ar-EG"/>
        </w:rPr>
        <w:t xml:space="preserve"> دولار أمريكي زائد تكاليف الدعم البالغة </w:t>
      </w:r>
      <w:r w:rsidR="000F7BF0">
        <w:rPr>
          <w:sz w:val="26"/>
          <w:szCs w:val="26"/>
          <w:lang w:val="en-US" w:bidi="ar-EG"/>
        </w:rPr>
        <w:t>15,750</w:t>
      </w:r>
      <w:r w:rsidR="000F7BF0">
        <w:rPr>
          <w:rFonts w:hint="cs"/>
          <w:sz w:val="26"/>
          <w:szCs w:val="26"/>
          <w:rtl/>
          <w:lang w:val="en-US" w:bidi="ar-EG"/>
        </w:rPr>
        <w:t xml:space="preserve"> دولار أمريكي ليونيدو.</w:t>
      </w:r>
    </w:p>
    <w:p w:rsidR="0019179D" w:rsidRDefault="0019179D" w:rsidP="00B93CC1">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sectPr w:rsidR="0019179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1440" w:bottom="864" w:left="1440" w:header="720" w:footer="475" w:gutter="0"/>
          <w:pgNumType w:start="1"/>
          <w:cols w:space="720"/>
          <w:titlePg/>
        </w:sectPr>
      </w:pPr>
    </w:p>
    <w:p w:rsidR="00034DD8" w:rsidRDefault="00034DD8">
      <w:pPr>
        <w:jc w:val="left"/>
        <w:rPr>
          <w:sz w:val="26"/>
          <w:szCs w:val="26"/>
          <w:u w:val="single"/>
          <w:rtl/>
          <w:lang w:val="en-US" w:bidi="ar-EG"/>
        </w:rPr>
      </w:pPr>
    </w:p>
    <w:p w:rsidR="002D7637" w:rsidRDefault="000F7BF0" w:rsidP="00FC6D6A">
      <w:pPr>
        <w:pStyle w:val="StyleHeader4Para4Left0Firstline0"/>
        <w:numPr>
          <w:ilvl w:val="0"/>
          <w:numId w:val="0"/>
        </w:numPr>
        <w:tabs>
          <w:tab w:val="clear" w:pos="2880"/>
          <w:tab w:val="clear" w:pos="5760"/>
          <w:tab w:val="left" w:pos="720"/>
        </w:tabs>
        <w:bidi/>
        <w:spacing w:before="120"/>
        <w:jc w:val="center"/>
        <w:rPr>
          <w:b/>
          <w:bCs/>
          <w:sz w:val="26"/>
          <w:szCs w:val="26"/>
          <w:rtl/>
          <w:lang w:val="en-US" w:bidi="ar-EG"/>
        </w:rPr>
      </w:pPr>
      <w:r>
        <w:rPr>
          <w:rFonts w:hint="cs"/>
          <w:b/>
          <w:bCs/>
          <w:sz w:val="26"/>
          <w:szCs w:val="26"/>
          <w:rtl/>
          <w:lang w:val="en-US" w:bidi="ar-EG"/>
        </w:rPr>
        <w:t>المرفق الأول</w:t>
      </w:r>
    </w:p>
    <w:p w:rsidR="000F7BF0" w:rsidRDefault="000F7BF0" w:rsidP="00CF06FC">
      <w:pPr>
        <w:pStyle w:val="StyleHeader4Para4Left0Firstline0"/>
        <w:numPr>
          <w:ilvl w:val="0"/>
          <w:numId w:val="0"/>
        </w:numPr>
        <w:tabs>
          <w:tab w:val="clear" w:pos="2880"/>
          <w:tab w:val="clear" w:pos="5760"/>
          <w:tab w:val="left" w:pos="720"/>
        </w:tabs>
        <w:bidi/>
        <w:spacing w:before="120" w:after="0"/>
        <w:jc w:val="center"/>
        <w:rPr>
          <w:b/>
          <w:bCs/>
          <w:sz w:val="26"/>
          <w:szCs w:val="26"/>
          <w:rtl/>
          <w:lang w:val="en-US" w:bidi="ar-EG"/>
        </w:rPr>
      </w:pPr>
      <w:r>
        <w:rPr>
          <w:rFonts w:hint="cs"/>
          <w:b/>
          <w:bCs/>
          <w:sz w:val="26"/>
          <w:szCs w:val="26"/>
          <w:rtl/>
          <w:lang w:val="en-US" w:bidi="ar-EG"/>
        </w:rPr>
        <w:t>نص يجب إدماجه في الاتفاق المعدل بين</w:t>
      </w:r>
      <w:r w:rsidR="00CF06FC">
        <w:rPr>
          <w:b/>
          <w:bCs/>
          <w:sz w:val="26"/>
          <w:szCs w:val="26"/>
          <w:lang w:val="en-US" w:bidi="ar-EG"/>
        </w:rPr>
        <w:t xml:space="preserve"> </w:t>
      </w:r>
      <w:r>
        <w:rPr>
          <w:rFonts w:hint="cs"/>
          <w:b/>
          <w:bCs/>
          <w:sz w:val="26"/>
          <w:szCs w:val="26"/>
          <w:rtl/>
          <w:lang w:val="en-US" w:bidi="ar-EG"/>
        </w:rPr>
        <w:t>حكومة العراق واللجنة التنفيذية للصندوق المتعدد الأطراف</w:t>
      </w:r>
    </w:p>
    <w:p w:rsidR="000F7BF0" w:rsidRDefault="000F7BF0" w:rsidP="00FC6D6A">
      <w:pPr>
        <w:pStyle w:val="StyleHeader4Para4Left0Firstline0"/>
        <w:numPr>
          <w:ilvl w:val="0"/>
          <w:numId w:val="0"/>
        </w:numPr>
        <w:tabs>
          <w:tab w:val="clear" w:pos="2880"/>
          <w:tab w:val="clear" w:pos="5760"/>
          <w:tab w:val="left" w:pos="720"/>
        </w:tabs>
        <w:bidi/>
        <w:spacing w:before="120"/>
        <w:jc w:val="center"/>
        <w:rPr>
          <w:b/>
          <w:bCs/>
          <w:sz w:val="26"/>
          <w:szCs w:val="26"/>
          <w:rtl/>
          <w:lang w:val="en-US" w:bidi="ar-EG"/>
        </w:rPr>
      </w:pPr>
      <w:r>
        <w:rPr>
          <w:rFonts w:hint="cs"/>
          <w:b/>
          <w:bCs/>
          <w:sz w:val="26"/>
          <w:szCs w:val="26"/>
          <w:rtl/>
          <w:lang w:val="en-US" w:bidi="ar-EG"/>
        </w:rPr>
        <w:t>بشأن تخفيض استهلاك المواد الهيدروكلوروفلوروكربونية</w:t>
      </w:r>
    </w:p>
    <w:p w:rsidR="000F7BF0" w:rsidRDefault="000F7BF0" w:rsidP="00FC6D6A">
      <w:pPr>
        <w:pStyle w:val="StyleHeader4Para4Left0Firstline0"/>
        <w:numPr>
          <w:ilvl w:val="0"/>
          <w:numId w:val="0"/>
        </w:numPr>
        <w:tabs>
          <w:tab w:val="clear" w:pos="2880"/>
          <w:tab w:val="clear" w:pos="5760"/>
          <w:tab w:val="left" w:pos="720"/>
        </w:tabs>
        <w:bidi/>
        <w:spacing w:before="120"/>
        <w:jc w:val="center"/>
        <w:rPr>
          <w:sz w:val="26"/>
          <w:szCs w:val="26"/>
          <w:rtl/>
          <w:lang w:val="en-US" w:bidi="ar-EG"/>
        </w:rPr>
      </w:pPr>
      <w:r w:rsidRPr="000F7BF0">
        <w:rPr>
          <w:rFonts w:hint="cs"/>
          <w:sz w:val="26"/>
          <w:szCs w:val="26"/>
          <w:rtl/>
          <w:lang w:val="en-US" w:bidi="ar-EG"/>
        </w:rPr>
        <w:t>(</w:t>
      </w:r>
      <w:r>
        <w:rPr>
          <w:rFonts w:hint="cs"/>
          <w:sz w:val="26"/>
          <w:szCs w:val="26"/>
          <w:rtl/>
          <w:lang w:val="en-US" w:bidi="ar-EG"/>
        </w:rPr>
        <w:t>التغييرات ذات الصلة بالخط الغامق لتيسير الرجوع إليها)</w:t>
      </w:r>
    </w:p>
    <w:p w:rsidR="00FC6D6A" w:rsidRPr="000F7BF0" w:rsidRDefault="00FC6D6A" w:rsidP="00FC6D6A">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p>
    <w:p w:rsidR="00FC6D6A" w:rsidRDefault="00FC6D6A" w:rsidP="00CF06FC">
      <w:pPr>
        <w:pStyle w:val="StyleHeader4Para4Left0Firstline0"/>
        <w:numPr>
          <w:ilvl w:val="0"/>
          <w:numId w:val="0"/>
        </w:numPr>
        <w:tabs>
          <w:tab w:val="clear" w:pos="2880"/>
          <w:tab w:val="clear" w:pos="5760"/>
          <w:tab w:val="left" w:pos="720"/>
        </w:tabs>
        <w:bidi/>
        <w:spacing w:before="120"/>
        <w:ind w:left="72"/>
        <w:jc w:val="lowKashida"/>
        <w:rPr>
          <w:sz w:val="26"/>
          <w:szCs w:val="26"/>
          <w:rtl/>
          <w:lang w:val="en-US" w:bidi="ar-EG"/>
        </w:rPr>
      </w:pPr>
      <w:r>
        <w:rPr>
          <w:rFonts w:hint="cs"/>
          <w:sz w:val="26"/>
          <w:szCs w:val="26"/>
          <w:rtl/>
          <w:lang w:val="en-US" w:bidi="ar-EG"/>
        </w:rPr>
        <w:t>16 -</w:t>
      </w:r>
      <w:r>
        <w:rPr>
          <w:sz w:val="26"/>
          <w:szCs w:val="26"/>
          <w:rtl/>
          <w:lang w:val="en-US" w:bidi="ar-EG"/>
        </w:rPr>
        <w:tab/>
      </w:r>
      <w:r>
        <w:rPr>
          <w:rFonts w:hint="cs"/>
          <w:sz w:val="26"/>
          <w:szCs w:val="26"/>
          <w:rtl/>
          <w:lang w:val="en-US" w:bidi="ar-EG"/>
        </w:rPr>
        <w:t xml:space="preserve">هذا الاتفاق المعدل يحلّ محلّ الاتفاق المعقود بين حكومة العراق واللجنة التنفيذية في الاجتماع </w:t>
      </w:r>
      <w:r w:rsidR="00B93F2A" w:rsidRPr="00CF06FC">
        <w:rPr>
          <w:rFonts w:hint="cs"/>
          <w:b/>
          <w:bCs/>
          <w:sz w:val="26"/>
          <w:szCs w:val="26"/>
          <w:rtl/>
          <w:lang w:val="en-US" w:bidi="ar-EG"/>
        </w:rPr>
        <w:t>الرابع</w:t>
      </w:r>
      <w:r w:rsidRPr="00CF06FC">
        <w:rPr>
          <w:rFonts w:hint="cs"/>
          <w:b/>
          <w:bCs/>
          <w:sz w:val="26"/>
          <w:szCs w:val="26"/>
          <w:rtl/>
          <w:lang w:val="en-US" w:bidi="ar-EG"/>
        </w:rPr>
        <w:t xml:space="preserve"> والسبعين</w:t>
      </w:r>
      <w:r>
        <w:rPr>
          <w:rFonts w:hint="cs"/>
          <w:sz w:val="26"/>
          <w:szCs w:val="26"/>
          <w:rtl/>
          <w:lang w:val="en-US" w:bidi="ar-EG"/>
        </w:rPr>
        <w:t xml:space="preserve"> للجنة التنفيذية.</w:t>
      </w:r>
    </w:p>
    <w:p w:rsidR="00452966" w:rsidRPr="00452966" w:rsidRDefault="00FC6D6A" w:rsidP="00FC6D6A">
      <w:pPr>
        <w:pStyle w:val="StyleHeader4Para4Left0Firstline0"/>
        <w:numPr>
          <w:ilvl w:val="0"/>
          <w:numId w:val="0"/>
        </w:numPr>
        <w:tabs>
          <w:tab w:val="clear" w:pos="2880"/>
          <w:tab w:val="clear" w:pos="5760"/>
          <w:tab w:val="left" w:pos="720"/>
        </w:tabs>
        <w:bidi/>
        <w:spacing w:before="120"/>
        <w:jc w:val="lowKashida"/>
        <w:rPr>
          <w:b/>
          <w:bCs/>
          <w:sz w:val="26"/>
          <w:szCs w:val="26"/>
          <w:rtl/>
          <w:lang w:val="en-US" w:bidi="ar-EG"/>
        </w:rPr>
      </w:pPr>
      <w:r w:rsidRPr="00452966">
        <w:rPr>
          <w:rFonts w:hint="cs"/>
          <w:b/>
          <w:bCs/>
          <w:sz w:val="26"/>
          <w:szCs w:val="26"/>
          <w:rtl/>
          <w:lang w:val="en-US" w:bidi="ar-EG"/>
        </w:rPr>
        <w:t>التذييل</w:t>
      </w:r>
      <w:r w:rsidR="00452966" w:rsidRPr="00452966">
        <w:rPr>
          <w:rFonts w:hint="cs"/>
          <w:b/>
          <w:bCs/>
          <w:sz w:val="26"/>
          <w:szCs w:val="26"/>
          <w:rtl/>
          <w:lang w:val="en-US" w:bidi="ar-EG"/>
        </w:rPr>
        <w:t xml:space="preserve"> 2-ألف: الأهداف والتمويل</w:t>
      </w:r>
    </w:p>
    <w:tbl>
      <w:tblPr>
        <w:bidiVisual/>
        <w:tblW w:w="11004"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2047"/>
        <w:gridCol w:w="819"/>
        <w:gridCol w:w="819"/>
        <w:gridCol w:w="819"/>
        <w:gridCol w:w="819"/>
        <w:gridCol w:w="819"/>
        <w:gridCol w:w="819"/>
        <w:gridCol w:w="819"/>
        <w:gridCol w:w="819"/>
        <w:gridCol w:w="819"/>
        <w:gridCol w:w="928"/>
      </w:tblGrid>
      <w:tr w:rsidR="00452966" w:rsidRPr="00FE7533" w:rsidTr="00B12536">
        <w:trPr>
          <w:trHeight w:val="223"/>
        </w:trPr>
        <w:tc>
          <w:tcPr>
            <w:tcW w:w="658" w:type="dxa"/>
            <w:noWrap/>
            <w:tcMar>
              <w:left w:w="57" w:type="dxa"/>
              <w:right w:w="57" w:type="dxa"/>
            </w:tcMar>
          </w:tcPr>
          <w:p w:rsidR="00452966" w:rsidRPr="00FE7533" w:rsidRDefault="00452966" w:rsidP="000C387F">
            <w:pPr>
              <w:keepNext/>
              <w:bidi/>
              <w:ind w:right="-503"/>
              <w:rPr>
                <w:b/>
                <w:sz w:val="20"/>
              </w:rPr>
            </w:pPr>
          </w:p>
        </w:tc>
        <w:tc>
          <w:tcPr>
            <w:tcW w:w="2047" w:type="dxa"/>
            <w:tcMar>
              <w:left w:w="57" w:type="dxa"/>
              <w:right w:w="57" w:type="dxa"/>
            </w:tcMar>
          </w:tcPr>
          <w:p w:rsidR="00452966" w:rsidRPr="00FE7533" w:rsidRDefault="00452966" w:rsidP="00452966">
            <w:pPr>
              <w:keepNext/>
              <w:bidi/>
              <w:ind w:right="131"/>
              <w:jc w:val="center"/>
              <w:rPr>
                <w:b/>
                <w:bCs/>
                <w:sz w:val="20"/>
                <w:lang w:eastAsia="en-CA"/>
              </w:rPr>
            </w:pPr>
          </w:p>
        </w:tc>
        <w:tc>
          <w:tcPr>
            <w:tcW w:w="819" w:type="dxa"/>
            <w:tcMar>
              <w:left w:w="57" w:type="dxa"/>
              <w:right w:w="57" w:type="dxa"/>
            </w:tcMar>
          </w:tcPr>
          <w:p w:rsidR="00452966" w:rsidRPr="00FE7533" w:rsidRDefault="00452966" w:rsidP="00452966">
            <w:pPr>
              <w:keepNext/>
              <w:jc w:val="center"/>
              <w:rPr>
                <w:b/>
                <w:bCs/>
                <w:sz w:val="20"/>
                <w:lang w:eastAsia="en-CA"/>
              </w:rPr>
            </w:pPr>
            <w:r w:rsidRPr="00FE7533">
              <w:rPr>
                <w:b/>
                <w:bCs/>
                <w:sz w:val="20"/>
                <w:lang w:eastAsia="en-CA"/>
              </w:rPr>
              <w:t>2011</w:t>
            </w:r>
          </w:p>
        </w:tc>
        <w:tc>
          <w:tcPr>
            <w:tcW w:w="819" w:type="dxa"/>
            <w:tcMar>
              <w:left w:w="57" w:type="dxa"/>
              <w:right w:w="57" w:type="dxa"/>
            </w:tcMar>
          </w:tcPr>
          <w:p w:rsidR="00452966" w:rsidRPr="00FE7533" w:rsidRDefault="00452966" w:rsidP="00452966">
            <w:pPr>
              <w:keepNext/>
              <w:jc w:val="center"/>
              <w:rPr>
                <w:b/>
                <w:bCs/>
                <w:sz w:val="20"/>
                <w:lang w:eastAsia="en-CA"/>
              </w:rPr>
            </w:pPr>
            <w:r w:rsidRPr="00FE7533">
              <w:rPr>
                <w:b/>
                <w:bCs/>
                <w:sz w:val="20"/>
                <w:lang w:eastAsia="en-CA"/>
              </w:rPr>
              <w:t>2012</w:t>
            </w:r>
          </w:p>
        </w:tc>
        <w:tc>
          <w:tcPr>
            <w:tcW w:w="819" w:type="dxa"/>
            <w:tcMar>
              <w:left w:w="57" w:type="dxa"/>
              <w:right w:w="57" w:type="dxa"/>
            </w:tcMar>
          </w:tcPr>
          <w:p w:rsidR="00452966" w:rsidRPr="00FE7533" w:rsidRDefault="00452966" w:rsidP="00452966">
            <w:pPr>
              <w:keepNext/>
              <w:jc w:val="center"/>
              <w:rPr>
                <w:b/>
                <w:bCs/>
                <w:sz w:val="20"/>
                <w:lang w:eastAsia="en-CA"/>
              </w:rPr>
            </w:pPr>
            <w:r w:rsidRPr="00FE7533">
              <w:rPr>
                <w:b/>
                <w:bCs/>
                <w:sz w:val="20"/>
                <w:lang w:eastAsia="en-CA"/>
              </w:rPr>
              <w:t>2013</w:t>
            </w:r>
          </w:p>
        </w:tc>
        <w:tc>
          <w:tcPr>
            <w:tcW w:w="819" w:type="dxa"/>
            <w:tcMar>
              <w:left w:w="57" w:type="dxa"/>
              <w:right w:w="57" w:type="dxa"/>
            </w:tcMar>
          </w:tcPr>
          <w:p w:rsidR="00452966" w:rsidRPr="00FE7533" w:rsidRDefault="00452966" w:rsidP="00452966">
            <w:pPr>
              <w:keepNext/>
              <w:jc w:val="center"/>
              <w:rPr>
                <w:b/>
                <w:bCs/>
                <w:sz w:val="20"/>
                <w:lang w:eastAsia="en-CA"/>
              </w:rPr>
            </w:pPr>
            <w:r w:rsidRPr="00FE7533">
              <w:rPr>
                <w:b/>
                <w:bCs/>
                <w:sz w:val="20"/>
                <w:lang w:eastAsia="en-CA"/>
              </w:rPr>
              <w:t>2014</w:t>
            </w:r>
          </w:p>
        </w:tc>
        <w:tc>
          <w:tcPr>
            <w:tcW w:w="819" w:type="dxa"/>
            <w:tcMar>
              <w:left w:w="57" w:type="dxa"/>
              <w:right w:w="57" w:type="dxa"/>
            </w:tcMar>
          </w:tcPr>
          <w:p w:rsidR="00452966" w:rsidRPr="00FE7533" w:rsidRDefault="00452966" w:rsidP="00452966">
            <w:pPr>
              <w:keepNext/>
              <w:jc w:val="center"/>
              <w:rPr>
                <w:b/>
                <w:bCs/>
                <w:sz w:val="20"/>
                <w:lang w:eastAsia="en-CA"/>
              </w:rPr>
            </w:pPr>
            <w:r w:rsidRPr="00FE7533">
              <w:rPr>
                <w:b/>
                <w:bCs/>
                <w:sz w:val="20"/>
                <w:lang w:eastAsia="en-CA"/>
              </w:rPr>
              <w:t>2015</w:t>
            </w:r>
          </w:p>
        </w:tc>
        <w:tc>
          <w:tcPr>
            <w:tcW w:w="819" w:type="dxa"/>
            <w:tcMar>
              <w:left w:w="57" w:type="dxa"/>
              <w:right w:w="57" w:type="dxa"/>
            </w:tcMar>
          </w:tcPr>
          <w:p w:rsidR="00452966" w:rsidRPr="00FE7533" w:rsidRDefault="00452966" w:rsidP="00452966">
            <w:pPr>
              <w:keepNext/>
              <w:jc w:val="center"/>
              <w:rPr>
                <w:b/>
                <w:bCs/>
                <w:sz w:val="20"/>
                <w:lang w:eastAsia="en-CA"/>
              </w:rPr>
            </w:pPr>
            <w:r w:rsidRPr="00FE7533">
              <w:rPr>
                <w:b/>
                <w:bCs/>
                <w:sz w:val="20"/>
                <w:lang w:eastAsia="en-CA"/>
              </w:rPr>
              <w:t>2016</w:t>
            </w:r>
          </w:p>
        </w:tc>
        <w:tc>
          <w:tcPr>
            <w:tcW w:w="819" w:type="dxa"/>
            <w:tcMar>
              <w:left w:w="57" w:type="dxa"/>
              <w:right w:w="57" w:type="dxa"/>
            </w:tcMar>
          </w:tcPr>
          <w:p w:rsidR="00452966" w:rsidRPr="00FE7533" w:rsidRDefault="00452966" w:rsidP="00452966">
            <w:pPr>
              <w:keepNext/>
              <w:jc w:val="center"/>
              <w:rPr>
                <w:b/>
                <w:bCs/>
                <w:sz w:val="20"/>
                <w:lang w:eastAsia="en-CA"/>
              </w:rPr>
            </w:pPr>
            <w:r w:rsidRPr="00FE7533">
              <w:rPr>
                <w:b/>
                <w:bCs/>
                <w:sz w:val="20"/>
                <w:lang w:eastAsia="en-CA"/>
              </w:rPr>
              <w:t>2017</w:t>
            </w:r>
          </w:p>
        </w:tc>
        <w:tc>
          <w:tcPr>
            <w:tcW w:w="819" w:type="dxa"/>
            <w:tcMar>
              <w:left w:w="57" w:type="dxa"/>
              <w:right w:w="57" w:type="dxa"/>
            </w:tcMar>
          </w:tcPr>
          <w:p w:rsidR="00452966" w:rsidRPr="00FE7533" w:rsidRDefault="00452966" w:rsidP="00452966">
            <w:pPr>
              <w:keepNext/>
              <w:jc w:val="center"/>
              <w:rPr>
                <w:b/>
                <w:bCs/>
                <w:sz w:val="20"/>
                <w:lang w:eastAsia="en-CA"/>
              </w:rPr>
            </w:pPr>
            <w:r>
              <w:rPr>
                <w:b/>
                <w:bCs/>
                <w:sz w:val="20"/>
                <w:lang w:eastAsia="en-CA"/>
              </w:rPr>
              <w:t>2018</w:t>
            </w:r>
          </w:p>
        </w:tc>
        <w:tc>
          <w:tcPr>
            <w:tcW w:w="819" w:type="dxa"/>
            <w:tcMar>
              <w:left w:w="57" w:type="dxa"/>
              <w:right w:w="57" w:type="dxa"/>
            </w:tcMar>
          </w:tcPr>
          <w:p w:rsidR="00452966" w:rsidRPr="00FE7533" w:rsidRDefault="00452966" w:rsidP="00452966">
            <w:pPr>
              <w:keepNext/>
              <w:jc w:val="center"/>
              <w:rPr>
                <w:b/>
                <w:bCs/>
                <w:sz w:val="20"/>
                <w:lang w:eastAsia="en-CA"/>
              </w:rPr>
            </w:pPr>
            <w:r>
              <w:rPr>
                <w:b/>
                <w:bCs/>
                <w:sz w:val="20"/>
                <w:lang w:eastAsia="en-CA"/>
              </w:rPr>
              <w:t>2019</w:t>
            </w:r>
          </w:p>
        </w:tc>
        <w:tc>
          <w:tcPr>
            <w:tcW w:w="928" w:type="dxa"/>
            <w:tcMar>
              <w:left w:w="57" w:type="dxa"/>
              <w:right w:w="57" w:type="dxa"/>
            </w:tcMar>
          </w:tcPr>
          <w:p w:rsidR="00452966" w:rsidRPr="00FE7533" w:rsidRDefault="00452966" w:rsidP="00452966">
            <w:pPr>
              <w:keepNext/>
              <w:jc w:val="center"/>
              <w:rPr>
                <w:b/>
                <w:bCs/>
                <w:sz w:val="20"/>
                <w:lang w:eastAsia="en-CA"/>
              </w:rPr>
            </w:pPr>
            <w:r>
              <w:rPr>
                <w:rFonts w:hint="cs"/>
                <w:b/>
                <w:bCs/>
                <w:sz w:val="20"/>
                <w:rtl/>
                <w:lang w:eastAsia="en-CA"/>
              </w:rPr>
              <w:t>المجموع</w:t>
            </w:r>
          </w:p>
        </w:tc>
      </w:tr>
      <w:tr w:rsidR="00452966" w:rsidRPr="00FE7533" w:rsidTr="00B12536">
        <w:trPr>
          <w:trHeight w:val="447"/>
        </w:trPr>
        <w:tc>
          <w:tcPr>
            <w:tcW w:w="658" w:type="dxa"/>
            <w:noWrap/>
            <w:tcMar>
              <w:left w:w="57" w:type="dxa"/>
              <w:right w:w="57" w:type="dxa"/>
            </w:tcMar>
          </w:tcPr>
          <w:p w:rsidR="00452966" w:rsidRPr="00FE7533" w:rsidRDefault="00452966" w:rsidP="00CF06FC">
            <w:pPr>
              <w:bidi/>
              <w:ind w:left="86" w:right="-504"/>
              <w:rPr>
                <w:color w:val="000000"/>
                <w:sz w:val="20"/>
              </w:rPr>
            </w:pPr>
            <w:r w:rsidRPr="00FE7533">
              <w:rPr>
                <w:color w:val="000000"/>
                <w:sz w:val="20"/>
              </w:rPr>
              <w:t>1.1</w:t>
            </w:r>
          </w:p>
        </w:tc>
        <w:tc>
          <w:tcPr>
            <w:tcW w:w="2047" w:type="dxa"/>
            <w:tcMar>
              <w:left w:w="57" w:type="dxa"/>
              <w:right w:w="57" w:type="dxa"/>
            </w:tcMar>
          </w:tcPr>
          <w:p w:rsidR="00452966" w:rsidRPr="00FE7533" w:rsidRDefault="00452966" w:rsidP="00452966">
            <w:pPr>
              <w:bidi/>
              <w:ind w:left="-18" w:right="131"/>
              <w:jc w:val="left"/>
              <w:rPr>
                <w:sz w:val="20"/>
                <w:rtl/>
                <w:lang w:bidi="ar-EG"/>
              </w:rPr>
            </w:pPr>
            <w:r>
              <w:rPr>
                <w:rFonts w:hint="cs"/>
                <w:color w:val="000000"/>
                <w:sz w:val="20"/>
                <w:rtl/>
                <w:lang w:bidi="ar-EG"/>
              </w:rPr>
              <w:t>جدول تخفيضات بروتوكول مونتريال لمواد المرفق جيم، المجموعة الأولى (أطنان قدرات استهلاك الأوزون)</w:t>
            </w:r>
          </w:p>
        </w:tc>
        <w:tc>
          <w:tcPr>
            <w:tcW w:w="819" w:type="dxa"/>
            <w:tcMar>
              <w:left w:w="57" w:type="dxa"/>
              <w:right w:w="57" w:type="dxa"/>
            </w:tcMar>
          </w:tcPr>
          <w:p w:rsidR="00452966" w:rsidRPr="00FE7533" w:rsidRDefault="00452966" w:rsidP="00452966">
            <w:pPr>
              <w:jc w:val="right"/>
              <w:rPr>
                <w:color w:val="000000"/>
                <w:sz w:val="20"/>
              </w:rPr>
            </w:pPr>
            <w:r>
              <w:rPr>
                <w:rFonts w:hint="cs"/>
                <w:color w:val="000000"/>
                <w:sz w:val="20"/>
                <w:rtl/>
              </w:rPr>
              <w:t>لا ينطبق</w:t>
            </w:r>
          </w:p>
        </w:tc>
        <w:tc>
          <w:tcPr>
            <w:tcW w:w="819" w:type="dxa"/>
            <w:tcMar>
              <w:left w:w="57" w:type="dxa"/>
              <w:right w:w="57" w:type="dxa"/>
            </w:tcMar>
          </w:tcPr>
          <w:p w:rsidR="00452966" w:rsidRPr="00FE7533" w:rsidRDefault="00452966" w:rsidP="00452966">
            <w:pPr>
              <w:jc w:val="right"/>
              <w:rPr>
                <w:color w:val="000000"/>
                <w:sz w:val="20"/>
              </w:rPr>
            </w:pPr>
            <w:r>
              <w:rPr>
                <w:rFonts w:hint="cs"/>
                <w:color w:val="000000"/>
                <w:sz w:val="20"/>
                <w:rtl/>
              </w:rPr>
              <w:t>لا ينطبق</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108.38</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108.38</w:t>
            </w:r>
          </w:p>
        </w:tc>
        <w:tc>
          <w:tcPr>
            <w:tcW w:w="819" w:type="dxa"/>
            <w:tcMar>
              <w:left w:w="57" w:type="dxa"/>
              <w:right w:w="57" w:type="dxa"/>
            </w:tcMar>
          </w:tcPr>
          <w:p w:rsidR="00452966" w:rsidRPr="00D10A22" w:rsidRDefault="00452966" w:rsidP="00452966">
            <w:pPr>
              <w:jc w:val="right"/>
              <w:rPr>
                <w:color w:val="000000"/>
                <w:sz w:val="20"/>
              </w:rPr>
            </w:pPr>
            <w:r w:rsidRPr="00D10A22">
              <w:rPr>
                <w:color w:val="000000"/>
                <w:sz w:val="20"/>
              </w:rPr>
              <w:t>97.54</w:t>
            </w:r>
          </w:p>
        </w:tc>
        <w:tc>
          <w:tcPr>
            <w:tcW w:w="819" w:type="dxa"/>
            <w:tcMar>
              <w:left w:w="57" w:type="dxa"/>
              <w:right w:w="57" w:type="dxa"/>
            </w:tcMar>
          </w:tcPr>
          <w:p w:rsidR="00452966" w:rsidRPr="00D10A22" w:rsidRDefault="00452966" w:rsidP="00452966">
            <w:pPr>
              <w:jc w:val="right"/>
              <w:rPr>
                <w:color w:val="000000"/>
                <w:sz w:val="20"/>
              </w:rPr>
            </w:pPr>
            <w:r w:rsidRPr="00D10A22">
              <w:rPr>
                <w:color w:val="000000"/>
                <w:sz w:val="20"/>
              </w:rPr>
              <w:t>97.54</w:t>
            </w:r>
          </w:p>
        </w:tc>
        <w:tc>
          <w:tcPr>
            <w:tcW w:w="819" w:type="dxa"/>
            <w:tcMar>
              <w:left w:w="57" w:type="dxa"/>
              <w:right w:w="57" w:type="dxa"/>
            </w:tcMar>
          </w:tcPr>
          <w:p w:rsidR="00452966" w:rsidRPr="00D10A22" w:rsidRDefault="00452966" w:rsidP="00452966">
            <w:pPr>
              <w:jc w:val="right"/>
              <w:rPr>
                <w:color w:val="000000"/>
                <w:sz w:val="20"/>
              </w:rPr>
            </w:pPr>
            <w:r w:rsidRPr="00D10A22">
              <w:rPr>
                <w:color w:val="000000"/>
                <w:sz w:val="20"/>
              </w:rPr>
              <w:t>97.54</w:t>
            </w:r>
          </w:p>
        </w:tc>
        <w:tc>
          <w:tcPr>
            <w:tcW w:w="819" w:type="dxa"/>
            <w:tcMar>
              <w:left w:w="57" w:type="dxa"/>
              <w:right w:w="57" w:type="dxa"/>
            </w:tcMar>
          </w:tcPr>
          <w:p w:rsidR="00452966" w:rsidRPr="00D10A22" w:rsidRDefault="00452966" w:rsidP="00452966">
            <w:pPr>
              <w:jc w:val="right"/>
              <w:rPr>
                <w:b/>
                <w:color w:val="000000"/>
                <w:sz w:val="20"/>
                <w:lang w:eastAsia="en-CA"/>
              </w:rPr>
            </w:pPr>
            <w:r w:rsidRPr="00D10A22">
              <w:rPr>
                <w:b/>
                <w:color w:val="000000"/>
                <w:sz w:val="20"/>
              </w:rPr>
              <w:t>97.54</w:t>
            </w:r>
          </w:p>
        </w:tc>
        <w:tc>
          <w:tcPr>
            <w:tcW w:w="819" w:type="dxa"/>
            <w:tcMar>
              <w:left w:w="57" w:type="dxa"/>
              <w:right w:w="57" w:type="dxa"/>
            </w:tcMar>
          </w:tcPr>
          <w:p w:rsidR="00452966" w:rsidRPr="00D10A22" w:rsidRDefault="00452966" w:rsidP="00452966">
            <w:pPr>
              <w:jc w:val="right"/>
              <w:rPr>
                <w:b/>
                <w:color w:val="000000"/>
                <w:sz w:val="20"/>
                <w:lang w:eastAsia="en-CA"/>
              </w:rPr>
            </w:pPr>
            <w:r w:rsidRPr="00D10A22">
              <w:rPr>
                <w:b/>
                <w:color w:val="000000"/>
                <w:sz w:val="20"/>
              </w:rPr>
              <w:t>97.54</w:t>
            </w:r>
          </w:p>
        </w:tc>
        <w:tc>
          <w:tcPr>
            <w:tcW w:w="928" w:type="dxa"/>
            <w:tcMar>
              <w:left w:w="57" w:type="dxa"/>
              <w:right w:w="57" w:type="dxa"/>
            </w:tcMar>
          </w:tcPr>
          <w:p w:rsidR="00452966" w:rsidRPr="00D10A22" w:rsidRDefault="00452966" w:rsidP="00452966">
            <w:pPr>
              <w:jc w:val="right"/>
              <w:rPr>
                <w:color w:val="000000"/>
                <w:sz w:val="20"/>
              </w:rPr>
            </w:pPr>
            <w:r>
              <w:rPr>
                <w:rFonts w:hint="cs"/>
                <w:color w:val="000000"/>
                <w:sz w:val="20"/>
                <w:rtl/>
                <w:lang w:eastAsia="en-CA"/>
              </w:rPr>
              <w:t>لا ينطبق</w:t>
            </w:r>
          </w:p>
        </w:tc>
      </w:tr>
      <w:tr w:rsidR="00452966" w:rsidRPr="00FE7533" w:rsidTr="00B12536">
        <w:trPr>
          <w:trHeight w:val="447"/>
        </w:trPr>
        <w:tc>
          <w:tcPr>
            <w:tcW w:w="658" w:type="dxa"/>
            <w:noWrap/>
            <w:tcMar>
              <w:left w:w="57" w:type="dxa"/>
              <w:right w:w="57" w:type="dxa"/>
            </w:tcMar>
          </w:tcPr>
          <w:p w:rsidR="00452966" w:rsidRPr="00452966" w:rsidRDefault="00452966" w:rsidP="00CF06FC">
            <w:pPr>
              <w:bidi/>
              <w:ind w:left="86" w:right="-504"/>
              <w:rPr>
                <w:color w:val="000000"/>
                <w:sz w:val="20"/>
                <w:lang w:val="en-US"/>
              </w:rPr>
            </w:pPr>
            <w:r>
              <w:rPr>
                <w:color w:val="000000"/>
                <w:sz w:val="20"/>
                <w:lang w:val="en-US"/>
              </w:rPr>
              <w:t>2.1</w:t>
            </w:r>
          </w:p>
        </w:tc>
        <w:tc>
          <w:tcPr>
            <w:tcW w:w="2047" w:type="dxa"/>
            <w:tcMar>
              <w:left w:w="57" w:type="dxa"/>
              <w:right w:w="57" w:type="dxa"/>
            </w:tcMar>
          </w:tcPr>
          <w:p w:rsidR="00452966" w:rsidRPr="00FE7533" w:rsidRDefault="00452966" w:rsidP="00452966">
            <w:pPr>
              <w:bidi/>
              <w:ind w:left="-18" w:right="131"/>
              <w:jc w:val="left"/>
              <w:rPr>
                <w:sz w:val="20"/>
              </w:rPr>
            </w:pPr>
            <w:r>
              <w:rPr>
                <w:rFonts w:hint="cs"/>
                <w:color w:val="000000"/>
                <w:sz w:val="20"/>
                <w:rtl/>
              </w:rPr>
              <w:t>الحد الأقصى المسموح به للاستهلاك الكلي من مواد المرفق جيم، المجموعة الأولى (أطنان من قدرات استهلاك الأوزون)</w:t>
            </w:r>
          </w:p>
        </w:tc>
        <w:tc>
          <w:tcPr>
            <w:tcW w:w="819" w:type="dxa"/>
            <w:tcMar>
              <w:left w:w="57" w:type="dxa"/>
              <w:right w:w="57" w:type="dxa"/>
            </w:tcMar>
          </w:tcPr>
          <w:p w:rsidR="00452966" w:rsidRPr="00FE7533" w:rsidRDefault="00452966" w:rsidP="00452966">
            <w:pPr>
              <w:jc w:val="right"/>
              <w:rPr>
                <w:color w:val="000000"/>
                <w:sz w:val="20"/>
              </w:rPr>
            </w:pPr>
            <w:r>
              <w:rPr>
                <w:rFonts w:hint="cs"/>
                <w:color w:val="000000"/>
                <w:sz w:val="20"/>
                <w:rtl/>
              </w:rPr>
              <w:t>لا ينطبق</w:t>
            </w:r>
          </w:p>
        </w:tc>
        <w:tc>
          <w:tcPr>
            <w:tcW w:w="819" w:type="dxa"/>
            <w:tcMar>
              <w:left w:w="57" w:type="dxa"/>
              <w:right w:w="57" w:type="dxa"/>
            </w:tcMar>
          </w:tcPr>
          <w:p w:rsidR="00452966" w:rsidRPr="00FE7533" w:rsidRDefault="00452966" w:rsidP="00452966">
            <w:pPr>
              <w:jc w:val="right"/>
              <w:rPr>
                <w:color w:val="000000"/>
                <w:sz w:val="20"/>
              </w:rPr>
            </w:pPr>
            <w:r>
              <w:rPr>
                <w:rFonts w:hint="cs"/>
                <w:color w:val="000000"/>
                <w:sz w:val="20"/>
                <w:rtl/>
              </w:rPr>
              <w:t>لا ينطبق</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102.2</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97.70</w:t>
            </w:r>
          </w:p>
        </w:tc>
        <w:tc>
          <w:tcPr>
            <w:tcW w:w="819" w:type="dxa"/>
            <w:tcMar>
              <w:left w:w="57" w:type="dxa"/>
              <w:right w:w="57" w:type="dxa"/>
            </w:tcMar>
          </w:tcPr>
          <w:p w:rsidR="00452966" w:rsidRPr="00D10A22" w:rsidRDefault="00452966" w:rsidP="00452966">
            <w:pPr>
              <w:jc w:val="right"/>
              <w:rPr>
                <w:color w:val="000000"/>
                <w:sz w:val="20"/>
              </w:rPr>
            </w:pPr>
            <w:r w:rsidRPr="00D10A22">
              <w:rPr>
                <w:color w:val="000000"/>
                <w:sz w:val="20"/>
              </w:rPr>
              <w:t>93.40</w:t>
            </w:r>
          </w:p>
        </w:tc>
        <w:tc>
          <w:tcPr>
            <w:tcW w:w="819" w:type="dxa"/>
            <w:tcMar>
              <w:left w:w="57" w:type="dxa"/>
              <w:right w:w="57" w:type="dxa"/>
            </w:tcMar>
          </w:tcPr>
          <w:p w:rsidR="00452966" w:rsidRPr="00D10A22" w:rsidRDefault="00452966" w:rsidP="00452966">
            <w:pPr>
              <w:jc w:val="right"/>
              <w:rPr>
                <w:color w:val="000000"/>
                <w:sz w:val="20"/>
              </w:rPr>
            </w:pPr>
            <w:r w:rsidRPr="00D10A22">
              <w:rPr>
                <w:color w:val="000000"/>
                <w:sz w:val="20"/>
              </w:rPr>
              <w:t>93.40</w:t>
            </w:r>
          </w:p>
        </w:tc>
        <w:tc>
          <w:tcPr>
            <w:tcW w:w="819" w:type="dxa"/>
            <w:tcMar>
              <w:left w:w="57" w:type="dxa"/>
              <w:right w:w="57" w:type="dxa"/>
            </w:tcMar>
          </w:tcPr>
          <w:p w:rsidR="00452966" w:rsidRPr="00D10A22" w:rsidRDefault="00452966" w:rsidP="00452966">
            <w:pPr>
              <w:jc w:val="right"/>
              <w:rPr>
                <w:color w:val="000000"/>
                <w:sz w:val="20"/>
              </w:rPr>
            </w:pPr>
            <w:r w:rsidRPr="00D10A22">
              <w:rPr>
                <w:color w:val="000000"/>
                <w:sz w:val="20"/>
              </w:rPr>
              <w:t>93.40</w:t>
            </w:r>
          </w:p>
        </w:tc>
        <w:tc>
          <w:tcPr>
            <w:tcW w:w="819" w:type="dxa"/>
            <w:tcMar>
              <w:left w:w="57" w:type="dxa"/>
              <w:right w:w="57" w:type="dxa"/>
            </w:tcMar>
          </w:tcPr>
          <w:p w:rsidR="00452966" w:rsidRPr="00D10A22" w:rsidRDefault="00452966" w:rsidP="00452966">
            <w:pPr>
              <w:jc w:val="right"/>
              <w:rPr>
                <w:b/>
                <w:color w:val="000000"/>
                <w:sz w:val="20"/>
                <w:lang w:eastAsia="en-CA"/>
              </w:rPr>
            </w:pPr>
            <w:r w:rsidRPr="00D10A22">
              <w:rPr>
                <w:b/>
                <w:color w:val="000000"/>
                <w:sz w:val="20"/>
              </w:rPr>
              <w:t>93.40</w:t>
            </w:r>
          </w:p>
        </w:tc>
        <w:tc>
          <w:tcPr>
            <w:tcW w:w="819" w:type="dxa"/>
            <w:tcMar>
              <w:left w:w="57" w:type="dxa"/>
              <w:right w:w="57" w:type="dxa"/>
            </w:tcMar>
          </w:tcPr>
          <w:p w:rsidR="00452966" w:rsidRPr="00D10A22" w:rsidRDefault="00452966" w:rsidP="00452966">
            <w:pPr>
              <w:jc w:val="right"/>
              <w:rPr>
                <w:b/>
                <w:color w:val="000000"/>
                <w:sz w:val="20"/>
                <w:lang w:eastAsia="en-CA"/>
              </w:rPr>
            </w:pPr>
            <w:r w:rsidRPr="00D10A22">
              <w:rPr>
                <w:b/>
                <w:color w:val="000000"/>
                <w:sz w:val="20"/>
              </w:rPr>
              <w:t>93.40</w:t>
            </w:r>
          </w:p>
        </w:tc>
        <w:tc>
          <w:tcPr>
            <w:tcW w:w="928" w:type="dxa"/>
            <w:tcMar>
              <w:left w:w="57" w:type="dxa"/>
              <w:right w:w="57" w:type="dxa"/>
            </w:tcMar>
          </w:tcPr>
          <w:p w:rsidR="00452966" w:rsidRPr="00D10A22" w:rsidRDefault="00452966" w:rsidP="00452966">
            <w:pPr>
              <w:jc w:val="right"/>
              <w:rPr>
                <w:color w:val="000000"/>
                <w:sz w:val="20"/>
              </w:rPr>
            </w:pPr>
            <w:r>
              <w:rPr>
                <w:rFonts w:hint="cs"/>
                <w:color w:val="000000"/>
                <w:sz w:val="20"/>
                <w:rtl/>
                <w:lang w:eastAsia="en-CA"/>
              </w:rPr>
              <w:t>لا ينطبق</w:t>
            </w:r>
          </w:p>
        </w:tc>
      </w:tr>
      <w:tr w:rsidR="00452966" w:rsidRPr="00FE7533" w:rsidTr="00B12536">
        <w:trPr>
          <w:trHeight w:val="223"/>
        </w:trPr>
        <w:tc>
          <w:tcPr>
            <w:tcW w:w="658" w:type="dxa"/>
            <w:noWrap/>
            <w:tcMar>
              <w:left w:w="57" w:type="dxa"/>
              <w:right w:w="57" w:type="dxa"/>
            </w:tcMar>
          </w:tcPr>
          <w:p w:rsidR="00452966" w:rsidRPr="00FE7533" w:rsidRDefault="00452966" w:rsidP="00CF06FC">
            <w:pPr>
              <w:bidi/>
              <w:ind w:left="86" w:right="-504"/>
              <w:rPr>
                <w:color w:val="000000"/>
                <w:sz w:val="20"/>
              </w:rPr>
            </w:pPr>
            <w:r>
              <w:rPr>
                <w:color w:val="000000"/>
                <w:sz w:val="20"/>
              </w:rPr>
              <w:t>1.2</w:t>
            </w:r>
          </w:p>
        </w:tc>
        <w:tc>
          <w:tcPr>
            <w:tcW w:w="2047" w:type="dxa"/>
            <w:tcMar>
              <w:left w:w="57" w:type="dxa"/>
              <w:right w:w="57" w:type="dxa"/>
            </w:tcMar>
          </w:tcPr>
          <w:p w:rsidR="00452966" w:rsidRPr="00FE7533" w:rsidRDefault="00452966" w:rsidP="00452966">
            <w:pPr>
              <w:bidi/>
              <w:ind w:left="-18" w:right="131"/>
              <w:jc w:val="left"/>
              <w:rPr>
                <w:sz w:val="20"/>
              </w:rPr>
            </w:pPr>
            <w:r>
              <w:rPr>
                <w:rFonts w:hint="cs"/>
                <w:color w:val="000000"/>
                <w:sz w:val="20"/>
                <w:rtl/>
              </w:rPr>
              <w:t>التمويل المتفق عليه للوكالة المنفذة الرئيسية (اليونيب) (دولار أمريكي)</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115,000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D10A22" w:rsidRDefault="00452966" w:rsidP="00452966">
            <w:pPr>
              <w:jc w:val="right"/>
              <w:rPr>
                <w:sz w:val="20"/>
              </w:rPr>
            </w:pPr>
            <w:r w:rsidRPr="00D10A22">
              <w:rPr>
                <w:sz w:val="20"/>
              </w:rPr>
              <w:t>325,000</w:t>
            </w:r>
          </w:p>
        </w:tc>
        <w:tc>
          <w:tcPr>
            <w:tcW w:w="819" w:type="dxa"/>
            <w:tcMar>
              <w:left w:w="57" w:type="dxa"/>
              <w:right w:w="57" w:type="dxa"/>
            </w:tcMar>
          </w:tcPr>
          <w:p w:rsidR="00452966" w:rsidRPr="00D10A22" w:rsidRDefault="00452966" w:rsidP="00452966">
            <w:pPr>
              <w:jc w:val="right"/>
              <w:rPr>
                <w:sz w:val="20"/>
              </w:rPr>
            </w:pPr>
            <w:r w:rsidRPr="00D10A22">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b/>
                <w:sz w:val="20"/>
              </w:rPr>
            </w:pPr>
            <w:r w:rsidRPr="00D10A22">
              <w:rPr>
                <w:b/>
                <w:sz w:val="20"/>
              </w:rPr>
              <w:t>220,000</w:t>
            </w:r>
          </w:p>
        </w:tc>
        <w:tc>
          <w:tcPr>
            <w:tcW w:w="928" w:type="dxa"/>
            <w:noWrap/>
            <w:tcMar>
              <w:left w:w="57" w:type="dxa"/>
              <w:right w:w="57" w:type="dxa"/>
            </w:tcMar>
          </w:tcPr>
          <w:p w:rsidR="00452966" w:rsidRPr="00D10A22" w:rsidRDefault="00452966" w:rsidP="00452966">
            <w:pPr>
              <w:jc w:val="right"/>
              <w:rPr>
                <w:sz w:val="20"/>
              </w:rPr>
            </w:pPr>
            <w:r w:rsidRPr="00D10A22">
              <w:rPr>
                <w:sz w:val="20"/>
              </w:rPr>
              <w:t>660,000</w:t>
            </w:r>
          </w:p>
        </w:tc>
      </w:tr>
      <w:tr w:rsidR="00452966" w:rsidRPr="00FE7533" w:rsidTr="00B12536">
        <w:trPr>
          <w:trHeight w:val="223"/>
        </w:trPr>
        <w:tc>
          <w:tcPr>
            <w:tcW w:w="658" w:type="dxa"/>
            <w:noWrap/>
            <w:tcMar>
              <w:left w:w="57" w:type="dxa"/>
              <w:right w:w="57" w:type="dxa"/>
            </w:tcMar>
          </w:tcPr>
          <w:p w:rsidR="00452966" w:rsidRPr="00FE7533" w:rsidRDefault="00452966" w:rsidP="00CF06FC">
            <w:pPr>
              <w:bidi/>
              <w:ind w:left="86" w:right="-504"/>
              <w:rPr>
                <w:color w:val="000000"/>
                <w:sz w:val="20"/>
              </w:rPr>
            </w:pPr>
            <w:r w:rsidRPr="00FE7533">
              <w:rPr>
                <w:color w:val="000000"/>
                <w:sz w:val="20"/>
              </w:rPr>
              <w:t>2.2</w:t>
            </w:r>
          </w:p>
        </w:tc>
        <w:tc>
          <w:tcPr>
            <w:tcW w:w="2047" w:type="dxa"/>
            <w:tcMar>
              <w:left w:w="57" w:type="dxa"/>
              <w:right w:w="57" w:type="dxa"/>
            </w:tcMar>
          </w:tcPr>
          <w:p w:rsidR="00452966" w:rsidRPr="00FE7533" w:rsidRDefault="00452966" w:rsidP="00452966">
            <w:pPr>
              <w:bidi/>
              <w:ind w:left="-18" w:right="131"/>
              <w:jc w:val="left"/>
              <w:rPr>
                <w:sz w:val="20"/>
              </w:rPr>
            </w:pPr>
            <w:r>
              <w:rPr>
                <w:rFonts w:hint="cs"/>
                <w:color w:val="000000"/>
                <w:sz w:val="20"/>
                <w:rtl/>
              </w:rPr>
              <w:t>تكاليف دعم الوكالة المنفذة الرئيسية (دولار أمريكي)</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14,144</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D10A22" w:rsidRDefault="00452966" w:rsidP="00452966">
            <w:pPr>
              <w:jc w:val="right"/>
              <w:rPr>
                <w:sz w:val="20"/>
              </w:rPr>
            </w:pPr>
            <w:r w:rsidRPr="00D10A22">
              <w:rPr>
                <w:sz w:val="20"/>
              </w:rPr>
              <w:t>40,822</w:t>
            </w:r>
          </w:p>
        </w:tc>
        <w:tc>
          <w:tcPr>
            <w:tcW w:w="819" w:type="dxa"/>
            <w:tcMar>
              <w:left w:w="57" w:type="dxa"/>
              <w:right w:w="57" w:type="dxa"/>
            </w:tcMar>
          </w:tcPr>
          <w:p w:rsidR="00452966" w:rsidRPr="00D10A22" w:rsidRDefault="00452966" w:rsidP="00452966">
            <w:pPr>
              <w:jc w:val="right"/>
              <w:rPr>
                <w:sz w:val="20"/>
              </w:rPr>
            </w:pPr>
            <w:r w:rsidRPr="00D10A22">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b/>
                <w:sz w:val="20"/>
              </w:rPr>
            </w:pPr>
            <w:r w:rsidRPr="00D10A22">
              <w:rPr>
                <w:b/>
                <w:sz w:val="20"/>
              </w:rPr>
              <w:t>27,634</w:t>
            </w:r>
          </w:p>
        </w:tc>
        <w:tc>
          <w:tcPr>
            <w:tcW w:w="928" w:type="dxa"/>
            <w:tcMar>
              <w:left w:w="57" w:type="dxa"/>
              <w:right w:w="57" w:type="dxa"/>
            </w:tcMar>
          </w:tcPr>
          <w:p w:rsidR="00452966" w:rsidRPr="00D10A22" w:rsidRDefault="00452966" w:rsidP="00452966">
            <w:pPr>
              <w:jc w:val="right"/>
              <w:rPr>
                <w:sz w:val="20"/>
              </w:rPr>
            </w:pPr>
            <w:r w:rsidRPr="00D10A22">
              <w:rPr>
                <w:sz w:val="20"/>
              </w:rPr>
              <w:t>82,600</w:t>
            </w:r>
          </w:p>
        </w:tc>
      </w:tr>
      <w:tr w:rsidR="00452966" w:rsidRPr="00FE7533" w:rsidTr="00B12536">
        <w:trPr>
          <w:trHeight w:val="223"/>
        </w:trPr>
        <w:tc>
          <w:tcPr>
            <w:tcW w:w="658" w:type="dxa"/>
            <w:noWrap/>
            <w:tcMar>
              <w:left w:w="57" w:type="dxa"/>
              <w:right w:w="57" w:type="dxa"/>
            </w:tcMar>
          </w:tcPr>
          <w:p w:rsidR="00452966" w:rsidRPr="00FE7533" w:rsidRDefault="00452966" w:rsidP="00CF06FC">
            <w:pPr>
              <w:bidi/>
              <w:ind w:left="86" w:right="-504"/>
              <w:rPr>
                <w:color w:val="000000"/>
                <w:sz w:val="20"/>
              </w:rPr>
            </w:pPr>
            <w:r>
              <w:rPr>
                <w:color w:val="000000"/>
                <w:sz w:val="20"/>
              </w:rPr>
              <w:t>3.2</w:t>
            </w:r>
          </w:p>
        </w:tc>
        <w:tc>
          <w:tcPr>
            <w:tcW w:w="2047" w:type="dxa"/>
            <w:tcMar>
              <w:left w:w="57" w:type="dxa"/>
              <w:right w:w="57" w:type="dxa"/>
            </w:tcMar>
          </w:tcPr>
          <w:p w:rsidR="00452966" w:rsidRPr="00FE7533" w:rsidRDefault="00452966" w:rsidP="00452966">
            <w:pPr>
              <w:bidi/>
              <w:ind w:left="-18" w:right="131"/>
              <w:jc w:val="left"/>
              <w:rPr>
                <w:sz w:val="20"/>
                <w:rtl/>
                <w:lang w:bidi="ar-EG"/>
              </w:rPr>
            </w:pPr>
            <w:r>
              <w:rPr>
                <w:rFonts w:hint="cs"/>
                <w:color w:val="000000"/>
                <w:sz w:val="20"/>
                <w:rtl/>
                <w:lang w:bidi="ar-EG"/>
              </w:rPr>
              <w:t>التمويل المتفق عليه للوكالة المنفذة المتعاونة (اليونيدو) (دولار أمريكي)</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80,000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D10A22" w:rsidRDefault="00452966" w:rsidP="00452966">
            <w:pPr>
              <w:jc w:val="right"/>
              <w:rPr>
                <w:sz w:val="20"/>
              </w:rPr>
            </w:pPr>
            <w:r w:rsidRPr="00D10A22">
              <w:rPr>
                <w:sz w:val="20"/>
              </w:rPr>
              <w:t>230,000</w:t>
            </w:r>
          </w:p>
        </w:tc>
        <w:tc>
          <w:tcPr>
            <w:tcW w:w="819" w:type="dxa"/>
            <w:tcMar>
              <w:left w:w="57" w:type="dxa"/>
              <w:right w:w="57" w:type="dxa"/>
            </w:tcMar>
          </w:tcPr>
          <w:p w:rsidR="00452966" w:rsidRPr="00D10A22" w:rsidRDefault="00452966" w:rsidP="00452966">
            <w:pPr>
              <w:jc w:val="right"/>
              <w:rPr>
                <w:sz w:val="20"/>
              </w:rPr>
            </w:pPr>
            <w:r w:rsidRPr="00D10A22">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b/>
                <w:sz w:val="20"/>
              </w:rPr>
            </w:pPr>
            <w:r w:rsidRPr="00D10A22">
              <w:rPr>
                <w:b/>
                <w:sz w:val="20"/>
              </w:rPr>
              <w:t>210,000</w:t>
            </w:r>
          </w:p>
        </w:tc>
        <w:tc>
          <w:tcPr>
            <w:tcW w:w="928" w:type="dxa"/>
            <w:tcMar>
              <w:left w:w="57" w:type="dxa"/>
              <w:right w:w="57" w:type="dxa"/>
            </w:tcMar>
          </w:tcPr>
          <w:p w:rsidR="00452966" w:rsidRPr="00D10A22" w:rsidRDefault="00452966" w:rsidP="00452966">
            <w:pPr>
              <w:jc w:val="right"/>
              <w:rPr>
                <w:sz w:val="20"/>
              </w:rPr>
            </w:pPr>
            <w:r w:rsidRPr="00D10A22">
              <w:rPr>
                <w:sz w:val="20"/>
              </w:rPr>
              <w:t>520,000</w:t>
            </w:r>
          </w:p>
        </w:tc>
      </w:tr>
      <w:tr w:rsidR="00452966" w:rsidRPr="00FE7533" w:rsidTr="00B12536">
        <w:trPr>
          <w:trHeight w:val="223"/>
        </w:trPr>
        <w:tc>
          <w:tcPr>
            <w:tcW w:w="658" w:type="dxa"/>
            <w:noWrap/>
            <w:tcMar>
              <w:left w:w="57" w:type="dxa"/>
              <w:right w:w="57" w:type="dxa"/>
            </w:tcMar>
          </w:tcPr>
          <w:p w:rsidR="00452966" w:rsidRPr="00FE7533" w:rsidRDefault="00452966" w:rsidP="00CF06FC">
            <w:pPr>
              <w:bidi/>
              <w:ind w:left="86" w:right="-504"/>
              <w:rPr>
                <w:color w:val="000000"/>
                <w:sz w:val="20"/>
              </w:rPr>
            </w:pPr>
            <w:r>
              <w:rPr>
                <w:color w:val="000000"/>
                <w:sz w:val="20"/>
              </w:rPr>
              <w:t>4.2</w:t>
            </w:r>
          </w:p>
        </w:tc>
        <w:tc>
          <w:tcPr>
            <w:tcW w:w="2047" w:type="dxa"/>
            <w:tcMar>
              <w:left w:w="57" w:type="dxa"/>
              <w:right w:w="57" w:type="dxa"/>
            </w:tcMar>
          </w:tcPr>
          <w:p w:rsidR="00452966" w:rsidRPr="00FE7533" w:rsidRDefault="00452966" w:rsidP="00452966">
            <w:pPr>
              <w:bidi/>
              <w:ind w:left="-18" w:right="131"/>
              <w:jc w:val="left"/>
              <w:rPr>
                <w:sz w:val="20"/>
              </w:rPr>
            </w:pPr>
            <w:r>
              <w:rPr>
                <w:rFonts w:hint="cs"/>
                <w:color w:val="000000"/>
                <w:sz w:val="20"/>
                <w:rtl/>
              </w:rPr>
              <w:t>تكاليف دعم الوكالة المنفذة المتعاونة (دولار أمريكي)</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6,000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D10A22" w:rsidRDefault="00452966" w:rsidP="00452966">
            <w:pPr>
              <w:jc w:val="right"/>
              <w:rPr>
                <w:sz w:val="20"/>
              </w:rPr>
            </w:pPr>
            <w:r w:rsidRPr="00D10A22">
              <w:rPr>
                <w:sz w:val="20"/>
              </w:rPr>
              <w:t>17,250</w:t>
            </w:r>
          </w:p>
        </w:tc>
        <w:tc>
          <w:tcPr>
            <w:tcW w:w="819" w:type="dxa"/>
            <w:tcMar>
              <w:left w:w="57" w:type="dxa"/>
              <w:right w:w="57" w:type="dxa"/>
            </w:tcMar>
          </w:tcPr>
          <w:p w:rsidR="00452966" w:rsidRPr="00D10A22" w:rsidRDefault="00452966" w:rsidP="00452966">
            <w:pPr>
              <w:jc w:val="right"/>
              <w:rPr>
                <w:sz w:val="20"/>
              </w:rPr>
            </w:pPr>
            <w:r w:rsidRPr="00D10A22">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b/>
                <w:sz w:val="20"/>
              </w:rPr>
            </w:pPr>
            <w:r w:rsidRPr="00D10A22">
              <w:rPr>
                <w:b/>
                <w:sz w:val="20"/>
              </w:rPr>
              <w:t>15,750</w:t>
            </w:r>
          </w:p>
        </w:tc>
        <w:tc>
          <w:tcPr>
            <w:tcW w:w="928" w:type="dxa"/>
            <w:tcMar>
              <w:left w:w="57" w:type="dxa"/>
              <w:right w:w="57" w:type="dxa"/>
            </w:tcMar>
          </w:tcPr>
          <w:p w:rsidR="00452966" w:rsidRPr="00D10A22" w:rsidRDefault="00452966" w:rsidP="00452966">
            <w:pPr>
              <w:jc w:val="right"/>
              <w:rPr>
                <w:sz w:val="20"/>
              </w:rPr>
            </w:pPr>
            <w:r w:rsidRPr="00D10A22">
              <w:rPr>
                <w:sz w:val="20"/>
              </w:rPr>
              <w:t>39,000</w:t>
            </w:r>
          </w:p>
        </w:tc>
      </w:tr>
      <w:tr w:rsidR="00452966" w:rsidRPr="00FE7533" w:rsidTr="00B12536">
        <w:trPr>
          <w:trHeight w:val="223"/>
        </w:trPr>
        <w:tc>
          <w:tcPr>
            <w:tcW w:w="658" w:type="dxa"/>
            <w:noWrap/>
            <w:tcMar>
              <w:left w:w="57" w:type="dxa"/>
              <w:right w:w="57" w:type="dxa"/>
            </w:tcMar>
          </w:tcPr>
          <w:p w:rsidR="00452966" w:rsidRPr="00B93F2A" w:rsidRDefault="00B93F2A" w:rsidP="00CF06FC">
            <w:pPr>
              <w:bidi/>
              <w:ind w:left="86" w:right="-504"/>
              <w:rPr>
                <w:color w:val="000000"/>
                <w:sz w:val="20"/>
                <w:lang w:val="en-US"/>
              </w:rPr>
            </w:pPr>
            <w:r>
              <w:rPr>
                <w:color w:val="000000"/>
                <w:sz w:val="20"/>
                <w:lang w:val="en-US"/>
              </w:rPr>
              <w:t>1.3</w:t>
            </w:r>
          </w:p>
        </w:tc>
        <w:tc>
          <w:tcPr>
            <w:tcW w:w="2047" w:type="dxa"/>
            <w:tcMar>
              <w:left w:w="57" w:type="dxa"/>
              <w:right w:w="57" w:type="dxa"/>
            </w:tcMar>
          </w:tcPr>
          <w:p w:rsidR="00452966" w:rsidRPr="00FE7533" w:rsidRDefault="00452966" w:rsidP="00452966">
            <w:pPr>
              <w:bidi/>
              <w:ind w:left="-18" w:right="131"/>
              <w:jc w:val="left"/>
              <w:rPr>
                <w:color w:val="000000"/>
                <w:sz w:val="20"/>
              </w:rPr>
            </w:pPr>
            <w:r>
              <w:rPr>
                <w:rFonts w:hint="cs"/>
                <w:color w:val="000000"/>
                <w:sz w:val="20"/>
                <w:rtl/>
              </w:rPr>
              <w:t>إجمالي التمويل المتفق عليه (دولار أمريكي)</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195,000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D10A22" w:rsidRDefault="00452966" w:rsidP="00452966">
            <w:pPr>
              <w:jc w:val="right"/>
              <w:rPr>
                <w:sz w:val="20"/>
              </w:rPr>
            </w:pPr>
            <w:r w:rsidRPr="00D10A22">
              <w:rPr>
                <w:sz w:val="20"/>
              </w:rPr>
              <w:t>555,000</w:t>
            </w:r>
          </w:p>
        </w:tc>
        <w:tc>
          <w:tcPr>
            <w:tcW w:w="819" w:type="dxa"/>
            <w:tcMar>
              <w:left w:w="57" w:type="dxa"/>
              <w:right w:w="57" w:type="dxa"/>
            </w:tcMar>
          </w:tcPr>
          <w:p w:rsidR="00452966" w:rsidRPr="00D10A22" w:rsidRDefault="00452966" w:rsidP="00452966">
            <w:pPr>
              <w:jc w:val="right"/>
              <w:rPr>
                <w:sz w:val="20"/>
              </w:rPr>
            </w:pPr>
            <w:r w:rsidRPr="00D10A22">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b/>
                <w:sz w:val="20"/>
              </w:rPr>
            </w:pPr>
            <w:r w:rsidRPr="00D10A22">
              <w:rPr>
                <w:b/>
                <w:sz w:val="20"/>
              </w:rPr>
              <w:t>430,000</w:t>
            </w:r>
          </w:p>
        </w:tc>
        <w:tc>
          <w:tcPr>
            <w:tcW w:w="928" w:type="dxa"/>
            <w:tcMar>
              <w:left w:w="57" w:type="dxa"/>
              <w:right w:w="57" w:type="dxa"/>
            </w:tcMar>
          </w:tcPr>
          <w:p w:rsidR="00452966" w:rsidRPr="00D10A22" w:rsidRDefault="00452966" w:rsidP="00452966">
            <w:pPr>
              <w:jc w:val="right"/>
              <w:rPr>
                <w:sz w:val="20"/>
              </w:rPr>
            </w:pPr>
            <w:r w:rsidRPr="00D10A22">
              <w:rPr>
                <w:sz w:val="20"/>
              </w:rPr>
              <w:t>1,180,000</w:t>
            </w:r>
          </w:p>
        </w:tc>
      </w:tr>
      <w:tr w:rsidR="00452966" w:rsidRPr="00FE7533" w:rsidTr="00B12536">
        <w:trPr>
          <w:trHeight w:val="223"/>
        </w:trPr>
        <w:tc>
          <w:tcPr>
            <w:tcW w:w="658" w:type="dxa"/>
            <w:noWrap/>
            <w:tcMar>
              <w:left w:w="57" w:type="dxa"/>
              <w:right w:w="57" w:type="dxa"/>
            </w:tcMar>
          </w:tcPr>
          <w:p w:rsidR="00452966" w:rsidRPr="00FE7533" w:rsidRDefault="00452966" w:rsidP="00CF06FC">
            <w:pPr>
              <w:bidi/>
              <w:ind w:left="86" w:right="-504"/>
              <w:rPr>
                <w:color w:val="000000"/>
                <w:sz w:val="20"/>
              </w:rPr>
            </w:pPr>
            <w:r>
              <w:rPr>
                <w:color w:val="000000"/>
                <w:sz w:val="20"/>
              </w:rPr>
              <w:t>2.3</w:t>
            </w:r>
          </w:p>
        </w:tc>
        <w:tc>
          <w:tcPr>
            <w:tcW w:w="2047" w:type="dxa"/>
            <w:tcMar>
              <w:left w:w="57" w:type="dxa"/>
              <w:right w:w="57" w:type="dxa"/>
            </w:tcMar>
          </w:tcPr>
          <w:p w:rsidR="00452966" w:rsidRPr="00FE7533" w:rsidRDefault="00452966" w:rsidP="00452966">
            <w:pPr>
              <w:bidi/>
              <w:ind w:left="-18" w:right="131"/>
              <w:jc w:val="left"/>
              <w:rPr>
                <w:sz w:val="20"/>
              </w:rPr>
            </w:pPr>
            <w:r>
              <w:rPr>
                <w:rFonts w:hint="cs"/>
                <w:color w:val="000000"/>
                <w:sz w:val="20"/>
                <w:rtl/>
              </w:rPr>
              <w:t>إجمالي تكاليف الدعم (دولار أمريكي)</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20,144</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D10A22" w:rsidRDefault="00452966" w:rsidP="00452966">
            <w:pPr>
              <w:jc w:val="right"/>
              <w:rPr>
                <w:sz w:val="20"/>
              </w:rPr>
            </w:pPr>
            <w:r w:rsidRPr="00D10A22">
              <w:rPr>
                <w:sz w:val="20"/>
              </w:rPr>
              <w:t>58,072</w:t>
            </w:r>
          </w:p>
        </w:tc>
        <w:tc>
          <w:tcPr>
            <w:tcW w:w="819" w:type="dxa"/>
            <w:tcMar>
              <w:left w:w="57" w:type="dxa"/>
              <w:right w:w="57" w:type="dxa"/>
            </w:tcMar>
          </w:tcPr>
          <w:p w:rsidR="00452966" w:rsidRPr="00D10A22" w:rsidRDefault="00452966" w:rsidP="00452966">
            <w:pPr>
              <w:jc w:val="right"/>
              <w:rPr>
                <w:sz w:val="20"/>
              </w:rPr>
            </w:pPr>
            <w:r w:rsidRPr="00D10A22">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b/>
                <w:sz w:val="20"/>
              </w:rPr>
            </w:pPr>
            <w:r w:rsidRPr="00D10A22">
              <w:rPr>
                <w:b/>
                <w:sz w:val="20"/>
              </w:rPr>
              <w:t>43,384</w:t>
            </w:r>
          </w:p>
        </w:tc>
        <w:tc>
          <w:tcPr>
            <w:tcW w:w="928" w:type="dxa"/>
            <w:tcMar>
              <w:left w:w="57" w:type="dxa"/>
              <w:right w:w="57" w:type="dxa"/>
            </w:tcMar>
          </w:tcPr>
          <w:p w:rsidR="00452966" w:rsidRPr="00D10A22" w:rsidRDefault="00452966" w:rsidP="00452966">
            <w:pPr>
              <w:jc w:val="right"/>
              <w:rPr>
                <w:sz w:val="20"/>
              </w:rPr>
            </w:pPr>
            <w:r w:rsidRPr="00D10A22">
              <w:rPr>
                <w:sz w:val="20"/>
              </w:rPr>
              <w:t>121,600</w:t>
            </w:r>
          </w:p>
        </w:tc>
      </w:tr>
      <w:tr w:rsidR="00452966" w:rsidRPr="00FE7533" w:rsidTr="00B12536">
        <w:trPr>
          <w:trHeight w:val="223"/>
        </w:trPr>
        <w:tc>
          <w:tcPr>
            <w:tcW w:w="658" w:type="dxa"/>
            <w:noWrap/>
            <w:tcMar>
              <w:left w:w="57" w:type="dxa"/>
              <w:right w:w="57" w:type="dxa"/>
            </w:tcMar>
          </w:tcPr>
          <w:p w:rsidR="00452966" w:rsidRPr="00FE7533" w:rsidRDefault="00452966" w:rsidP="00CF06FC">
            <w:pPr>
              <w:bidi/>
              <w:ind w:left="86" w:right="-504"/>
              <w:rPr>
                <w:color w:val="000000"/>
                <w:sz w:val="20"/>
              </w:rPr>
            </w:pPr>
            <w:r w:rsidRPr="00FE7533">
              <w:rPr>
                <w:color w:val="000000"/>
                <w:sz w:val="20"/>
              </w:rPr>
              <w:t>3.3</w:t>
            </w:r>
          </w:p>
        </w:tc>
        <w:tc>
          <w:tcPr>
            <w:tcW w:w="2047" w:type="dxa"/>
            <w:tcMar>
              <w:left w:w="57" w:type="dxa"/>
              <w:right w:w="57" w:type="dxa"/>
            </w:tcMar>
          </w:tcPr>
          <w:p w:rsidR="00452966" w:rsidRPr="00FE7533" w:rsidRDefault="00452966" w:rsidP="00452966">
            <w:pPr>
              <w:bidi/>
              <w:ind w:left="-18" w:right="131"/>
              <w:jc w:val="left"/>
              <w:rPr>
                <w:sz w:val="20"/>
              </w:rPr>
            </w:pPr>
            <w:r>
              <w:rPr>
                <w:rFonts w:hint="cs"/>
                <w:color w:val="000000"/>
                <w:sz w:val="20"/>
                <w:rtl/>
              </w:rPr>
              <w:t>إجمالي التكاليف المتفق عليها (دولار أمريكي)</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215,144</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FE7533" w:rsidRDefault="00452966" w:rsidP="00452966">
            <w:pPr>
              <w:jc w:val="right"/>
              <w:rPr>
                <w:color w:val="000000"/>
                <w:sz w:val="20"/>
              </w:rPr>
            </w:pPr>
            <w:r w:rsidRPr="00FE7533">
              <w:rPr>
                <w:color w:val="000000"/>
                <w:sz w:val="20"/>
              </w:rPr>
              <w:t>0</w:t>
            </w:r>
          </w:p>
        </w:tc>
        <w:tc>
          <w:tcPr>
            <w:tcW w:w="819" w:type="dxa"/>
            <w:tcMar>
              <w:left w:w="57" w:type="dxa"/>
              <w:right w:w="57" w:type="dxa"/>
            </w:tcMar>
          </w:tcPr>
          <w:p w:rsidR="00452966" w:rsidRPr="00D10A22" w:rsidRDefault="00452966" w:rsidP="00452966">
            <w:pPr>
              <w:jc w:val="right"/>
              <w:rPr>
                <w:sz w:val="20"/>
              </w:rPr>
            </w:pPr>
            <w:r w:rsidRPr="00D10A22">
              <w:rPr>
                <w:sz w:val="20"/>
              </w:rPr>
              <w:t>613,072</w:t>
            </w:r>
          </w:p>
        </w:tc>
        <w:tc>
          <w:tcPr>
            <w:tcW w:w="819" w:type="dxa"/>
            <w:tcMar>
              <w:left w:w="57" w:type="dxa"/>
              <w:right w:w="57" w:type="dxa"/>
            </w:tcMar>
          </w:tcPr>
          <w:p w:rsidR="00452966" w:rsidRPr="00D10A22" w:rsidRDefault="00452966" w:rsidP="00452966">
            <w:pPr>
              <w:jc w:val="right"/>
              <w:rPr>
                <w:sz w:val="20"/>
              </w:rPr>
            </w:pPr>
            <w:r w:rsidRPr="00D10A22">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sz w:val="20"/>
              </w:rPr>
            </w:pPr>
            <w:r>
              <w:rPr>
                <w:sz w:val="20"/>
              </w:rPr>
              <w:t>0</w:t>
            </w:r>
          </w:p>
        </w:tc>
        <w:tc>
          <w:tcPr>
            <w:tcW w:w="819" w:type="dxa"/>
            <w:tcMar>
              <w:left w:w="57" w:type="dxa"/>
              <w:right w:w="57" w:type="dxa"/>
            </w:tcMar>
          </w:tcPr>
          <w:p w:rsidR="00452966" w:rsidRPr="00D10A22" w:rsidRDefault="00452966" w:rsidP="00452966">
            <w:pPr>
              <w:jc w:val="right"/>
              <w:rPr>
                <w:b/>
                <w:sz w:val="20"/>
              </w:rPr>
            </w:pPr>
            <w:r w:rsidRPr="00D10A22">
              <w:rPr>
                <w:b/>
                <w:sz w:val="20"/>
              </w:rPr>
              <w:t>473,384</w:t>
            </w:r>
          </w:p>
        </w:tc>
        <w:tc>
          <w:tcPr>
            <w:tcW w:w="928" w:type="dxa"/>
            <w:tcMar>
              <w:left w:w="57" w:type="dxa"/>
              <w:right w:w="57" w:type="dxa"/>
            </w:tcMar>
          </w:tcPr>
          <w:p w:rsidR="00452966" w:rsidRPr="00D10A22" w:rsidRDefault="00452966" w:rsidP="00452966">
            <w:pPr>
              <w:jc w:val="right"/>
              <w:rPr>
                <w:sz w:val="20"/>
              </w:rPr>
            </w:pPr>
            <w:r w:rsidRPr="00D10A22">
              <w:rPr>
                <w:sz w:val="20"/>
              </w:rPr>
              <w:t>1,301,600</w:t>
            </w:r>
          </w:p>
        </w:tc>
      </w:tr>
      <w:tr w:rsidR="00452966" w:rsidRPr="00FE7533" w:rsidTr="00B12536">
        <w:trPr>
          <w:trHeight w:val="223"/>
        </w:trPr>
        <w:tc>
          <w:tcPr>
            <w:tcW w:w="658" w:type="dxa"/>
            <w:noWrap/>
          </w:tcPr>
          <w:p w:rsidR="00452966" w:rsidRPr="00FE7533" w:rsidRDefault="00452966" w:rsidP="000C387F">
            <w:pPr>
              <w:bidi/>
              <w:ind w:left="-93" w:right="-503"/>
              <w:rPr>
                <w:color w:val="000000"/>
                <w:sz w:val="20"/>
              </w:rPr>
            </w:pPr>
            <w:r>
              <w:rPr>
                <w:color w:val="000000"/>
                <w:sz w:val="20"/>
              </w:rPr>
              <w:t>1.1.4</w:t>
            </w:r>
          </w:p>
        </w:tc>
        <w:tc>
          <w:tcPr>
            <w:tcW w:w="9418" w:type="dxa"/>
            <w:gridSpan w:val="10"/>
          </w:tcPr>
          <w:p w:rsidR="00452966" w:rsidRPr="00FE7533" w:rsidRDefault="00452966" w:rsidP="00452966">
            <w:pPr>
              <w:bidi/>
              <w:ind w:right="131"/>
              <w:jc w:val="left"/>
              <w:rPr>
                <w:sz w:val="20"/>
              </w:rPr>
            </w:pPr>
            <w:r>
              <w:rPr>
                <w:rFonts w:hint="cs"/>
                <w:sz w:val="20"/>
                <w:rtl/>
              </w:rPr>
              <w:t>إجمالي إزالة الهيدروكلوروفلوروكربون-22 المتفق عليها بموجب هذا الاتفاق (طن من قدرات استنفاد</w:t>
            </w:r>
            <w:r w:rsidR="00E82173">
              <w:rPr>
                <w:rFonts w:hint="cs"/>
                <w:sz w:val="20"/>
                <w:rtl/>
              </w:rPr>
              <w:t xml:space="preserve"> الأوزون)</w:t>
            </w:r>
          </w:p>
        </w:tc>
        <w:tc>
          <w:tcPr>
            <w:tcW w:w="928" w:type="dxa"/>
          </w:tcPr>
          <w:p w:rsidR="00452966" w:rsidRPr="00FE7533" w:rsidRDefault="00452966" w:rsidP="00452966">
            <w:pPr>
              <w:jc w:val="right"/>
              <w:rPr>
                <w:sz w:val="20"/>
              </w:rPr>
            </w:pPr>
            <w:r w:rsidRPr="00FE7533">
              <w:rPr>
                <w:sz w:val="20"/>
              </w:rPr>
              <w:t>14.98</w:t>
            </w:r>
          </w:p>
        </w:tc>
      </w:tr>
      <w:tr w:rsidR="00452966" w:rsidRPr="00FE7533" w:rsidTr="00B12536">
        <w:trPr>
          <w:trHeight w:val="223"/>
        </w:trPr>
        <w:tc>
          <w:tcPr>
            <w:tcW w:w="658" w:type="dxa"/>
            <w:noWrap/>
          </w:tcPr>
          <w:p w:rsidR="00452966" w:rsidRPr="00FE7533" w:rsidRDefault="00452966" w:rsidP="000C387F">
            <w:pPr>
              <w:bidi/>
              <w:ind w:left="-93" w:right="-503"/>
              <w:rPr>
                <w:color w:val="000000"/>
                <w:sz w:val="20"/>
              </w:rPr>
            </w:pPr>
            <w:r>
              <w:rPr>
                <w:color w:val="000000"/>
                <w:sz w:val="20"/>
              </w:rPr>
              <w:t>2.1.4</w:t>
            </w:r>
          </w:p>
        </w:tc>
        <w:tc>
          <w:tcPr>
            <w:tcW w:w="9418" w:type="dxa"/>
            <w:gridSpan w:val="10"/>
          </w:tcPr>
          <w:p w:rsidR="00452966" w:rsidRPr="00FE7533" w:rsidRDefault="00E82173" w:rsidP="00452966">
            <w:pPr>
              <w:bidi/>
              <w:ind w:right="131"/>
              <w:jc w:val="left"/>
              <w:rPr>
                <w:sz w:val="20"/>
              </w:rPr>
            </w:pPr>
            <w:r>
              <w:rPr>
                <w:rFonts w:hint="cs"/>
                <w:sz w:val="20"/>
                <w:rtl/>
              </w:rPr>
              <w:t>إزالة الهيدروكلوروفلوروكربون-22 في المشروعات المعتمدة سابقا (طن من قدرات استنفاد الأوزون)</w:t>
            </w:r>
          </w:p>
        </w:tc>
        <w:tc>
          <w:tcPr>
            <w:tcW w:w="928" w:type="dxa"/>
          </w:tcPr>
          <w:p w:rsidR="00452966" w:rsidRPr="00FE7533" w:rsidRDefault="00452966" w:rsidP="00452966">
            <w:pPr>
              <w:jc w:val="right"/>
              <w:rPr>
                <w:sz w:val="20"/>
              </w:rPr>
            </w:pPr>
            <w:r w:rsidRPr="00FE7533">
              <w:rPr>
                <w:sz w:val="20"/>
              </w:rPr>
              <w:t>0</w:t>
            </w:r>
          </w:p>
        </w:tc>
      </w:tr>
      <w:tr w:rsidR="00452966" w:rsidRPr="00FE7533" w:rsidTr="00B12536">
        <w:trPr>
          <w:trHeight w:val="223"/>
        </w:trPr>
        <w:tc>
          <w:tcPr>
            <w:tcW w:w="658" w:type="dxa"/>
            <w:noWrap/>
          </w:tcPr>
          <w:p w:rsidR="00452966" w:rsidRPr="00FE7533" w:rsidRDefault="00452966" w:rsidP="000C387F">
            <w:pPr>
              <w:bidi/>
              <w:ind w:left="-93" w:right="-503"/>
              <w:rPr>
                <w:color w:val="000000"/>
                <w:sz w:val="20"/>
              </w:rPr>
            </w:pPr>
            <w:r>
              <w:rPr>
                <w:color w:val="000000"/>
                <w:sz w:val="20"/>
              </w:rPr>
              <w:t>3.1.4</w:t>
            </w:r>
          </w:p>
        </w:tc>
        <w:tc>
          <w:tcPr>
            <w:tcW w:w="9418" w:type="dxa"/>
            <w:gridSpan w:val="10"/>
          </w:tcPr>
          <w:p w:rsidR="00452966" w:rsidRPr="00FE7533" w:rsidRDefault="00E82173" w:rsidP="00452966">
            <w:pPr>
              <w:bidi/>
              <w:ind w:right="131"/>
              <w:jc w:val="left"/>
              <w:rPr>
                <w:sz w:val="20"/>
              </w:rPr>
            </w:pPr>
            <w:r>
              <w:rPr>
                <w:rFonts w:hint="cs"/>
                <w:sz w:val="20"/>
                <w:rtl/>
              </w:rPr>
              <w:t>الاستهلاك المؤهل المتبقي للهيدروكلوروفلوروكربون-22 (طن من قدرات استنفاد الأوزون)</w:t>
            </w:r>
          </w:p>
        </w:tc>
        <w:tc>
          <w:tcPr>
            <w:tcW w:w="928" w:type="dxa"/>
          </w:tcPr>
          <w:p w:rsidR="00452966" w:rsidRPr="00FE7533" w:rsidRDefault="00452966" w:rsidP="00452966">
            <w:pPr>
              <w:jc w:val="right"/>
              <w:rPr>
                <w:sz w:val="20"/>
              </w:rPr>
            </w:pPr>
            <w:r w:rsidRPr="00FE7533">
              <w:rPr>
                <w:sz w:val="20"/>
              </w:rPr>
              <w:t>93.40</w:t>
            </w:r>
          </w:p>
        </w:tc>
      </w:tr>
    </w:tbl>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1872"/>
        <w:gridCol w:w="1872"/>
        <w:gridCol w:w="1872"/>
        <w:gridCol w:w="1873"/>
      </w:tblGrid>
      <w:tr w:rsidR="00E82173" w:rsidRPr="00166851" w:rsidTr="000C387F">
        <w:tc>
          <w:tcPr>
            <w:tcW w:w="2231" w:type="dxa"/>
          </w:tcPr>
          <w:p w:rsidR="00E82173" w:rsidRPr="00166851" w:rsidRDefault="00E82173" w:rsidP="000C387F">
            <w:pPr>
              <w:rPr>
                <w:lang w:val="en-CA"/>
              </w:rPr>
            </w:pPr>
          </w:p>
        </w:tc>
        <w:tc>
          <w:tcPr>
            <w:tcW w:w="1872" w:type="dxa"/>
          </w:tcPr>
          <w:p w:rsidR="00E82173" w:rsidRPr="00166851" w:rsidRDefault="00E82173" w:rsidP="000C387F">
            <w:pPr>
              <w:rPr>
                <w:lang w:val="en-CA"/>
              </w:rPr>
            </w:pPr>
          </w:p>
        </w:tc>
        <w:tc>
          <w:tcPr>
            <w:tcW w:w="1872" w:type="dxa"/>
            <w:tcBorders>
              <w:bottom w:val="single" w:sz="4" w:space="0" w:color="auto"/>
            </w:tcBorders>
          </w:tcPr>
          <w:p w:rsidR="00E82173" w:rsidRDefault="00E82173" w:rsidP="000C387F">
            <w:pPr>
              <w:rPr>
                <w:lang w:val="en-CA"/>
              </w:rPr>
            </w:pPr>
          </w:p>
          <w:p w:rsidR="00DC09F2" w:rsidRPr="00166851" w:rsidRDefault="00DC09F2" w:rsidP="000C387F">
            <w:pPr>
              <w:rPr>
                <w:lang w:val="en-CA"/>
              </w:rPr>
            </w:pPr>
          </w:p>
        </w:tc>
        <w:tc>
          <w:tcPr>
            <w:tcW w:w="1872" w:type="dxa"/>
          </w:tcPr>
          <w:p w:rsidR="00E82173" w:rsidRPr="00166851" w:rsidRDefault="00E82173" w:rsidP="000C387F">
            <w:pPr>
              <w:rPr>
                <w:lang w:val="en-CA"/>
              </w:rPr>
            </w:pPr>
          </w:p>
        </w:tc>
        <w:tc>
          <w:tcPr>
            <w:tcW w:w="1873" w:type="dxa"/>
          </w:tcPr>
          <w:p w:rsidR="00E82173" w:rsidRPr="00166851" w:rsidRDefault="00E82173" w:rsidP="000C387F">
            <w:pPr>
              <w:rPr>
                <w:lang w:val="en-CA"/>
              </w:rPr>
            </w:pPr>
          </w:p>
        </w:tc>
      </w:tr>
    </w:tbl>
    <w:p w:rsidR="00E82173" w:rsidRDefault="00E82173" w:rsidP="00E82173">
      <w:pPr>
        <w:pStyle w:val="StyleHeader4Para4Left0Firstline0"/>
        <w:numPr>
          <w:ilvl w:val="0"/>
          <w:numId w:val="0"/>
        </w:numPr>
        <w:tabs>
          <w:tab w:val="clear" w:pos="2880"/>
          <w:tab w:val="clear" w:pos="5760"/>
          <w:tab w:val="left" w:pos="720"/>
        </w:tabs>
        <w:bidi/>
        <w:spacing w:before="120"/>
        <w:jc w:val="lowKashida"/>
        <w:rPr>
          <w:sz w:val="26"/>
          <w:szCs w:val="26"/>
          <w:rtl/>
          <w:lang w:val="en-US" w:bidi="ar-EG"/>
        </w:rPr>
      </w:pPr>
    </w:p>
    <w:p w:rsidR="00342ADF" w:rsidRPr="00342ADF" w:rsidRDefault="00342ADF" w:rsidP="00034DD8">
      <w:pPr>
        <w:pStyle w:val="StyleHeader4Para4Left0Firstline0"/>
        <w:numPr>
          <w:ilvl w:val="0"/>
          <w:numId w:val="0"/>
        </w:numPr>
        <w:tabs>
          <w:tab w:val="clear" w:pos="2880"/>
          <w:tab w:val="clear" w:pos="5760"/>
          <w:tab w:val="left" w:pos="720"/>
        </w:tabs>
        <w:bidi/>
        <w:spacing w:before="120"/>
        <w:ind w:left="1324" w:hanging="1324"/>
        <w:jc w:val="lowKashida"/>
        <w:rPr>
          <w:sz w:val="26"/>
          <w:szCs w:val="26"/>
          <w:rtl/>
          <w:lang w:val="en-US" w:bidi="ar-EG"/>
        </w:rPr>
      </w:pPr>
    </w:p>
    <w:sectPr w:rsidR="00342ADF" w:rsidRPr="00342ADF">
      <w:headerReference w:type="first" r:id="rId16"/>
      <w:footerReference w:type="first" r:id="rId17"/>
      <w:endnotePr>
        <w:numFmt w:val="decimal"/>
      </w:endnotePr>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2D" w:rsidRDefault="009E052D" w:rsidP="00F67183">
      <w:pPr>
        <w:bidi/>
      </w:pPr>
      <w:r>
        <w:separator/>
      </w:r>
    </w:p>
  </w:endnote>
  <w:endnote w:type="continuationSeparator" w:id="0">
    <w:p w:rsidR="009E052D" w:rsidRDefault="009E052D"/>
  </w:endnote>
  <w:endnote w:type="continuationNotice" w:id="1">
    <w:p w:rsidR="009E052D" w:rsidRDefault="009E0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2D" w:rsidRDefault="009E052D">
    <w:pPr>
      <w:jc w:val="center"/>
    </w:pPr>
    <w:r>
      <w:fldChar w:fldCharType="begin"/>
    </w:r>
    <w:r>
      <w:instrText xml:space="preserve"> PAGE </w:instrText>
    </w:r>
    <w:r>
      <w:fldChar w:fldCharType="separate"/>
    </w:r>
    <w:r w:rsidR="00CB7DEE">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2D" w:rsidRDefault="009E052D">
    <w:pPr>
      <w:jc w:val="center"/>
    </w:pPr>
    <w:r>
      <w:fldChar w:fldCharType="begin"/>
    </w:r>
    <w:r>
      <w:instrText xml:space="preserve"> PAGE </w:instrText>
    </w:r>
    <w:r>
      <w:fldChar w:fldCharType="separate"/>
    </w:r>
    <w:r w:rsidR="00CB7DEE">
      <w:rPr>
        <w:noProof/>
      </w:rPr>
      <w:t>5</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752022"/>
      <w:docPartObj>
        <w:docPartGallery w:val="Page Numbers (Bottom of Page)"/>
        <w:docPartUnique/>
      </w:docPartObj>
    </w:sdtPr>
    <w:sdtEndPr>
      <w:rPr>
        <w:noProof/>
      </w:rPr>
    </w:sdtEndPr>
    <w:sdtContent>
      <w:p w:rsidR="009E052D" w:rsidRDefault="009E052D">
        <w:pPr>
          <w:pStyle w:val="Footer"/>
          <w:jc w:val="center"/>
        </w:pPr>
        <w:r>
          <w:fldChar w:fldCharType="begin"/>
        </w:r>
        <w:r>
          <w:instrText xml:space="preserve"> PAGE   \* MERGEFORMAT </w:instrText>
        </w:r>
        <w:r>
          <w:fldChar w:fldCharType="separate"/>
        </w:r>
        <w:r w:rsidR="00CB7DEE">
          <w:rPr>
            <w:noProof/>
          </w:rPr>
          <w:t>1</w:t>
        </w:r>
        <w:r>
          <w:rPr>
            <w:noProof/>
          </w:rPr>
          <w:fldChar w:fldCharType="end"/>
        </w:r>
      </w:p>
    </w:sdtContent>
  </w:sdt>
  <w:p w:rsidR="009E052D" w:rsidRDefault="009E052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512749"/>
      <w:docPartObj>
        <w:docPartGallery w:val="Page Numbers (Bottom of Page)"/>
        <w:docPartUnique/>
      </w:docPartObj>
    </w:sdtPr>
    <w:sdtEndPr>
      <w:rPr>
        <w:noProof/>
      </w:rPr>
    </w:sdtEndPr>
    <w:sdtContent>
      <w:p w:rsidR="0019179D" w:rsidRDefault="0019179D">
        <w:pPr>
          <w:pStyle w:val="Footer"/>
          <w:jc w:val="center"/>
        </w:pPr>
        <w:r>
          <w:fldChar w:fldCharType="begin"/>
        </w:r>
        <w:r>
          <w:instrText xml:space="preserve"> PAGE   \* MERGEFORMAT </w:instrText>
        </w:r>
        <w:r>
          <w:fldChar w:fldCharType="separate"/>
        </w:r>
        <w:r w:rsidR="00CB7DEE">
          <w:rPr>
            <w:noProof/>
          </w:rPr>
          <w:t>1</w:t>
        </w:r>
        <w:r>
          <w:rPr>
            <w:noProof/>
          </w:rPr>
          <w:fldChar w:fldCharType="end"/>
        </w:r>
      </w:p>
    </w:sdtContent>
  </w:sdt>
  <w:p w:rsidR="0019179D" w:rsidRDefault="001917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2D" w:rsidRPr="00031CF0" w:rsidRDefault="009E052D" w:rsidP="004142D1">
      <w:pPr>
        <w:pStyle w:val="Footer"/>
        <w:bidi/>
        <w:spacing w:after="80"/>
        <w:ind w:left="792"/>
        <w:jc w:val="left"/>
        <w:rPr>
          <w:b/>
          <w:sz w:val="16"/>
        </w:rPr>
      </w:pPr>
      <w:r w:rsidRPr="00031CF0">
        <w:rPr>
          <w:b/>
          <w:sz w:val="16"/>
          <w:rtl/>
        </w:rPr>
        <w:t>____________________</w:t>
      </w:r>
    </w:p>
  </w:footnote>
  <w:footnote w:type="continuationSeparator" w:id="0">
    <w:p w:rsidR="009E052D" w:rsidRPr="00031CF0" w:rsidRDefault="009E052D" w:rsidP="00031CF0">
      <w:pPr>
        <w:pStyle w:val="Footer"/>
        <w:bidi/>
        <w:spacing w:after="80"/>
        <w:ind w:left="792"/>
        <w:jc w:val="right"/>
        <w:rPr>
          <w:b/>
          <w:sz w:val="16"/>
        </w:rPr>
      </w:pPr>
      <w:r w:rsidRPr="00031CF0">
        <w:rPr>
          <w:b/>
          <w:sz w:val="16"/>
          <w:rtl/>
        </w:rPr>
        <w:t>__________</w:t>
      </w:r>
    </w:p>
  </w:footnote>
  <w:footnote w:type="continuationNotice" w:id="1">
    <w:p w:rsidR="009E052D" w:rsidRDefault="009E052D"/>
  </w:footnote>
  <w:footnote w:id="2">
    <w:p w:rsidR="009E052D" w:rsidRDefault="009E052D" w:rsidP="004B1960">
      <w:pPr>
        <w:pStyle w:val="FootnoteText"/>
        <w:bidi/>
        <w:rPr>
          <w:rtl/>
          <w:lang w:bidi="ar-EG"/>
        </w:rPr>
      </w:pPr>
      <w:r>
        <w:rPr>
          <w:rStyle w:val="FootnoteReference"/>
        </w:rPr>
        <w:footnoteRef/>
      </w:r>
      <w:r>
        <w:rPr>
          <w:rFonts w:hint="cs"/>
          <w:sz w:val="18"/>
          <w:szCs w:val="18"/>
          <w:rtl/>
          <w:lang w:val="en-CA"/>
        </w:rPr>
        <w:t xml:space="preserve"> حسب رسالة مؤرخة في أول أيلول/سبتمبر 2019 من وزارة البيئة في العراق إلى يونيب</w:t>
      </w:r>
      <w:r>
        <w:rPr>
          <w:rFonts w:hint="cs"/>
          <w:rtl/>
          <w:lang w:bidi="ar-E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2D" w:rsidRDefault="009E052D" w:rsidP="0019179D">
    <w:pPr>
      <w:jc w:val="right"/>
    </w:pPr>
    <w:fldSimple w:instr=" DOCPROPERTY &quot;Document number&quot;  \* MERGEFORMAT ">
      <w:r>
        <w:t>UNEP/OzL.Pro/ExCom/84/52</w:t>
      </w:r>
    </w:fldSimple>
  </w:p>
  <w:p w:rsidR="009E052D" w:rsidRDefault="009E052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2D" w:rsidRDefault="009E052D" w:rsidP="003853D8">
    <w:pPr>
      <w:rPr>
        <w:rtl/>
      </w:rPr>
    </w:pPr>
    <w:r>
      <w:t xml:space="preserve">   </w:t>
    </w:r>
    <w:fldSimple w:instr=" DOCPROPERTY &quot;Document number&quot;  \* MERGEFORMAT ">
      <w:r>
        <w:t>UNEP/OzL.Pro/ExCom/84/52</w:t>
      </w:r>
    </w:fldSimple>
  </w:p>
  <w:p w:rsidR="009E052D" w:rsidRDefault="009E05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2D" w:rsidRDefault="009E052D" w:rsidP="0019179D">
    <w:pPr>
      <w:jc w:val="right"/>
    </w:pPr>
  </w:p>
  <w:p w:rsidR="009E052D" w:rsidRDefault="009E052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9D" w:rsidRDefault="0019179D" w:rsidP="0019179D">
    <w:pPr>
      <w:rPr>
        <w:rtl/>
      </w:rPr>
    </w:pPr>
    <w:r>
      <w:t xml:space="preserve">  </w:t>
    </w:r>
    <w:fldSimple w:instr=" DOCPROPERTY &quot;Document number&quot;  \* MERGEFORMAT ">
      <w:r>
        <w:t>UNEP/OzL.Pro/ExCom/84/52</w:t>
      </w:r>
    </w:fldSimple>
  </w:p>
  <w:p w:rsidR="0019179D" w:rsidRPr="0019179D" w:rsidRDefault="0019179D">
    <w:pPr>
      <w:pStyle w:val="Header"/>
      <w:rPr>
        <w:lang w:val="en-US"/>
      </w:rPr>
    </w:pPr>
    <w:r>
      <w:rPr>
        <w:lang w:val="en-US"/>
      </w:rPr>
      <w:t>Annex 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EA91885"/>
    <w:multiLevelType w:val="hybridMultilevel"/>
    <w:tmpl w:val="DACA1944"/>
    <w:lvl w:ilvl="0" w:tplc="A914E8D6">
      <w:start w:val="1"/>
      <w:numFmt w:val="arabicAbjad"/>
      <w:lvlText w:val="(%1)"/>
      <w:lvlJc w:val="left"/>
      <w:pPr>
        <w:tabs>
          <w:tab w:val="num" w:pos="0"/>
        </w:tabs>
        <w:ind w:left="1440" w:hanging="720"/>
      </w:pPr>
      <w:rPr>
        <w:rFonts w:ascii="Times New Roman" w:hAnsi="Times New Roman" w:cs="Arabic Transparent" w:hint="default"/>
        <w:b w:val="0"/>
        <w:bCs w:val="0"/>
        <w:i w:val="0"/>
        <w:iCs w:val="0"/>
        <w:vanish w:val="0"/>
        <w:color w:val="auto"/>
        <w:sz w:val="24"/>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2D0A08"/>
    <w:multiLevelType w:val="hybridMultilevel"/>
    <w:tmpl w:val="14789E5C"/>
    <w:lvl w:ilvl="0" w:tplc="B136E804">
      <w:start w:val="1"/>
      <w:numFmt w:val="decimal"/>
      <w:lvlText w:val="(%1)"/>
      <w:lvlJc w:val="left"/>
      <w:pPr>
        <w:tabs>
          <w:tab w:val="num" w:pos="0"/>
        </w:tabs>
        <w:ind w:left="1814"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D7B2C"/>
    <w:multiLevelType w:val="hybridMultilevel"/>
    <w:tmpl w:val="1088AC8A"/>
    <w:lvl w:ilvl="0" w:tplc="479C7BB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6"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F69CF"/>
    <w:multiLevelType w:val="hybridMultilevel"/>
    <w:tmpl w:val="109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7"/>
  </w:num>
  <w:num w:numId="19">
    <w:abstractNumId w:val="19"/>
  </w:num>
  <w:num w:numId="20">
    <w:abstractNumId w:val="15"/>
  </w:num>
  <w:num w:numId="21">
    <w:abstractNumId w:val="11"/>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4"/>
  </w:num>
  <w:num w:numId="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662"/>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A5"/>
    <w:rsid w:val="00000CBA"/>
    <w:rsid w:val="00000F1D"/>
    <w:rsid w:val="00003753"/>
    <w:rsid w:val="00006875"/>
    <w:rsid w:val="00007239"/>
    <w:rsid w:val="00010740"/>
    <w:rsid w:val="00027024"/>
    <w:rsid w:val="00031CF0"/>
    <w:rsid w:val="00034DD8"/>
    <w:rsid w:val="0004254A"/>
    <w:rsid w:val="00047E7A"/>
    <w:rsid w:val="000604B1"/>
    <w:rsid w:val="000620E9"/>
    <w:rsid w:val="00065726"/>
    <w:rsid w:val="000708A7"/>
    <w:rsid w:val="000755E1"/>
    <w:rsid w:val="000771B7"/>
    <w:rsid w:val="00080BF0"/>
    <w:rsid w:val="00093BEC"/>
    <w:rsid w:val="000B3FC8"/>
    <w:rsid w:val="000B7A14"/>
    <w:rsid w:val="000C03AD"/>
    <w:rsid w:val="000C2FE8"/>
    <w:rsid w:val="000C387F"/>
    <w:rsid w:val="000E05CB"/>
    <w:rsid w:val="000E17E0"/>
    <w:rsid w:val="000F1773"/>
    <w:rsid w:val="000F5AF8"/>
    <w:rsid w:val="000F5F7D"/>
    <w:rsid w:val="000F7292"/>
    <w:rsid w:val="000F7BF0"/>
    <w:rsid w:val="001042FA"/>
    <w:rsid w:val="00115C45"/>
    <w:rsid w:val="001204B3"/>
    <w:rsid w:val="00133F3B"/>
    <w:rsid w:val="00140838"/>
    <w:rsid w:val="001518A0"/>
    <w:rsid w:val="00154388"/>
    <w:rsid w:val="0016057A"/>
    <w:rsid w:val="001679CE"/>
    <w:rsid w:val="001738D6"/>
    <w:rsid w:val="00176144"/>
    <w:rsid w:val="00181D84"/>
    <w:rsid w:val="00181DA5"/>
    <w:rsid w:val="00190203"/>
    <w:rsid w:val="0019179D"/>
    <w:rsid w:val="001928CD"/>
    <w:rsid w:val="001A1C2A"/>
    <w:rsid w:val="001A1E60"/>
    <w:rsid w:val="001A2DFA"/>
    <w:rsid w:val="001A5C7A"/>
    <w:rsid w:val="001B1C9C"/>
    <w:rsid w:val="001B1FCA"/>
    <w:rsid w:val="001C0C69"/>
    <w:rsid w:val="001C624E"/>
    <w:rsid w:val="001D298C"/>
    <w:rsid w:val="001D6A04"/>
    <w:rsid w:val="001E6028"/>
    <w:rsid w:val="00206034"/>
    <w:rsid w:val="00213D51"/>
    <w:rsid w:val="002212EC"/>
    <w:rsid w:val="00224008"/>
    <w:rsid w:val="00231F1C"/>
    <w:rsid w:val="00247833"/>
    <w:rsid w:val="00250228"/>
    <w:rsid w:val="0025485C"/>
    <w:rsid w:val="00261B27"/>
    <w:rsid w:val="002646E3"/>
    <w:rsid w:val="002659E1"/>
    <w:rsid w:val="0027038B"/>
    <w:rsid w:val="00273AF7"/>
    <w:rsid w:val="00274561"/>
    <w:rsid w:val="00274D4B"/>
    <w:rsid w:val="00283B39"/>
    <w:rsid w:val="00286383"/>
    <w:rsid w:val="0029351B"/>
    <w:rsid w:val="002A273E"/>
    <w:rsid w:val="002A2C7D"/>
    <w:rsid w:val="002B4705"/>
    <w:rsid w:val="002C6CC7"/>
    <w:rsid w:val="002D0483"/>
    <w:rsid w:val="002D3579"/>
    <w:rsid w:val="002D5FAE"/>
    <w:rsid w:val="002D7637"/>
    <w:rsid w:val="002E4E30"/>
    <w:rsid w:val="002F60C3"/>
    <w:rsid w:val="00302A04"/>
    <w:rsid w:val="00311CE5"/>
    <w:rsid w:val="003121B5"/>
    <w:rsid w:val="00316B72"/>
    <w:rsid w:val="00322729"/>
    <w:rsid w:val="00331595"/>
    <w:rsid w:val="0033374A"/>
    <w:rsid w:val="003337E6"/>
    <w:rsid w:val="003367ED"/>
    <w:rsid w:val="00336B54"/>
    <w:rsid w:val="00342ADF"/>
    <w:rsid w:val="0034342F"/>
    <w:rsid w:val="0037417A"/>
    <w:rsid w:val="00375DD3"/>
    <w:rsid w:val="00381063"/>
    <w:rsid w:val="00383B3E"/>
    <w:rsid w:val="003853D8"/>
    <w:rsid w:val="00387415"/>
    <w:rsid w:val="003B05D0"/>
    <w:rsid w:val="003B1238"/>
    <w:rsid w:val="003B3F55"/>
    <w:rsid w:val="003B6E3B"/>
    <w:rsid w:val="003D153F"/>
    <w:rsid w:val="003E355C"/>
    <w:rsid w:val="003E3D2A"/>
    <w:rsid w:val="003F1105"/>
    <w:rsid w:val="003F2B28"/>
    <w:rsid w:val="00403FA5"/>
    <w:rsid w:val="0041054A"/>
    <w:rsid w:val="0041204A"/>
    <w:rsid w:val="00412210"/>
    <w:rsid w:val="00412F2D"/>
    <w:rsid w:val="004142D1"/>
    <w:rsid w:val="00415FE4"/>
    <w:rsid w:val="00436E4A"/>
    <w:rsid w:val="004371CC"/>
    <w:rsid w:val="004410C0"/>
    <w:rsid w:val="00447DBB"/>
    <w:rsid w:val="00450A81"/>
    <w:rsid w:val="00451B4C"/>
    <w:rsid w:val="0045228A"/>
    <w:rsid w:val="00452966"/>
    <w:rsid w:val="00460098"/>
    <w:rsid w:val="004712AB"/>
    <w:rsid w:val="00474E9A"/>
    <w:rsid w:val="004812A2"/>
    <w:rsid w:val="0049004D"/>
    <w:rsid w:val="00495CF0"/>
    <w:rsid w:val="0049635C"/>
    <w:rsid w:val="004A0843"/>
    <w:rsid w:val="004A45F5"/>
    <w:rsid w:val="004A5C58"/>
    <w:rsid w:val="004B18D6"/>
    <w:rsid w:val="004B1960"/>
    <w:rsid w:val="004B6FDC"/>
    <w:rsid w:val="004C2AFA"/>
    <w:rsid w:val="004C5B74"/>
    <w:rsid w:val="004D3AB8"/>
    <w:rsid w:val="004D4682"/>
    <w:rsid w:val="004D716E"/>
    <w:rsid w:val="004D7426"/>
    <w:rsid w:val="004E3FC1"/>
    <w:rsid w:val="00502457"/>
    <w:rsid w:val="00502B2A"/>
    <w:rsid w:val="00503231"/>
    <w:rsid w:val="00506111"/>
    <w:rsid w:val="00507AB6"/>
    <w:rsid w:val="005109B8"/>
    <w:rsid w:val="0051140D"/>
    <w:rsid w:val="00512A23"/>
    <w:rsid w:val="00523882"/>
    <w:rsid w:val="00531440"/>
    <w:rsid w:val="00541847"/>
    <w:rsid w:val="0054202C"/>
    <w:rsid w:val="0054707D"/>
    <w:rsid w:val="00551ABA"/>
    <w:rsid w:val="005546BF"/>
    <w:rsid w:val="00566516"/>
    <w:rsid w:val="005921A9"/>
    <w:rsid w:val="00596354"/>
    <w:rsid w:val="005A4ED1"/>
    <w:rsid w:val="005B263F"/>
    <w:rsid w:val="005B3442"/>
    <w:rsid w:val="005B5EBC"/>
    <w:rsid w:val="005B64E4"/>
    <w:rsid w:val="005C4216"/>
    <w:rsid w:val="005E7154"/>
    <w:rsid w:val="005F0746"/>
    <w:rsid w:val="00605C25"/>
    <w:rsid w:val="00620441"/>
    <w:rsid w:val="00624BB2"/>
    <w:rsid w:val="00637D33"/>
    <w:rsid w:val="006442E8"/>
    <w:rsid w:val="00645503"/>
    <w:rsid w:val="006602F9"/>
    <w:rsid w:val="0066081E"/>
    <w:rsid w:val="0066216F"/>
    <w:rsid w:val="00662A73"/>
    <w:rsid w:val="0066786B"/>
    <w:rsid w:val="00672987"/>
    <w:rsid w:val="006757C2"/>
    <w:rsid w:val="00675FA8"/>
    <w:rsid w:val="00685EDE"/>
    <w:rsid w:val="006A3DB4"/>
    <w:rsid w:val="006A5C4B"/>
    <w:rsid w:val="006B1B52"/>
    <w:rsid w:val="006B7BC2"/>
    <w:rsid w:val="006D3AA1"/>
    <w:rsid w:val="006D4787"/>
    <w:rsid w:val="006D5A0C"/>
    <w:rsid w:val="006D63B3"/>
    <w:rsid w:val="006E1160"/>
    <w:rsid w:val="006E42BE"/>
    <w:rsid w:val="006E4DEB"/>
    <w:rsid w:val="006E6EB7"/>
    <w:rsid w:val="006F32EF"/>
    <w:rsid w:val="006F33DC"/>
    <w:rsid w:val="0070162F"/>
    <w:rsid w:val="00706A2E"/>
    <w:rsid w:val="00723990"/>
    <w:rsid w:val="00723D98"/>
    <w:rsid w:val="0072483D"/>
    <w:rsid w:val="007265E0"/>
    <w:rsid w:val="00734C1C"/>
    <w:rsid w:val="00737017"/>
    <w:rsid w:val="00740E02"/>
    <w:rsid w:val="00741146"/>
    <w:rsid w:val="0076357D"/>
    <w:rsid w:val="00764615"/>
    <w:rsid w:val="007655ED"/>
    <w:rsid w:val="007770C7"/>
    <w:rsid w:val="00780172"/>
    <w:rsid w:val="00786775"/>
    <w:rsid w:val="00790F54"/>
    <w:rsid w:val="00793934"/>
    <w:rsid w:val="007A19A0"/>
    <w:rsid w:val="007B4D07"/>
    <w:rsid w:val="007B6222"/>
    <w:rsid w:val="007C27C9"/>
    <w:rsid w:val="007C3BCA"/>
    <w:rsid w:val="007C4760"/>
    <w:rsid w:val="007E39FA"/>
    <w:rsid w:val="007E5D09"/>
    <w:rsid w:val="007E6F1B"/>
    <w:rsid w:val="007F0AE9"/>
    <w:rsid w:val="007F4378"/>
    <w:rsid w:val="007F6423"/>
    <w:rsid w:val="00807BB6"/>
    <w:rsid w:val="008200FD"/>
    <w:rsid w:val="008266E6"/>
    <w:rsid w:val="0083268B"/>
    <w:rsid w:val="0085349E"/>
    <w:rsid w:val="00870553"/>
    <w:rsid w:val="008716F0"/>
    <w:rsid w:val="00874478"/>
    <w:rsid w:val="008A2224"/>
    <w:rsid w:val="008A3A4A"/>
    <w:rsid w:val="008A56B4"/>
    <w:rsid w:val="008A79A6"/>
    <w:rsid w:val="008C3B1F"/>
    <w:rsid w:val="008C4669"/>
    <w:rsid w:val="008E4795"/>
    <w:rsid w:val="00900918"/>
    <w:rsid w:val="0090495D"/>
    <w:rsid w:val="009268F4"/>
    <w:rsid w:val="00933F0B"/>
    <w:rsid w:val="00935CEE"/>
    <w:rsid w:val="009436A0"/>
    <w:rsid w:val="00945360"/>
    <w:rsid w:val="00945E34"/>
    <w:rsid w:val="00946B1B"/>
    <w:rsid w:val="00951CCF"/>
    <w:rsid w:val="009545F3"/>
    <w:rsid w:val="00955A0D"/>
    <w:rsid w:val="009621C4"/>
    <w:rsid w:val="00966983"/>
    <w:rsid w:val="00966FE4"/>
    <w:rsid w:val="00967816"/>
    <w:rsid w:val="0097788A"/>
    <w:rsid w:val="009807A4"/>
    <w:rsid w:val="00995E4E"/>
    <w:rsid w:val="0099635D"/>
    <w:rsid w:val="009969EA"/>
    <w:rsid w:val="009A1D11"/>
    <w:rsid w:val="009C0DF4"/>
    <w:rsid w:val="009D0CCC"/>
    <w:rsid w:val="009D5A5E"/>
    <w:rsid w:val="009D64DE"/>
    <w:rsid w:val="009E052D"/>
    <w:rsid w:val="009E10CF"/>
    <w:rsid w:val="009E15D8"/>
    <w:rsid w:val="009E33BA"/>
    <w:rsid w:val="009F591F"/>
    <w:rsid w:val="009F6F60"/>
    <w:rsid w:val="009F7C90"/>
    <w:rsid w:val="00A0789D"/>
    <w:rsid w:val="00A21948"/>
    <w:rsid w:val="00A22DF4"/>
    <w:rsid w:val="00A257A8"/>
    <w:rsid w:val="00A27C50"/>
    <w:rsid w:val="00A305A6"/>
    <w:rsid w:val="00A46027"/>
    <w:rsid w:val="00A46EC8"/>
    <w:rsid w:val="00A50376"/>
    <w:rsid w:val="00A53D46"/>
    <w:rsid w:val="00A719B5"/>
    <w:rsid w:val="00A7518B"/>
    <w:rsid w:val="00A75944"/>
    <w:rsid w:val="00A771D2"/>
    <w:rsid w:val="00A83328"/>
    <w:rsid w:val="00A83526"/>
    <w:rsid w:val="00AA3845"/>
    <w:rsid w:val="00AA395A"/>
    <w:rsid w:val="00AA71E9"/>
    <w:rsid w:val="00AB045C"/>
    <w:rsid w:val="00AB2735"/>
    <w:rsid w:val="00AC10B9"/>
    <w:rsid w:val="00AC4AA8"/>
    <w:rsid w:val="00AC66DB"/>
    <w:rsid w:val="00AD348B"/>
    <w:rsid w:val="00AE0A44"/>
    <w:rsid w:val="00AE445E"/>
    <w:rsid w:val="00AF6643"/>
    <w:rsid w:val="00AF754D"/>
    <w:rsid w:val="00B0630C"/>
    <w:rsid w:val="00B11DB6"/>
    <w:rsid w:val="00B12536"/>
    <w:rsid w:val="00B16F37"/>
    <w:rsid w:val="00B2216F"/>
    <w:rsid w:val="00B22535"/>
    <w:rsid w:val="00B255A1"/>
    <w:rsid w:val="00B25AD1"/>
    <w:rsid w:val="00B26144"/>
    <w:rsid w:val="00B45106"/>
    <w:rsid w:val="00B47419"/>
    <w:rsid w:val="00B530A7"/>
    <w:rsid w:val="00B60A2F"/>
    <w:rsid w:val="00B70276"/>
    <w:rsid w:val="00B70DF5"/>
    <w:rsid w:val="00B76450"/>
    <w:rsid w:val="00B81E83"/>
    <w:rsid w:val="00B84E7C"/>
    <w:rsid w:val="00B93CC1"/>
    <w:rsid w:val="00B93F2A"/>
    <w:rsid w:val="00B94048"/>
    <w:rsid w:val="00BA083E"/>
    <w:rsid w:val="00BA42AD"/>
    <w:rsid w:val="00BC20D4"/>
    <w:rsid w:val="00BC7399"/>
    <w:rsid w:val="00BD028E"/>
    <w:rsid w:val="00BD4417"/>
    <w:rsid w:val="00BE291A"/>
    <w:rsid w:val="00BE4790"/>
    <w:rsid w:val="00BF30E7"/>
    <w:rsid w:val="00C14F21"/>
    <w:rsid w:val="00C220F4"/>
    <w:rsid w:val="00C30640"/>
    <w:rsid w:val="00C31215"/>
    <w:rsid w:val="00C31CA8"/>
    <w:rsid w:val="00C37396"/>
    <w:rsid w:val="00C40E7D"/>
    <w:rsid w:val="00C415C3"/>
    <w:rsid w:val="00C44E32"/>
    <w:rsid w:val="00C55774"/>
    <w:rsid w:val="00C56D86"/>
    <w:rsid w:val="00C602D7"/>
    <w:rsid w:val="00C60DA5"/>
    <w:rsid w:val="00C6163F"/>
    <w:rsid w:val="00C71CBB"/>
    <w:rsid w:val="00C76601"/>
    <w:rsid w:val="00C80600"/>
    <w:rsid w:val="00C8643F"/>
    <w:rsid w:val="00CA3FB3"/>
    <w:rsid w:val="00CB4734"/>
    <w:rsid w:val="00CB607A"/>
    <w:rsid w:val="00CB7DEE"/>
    <w:rsid w:val="00CC25D3"/>
    <w:rsid w:val="00CC36DA"/>
    <w:rsid w:val="00CC3FFD"/>
    <w:rsid w:val="00CC644A"/>
    <w:rsid w:val="00CE3756"/>
    <w:rsid w:val="00CE3D26"/>
    <w:rsid w:val="00CE5154"/>
    <w:rsid w:val="00CF06FC"/>
    <w:rsid w:val="00CF4E9C"/>
    <w:rsid w:val="00D026E1"/>
    <w:rsid w:val="00D034D8"/>
    <w:rsid w:val="00D07A01"/>
    <w:rsid w:val="00D15632"/>
    <w:rsid w:val="00D33CBF"/>
    <w:rsid w:val="00D36AC1"/>
    <w:rsid w:val="00D41991"/>
    <w:rsid w:val="00D47079"/>
    <w:rsid w:val="00D62D51"/>
    <w:rsid w:val="00D8582B"/>
    <w:rsid w:val="00D91F0D"/>
    <w:rsid w:val="00D93292"/>
    <w:rsid w:val="00DA4C9B"/>
    <w:rsid w:val="00DA6038"/>
    <w:rsid w:val="00DB004E"/>
    <w:rsid w:val="00DB721A"/>
    <w:rsid w:val="00DC09F2"/>
    <w:rsid w:val="00DC3A69"/>
    <w:rsid w:val="00DC5715"/>
    <w:rsid w:val="00DC772D"/>
    <w:rsid w:val="00DC7BDD"/>
    <w:rsid w:val="00DD0FD1"/>
    <w:rsid w:val="00DD336F"/>
    <w:rsid w:val="00DE32BB"/>
    <w:rsid w:val="00DE51F3"/>
    <w:rsid w:val="00DF327A"/>
    <w:rsid w:val="00DF605C"/>
    <w:rsid w:val="00E112DF"/>
    <w:rsid w:val="00E127E7"/>
    <w:rsid w:val="00E1360E"/>
    <w:rsid w:val="00E139E2"/>
    <w:rsid w:val="00E24802"/>
    <w:rsid w:val="00E26C56"/>
    <w:rsid w:val="00E47CE5"/>
    <w:rsid w:val="00E507AE"/>
    <w:rsid w:val="00E5081C"/>
    <w:rsid w:val="00E51328"/>
    <w:rsid w:val="00E517E0"/>
    <w:rsid w:val="00E60295"/>
    <w:rsid w:val="00E65B2E"/>
    <w:rsid w:val="00E715C7"/>
    <w:rsid w:val="00E731B2"/>
    <w:rsid w:val="00E80CAC"/>
    <w:rsid w:val="00E82173"/>
    <w:rsid w:val="00E8279A"/>
    <w:rsid w:val="00E84F23"/>
    <w:rsid w:val="00E852C8"/>
    <w:rsid w:val="00EA0299"/>
    <w:rsid w:val="00EA0C8F"/>
    <w:rsid w:val="00EA2F75"/>
    <w:rsid w:val="00EB0AAE"/>
    <w:rsid w:val="00EB6EDC"/>
    <w:rsid w:val="00EB7FCC"/>
    <w:rsid w:val="00EC59E6"/>
    <w:rsid w:val="00EE5F1C"/>
    <w:rsid w:val="00EF072B"/>
    <w:rsid w:val="00EF729B"/>
    <w:rsid w:val="00F11759"/>
    <w:rsid w:val="00F145A5"/>
    <w:rsid w:val="00F15EF3"/>
    <w:rsid w:val="00F21A7C"/>
    <w:rsid w:val="00F26A09"/>
    <w:rsid w:val="00F331E9"/>
    <w:rsid w:val="00F44BFB"/>
    <w:rsid w:val="00F549C1"/>
    <w:rsid w:val="00F54BA8"/>
    <w:rsid w:val="00F550D2"/>
    <w:rsid w:val="00F61C43"/>
    <w:rsid w:val="00F6233B"/>
    <w:rsid w:val="00F65213"/>
    <w:rsid w:val="00F67183"/>
    <w:rsid w:val="00F6737B"/>
    <w:rsid w:val="00F81DB6"/>
    <w:rsid w:val="00F843C5"/>
    <w:rsid w:val="00FA17FD"/>
    <w:rsid w:val="00FA18EF"/>
    <w:rsid w:val="00FA1A8F"/>
    <w:rsid w:val="00FA1D69"/>
    <w:rsid w:val="00FC34E0"/>
    <w:rsid w:val="00FC40FA"/>
    <w:rsid w:val="00FC6D6A"/>
    <w:rsid w:val="00FD0163"/>
    <w:rsid w:val="00FE3138"/>
    <w:rsid w:val="00FF3597"/>
    <w:rsid w:val="00FF63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562F6CB-FDD6-4786-9061-D5EC232F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
    <w:basedOn w:val="Normal"/>
    <w:next w:val="Normal"/>
    <w:qFormat/>
    <w:pPr>
      <w:widowControl w:val="0"/>
      <w:numPr>
        <w:ilvl w:val="1"/>
        <w:numId w:val="2"/>
      </w:numPr>
      <w:spacing w:after="240"/>
      <w:outlineLvl w:val="1"/>
    </w:pPr>
  </w:style>
  <w:style w:type="paragraph" w:styleId="Heading3">
    <w:name w:val="heading 3"/>
    <w:aliases w:val="Char"/>
    <w:basedOn w:val="Normal"/>
    <w:next w:val="Normal"/>
    <w:qFormat/>
    <w:pPr>
      <w:widowControl w:val="0"/>
      <w:numPr>
        <w:ilvl w:val="2"/>
        <w:numId w:val="3"/>
      </w:numPr>
      <w:spacing w:after="240"/>
      <w:outlineLvl w:val="2"/>
    </w:pPr>
  </w:style>
  <w:style w:type="paragraph" w:styleId="Heading4">
    <w:name w:val="heading 4"/>
    <w:aliases w:val="Heading 11"/>
    <w:basedOn w:val="Normal"/>
    <w:next w:val="Heading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uiPriority w:val="99"/>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3600" w:hanging="360"/>
    </w:pPr>
    <w:rPr>
      <w:sz w:val="20"/>
    </w:rPr>
  </w:style>
  <w:style w:type="paragraph" w:styleId="Caption">
    <w:name w:val="caption"/>
    <w:basedOn w:val="Normal"/>
    <w:next w:val="Normal"/>
    <w:qFormat/>
    <w:pPr>
      <w:bidi/>
      <w:ind w:left="180" w:hanging="180"/>
      <w:jc w:val="lowKashida"/>
    </w:pPr>
    <w:rPr>
      <w:rFonts w:cs="Simplified Arabic"/>
      <w:szCs w:val="32"/>
      <w:lang w:val="en-US" w:eastAsia="en-CA"/>
    </w:rPr>
  </w:style>
  <w:style w:type="character" w:styleId="PageNumber">
    <w:name w:val="page number"/>
    <w:basedOn w:val="DefaultParagraphFont"/>
    <w:semiHidden/>
  </w:style>
  <w:style w:type="character" w:customStyle="1" w:styleId="FooterChar">
    <w:name w:val="Footer Char"/>
    <w:basedOn w:val="DefaultParagraphFont"/>
    <w:link w:val="Footer"/>
    <w:uiPriority w:val="99"/>
    <w:rPr>
      <w:sz w:val="24"/>
      <w:lang w:val="en-GB" w:bidi="ar-DZ"/>
    </w:rPr>
  </w:style>
  <w:style w:type="paragraph" w:styleId="FootnoteText">
    <w:name w:val="footnote text"/>
    <w:basedOn w:val="Normal"/>
    <w:link w:val="FootnoteTextChar"/>
    <w:uiPriority w:val="99"/>
    <w:semiHidden/>
    <w:unhideWhenUsed/>
    <w:rsid w:val="00507AB6"/>
    <w:rPr>
      <w:sz w:val="20"/>
    </w:rPr>
  </w:style>
  <w:style w:type="character" w:customStyle="1" w:styleId="FootnoteTextChar">
    <w:name w:val="Footnote Text Char"/>
    <w:basedOn w:val="DefaultParagraphFont"/>
    <w:link w:val="FootnoteText"/>
    <w:uiPriority w:val="99"/>
    <w:semiHidden/>
    <w:rsid w:val="00507AB6"/>
    <w:rPr>
      <w:lang w:val="en-GB" w:bidi="ar-DZ"/>
    </w:rPr>
  </w:style>
  <w:style w:type="character" w:styleId="FootnoteReference">
    <w:name w:val="footnote reference"/>
    <w:basedOn w:val="DefaultParagraphFont"/>
    <w:uiPriority w:val="99"/>
    <w:semiHidden/>
    <w:unhideWhenUsed/>
    <w:rsid w:val="00507AB6"/>
    <w:rPr>
      <w:vertAlign w:val="superscript"/>
    </w:rPr>
  </w:style>
  <w:style w:type="paragraph" w:styleId="ListParagraph">
    <w:name w:val="List Paragraph"/>
    <w:basedOn w:val="Normal"/>
    <w:uiPriority w:val="34"/>
    <w:qFormat/>
    <w:rsid w:val="000F7292"/>
    <w:pPr>
      <w:ind w:left="720"/>
      <w:contextualSpacing/>
    </w:pPr>
  </w:style>
  <w:style w:type="paragraph" w:styleId="EndnoteText">
    <w:name w:val="endnote text"/>
    <w:basedOn w:val="Normal"/>
    <w:link w:val="EndnoteTextChar"/>
    <w:uiPriority w:val="99"/>
    <w:semiHidden/>
    <w:unhideWhenUsed/>
    <w:rsid w:val="00F67183"/>
    <w:rPr>
      <w:sz w:val="20"/>
    </w:rPr>
  </w:style>
  <w:style w:type="character" w:customStyle="1" w:styleId="EndnoteTextChar">
    <w:name w:val="Endnote Text Char"/>
    <w:basedOn w:val="DefaultParagraphFont"/>
    <w:link w:val="EndnoteText"/>
    <w:uiPriority w:val="99"/>
    <w:semiHidden/>
    <w:rsid w:val="00F67183"/>
    <w:rPr>
      <w:lang w:val="en-GB" w:bidi="ar-DZ"/>
    </w:rPr>
  </w:style>
  <w:style w:type="character" w:styleId="EndnoteReference">
    <w:name w:val="endnote reference"/>
    <w:basedOn w:val="DefaultParagraphFont"/>
    <w:uiPriority w:val="99"/>
    <w:semiHidden/>
    <w:unhideWhenUsed/>
    <w:rsid w:val="00F67183"/>
    <w:rPr>
      <w:vertAlign w:val="superscript"/>
    </w:rPr>
  </w:style>
  <w:style w:type="table" w:customStyle="1" w:styleId="TableGrid10">
    <w:name w:val="Table Grid1"/>
    <w:basedOn w:val="TableNormal"/>
    <w:next w:val="TableGrid"/>
    <w:uiPriority w:val="59"/>
    <w:rsid w:val="005114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45F3"/>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532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di.Ghazaly\Downloads\A81-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UNEP/OzL.Pro/ExCom/84/52</Document_x0020_Number>
    <DocumentType xmlns="48d2d36d-b4e3-478b-a344-cdbeebaca89a">Pre-session</DocumentType>
  </documentManagement>
</p:properties>
</file>

<file path=customXml/itemProps1.xml><?xml version="1.0" encoding="utf-8"?>
<ds:datastoreItem xmlns:ds="http://schemas.openxmlformats.org/officeDocument/2006/customXml" ds:itemID="{E3E7B5E8-1A7E-474C-9F0B-F40D3F00D48A}"/>
</file>

<file path=customXml/itemProps2.xml><?xml version="1.0" encoding="utf-8"?>
<ds:datastoreItem xmlns:ds="http://schemas.openxmlformats.org/officeDocument/2006/customXml" ds:itemID="{BC6AD70E-9093-480B-91D1-539A34AE739B}"/>
</file>

<file path=customXml/itemProps3.xml><?xml version="1.0" encoding="utf-8"?>
<ds:datastoreItem xmlns:ds="http://schemas.openxmlformats.org/officeDocument/2006/customXml" ds:itemID="{F8C9A0AA-8167-4B4D-8010-0F368B86BD0C}"/>
</file>

<file path=customXml/itemProps4.xml><?xml version="1.0" encoding="utf-8"?>
<ds:datastoreItem xmlns:ds="http://schemas.openxmlformats.org/officeDocument/2006/customXml" ds:itemID="{EB67A6F6-7388-4AB2-949D-895692AB2C60}"/>
</file>

<file path=docProps/app.xml><?xml version="1.0" encoding="utf-8"?>
<Properties xmlns="http://schemas.openxmlformats.org/officeDocument/2006/extended-properties" xmlns:vt="http://schemas.openxmlformats.org/officeDocument/2006/docPropsVTypes">
  <Template>A81-template</Template>
  <TotalTime>218</TotalTime>
  <Pages>11</Pages>
  <Words>3429</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مقترح مشروع: العراق</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 مشروع: العراق</dc:title>
  <cp:lastModifiedBy>HBE</cp:lastModifiedBy>
  <cp:revision>9</cp:revision>
  <cp:lastPrinted>2019-11-24T19:34:00Z</cp:lastPrinted>
  <dcterms:created xsi:type="dcterms:W3CDTF">2019-11-21T22:11:00Z</dcterms:created>
  <dcterms:modified xsi:type="dcterms:W3CDTF">2019-12-07T22:57:00Z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UNEP/OzL.Pro/ExCom/84/52</vt:lpwstr>
  </property>
  <property fmtid="{D5CDD505-2E9C-101B-9397-08002B2CF9AE}" pid="3" name="Revision date">
    <vt:lpwstr>11/19/2019</vt:lpwstr>
  </property>
  <property fmtid="{D5CDD505-2E9C-101B-9397-08002B2CF9AE}" pid="4" name="ContentTypeId">
    <vt:lpwstr>0x010100EA99018734B2C14FBE47A02BC3D0CA56</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